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44"/>
        </w:rPr>
      </w:pPr>
      <w:bookmarkStart w:id="72" w:name="_GoBack"/>
      <w:bookmarkEnd w:id="72"/>
    </w:p>
    <w:p>
      <w:pPr>
        <w:spacing w:line="360" w:lineRule="auto"/>
        <w:jc w:val="center"/>
        <w:rPr>
          <w:sz w:val="44"/>
        </w:rPr>
      </w:pPr>
    </w:p>
    <w:p>
      <w:pPr>
        <w:spacing w:before="120" w:beforeLines="50" w:line="360" w:lineRule="auto"/>
        <w:jc w:val="center"/>
        <w:rPr>
          <w:b/>
          <w:sz w:val="52"/>
          <w:szCs w:val="52"/>
        </w:rPr>
      </w:pPr>
      <w:r>
        <w:rPr>
          <w:b/>
          <w:sz w:val="52"/>
          <w:szCs w:val="52"/>
        </w:rPr>
        <w:t>温州医科大学附属眼视光医院</w:t>
      </w:r>
    </w:p>
    <w:p>
      <w:pPr>
        <w:spacing w:before="120" w:beforeLines="50" w:line="360" w:lineRule="auto"/>
        <w:jc w:val="center"/>
        <w:rPr>
          <w:b/>
          <w:sz w:val="52"/>
          <w:szCs w:val="52"/>
        </w:rPr>
      </w:pPr>
      <w:r>
        <w:rPr>
          <w:b/>
          <w:sz w:val="52"/>
          <w:szCs w:val="52"/>
        </w:rPr>
        <w:t>杭州眼视光科技有限公司</w:t>
      </w:r>
    </w:p>
    <w:p>
      <w:pPr>
        <w:spacing w:before="120" w:beforeLines="50" w:line="360" w:lineRule="auto"/>
        <w:jc w:val="center"/>
        <w:rPr>
          <w:b/>
          <w:szCs w:val="21"/>
        </w:rPr>
      </w:pPr>
    </w:p>
    <w:p>
      <w:pPr>
        <w:spacing w:before="120" w:beforeLines="50" w:line="360" w:lineRule="auto"/>
        <w:jc w:val="center"/>
        <w:rPr>
          <w:sz w:val="52"/>
          <w:szCs w:val="52"/>
        </w:rPr>
      </w:pPr>
      <w:r>
        <w:rPr>
          <w:sz w:val="52"/>
          <w:szCs w:val="52"/>
        </w:rPr>
        <w:t>保洁、安保等物业服务</w:t>
      </w:r>
    </w:p>
    <w:p>
      <w:pPr>
        <w:spacing w:before="120" w:beforeLines="50" w:line="360" w:lineRule="auto"/>
        <w:jc w:val="center"/>
        <w:rPr>
          <w:sz w:val="52"/>
          <w:szCs w:val="52"/>
        </w:rPr>
      </w:pPr>
      <w:r>
        <w:rPr>
          <w:sz w:val="52"/>
          <w:szCs w:val="52"/>
        </w:rPr>
        <w:t>公开招标采购文件</w:t>
      </w:r>
    </w:p>
    <w:p>
      <w:pPr>
        <w:pStyle w:val="37"/>
        <w:snapToGrid w:val="0"/>
        <w:spacing w:before="120" w:after="120" w:line="360" w:lineRule="auto"/>
        <w:ind w:firstLine="1343" w:firstLineChars="446"/>
        <w:rPr>
          <w:rFonts w:ascii="Times New Roman" w:hAnsi="Times New Roman"/>
          <w:b/>
          <w:bCs/>
          <w:sz w:val="30"/>
          <w:szCs w:val="30"/>
        </w:rPr>
      </w:pPr>
    </w:p>
    <w:p>
      <w:pPr>
        <w:pStyle w:val="37"/>
        <w:snapToGrid w:val="0"/>
        <w:spacing w:before="120" w:after="120" w:line="360" w:lineRule="auto"/>
        <w:ind w:firstLine="1343" w:firstLineChars="446"/>
        <w:rPr>
          <w:rFonts w:ascii="Times New Roman" w:hAnsi="Times New Roman"/>
          <w:b/>
          <w:bCs/>
          <w:sz w:val="30"/>
          <w:szCs w:val="30"/>
        </w:rPr>
      </w:pPr>
    </w:p>
    <w:p>
      <w:pPr>
        <w:pStyle w:val="37"/>
        <w:snapToGrid w:val="0"/>
        <w:spacing w:before="120" w:after="120" w:line="360" w:lineRule="auto"/>
        <w:ind w:firstLine="1102" w:firstLineChars="392"/>
        <w:rPr>
          <w:rFonts w:ascii="Times New Roman" w:hAnsi="Times New Roman"/>
          <w:b/>
          <w:bCs/>
          <w:sz w:val="28"/>
          <w:szCs w:val="28"/>
        </w:rPr>
      </w:pPr>
      <w:r>
        <w:rPr>
          <w:rFonts w:ascii="Times New Roman" w:hAnsi="Times New Roman"/>
          <w:b/>
          <w:bCs/>
          <w:sz w:val="28"/>
          <w:szCs w:val="28"/>
        </w:rPr>
        <w:t>项目编号：0625-19215758</w:t>
      </w:r>
    </w:p>
    <w:p>
      <w:pPr>
        <w:pStyle w:val="37"/>
        <w:snapToGrid w:val="0"/>
        <w:spacing w:before="120" w:after="120" w:line="360" w:lineRule="auto"/>
        <w:ind w:firstLine="1102" w:firstLineChars="392"/>
        <w:rPr>
          <w:rFonts w:ascii="Times New Roman" w:hAnsi="Times New Roman"/>
          <w:b/>
          <w:bCs/>
          <w:sz w:val="28"/>
          <w:szCs w:val="28"/>
        </w:rPr>
      </w:pPr>
      <w:r>
        <w:rPr>
          <w:rFonts w:ascii="Times New Roman" w:hAnsi="Times New Roman"/>
          <w:b/>
          <w:bCs/>
          <w:sz w:val="28"/>
          <w:szCs w:val="28"/>
        </w:rPr>
        <w:t>项目名称：保洁、安保等物业服务</w:t>
      </w:r>
    </w:p>
    <w:p>
      <w:pPr>
        <w:pStyle w:val="37"/>
        <w:snapToGrid w:val="0"/>
        <w:spacing w:before="120" w:after="120" w:line="360" w:lineRule="auto"/>
        <w:ind w:firstLine="1102" w:firstLineChars="392"/>
        <w:rPr>
          <w:rFonts w:ascii="Times New Roman" w:hAnsi="Times New Roman"/>
          <w:b/>
          <w:bCs/>
          <w:sz w:val="28"/>
          <w:szCs w:val="28"/>
        </w:rPr>
      </w:pPr>
      <w:r>
        <w:rPr>
          <w:rFonts w:ascii="Times New Roman" w:hAnsi="Times New Roman"/>
          <w:b/>
          <w:bCs/>
          <w:sz w:val="28"/>
          <w:szCs w:val="28"/>
        </w:rPr>
        <w:t>采购单位：温州医科大学附属眼视光医院</w:t>
      </w:r>
    </w:p>
    <w:p>
      <w:pPr>
        <w:pStyle w:val="37"/>
        <w:snapToGrid w:val="0"/>
        <w:spacing w:before="120" w:after="120" w:line="360" w:lineRule="auto"/>
        <w:ind w:firstLine="2507" w:firstLineChars="892"/>
        <w:rPr>
          <w:rFonts w:hint="eastAsia" w:ascii="Times New Roman" w:hAnsi="Times New Roman"/>
          <w:b/>
          <w:bCs/>
          <w:sz w:val="28"/>
          <w:szCs w:val="28"/>
        </w:rPr>
      </w:pPr>
      <w:r>
        <w:rPr>
          <w:rFonts w:ascii="Times New Roman" w:hAnsi="Times New Roman"/>
          <w:b/>
          <w:bCs/>
          <w:sz w:val="28"/>
          <w:szCs w:val="28"/>
        </w:rPr>
        <w:t>杭州眼视光科技有限公司</w:t>
      </w:r>
    </w:p>
    <w:p>
      <w:pPr>
        <w:pStyle w:val="37"/>
        <w:snapToGrid w:val="0"/>
        <w:spacing w:before="120" w:after="120" w:line="360" w:lineRule="auto"/>
        <w:ind w:firstLine="1102" w:firstLineChars="392"/>
        <w:rPr>
          <w:rFonts w:ascii="Times New Roman" w:hAnsi="Times New Roman"/>
          <w:b/>
          <w:bCs/>
          <w:sz w:val="28"/>
          <w:szCs w:val="28"/>
        </w:rPr>
      </w:pPr>
      <w:r>
        <w:rPr>
          <w:rFonts w:ascii="Times New Roman" w:hAnsi="Times New Roman"/>
          <w:b/>
          <w:bCs/>
          <w:sz w:val="28"/>
          <w:szCs w:val="28"/>
        </w:rPr>
        <w:t>代理机构：浙江省国际技术设备招标有限公司</w:t>
      </w:r>
    </w:p>
    <w:p>
      <w:pPr>
        <w:pStyle w:val="37"/>
        <w:snapToGrid w:val="0"/>
        <w:spacing w:before="120" w:after="120" w:line="360" w:lineRule="auto"/>
        <w:rPr>
          <w:rFonts w:ascii="Times New Roman" w:hAnsi="Times New Roman"/>
          <w:b/>
          <w:bCs/>
          <w:w w:val="95"/>
          <w:sz w:val="32"/>
          <w:szCs w:val="32"/>
        </w:rPr>
      </w:pPr>
    </w:p>
    <w:p>
      <w:pPr>
        <w:pStyle w:val="37"/>
        <w:snapToGrid w:val="0"/>
        <w:spacing w:before="120" w:after="120" w:line="360" w:lineRule="auto"/>
        <w:rPr>
          <w:rFonts w:ascii="Times New Roman" w:hAnsi="Times New Roman"/>
          <w:b/>
          <w:bCs/>
          <w:w w:val="95"/>
          <w:sz w:val="32"/>
          <w:szCs w:val="32"/>
        </w:rPr>
      </w:pPr>
    </w:p>
    <w:p>
      <w:pPr>
        <w:pStyle w:val="37"/>
        <w:snapToGrid w:val="0"/>
        <w:spacing w:before="120" w:after="120" w:line="360" w:lineRule="auto"/>
        <w:rPr>
          <w:rFonts w:ascii="Times New Roman" w:hAnsi="Times New Roman"/>
          <w:b/>
          <w:bCs/>
          <w:w w:val="95"/>
          <w:sz w:val="32"/>
          <w:szCs w:val="32"/>
        </w:rPr>
      </w:pPr>
    </w:p>
    <w:p>
      <w:pPr>
        <w:snapToGrid w:val="0"/>
        <w:spacing w:before="120" w:beforeLines="50" w:line="360" w:lineRule="auto"/>
        <w:jc w:val="center"/>
        <w:rPr>
          <w:b/>
          <w:bCs/>
          <w:w w:val="95"/>
          <w:sz w:val="30"/>
          <w:szCs w:val="30"/>
        </w:rPr>
        <w:sectPr>
          <w:footerReference r:id="rId3" w:type="default"/>
          <w:footerReference r:id="rId4" w:type="even"/>
          <w:pgSz w:w="11906" w:h="16838"/>
          <w:pgMar w:top="1474" w:right="1644" w:bottom="1247" w:left="1644" w:header="851" w:footer="851" w:gutter="0"/>
          <w:cols w:space="720" w:num="1"/>
          <w:docGrid w:linePitch="312" w:charSpace="0"/>
        </w:sectPr>
      </w:pPr>
      <w:r>
        <w:rPr>
          <w:b/>
          <w:bCs/>
          <w:w w:val="95"/>
          <w:sz w:val="32"/>
          <w:szCs w:val="32"/>
        </w:rPr>
        <w:t>201</w:t>
      </w:r>
      <w:r>
        <w:rPr>
          <w:rFonts w:hint="eastAsia"/>
          <w:b/>
          <w:bCs/>
          <w:w w:val="95"/>
          <w:sz w:val="32"/>
          <w:szCs w:val="32"/>
        </w:rPr>
        <w:t>9</w:t>
      </w:r>
      <w:r>
        <w:rPr>
          <w:b/>
          <w:bCs/>
          <w:w w:val="95"/>
          <w:sz w:val="32"/>
          <w:szCs w:val="32"/>
        </w:rPr>
        <w:t>年</w:t>
      </w:r>
      <w:r>
        <w:rPr>
          <w:rFonts w:hint="eastAsia"/>
          <w:b/>
          <w:bCs/>
          <w:w w:val="95"/>
          <w:sz w:val="32"/>
          <w:szCs w:val="32"/>
        </w:rPr>
        <w:t>9</w:t>
      </w:r>
      <w:r>
        <w:rPr>
          <w:b/>
          <w:bCs/>
          <w:w w:val="95"/>
          <w:sz w:val="32"/>
          <w:szCs w:val="32"/>
        </w:rPr>
        <w:t>月</w:t>
      </w:r>
      <w:r>
        <w:rPr>
          <w:rFonts w:hint="eastAsia"/>
          <w:b/>
          <w:bCs/>
          <w:w w:val="95"/>
          <w:sz w:val="32"/>
          <w:szCs w:val="32"/>
        </w:rPr>
        <w:t>9</w:t>
      </w:r>
      <w:r>
        <w:rPr>
          <w:b/>
          <w:bCs/>
          <w:w w:val="95"/>
          <w:sz w:val="32"/>
          <w:szCs w:val="32"/>
        </w:rPr>
        <w:t>日</w:t>
      </w:r>
    </w:p>
    <w:p>
      <w:pPr>
        <w:pStyle w:val="37"/>
        <w:spacing w:before="120" w:after="120" w:line="240" w:lineRule="auto"/>
        <w:jc w:val="center"/>
        <w:rPr>
          <w:rFonts w:ascii="Times New Roman" w:hAnsi="Times New Roman"/>
          <w:sz w:val="36"/>
          <w:szCs w:val="36"/>
        </w:rPr>
      </w:pPr>
      <w:r>
        <w:rPr>
          <w:rFonts w:ascii="Times New Roman" w:hAnsi="Times New Roman"/>
          <w:sz w:val="36"/>
          <w:szCs w:val="36"/>
        </w:rPr>
        <w:t>目    录</w:t>
      </w:r>
    </w:p>
    <w:p>
      <w:pPr>
        <w:pStyle w:val="47"/>
        <w:tabs>
          <w:tab w:val="right" w:leader="dot" w:pos="8494"/>
        </w:tabs>
        <w:rPr>
          <w:rFonts w:ascii="等线" w:hAnsi="等线" w:eastAsia="等线"/>
          <w:szCs w:val="22"/>
          <w:lang/>
        </w:rPr>
      </w:pPr>
      <w:r>
        <w:rPr>
          <w:sz w:val="44"/>
          <w:szCs w:val="44"/>
        </w:rPr>
        <w:fldChar w:fldCharType="begin"/>
      </w:r>
      <w:r>
        <w:rPr>
          <w:sz w:val="44"/>
          <w:szCs w:val="44"/>
        </w:rPr>
        <w:instrText xml:space="preserve"> TOC \o "1-2" \h \z \u </w:instrText>
      </w:r>
      <w:r>
        <w:rPr>
          <w:sz w:val="44"/>
          <w:szCs w:val="44"/>
        </w:rPr>
        <w:fldChar w:fldCharType="separate"/>
      </w:r>
      <w:r>
        <w:rPr>
          <w:rStyle w:val="77"/>
          <w:lang/>
        </w:rPr>
        <w:fldChar w:fldCharType="begin"/>
      </w:r>
      <w:r>
        <w:rPr>
          <w:rStyle w:val="77"/>
          <w:lang/>
        </w:rPr>
        <w:instrText xml:space="preserve"> </w:instrText>
      </w:r>
      <w:r>
        <w:rPr>
          <w:lang/>
        </w:rPr>
        <w:instrText xml:space="preserve">HYPERLINK \l "_Toc18854398"</w:instrText>
      </w:r>
      <w:r>
        <w:rPr>
          <w:rStyle w:val="77"/>
          <w:lang/>
        </w:rPr>
        <w:instrText xml:space="preserve"> </w:instrText>
      </w:r>
      <w:r>
        <w:rPr>
          <w:rStyle w:val="77"/>
          <w:lang/>
        </w:rPr>
        <w:fldChar w:fldCharType="separate"/>
      </w:r>
      <w:r>
        <w:rPr>
          <w:rStyle w:val="77"/>
          <w:lang/>
        </w:rPr>
        <w:t>第一章  招标公告</w:t>
      </w:r>
      <w:r>
        <w:rPr>
          <w:lang/>
        </w:rPr>
        <w:tab/>
      </w:r>
      <w:r>
        <w:rPr>
          <w:lang/>
        </w:rPr>
        <w:fldChar w:fldCharType="begin"/>
      </w:r>
      <w:r>
        <w:rPr>
          <w:lang/>
        </w:rPr>
        <w:instrText xml:space="preserve"> PAGEREF _Toc18854398 \h </w:instrText>
      </w:r>
      <w:r>
        <w:rPr>
          <w:lang/>
        </w:rPr>
        <w:fldChar w:fldCharType="separate"/>
      </w:r>
      <w:r>
        <w:rPr>
          <w:lang/>
        </w:rPr>
        <w:t>1</w:t>
      </w:r>
      <w:r>
        <w:rPr>
          <w:lang/>
        </w:rPr>
        <w:fldChar w:fldCharType="end"/>
      </w:r>
      <w:r>
        <w:rPr>
          <w:rStyle w:val="77"/>
          <w:lang/>
        </w:rPr>
        <w:fldChar w:fldCharType="end"/>
      </w:r>
    </w:p>
    <w:p>
      <w:pPr>
        <w:pStyle w:val="47"/>
        <w:tabs>
          <w:tab w:val="right" w:leader="dot" w:pos="8494"/>
        </w:tabs>
        <w:rPr>
          <w:rFonts w:ascii="等线" w:hAnsi="等线" w:eastAsia="等线"/>
          <w:szCs w:val="22"/>
          <w:lang/>
        </w:rPr>
      </w:pPr>
      <w:r>
        <w:rPr>
          <w:rStyle w:val="77"/>
          <w:lang/>
        </w:rPr>
        <w:fldChar w:fldCharType="begin"/>
      </w:r>
      <w:r>
        <w:rPr>
          <w:rStyle w:val="77"/>
          <w:lang/>
        </w:rPr>
        <w:instrText xml:space="preserve"> </w:instrText>
      </w:r>
      <w:r>
        <w:rPr>
          <w:lang/>
        </w:rPr>
        <w:instrText xml:space="preserve">HYPERLINK \l "_Toc18854399"</w:instrText>
      </w:r>
      <w:r>
        <w:rPr>
          <w:rStyle w:val="77"/>
          <w:lang/>
        </w:rPr>
        <w:instrText xml:space="preserve"> </w:instrText>
      </w:r>
      <w:r>
        <w:rPr>
          <w:rStyle w:val="77"/>
          <w:lang/>
        </w:rPr>
        <w:fldChar w:fldCharType="separate"/>
      </w:r>
      <w:r>
        <w:rPr>
          <w:rStyle w:val="77"/>
          <w:lang/>
        </w:rPr>
        <w:t>第二章  投标人须知</w:t>
      </w:r>
      <w:r>
        <w:rPr>
          <w:lang/>
        </w:rPr>
        <w:tab/>
      </w:r>
      <w:r>
        <w:rPr>
          <w:lang/>
        </w:rPr>
        <w:fldChar w:fldCharType="begin"/>
      </w:r>
      <w:r>
        <w:rPr>
          <w:lang/>
        </w:rPr>
        <w:instrText xml:space="preserve"> PAGEREF _Toc18854399 \h </w:instrText>
      </w:r>
      <w:r>
        <w:rPr>
          <w:lang/>
        </w:rPr>
        <w:fldChar w:fldCharType="separate"/>
      </w:r>
      <w:r>
        <w:rPr>
          <w:lang/>
        </w:rPr>
        <w:t>4</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"_Toc18854400"</w:instrText>
      </w:r>
      <w:r>
        <w:rPr>
          <w:rStyle w:val="77"/>
          <w:lang/>
        </w:rPr>
        <w:instrText xml:space="preserve"> </w:instrText>
      </w:r>
      <w:r>
        <w:rPr>
          <w:rStyle w:val="77"/>
          <w:lang/>
        </w:rPr>
        <w:fldChar w:fldCharType="separate"/>
      </w:r>
      <w:r>
        <w:rPr>
          <w:rStyle w:val="77"/>
          <w:lang/>
        </w:rPr>
        <w:t>前附表</w:t>
      </w:r>
      <w:r>
        <w:rPr>
          <w:lang/>
        </w:rPr>
        <w:tab/>
      </w:r>
      <w:r>
        <w:rPr>
          <w:lang/>
        </w:rPr>
        <w:fldChar w:fldCharType="begin"/>
      </w:r>
      <w:r>
        <w:rPr>
          <w:lang/>
        </w:rPr>
        <w:instrText xml:space="preserve"> PAGEREF _Toc18854400 \h </w:instrText>
      </w:r>
      <w:r>
        <w:rPr>
          <w:lang/>
        </w:rPr>
        <w:fldChar w:fldCharType="separate"/>
      </w:r>
      <w:r>
        <w:rPr>
          <w:lang/>
        </w:rPr>
        <w:t>4</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"_Toc18854401"</w:instrText>
      </w:r>
      <w:r>
        <w:rPr>
          <w:rStyle w:val="77"/>
          <w:lang/>
        </w:rPr>
        <w:instrText xml:space="preserve"> </w:instrText>
      </w:r>
      <w:r>
        <w:rPr>
          <w:rStyle w:val="77"/>
          <w:lang/>
        </w:rPr>
        <w:fldChar w:fldCharType="separate"/>
      </w:r>
      <w:r>
        <w:rPr>
          <w:rStyle w:val="77"/>
          <w:lang/>
        </w:rPr>
        <w:t>一、总则</w:t>
      </w:r>
      <w:r>
        <w:rPr>
          <w:lang/>
        </w:rPr>
        <w:tab/>
      </w:r>
      <w:r>
        <w:rPr>
          <w:lang/>
        </w:rPr>
        <w:fldChar w:fldCharType="begin"/>
      </w:r>
      <w:r>
        <w:rPr>
          <w:lang/>
        </w:rPr>
        <w:instrText xml:space="preserve"> PAGEREF _Toc18854401 \h </w:instrText>
      </w:r>
      <w:r>
        <w:rPr>
          <w:lang/>
        </w:rPr>
        <w:fldChar w:fldCharType="separate"/>
      </w:r>
      <w:r>
        <w:rPr>
          <w:lang/>
        </w:rPr>
        <w:t>7</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"_Toc18854402"</w:instrText>
      </w:r>
      <w:r>
        <w:rPr>
          <w:rStyle w:val="77"/>
          <w:lang/>
        </w:rPr>
        <w:instrText xml:space="preserve"> </w:instrText>
      </w:r>
      <w:r>
        <w:rPr>
          <w:rStyle w:val="77"/>
          <w:lang/>
        </w:rPr>
        <w:fldChar w:fldCharType="separate"/>
      </w:r>
      <w:r>
        <w:rPr>
          <w:rStyle w:val="77"/>
          <w:lang/>
        </w:rPr>
        <w:t>二、招标文件</w:t>
      </w:r>
      <w:r>
        <w:rPr>
          <w:lang/>
        </w:rPr>
        <w:tab/>
      </w:r>
      <w:r>
        <w:rPr>
          <w:lang/>
        </w:rPr>
        <w:fldChar w:fldCharType="begin"/>
      </w:r>
      <w:r>
        <w:rPr>
          <w:lang/>
        </w:rPr>
        <w:instrText xml:space="preserve"> PAGEREF _Toc18854402 \h </w:instrText>
      </w:r>
      <w:r>
        <w:rPr>
          <w:lang/>
        </w:rPr>
        <w:fldChar w:fldCharType="separate"/>
      </w:r>
      <w:r>
        <w:rPr>
          <w:lang/>
        </w:rPr>
        <w:t>8</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"_Toc18854403"</w:instrText>
      </w:r>
      <w:r>
        <w:rPr>
          <w:rStyle w:val="77"/>
          <w:lang/>
        </w:rPr>
        <w:instrText xml:space="preserve"> </w:instrText>
      </w:r>
      <w:r>
        <w:rPr>
          <w:rStyle w:val="77"/>
          <w:lang/>
        </w:rPr>
        <w:fldChar w:fldCharType="separate"/>
      </w:r>
      <w:r>
        <w:rPr>
          <w:rStyle w:val="77"/>
          <w:lang/>
        </w:rPr>
        <w:t>三、投标文件的编制</w:t>
      </w:r>
      <w:r>
        <w:rPr>
          <w:lang/>
        </w:rPr>
        <w:tab/>
      </w:r>
      <w:r>
        <w:rPr>
          <w:lang/>
        </w:rPr>
        <w:fldChar w:fldCharType="begin"/>
      </w:r>
      <w:r>
        <w:rPr>
          <w:lang/>
        </w:rPr>
        <w:instrText xml:space="preserve"> PAGEREF _Toc18854403 \h </w:instrText>
      </w:r>
      <w:r>
        <w:rPr>
          <w:lang/>
        </w:rPr>
        <w:fldChar w:fldCharType="separate"/>
      </w:r>
      <w:r>
        <w:rPr>
          <w:lang/>
        </w:rPr>
        <w:t>9</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"_Toc18854404"</w:instrText>
      </w:r>
      <w:r>
        <w:rPr>
          <w:rStyle w:val="77"/>
          <w:lang/>
        </w:rPr>
        <w:instrText xml:space="preserve"> </w:instrText>
      </w:r>
      <w:r>
        <w:rPr>
          <w:rStyle w:val="77"/>
          <w:lang/>
        </w:rPr>
        <w:fldChar w:fldCharType="separate"/>
      </w:r>
      <w:r>
        <w:rPr>
          <w:rStyle w:val="77"/>
          <w:lang/>
        </w:rPr>
        <w:t>四、开标</w:t>
      </w:r>
      <w:r>
        <w:rPr>
          <w:lang/>
        </w:rPr>
        <w:tab/>
      </w:r>
      <w:r>
        <w:rPr>
          <w:lang/>
        </w:rPr>
        <w:fldChar w:fldCharType="begin"/>
      </w:r>
      <w:r>
        <w:rPr>
          <w:lang/>
        </w:rPr>
        <w:instrText xml:space="preserve"> PAGEREF _Toc18854404 \h </w:instrText>
      </w:r>
      <w:r>
        <w:rPr>
          <w:lang/>
        </w:rPr>
        <w:fldChar w:fldCharType="separate"/>
      </w:r>
      <w:r>
        <w:rPr>
          <w:lang/>
        </w:rPr>
        <w:t>13</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"_Toc18854405"</w:instrText>
      </w:r>
      <w:r>
        <w:rPr>
          <w:rStyle w:val="77"/>
          <w:lang/>
        </w:rPr>
        <w:instrText xml:space="preserve"> </w:instrText>
      </w:r>
      <w:r>
        <w:rPr>
          <w:rStyle w:val="77"/>
          <w:lang/>
        </w:rPr>
        <w:fldChar w:fldCharType="separate"/>
      </w:r>
      <w:r>
        <w:rPr>
          <w:rStyle w:val="77"/>
          <w:lang/>
        </w:rPr>
        <w:t>五、评标</w:t>
      </w:r>
      <w:r>
        <w:rPr>
          <w:lang/>
        </w:rPr>
        <w:tab/>
      </w:r>
      <w:r>
        <w:rPr>
          <w:lang/>
        </w:rPr>
        <w:fldChar w:fldCharType="begin"/>
      </w:r>
      <w:r>
        <w:rPr>
          <w:lang/>
        </w:rPr>
        <w:instrText xml:space="preserve"> PAGEREF _Toc18854405 \h </w:instrText>
      </w:r>
      <w:r>
        <w:rPr>
          <w:lang/>
        </w:rPr>
        <w:fldChar w:fldCharType="separate"/>
      </w:r>
      <w:r>
        <w:rPr>
          <w:lang/>
        </w:rPr>
        <w:t>14</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"_Toc18854406"</w:instrText>
      </w:r>
      <w:r>
        <w:rPr>
          <w:rStyle w:val="77"/>
          <w:lang/>
        </w:rPr>
        <w:instrText xml:space="preserve"> </w:instrText>
      </w:r>
      <w:r>
        <w:rPr>
          <w:rStyle w:val="77"/>
          <w:lang/>
        </w:rPr>
        <w:fldChar w:fldCharType="separate"/>
      </w:r>
      <w:r>
        <w:rPr>
          <w:rStyle w:val="77"/>
          <w:rFonts w:ascii="Times New Roman" w:hAnsi="Times New Roman"/>
          <w:lang/>
        </w:rPr>
        <w:t>六、定标</w:t>
      </w:r>
      <w:r>
        <w:rPr>
          <w:lang/>
        </w:rPr>
        <w:tab/>
      </w:r>
      <w:r>
        <w:rPr>
          <w:lang/>
        </w:rPr>
        <w:fldChar w:fldCharType="begin"/>
      </w:r>
      <w:r>
        <w:rPr>
          <w:lang/>
        </w:rPr>
        <w:instrText xml:space="preserve"> PAGEREF _Toc18854406 \h </w:instrText>
      </w:r>
      <w:r>
        <w:rPr>
          <w:lang/>
        </w:rPr>
        <w:fldChar w:fldCharType="separate"/>
      </w:r>
      <w:r>
        <w:rPr>
          <w:lang/>
        </w:rPr>
        <w:t>16</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"_Toc18854407"</w:instrText>
      </w:r>
      <w:r>
        <w:rPr>
          <w:rStyle w:val="77"/>
          <w:lang/>
        </w:rPr>
        <w:instrText xml:space="preserve"> </w:instrText>
      </w:r>
      <w:r>
        <w:rPr>
          <w:rStyle w:val="77"/>
          <w:lang/>
        </w:rPr>
        <w:fldChar w:fldCharType="separate"/>
      </w:r>
      <w:r>
        <w:rPr>
          <w:rStyle w:val="77"/>
          <w:rFonts w:ascii="Times New Roman" w:hAnsi="Times New Roman"/>
          <w:lang/>
        </w:rPr>
        <w:t>七、合同授予</w:t>
      </w:r>
      <w:r>
        <w:rPr>
          <w:lang/>
        </w:rPr>
        <w:tab/>
      </w:r>
      <w:r>
        <w:rPr>
          <w:lang/>
        </w:rPr>
        <w:fldChar w:fldCharType="begin"/>
      </w:r>
      <w:r>
        <w:rPr>
          <w:lang/>
        </w:rPr>
        <w:instrText xml:space="preserve"> PAGEREF _Toc18854407 \h </w:instrText>
      </w:r>
      <w:r>
        <w:rPr>
          <w:lang/>
        </w:rPr>
        <w:fldChar w:fldCharType="separate"/>
      </w:r>
      <w:r>
        <w:rPr>
          <w:lang/>
        </w:rPr>
        <w:t>16</w:t>
      </w:r>
      <w:r>
        <w:rPr>
          <w:lang/>
        </w:rPr>
        <w:fldChar w:fldCharType="end"/>
      </w:r>
      <w:r>
        <w:rPr>
          <w:rStyle w:val="77"/>
          <w:lang/>
        </w:rPr>
        <w:fldChar w:fldCharType="end"/>
      </w:r>
    </w:p>
    <w:p>
      <w:pPr>
        <w:pStyle w:val="47"/>
        <w:tabs>
          <w:tab w:val="right" w:leader="dot" w:pos="8494"/>
        </w:tabs>
        <w:rPr>
          <w:rFonts w:ascii="等线" w:hAnsi="等线" w:eastAsia="等线"/>
          <w:szCs w:val="22"/>
          <w:lang/>
        </w:rPr>
      </w:pPr>
      <w:r>
        <w:rPr>
          <w:rStyle w:val="77"/>
          <w:lang/>
        </w:rPr>
        <w:fldChar w:fldCharType="begin"/>
      </w:r>
      <w:r>
        <w:rPr>
          <w:rStyle w:val="77"/>
          <w:lang/>
        </w:rPr>
        <w:instrText xml:space="preserve"> </w:instrText>
      </w:r>
      <w:r>
        <w:rPr>
          <w:lang/>
        </w:rPr>
        <w:instrText xml:space="preserve">HYPERLINK \l "_Toc18854408"</w:instrText>
      </w:r>
      <w:r>
        <w:rPr>
          <w:rStyle w:val="77"/>
          <w:lang/>
        </w:rPr>
        <w:instrText xml:space="preserve"> </w:instrText>
      </w:r>
      <w:r>
        <w:rPr>
          <w:rStyle w:val="77"/>
          <w:lang/>
        </w:rPr>
        <w:fldChar w:fldCharType="separate"/>
      </w:r>
      <w:r>
        <w:rPr>
          <w:rStyle w:val="77"/>
          <w:lang/>
        </w:rPr>
        <w:t>第三章  评标办法</w:t>
      </w:r>
      <w:r>
        <w:rPr>
          <w:lang/>
        </w:rPr>
        <w:tab/>
      </w:r>
      <w:r>
        <w:rPr>
          <w:lang/>
        </w:rPr>
        <w:fldChar w:fldCharType="begin"/>
      </w:r>
      <w:r>
        <w:rPr>
          <w:lang/>
        </w:rPr>
        <w:instrText xml:space="preserve"> PAGEREF _Toc18854408 \h </w:instrText>
      </w:r>
      <w:r>
        <w:rPr>
          <w:lang/>
        </w:rPr>
        <w:fldChar w:fldCharType="separate"/>
      </w:r>
      <w:r>
        <w:rPr>
          <w:lang/>
        </w:rPr>
        <w:t>18</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"_Toc18854409"</w:instrText>
      </w:r>
      <w:r>
        <w:rPr>
          <w:rStyle w:val="77"/>
          <w:lang/>
        </w:rPr>
        <w:instrText xml:space="preserve"> </w:instrText>
      </w:r>
      <w:r>
        <w:rPr>
          <w:rStyle w:val="77"/>
          <w:lang/>
        </w:rPr>
        <w:fldChar w:fldCharType="separate"/>
      </w:r>
      <w:r>
        <w:rPr>
          <w:rStyle w:val="77"/>
          <w:lang/>
        </w:rPr>
        <w:t>一、总则</w:t>
      </w:r>
      <w:r>
        <w:rPr>
          <w:lang/>
        </w:rPr>
        <w:tab/>
      </w:r>
      <w:r>
        <w:rPr>
          <w:lang/>
        </w:rPr>
        <w:fldChar w:fldCharType="begin"/>
      </w:r>
      <w:r>
        <w:rPr>
          <w:lang/>
        </w:rPr>
        <w:instrText xml:space="preserve"> PAGEREF _Toc18854409 \h </w:instrText>
      </w:r>
      <w:r>
        <w:rPr>
          <w:lang/>
        </w:rPr>
        <w:fldChar w:fldCharType="separate"/>
      </w:r>
      <w:r>
        <w:rPr>
          <w:lang/>
        </w:rPr>
        <w:t>18</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"_Toc18854410"</w:instrText>
      </w:r>
      <w:r>
        <w:rPr>
          <w:rStyle w:val="77"/>
          <w:lang/>
        </w:rPr>
        <w:instrText xml:space="preserve"> </w:instrText>
      </w:r>
      <w:r>
        <w:rPr>
          <w:rStyle w:val="77"/>
          <w:lang/>
        </w:rPr>
        <w:fldChar w:fldCharType="separate"/>
      </w:r>
      <w:r>
        <w:rPr>
          <w:rStyle w:val="77"/>
          <w:lang/>
        </w:rPr>
        <w:t>二、资格审查</w:t>
      </w:r>
      <w:r>
        <w:rPr>
          <w:lang/>
        </w:rPr>
        <w:tab/>
      </w:r>
      <w:r>
        <w:rPr>
          <w:lang/>
        </w:rPr>
        <w:fldChar w:fldCharType="begin"/>
      </w:r>
      <w:r>
        <w:rPr>
          <w:lang/>
        </w:rPr>
        <w:instrText xml:space="preserve"> PAGEREF _Toc18854410 \h </w:instrText>
      </w:r>
      <w:r>
        <w:rPr>
          <w:lang/>
        </w:rPr>
        <w:fldChar w:fldCharType="separate"/>
      </w:r>
      <w:r>
        <w:rPr>
          <w:lang/>
        </w:rPr>
        <w:t>18</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"_Toc18854411"</w:instrText>
      </w:r>
      <w:r>
        <w:rPr>
          <w:rStyle w:val="77"/>
          <w:lang/>
        </w:rPr>
        <w:instrText xml:space="preserve"> </w:instrText>
      </w:r>
      <w:r>
        <w:rPr>
          <w:rStyle w:val="77"/>
          <w:lang/>
        </w:rPr>
        <w:fldChar w:fldCharType="separate"/>
      </w:r>
      <w:r>
        <w:rPr>
          <w:rStyle w:val="77"/>
          <w:lang/>
        </w:rPr>
        <w:t>三、符合性审查</w:t>
      </w:r>
      <w:r>
        <w:rPr>
          <w:lang/>
        </w:rPr>
        <w:tab/>
      </w:r>
      <w:r>
        <w:rPr>
          <w:lang/>
        </w:rPr>
        <w:fldChar w:fldCharType="begin"/>
      </w:r>
      <w:r>
        <w:rPr>
          <w:lang/>
        </w:rPr>
        <w:instrText xml:space="preserve"> PAGEREF _Toc18854411 \h </w:instrText>
      </w:r>
      <w:r>
        <w:rPr>
          <w:lang/>
        </w:rPr>
        <w:fldChar w:fldCharType="separate"/>
      </w:r>
      <w:r>
        <w:rPr>
          <w:lang/>
        </w:rPr>
        <w:t>18</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"_Toc18854412"</w:instrText>
      </w:r>
      <w:r>
        <w:rPr>
          <w:rStyle w:val="77"/>
          <w:lang/>
        </w:rPr>
        <w:instrText xml:space="preserve"> </w:instrText>
      </w:r>
      <w:r>
        <w:rPr>
          <w:rStyle w:val="77"/>
          <w:lang/>
        </w:rPr>
        <w:fldChar w:fldCharType="separate"/>
      </w:r>
      <w:r>
        <w:rPr>
          <w:rStyle w:val="77"/>
          <w:lang/>
        </w:rPr>
        <w:t>四、商务技术及政府采购政策详细评审</w:t>
      </w:r>
      <w:r>
        <w:rPr>
          <w:lang/>
        </w:rPr>
        <w:tab/>
      </w:r>
      <w:r>
        <w:rPr>
          <w:lang/>
        </w:rPr>
        <w:fldChar w:fldCharType="begin"/>
      </w:r>
      <w:r>
        <w:rPr>
          <w:lang/>
        </w:rPr>
        <w:instrText xml:space="preserve"> PAGEREF _Toc18854412 \h </w:instrText>
      </w:r>
      <w:r>
        <w:rPr>
          <w:lang/>
        </w:rPr>
        <w:fldChar w:fldCharType="separate"/>
      </w:r>
      <w:r>
        <w:rPr>
          <w:lang/>
        </w:rPr>
        <w:t>19</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"_Toc18854413"</w:instrText>
      </w:r>
      <w:r>
        <w:rPr>
          <w:rStyle w:val="77"/>
          <w:lang/>
        </w:rPr>
        <w:instrText xml:space="preserve"> </w:instrText>
      </w:r>
      <w:r>
        <w:rPr>
          <w:rStyle w:val="77"/>
          <w:lang/>
        </w:rPr>
        <w:fldChar w:fldCharType="separate"/>
      </w:r>
      <w:r>
        <w:rPr>
          <w:rStyle w:val="77"/>
          <w:lang/>
        </w:rPr>
        <w:t>五、评分细则</w:t>
      </w:r>
      <w:r>
        <w:rPr>
          <w:lang/>
        </w:rPr>
        <w:tab/>
      </w:r>
      <w:r>
        <w:rPr>
          <w:lang/>
        </w:rPr>
        <w:fldChar w:fldCharType="begin"/>
      </w:r>
      <w:r>
        <w:rPr>
          <w:lang/>
        </w:rPr>
        <w:instrText xml:space="preserve"> PAGEREF _Toc18854413 \h </w:instrText>
      </w:r>
      <w:r>
        <w:rPr>
          <w:lang/>
        </w:rPr>
        <w:fldChar w:fldCharType="separate"/>
      </w:r>
      <w:r>
        <w:rPr>
          <w:lang/>
        </w:rPr>
        <w:t>21</w:t>
      </w:r>
      <w:r>
        <w:rPr>
          <w:lang/>
        </w:rPr>
        <w:fldChar w:fldCharType="end"/>
      </w:r>
      <w:r>
        <w:rPr>
          <w:rStyle w:val="77"/>
          <w:lang/>
        </w:rPr>
        <w:fldChar w:fldCharType="end"/>
      </w:r>
    </w:p>
    <w:p>
      <w:pPr>
        <w:pStyle w:val="47"/>
        <w:tabs>
          <w:tab w:val="right" w:leader="dot" w:pos="8494"/>
        </w:tabs>
        <w:rPr>
          <w:rFonts w:ascii="等线" w:hAnsi="等线" w:eastAsia="等线"/>
          <w:szCs w:val="22"/>
          <w:lang/>
        </w:rPr>
      </w:pPr>
      <w:r>
        <w:rPr>
          <w:rStyle w:val="77"/>
          <w:lang/>
        </w:rPr>
        <w:fldChar w:fldCharType="begin"/>
      </w:r>
      <w:r>
        <w:rPr>
          <w:rStyle w:val="77"/>
          <w:lang/>
        </w:rPr>
        <w:instrText xml:space="preserve"> </w:instrText>
      </w:r>
      <w:r>
        <w:rPr>
          <w:lang/>
        </w:rPr>
        <w:instrText xml:space="preserve">HYPERLINK \l "_Toc18854414"</w:instrText>
      </w:r>
      <w:r>
        <w:rPr>
          <w:rStyle w:val="77"/>
          <w:lang/>
        </w:rPr>
        <w:instrText xml:space="preserve"> </w:instrText>
      </w:r>
      <w:r>
        <w:rPr>
          <w:rStyle w:val="77"/>
          <w:lang/>
        </w:rPr>
        <w:fldChar w:fldCharType="separate"/>
      </w:r>
      <w:r>
        <w:rPr>
          <w:rStyle w:val="77"/>
          <w:lang/>
        </w:rPr>
        <w:t>第四章  招标内容及需求</w:t>
      </w:r>
      <w:r>
        <w:rPr>
          <w:lang/>
        </w:rPr>
        <w:tab/>
      </w:r>
      <w:r>
        <w:rPr>
          <w:lang/>
        </w:rPr>
        <w:fldChar w:fldCharType="begin"/>
      </w:r>
      <w:r>
        <w:rPr>
          <w:lang/>
        </w:rPr>
        <w:instrText xml:space="preserve"> PAGEREF _Toc18854414 \h </w:instrText>
      </w:r>
      <w:r>
        <w:rPr>
          <w:lang/>
        </w:rPr>
        <w:fldChar w:fldCharType="separate"/>
      </w:r>
      <w:r>
        <w:rPr>
          <w:lang/>
        </w:rPr>
        <w:t>24</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"_Toc18854415"</w:instrText>
      </w:r>
      <w:r>
        <w:rPr>
          <w:rStyle w:val="77"/>
          <w:lang/>
        </w:rPr>
        <w:instrText xml:space="preserve"> </w:instrText>
      </w:r>
      <w:r>
        <w:rPr>
          <w:rStyle w:val="77"/>
          <w:lang/>
        </w:rPr>
        <w:fldChar w:fldCharType="separate"/>
      </w:r>
      <w:r>
        <w:rPr>
          <w:rStyle w:val="77"/>
          <w:lang/>
        </w:rPr>
        <w:t>I、项目整体介绍</w:t>
      </w:r>
      <w:r>
        <w:rPr>
          <w:lang/>
        </w:rPr>
        <w:tab/>
      </w:r>
      <w:r>
        <w:rPr>
          <w:lang/>
        </w:rPr>
        <w:fldChar w:fldCharType="begin"/>
      </w:r>
      <w:r>
        <w:rPr>
          <w:lang/>
        </w:rPr>
        <w:instrText xml:space="preserve"> PAGEREF _Toc18854415 \h </w:instrText>
      </w:r>
      <w:r>
        <w:rPr>
          <w:lang/>
        </w:rPr>
        <w:fldChar w:fldCharType="separate"/>
      </w:r>
      <w:r>
        <w:rPr>
          <w:lang/>
        </w:rPr>
        <w:t>24</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"_Toc18854416"</w:instrText>
      </w:r>
      <w:r>
        <w:rPr>
          <w:rStyle w:val="77"/>
          <w:lang/>
        </w:rPr>
        <w:instrText xml:space="preserve"> </w:instrText>
      </w:r>
      <w:r>
        <w:rPr>
          <w:rStyle w:val="77"/>
          <w:lang/>
        </w:rPr>
        <w:fldChar w:fldCharType="separate"/>
      </w:r>
      <w:r>
        <w:rPr>
          <w:rStyle w:val="77"/>
          <w:lang/>
        </w:rPr>
        <w:t>II、人员需求情况</w:t>
      </w:r>
      <w:r>
        <w:rPr>
          <w:lang/>
        </w:rPr>
        <w:tab/>
      </w:r>
      <w:r>
        <w:rPr>
          <w:lang/>
        </w:rPr>
        <w:fldChar w:fldCharType="begin"/>
      </w:r>
      <w:r>
        <w:rPr>
          <w:lang/>
        </w:rPr>
        <w:instrText xml:space="preserve"> PAGEREF _Toc18854416 \h </w:instrText>
      </w:r>
      <w:r>
        <w:rPr>
          <w:lang/>
        </w:rPr>
        <w:fldChar w:fldCharType="separate"/>
      </w:r>
      <w:r>
        <w:rPr>
          <w:lang/>
        </w:rPr>
        <w:t>25</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"_Toc18854417"</w:instrText>
      </w:r>
      <w:r>
        <w:rPr>
          <w:rStyle w:val="77"/>
          <w:lang/>
        </w:rPr>
        <w:instrText xml:space="preserve"> </w:instrText>
      </w:r>
      <w:r>
        <w:rPr>
          <w:rStyle w:val="77"/>
          <w:lang/>
        </w:rPr>
        <w:fldChar w:fldCharType="separate"/>
      </w:r>
      <w:r>
        <w:rPr>
          <w:rStyle w:val="77"/>
          <w:rFonts w:ascii="Times New Roman" w:hAnsi="Times New Roman"/>
          <w:lang/>
        </w:rPr>
        <w:t>III、服务需求</w:t>
      </w:r>
      <w:r>
        <w:rPr>
          <w:lang/>
        </w:rPr>
        <w:tab/>
      </w:r>
      <w:r>
        <w:rPr>
          <w:lang/>
        </w:rPr>
        <w:fldChar w:fldCharType="begin"/>
      </w:r>
      <w:r>
        <w:rPr>
          <w:lang/>
        </w:rPr>
        <w:instrText xml:space="preserve"> PAGEREF _Toc18854417 \h </w:instrText>
      </w:r>
      <w:r>
        <w:rPr>
          <w:lang/>
        </w:rPr>
        <w:fldChar w:fldCharType="separate"/>
      </w:r>
      <w:r>
        <w:rPr>
          <w:lang/>
        </w:rPr>
        <w:t>30</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"_Toc18854418"</w:instrText>
      </w:r>
      <w:r>
        <w:rPr>
          <w:rStyle w:val="77"/>
          <w:lang/>
        </w:rPr>
        <w:instrText xml:space="preserve"> </w:instrText>
      </w:r>
      <w:r>
        <w:rPr>
          <w:rStyle w:val="77"/>
          <w:lang/>
        </w:rPr>
        <w:fldChar w:fldCharType="separate"/>
      </w:r>
      <w:r>
        <w:rPr>
          <w:rStyle w:val="77"/>
          <w:rFonts w:ascii="宋体" w:hAnsi="宋体"/>
          <w:lang/>
        </w:rPr>
        <w:t>一、卫生保洁服务需求：</w:t>
      </w:r>
      <w:r>
        <w:rPr>
          <w:lang/>
        </w:rPr>
        <w:tab/>
      </w:r>
      <w:r>
        <w:rPr>
          <w:lang/>
        </w:rPr>
        <w:fldChar w:fldCharType="begin"/>
      </w:r>
      <w:r>
        <w:rPr>
          <w:lang/>
        </w:rPr>
        <w:instrText xml:space="preserve"> PAGEREF _Toc18854418 \h </w:instrText>
      </w:r>
      <w:r>
        <w:rPr>
          <w:lang/>
        </w:rPr>
        <w:fldChar w:fldCharType="separate"/>
      </w:r>
      <w:r>
        <w:rPr>
          <w:lang/>
        </w:rPr>
        <w:t>30</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"_Toc18854419"</w:instrText>
      </w:r>
      <w:r>
        <w:rPr>
          <w:rStyle w:val="77"/>
          <w:lang/>
        </w:rPr>
        <w:instrText xml:space="preserve"> </w:instrText>
      </w:r>
      <w:r>
        <w:rPr>
          <w:rStyle w:val="77"/>
          <w:lang/>
        </w:rPr>
        <w:fldChar w:fldCharType="separate"/>
      </w:r>
      <w:r>
        <w:rPr>
          <w:rStyle w:val="77"/>
          <w:lang/>
        </w:rPr>
        <w:t>二、保安服务要求</w:t>
      </w:r>
      <w:r>
        <w:rPr>
          <w:lang/>
        </w:rPr>
        <w:tab/>
      </w:r>
      <w:r>
        <w:rPr>
          <w:lang/>
        </w:rPr>
        <w:fldChar w:fldCharType="begin"/>
      </w:r>
      <w:r>
        <w:rPr>
          <w:lang/>
        </w:rPr>
        <w:instrText xml:space="preserve"> PAGEREF _Toc18854419 \h </w:instrText>
      </w:r>
      <w:r>
        <w:rPr>
          <w:lang/>
        </w:rPr>
        <w:fldChar w:fldCharType="separate"/>
      </w:r>
      <w:r>
        <w:rPr>
          <w:lang/>
        </w:rPr>
        <w:t>63</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"_Toc18854420"</w:instrText>
      </w:r>
      <w:r>
        <w:rPr>
          <w:rStyle w:val="77"/>
          <w:lang/>
        </w:rPr>
        <w:instrText xml:space="preserve"> </w:instrText>
      </w:r>
      <w:r>
        <w:rPr>
          <w:rStyle w:val="77"/>
          <w:lang/>
        </w:rPr>
        <w:fldChar w:fldCharType="separate"/>
      </w:r>
      <w:r>
        <w:rPr>
          <w:rStyle w:val="77"/>
          <w:lang/>
        </w:rPr>
        <w:t>三、维修人员服务需求</w:t>
      </w:r>
      <w:r>
        <w:rPr>
          <w:lang/>
        </w:rPr>
        <w:tab/>
      </w:r>
      <w:r>
        <w:rPr>
          <w:lang/>
        </w:rPr>
        <w:fldChar w:fldCharType="begin"/>
      </w:r>
      <w:r>
        <w:rPr>
          <w:lang/>
        </w:rPr>
        <w:instrText xml:space="preserve"> PAGEREF _Toc18854420 \h </w:instrText>
      </w:r>
      <w:r>
        <w:rPr>
          <w:lang/>
        </w:rPr>
        <w:fldChar w:fldCharType="separate"/>
      </w:r>
      <w:r>
        <w:rPr>
          <w:lang/>
        </w:rPr>
        <w:t>83</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"_Toc18854421"</w:instrText>
      </w:r>
      <w:r>
        <w:rPr>
          <w:rStyle w:val="77"/>
          <w:lang/>
        </w:rPr>
        <w:instrText xml:space="preserve"> </w:instrText>
      </w:r>
      <w:r>
        <w:rPr>
          <w:rStyle w:val="77"/>
          <w:lang/>
        </w:rPr>
        <w:fldChar w:fldCharType="separate"/>
      </w:r>
      <w:r>
        <w:rPr>
          <w:rStyle w:val="77"/>
          <w:rFonts w:ascii="Times New Roman" w:hAnsi="Times New Roman"/>
          <w:lang/>
        </w:rPr>
        <w:t>四、厨房人员服务需求</w:t>
      </w:r>
      <w:r>
        <w:rPr>
          <w:lang/>
        </w:rPr>
        <w:tab/>
      </w:r>
      <w:r>
        <w:rPr>
          <w:lang/>
        </w:rPr>
        <w:fldChar w:fldCharType="begin"/>
      </w:r>
      <w:r>
        <w:rPr>
          <w:lang/>
        </w:rPr>
        <w:instrText xml:space="preserve"> PAGEREF _Toc18854421 \h </w:instrText>
      </w:r>
      <w:r>
        <w:rPr>
          <w:lang/>
        </w:rPr>
        <w:fldChar w:fldCharType="separate"/>
      </w:r>
      <w:r>
        <w:rPr>
          <w:lang/>
        </w:rPr>
        <w:t>89</w:t>
      </w:r>
      <w:r>
        <w:rPr>
          <w:lang/>
        </w:rPr>
        <w:fldChar w:fldCharType="end"/>
      </w:r>
      <w:r>
        <w:rPr>
          <w:rStyle w:val="77"/>
          <w:lang/>
        </w:rPr>
        <w:fldChar w:fldCharType="end"/>
      </w:r>
    </w:p>
    <w:p>
      <w:pPr>
        <w:pStyle w:val="47"/>
        <w:tabs>
          <w:tab w:val="right" w:leader="dot" w:pos="8494"/>
        </w:tabs>
        <w:rPr>
          <w:rFonts w:ascii="等线" w:hAnsi="等线" w:eastAsia="等线"/>
          <w:szCs w:val="22"/>
          <w:lang/>
        </w:rPr>
      </w:pPr>
      <w:r>
        <w:rPr>
          <w:rStyle w:val="77"/>
          <w:lang/>
        </w:rPr>
        <w:fldChar w:fldCharType="begin"/>
      </w:r>
      <w:r>
        <w:rPr>
          <w:rStyle w:val="77"/>
          <w:lang/>
        </w:rPr>
        <w:instrText xml:space="preserve"> </w:instrText>
      </w:r>
      <w:r>
        <w:rPr>
          <w:lang/>
        </w:rPr>
        <w:instrText xml:space="preserve">HYPERLINK \l "_Toc18854422"</w:instrText>
      </w:r>
      <w:r>
        <w:rPr>
          <w:rStyle w:val="77"/>
          <w:lang/>
        </w:rPr>
        <w:instrText xml:space="preserve"> </w:instrText>
      </w:r>
      <w:r>
        <w:rPr>
          <w:rStyle w:val="77"/>
          <w:lang/>
        </w:rPr>
        <w:fldChar w:fldCharType="separate"/>
      </w:r>
      <w:r>
        <w:rPr>
          <w:rStyle w:val="77"/>
          <w:lang/>
        </w:rPr>
        <w:t xml:space="preserve">第五章  </w:t>
      </w:r>
      <w:r>
        <w:rPr>
          <w:rStyle w:val="77"/>
          <w:bCs/>
          <w:lang/>
        </w:rPr>
        <w:t>合同主要条款</w:t>
      </w:r>
      <w:r>
        <w:rPr>
          <w:lang/>
        </w:rPr>
        <w:tab/>
      </w:r>
      <w:r>
        <w:rPr>
          <w:lang/>
        </w:rPr>
        <w:fldChar w:fldCharType="begin"/>
      </w:r>
      <w:r>
        <w:rPr>
          <w:lang/>
        </w:rPr>
        <w:instrText xml:space="preserve"> PAGEREF _Toc18854422 \h </w:instrText>
      </w:r>
      <w:r>
        <w:rPr>
          <w:lang/>
        </w:rPr>
        <w:fldChar w:fldCharType="separate"/>
      </w:r>
      <w:r>
        <w:rPr>
          <w:lang/>
        </w:rPr>
        <w:t>97</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"_Toc18854423"</w:instrText>
      </w:r>
      <w:r>
        <w:rPr>
          <w:rStyle w:val="77"/>
          <w:lang/>
        </w:rPr>
        <w:instrText xml:space="preserve"> </w:instrText>
      </w:r>
      <w:r>
        <w:rPr>
          <w:rStyle w:val="77"/>
          <w:lang/>
        </w:rPr>
        <w:fldChar w:fldCharType="separate"/>
      </w:r>
      <w:r>
        <w:rPr>
          <w:rStyle w:val="77"/>
          <w:lang/>
        </w:rPr>
        <w:t>保洁、安保等物业合同主要条款</w:t>
      </w:r>
      <w:r>
        <w:rPr>
          <w:lang/>
        </w:rPr>
        <w:tab/>
      </w:r>
      <w:r>
        <w:rPr>
          <w:lang/>
        </w:rPr>
        <w:fldChar w:fldCharType="begin"/>
      </w:r>
      <w:r>
        <w:rPr>
          <w:lang/>
        </w:rPr>
        <w:instrText xml:space="preserve"> PAGEREF _Toc18854423 \h </w:instrText>
      </w:r>
      <w:r>
        <w:rPr>
          <w:lang/>
        </w:rPr>
        <w:fldChar w:fldCharType="separate"/>
      </w:r>
      <w:r>
        <w:rPr>
          <w:lang/>
        </w:rPr>
        <w:t>97</w:t>
      </w:r>
      <w:r>
        <w:rPr>
          <w:lang/>
        </w:rPr>
        <w:fldChar w:fldCharType="end"/>
      </w:r>
      <w:r>
        <w:rPr>
          <w:rStyle w:val="77"/>
          <w:lang/>
        </w:rPr>
        <w:fldChar w:fldCharType="end"/>
      </w:r>
    </w:p>
    <w:p>
      <w:pPr>
        <w:pStyle w:val="47"/>
        <w:tabs>
          <w:tab w:val="right" w:leader="dot" w:pos="8494"/>
        </w:tabs>
        <w:rPr>
          <w:rFonts w:ascii="等线" w:hAnsi="等线" w:eastAsia="等线"/>
          <w:szCs w:val="22"/>
          <w:lang/>
        </w:rPr>
      </w:pPr>
      <w:r>
        <w:rPr>
          <w:rStyle w:val="77"/>
          <w:lang/>
        </w:rPr>
        <w:fldChar w:fldCharType="begin"/>
      </w:r>
      <w:r>
        <w:rPr>
          <w:rStyle w:val="77"/>
          <w:lang/>
        </w:rPr>
        <w:instrText xml:space="preserve"> </w:instrText>
      </w:r>
      <w:r>
        <w:rPr>
          <w:lang/>
        </w:rPr>
        <w:instrText xml:space="preserve">HYPERLINK \l "_Toc18854424"</w:instrText>
      </w:r>
      <w:r>
        <w:rPr>
          <w:rStyle w:val="77"/>
          <w:lang/>
        </w:rPr>
        <w:instrText xml:space="preserve"> </w:instrText>
      </w:r>
      <w:r>
        <w:rPr>
          <w:rStyle w:val="77"/>
          <w:lang/>
        </w:rPr>
        <w:fldChar w:fldCharType="separate"/>
      </w:r>
      <w:r>
        <w:rPr>
          <w:rStyle w:val="77"/>
          <w:lang/>
        </w:rPr>
        <w:t>第六章　投标文件格式</w:t>
      </w:r>
      <w:r>
        <w:rPr>
          <w:lang/>
        </w:rPr>
        <w:tab/>
      </w:r>
      <w:r>
        <w:rPr>
          <w:lang/>
        </w:rPr>
        <w:fldChar w:fldCharType="begin"/>
      </w:r>
      <w:r>
        <w:rPr>
          <w:lang/>
        </w:rPr>
        <w:instrText xml:space="preserve"> PAGEREF _Toc18854424 \h </w:instrText>
      </w:r>
      <w:r>
        <w:rPr>
          <w:lang/>
        </w:rPr>
        <w:fldChar w:fldCharType="separate"/>
      </w:r>
      <w:r>
        <w:rPr>
          <w:lang/>
        </w:rPr>
        <w:t>106</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"_Toc18854425"</w:instrText>
      </w:r>
      <w:r>
        <w:rPr>
          <w:rStyle w:val="77"/>
          <w:lang/>
        </w:rPr>
        <w:instrText xml:space="preserve"> </w:instrText>
      </w:r>
      <w:r>
        <w:rPr>
          <w:rStyle w:val="77"/>
          <w:lang/>
        </w:rPr>
        <w:fldChar w:fldCharType="separate"/>
      </w:r>
      <w:r>
        <w:rPr>
          <w:rStyle w:val="77"/>
          <w:lang/>
        </w:rPr>
        <w:t>1.资格证明文件/商务技术文件/报价</w:t>
      </w:r>
      <w:r>
        <w:rPr>
          <w:rStyle w:val="77"/>
          <w:bCs/>
          <w:lang/>
        </w:rPr>
        <w:t>文件的外包装封面格式</w:t>
      </w:r>
      <w:r>
        <w:rPr>
          <w:lang/>
        </w:rPr>
        <w:tab/>
      </w:r>
      <w:r>
        <w:rPr>
          <w:lang/>
        </w:rPr>
        <w:fldChar w:fldCharType="begin"/>
      </w:r>
      <w:r>
        <w:rPr>
          <w:lang/>
        </w:rPr>
        <w:instrText xml:space="preserve"> PAGEREF _Toc18854425 \h </w:instrText>
      </w:r>
      <w:r>
        <w:rPr>
          <w:lang/>
        </w:rPr>
        <w:fldChar w:fldCharType="separate"/>
      </w:r>
      <w:r>
        <w:rPr>
          <w:lang/>
        </w:rPr>
        <w:t>106</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"_Toc18854426"</w:instrText>
      </w:r>
      <w:r>
        <w:rPr>
          <w:rStyle w:val="77"/>
          <w:lang/>
        </w:rPr>
        <w:instrText xml:space="preserve"> </w:instrText>
      </w:r>
      <w:r>
        <w:rPr>
          <w:rStyle w:val="77"/>
          <w:lang/>
        </w:rPr>
        <w:fldChar w:fldCharType="separate"/>
      </w:r>
      <w:r>
        <w:rPr>
          <w:rStyle w:val="77"/>
          <w:lang/>
        </w:rPr>
        <w:t>2. 资格证明文件/商务技术文件/报价</w:t>
      </w:r>
      <w:r>
        <w:rPr>
          <w:rStyle w:val="77"/>
          <w:bCs/>
          <w:lang/>
        </w:rPr>
        <w:t>文件</w:t>
      </w:r>
      <w:r>
        <w:rPr>
          <w:rStyle w:val="77"/>
          <w:lang/>
        </w:rPr>
        <w:t>封面格式</w:t>
      </w:r>
      <w:r>
        <w:rPr>
          <w:lang/>
        </w:rPr>
        <w:tab/>
      </w:r>
      <w:r>
        <w:rPr>
          <w:lang/>
        </w:rPr>
        <w:fldChar w:fldCharType="begin"/>
      </w:r>
      <w:r>
        <w:rPr>
          <w:lang/>
        </w:rPr>
        <w:instrText xml:space="preserve"> PAGEREF _Toc18854426 \h </w:instrText>
      </w:r>
      <w:r>
        <w:rPr>
          <w:lang/>
        </w:rPr>
        <w:fldChar w:fldCharType="separate"/>
      </w:r>
      <w:r>
        <w:rPr>
          <w:lang/>
        </w:rPr>
        <w:t>107</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"_Toc18854427"</w:instrText>
      </w:r>
      <w:r>
        <w:rPr>
          <w:rStyle w:val="77"/>
          <w:lang/>
        </w:rPr>
        <w:instrText xml:space="preserve"> </w:instrText>
      </w:r>
      <w:r>
        <w:rPr>
          <w:rStyle w:val="77"/>
          <w:lang/>
        </w:rPr>
        <w:fldChar w:fldCharType="separate"/>
      </w:r>
      <w:r>
        <w:rPr>
          <w:rStyle w:val="77"/>
          <w:lang/>
        </w:rPr>
        <w:t>3. 资格证明文件目录</w:t>
      </w:r>
      <w:r>
        <w:rPr>
          <w:lang/>
        </w:rPr>
        <w:tab/>
      </w:r>
      <w:r>
        <w:rPr>
          <w:lang/>
        </w:rPr>
        <w:fldChar w:fldCharType="begin"/>
      </w:r>
      <w:r>
        <w:rPr>
          <w:lang/>
        </w:rPr>
        <w:instrText xml:space="preserve"> PAGEREF _Toc18854427 \h </w:instrText>
      </w:r>
      <w:r>
        <w:rPr>
          <w:lang/>
        </w:rPr>
        <w:fldChar w:fldCharType="separate"/>
      </w:r>
      <w:r>
        <w:rPr>
          <w:lang/>
        </w:rPr>
        <w:t>108</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"_Toc18854428"</w:instrText>
      </w:r>
      <w:r>
        <w:rPr>
          <w:rStyle w:val="77"/>
          <w:lang/>
        </w:rPr>
        <w:instrText xml:space="preserve"> </w:instrText>
      </w:r>
      <w:r>
        <w:rPr>
          <w:rStyle w:val="77"/>
          <w:lang/>
        </w:rPr>
        <w:fldChar w:fldCharType="separate"/>
      </w:r>
      <w:r>
        <w:rPr>
          <w:rStyle w:val="77"/>
          <w:lang/>
        </w:rPr>
        <w:t>4.投标声明书格式</w:t>
      </w:r>
      <w:r>
        <w:rPr>
          <w:lang/>
        </w:rPr>
        <w:tab/>
      </w:r>
      <w:r>
        <w:rPr>
          <w:lang/>
        </w:rPr>
        <w:fldChar w:fldCharType="begin"/>
      </w:r>
      <w:r>
        <w:rPr>
          <w:lang/>
        </w:rPr>
        <w:instrText xml:space="preserve"> PAGEREF _Toc18854428 \h </w:instrText>
      </w:r>
      <w:r>
        <w:rPr>
          <w:lang/>
        </w:rPr>
        <w:fldChar w:fldCharType="separate"/>
      </w:r>
      <w:r>
        <w:rPr>
          <w:lang/>
        </w:rPr>
        <w:t>109</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"_Toc18854429"</w:instrText>
      </w:r>
      <w:r>
        <w:rPr>
          <w:rStyle w:val="77"/>
          <w:lang/>
        </w:rPr>
        <w:instrText xml:space="preserve"> </w:instrText>
      </w:r>
      <w:r>
        <w:rPr>
          <w:rStyle w:val="77"/>
          <w:lang/>
        </w:rPr>
        <w:fldChar w:fldCharType="separate"/>
      </w:r>
      <w:r>
        <w:rPr>
          <w:rStyle w:val="77"/>
          <w:lang/>
        </w:rPr>
        <w:t>5. 商务、技术文</w:t>
      </w:r>
      <w:r>
        <w:rPr>
          <w:rStyle w:val="77"/>
          <w:bCs/>
          <w:lang/>
        </w:rPr>
        <w:t>件目录</w:t>
      </w:r>
      <w:r>
        <w:rPr>
          <w:lang/>
        </w:rPr>
        <w:tab/>
      </w:r>
      <w:r>
        <w:rPr>
          <w:lang/>
        </w:rPr>
        <w:fldChar w:fldCharType="begin"/>
      </w:r>
      <w:r>
        <w:rPr>
          <w:lang/>
        </w:rPr>
        <w:instrText xml:space="preserve"> PAGEREF _Toc18854429 \h </w:instrText>
      </w:r>
      <w:r>
        <w:rPr>
          <w:lang/>
        </w:rPr>
        <w:fldChar w:fldCharType="separate"/>
      </w:r>
      <w:r>
        <w:rPr>
          <w:lang/>
        </w:rPr>
        <w:t>111</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"_Toc18854430"</w:instrText>
      </w:r>
      <w:r>
        <w:rPr>
          <w:rStyle w:val="77"/>
          <w:lang/>
        </w:rPr>
        <w:instrText xml:space="preserve"> </w:instrText>
      </w:r>
      <w:r>
        <w:rPr>
          <w:rStyle w:val="77"/>
          <w:lang/>
        </w:rPr>
        <w:fldChar w:fldCharType="separate"/>
      </w:r>
      <w:r>
        <w:rPr>
          <w:rStyle w:val="77"/>
          <w:lang/>
        </w:rPr>
        <w:t>6.法定代表人授权委托书格式</w:t>
      </w:r>
      <w:r>
        <w:rPr>
          <w:lang/>
        </w:rPr>
        <w:tab/>
      </w:r>
      <w:r>
        <w:rPr>
          <w:lang/>
        </w:rPr>
        <w:fldChar w:fldCharType="begin"/>
      </w:r>
      <w:r>
        <w:rPr>
          <w:lang/>
        </w:rPr>
        <w:instrText xml:space="preserve"> PAGEREF _Toc18854430 \h </w:instrText>
      </w:r>
      <w:r>
        <w:rPr>
          <w:lang/>
        </w:rPr>
        <w:fldChar w:fldCharType="separate"/>
      </w:r>
      <w:r>
        <w:rPr>
          <w:lang/>
        </w:rPr>
        <w:t>113</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"_Toc18854431"</w:instrText>
      </w:r>
      <w:r>
        <w:rPr>
          <w:rStyle w:val="77"/>
          <w:lang/>
        </w:rPr>
        <w:instrText xml:space="preserve"> </w:instrText>
      </w:r>
      <w:r>
        <w:rPr>
          <w:rStyle w:val="77"/>
          <w:lang/>
        </w:rPr>
        <w:fldChar w:fldCharType="separate"/>
      </w:r>
      <w:r>
        <w:rPr>
          <w:rStyle w:val="77"/>
          <w:bCs/>
          <w:lang/>
        </w:rPr>
        <w:t>7.投标货物一览表</w:t>
      </w:r>
      <w:r>
        <w:rPr>
          <w:lang/>
        </w:rPr>
        <w:tab/>
      </w:r>
      <w:r>
        <w:rPr>
          <w:lang/>
        </w:rPr>
        <w:fldChar w:fldCharType="begin"/>
      </w:r>
      <w:r>
        <w:rPr>
          <w:lang/>
        </w:rPr>
        <w:instrText xml:space="preserve"> PAGEREF _Toc18854431 \h </w:instrText>
      </w:r>
      <w:r>
        <w:rPr>
          <w:lang/>
        </w:rPr>
        <w:fldChar w:fldCharType="separate"/>
      </w:r>
      <w:r>
        <w:rPr>
          <w:lang/>
        </w:rPr>
        <w:t>114</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"_Toc18854432"</w:instrText>
      </w:r>
      <w:r>
        <w:rPr>
          <w:rStyle w:val="77"/>
          <w:lang/>
        </w:rPr>
        <w:instrText xml:space="preserve"> </w:instrText>
      </w:r>
      <w:r>
        <w:rPr>
          <w:rStyle w:val="77"/>
          <w:lang/>
        </w:rPr>
        <w:fldChar w:fldCharType="separate"/>
      </w:r>
      <w:r>
        <w:rPr>
          <w:rStyle w:val="77"/>
          <w:rFonts w:ascii="Times New Roman" w:hAnsi="Times New Roman"/>
          <w:lang/>
        </w:rPr>
        <w:t>8. 公司简介</w:t>
      </w:r>
      <w:r>
        <w:rPr>
          <w:lang/>
        </w:rPr>
        <w:tab/>
      </w:r>
      <w:r>
        <w:rPr>
          <w:lang/>
        </w:rPr>
        <w:fldChar w:fldCharType="begin"/>
      </w:r>
      <w:r>
        <w:rPr>
          <w:lang/>
        </w:rPr>
        <w:instrText xml:space="preserve"> PAGEREF _Toc18854432 \h </w:instrText>
      </w:r>
      <w:r>
        <w:rPr>
          <w:lang/>
        </w:rPr>
        <w:fldChar w:fldCharType="separate"/>
      </w:r>
      <w:r>
        <w:rPr>
          <w:lang/>
        </w:rPr>
        <w:t>115</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"_Toc18854433"</w:instrText>
      </w:r>
      <w:r>
        <w:rPr>
          <w:rStyle w:val="77"/>
          <w:lang/>
        </w:rPr>
        <w:instrText xml:space="preserve"> </w:instrText>
      </w:r>
      <w:r>
        <w:rPr>
          <w:rStyle w:val="77"/>
          <w:lang/>
        </w:rPr>
        <w:fldChar w:fldCharType="separate"/>
      </w:r>
      <w:r>
        <w:rPr>
          <w:rStyle w:val="77"/>
          <w:lang/>
        </w:rPr>
        <w:t>9.技术响应表格式</w:t>
      </w:r>
      <w:r>
        <w:rPr>
          <w:lang/>
        </w:rPr>
        <w:tab/>
      </w:r>
      <w:r>
        <w:rPr>
          <w:lang/>
        </w:rPr>
        <w:fldChar w:fldCharType="begin"/>
      </w:r>
      <w:r>
        <w:rPr>
          <w:lang/>
        </w:rPr>
        <w:instrText xml:space="preserve"> PAGEREF _Toc18854433 \h </w:instrText>
      </w:r>
      <w:r>
        <w:rPr>
          <w:lang/>
        </w:rPr>
        <w:fldChar w:fldCharType="separate"/>
      </w:r>
      <w:r>
        <w:rPr>
          <w:lang/>
        </w:rPr>
        <w:t>116</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"_Toc18854434"</w:instrText>
      </w:r>
      <w:r>
        <w:rPr>
          <w:rStyle w:val="77"/>
          <w:lang/>
        </w:rPr>
        <w:instrText xml:space="preserve"> </w:instrText>
      </w:r>
      <w:r>
        <w:rPr>
          <w:rStyle w:val="77"/>
          <w:lang/>
        </w:rPr>
        <w:fldChar w:fldCharType="separate"/>
      </w:r>
      <w:r>
        <w:rPr>
          <w:rStyle w:val="77"/>
          <w:lang/>
        </w:rPr>
        <w:t>10.商务响应表格式</w:t>
      </w:r>
      <w:r>
        <w:rPr>
          <w:lang/>
        </w:rPr>
        <w:tab/>
      </w:r>
      <w:r>
        <w:rPr>
          <w:lang/>
        </w:rPr>
        <w:fldChar w:fldCharType="begin"/>
      </w:r>
      <w:r>
        <w:rPr>
          <w:lang/>
        </w:rPr>
        <w:instrText xml:space="preserve"> PAGEREF _Toc18854434 \h </w:instrText>
      </w:r>
      <w:r>
        <w:rPr>
          <w:lang/>
        </w:rPr>
        <w:fldChar w:fldCharType="separate"/>
      </w:r>
      <w:r>
        <w:rPr>
          <w:lang/>
        </w:rPr>
        <w:t>117</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"_Toc18854435"</w:instrText>
      </w:r>
      <w:r>
        <w:rPr>
          <w:rStyle w:val="77"/>
          <w:lang/>
        </w:rPr>
        <w:instrText xml:space="preserve"> </w:instrText>
      </w:r>
      <w:r>
        <w:rPr>
          <w:rStyle w:val="77"/>
          <w:lang/>
        </w:rPr>
        <w:fldChar w:fldCharType="separate"/>
      </w:r>
      <w:r>
        <w:rPr>
          <w:rStyle w:val="77"/>
          <w:lang/>
        </w:rPr>
        <w:t>11. 拟安排的项目负责人和团队成员情况概况表</w:t>
      </w:r>
      <w:r>
        <w:rPr>
          <w:lang/>
        </w:rPr>
        <w:tab/>
      </w:r>
      <w:r>
        <w:rPr>
          <w:lang/>
        </w:rPr>
        <w:fldChar w:fldCharType="begin"/>
      </w:r>
      <w:r>
        <w:rPr>
          <w:lang/>
        </w:rPr>
        <w:instrText xml:space="preserve"> PAGEREF _Toc18854435 \h </w:instrText>
      </w:r>
      <w:r>
        <w:rPr>
          <w:lang/>
        </w:rPr>
        <w:fldChar w:fldCharType="separate"/>
      </w:r>
      <w:r>
        <w:rPr>
          <w:lang/>
        </w:rPr>
        <w:t>118</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"_Toc18854436"</w:instrText>
      </w:r>
      <w:r>
        <w:rPr>
          <w:rStyle w:val="77"/>
          <w:lang/>
        </w:rPr>
        <w:instrText xml:space="preserve"> </w:instrText>
      </w:r>
      <w:r>
        <w:rPr>
          <w:rStyle w:val="77"/>
          <w:lang/>
        </w:rPr>
        <w:fldChar w:fldCharType="separate"/>
      </w:r>
      <w:r>
        <w:rPr>
          <w:rStyle w:val="77"/>
          <w:lang/>
        </w:rPr>
        <w:t>12. 拟投入的消耗材料配备情况</w:t>
      </w:r>
      <w:r>
        <w:rPr>
          <w:lang/>
        </w:rPr>
        <w:tab/>
      </w:r>
      <w:r>
        <w:rPr>
          <w:lang/>
        </w:rPr>
        <w:fldChar w:fldCharType="begin"/>
      </w:r>
      <w:r>
        <w:rPr>
          <w:lang/>
        </w:rPr>
        <w:instrText xml:space="preserve"> PAGEREF _Toc18854436 \h </w:instrText>
      </w:r>
      <w:r>
        <w:rPr>
          <w:lang/>
        </w:rPr>
        <w:fldChar w:fldCharType="separate"/>
      </w:r>
      <w:r>
        <w:rPr>
          <w:lang/>
        </w:rPr>
        <w:t>119</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"_Toc18854437"</w:instrText>
      </w:r>
      <w:r>
        <w:rPr>
          <w:rStyle w:val="77"/>
          <w:lang/>
        </w:rPr>
        <w:instrText xml:space="preserve"> </w:instrText>
      </w:r>
      <w:r>
        <w:rPr>
          <w:rStyle w:val="77"/>
          <w:lang/>
        </w:rPr>
        <w:fldChar w:fldCharType="separate"/>
      </w:r>
      <w:r>
        <w:rPr>
          <w:rStyle w:val="77"/>
          <w:rFonts w:ascii="Times New Roman" w:hAnsi="Times New Roman"/>
          <w:lang/>
        </w:rPr>
        <w:t>13. 拟为本项目实施配备的主要设备、工器具表</w:t>
      </w:r>
      <w:r>
        <w:rPr>
          <w:lang/>
        </w:rPr>
        <w:tab/>
      </w:r>
      <w:r>
        <w:rPr>
          <w:lang/>
        </w:rPr>
        <w:fldChar w:fldCharType="begin"/>
      </w:r>
      <w:r>
        <w:rPr>
          <w:lang/>
        </w:rPr>
        <w:instrText xml:space="preserve"> PAGEREF _Toc18854437 \h </w:instrText>
      </w:r>
      <w:r>
        <w:rPr>
          <w:lang/>
        </w:rPr>
        <w:fldChar w:fldCharType="separate"/>
      </w:r>
      <w:r>
        <w:rPr>
          <w:lang/>
        </w:rPr>
        <w:t>120</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"_Toc18854438"</w:instrText>
      </w:r>
      <w:r>
        <w:rPr>
          <w:rStyle w:val="77"/>
          <w:lang/>
        </w:rPr>
        <w:instrText xml:space="preserve"> </w:instrText>
      </w:r>
      <w:r>
        <w:rPr>
          <w:rStyle w:val="77"/>
          <w:lang/>
        </w:rPr>
        <w:fldChar w:fldCharType="separate"/>
      </w:r>
      <w:r>
        <w:rPr>
          <w:rStyle w:val="77"/>
          <w:lang/>
        </w:rPr>
        <w:t>14. 同类项目业绩</w:t>
      </w:r>
      <w:r>
        <w:rPr>
          <w:lang/>
        </w:rPr>
        <w:tab/>
      </w:r>
      <w:r>
        <w:rPr>
          <w:lang/>
        </w:rPr>
        <w:fldChar w:fldCharType="begin"/>
      </w:r>
      <w:r>
        <w:rPr>
          <w:lang/>
        </w:rPr>
        <w:instrText xml:space="preserve"> PAGEREF _Toc18854438 \h </w:instrText>
      </w:r>
      <w:r>
        <w:rPr>
          <w:lang/>
        </w:rPr>
        <w:fldChar w:fldCharType="separate"/>
      </w:r>
      <w:r>
        <w:rPr>
          <w:lang/>
        </w:rPr>
        <w:t>121</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"_Toc18854439"</w:instrText>
      </w:r>
      <w:r>
        <w:rPr>
          <w:rStyle w:val="77"/>
          <w:lang/>
        </w:rPr>
        <w:instrText xml:space="preserve"> </w:instrText>
      </w:r>
      <w:r>
        <w:rPr>
          <w:rStyle w:val="77"/>
          <w:lang/>
        </w:rPr>
        <w:fldChar w:fldCharType="separate"/>
      </w:r>
      <w:r>
        <w:rPr>
          <w:rStyle w:val="77"/>
          <w:lang/>
        </w:rPr>
        <w:t>15.报价文件目录</w:t>
      </w:r>
      <w:r>
        <w:rPr>
          <w:lang/>
        </w:rPr>
        <w:tab/>
      </w:r>
      <w:r>
        <w:rPr>
          <w:lang/>
        </w:rPr>
        <w:fldChar w:fldCharType="begin"/>
      </w:r>
      <w:r>
        <w:rPr>
          <w:lang/>
        </w:rPr>
        <w:instrText xml:space="preserve"> PAGEREF _Toc18854439 \h </w:instrText>
      </w:r>
      <w:r>
        <w:rPr>
          <w:lang/>
        </w:rPr>
        <w:fldChar w:fldCharType="separate"/>
      </w:r>
      <w:r>
        <w:rPr>
          <w:lang/>
        </w:rPr>
        <w:t>122</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"_Toc18854440"</w:instrText>
      </w:r>
      <w:r>
        <w:rPr>
          <w:rStyle w:val="77"/>
          <w:lang/>
        </w:rPr>
        <w:instrText xml:space="preserve"> </w:instrText>
      </w:r>
      <w:r>
        <w:rPr>
          <w:rStyle w:val="77"/>
          <w:lang/>
        </w:rPr>
        <w:fldChar w:fldCharType="separate"/>
      </w:r>
      <w:r>
        <w:rPr>
          <w:rStyle w:val="77"/>
          <w:rFonts w:ascii="Times New Roman" w:hAnsi="Times New Roman"/>
          <w:lang/>
        </w:rPr>
        <w:t>16.开标一览表</w:t>
      </w:r>
      <w:r>
        <w:rPr>
          <w:lang/>
        </w:rPr>
        <w:tab/>
      </w:r>
      <w:r>
        <w:rPr>
          <w:lang/>
        </w:rPr>
        <w:fldChar w:fldCharType="begin"/>
      </w:r>
      <w:r>
        <w:rPr>
          <w:lang/>
        </w:rPr>
        <w:instrText xml:space="preserve"> PAGEREF _Toc18854440 \h </w:instrText>
      </w:r>
      <w:r>
        <w:rPr>
          <w:lang/>
        </w:rPr>
        <w:fldChar w:fldCharType="separate"/>
      </w:r>
      <w:r>
        <w:rPr>
          <w:lang/>
        </w:rPr>
        <w:t>123</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"_Toc18854441"</w:instrText>
      </w:r>
      <w:r>
        <w:rPr>
          <w:rStyle w:val="77"/>
          <w:lang/>
        </w:rPr>
        <w:instrText xml:space="preserve"> </w:instrText>
      </w:r>
      <w:r>
        <w:rPr>
          <w:rStyle w:val="77"/>
          <w:lang/>
        </w:rPr>
        <w:fldChar w:fldCharType="separate"/>
      </w:r>
      <w:r>
        <w:rPr>
          <w:rStyle w:val="77"/>
          <w:rFonts w:ascii="Times New Roman" w:hAnsi="Times New Roman"/>
          <w:lang/>
        </w:rPr>
        <w:t>17.投标报价明细表格式（适用于货物类项目）</w:t>
      </w:r>
      <w:r>
        <w:rPr>
          <w:lang/>
        </w:rPr>
        <w:tab/>
      </w:r>
      <w:r>
        <w:rPr>
          <w:lang/>
        </w:rPr>
        <w:fldChar w:fldCharType="begin"/>
      </w:r>
      <w:r>
        <w:rPr>
          <w:lang/>
        </w:rPr>
        <w:instrText xml:space="preserve"> PAGEREF _Toc18854441 \h </w:instrText>
      </w:r>
      <w:r>
        <w:rPr>
          <w:lang/>
        </w:rPr>
        <w:fldChar w:fldCharType="separate"/>
      </w:r>
      <w:r>
        <w:rPr>
          <w:lang/>
        </w:rPr>
        <w:t>124</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"_Toc18854442"</w:instrText>
      </w:r>
      <w:r>
        <w:rPr>
          <w:rStyle w:val="77"/>
          <w:lang/>
        </w:rPr>
        <w:instrText xml:space="preserve"> </w:instrText>
      </w:r>
      <w:r>
        <w:rPr>
          <w:rStyle w:val="77"/>
          <w:lang/>
        </w:rPr>
        <w:fldChar w:fldCharType="separate"/>
      </w:r>
      <w:r>
        <w:rPr>
          <w:rStyle w:val="77"/>
          <w:rFonts w:ascii="Times New Roman" w:hAnsi="Times New Roman"/>
          <w:lang/>
        </w:rPr>
        <w:t>18.</w:t>
      </w:r>
      <w:r>
        <w:rPr>
          <w:rStyle w:val="77"/>
          <w:rFonts w:ascii="Times New Roman" w:hAnsi="Times New Roman"/>
          <w:bCs/>
          <w:lang/>
        </w:rPr>
        <w:t>政府采购政策情况表</w:t>
      </w:r>
      <w:r>
        <w:rPr>
          <w:lang/>
        </w:rPr>
        <w:tab/>
      </w:r>
      <w:r>
        <w:rPr>
          <w:lang/>
        </w:rPr>
        <w:fldChar w:fldCharType="begin"/>
      </w:r>
      <w:r>
        <w:rPr>
          <w:lang/>
        </w:rPr>
        <w:instrText xml:space="preserve"> PAGEREF _Toc18854442 \h </w:instrText>
      </w:r>
      <w:r>
        <w:rPr>
          <w:lang/>
        </w:rPr>
        <w:fldChar w:fldCharType="separate"/>
      </w:r>
      <w:r>
        <w:rPr>
          <w:lang/>
        </w:rPr>
        <w:t>126</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"_Toc18854443"</w:instrText>
      </w:r>
      <w:r>
        <w:rPr>
          <w:rStyle w:val="77"/>
          <w:lang/>
        </w:rPr>
        <w:instrText xml:space="preserve"> </w:instrText>
      </w:r>
      <w:r>
        <w:rPr>
          <w:rStyle w:val="77"/>
          <w:lang/>
        </w:rPr>
        <w:fldChar w:fldCharType="separate"/>
      </w:r>
      <w:r>
        <w:rPr>
          <w:rStyle w:val="77"/>
          <w:rFonts w:ascii="Times New Roman" w:hAnsi="Times New Roman"/>
          <w:lang/>
        </w:rPr>
        <w:t>19.中小企业声明函</w:t>
      </w:r>
      <w:r>
        <w:rPr>
          <w:lang/>
        </w:rPr>
        <w:tab/>
      </w:r>
      <w:r>
        <w:rPr>
          <w:lang/>
        </w:rPr>
        <w:fldChar w:fldCharType="begin"/>
      </w:r>
      <w:r>
        <w:rPr>
          <w:lang/>
        </w:rPr>
        <w:instrText xml:space="preserve"> PAGEREF _Toc18854443 \h </w:instrText>
      </w:r>
      <w:r>
        <w:rPr>
          <w:lang/>
        </w:rPr>
        <w:fldChar w:fldCharType="separate"/>
      </w:r>
      <w:r>
        <w:rPr>
          <w:lang/>
        </w:rPr>
        <w:t>127</w:t>
      </w:r>
      <w:r>
        <w:rPr>
          <w:lang/>
        </w:rPr>
        <w:fldChar w:fldCharType="end"/>
      </w:r>
      <w:r>
        <w:rPr>
          <w:rStyle w:val="77"/>
          <w:lang/>
        </w:rPr>
        <w:fldChar w:fldCharType="end"/>
      </w:r>
    </w:p>
    <w:p>
      <w:pPr>
        <w:pStyle w:val="59"/>
        <w:tabs>
          <w:tab w:val="right" w:leader="dot" w:pos="8494"/>
        </w:tabs>
        <w:rPr>
          <w:rFonts w:ascii="等线" w:hAnsi="等线" w:eastAsia="等线"/>
          <w:lang/>
        </w:rPr>
      </w:pPr>
      <w:r>
        <w:rPr>
          <w:rStyle w:val="77"/>
          <w:lang/>
        </w:rPr>
        <w:fldChar w:fldCharType="begin"/>
      </w:r>
      <w:r>
        <w:rPr>
          <w:rStyle w:val="77"/>
          <w:lang/>
        </w:rPr>
        <w:instrText xml:space="preserve"> </w:instrText>
      </w:r>
      <w:r>
        <w:rPr>
          <w:lang/>
        </w:rPr>
        <w:instrText xml:space="preserve">HYPERLINK \l "_Toc18854444"</w:instrText>
      </w:r>
      <w:r>
        <w:rPr>
          <w:rStyle w:val="77"/>
          <w:lang/>
        </w:rPr>
        <w:instrText xml:space="preserve"> </w:instrText>
      </w:r>
      <w:r>
        <w:rPr>
          <w:rStyle w:val="77"/>
          <w:lang/>
        </w:rPr>
        <w:fldChar w:fldCharType="separate"/>
      </w:r>
      <w:r>
        <w:rPr>
          <w:rStyle w:val="77"/>
          <w:lang/>
        </w:rPr>
        <w:t>20.残疾人福利性单位声明函</w:t>
      </w:r>
      <w:r>
        <w:rPr>
          <w:lang/>
        </w:rPr>
        <w:tab/>
      </w:r>
      <w:r>
        <w:rPr>
          <w:lang/>
        </w:rPr>
        <w:fldChar w:fldCharType="begin"/>
      </w:r>
      <w:r>
        <w:rPr>
          <w:lang/>
        </w:rPr>
        <w:instrText xml:space="preserve"> PAGEREF _Toc18854444 \h </w:instrText>
      </w:r>
      <w:r>
        <w:rPr>
          <w:lang/>
        </w:rPr>
        <w:fldChar w:fldCharType="separate"/>
      </w:r>
      <w:r>
        <w:rPr>
          <w:lang/>
        </w:rPr>
        <w:t>128</w:t>
      </w:r>
      <w:r>
        <w:rPr>
          <w:lang/>
        </w:rPr>
        <w:fldChar w:fldCharType="end"/>
      </w:r>
      <w:r>
        <w:rPr>
          <w:rStyle w:val="77"/>
          <w:lang/>
        </w:rPr>
        <w:fldChar w:fldCharType="end"/>
      </w:r>
    </w:p>
    <w:p>
      <w:pPr>
        <w:pStyle w:val="59"/>
        <w:tabs>
          <w:tab w:val="right" w:leader="dot" w:pos="8494"/>
        </w:tabs>
        <w:rPr>
          <w:rFonts w:ascii="Times New Roman" w:hAnsi="Times New Roman"/>
        </w:rPr>
      </w:pPr>
      <w:r>
        <w:rPr>
          <w:rStyle w:val="77"/>
          <w:lang/>
        </w:rPr>
        <w:fldChar w:fldCharType="begin"/>
      </w:r>
      <w:r>
        <w:rPr>
          <w:rStyle w:val="77"/>
          <w:lang/>
        </w:rPr>
        <w:instrText xml:space="preserve"> </w:instrText>
      </w:r>
      <w:r>
        <w:rPr>
          <w:lang/>
        </w:rPr>
        <w:instrText xml:space="preserve">HYPERLINK \l "_Toc18854445"</w:instrText>
      </w:r>
      <w:r>
        <w:rPr>
          <w:rStyle w:val="77"/>
          <w:lang/>
        </w:rPr>
        <w:instrText xml:space="preserve"> </w:instrText>
      </w:r>
      <w:r>
        <w:rPr>
          <w:rStyle w:val="77"/>
          <w:lang/>
        </w:rPr>
        <w:fldChar w:fldCharType="separate"/>
      </w:r>
      <w:r>
        <w:rPr>
          <w:rStyle w:val="77"/>
          <w:rFonts w:ascii="Times New Roman" w:hAnsi="Times New Roman"/>
          <w:lang/>
        </w:rPr>
        <w:t>21.</w:t>
      </w:r>
      <w:r>
        <w:rPr>
          <w:rStyle w:val="77"/>
          <w:lang/>
        </w:rPr>
        <w:t>代理服务费支付承诺书</w:t>
      </w:r>
      <w:r>
        <w:rPr>
          <w:lang/>
        </w:rPr>
        <w:tab/>
      </w:r>
      <w:r>
        <w:rPr>
          <w:lang/>
        </w:rPr>
        <w:fldChar w:fldCharType="begin"/>
      </w:r>
      <w:r>
        <w:rPr>
          <w:lang/>
        </w:rPr>
        <w:instrText xml:space="preserve"> PAGEREF _Toc18854445 \h </w:instrText>
      </w:r>
      <w:r>
        <w:rPr>
          <w:lang/>
        </w:rPr>
        <w:fldChar w:fldCharType="separate"/>
      </w:r>
      <w:r>
        <w:rPr>
          <w:lang/>
        </w:rPr>
        <w:t>129</w:t>
      </w:r>
      <w:r>
        <w:rPr>
          <w:lang/>
        </w:rPr>
        <w:fldChar w:fldCharType="end"/>
      </w:r>
      <w:r>
        <w:rPr>
          <w:rStyle w:val="77"/>
          <w:lang/>
        </w:rPr>
        <w:fldChar w:fldCharType="end"/>
      </w:r>
      <w:r>
        <w:rPr>
          <w:rFonts w:ascii="Times New Roman" w:hAnsi="Times New Roman"/>
        </w:rPr>
        <w:fldChar w:fldCharType="end"/>
      </w:r>
    </w:p>
    <w:p>
      <w:pPr>
        <w:pStyle w:val="37"/>
        <w:snapToGrid w:val="0"/>
        <w:spacing w:before="120" w:after="120" w:line="360" w:lineRule="auto"/>
        <w:jc w:val="center"/>
        <w:outlineLvl w:val="0"/>
        <w:rPr>
          <w:rFonts w:ascii="Times New Roman" w:hAnsi="Times New Roman"/>
        </w:rPr>
        <w:sectPr>
          <w:headerReference r:id="rId5" w:type="default"/>
          <w:footerReference r:id="rId6" w:type="default"/>
          <w:pgSz w:w="11906" w:h="16838"/>
          <w:pgMar w:top="1474" w:right="1701" w:bottom="1418" w:left="1701" w:header="851" w:footer="851" w:gutter="0"/>
          <w:pgNumType w:start="1"/>
          <w:cols w:space="720" w:num="1"/>
          <w:docGrid w:linePitch="312" w:charSpace="0"/>
        </w:sectPr>
      </w:pPr>
    </w:p>
    <w:p>
      <w:pPr>
        <w:pStyle w:val="37"/>
        <w:snapToGrid w:val="0"/>
        <w:spacing w:before="120" w:after="120" w:line="360" w:lineRule="auto"/>
        <w:jc w:val="center"/>
        <w:outlineLvl w:val="0"/>
        <w:rPr>
          <w:rFonts w:ascii="Times New Roman" w:hAnsi="Times New Roman"/>
          <w:sz w:val="30"/>
          <w:szCs w:val="30"/>
        </w:rPr>
      </w:pPr>
      <w:bookmarkStart w:id="0" w:name="_Toc18854398"/>
      <w:r>
        <w:rPr>
          <w:rFonts w:ascii="Times New Roman" w:hAnsi="Times New Roman"/>
          <w:sz w:val="30"/>
          <w:szCs w:val="30"/>
        </w:rPr>
        <w:t>第一章  招标公告</w:t>
      </w:r>
      <w:bookmarkEnd w:id="0"/>
    </w:p>
    <w:p>
      <w:pPr>
        <w:pStyle w:val="28"/>
        <w:spacing w:line="360" w:lineRule="auto"/>
        <w:ind w:firstLine="464" w:firstLineChars="200"/>
        <w:rPr>
          <w:rFonts w:ascii="Times New Roman" w:hAnsi="Times New Roman"/>
          <w:sz w:val="24"/>
        </w:rPr>
      </w:pPr>
    </w:p>
    <w:p>
      <w:pPr>
        <w:pStyle w:val="28"/>
        <w:spacing w:line="360" w:lineRule="auto"/>
        <w:ind w:firstLine="464" w:firstLineChars="200"/>
        <w:rPr>
          <w:rFonts w:ascii="Times New Roman" w:hAnsi="Times New Roman"/>
          <w:sz w:val="24"/>
        </w:rPr>
      </w:pPr>
      <w:r>
        <w:rPr>
          <w:rFonts w:ascii="Times New Roman" w:hAnsi="Times New Roman"/>
          <w:sz w:val="24"/>
        </w:rPr>
        <w:t>根据《中华人民共和国政府采购法》等有关规定，浙江省国际技术设备招标有限公司受温州医科大学附属眼视光医院、杭州眼视光科技有限公司委托，就保洁、安保等物业服务项目进行公开招标，欢迎国内合格的供应商前来投标。</w:t>
      </w:r>
    </w:p>
    <w:p>
      <w:pPr>
        <w:pStyle w:val="28"/>
        <w:spacing w:line="360" w:lineRule="auto"/>
        <w:ind w:firstLine="0"/>
        <w:rPr>
          <w:rFonts w:ascii="Times New Roman" w:hAnsi="Times New Roman"/>
          <w:sz w:val="24"/>
        </w:rPr>
      </w:pPr>
      <w:r>
        <w:rPr>
          <w:rFonts w:ascii="Times New Roman" w:hAnsi="Times New Roman"/>
          <w:sz w:val="24"/>
        </w:rPr>
        <w:t>一.项目编号：0625-19215758</w:t>
      </w:r>
    </w:p>
    <w:p>
      <w:pPr>
        <w:pStyle w:val="28"/>
        <w:spacing w:line="360" w:lineRule="auto"/>
        <w:ind w:firstLine="0"/>
        <w:rPr>
          <w:rFonts w:ascii="Times New Roman" w:hAnsi="Times New Roman"/>
          <w:sz w:val="24"/>
        </w:rPr>
      </w:pPr>
      <w:r>
        <w:rPr>
          <w:rFonts w:ascii="Times New Roman" w:hAnsi="Times New Roman"/>
          <w:sz w:val="24"/>
        </w:rPr>
        <w:t>二.采购组织类型：分散采购委托代理</w:t>
      </w:r>
    </w:p>
    <w:p>
      <w:pPr>
        <w:pStyle w:val="28"/>
        <w:spacing w:line="360" w:lineRule="auto"/>
        <w:ind w:firstLine="0"/>
        <w:rPr>
          <w:rFonts w:ascii="Times New Roman" w:hAnsi="Times New Roman"/>
          <w:sz w:val="24"/>
        </w:rPr>
      </w:pPr>
      <w:r>
        <w:rPr>
          <w:rFonts w:ascii="Times New Roman" w:hAnsi="Times New Roman"/>
          <w:sz w:val="24"/>
        </w:rPr>
        <w:t>三</w:t>
      </w:r>
      <w:r>
        <w:rPr>
          <w:rFonts w:ascii="Times New Roman" w:hAnsi="Times New Roman"/>
          <w:sz w:val="24"/>
          <w:lang w:eastAsia="zh-CN"/>
        </w:rPr>
        <w:t>.</w:t>
      </w:r>
      <w:r>
        <w:rPr>
          <w:rFonts w:ascii="Times New Roman" w:hAnsi="Times New Roman"/>
          <w:sz w:val="24"/>
        </w:rPr>
        <w:t>采购方式：公开招标</w:t>
      </w:r>
    </w:p>
    <w:p>
      <w:pPr>
        <w:pStyle w:val="28"/>
        <w:spacing w:line="360" w:lineRule="auto"/>
        <w:ind w:firstLine="0"/>
        <w:rPr>
          <w:rFonts w:ascii="Times New Roman" w:hAnsi="Times New Roman"/>
          <w:sz w:val="24"/>
        </w:rPr>
      </w:pPr>
      <w:r>
        <w:rPr>
          <w:rFonts w:ascii="Times New Roman" w:hAnsi="Times New Roman"/>
          <w:sz w:val="24"/>
        </w:rPr>
        <w:t>四.招标项目概况（内容、用途、数量、简要技术要求等）：</w:t>
      </w:r>
    </w:p>
    <w:tbl>
      <w:tblPr>
        <w:tblStyle w:val="70"/>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414"/>
        <w:gridCol w:w="522"/>
        <w:gridCol w:w="523"/>
        <w:gridCol w:w="1056"/>
        <w:gridCol w:w="2586"/>
        <w:gridCol w:w="1353"/>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89" w:type="dxa"/>
            <w:noWrap w:val="0"/>
            <w:vAlign w:val="center"/>
          </w:tcPr>
          <w:p>
            <w:pPr>
              <w:pStyle w:val="134"/>
              <w:jc w:val="center"/>
              <w:rPr>
                <w:rFonts w:hint="default" w:ascii="Times New Roman" w:hAnsi="Times New Roman"/>
                <w:szCs w:val="21"/>
              </w:rPr>
            </w:pPr>
            <w:r>
              <w:rPr>
                <w:rFonts w:hint="default" w:ascii="Times New Roman" w:hAnsi="Times New Roman"/>
                <w:szCs w:val="21"/>
              </w:rPr>
              <w:t>序号</w:t>
            </w:r>
          </w:p>
        </w:tc>
        <w:tc>
          <w:tcPr>
            <w:tcW w:w="1414" w:type="dxa"/>
            <w:noWrap w:val="0"/>
            <w:vAlign w:val="center"/>
          </w:tcPr>
          <w:p>
            <w:pPr>
              <w:pStyle w:val="134"/>
              <w:jc w:val="center"/>
              <w:rPr>
                <w:rFonts w:hint="default" w:ascii="Times New Roman" w:hAnsi="Times New Roman"/>
                <w:szCs w:val="21"/>
              </w:rPr>
            </w:pPr>
            <w:r>
              <w:rPr>
                <w:rFonts w:hint="default" w:ascii="Times New Roman" w:hAnsi="Times New Roman"/>
                <w:szCs w:val="21"/>
              </w:rPr>
              <w:t>标项内容</w:t>
            </w:r>
          </w:p>
        </w:tc>
        <w:tc>
          <w:tcPr>
            <w:tcW w:w="522" w:type="dxa"/>
            <w:noWrap w:val="0"/>
            <w:vAlign w:val="center"/>
          </w:tcPr>
          <w:p>
            <w:pPr>
              <w:pStyle w:val="134"/>
              <w:jc w:val="center"/>
              <w:rPr>
                <w:rFonts w:hint="default" w:ascii="Times New Roman" w:hAnsi="Times New Roman"/>
                <w:szCs w:val="21"/>
              </w:rPr>
            </w:pPr>
            <w:r>
              <w:rPr>
                <w:rFonts w:hint="default" w:ascii="Times New Roman" w:hAnsi="Times New Roman"/>
                <w:szCs w:val="21"/>
              </w:rPr>
              <w:t>数量</w:t>
            </w:r>
          </w:p>
        </w:tc>
        <w:tc>
          <w:tcPr>
            <w:tcW w:w="523" w:type="dxa"/>
            <w:noWrap w:val="0"/>
            <w:vAlign w:val="center"/>
          </w:tcPr>
          <w:p>
            <w:pPr>
              <w:pStyle w:val="134"/>
              <w:jc w:val="center"/>
              <w:rPr>
                <w:rFonts w:hint="default" w:ascii="Times New Roman" w:hAnsi="Times New Roman"/>
                <w:szCs w:val="21"/>
              </w:rPr>
            </w:pPr>
            <w:r>
              <w:rPr>
                <w:rFonts w:hint="default" w:ascii="Times New Roman" w:hAnsi="Times New Roman"/>
                <w:szCs w:val="21"/>
              </w:rPr>
              <w:t>单位</w:t>
            </w:r>
          </w:p>
        </w:tc>
        <w:tc>
          <w:tcPr>
            <w:tcW w:w="1056" w:type="dxa"/>
            <w:noWrap w:val="0"/>
            <w:vAlign w:val="center"/>
          </w:tcPr>
          <w:p>
            <w:pPr>
              <w:pStyle w:val="28"/>
              <w:spacing w:line="240" w:lineRule="auto"/>
              <w:ind w:firstLine="0"/>
              <w:jc w:val="center"/>
              <w:rPr>
                <w:rFonts w:ascii="Times New Roman" w:hAnsi="Times New Roman"/>
                <w:sz w:val="21"/>
                <w:szCs w:val="21"/>
                <w:lang w:val="en-US" w:eastAsia="zh-CN"/>
              </w:rPr>
            </w:pPr>
            <w:r>
              <w:rPr>
                <w:rFonts w:ascii="Times New Roman" w:hAnsi="Times New Roman"/>
                <w:sz w:val="21"/>
                <w:szCs w:val="21"/>
                <w:lang w:val="en-US" w:eastAsia="zh-CN"/>
              </w:rPr>
              <w:t>预算金额（万元）</w:t>
            </w:r>
          </w:p>
        </w:tc>
        <w:tc>
          <w:tcPr>
            <w:tcW w:w="2586" w:type="dxa"/>
            <w:noWrap w:val="0"/>
            <w:vAlign w:val="center"/>
          </w:tcPr>
          <w:p>
            <w:pPr>
              <w:pStyle w:val="28"/>
              <w:spacing w:line="240" w:lineRule="auto"/>
              <w:ind w:firstLine="0"/>
              <w:jc w:val="center"/>
              <w:rPr>
                <w:rFonts w:ascii="Times New Roman" w:hAnsi="Times New Roman"/>
                <w:sz w:val="21"/>
                <w:szCs w:val="21"/>
                <w:lang w:val="en-US" w:eastAsia="zh-CN"/>
              </w:rPr>
            </w:pPr>
            <w:r>
              <w:rPr>
                <w:rFonts w:ascii="Times New Roman" w:hAnsi="Times New Roman"/>
                <w:sz w:val="21"/>
                <w:szCs w:val="21"/>
                <w:lang w:val="en-US" w:eastAsia="zh-CN"/>
              </w:rPr>
              <w:t>最高限价（万元）</w:t>
            </w:r>
          </w:p>
        </w:tc>
        <w:tc>
          <w:tcPr>
            <w:tcW w:w="1353" w:type="dxa"/>
            <w:noWrap w:val="0"/>
            <w:vAlign w:val="center"/>
          </w:tcPr>
          <w:p>
            <w:pPr>
              <w:pStyle w:val="28"/>
              <w:spacing w:line="240" w:lineRule="auto"/>
              <w:ind w:firstLine="0"/>
              <w:jc w:val="center"/>
              <w:rPr>
                <w:rFonts w:ascii="Times New Roman" w:hAnsi="Times New Roman"/>
                <w:sz w:val="21"/>
                <w:szCs w:val="21"/>
                <w:lang w:val="en-US" w:eastAsia="zh-CN"/>
              </w:rPr>
            </w:pPr>
            <w:r>
              <w:rPr>
                <w:rFonts w:ascii="Times New Roman" w:hAnsi="Times New Roman"/>
                <w:sz w:val="21"/>
                <w:szCs w:val="21"/>
                <w:lang w:val="en-US" w:eastAsia="zh-CN"/>
              </w:rPr>
              <w:t>简要技术</w:t>
            </w:r>
          </w:p>
          <w:p>
            <w:pPr>
              <w:pStyle w:val="28"/>
              <w:spacing w:line="240" w:lineRule="auto"/>
              <w:ind w:firstLine="0"/>
              <w:jc w:val="center"/>
              <w:rPr>
                <w:rFonts w:ascii="Times New Roman" w:hAnsi="Times New Roman"/>
                <w:sz w:val="21"/>
                <w:szCs w:val="21"/>
                <w:lang w:val="en-US" w:eastAsia="zh-CN"/>
              </w:rPr>
            </w:pPr>
            <w:r>
              <w:rPr>
                <w:rFonts w:ascii="Times New Roman" w:hAnsi="Times New Roman"/>
                <w:sz w:val="21"/>
                <w:szCs w:val="21"/>
                <w:lang w:val="en-US" w:eastAsia="zh-CN"/>
              </w:rPr>
              <w:t>要求、用途</w:t>
            </w:r>
          </w:p>
        </w:tc>
        <w:tc>
          <w:tcPr>
            <w:tcW w:w="1644" w:type="dxa"/>
            <w:noWrap w:val="0"/>
            <w:vAlign w:val="center"/>
          </w:tcPr>
          <w:p>
            <w:pPr>
              <w:pStyle w:val="134"/>
              <w:jc w:val="center"/>
              <w:rPr>
                <w:rFonts w:hint="default" w:ascii="Times New Roman" w:hAnsi="Times New Roman"/>
                <w:szCs w:val="21"/>
              </w:rPr>
            </w:pPr>
            <w:r>
              <w:rPr>
                <w:rFonts w:hint="default" w:ascii="Times New Roman" w:hAnsi="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89" w:type="dxa"/>
            <w:noWrap w:val="0"/>
            <w:vAlign w:val="center"/>
          </w:tcPr>
          <w:p>
            <w:pPr>
              <w:pStyle w:val="28"/>
              <w:spacing w:line="240" w:lineRule="auto"/>
              <w:ind w:firstLine="0"/>
              <w:jc w:val="center"/>
              <w:rPr>
                <w:rFonts w:ascii="Times New Roman" w:hAnsi="Times New Roman"/>
                <w:sz w:val="21"/>
                <w:szCs w:val="21"/>
                <w:lang w:val="en-US" w:eastAsia="zh-CN"/>
              </w:rPr>
            </w:pPr>
            <w:r>
              <w:rPr>
                <w:rFonts w:ascii="Times New Roman" w:hAnsi="Times New Roman"/>
                <w:sz w:val="21"/>
                <w:szCs w:val="21"/>
                <w:lang w:val="en-US" w:eastAsia="zh-CN"/>
              </w:rPr>
              <w:t>1</w:t>
            </w:r>
          </w:p>
        </w:tc>
        <w:tc>
          <w:tcPr>
            <w:tcW w:w="1414" w:type="dxa"/>
            <w:noWrap w:val="0"/>
            <w:vAlign w:val="center"/>
          </w:tcPr>
          <w:p>
            <w:pPr>
              <w:pStyle w:val="134"/>
              <w:jc w:val="center"/>
              <w:rPr>
                <w:rFonts w:hint="default" w:ascii="Times New Roman" w:hAnsi="Times New Roman"/>
                <w:szCs w:val="21"/>
              </w:rPr>
            </w:pPr>
            <w:r>
              <w:rPr>
                <w:rFonts w:hint="default" w:ascii="Times New Roman" w:hAnsi="Times New Roman"/>
                <w:szCs w:val="21"/>
              </w:rPr>
              <w:t>保洁、安保等物业服务</w:t>
            </w:r>
          </w:p>
        </w:tc>
        <w:tc>
          <w:tcPr>
            <w:tcW w:w="522" w:type="dxa"/>
            <w:noWrap w:val="0"/>
            <w:vAlign w:val="center"/>
          </w:tcPr>
          <w:p>
            <w:pPr>
              <w:pStyle w:val="28"/>
              <w:spacing w:line="240" w:lineRule="auto"/>
              <w:ind w:firstLine="0"/>
              <w:jc w:val="center"/>
              <w:rPr>
                <w:rFonts w:ascii="Times New Roman" w:hAnsi="Times New Roman"/>
                <w:sz w:val="21"/>
                <w:szCs w:val="21"/>
                <w:lang w:val="en-US" w:eastAsia="zh-CN"/>
              </w:rPr>
            </w:pPr>
            <w:r>
              <w:rPr>
                <w:rFonts w:hint="eastAsia" w:ascii="Times New Roman" w:hAnsi="Times New Roman"/>
                <w:sz w:val="21"/>
                <w:szCs w:val="21"/>
                <w:lang w:val="en-US" w:eastAsia="zh-CN"/>
              </w:rPr>
              <w:t>1</w:t>
            </w:r>
          </w:p>
        </w:tc>
        <w:tc>
          <w:tcPr>
            <w:tcW w:w="523" w:type="dxa"/>
            <w:noWrap w:val="0"/>
            <w:vAlign w:val="center"/>
          </w:tcPr>
          <w:p>
            <w:pPr>
              <w:pStyle w:val="28"/>
              <w:spacing w:line="240" w:lineRule="auto"/>
              <w:ind w:firstLine="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项</w:t>
            </w:r>
          </w:p>
        </w:tc>
        <w:tc>
          <w:tcPr>
            <w:tcW w:w="1056" w:type="dxa"/>
            <w:noWrap w:val="0"/>
            <w:vAlign w:val="center"/>
          </w:tcPr>
          <w:p>
            <w:pPr>
              <w:jc w:val="center"/>
              <w:rPr>
                <w:szCs w:val="21"/>
              </w:rPr>
            </w:pPr>
            <w:r>
              <w:rPr>
                <w:rFonts w:hint="eastAsia"/>
                <w:szCs w:val="21"/>
              </w:rPr>
              <w:t>856.84</w:t>
            </w:r>
          </w:p>
        </w:tc>
        <w:tc>
          <w:tcPr>
            <w:tcW w:w="2586" w:type="dxa"/>
            <w:noWrap w:val="0"/>
            <w:vAlign w:val="center"/>
          </w:tcPr>
          <w:p>
            <w:pPr>
              <w:spacing w:after="120"/>
              <w:jc w:val="left"/>
              <w:rPr>
                <w:rFonts w:hint="eastAsia"/>
                <w:szCs w:val="21"/>
              </w:rPr>
            </w:pPr>
            <w:r>
              <w:rPr>
                <w:szCs w:val="21"/>
              </w:rPr>
              <w:t>1.</w:t>
            </w:r>
            <w:r>
              <w:rPr>
                <w:rFonts w:hAnsi="宋体"/>
                <w:szCs w:val="21"/>
              </w:rPr>
              <w:t>温州医科大学附属眼视光医院</w:t>
            </w:r>
            <w:r>
              <w:rPr>
                <w:rFonts w:hint="eastAsia" w:hAnsi="宋体"/>
                <w:szCs w:val="21"/>
              </w:rPr>
              <w:t>（杭州院区）保洁、安保等物业服务</w:t>
            </w:r>
            <w:r>
              <w:rPr>
                <w:rFonts w:hAnsi="宋体"/>
                <w:szCs w:val="21"/>
              </w:rPr>
              <w:t>（含勤杂、运送、维修）预算为532.56万元。</w:t>
            </w:r>
            <w:r>
              <w:rPr>
                <w:rFonts w:hint="eastAsia" w:hAnsi="宋体"/>
                <w:szCs w:val="21"/>
              </w:rPr>
              <w:t>本项目资金性质为财政性资金。</w:t>
            </w:r>
          </w:p>
          <w:p>
            <w:pPr>
              <w:rPr>
                <w:szCs w:val="21"/>
              </w:rPr>
            </w:pPr>
            <w:r>
              <w:rPr>
                <w:szCs w:val="21"/>
              </w:rPr>
              <w:t>2.</w:t>
            </w:r>
            <w:r>
              <w:rPr>
                <w:rFonts w:hAnsi="宋体"/>
                <w:szCs w:val="21"/>
              </w:rPr>
              <w:t>杭州眼视光科技有限公司卫生保洁、安保</w:t>
            </w:r>
            <w:r>
              <w:rPr>
                <w:rFonts w:hint="eastAsia" w:hAnsi="宋体"/>
                <w:szCs w:val="21"/>
              </w:rPr>
              <w:t>等物业</w:t>
            </w:r>
            <w:r>
              <w:rPr>
                <w:rFonts w:hAnsi="宋体"/>
                <w:szCs w:val="21"/>
              </w:rPr>
              <w:t>服务预算为3</w:t>
            </w:r>
            <w:r>
              <w:rPr>
                <w:rFonts w:hint="eastAsia" w:hAnsi="宋体"/>
                <w:szCs w:val="21"/>
              </w:rPr>
              <w:t>24.28</w:t>
            </w:r>
            <w:r>
              <w:rPr>
                <w:rFonts w:hAnsi="宋体"/>
                <w:szCs w:val="21"/>
              </w:rPr>
              <w:t>万元。</w:t>
            </w:r>
            <w:r>
              <w:rPr>
                <w:rFonts w:hint="eastAsia" w:hAnsi="宋体"/>
                <w:szCs w:val="21"/>
              </w:rPr>
              <w:t>本项目资金性质为非财政性资金。</w:t>
            </w:r>
          </w:p>
        </w:tc>
        <w:tc>
          <w:tcPr>
            <w:tcW w:w="1353" w:type="dxa"/>
            <w:noWrap w:val="0"/>
            <w:vAlign w:val="center"/>
          </w:tcPr>
          <w:p>
            <w:pPr>
              <w:spacing w:after="120"/>
              <w:jc w:val="center"/>
              <w:rPr>
                <w:rFonts w:hint="eastAsia"/>
                <w:szCs w:val="21"/>
              </w:rPr>
            </w:pPr>
            <w:bookmarkStart w:id="1" w:name="B16_简要技术要求、用途"/>
            <w:bookmarkEnd w:id="1"/>
            <w:r>
              <w:rPr>
                <w:rFonts w:hint="eastAsia"/>
                <w:szCs w:val="21"/>
              </w:rPr>
              <w:t>详见《招标文件》</w:t>
            </w:r>
          </w:p>
        </w:tc>
        <w:tc>
          <w:tcPr>
            <w:tcW w:w="1644" w:type="dxa"/>
            <w:noWrap w:val="0"/>
            <w:vAlign w:val="center"/>
          </w:tcPr>
          <w:p>
            <w:pPr>
              <w:ind w:right="-78" w:rightChars="-37"/>
              <w:jc w:val="left"/>
              <w:rPr>
                <w:spacing w:val="-4"/>
                <w:szCs w:val="21"/>
              </w:rPr>
            </w:pPr>
            <w:r>
              <w:rPr>
                <w:spacing w:val="-4"/>
                <w:szCs w:val="21"/>
              </w:rPr>
              <w:t>本项目按照政府采购相关法律法规组织政府采购公开招标。</w:t>
            </w:r>
            <w:r>
              <w:rPr>
                <w:rFonts w:hint="eastAsia"/>
                <w:spacing w:val="-4"/>
                <w:szCs w:val="21"/>
              </w:rPr>
              <w:t>2</w:t>
            </w:r>
            <w:r>
              <w:rPr>
                <w:spacing w:val="-4"/>
                <w:szCs w:val="21"/>
              </w:rPr>
              <w:t>家单位联合组织公开招标，各自签订合同。本项目不允许采购进口产品。</w:t>
            </w:r>
          </w:p>
        </w:tc>
      </w:tr>
    </w:tbl>
    <w:p>
      <w:pPr>
        <w:pStyle w:val="28"/>
        <w:spacing w:line="360" w:lineRule="auto"/>
        <w:ind w:firstLine="0"/>
        <w:rPr>
          <w:rFonts w:ascii="Times New Roman" w:hAnsi="Times New Roman"/>
          <w:sz w:val="24"/>
        </w:rPr>
      </w:pPr>
      <w:r>
        <w:rPr>
          <w:rFonts w:ascii="Times New Roman" w:hAnsi="Times New Roman"/>
          <w:sz w:val="24"/>
        </w:rPr>
        <w:t>五.供应商资格条件：</w:t>
      </w:r>
    </w:p>
    <w:p>
      <w:pPr>
        <w:pStyle w:val="28"/>
        <w:spacing w:line="360" w:lineRule="auto"/>
        <w:ind w:firstLine="0"/>
        <w:rPr>
          <w:rFonts w:ascii="Times New Roman" w:hAnsi="Times New Roman"/>
          <w:sz w:val="24"/>
        </w:rPr>
      </w:pPr>
      <w:r>
        <w:rPr>
          <w:rFonts w:ascii="Times New Roman" w:hAnsi="Times New Roman"/>
          <w:sz w:val="24"/>
        </w:rPr>
        <w:t>1、符合《中华人民共和国政府采购法》第二十二条的规定：</w:t>
      </w:r>
    </w:p>
    <w:p>
      <w:pPr>
        <w:pStyle w:val="28"/>
        <w:spacing w:line="360" w:lineRule="auto"/>
        <w:ind w:firstLine="232" w:firstLineChars="100"/>
        <w:rPr>
          <w:rFonts w:ascii="Times New Roman" w:hAnsi="Times New Roman"/>
          <w:sz w:val="24"/>
        </w:rPr>
      </w:pPr>
      <w:r>
        <w:rPr>
          <w:rFonts w:ascii="Times New Roman" w:hAnsi="Times New Roman"/>
          <w:sz w:val="24"/>
        </w:rPr>
        <w:t>（1）具有独立承担民事责任的能力；</w:t>
      </w:r>
    </w:p>
    <w:p>
      <w:pPr>
        <w:pStyle w:val="28"/>
        <w:spacing w:line="360" w:lineRule="auto"/>
        <w:ind w:firstLine="232" w:firstLineChars="100"/>
        <w:rPr>
          <w:rFonts w:ascii="Times New Roman" w:hAnsi="Times New Roman"/>
          <w:sz w:val="24"/>
        </w:rPr>
      </w:pPr>
      <w:r>
        <w:rPr>
          <w:rFonts w:ascii="Times New Roman" w:hAnsi="Times New Roman"/>
          <w:sz w:val="24"/>
        </w:rPr>
        <w:t>（2）具有良好的商业信誉和健全的财务会计制度；</w:t>
      </w:r>
    </w:p>
    <w:p>
      <w:pPr>
        <w:pStyle w:val="28"/>
        <w:spacing w:line="360" w:lineRule="auto"/>
        <w:ind w:firstLine="232" w:firstLineChars="100"/>
        <w:rPr>
          <w:rFonts w:ascii="Times New Roman" w:hAnsi="Times New Roman"/>
          <w:sz w:val="24"/>
        </w:rPr>
      </w:pPr>
      <w:r>
        <w:rPr>
          <w:rFonts w:ascii="Times New Roman" w:hAnsi="Times New Roman"/>
          <w:sz w:val="24"/>
        </w:rPr>
        <w:t>（3）具有履行合同所必需的设备和专业技术能力；</w:t>
      </w:r>
    </w:p>
    <w:p>
      <w:pPr>
        <w:pStyle w:val="28"/>
        <w:spacing w:line="360" w:lineRule="auto"/>
        <w:ind w:firstLine="232" w:firstLineChars="100"/>
        <w:rPr>
          <w:rFonts w:ascii="Times New Roman" w:hAnsi="Times New Roman"/>
          <w:sz w:val="24"/>
        </w:rPr>
      </w:pPr>
      <w:r>
        <w:rPr>
          <w:rFonts w:ascii="Times New Roman" w:hAnsi="Times New Roman"/>
          <w:sz w:val="24"/>
        </w:rPr>
        <w:t>（4）有依法缴纳税收和社会保障资金的良好记录；</w:t>
      </w:r>
    </w:p>
    <w:p>
      <w:pPr>
        <w:pStyle w:val="28"/>
        <w:spacing w:line="360" w:lineRule="auto"/>
        <w:ind w:firstLine="232" w:firstLineChars="100"/>
        <w:rPr>
          <w:rFonts w:ascii="Times New Roman" w:hAnsi="Times New Roman"/>
          <w:sz w:val="24"/>
        </w:rPr>
      </w:pPr>
      <w:r>
        <w:rPr>
          <w:rFonts w:ascii="Times New Roman" w:hAnsi="Times New Roman"/>
          <w:sz w:val="24"/>
        </w:rPr>
        <w:t>（5）参加政府采购活动前三年内，在经营活动中没有重大违法记录。</w:t>
      </w:r>
    </w:p>
    <w:p>
      <w:pPr>
        <w:widowControl/>
        <w:spacing w:line="360" w:lineRule="auto"/>
        <w:ind w:left="383" w:leftChars="11" w:hanging="360" w:hangingChars="150"/>
        <w:jc w:val="left"/>
        <w:rPr>
          <w:kern w:val="0"/>
          <w:sz w:val="24"/>
        </w:rPr>
      </w:pPr>
      <w:r>
        <w:rPr>
          <w:sz w:val="24"/>
        </w:rPr>
        <w:t>2、</w:t>
      </w:r>
      <w:r>
        <w:rPr>
          <w:kern w:val="0"/>
          <w:sz w:val="24"/>
        </w:rPr>
        <w:t>单位负责人为同一人或者存在直接控股、管理关系的不同供应商，不得同时参加同一</w:t>
      </w:r>
      <w:r>
        <w:rPr>
          <w:sz w:val="24"/>
        </w:rPr>
        <w:t>合同项下</w:t>
      </w:r>
      <w:r>
        <w:rPr>
          <w:kern w:val="0"/>
          <w:sz w:val="24"/>
        </w:rPr>
        <w:t>的投标。</w:t>
      </w:r>
    </w:p>
    <w:p>
      <w:pPr>
        <w:pStyle w:val="28"/>
        <w:spacing w:line="360" w:lineRule="auto"/>
        <w:ind w:left="348" w:hanging="348" w:hangingChars="150"/>
        <w:rPr>
          <w:rFonts w:ascii="Times New Roman" w:hAnsi="Times New Roman"/>
          <w:sz w:val="24"/>
        </w:rPr>
      </w:pPr>
      <w:r>
        <w:rPr>
          <w:rFonts w:ascii="Times New Roman" w:hAnsi="Times New Roman"/>
          <w:sz w:val="24"/>
          <w:lang w:eastAsia="zh-CN"/>
        </w:rPr>
        <w:t>3</w:t>
      </w:r>
      <w:r>
        <w:rPr>
          <w:rFonts w:ascii="Times New Roman" w:hAnsi="Times New Roman"/>
          <w:sz w:val="24"/>
        </w:rPr>
        <w:t>、截至投标截止日前1日历天17:00（北京时间），投标人未被列入“信用中国”网(</w:t>
      </w:r>
      <w:r>
        <w:rPr>
          <w:rFonts w:ascii="Times New Roman" w:hAnsi="Times New Roman"/>
          <w:sz w:val="24"/>
        </w:rPr>
        <w:fldChar w:fldCharType="begin"/>
      </w:r>
      <w:r>
        <w:rPr>
          <w:rFonts w:ascii="Times New Roman" w:hAnsi="Times New Roman"/>
          <w:sz w:val="24"/>
        </w:rPr>
        <w:instrText xml:space="preserve"> HYPERLINK "http://www.creditchina.gov.cn" </w:instrText>
      </w:r>
      <w:r>
        <w:rPr>
          <w:rFonts w:ascii="Times New Roman" w:hAnsi="Times New Roman"/>
          <w:sz w:val="24"/>
        </w:rPr>
        <w:fldChar w:fldCharType="separate"/>
      </w:r>
      <w:r>
        <w:rPr>
          <w:rStyle w:val="77"/>
          <w:rFonts w:ascii="Times New Roman" w:hAnsi="Times New Roman"/>
          <w:sz w:val="24"/>
        </w:rPr>
        <w:t>www.creditchina.gov.cn</w:t>
      </w:r>
      <w:r>
        <w:rPr>
          <w:rFonts w:ascii="Times New Roman" w:hAnsi="Times New Roman"/>
          <w:sz w:val="24"/>
        </w:rPr>
        <w:fldChar w:fldCharType="end"/>
      </w:r>
      <w:r>
        <w:rPr>
          <w:rFonts w:ascii="Times New Roman" w:hAnsi="Times New Roman"/>
          <w:sz w:val="24"/>
        </w:rPr>
        <w:t>)和“中国政府采购网”（www.ccgp.gov.cn）失信被执行人、重大税收违法案件当事人名单、政府采购严重违法失信行为记录名单且尚处于禁止参加政府采购活动期内。</w:t>
      </w:r>
    </w:p>
    <w:p>
      <w:pPr>
        <w:pStyle w:val="28"/>
        <w:spacing w:line="360" w:lineRule="auto"/>
        <w:ind w:firstLine="0"/>
        <w:rPr>
          <w:rFonts w:ascii="Times New Roman" w:hAnsi="Times New Roman"/>
          <w:sz w:val="24"/>
        </w:rPr>
      </w:pPr>
      <w:r>
        <w:rPr>
          <w:rFonts w:ascii="Times New Roman" w:hAnsi="Times New Roman"/>
          <w:sz w:val="24"/>
          <w:lang w:eastAsia="zh-CN"/>
        </w:rPr>
        <w:t>4</w:t>
      </w:r>
      <w:r>
        <w:rPr>
          <w:rFonts w:ascii="Times New Roman" w:hAnsi="Times New Roman"/>
          <w:sz w:val="24"/>
        </w:rPr>
        <w:t>、特定资格条件：</w:t>
      </w:r>
    </w:p>
    <w:p>
      <w:pPr>
        <w:pStyle w:val="28"/>
        <w:spacing w:line="360" w:lineRule="auto"/>
        <w:ind w:firstLine="116" w:firstLineChars="50"/>
        <w:rPr>
          <w:rFonts w:ascii="Times New Roman" w:hAnsi="Times New Roman"/>
          <w:sz w:val="24"/>
          <w:lang w:eastAsia="zh-CN"/>
        </w:rPr>
      </w:pPr>
      <w:r>
        <w:rPr>
          <w:rFonts w:ascii="Times New Roman" w:hAnsi="Times New Roman"/>
          <w:sz w:val="24"/>
        </w:rPr>
        <w:t>（1）本项目不接受联合体参加投标。</w:t>
      </w:r>
    </w:p>
    <w:p>
      <w:pPr>
        <w:pStyle w:val="28"/>
        <w:spacing w:line="360" w:lineRule="auto"/>
        <w:ind w:firstLine="0"/>
        <w:rPr>
          <w:rFonts w:ascii="Times New Roman" w:hAnsi="Times New Roman"/>
          <w:sz w:val="24"/>
        </w:rPr>
      </w:pPr>
      <w:r>
        <w:rPr>
          <w:rFonts w:ascii="Times New Roman" w:hAnsi="Times New Roman"/>
          <w:sz w:val="24"/>
        </w:rPr>
        <w:t>六.招标文件的发售时间、地点、售价：</w:t>
      </w:r>
    </w:p>
    <w:p>
      <w:pPr>
        <w:pStyle w:val="28"/>
        <w:spacing w:line="360" w:lineRule="auto"/>
        <w:ind w:firstLine="360"/>
        <w:rPr>
          <w:rFonts w:ascii="Times New Roman" w:hAnsi="Times New Roman"/>
          <w:sz w:val="24"/>
        </w:rPr>
      </w:pPr>
      <w:r>
        <w:rPr>
          <w:rFonts w:ascii="Times New Roman" w:hAnsi="Times New Roman"/>
          <w:sz w:val="24"/>
        </w:rPr>
        <w:t>1.发售时间：</w:t>
      </w:r>
      <w:bookmarkStart w:id="2" w:name="B19_招标文件发售起始日期"/>
      <w:bookmarkEnd w:id="2"/>
      <w:r>
        <w:rPr>
          <w:rFonts w:ascii="Times New Roman" w:hAnsi="Times New Roman"/>
          <w:sz w:val="24"/>
        </w:rPr>
        <w:t>即日起至</w:t>
      </w:r>
      <w:bookmarkStart w:id="3" w:name="B20_招标文件发售截止日期"/>
      <w:bookmarkEnd w:id="3"/>
      <w:r>
        <w:rPr>
          <w:rFonts w:ascii="Times New Roman" w:hAnsi="Times New Roman"/>
          <w:sz w:val="24"/>
        </w:rPr>
        <w:t>201</w:t>
      </w:r>
      <w:r>
        <w:rPr>
          <w:rFonts w:ascii="Times New Roman" w:hAnsi="Times New Roman"/>
          <w:sz w:val="24"/>
          <w:lang w:eastAsia="zh-CN"/>
        </w:rPr>
        <w:t>9</w:t>
      </w:r>
      <w:r>
        <w:rPr>
          <w:rFonts w:ascii="Times New Roman" w:hAnsi="Times New Roman"/>
          <w:sz w:val="24"/>
        </w:rPr>
        <w:t>年</w:t>
      </w:r>
      <w:r>
        <w:rPr>
          <w:rFonts w:hint="eastAsia" w:ascii="Times New Roman" w:hAnsi="Times New Roman"/>
          <w:sz w:val="24"/>
          <w:lang w:eastAsia="zh-CN"/>
        </w:rPr>
        <w:t>9</w:t>
      </w:r>
      <w:r>
        <w:rPr>
          <w:rFonts w:ascii="Times New Roman" w:hAnsi="Times New Roman"/>
          <w:sz w:val="24"/>
        </w:rPr>
        <w:t>月</w:t>
      </w:r>
      <w:r>
        <w:rPr>
          <w:rFonts w:hint="eastAsia" w:ascii="Times New Roman" w:hAnsi="Times New Roman"/>
          <w:sz w:val="24"/>
          <w:lang w:eastAsia="zh-CN"/>
        </w:rPr>
        <w:t>27</w:t>
      </w:r>
      <w:r>
        <w:rPr>
          <w:rFonts w:ascii="Times New Roman" w:hAnsi="Times New Roman"/>
          <w:sz w:val="24"/>
        </w:rPr>
        <w:t>日(双休日及法定节假日除外)</w:t>
      </w:r>
    </w:p>
    <w:p>
      <w:pPr>
        <w:pStyle w:val="28"/>
        <w:spacing w:line="360" w:lineRule="auto"/>
        <w:ind w:firstLine="1624" w:firstLineChars="700"/>
        <w:rPr>
          <w:rFonts w:ascii="Times New Roman" w:hAnsi="Times New Roman"/>
          <w:sz w:val="24"/>
        </w:rPr>
      </w:pPr>
      <w:r>
        <w:rPr>
          <w:rFonts w:ascii="Times New Roman" w:hAnsi="Times New Roman"/>
          <w:sz w:val="24"/>
        </w:rPr>
        <w:t>上午：</w:t>
      </w:r>
      <w:bookmarkStart w:id="4" w:name="B21_招标文件的发布上午时间"/>
      <w:r>
        <w:rPr>
          <w:rFonts w:ascii="Times New Roman" w:hAnsi="Times New Roman"/>
          <w:sz w:val="24"/>
        </w:rPr>
        <w:t>8:30-11:30</w:t>
      </w:r>
      <w:bookmarkEnd w:id="4"/>
      <w:r>
        <w:rPr>
          <w:rFonts w:ascii="Times New Roman" w:hAnsi="Times New Roman"/>
          <w:sz w:val="24"/>
        </w:rPr>
        <w:t xml:space="preserve">     下午：</w:t>
      </w:r>
      <w:bookmarkStart w:id="5" w:name="B22_招标文件的发布下午时间"/>
      <w:r>
        <w:rPr>
          <w:rFonts w:ascii="Times New Roman" w:hAnsi="Times New Roman"/>
          <w:sz w:val="24"/>
        </w:rPr>
        <w:t>13:30-17:00</w:t>
      </w:r>
      <w:bookmarkEnd w:id="5"/>
    </w:p>
    <w:p>
      <w:pPr>
        <w:pStyle w:val="28"/>
        <w:spacing w:line="360" w:lineRule="auto"/>
        <w:ind w:firstLine="360"/>
        <w:rPr>
          <w:rFonts w:ascii="Times New Roman" w:hAnsi="Times New Roman"/>
          <w:sz w:val="24"/>
        </w:rPr>
      </w:pPr>
      <w:r>
        <w:rPr>
          <w:rFonts w:ascii="Times New Roman" w:hAnsi="Times New Roman"/>
          <w:sz w:val="24"/>
        </w:rPr>
        <w:t>2.发售地点：</w:t>
      </w:r>
      <w:bookmarkStart w:id="6" w:name="B23_招标文件的发布地点"/>
      <w:r>
        <w:rPr>
          <w:rFonts w:ascii="Times New Roman" w:hAnsi="Times New Roman"/>
          <w:sz w:val="24"/>
        </w:rPr>
        <w:t>杭州市凤起路334号同方财富大厦14楼1408室</w:t>
      </w:r>
      <w:bookmarkEnd w:id="6"/>
    </w:p>
    <w:p>
      <w:pPr>
        <w:pStyle w:val="28"/>
        <w:spacing w:line="360" w:lineRule="auto"/>
        <w:ind w:firstLine="360"/>
        <w:rPr>
          <w:rFonts w:ascii="Times New Roman" w:hAnsi="Times New Roman"/>
          <w:sz w:val="24"/>
        </w:rPr>
      </w:pPr>
      <w:r>
        <w:rPr>
          <w:rFonts w:ascii="Times New Roman" w:hAnsi="Times New Roman"/>
          <w:sz w:val="24"/>
        </w:rPr>
        <w:t>3.售价：每本</w:t>
      </w:r>
      <w:r>
        <w:rPr>
          <w:rFonts w:ascii="Times New Roman" w:hAnsi="Times New Roman"/>
          <w:sz w:val="24"/>
          <w:lang w:eastAsia="zh-CN"/>
        </w:rPr>
        <w:t>5</w:t>
      </w:r>
      <w:r>
        <w:rPr>
          <w:rFonts w:ascii="Times New Roman" w:hAnsi="Times New Roman"/>
          <w:sz w:val="24"/>
        </w:rPr>
        <w:t>00.00元（售后不退）</w:t>
      </w:r>
    </w:p>
    <w:p>
      <w:pPr>
        <w:pStyle w:val="28"/>
        <w:spacing w:line="360" w:lineRule="auto"/>
        <w:ind w:left="592" w:leftChars="171" w:hanging="233" w:hangingChars="100"/>
        <w:rPr>
          <w:rFonts w:ascii="Times New Roman" w:hAnsi="Times New Roman"/>
          <w:b/>
          <w:sz w:val="24"/>
        </w:rPr>
      </w:pPr>
      <w:r>
        <w:rPr>
          <w:rFonts w:ascii="Times New Roman" w:hAnsi="Times New Roman"/>
          <w:b/>
          <w:sz w:val="24"/>
        </w:rPr>
        <w:t>4、汇款请在用途栏中注明项目编号：0625-19215758</w:t>
      </w:r>
    </w:p>
    <w:p>
      <w:pPr>
        <w:pStyle w:val="28"/>
        <w:spacing w:line="360" w:lineRule="auto"/>
        <w:ind w:firstLine="0"/>
        <w:rPr>
          <w:rFonts w:ascii="Times New Roman" w:hAnsi="Times New Roman"/>
          <w:sz w:val="24"/>
        </w:rPr>
      </w:pPr>
      <w:r>
        <w:rPr>
          <w:rFonts w:ascii="Times New Roman" w:hAnsi="Times New Roman"/>
          <w:sz w:val="24"/>
        </w:rPr>
        <w:t>七.投标截止时间：</w:t>
      </w:r>
      <w:bookmarkStart w:id="7" w:name="B22_谈判响应文件提交截止日期"/>
      <w:bookmarkEnd w:id="7"/>
      <w:r>
        <w:rPr>
          <w:rFonts w:ascii="Times New Roman" w:hAnsi="Times New Roman"/>
          <w:sz w:val="24"/>
        </w:rPr>
        <w:t>201</w:t>
      </w:r>
      <w:r>
        <w:rPr>
          <w:rFonts w:hint="eastAsia" w:ascii="Times New Roman" w:hAnsi="Times New Roman"/>
          <w:sz w:val="24"/>
          <w:lang w:eastAsia="zh-CN"/>
        </w:rPr>
        <w:t>9</w:t>
      </w:r>
      <w:r>
        <w:rPr>
          <w:rFonts w:ascii="Times New Roman" w:hAnsi="Times New Roman"/>
          <w:sz w:val="24"/>
        </w:rPr>
        <w:t>年</w:t>
      </w:r>
      <w:r>
        <w:rPr>
          <w:rFonts w:hint="eastAsia" w:ascii="Times New Roman" w:hAnsi="Times New Roman"/>
          <w:sz w:val="24"/>
          <w:lang w:eastAsia="zh-CN"/>
        </w:rPr>
        <w:t>9</w:t>
      </w:r>
      <w:r>
        <w:rPr>
          <w:rFonts w:ascii="Times New Roman" w:hAnsi="Times New Roman"/>
          <w:sz w:val="24"/>
        </w:rPr>
        <w:t>月</w:t>
      </w:r>
      <w:r>
        <w:rPr>
          <w:rFonts w:hint="eastAsia" w:ascii="Times New Roman" w:hAnsi="Times New Roman"/>
          <w:sz w:val="24"/>
          <w:lang w:eastAsia="zh-CN"/>
        </w:rPr>
        <w:t>29</w:t>
      </w:r>
      <w:r>
        <w:rPr>
          <w:rFonts w:ascii="Times New Roman" w:hAnsi="Times New Roman"/>
          <w:sz w:val="24"/>
        </w:rPr>
        <w:t>日</w:t>
      </w:r>
      <w:r>
        <w:rPr>
          <w:rFonts w:ascii="Times New Roman" w:hAnsi="Times New Roman"/>
          <w:sz w:val="24"/>
          <w:lang w:eastAsia="zh-CN"/>
        </w:rPr>
        <w:t>09</w:t>
      </w:r>
      <w:r>
        <w:rPr>
          <w:rFonts w:ascii="Times New Roman" w:hAnsi="Times New Roman"/>
          <w:sz w:val="24"/>
        </w:rPr>
        <w:t>:</w:t>
      </w:r>
      <w:r>
        <w:rPr>
          <w:rFonts w:ascii="Times New Roman" w:hAnsi="Times New Roman"/>
          <w:sz w:val="24"/>
          <w:lang w:eastAsia="zh-CN"/>
        </w:rPr>
        <w:t>0</w:t>
      </w:r>
      <w:r>
        <w:rPr>
          <w:rFonts w:ascii="Times New Roman" w:hAnsi="Times New Roman"/>
          <w:sz w:val="24"/>
        </w:rPr>
        <w:t>0（北京时间）</w:t>
      </w:r>
    </w:p>
    <w:p>
      <w:pPr>
        <w:pStyle w:val="28"/>
        <w:spacing w:line="360" w:lineRule="auto"/>
        <w:ind w:firstLine="0"/>
        <w:rPr>
          <w:rFonts w:ascii="Times New Roman" w:hAnsi="Times New Roman"/>
          <w:sz w:val="24"/>
        </w:rPr>
      </w:pPr>
      <w:r>
        <w:rPr>
          <w:rFonts w:ascii="Times New Roman" w:hAnsi="Times New Roman"/>
          <w:sz w:val="24"/>
        </w:rPr>
        <w:t>八.投标地址：</w:t>
      </w:r>
      <w:r>
        <w:rPr>
          <w:rFonts w:hint="eastAsia" w:ascii="Times New Roman" w:hAnsi="Times New Roman"/>
          <w:sz w:val="24"/>
        </w:rPr>
        <w:t>杭州市凤起路334号同方财富大厦14层</w:t>
      </w:r>
      <w:r>
        <w:rPr>
          <w:rFonts w:hint="eastAsia" w:ascii="Times New Roman" w:hAnsi="Times New Roman"/>
          <w:sz w:val="24"/>
          <w:lang w:eastAsia="zh-CN"/>
        </w:rPr>
        <w:t>1412开标厅</w:t>
      </w:r>
    </w:p>
    <w:p>
      <w:pPr>
        <w:pStyle w:val="28"/>
        <w:spacing w:line="360" w:lineRule="auto"/>
        <w:ind w:firstLine="0"/>
        <w:rPr>
          <w:rFonts w:ascii="Times New Roman" w:hAnsi="Times New Roman"/>
          <w:sz w:val="24"/>
        </w:rPr>
      </w:pPr>
      <w:r>
        <w:rPr>
          <w:rFonts w:ascii="Times New Roman" w:hAnsi="Times New Roman"/>
          <w:sz w:val="24"/>
        </w:rPr>
        <w:t>九.开标时间：</w:t>
      </w:r>
      <w:bookmarkStart w:id="8" w:name="B25_谈判时间日期"/>
      <w:bookmarkEnd w:id="8"/>
      <w:r>
        <w:rPr>
          <w:rFonts w:ascii="Times New Roman" w:hAnsi="Times New Roman"/>
          <w:sz w:val="24"/>
        </w:rPr>
        <w:t>201</w:t>
      </w:r>
      <w:r>
        <w:rPr>
          <w:rFonts w:hint="eastAsia" w:ascii="Times New Roman" w:hAnsi="Times New Roman"/>
          <w:sz w:val="24"/>
          <w:lang w:eastAsia="zh-CN"/>
        </w:rPr>
        <w:t>9</w:t>
      </w:r>
      <w:r>
        <w:rPr>
          <w:rFonts w:ascii="Times New Roman" w:hAnsi="Times New Roman"/>
          <w:sz w:val="24"/>
        </w:rPr>
        <w:t>年</w:t>
      </w:r>
      <w:r>
        <w:rPr>
          <w:rFonts w:hint="eastAsia" w:ascii="Times New Roman" w:hAnsi="Times New Roman"/>
          <w:sz w:val="24"/>
          <w:lang w:eastAsia="zh-CN"/>
        </w:rPr>
        <w:t>9</w:t>
      </w:r>
      <w:r>
        <w:rPr>
          <w:rFonts w:ascii="Times New Roman" w:hAnsi="Times New Roman"/>
          <w:sz w:val="24"/>
        </w:rPr>
        <w:t>月</w:t>
      </w:r>
      <w:r>
        <w:rPr>
          <w:rFonts w:hint="eastAsia" w:ascii="Times New Roman" w:hAnsi="Times New Roman"/>
          <w:sz w:val="24"/>
          <w:lang w:eastAsia="zh-CN"/>
        </w:rPr>
        <w:t>29</w:t>
      </w:r>
      <w:r>
        <w:rPr>
          <w:rFonts w:ascii="Times New Roman" w:hAnsi="Times New Roman"/>
          <w:sz w:val="24"/>
        </w:rPr>
        <w:t>日</w:t>
      </w:r>
      <w:r>
        <w:rPr>
          <w:rFonts w:ascii="Times New Roman" w:hAnsi="Times New Roman"/>
          <w:sz w:val="24"/>
          <w:lang w:eastAsia="zh-CN"/>
        </w:rPr>
        <w:t>09</w:t>
      </w:r>
      <w:r>
        <w:rPr>
          <w:rFonts w:ascii="Times New Roman" w:hAnsi="Times New Roman"/>
          <w:sz w:val="24"/>
        </w:rPr>
        <w:t>:</w:t>
      </w:r>
      <w:r>
        <w:rPr>
          <w:rFonts w:ascii="Times New Roman" w:hAnsi="Times New Roman"/>
          <w:sz w:val="24"/>
          <w:lang w:eastAsia="zh-CN"/>
        </w:rPr>
        <w:t>0</w:t>
      </w:r>
      <w:r>
        <w:rPr>
          <w:rFonts w:ascii="Times New Roman" w:hAnsi="Times New Roman"/>
          <w:sz w:val="24"/>
        </w:rPr>
        <w:t>0（北京时间）</w:t>
      </w:r>
    </w:p>
    <w:p>
      <w:pPr>
        <w:pStyle w:val="28"/>
        <w:spacing w:line="360" w:lineRule="auto"/>
        <w:ind w:firstLine="0"/>
        <w:rPr>
          <w:rFonts w:ascii="Times New Roman" w:hAnsi="Times New Roman"/>
          <w:sz w:val="24"/>
        </w:rPr>
      </w:pPr>
      <w:r>
        <w:rPr>
          <w:rFonts w:ascii="Times New Roman" w:hAnsi="Times New Roman"/>
          <w:sz w:val="24"/>
        </w:rPr>
        <w:t>十.开标地址：</w:t>
      </w:r>
      <w:r>
        <w:rPr>
          <w:rFonts w:hint="eastAsia" w:ascii="Times New Roman" w:hAnsi="Times New Roman"/>
          <w:sz w:val="24"/>
          <w:lang w:eastAsia="zh-CN"/>
        </w:rPr>
        <w:t>杭州市凤起路334号同方财富大厦14层1412开标厅</w:t>
      </w:r>
    </w:p>
    <w:p>
      <w:pPr>
        <w:snapToGrid w:val="0"/>
        <w:spacing w:line="360" w:lineRule="auto"/>
        <w:rPr>
          <w:kern w:val="0"/>
          <w:sz w:val="24"/>
        </w:rPr>
      </w:pPr>
      <w:r>
        <w:rPr>
          <w:sz w:val="24"/>
        </w:rPr>
        <w:t>十一.投标保证金：</w:t>
      </w:r>
      <w:r>
        <w:rPr>
          <w:rFonts w:hint="eastAsia"/>
          <w:spacing w:val="-4"/>
          <w:sz w:val="24"/>
          <w:szCs w:val="20"/>
        </w:rPr>
        <w:t>不收取</w:t>
      </w:r>
    </w:p>
    <w:p>
      <w:pPr>
        <w:pStyle w:val="28"/>
        <w:spacing w:line="360" w:lineRule="auto"/>
        <w:ind w:firstLine="0"/>
        <w:rPr>
          <w:rFonts w:ascii="Times New Roman" w:hAnsi="Times New Roman"/>
          <w:sz w:val="24"/>
        </w:rPr>
      </w:pPr>
      <w:r>
        <w:rPr>
          <w:rFonts w:ascii="Times New Roman" w:hAnsi="Times New Roman"/>
          <w:sz w:val="24"/>
        </w:rPr>
        <w:t>十二.其他事项：</w:t>
      </w:r>
    </w:p>
    <w:p>
      <w:pPr>
        <w:pStyle w:val="28"/>
        <w:spacing w:line="360" w:lineRule="auto"/>
        <w:ind w:left="348" w:hanging="348" w:hangingChars="150"/>
        <w:rPr>
          <w:rFonts w:ascii="Times New Roman" w:hAnsi="Times New Roman"/>
          <w:sz w:val="24"/>
        </w:rPr>
      </w:pPr>
      <w:r>
        <w:rPr>
          <w:rFonts w:ascii="Times New Roman" w:hAnsi="Times New Roman"/>
          <w:sz w:val="24"/>
        </w:rPr>
        <w:t>1. 供应商认为招标文件、招标过程和中标结果使自己的权益受到损害的，可以在知道或者应知其权益受到损害之日起七个工作日内，以书面形式向采购组织机构或采购人提出质疑。</w:t>
      </w:r>
    </w:p>
    <w:p>
      <w:pPr>
        <w:pStyle w:val="28"/>
        <w:spacing w:line="360" w:lineRule="auto"/>
        <w:ind w:left="359" w:leftChars="171" w:firstLine="0"/>
        <w:rPr>
          <w:rFonts w:ascii="Times New Roman" w:hAnsi="Times New Roman"/>
          <w:sz w:val="24"/>
        </w:rPr>
      </w:pPr>
      <w:r>
        <w:rPr>
          <w:rFonts w:ascii="Times New Roman" w:hAnsi="Times New Roman"/>
          <w:sz w:val="24"/>
        </w:rPr>
        <w:t>供应商应知其权益受到损害之日，是指：</w:t>
      </w:r>
    </w:p>
    <w:p>
      <w:pPr>
        <w:pStyle w:val="28"/>
        <w:spacing w:line="360" w:lineRule="auto"/>
        <w:ind w:left="819" w:leftChars="114" w:hanging="580" w:hangingChars="250"/>
        <w:rPr>
          <w:rFonts w:ascii="Times New Roman" w:hAnsi="Times New Roman"/>
          <w:sz w:val="24"/>
        </w:rPr>
      </w:pPr>
      <w:r>
        <w:rPr>
          <w:rFonts w:ascii="Times New Roman" w:hAnsi="Times New Roman"/>
          <w:sz w:val="24"/>
        </w:rPr>
        <w:t>（1）对</w:t>
      </w:r>
      <w:r>
        <w:rPr>
          <w:rFonts w:ascii="Times New Roman" w:hAnsi="Times New Roman"/>
          <w:kern w:val="0"/>
          <w:sz w:val="24"/>
        </w:rPr>
        <w:t>可以质疑的</w:t>
      </w:r>
      <w:r>
        <w:rPr>
          <w:rFonts w:ascii="Times New Roman" w:hAnsi="Times New Roman"/>
          <w:sz w:val="24"/>
        </w:rPr>
        <w:t>招标文件提出质疑的，为收到招标文件之日</w:t>
      </w:r>
      <w:r>
        <w:rPr>
          <w:rFonts w:ascii="Times New Roman" w:hAnsi="Times New Roman"/>
          <w:kern w:val="0"/>
          <w:sz w:val="24"/>
        </w:rPr>
        <w:t>。</w:t>
      </w:r>
      <w:r>
        <w:rPr>
          <w:rFonts w:ascii="Times New Roman" w:hAnsi="Times New Roman"/>
          <w:sz w:val="24"/>
        </w:rPr>
        <w:t>收到招标文件之日起至投标截止时间止不足七个工作日的，</w:t>
      </w:r>
      <w:r>
        <w:rPr>
          <w:rFonts w:ascii="Times New Roman" w:hAnsi="Times New Roman"/>
          <w:kern w:val="0"/>
          <w:sz w:val="24"/>
        </w:rPr>
        <w:t>应当在投标截止时间前提出。</w:t>
      </w:r>
    </w:p>
    <w:p>
      <w:pPr>
        <w:pStyle w:val="28"/>
        <w:spacing w:line="360" w:lineRule="auto"/>
        <w:ind w:left="239" w:leftChars="114" w:firstLine="0"/>
        <w:rPr>
          <w:rFonts w:ascii="Times New Roman" w:hAnsi="Times New Roman"/>
          <w:sz w:val="24"/>
        </w:rPr>
      </w:pPr>
      <w:r>
        <w:rPr>
          <w:rFonts w:ascii="Times New Roman" w:hAnsi="Times New Roman"/>
          <w:sz w:val="24"/>
        </w:rPr>
        <w:t>（2）对采购过程提出质疑的，为各采购程序环节结束之日。</w:t>
      </w:r>
    </w:p>
    <w:p>
      <w:pPr>
        <w:pStyle w:val="28"/>
        <w:spacing w:line="360" w:lineRule="auto"/>
        <w:ind w:left="239" w:leftChars="114" w:firstLine="0"/>
        <w:rPr>
          <w:rFonts w:ascii="Times New Roman" w:hAnsi="Times New Roman"/>
          <w:sz w:val="24"/>
        </w:rPr>
      </w:pPr>
      <w:r>
        <w:rPr>
          <w:rFonts w:ascii="Times New Roman" w:hAnsi="Times New Roman"/>
          <w:sz w:val="24"/>
        </w:rPr>
        <w:t>（3）对中标结果提出质疑的，为中标结果公告期限届满之日。</w:t>
      </w:r>
    </w:p>
    <w:p>
      <w:pPr>
        <w:pStyle w:val="28"/>
        <w:spacing w:line="360" w:lineRule="auto"/>
        <w:ind w:left="232" w:hanging="232" w:hangingChars="100"/>
        <w:rPr>
          <w:rFonts w:ascii="Times New Roman" w:hAnsi="Times New Roman"/>
          <w:sz w:val="24"/>
        </w:rPr>
      </w:pPr>
      <w:r>
        <w:rPr>
          <w:rFonts w:ascii="Times New Roman" w:hAnsi="Times New Roman"/>
          <w:sz w:val="24"/>
        </w:rPr>
        <w:t>2.本项目执行促进中小企业发展政策。</w:t>
      </w:r>
    </w:p>
    <w:p>
      <w:pPr>
        <w:pStyle w:val="28"/>
        <w:spacing w:line="360" w:lineRule="auto"/>
        <w:ind w:left="232" w:hanging="232" w:hangingChars="100"/>
        <w:rPr>
          <w:rFonts w:ascii="Times New Roman" w:hAnsi="Times New Roman"/>
          <w:sz w:val="24"/>
        </w:rPr>
      </w:pPr>
      <w:r>
        <w:rPr>
          <w:rFonts w:ascii="Times New Roman" w:hAnsi="Times New Roman"/>
          <w:sz w:val="24"/>
        </w:rPr>
        <w:t>3.投标报名需提供资料：投标报名表</w:t>
      </w:r>
      <w:r>
        <w:rPr>
          <w:rFonts w:ascii="Times New Roman" w:hAnsi="Times New Roman"/>
          <w:sz w:val="24"/>
          <w:lang w:eastAsia="zh-CN"/>
        </w:rPr>
        <w:t>并加盖公章</w:t>
      </w:r>
      <w:r>
        <w:rPr>
          <w:rFonts w:ascii="Times New Roman" w:hAnsi="Times New Roman"/>
          <w:sz w:val="24"/>
        </w:rPr>
        <w:t>，格式见招标公告附件。</w:t>
      </w:r>
    </w:p>
    <w:p>
      <w:pPr>
        <w:pStyle w:val="28"/>
        <w:spacing w:line="360" w:lineRule="auto"/>
        <w:ind w:left="232" w:hanging="232" w:hangingChars="100"/>
        <w:rPr>
          <w:rFonts w:ascii="Times New Roman" w:hAnsi="Times New Roman"/>
          <w:sz w:val="24"/>
        </w:rPr>
      </w:pPr>
      <w:r>
        <w:rPr>
          <w:rFonts w:ascii="Times New Roman" w:hAnsi="Times New Roman"/>
          <w:sz w:val="24"/>
        </w:rPr>
        <w:t>4.</w:t>
      </w:r>
      <w:r>
        <w:rPr>
          <w:rFonts w:ascii="Times New Roman" w:hAnsi="Times New Roman"/>
        </w:rPr>
        <w:t xml:space="preserve"> </w:t>
      </w:r>
      <w:r>
        <w:rPr>
          <w:rFonts w:ascii="Times New Roman" w:hAnsi="Times New Roman"/>
          <w:sz w:val="24"/>
        </w:rPr>
        <w:t>潜在供应商可在浙江政府采购网http</w:t>
      </w:r>
      <w:r>
        <w:rPr>
          <w:rFonts w:hint="eastAsia" w:ascii="Times New Roman" w:hAnsi="Times New Roman"/>
          <w:sz w:val="24"/>
          <w:lang w:eastAsia="zh-CN"/>
        </w:rPr>
        <w:t>:</w:t>
      </w:r>
      <w:r>
        <w:rPr>
          <w:rFonts w:ascii="Times New Roman" w:hAnsi="Times New Roman"/>
          <w:sz w:val="24"/>
        </w:rPr>
        <w:t>//www.zjzfcg.gov.cn进行免费注册，具体详见浙江政府采购网供应商注册要求。</w:t>
      </w:r>
    </w:p>
    <w:p>
      <w:pPr>
        <w:pStyle w:val="28"/>
        <w:spacing w:line="360" w:lineRule="auto"/>
        <w:ind w:left="232" w:hanging="232" w:hangingChars="100"/>
        <w:rPr>
          <w:rFonts w:ascii="Times New Roman" w:hAnsi="Times New Roman"/>
          <w:sz w:val="24"/>
        </w:rPr>
      </w:pPr>
      <w:r>
        <w:rPr>
          <w:rFonts w:ascii="Times New Roman" w:hAnsi="Times New Roman"/>
          <w:sz w:val="24"/>
        </w:rPr>
        <w:t>5. 采购单位：温州医科大学附属眼视光医院、杭州眼视光科技有限公司</w:t>
      </w:r>
    </w:p>
    <w:p>
      <w:pPr>
        <w:pStyle w:val="28"/>
        <w:spacing w:line="360" w:lineRule="auto"/>
        <w:rPr>
          <w:rFonts w:ascii="Times New Roman" w:hAnsi="Times New Roman"/>
          <w:sz w:val="24"/>
        </w:rPr>
      </w:pPr>
      <w:r>
        <w:rPr>
          <w:rFonts w:ascii="Times New Roman" w:hAnsi="Times New Roman"/>
          <w:sz w:val="24"/>
        </w:rPr>
        <w:t>地址：</w:t>
      </w:r>
      <w:r>
        <w:rPr>
          <w:rFonts w:hint="eastAsia" w:ascii="Times New Roman" w:hAnsi="Times New Roman"/>
          <w:sz w:val="24"/>
        </w:rPr>
        <w:t>杭州市江干区凤起东路618号（杭州院区）</w:t>
      </w:r>
    </w:p>
    <w:p>
      <w:pPr>
        <w:pStyle w:val="28"/>
        <w:spacing w:line="360" w:lineRule="auto"/>
        <w:rPr>
          <w:rFonts w:hint="eastAsia" w:ascii="Times New Roman" w:hAnsi="Times New Roman"/>
          <w:sz w:val="24"/>
          <w:lang w:eastAsia="zh-CN"/>
        </w:rPr>
      </w:pPr>
      <w:r>
        <w:rPr>
          <w:rFonts w:ascii="Times New Roman" w:hAnsi="Times New Roman"/>
          <w:sz w:val="24"/>
        </w:rPr>
        <w:t>联系人：</w:t>
      </w:r>
      <w:r>
        <w:rPr>
          <w:rFonts w:hint="eastAsia" w:ascii="Times New Roman" w:hAnsi="Times New Roman"/>
          <w:sz w:val="24"/>
          <w:lang w:eastAsia="zh-CN"/>
        </w:rPr>
        <w:t>陈旭</w:t>
      </w:r>
    </w:p>
    <w:p>
      <w:pPr>
        <w:pStyle w:val="28"/>
        <w:spacing w:line="360" w:lineRule="auto"/>
        <w:rPr>
          <w:rFonts w:ascii="Times New Roman" w:hAnsi="Times New Roman"/>
          <w:sz w:val="24"/>
          <w:lang w:eastAsia="zh-CN"/>
        </w:rPr>
      </w:pPr>
      <w:r>
        <w:rPr>
          <w:rFonts w:ascii="Times New Roman" w:hAnsi="Times New Roman"/>
          <w:sz w:val="24"/>
        </w:rPr>
        <w:t>联系电话：057</w:t>
      </w:r>
      <w:r>
        <w:rPr>
          <w:rFonts w:hint="eastAsia" w:ascii="Times New Roman" w:hAnsi="Times New Roman"/>
          <w:sz w:val="24"/>
          <w:lang w:eastAsia="zh-CN"/>
        </w:rPr>
        <w:t>1</w:t>
      </w:r>
      <w:r>
        <w:rPr>
          <w:rFonts w:ascii="Times New Roman" w:hAnsi="Times New Roman"/>
          <w:sz w:val="24"/>
        </w:rPr>
        <w:t>-</w:t>
      </w:r>
      <w:r>
        <w:rPr>
          <w:rFonts w:hint="eastAsia" w:ascii="Times New Roman" w:hAnsi="Times New Roman"/>
          <w:sz w:val="24"/>
          <w:lang w:eastAsia="zh-CN"/>
        </w:rPr>
        <w:t>86795916</w:t>
      </w:r>
    </w:p>
    <w:p>
      <w:pPr>
        <w:pStyle w:val="28"/>
        <w:spacing w:line="360" w:lineRule="auto"/>
        <w:ind w:firstLine="0"/>
        <w:rPr>
          <w:rFonts w:ascii="Times New Roman" w:hAnsi="Times New Roman"/>
          <w:sz w:val="24"/>
        </w:rPr>
      </w:pPr>
      <w:r>
        <w:rPr>
          <w:rFonts w:ascii="Times New Roman" w:hAnsi="Times New Roman"/>
          <w:sz w:val="24"/>
        </w:rPr>
        <w:t>6. 招标代理机构：浙江省国际技术设备招标有限公司</w:t>
      </w:r>
    </w:p>
    <w:p>
      <w:pPr>
        <w:pStyle w:val="28"/>
        <w:spacing w:line="360" w:lineRule="auto"/>
        <w:ind w:firstLine="232" w:firstLineChars="100"/>
        <w:rPr>
          <w:rFonts w:ascii="Times New Roman" w:hAnsi="Times New Roman"/>
          <w:sz w:val="24"/>
        </w:rPr>
      </w:pPr>
      <w:r>
        <w:rPr>
          <w:rFonts w:ascii="Times New Roman" w:hAnsi="Times New Roman"/>
          <w:sz w:val="24"/>
        </w:rPr>
        <w:t>地址：浙江省杭州市凤起路334号同方财富大厦14楼</w:t>
      </w:r>
    </w:p>
    <w:p>
      <w:pPr>
        <w:pStyle w:val="28"/>
        <w:spacing w:line="360" w:lineRule="auto"/>
        <w:ind w:firstLine="232" w:firstLineChars="100"/>
        <w:rPr>
          <w:rFonts w:ascii="Times New Roman" w:hAnsi="Times New Roman"/>
          <w:sz w:val="24"/>
        </w:rPr>
      </w:pPr>
      <w:r>
        <w:rPr>
          <w:rFonts w:ascii="Times New Roman" w:hAnsi="Times New Roman"/>
          <w:sz w:val="24"/>
        </w:rPr>
        <w:t>联系人：林财</w:t>
      </w:r>
    </w:p>
    <w:p>
      <w:pPr>
        <w:pStyle w:val="28"/>
        <w:spacing w:line="360" w:lineRule="auto"/>
        <w:ind w:firstLine="232" w:firstLineChars="100"/>
        <w:rPr>
          <w:rFonts w:ascii="Times New Roman" w:hAnsi="Times New Roman"/>
          <w:sz w:val="24"/>
        </w:rPr>
      </w:pPr>
      <w:r>
        <w:rPr>
          <w:rFonts w:ascii="Times New Roman" w:hAnsi="Times New Roman"/>
          <w:sz w:val="24"/>
        </w:rPr>
        <w:t>联系电话：0571-85860240</w:t>
      </w:r>
    </w:p>
    <w:p>
      <w:pPr>
        <w:pStyle w:val="28"/>
        <w:spacing w:line="360" w:lineRule="auto"/>
        <w:ind w:firstLine="232" w:firstLineChars="100"/>
        <w:rPr>
          <w:rFonts w:ascii="Times New Roman" w:hAnsi="Times New Roman"/>
          <w:sz w:val="24"/>
        </w:rPr>
      </w:pPr>
      <w:r>
        <w:rPr>
          <w:rFonts w:ascii="Times New Roman" w:hAnsi="Times New Roman"/>
          <w:sz w:val="24"/>
        </w:rPr>
        <w:t>传真：0571-85860230</w:t>
      </w:r>
    </w:p>
    <w:p>
      <w:pPr>
        <w:pStyle w:val="28"/>
        <w:spacing w:line="360" w:lineRule="auto"/>
        <w:ind w:firstLine="232" w:firstLineChars="100"/>
        <w:rPr>
          <w:rFonts w:ascii="Times New Roman" w:hAnsi="Times New Roman"/>
          <w:sz w:val="24"/>
        </w:rPr>
      </w:pPr>
      <w:r>
        <w:rPr>
          <w:rFonts w:ascii="Times New Roman" w:hAnsi="Times New Roman"/>
          <w:sz w:val="24"/>
        </w:rPr>
        <w:t>E-mail: lincai800@qq.com</w:t>
      </w:r>
    </w:p>
    <w:p>
      <w:pPr>
        <w:pStyle w:val="28"/>
        <w:spacing w:line="360" w:lineRule="auto"/>
        <w:ind w:firstLine="0"/>
        <w:rPr>
          <w:rFonts w:ascii="Times New Roman" w:hAnsi="Times New Roman"/>
          <w:sz w:val="24"/>
        </w:rPr>
      </w:pPr>
      <w:r>
        <w:rPr>
          <w:rFonts w:ascii="Times New Roman" w:hAnsi="Times New Roman"/>
          <w:sz w:val="24"/>
        </w:rPr>
        <w:t>7.书面质疑受理地点：杭州市凤起路334号同方财富大厦14层1401室，</w:t>
      </w:r>
    </w:p>
    <w:p>
      <w:pPr>
        <w:pStyle w:val="28"/>
        <w:spacing w:line="360" w:lineRule="auto"/>
        <w:ind w:firstLine="232" w:firstLineChars="100"/>
        <w:rPr>
          <w:rFonts w:ascii="Times New Roman" w:hAnsi="Times New Roman"/>
          <w:sz w:val="24"/>
        </w:rPr>
      </w:pPr>
      <w:r>
        <w:rPr>
          <w:rFonts w:ascii="Times New Roman" w:hAnsi="Times New Roman"/>
          <w:sz w:val="24"/>
        </w:rPr>
        <w:t>联系人：喻胜良</w:t>
      </w:r>
    </w:p>
    <w:p>
      <w:pPr>
        <w:pStyle w:val="28"/>
        <w:spacing w:line="360" w:lineRule="auto"/>
        <w:ind w:firstLine="232" w:firstLineChars="100"/>
        <w:rPr>
          <w:rFonts w:ascii="Times New Roman" w:hAnsi="Times New Roman"/>
          <w:sz w:val="24"/>
        </w:rPr>
      </w:pPr>
      <w:r>
        <w:rPr>
          <w:rFonts w:ascii="Times New Roman" w:hAnsi="Times New Roman"/>
          <w:sz w:val="24"/>
        </w:rPr>
        <w:t>联系电话：0571-85860241</w:t>
      </w:r>
    </w:p>
    <w:p>
      <w:pPr>
        <w:pStyle w:val="28"/>
        <w:spacing w:line="360" w:lineRule="auto"/>
        <w:ind w:firstLine="0"/>
        <w:rPr>
          <w:rFonts w:ascii="Times New Roman" w:hAnsi="Times New Roman"/>
          <w:sz w:val="24"/>
        </w:rPr>
      </w:pPr>
      <w:r>
        <w:rPr>
          <w:rFonts w:ascii="Times New Roman" w:hAnsi="Times New Roman"/>
          <w:sz w:val="24"/>
        </w:rPr>
        <w:t>8. 政府采购监督部门：浙江省政府采购办</w:t>
      </w:r>
    </w:p>
    <w:p>
      <w:pPr>
        <w:pStyle w:val="28"/>
        <w:spacing w:line="360" w:lineRule="auto"/>
        <w:ind w:firstLine="232" w:firstLineChars="100"/>
        <w:rPr>
          <w:rFonts w:ascii="Times New Roman" w:hAnsi="Times New Roman"/>
          <w:sz w:val="24"/>
          <w:lang w:eastAsia="zh-CN"/>
        </w:rPr>
      </w:pPr>
      <w:r>
        <w:rPr>
          <w:rFonts w:ascii="Times New Roman" w:hAnsi="Times New Roman"/>
          <w:sz w:val="24"/>
        </w:rPr>
        <w:t>联系人：倪文良</w:t>
      </w:r>
    </w:p>
    <w:p>
      <w:pPr>
        <w:pStyle w:val="28"/>
        <w:spacing w:line="360" w:lineRule="auto"/>
        <w:ind w:firstLine="232" w:firstLineChars="100"/>
        <w:rPr>
          <w:rFonts w:ascii="Times New Roman" w:hAnsi="Times New Roman"/>
          <w:sz w:val="24"/>
          <w:lang w:eastAsia="zh-CN"/>
        </w:rPr>
      </w:pPr>
      <w:r>
        <w:rPr>
          <w:rFonts w:ascii="Times New Roman" w:hAnsi="Times New Roman"/>
          <w:sz w:val="24"/>
          <w:lang w:eastAsia="zh-CN"/>
        </w:rPr>
        <w:t>监督投诉电话：0571-87057615</w:t>
      </w:r>
    </w:p>
    <w:p>
      <w:pPr>
        <w:pStyle w:val="28"/>
        <w:spacing w:line="360" w:lineRule="auto"/>
        <w:ind w:firstLine="232" w:firstLineChars="100"/>
        <w:rPr>
          <w:rFonts w:ascii="Times New Roman" w:hAnsi="Times New Roman"/>
          <w:sz w:val="24"/>
          <w:lang w:eastAsia="zh-CN"/>
        </w:rPr>
      </w:pPr>
      <w:r>
        <w:rPr>
          <w:rFonts w:ascii="Times New Roman" w:hAnsi="Times New Roman"/>
          <w:sz w:val="24"/>
          <w:lang w:eastAsia="zh-CN"/>
        </w:rPr>
        <w:t>地址：杭州市环城西路37号</w:t>
      </w:r>
    </w:p>
    <w:p>
      <w:pPr>
        <w:snapToGrid w:val="0"/>
        <w:spacing w:line="360" w:lineRule="auto"/>
        <w:ind w:left="238"/>
        <w:jc w:val="center"/>
        <w:outlineLvl w:val="0"/>
        <w:rPr>
          <w:sz w:val="30"/>
          <w:szCs w:val="30"/>
        </w:rPr>
      </w:pPr>
      <w:r>
        <w:br w:type="page"/>
      </w:r>
      <w:bookmarkStart w:id="9" w:name="_Toc18854399"/>
      <w:r>
        <w:rPr>
          <w:sz w:val="30"/>
          <w:szCs w:val="30"/>
        </w:rPr>
        <w:t>第二章  投标人须知</w:t>
      </w:r>
      <w:bookmarkEnd w:id="9"/>
    </w:p>
    <w:p>
      <w:pPr>
        <w:snapToGrid w:val="0"/>
        <w:spacing w:before="120" w:beforeLines="50" w:after="120" w:afterLines="50" w:line="360" w:lineRule="auto"/>
        <w:ind w:left="238"/>
        <w:jc w:val="center"/>
        <w:outlineLvl w:val="1"/>
        <w:rPr>
          <w:b/>
          <w:sz w:val="28"/>
          <w:szCs w:val="28"/>
        </w:rPr>
      </w:pPr>
      <w:bookmarkStart w:id="10" w:name="_Toc18854400"/>
      <w:r>
        <w:rPr>
          <w:b/>
          <w:sz w:val="28"/>
          <w:szCs w:val="28"/>
        </w:rPr>
        <w:t>前附表</w:t>
      </w:r>
      <w:bookmarkEnd w:id="10"/>
    </w:p>
    <w:tbl>
      <w:tblPr>
        <w:tblStyle w:val="70"/>
        <w:tblW w:w="89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440"/>
        <w:gridCol w:w="66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9"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0"/>
              </w:rPr>
            </w:pPr>
            <w:r>
              <w:rPr>
                <w:sz w:val="24"/>
              </w:rPr>
              <w:t>序号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rPr>
            </w:pPr>
            <w:r>
              <w:rPr>
                <w:sz w:val="24"/>
              </w:rPr>
              <w:t>名  称</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0"/>
              </w:rPr>
            </w:pPr>
            <w:r>
              <w:rPr>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0"/>
              </w:rPr>
            </w:pPr>
            <w:r>
              <w:rPr>
                <w:sz w:val="24"/>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rPr>
            </w:pPr>
            <w:r>
              <w:rPr>
                <w:sz w:val="24"/>
              </w:rPr>
              <w:t>项目名称</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sz w:val="24"/>
              </w:rPr>
            </w:pPr>
            <w:r>
              <w:rPr>
                <w:sz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3"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rPr>
            </w:pPr>
            <w:r>
              <w:rPr>
                <w:sz w:val="24"/>
              </w:rPr>
              <w:t>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rPr>
            </w:pPr>
            <w:r>
              <w:rPr>
                <w:sz w:val="24"/>
              </w:rPr>
              <w:t>采购内容及数量</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sz w:val="24"/>
              </w:rPr>
            </w:pPr>
            <w:r>
              <w:rPr>
                <w:sz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3"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0"/>
              </w:rPr>
            </w:pPr>
            <w:r>
              <w:rPr>
                <w:sz w:val="24"/>
              </w:rPr>
              <w:t>3</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rPr>
            </w:pPr>
            <w:r>
              <w:rPr>
                <w:sz w:val="24"/>
              </w:rPr>
              <w:t>预算金额</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sz w:val="24"/>
              </w:rPr>
            </w:pPr>
            <w:r>
              <w:rPr>
                <w:sz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4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0"/>
              </w:rPr>
            </w:pPr>
            <w:r>
              <w:rPr>
                <w:sz w:val="24"/>
              </w:rPr>
              <w:t>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rPr>
            </w:pPr>
            <w:r>
              <w:rPr>
                <w:sz w:val="24"/>
              </w:rPr>
              <w:t>投标报价</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sz w:val="24"/>
              </w:rPr>
            </w:pPr>
            <w:r>
              <w:rPr>
                <w:sz w:val="24"/>
              </w:rPr>
              <w:t>1、本项目投标应以人民币报价；</w:t>
            </w:r>
          </w:p>
          <w:p>
            <w:pPr>
              <w:snapToGrid w:val="0"/>
              <w:spacing w:line="360" w:lineRule="auto"/>
              <w:ind w:left="360" w:hanging="360" w:hangingChars="150"/>
              <w:rPr>
                <w:sz w:val="24"/>
              </w:rPr>
            </w:pPr>
            <w:r>
              <w:rPr>
                <w:sz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9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0"/>
              </w:rPr>
            </w:pPr>
            <w:r>
              <w:rPr>
                <w:sz w:val="24"/>
              </w:rPr>
              <w:t>5</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rPr>
            </w:pPr>
            <w:r>
              <w:rPr>
                <w:sz w:val="24"/>
              </w:rPr>
              <w:t>投标保证金</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sz w:val="24"/>
              </w:rPr>
            </w:pPr>
            <w:r>
              <w:rPr>
                <w:rFonts w:hint="eastAsia"/>
                <w:sz w:val="24"/>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6"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0"/>
              </w:rPr>
            </w:pPr>
            <w:r>
              <w:rPr>
                <w:rFonts w:hint="eastAsia"/>
                <w:sz w:val="24"/>
              </w:rPr>
              <w:t>6</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rPr>
            </w:pPr>
            <w:r>
              <w:rPr>
                <w:sz w:val="24"/>
              </w:rPr>
              <w:t>踏勘现场</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sz w:val="24"/>
              </w:rPr>
            </w:pPr>
            <w:r>
              <w:rPr>
                <w:sz w:val="24"/>
              </w:rPr>
              <w:t>□ 组织</w:t>
            </w:r>
          </w:p>
          <w:p>
            <w:pPr>
              <w:snapToGrid w:val="0"/>
              <w:spacing w:line="360" w:lineRule="auto"/>
              <w:rPr>
                <w:sz w:val="24"/>
                <w:szCs w:val="20"/>
              </w:rPr>
            </w:pPr>
            <w:r>
              <w:rPr>
                <w:b/>
                <w:sz w:val="24"/>
              </w:rPr>
              <w:fldChar w:fldCharType="begin"/>
            </w:r>
            <w:r>
              <w:rPr>
                <w:b/>
                <w:sz w:val="24"/>
              </w:rPr>
              <w:instrText xml:space="preserve"> eq \o\ac(□,√)</w:instrText>
            </w:r>
            <w:r>
              <w:rPr>
                <w:b/>
                <w:sz w:val="24"/>
              </w:rPr>
              <w:fldChar w:fldCharType="end"/>
            </w:r>
            <w:r>
              <w:rPr>
                <w:sz w:val="24"/>
              </w:rPr>
              <w:t xml:space="preserve"> 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0"/>
              </w:rPr>
            </w:pPr>
            <w:r>
              <w:rPr>
                <w:sz w:val="24"/>
              </w:rPr>
              <w:t>7</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rPr>
            </w:pPr>
            <w:r>
              <w:rPr>
                <w:sz w:val="24"/>
              </w:rPr>
              <w:t>样品</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sz w:val="24"/>
              </w:rPr>
            </w:pPr>
            <w:r>
              <w:rPr>
                <w:sz w:val="24"/>
              </w:rPr>
              <w:t>□ 提供</w:t>
            </w:r>
          </w:p>
          <w:p>
            <w:pPr>
              <w:snapToGrid w:val="0"/>
              <w:spacing w:line="360" w:lineRule="auto"/>
              <w:rPr>
                <w:sz w:val="24"/>
              </w:rPr>
            </w:pPr>
            <w:r>
              <w:rPr>
                <w:b/>
                <w:sz w:val="24"/>
              </w:rPr>
              <w:fldChar w:fldCharType="begin"/>
            </w:r>
            <w:r>
              <w:rPr>
                <w:b/>
                <w:sz w:val="24"/>
              </w:rPr>
              <w:instrText xml:space="preserve"> eq \o\ac(□,√)</w:instrText>
            </w:r>
            <w:r>
              <w:rPr>
                <w:b/>
                <w:sz w:val="24"/>
              </w:rPr>
              <w:fldChar w:fldCharType="end"/>
            </w:r>
            <w:r>
              <w:rPr>
                <w:sz w:val="24"/>
              </w:rPr>
              <w:t xml:space="preserve"> 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0"/>
              </w:rPr>
            </w:pPr>
            <w:r>
              <w:rPr>
                <w:sz w:val="24"/>
              </w:rPr>
              <w:t>8</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rPr>
            </w:pPr>
            <w:r>
              <w:rPr>
                <w:sz w:val="24"/>
              </w:rPr>
              <w:t>演示</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sz w:val="24"/>
              </w:rPr>
            </w:pPr>
            <w:r>
              <w:rPr>
                <w:sz w:val="24"/>
              </w:rPr>
              <w:t>□要求</w:t>
            </w:r>
          </w:p>
          <w:p>
            <w:pPr>
              <w:snapToGrid w:val="0"/>
              <w:spacing w:line="360" w:lineRule="auto"/>
              <w:rPr>
                <w:sz w:val="24"/>
              </w:rPr>
            </w:pPr>
            <w:r>
              <w:rPr>
                <w:b/>
                <w:sz w:val="24"/>
              </w:rPr>
              <w:fldChar w:fldCharType="begin"/>
            </w:r>
            <w:r>
              <w:rPr>
                <w:b/>
                <w:sz w:val="24"/>
              </w:rPr>
              <w:instrText xml:space="preserve"> eq \o\ac(□,√)</w:instrText>
            </w:r>
            <w:r>
              <w:rPr>
                <w:b/>
                <w:sz w:val="24"/>
              </w:rPr>
              <w:fldChar w:fldCharType="end"/>
            </w:r>
            <w:r>
              <w:rPr>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0"/>
              </w:rPr>
            </w:pPr>
            <w:r>
              <w:rPr>
                <w:sz w:val="24"/>
              </w:rPr>
              <w:t>9</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rPr>
            </w:pPr>
            <w:r>
              <w:rPr>
                <w:sz w:val="24"/>
              </w:rPr>
              <w:t>招标文件</w:t>
            </w:r>
          </w:p>
          <w:p>
            <w:pPr>
              <w:snapToGrid w:val="0"/>
              <w:spacing w:line="360" w:lineRule="auto"/>
              <w:jc w:val="center"/>
              <w:rPr>
                <w:sz w:val="24"/>
              </w:rPr>
            </w:pPr>
            <w:r>
              <w:rPr>
                <w:sz w:val="24"/>
              </w:rPr>
              <w:t>澄清</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firstLineChars="200"/>
              <w:rPr>
                <w:sz w:val="24"/>
                <w:szCs w:val="20"/>
              </w:rPr>
            </w:pPr>
            <w:r>
              <w:rPr>
                <w:sz w:val="24"/>
              </w:rPr>
              <w:t>投标人如认为招标文件表述不清晰、存在前后矛盾等内容的，应当在投标截止日15天前以书面形式要求招标采购单位作出书面澄清。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0"/>
              </w:rPr>
            </w:pPr>
            <w:r>
              <w:rPr>
                <w:sz w:val="24"/>
              </w:rPr>
              <w:t>10</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rPr>
            </w:pPr>
            <w:r>
              <w:rPr>
                <w:sz w:val="24"/>
              </w:rPr>
              <w:t>投标文件</w:t>
            </w:r>
          </w:p>
          <w:p>
            <w:pPr>
              <w:snapToGrid w:val="0"/>
              <w:spacing w:line="360" w:lineRule="auto"/>
              <w:jc w:val="center"/>
              <w:rPr>
                <w:sz w:val="24"/>
              </w:rPr>
            </w:pPr>
            <w:r>
              <w:rPr>
                <w:sz w:val="24"/>
              </w:rPr>
              <w:t>组成</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sz w:val="24"/>
              </w:rPr>
            </w:pPr>
            <w:r>
              <w:rPr>
                <w:sz w:val="24"/>
              </w:rPr>
              <w:t>1、资格证明文件文件正本</w:t>
            </w:r>
            <w:r>
              <w:rPr>
                <w:sz w:val="24"/>
                <w:u w:val="single"/>
              </w:rPr>
              <w:t xml:space="preserve"> 1 </w:t>
            </w:r>
            <w:r>
              <w:rPr>
                <w:sz w:val="24"/>
              </w:rPr>
              <w:t>份；副本</w:t>
            </w:r>
            <w:r>
              <w:rPr>
                <w:sz w:val="24"/>
                <w:u w:val="single"/>
              </w:rPr>
              <w:t xml:space="preserve"> </w:t>
            </w:r>
            <w:r>
              <w:rPr>
                <w:rFonts w:hint="eastAsia"/>
                <w:sz w:val="24"/>
                <w:u w:val="single"/>
              </w:rPr>
              <w:t>5</w:t>
            </w:r>
            <w:r>
              <w:rPr>
                <w:sz w:val="24"/>
                <w:u w:val="single"/>
              </w:rPr>
              <w:t xml:space="preserve"> </w:t>
            </w:r>
            <w:r>
              <w:rPr>
                <w:sz w:val="24"/>
              </w:rPr>
              <w:t>份。</w:t>
            </w:r>
          </w:p>
          <w:p>
            <w:pPr>
              <w:autoSpaceDE w:val="0"/>
              <w:autoSpaceDN w:val="0"/>
              <w:snapToGrid w:val="0"/>
              <w:spacing w:line="360" w:lineRule="auto"/>
              <w:textAlignment w:val="bottom"/>
              <w:rPr>
                <w:sz w:val="24"/>
              </w:rPr>
            </w:pPr>
            <w:r>
              <w:rPr>
                <w:sz w:val="24"/>
              </w:rPr>
              <w:t>2、商务技术文件正本</w:t>
            </w:r>
            <w:r>
              <w:rPr>
                <w:sz w:val="24"/>
                <w:u w:val="single"/>
              </w:rPr>
              <w:t xml:space="preserve"> 1 </w:t>
            </w:r>
            <w:r>
              <w:rPr>
                <w:sz w:val="24"/>
              </w:rPr>
              <w:t>份；副本</w:t>
            </w:r>
            <w:r>
              <w:rPr>
                <w:sz w:val="24"/>
                <w:u w:val="single"/>
              </w:rPr>
              <w:t xml:space="preserve"> </w:t>
            </w:r>
            <w:r>
              <w:rPr>
                <w:rFonts w:hint="eastAsia"/>
                <w:sz w:val="24"/>
                <w:u w:val="single"/>
              </w:rPr>
              <w:t>5</w:t>
            </w:r>
            <w:r>
              <w:rPr>
                <w:sz w:val="24"/>
                <w:u w:val="single"/>
              </w:rPr>
              <w:t xml:space="preserve"> </w:t>
            </w:r>
            <w:r>
              <w:rPr>
                <w:sz w:val="24"/>
              </w:rPr>
              <w:t>份。</w:t>
            </w:r>
          </w:p>
          <w:p>
            <w:pPr>
              <w:autoSpaceDE w:val="0"/>
              <w:autoSpaceDN w:val="0"/>
              <w:snapToGrid w:val="0"/>
              <w:spacing w:line="360" w:lineRule="auto"/>
              <w:textAlignment w:val="bottom"/>
              <w:rPr>
                <w:sz w:val="24"/>
                <w:szCs w:val="20"/>
              </w:rPr>
            </w:pPr>
            <w:r>
              <w:rPr>
                <w:sz w:val="24"/>
              </w:rPr>
              <w:t>3、报价文件正本</w:t>
            </w:r>
            <w:r>
              <w:rPr>
                <w:sz w:val="24"/>
                <w:u w:val="single"/>
              </w:rPr>
              <w:t xml:space="preserve"> 1 </w:t>
            </w:r>
            <w:r>
              <w:rPr>
                <w:sz w:val="24"/>
              </w:rPr>
              <w:t>份；副本</w:t>
            </w:r>
            <w:r>
              <w:rPr>
                <w:sz w:val="24"/>
                <w:u w:val="single"/>
              </w:rPr>
              <w:t xml:space="preserve"> </w:t>
            </w:r>
            <w:r>
              <w:rPr>
                <w:rFonts w:hint="eastAsia"/>
                <w:sz w:val="24"/>
                <w:u w:val="single"/>
              </w:rPr>
              <w:t>5</w:t>
            </w:r>
            <w:r>
              <w:rPr>
                <w:sz w:val="24"/>
                <w:u w:val="single"/>
              </w:rPr>
              <w:t xml:space="preserve"> </w:t>
            </w:r>
            <w:r>
              <w:rPr>
                <w:sz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0"/>
              </w:rPr>
            </w:pPr>
            <w:r>
              <w:rPr>
                <w:sz w:val="24"/>
              </w:rPr>
              <w:t>11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rPr>
            </w:pPr>
            <w:r>
              <w:rPr>
                <w:sz w:val="24"/>
              </w:rPr>
              <w:t>投标文件</w:t>
            </w:r>
          </w:p>
          <w:p>
            <w:pPr>
              <w:snapToGrid w:val="0"/>
              <w:spacing w:line="360" w:lineRule="auto"/>
              <w:jc w:val="center"/>
              <w:rPr>
                <w:sz w:val="24"/>
              </w:rPr>
            </w:pPr>
            <w:r>
              <w:rPr>
                <w:sz w:val="24"/>
              </w:rPr>
              <w:t>装订要求</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480" w:firstLineChars="200"/>
              <w:jc w:val="left"/>
              <w:rPr>
                <w:sz w:val="24"/>
              </w:rPr>
            </w:pPr>
            <w:r>
              <w:rPr>
                <w:sz w:val="24"/>
              </w:rPr>
              <w:t>资格证明文件、商务技术文件、报价文件须分别装订成册，采用胶装，不得采用活页装订。采用活页装订的投标文件由现场工作人员退还投标人代表。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0"/>
              </w:rPr>
            </w:pPr>
            <w:r>
              <w:rPr>
                <w:sz w:val="24"/>
              </w:rPr>
              <w:t>12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rPr>
            </w:pPr>
            <w:r>
              <w:rPr>
                <w:sz w:val="24"/>
              </w:rPr>
              <w:t>投标文件</w:t>
            </w:r>
          </w:p>
          <w:p>
            <w:pPr>
              <w:snapToGrid w:val="0"/>
              <w:spacing w:line="360" w:lineRule="auto"/>
              <w:jc w:val="center"/>
              <w:rPr>
                <w:sz w:val="24"/>
              </w:rPr>
            </w:pPr>
            <w:r>
              <w:rPr>
                <w:sz w:val="24"/>
              </w:rPr>
              <w:t>密封要求</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ind w:firstLine="480" w:firstLineChars="200"/>
              <w:textAlignment w:val="bottom"/>
              <w:rPr>
                <w:sz w:val="24"/>
              </w:rPr>
            </w:pPr>
            <w:r>
              <w:rPr>
                <w:sz w:val="24"/>
              </w:rPr>
              <w:t>投标人应按资格证明文件、商务技术文件、报价文件三部分分别包装和密封。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0"/>
              </w:rPr>
            </w:pPr>
            <w:r>
              <w:rPr>
                <w:sz w:val="24"/>
              </w:rPr>
              <w:t>13</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rPr>
            </w:pPr>
            <w:r>
              <w:rPr>
                <w:sz w:val="24"/>
              </w:rPr>
              <w:t>投标截止时间和地点</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sz w:val="24"/>
                <w:szCs w:val="20"/>
              </w:rPr>
            </w:pPr>
            <w:r>
              <w:rPr>
                <w:sz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0"/>
              </w:rPr>
            </w:pPr>
            <w:r>
              <w:rPr>
                <w:sz w:val="24"/>
              </w:rPr>
              <w:t>14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rPr>
            </w:pPr>
            <w:r>
              <w:rPr>
                <w:sz w:val="24"/>
              </w:rPr>
              <w:t>开标时间和地点</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sz w:val="24"/>
                <w:szCs w:val="20"/>
              </w:rPr>
            </w:pPr>
            <w:r>
              <w:rPr>
                <w:sz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5"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0"/>
              </w:rPr>
            </w:pPr>
            <w:r>
              <w:rPr>
                <w:sz w:val="24"/>
              </w:rPr>
              <w:t>15</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rPr>
            </w:pPr>
            <w:r>
              <w:rPr>
                <w:sz w:val="24"/>
              </w:rPr>
              <w:t>评标办法</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sz w:val="24"/>
                <w:szCs w:val="20"/>
              </w:rPr>
            </w:pPr>
            <w:r>
              <w:rPr>
                <w:sz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5"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0"/>
              </w:rPr>
            </w:pPr>
            <w:r>
              <w:rPr>
                <w:sz w:val="24"/>
              </w:rPr>
              <w:t>16</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rPr>
            </w:pPr>
            <w:r>
              <w:rPr>
                <w:sz w:val="24"/>
                <w:szCs w:val="20"/>
              </w:rPr>
              <w:t>公告媒体</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sz w:val="24"/>
                <w:szCs w:val="20"/>
              </w:rPr>
            </w:pPr>
            <w:r>
              <w:rPr>
                <w:sz w:val="24"/>
                <w:szCs w:val="20"/>
              </w:rPr>
              <w:t>浙江政府采购网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0"/>
              </w:rPr>
            </w:pPr>
            <w:r>
              <w:rPr>
                <w:sz w:val="24"/>
              </w:rPr>
              <w:t>17</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rPr>
            </w:pPr>
            <w:r>
              <w:rPr>
                <w:sz w:val="24"/>
              </w:rPr>
              <w:t>投标文件有效期</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sz w:val="24"/>
              </w:rPr>
            </w:pPr>
            <w:r>
              <w:rPr>
                <w:sz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0"/>
              </w:rPr>
            </w:pPr>
            <w:r>
              <w:rPr>
                <w:sz w:val="24"/>
              </w:rPr>
              <w:t>18</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rPr>
            </w:pPr>
            <w:r>
              <w:rPr>
                <w:sz w:val="24"/>
              </w:rPr>
              <w:t>采购进口产品</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sz w:val="24"/>
              </w:rPr>
            </w:pPr>
            <w:r>
              <w:rPr>
                <w:sz w:val="24"/>
              </w:rPr>
              <w:t>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4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0"/>
              </w:rPr>
            </w:pPr>
            <w:r>
              <w:rPr>
                <w:sz w:val="24"/>
                <w:szCs w:val="20"/>
              </w:rPr>
              <w:t>19</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rPr>
            </w:pPr>
            <w:r>
              <w:rPr>
                <w:sz w:val="24"/>
              </w:rPr>
              <w:t>节能产品</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sz w:val="24"/>
              </w:rPr>
            </w:pPr>
            <w:r>
              <w:rPr>
                <w:sz w:val="24"/>
              </w:rPr>
              <w:t>□ 强制采购节能产品</w:t>
            </w:r>
          </w:p>
          <w:p>
            <w:pPr>
              <w:autoSpaceDE w:val="0"/>
              <w:autoSpaceDN w:val="0"/>
              <w:snapToGrid w:val="0"/>
              <w:spacing w:line="360" w:lineRule="auto"/>
              <w:textAlignment w:val="bottom"/>
              <w:rPr>
                <w:sz w:val="24"/>
              </w:rPr>
            </w:pPr>
            <w:r>
              <w:rPr>
                <w:sz w:val="24"/>
              </w:rPr>
              <w:t>□ 优先采购节能产品</w:t>
            </w:r>
          </w:p>
          <w:p>
            <w:pPr>
              <w:autoSpaceDE w:val="0"/>
              <w:autoSpaceDN w:val="0"/>
              <w:snapToGrid w:val="0"/>
              <w:spacing w:line="360" w:lineRule="auto"/>
              <w:textAlignment w:val="bottom"/>
              <w:rPr>
                <w:sz w:val="24"/>
              </w:rPr>
            </w:pPr>
            <w:r>
              <w:rPr>
                <w:b/>
                <w:sz w:val="24"/>
              </w:rPr>
              <w:fldChar w:fldCharType="begin"/>
            </w:r>
            <w:r>
              <w:rPr>
                <w:b/>
                <w:sz w:val="24"/>
              </w:rPr>
              <w:instrText xml:space="preserve"> eq \o\ac(□,√)</w:instrText>
            </w:r>
            <w:r>
              <w:rPr>
                <w:b/>
                <w:sz w:val="24"/>
              </w:rPr>
              <w:fldChar w:fldCharType="end"/>
            </w:r>
            <w:r>
              <w:rPr>
                <w:sz w:val="24"/>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rPr>
            </w:pPr>
            <w:r>
              <w:rPr>
                <w:sz w:val="24"/>
                <w:szCs w:val="20"/>
              </w:rPr>
              <w:t>20</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rPr>
            </w:pPr>
            <w:r>
              <w:rPr>
                <w:sz w:val="24"/>
              </w:rPr>
              <w:t>环境标志产品</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sz w:val="24"/>
              </w:rPr>
            </w:pPr>
            <w:r>
              <w:rPr>
                <w:sz w:val="24"/>
              </w:rPr>
              <w:t>□ 优先采购环境标志产品</w:t>
            </w:r>
          </w:p>
          <w:p>
            <w:pPr>
              <w:autoSpaceDE w:val="0"/>
              <w:autoSpaceDN w:val="0"/>
              <w:snapToGrid w:val="0"/>
              <w:spacing w:line="360" w:lineRule="auto"/>
              <w:textAlignment w:val="bottom"/>
              <w:rPr>
                <w:sz w:val="24"/>
              </w:rPr>
            </w:pPr>
            <w:r>
              <w:rPr>
                <w:b/>
                <w:sz w:val="24"/>
              </w:rPr>
              <w:fldChar w:fldCharType="begin"/>
            </w:r>
            <w:r>
              <w:rPr>
                <w:b/>
                <w:sz w:val="24"/>
              </w:rPr>
              <w:instrText xml:space="preserve"> eq \o\ac(□,√)</w:instrText>
            </w:r>
            <w:r>
              <w:rPr>
                <w:b/>
                <w:sz w:val="24"/>
              </w:rPr>
              <w:fldChar w:fldCharType="end"/>
            </w:r>
            <w:r>
              <w:rPr>
                <w:sz w:val="24"/>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0"/>
              </w:rPr>
            </w:pPr>
            <w:r>
              <w:rPr>
                <w:sz w:val="24"/>
              </w:rPr>
              <w:t>21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rPr>
            </w:pPr>
            <w:r>
              <w:rPr>
                <w:sz w:val="24"/>
              </w:rPr>
              <w:t>促进中小</w:t>
            </w:r>
          </w:p>
          <w:p>
            <w:pPr>
              <w:snapToGrid w:val="0"/>
              <w:spacing w:line="360" w:lineRule="auto"/>
              <w:jc w:val="center"/>
              <w:rPr>
                <w:sz w:val="24"/>
              </w:rPr>
            </w:pPr>
            <w:r>
              <w:rPr>
                <w:sz w:val="24"/>
              </w:rPr>
              <w:t>企业发展</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sz w:val="24"/>
              </w:rPr>
            </w:pPr>
            <w:r>
              <w:rPr>
                <w:sz w:val="24"/>
              </w:rPr>
              <w:t>本项目执行促进中小企业发展政策，</w:t>
            </w:r>
            <w:r>
              <w:rPr>
                <w:kern w:val="0"/>
                <w:sz w:val="24"/>
              </w:rPr>
              <w:t>监狱企业、</w:t>
            </w:r>
            <w:r>
              <w:rPr>
                <w:sz w:val="24"/>
              </w:rPr>
              <w:t>残疾人福利性单位</w:t>
            </w:r>
            <w:r>
              <w:rPr>
                <w:kern w:val="0"/>
                <w:sz w:val="24"/>
              </w:rPr>
              <w:t>视同小型、微型企业</w:t>
            </w:r>
            <w:r>
              <w:rPr>
                <w:sz w:val="24"/>
              </w:rPr>
              <w:t>。具体详见第三章《评标办法》。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0"/>
              </w:rPr>
            </w:pPr>
            <w:r>
              <w:rPr>
                <w:sz w:val="24"/>
                <w:szCs w:val="20"/>
              </w:rPr>
              <w:t>22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rPr>
            </w:pPr>
            <w:r>
              <w:rPr>
                <w:sz w:val="24"/>
              </w:rPr>
              <w:t>代理服务费</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360" w:hanging="360" w:hangingChars="150"/>
              <w:rPr>
                <w:sz w:val="24"/>
              </w:rPr>
            </w:pPr>
            <w:r>
              <w:rPr>
                <w:sz w:val="24"/>
              </w:rPr>
              <w:t>1、本项目代理服务费按计价格【2002】1980号文规定的90%向中标供应商收取。即100万以下部分按1.35%计取，100万</w:t>
            </w:r>
            <w:r>
              <w:rPr>
                <w:rFonts w:hint="eastAsia"/>
                <w:sz w:val="24"/>
              </w:rPr>
              <w:t>元</w:t>
            </w:r>
            <w:r>
              <w:rPr>
                <w:sz w:val="24"/>
              </w:rPr>
              <w:t>-500万</w:t>
            </w:r>
            <w:r>
              <w:rPr>
                <w:rFonts w:hint="eastAsia"/>
                <w:sz w:val="24"/>
              </w:rPr>
              <w:t>元</w:t>
            </w:r>
            <w:r>
              <w:rPr>
                <w:sz w:val="24"/>
              </w:rPr>
              <w:t>部分按0.72%计取</w:t>
            </w:r>
            <w:r>
              <w:rPr>
                <w:rFonts w:hint="eastAsia"/>
                <w:sz w:val="24"/>
              </w:rPr>
              <w:t>，500万-1000万元部分按0.405%计取，</w:t>
            </w:r>
            <w:r>
              <w:rPr>
                <w:sz w:val="24"/>
              </w:rPr>
              <w:t>分段计算累计汇总。</w:t>
            </w:r>
          </w:p>
          <w:p>
            <w:pPr>
              <w:pStyle w:val="28"/>
              <w:spacing w:line="360" w:lineRule="auto"/>
              <w:ind w:firstLine="348" w:firstLineChars="150"/>
              <w:rPr>
                <w:rFonts w:hint="eastAsia"/>
                <w:sz w:val="24"/>
              </w:rPr>
            </w:pPr>
            <w:r>
              <w:rPr>
                <w:rFonts w:ascii="Times New Roman" w:hAnsi="Times New Roman"/>
                <w:sz w:val="24"/>
                <w:lang w:val="en-US" w:eastAsia="zh-CN"/>
              </w:rPr>
              <w:t>投标人应当自中标公告发布之日起</w:t>
            </w:r>
            <w:r>
              <w:rPr>
                <w:sz w:val="24"/>
              </w:rPr>
              <w:t>5个工作日内一次性向采购代理机构支付代理服务费，并在投标文件中出具代理服务费支付承诺书（格式见第六章）。</w:t>
            </w:r>
          </w:p>
          <w:p>
            <w:pPr>
              <w:snapToGrid w:val="0"/>
              <w:spacing w:line="360" w:lineRule="auto"/>
              <w:rPr>
                <w:sz w:val="24"/>
              </w:rPr>
            </w:pPr>
            <w:r>
              <w:rPr>
                <w:sz w:val="24"/>
              </w:rPr>
              <w:t>2、代理服务费支付：</w:t>
            </w:r>
          </w:p>
          <w:p>
            <w:pPr>
              <w:snapToGrid w:val="0"/>
              <w:spacing w:line="360" w:lineRule="auto"/>
              <w:rPr>
                <w:sz w:val="24"/>
              </w:rPr>
            </w:pPr>
            <w:r>
              <w:rPr>
                <w:sz w:val="24"/>
              </w:rPr>
              <w:t>① 代理服务费缴纳形式：汇票/支票/电汇/现金</w:t>
            </w:r>
          </w:p>
          <w:p>
            <w:pPr>
              <w:snapToGrid w:val="0"/>
              <w:spacing w:line="360" w:lineRule="auto"/>
              <w:rPr>
                <w:sz w:val="24"/>
              </w:rPr>
            </w:pPr>
            <w:r>
              <w:rPr>
                <w:sz w:val="24"/>
              </w:rPr>
              <w:t>② 代理服务费汇入以下账户 ：</w:t>
            </w:r>
          </w:p>
          <w:p>
            <w:pPr>
              <w:pStyle w:val="28"/>
              <w:spacing w:line="360" w:lineRule="auto"/>
              <w:ind w:firstLine="348" w:firstLineChars="150"/>
              <w:rPr>
                <w:rFonts w:ascii="Times New Roman" w:hAnsi="Times New Roman"/>
                <w:sz w:val="24"/>
                <w:lang w:val="en-US" w:eastAsia="zh-CN"/>
              </w:rPr>
            </w:pPr>
            <w:r>
              <w:rPr>
                <w:rFonts w:ascii="Times New Roman" w:hAnsi="Times New Roman"/>
                <w:sz w:val="24"/>
                <w:lang w:val="en-US" w:eastAsia="zh-CN"/>
              </w:rPr>
              <w:t>收款单位（户名）：浙江省国际技术设备招标有限公司</w:t>
            </w:r>
          </w:p>
          <w:p>
            <w:pPr>
              <w:pStyle w:val="28"/>
              <w:spacing w:line="360" w:lineRule="auto"/>
              <w:ind w:firstLine="348" w:firstLineChars="150"/>
              <w:rPr>
                <w:rFonts w:ascii="Times New Roman" w:hAnsi="Times New Roman"/>
                <w:sz w:val="24"/>
                <w:lang w:val="en-US" w:eastAsia="zh-CN"/>
              </w:rPr>
            </w:pPr>
            <w:r>
              <w:rPr>
                <w:rFonts w:ascii="Times New Roman" w:hAnsi="Times New Roman"/>
                <w:sz w:val="24"/>
                <w:lang w:val="en-US" w:eastAsia="zh-CN"/>
              </w:rPr>
              <w:t>开  户：中国工商银行杭州分行武林支行</w:t>
            </w:r>
          </w:p>
          <w:p>
            <w:pPr>
              <w:snapToGrid w:val="0"/>
              <w:spacing w:line="360" w:lineRule="auto"/>
              <w:ind w:firstLine="360" w:firstLineChars="150"/>
              <w:rPr>
                <w:sz w:val="24"/>
              </w:rPr>
            </w:pPr>
            <w:r>
              <w:rPr>
                <w:sz w:val="24"/>
              </w:rPr>
              <w:t>账  号：1202021209006759843</w:t>
            </w:r>
          </w:p>
          <w:p>
            <w:pPr>
              <w:autoSpaceDE w:val="0"/>
              <w:autoSpaceDN w:val="0"/>
              <w:snapToGrid w:val="0"/>
              <w:spacing w:line="360" w:lineRule="auto"/>
              <w:ind w:left="360" w:hanging="360" w:hangingChars="150"/>
              <w:textAlignment w:val="bottom"/>
              <w:rPr>
                <w:sz w:val="24"/>
              </w:rPr>
            </w:pPr>
            <w:r>
              <w:rPr>
                <w:sz w:val="24"/>
              </w:rPr>
              <w:t>3、</w:t>
            </w:r>
            <w:r>
              <w:rPr>
                <w:b/>
                <w:sz w:val="24"/>
              </w:rPr>
              <w:t>增值税发票开票资料：单位名称、税号（统一社会信用代码）、开户行名称、账号、地址及联系电话。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0"/>
              </w:rPr>
            </w:pPr>
            <w:r>
              <w:rPr>
                <w:sz w:val="24"/>
                <w:szCs w:val="20"/>
              </w:rPr>
              <w:t>23</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rPr>
            </w:pPr>
            <w:r>
              <w:rPr>
                <w:sz w:val="24"/>
              </w:rPr>
              <w:t>解释权</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sz w:val="24"/>
              </w:rPr>
            </w:pPr>
            <w:r>
              <w:rPr>
                <w:sz w:val="24"/>
              </w:rPr>
              <w:t>本招标文件的解释权属于采购人和采购代理机构。</w:t>
            </w:r>
          </w:p>
        </w:tc>
      </w:tr>
    </w:tbl>
    <w:p>
      <w:pPr>
        <w:snapToGrid w:val="0"/>
        <w:spacing w:line="360" w:lineRule="auto"/>
        <w:rPr>
          <w:sz w:val="24"/>
          <w:szCs w:val="20"/>
        </w:rPr>
      </w:pPr>
    </w:p>
    <w:p>
      <w:pPr>
        <w:snapToGrid w:val="0"/>
        <w:spacing w:before="120" w:beforeLines="50" w:after="120" w:afterLines="50" w:line="360" w:lineRule="auto"/>
        <w:ind w:left="238"/>
        <w:jc w:val="center"/>
        <w:outlineLvl w:val="1"/>
        <w:rPr>
          <w:b/>
          <w:sz w:val="28"/>
          <w:szCs w:val="28"/>
        </w:rPr>
      </w:pPr>
      <w:r>
        <w:br w:type="page"/>
      </w:r>
      <w:bookmarkStart w:id="11" w:name="_Toc18854401"/>
      <w:r>
        <w:rPr>
          <w:b/>
          <w:sz w:val="28"/>
          <w:szCs w:val="28"/>
        </w:rPr>
        <w:t>一、总则</w:t>
      </w:r>
      <w:bookmarkEnd w:id="11"/>
    </w:p>
    <w:p>
      <w:pPr>
        <w:snapToGrid w:val="0"/>
        <w:spacing w:line="360" w:lineRule="auto"/>
        <w:ind w:firstLine="354" w:firstLineChars="147"/>
        <w:jc w:val="left"/>
        <w:rPr>
          <w:b/>
          <w:sz w:val="24"/>
          <w:szCs w:val="20"/>
        </w:rPr>
      </w:pPr>
      <w:r>
        <w:rPr>
          <w:b/>
          <w:sz w:val="24"/>
        </w:rPr>
        <w:t>（一） 适用范围</w:t>
      </w:r>
    </w:p>
    <w:p>
      <w:pPr>
        <w:snapToGrid w:val="0"/>
        <w:spacing w:line="360" w:lineRule="auto"/>
        <w:ind w:firstLine="480" w:firstLineChars="200"/>
        <w:jc w:val="left"/>
        <w:rPr>
          <w:sz w:val="24"/>
          <w:szCs w:val="20"/>
        </w:rPr>
      </w:pPr>
      <w:r>
        <w:rPr>
          <w:sz w:val="24"/>
        </w:rPr>
        <w:t>本招标文件适用于本次采购项目的招标、投标、评标、定标、验收、合同履约、付款等行为（法律、法规另有规定的，从其规定）。</w:t>
      </w:r>
    </w:p>
    <w:p>
      <w:pPr>
        <w:snapToGrid w:val="0"/>
        <w:spacing w:before="120" w:beforeLines="50" w:line="360" w:lineRule="auto"/>
        <w:ind w:firstLine="354" w:firstLineChars="147"/>
        <w:jc w:val="left"/>
        <w:rPr>
          <w:b/>
          <w:sz w:val="24"/>
          <w:szCs w:val="20"/>
        </w:rPr>
      </w:pPr>
      <w:r>
        <w:rPr>
          <w:b/>
          <w:sz w:val="24"/>
        </w:rPr>
        <w:t>（二）定义</w:t>
      </w:r>
    </w:p>
    <w:p>
      <w:pPr>
        <w:snapToGrid w:val="0"/>
        <w:spacing w:line="360" w:lineRule="auto"/>
        <w:ind w:firstLine="480" w:firstLineChars="200"/>
        <w:jc w:val="left"/>
        <w:rPr>
          <w:sz w:val="24"/>
          <w:szCs w:val="20"/>
        </w:rPr>
      </w:pPr>
      <w:r>
        <w:rPr>
          <w:sz w:val="24"/>
        </w:rPr>
        <w:t>1.招标采购单位：系指组织本次招标的代理机构和采购人。</w:t>
      </w:r>
    </w:p>
    <w:p>
      <w:pPr>
        <w:snapToGrid w:val="0"/>
        <w:spacing w:line="360" w:lineRule="auto"/>
        <w:ind w:firstLine="480" w:firstLineChars="200"/>
        <w:jc w:val="left"/>
        <w:rPr>
          <w:sz w:val="24"/>
        </w:rPr>
      </w:pPr>
      <w:r>
        <w:rPr>
          <w:sz w:val="24"/>
        </w:rPr>
        <w:t>2.投标人：系指购买了招标文件并向招标采购单位提交投标文件的单位或个人，也称作供应商。</w:t>
      </w:r>
    </w:p>
    <w:p>
      <w:pPr>
        <w:snapToGrid w:val="0"/>
        <w:spacing w:line="360" w:lineRule="auto"/>
        <w:ind w:firstLine="480" w:firstLineChars="200"/>
        <w:jc w:val="left"/>
        <w:rPr>
          <w:sz w:val="24"/>
        </w:rPr>
      </w:pPr>
      <w:r>
        <w:rPr>
          <w:sz w:val="24"/>
        </w:rPr>
        <w:t>3.投标人代表：是指参加本项目投标活动的供应商法定代表人或法定代表人授权代表。</w:t>
      </w:r>
    </w:p>
    <w:p>
      <w:pPr>
        <w:snapToGrid w:val="0"/>
        <w:spacing w:line="360" w:lineRule="auto"/>
        <w:ind w:firstLine="480" w:firstLineChars="200"/>
        <w:jc w:val="left"/>
        <w:rPr>
          <w:sz w:val="24"/>
        </w:rPr>
      </w:pPr>
      <w:r>
        <w:rPr>
          <w:sz w:val="24"/>
        </w:rPr>
        <w:t>4.联合体：是指两个以上供应商组成联合体，以一个供应商的身份参加投标。</w:t>
      </w:r>
    </w:p>
    <w:p>
      <w:pPr>
        <w:snapToGrid w:val="0"/>
        <w:spacing w:line="360" w:lineRule="auto"/>
        <w:ind w:firstLine="480" w:firstLineChars="200"/>
        <w:jc w:val="left"/>
        <w:rPr>
          <w:sz w:val="24"/>
        </w:rPr>
      </w:pPr>
      <w:r>
        <w:rPr>
          <w:sz w:val="24"/>
        </w:rPr>
        <w:t>5.甲方：是指合同签订的一方，一般与采购人、招标人、用户相同。</w:t>
      </w:r>
    </w:p>
    <w:p>
      <w:pPr>
        <w:snapToGrid w:val="0"/>
        <w:spacing w:line="360" w:lineRule="auto"/>
        <w:ind w:firstLine="480" w:firstLineChars="200"/>
        <w:jc w:val="left"/>
        <w:rPr>
          <w:sz w:val="24"/>
        </w:rPr>
      </w:pPr>
      <w:r>
        <w:rPr>
          <w:sz w:val="24"/>
        </w:rPr>
        <w:t>6.乙方：是指合同签订的另一方，与中标人相同。</w:t>
      </w:r>
    </w:p>
    <w:p>
      <w:pPr>
        <w:snapToGrid w:val="0"/>
        <w:spacing w:line="360" w:lineRule="auto"/>
        <w:ind w:firstLine="480" w:firstLineChars="200"/>
        <w:jc w:val="left"/>
        <w:rPr>
          <w:sz w:val="24"/>
        </w:rPr>
      </w:pPr>
      <w:r>
        <w:rPr>
          <w:sz w:val="24"/>
        </w:rPr>
        <w:t>7.“产品”或“服务”系指供方按招标文件规定，须向采购人提供的保洁、安保等物业服务。</w:t>
      </w:r>
    </w:p>
    <w:p>
      <w:pPr>
        <w:snapToGrid w:val="0"/>
        <w:spacing w:line="360" w:lineRule="auto"/>
        <w:ind w:firstLine="480" w:firstLineChars="200"/>
        <w:jc w:val="left"/>
        <w:rPr>
          <w:sz w:val="24"/>
          <w:szCs w:val="20"/>
        </w:rPr>
      </w:pPr>
      <w:r>
        <w:rPr>
          <w:sz w:val="24"/>
        </w:rPr>
        <w:t>8.“项目”系指投标人按招标文件规定向采购人提供的产品和服务。</w:t>
      </w:r>
    </w:p>
    <w:p>
      <w:pPr>
        <w:snapToGrid w:val="0"/>
        <w:spacing w:line="360" w:lineRule="auto"/>
        <w:ind w:firstLine="480" w:firstLineChars="200"/>
        <w:jc w:val="left"/>
        <w:rPr>
          <w:sz w:val="24"/>
          <w:szCs w:val="20"/>
        </w:rPr>
      </w:pPr>
      <w:r>
        <w:rPr>
          <w:sz w:val="24"/>
        </w:rPr>
        <w:t>9.“书面形式”包括信函、传真、电报等。</w:t>
      </w:r>
    </w:p>
    <w:p>
      <w:pPr>
        <w:snapToGrid w:val="0"/>
        <w:spacing w:line="360" w:lineRule="auto"/>
        <w:ind w:firstLine="480" w:firstLineChars="200"/>
        <w:jc w:val="left"/>
        <w:rPr>
          <w:sz w:val="24"/>
          <w:szCs w:val="20"/>
        </w:rPr>
      </w:pPr>
      <w:r>
        <w:rPr>
          <w:sz w:val="24"/>
        </w:rPr>
        <w:t>10.“▲”系指实质性要求条款，对标注“▲”的条款的负偏离将导致废标。</w:t>
      </w:r>
    </w:p>
    <w:p>
      <w:pPr>
        <w:snapToGrid w:val="0"/>
        <w:spacing w:before="120" w:beforeLines="50" w:line="360" w:lineRule="auto"/>
        <w:ind w:firstLine="472" w:firstLineChars="196"/>
        <w:jc w:val="left"/>
        <w:rPr>
          <w:b/>
          <w:sz w:val="24"/>
          <w:szCs w:val="20"/>
        </w:rPr>
      </w:pPr>
      <w:r>
        <w:rPr>
          <w:b/>
          <w:sz w:val="24"/>
        </w:rPr>
        <w:t>（三）招标方式</w:t>
      </w:r>
    </w:p>
    <w:p>
      <w:pPr>
        <w:snapToGrid w:val="0"/>
        <w:spacing w:line="360" w:lineRule="auto"/>
        <w:ind w:firstLine="480" w:firstLineChars="200"/>
        <w:jc w:val="left"/>
        <w:rPr>
          <w:sz w:val="24"/>
          <w:szCs w:val="20"/>
        </w:rPr>
      </w:pPr>
      <w:r>
        <w:rPr>
          <w:sz w:val="24"/>
        </w:rPr>
        <w:t>本次招标采用公开招标方式进行。</w:t>
      </w:r>
    </w:p>
    <w:p>
      <w:pPr>
        <w:snapToGrid w:val="0"/>
        <w:spacing w:before="120" w:beforeLines="50" w:line="360" w:lineRule="auto"/>
        <w:ind w:firstLine="472" w:firstLineChars="196"/>
        <w:jc w:val="left"/>
        <w:rPr>
          <w:b/>
          <w:sz w:val="24"/>
          <w:szCs w:val="20"/>
        </w:rPr>
      </w:pPr>
      <w:r>
        <w:rPr>
          <w:b/>
          <w:sz w:val="24"/>
        </w:rPr>
        <w:t>（四）投标委托</w:t>
      </w:r>
    </w:p>
    <w:p>
      <w:pPr>
        <w:pStyle w:val="28"/>
        <w:snapToGrid w:val="0"/>
        <w:spacing w:line="360" w:lineRule="auto"/>
        <w:ind w:firstLine="464" w:firstLineChars="200"/>
        <w:jc w:val="left"/>
        <w:rPr>
          <w:rFonts w:ascii="Times New Roman" w:hAnsi="Times New Roman"/>
          <w:sz w:val="24"/>
          <w:szCs w:val="24"/>
        </w:rPr>
      </w:pPr>
      <w:r>
        <w:rPr>
          <w:rFonts w:ascii="Times New Roman" w:hAnsi="Times New Roman"/>
          <w:sz w:val="24"/>
          <w:szCs w:val="24"/>
        </w:rPr>
        <w:t>投标人代表</w:t>
      </w:r>
      <w:r>
        <w:rPr>
          <w:rFonts w:ascii="Times New Roman" w:hAnsi="Times New Roman"/>
          <w:color w:val="000000"/>
          <w:kern w:val="0"/>
          <w:sz w:val="24"/>
        </w:rPr>
        <w:t>参加开标活动时</w:t>
      </w:r>
      <w:r>
        <w:rPr>
          <w:rFonts w:ascii="Times New Roman" w:hAnsi="Times New Roman"/>
          <w:sz w:val="24"/>
          <w:szCs w:val="24"/>
        </w:rPr>
        <w:t>应当携带有效身份证件。如投标人代表不是法定代表人，投标文件应当提供法定代表人出具的授权委托书（正本用原件，副本用复印件，格式见第六章）。</w:t>
      </w:r>
    </w:p>
    <w:p>
      <w:pPr>
        <w:snapToGrid w:val="0"/>
        <w:spacing w:before="120" w:beforeLines="50" w:line="360" w:lineRule="auto"/>
        <w:ind w:firstLine="472" w:firstLineChars="196"/>
        <w:jc w:val="left"/>
        <w:rPr>
          <w:b/>
          <w:sz w:val="24"/>
          <w:szCs w:val="20"/>
        </w:rPr>
      </w:pPr>
      <w:r>
        <w:rPr>
          <w:b/>
          <w:sz w:val="24"/>
        </w:rPr>
        <w:t>（五）投标费用</w:t>
      </w:r>
    </w:p>
    <w:p>
      <w:pPr>
        <w:snapToGrid w:val="0"/>
        <w:spacing w:line="360" w:lineRule="auto"/>
        <w:ind w:firstLine="480" w:firstLineChars="200"/>
        <w:jc w:val="left"/>
        <w:rPr>
          <w:sz w:val="24"/>
          <w:szCs w:val="20"/>
        </w:rPr>
      </w:pPr>
      <w:r>
        <w:rPr>
          <w:sz w:val="24"/>
        </w:rPr>
        <w:t>不论投标结果如何，投标人均应自行承担所有与投标有关的全部费用。</w:t>
      </w:r>
    </w:p>
    <w:p>
      <w:pPr>
        <w:snapToGrid w:val="0"/>
        <w:spacing w:before="120" w:beforeLines="50" w:line="360" w:lineRule="auto"/>
        <w:ind w:firstLine="472" w:firstLineChars="196"/>
        <w:jc w:val="left"/>
        <w:rPr>
          <w:b/>
          <w:sz w:val="24"/>
        </w:rPr>
      </w:pPr>
      <w:r>
        <w:rPr>
          <w:b/>
          <w:sz w:val="24"/>
        </w:rPr>
        <w:t>（六）联合体投标</w:t>
      </w:r>
    </w:p>
    <w:p>
      <w:pPr>
        <w:snapToGrid w:val="0"/>
        <w:spacing w:line="360" w:lineRule="auto"/>
        <w:ind w:firstLine="480" w:firstLineChars="200"/>
        <w:jc w:val="left"/>
        <w:rPr>
          <w:i/>
          <w:sz w:val="24"/>
        </w:rPr>
      </w:pPr>
      <w:r>
        <w:rPr>
          <w:kern w:val="0"/>
          <w:sz w:val="24"/>
        </w:rPr>
        <w:t>本项目不接受联合体投标</w:t>
      </w:r>
    </w:p>
    <w:p>
      <w:pPr>
        <w:snapToGrid w:val="0"/>
        <w:spacing w:before="120" w:beforeLines="50" w:line="360" w:lineRule="auto"/>
        <w:ind w:firstLine="472" w:firstLineChars="196"/>
        <w:jc w:val="left"/>
        <w:rPr>
          <w:b/>
          <w:sz w:val="24"/>
        </w:rPr>
      </w:pPr>
      <w:r>
        <w:rPr>
          <w:b/>
          <w:sz w:val="24"/>
        </w:rPr>
        <w:t>（七）转包与分包</w:t>
      </w:r>
    </w:p>
    <w:p>
      <w:pPr>
        <w:snapToGrid w:val="0"/>
        <w:spacing w:line="360" w:lineRule="auto"/>
        <w:ind w:firstLine="480" w:firstLineChars="200"/>
        <w:rPr>
          <w:kern w:val="0"/>
          <w:sz w:val="24"/>
          <w:szCs w:val="20"/>
        </w:rPr>
      </w:pPr>
      <w:r>
        <w:rPr>
          <w:kern w:val="0"/>
          <w:sz w:val="24"/>
        </w:rPr>
        <w:t>1.本项目不允许转包。</w:t>
      </w:r>
    </w:p>
    <w:p>
      <w:pPr>
        <w:snapToGrid w:val="0"/>
        <w:spacing w:line="360" w:lineRule="auto"/>
        <w:ind w:firstLine="480" w:firstLineChars="200"/>
        <w:rPr>
          <w:sz w:val="24"/>
          <w:szCs w:val="20"/>
        </w:rPr>
      </w:pPr>
      <w:r>
        <w:rPr>
          <w:kern w:val="0"/>
          <w:sz w:val="24"/>
        </w:rPr>
        <w:t>2.本项目不可以分包。</w:t>
      </w:r>
    </w:p>
    <w:p>
      <w:pPr>
        <w:snapToGrid w:val="0"/>
        <w:spacing w:before="120" w:beforeLines="50" w:line="360" w:lineRule="auto"/>
        <w:ind w:firstLine="472" w:firstLineChars="196"/>
        <w:jc w:val="left"/>
        <w:rPr>
          <w:b/>
          <w:sz w:val="24"/>
        </w:rPr>
      </w:pPr>
      <w:r>
        <w:rPr>
          <w:b/>
          <w:sz w:val="24"/>
        </w:rPr>
        <w:t>（八）特别说明：</w:t>
      </w:r>
    </w:p>
    <w:p>
      <w:pPr>
        <w:widowControl/>
        <w:spacing w:line="360" w:lineRule="auto"/>
        <w:ind w:firstLine="480" w:firstLineChars="200"/>
        <w:jc w:val="left"/>
        <w:rPr>
          <w:kern w:val="0"/>
          <w:sz w:val="24"/>
        </w:rPr>
      </w:pPr>
      <w:r>
        <w:rPr>
          <w:kern w:val="0"/>
          <w:sz w:val="24"/>
        </w:rPr>
        <w:t>1.投标人投标所使用的资格、信誉、荣誉、业绩与企业认证证书必须为该投标人所拥有。</w:t>
      </w:r>
    </w:p>
    <w:p>
      <w:pPr>
        <w:widowControl/>
        <w:spacing w:line="360" w:lineRule="auto"/>
        <w:ind w:firstLine="480" w:firstLineChars="200"/>
        <w:jc w:val="left"/>
        <w:rPr>
          <w:kern w:val="0"/>
          <w:sz w:val="24"/>
        </w:rPr>
      </w:pPr>
      <w:r>
        <w:rPr>
          <w:kern w:val="0"/>
          <w:sz w:val="24"/>
        </w:rPr>
        <w:t>2.投标人应仔细阅读招标文件的所有内容，按照招标文件的要求提交投标文件，并对所提供的全部资料的真实性承担法律责任。</w:t>
      </w:r>
    </w:p>
    <w:p>
      <w:pPr>
        <w:pStyle w:val="37"/>
        <w:snapToGrid w:val="0"/>
        <w:spacing w:before="120" w:after="120" w:line="360" w:lineRule="auto"/>
        <w:ind w:firstLine="472" w:firstLineChars="196"/>
        <w:rPr>
          <w:rFonts w:ascii="Times New Roman" w:hAnsi="Times New Roman"/>
          <w:b/>
          <w:bCs/>
          <w:kern w:val="0"/>
        </w:rPr>
      </w:pPr>
      <w:r>
        <w:rPr>
          <w:rFonts w:ascii="Times New Roman" w:hAnsi="Times New Roman"/>
          <w:b/>
          <w:bCs/>
        </w:rPr>
        <w:t>（九）质疑和投诉</w:t>
      </w:r>
    </w:p>
    <w:p>
      <w:pPr>
        <w:pStyle w:val="37"/>
        <w:snapToGrid w:val="0"/>
        <w:spacing w:before="120" w:after="120" w:line="360" w:lineRule="auto"/>
        <w:ind w:firstLine="480" w:firstLineChars="200"/>
        <w:rPr>
          <w:rFonts w:ascii="Times New Roman" w:hAnsi="Times New Roman"/>
        </w:rPr>
      </w:pPr>
      <w:r>
        <w:rPr>
          <w:rFonts w:ascii="Times New Roman" w:hAnsi="Times New Roman"/>
          <w:bCs/>
        </w:rPr>
        <w:t>1.投标人认为招标文件、招标过程或中标结果使自己的合法权益受到损害的，应当在知道或者应知其权益受到损害之日起七个工作日内，以书面形式向采购人、采购代理机构提出质疑。</w:t>
      </w:r>
      <w:r>
        <w:rPr>
          <w:rFonts w:ascii="Times New Roman" w:hAnsi="Times New Roman"/>
        </w:rPr>
        <w:t>投标人对招标采购单位的质疑答复不满意或者招标采购单位未在规定时间内作出答复的，可以在答复期满后十五个工作日内向同级采购监管部门投诉。</w:t>
      </w:r>
    </w:p>
    <w:p>
      <w:pPr>
        <w:pStyle w:val="28"/>
        <w:spacing w:line="360" w:lineRule="auto"/>
        <w:ind w:left="359" w:leftChars="171" w:firstLine="0"/>
        <w:rPr>
          <w:rFonts w:ascii="Times New Roman" w:hAnsi="Times New Roman"/>
          <w:sz w:val="24"/>
        </w:rPr>
      </w:pPr>
      <w:r>
        <w:rPr>
          <w:rFonts w:ascii="Times New Roman" w:hAnsi="Times New Roman"/>
          <w:sz w:val="24"/>
        </w:rPr>
        <w:t>供应商应知其权益受到损害之日，是指：</w:t>
      </w:r>
    </w:p>
    <w:p>
      <w:pPr>
        <w:pStyle w:val="28"/>
        <w:spacing w:line="360" w:lineRule="auto"/>
        <w:rPr>
          <w:rFonts w:ascii="Times New Roman" w:hAnsi="Times New Roman"/>
          <w:sz w:val="24"/>
        </w:rPr>
      </w:pPr>
      <w:r>
        <w:rPr>
          <w:rFonts w:ascii="Times New Roman" w:hAnsi="Times New Roman"/>
          <w:sz w:val="24"/>
        </w:rPr>
        <w:t>（1）对</w:t>
      </w:r>
      <w:r>
        <w:rPr>
          <w:rFonts w:ascii="Times New Roman" w:hAnsi="Times New Roman"/>
          <w:kern w:val="0"/>
          <w:sz w:val="24"/>
        </w:rPr>
        <w:t>可以质疑的</w:t>
      </w:r>
      <w:r>
        <w:rPr>
          <w:rFonts w:ascii="Times New Roman" w:hAnsi="Times New Roman"/>
          <w:sz w:val="24"/>
        </w:rPr>
        <w:t>招标文件提出质疑的，为收到招标文件之日</w:t>
      </w:r>
      <w:r>
        <w:rPr>
          <w:rFonts w:ascii="Times New Roman" w:hAnsi="Times New Roman"/>
          <w:kern w:val="0"/>
          <w:sz w:val="24"/>
        </w:rPr>
        <w:t>。</w:t>
      </w:r>
      <w:r>
        <w:rPr>
          <w:rFonts w:ascii="Times New Roman" w:hAnsi="Times New Roman"/>
          <w:sz w:val="24"/>
        </w:rPr>
        <w:t>收到招标文件之日起至投标截止时间止不足七个工作日的，</w:t>
      </w:r>
      <w:r>
        <w:rPr>
          <w:rFonts w:ascii="Times New Roman" w:hAnsi="Times New Roman"/>
          <w:kern w:val="0"/>
          <w:sz w:val="24"/>
        </w:rPr>
        <w:t xml:space="preserve">应当在投标截止时间前提出。  </w:t>
      </w:r>
    </w:p>
    <w:p>
      <w:pPr>
        <w:pStyle w:val="28"/>
        <w:spacing w:line="360" w:lineRule="auto"/>
        <w:ind w:left="296" w:leftChars="141" w:firstLine="0"/>
        <w:rPr>
          <w:rFonts w:ascii="Times New Roman" w:hAnsi="Times New Roman"/>
          <w:sz w:val="24"/>
        </w:rPr>
      </w:pPr>
      <w:r>
        <w:rPr>
          <w:rFonts w:ascii="Times New Roman" w:hAnsi="Times New Roman"/>
          <w:sz w:val="24"/>
        </w:rPr>
        <w:t>（2）对采购过程提出质疑的，为各采购程序环节结束之日。</w:t>
      </w:r>
      <w:r>
        <w:rPr>
          <w:rFonts w:ascii="Times New Roman" w:hAnsi="Times New Roman"/>
          <w:sz w:val="24"/>
        </w:rPr>
        <w:br w:type="textWrapping"/>
      </w:r>
      <w:r>
        <w:rPr>
          <w:rFonts w:ascii="Times New Roman" w:hAnsi="Times New Roman"/>
          <w:sz w:val="24"/>
        </w:rPr>
        <w:t>（</w:t>
      </w:r>
      <w:r>
        <w:rPr>
          <w:rFonts w:ascii="Times New Roman" w:hAnsi="Times New Roman"/>
          <w:sz w:val="24"/>
          <w:lang w:eastAsia="zh-CN"/>
        </w:rPr>
        <w:t>3</w:t>
      </w:r>
      <w:r>
        <w:rPr>
          <w:rFonts w:ascii="Times New Roman" w:hAnsi="Times New Roman"/>
          <w:sz w:val="24"/>
        </w:rPr>
        <w:t>）对中标结果提出质疑的，为成交结果公告期限届满之日。</w:t>
      </w:r>
    </w:p>
    <w:p>
      <w:pPr>
        <w:pStyle w:val="28"/>
        <w:spacing w:line="360" w:lineRule="auto"/>
        <w:ind w:left="359" w:leftChars="171" w:firstLine="116" w:firstLineChars="50"/>
        <w:rPr>
          <w:rFonts w:ascii="Times New Roman" w:hAnsi="Times New Roman"/>
          <w:sz w:val="24"/>
        </w:rPr>
      </w:pPr>
      <w:r>
        <w:rPr>
          <w:rFonts w:ascii="Times New Roman" w:hAnsi="Times New Roman"/>
          <w:sz w:val="24"/>
        </w:rPr>
        <w:t>2.质疑、投诉应当采用书面形式，质疑书、投诉书均应明确阐述招标文件、招</w:t>
      </w:r>
    </w:p>
    <w:p>
      <w:pPr>
        <w:pStyle w:val="28"/>
        <w:spacing w:line="360" w:lineRule="auto"/>
        <w:ind w:firstLine="0"/>
        <w:rPr>
          <w:rFonts w:ascii="Times New Roman" w:hAnsi="Times New Roman"/>
          <w:sz w:val="24"/>
        </w:rPr>
      </w:pPr>
      <w:r>
        <w:rPr>
          <w:rFonts w:ascii="Times New Roman" w:hAnsi="Times New Roman"/>
          <w:sz w:val="24"/>
        </w:rPr>
        <w:t>标过程或中标结果中使自己合法权益受到损害的实质性内容，提供相关事实、依据和证据及其来源或线索，便于有关单位调查、答复和处理。</w:t>
      </w:r>
    </w:p>
    <w:p>
      <w:pPr>
        <w:snapToGrid w:val="0"/>
        <w:spacing w:before="120" w:beforeLines="50" w:after="120" w:afterLines="50" w:line="360" w:lineRule="auto"/>
        <w:ind w:left="238"/>
        <w:jc w:val="center"/>
        <w:outlineLvl w:val="1"/>
        <w:rPr>
          <w:b/>
          <w:sz w:val="28"/>
          <w:szCs w:val="28"/>
        </w:rPr>
      </w:pPr>
      <w:bookmarkStart w:id="12" w:name="_Toc18854402"/>
      <w:r>
        <w:rPr>
          <w:b/>
          <w:sz w:val="28"/>
          <w:szCs w:val="28"/>
        </w:rPr>
        <w:t>二、招标文件</w:t>
      </w:r>
      <w:bookmarkEnd w:id="12"/>
    </w:p>
    <w:p>
      <w:pPr>
        <w:snapToGrid w:val="0"/>
        <w:spacing w:line="360" w:lineRule="auto"/>
        <w:ind w:firstLine="419" w:firstLineChars="174"/>
        <w:jc w:val="left"/>
        <w:outlineLvl w:val="2"/>
        <w:rPr>
          <w:b/>
          <w:sz w:val="24"/>
        </w:rPr>
      </w:pPr>
      <w:r>
        <w:rPr>
          <w:b/>
          <w:sz w:val="24"/>
        </w:rPr>
        <w:t>（一）招标文件的构成。本招标文件由以下部份组成：</w:t>
      </w:r>
    </w:p>
    <w:p>
      <w:pPr>
        <w:snapToGrid w:val="0"/>
        <w:spacing w:line="360" w:lineRule="auto"/>
        <w:ind w:firstLine="480" w:firstLineChars="200"/>
        <w:jc w:val="left"/>
        <w:rPr>
          <w:sz w:val="24"/>
          <w:szCs w:val="20"/>
        </w:rPr>
      </w:pPr>
      <w:r>
        <w:rPr>
          <w:sz w:val="24"/>
        </w:rPr>
        <w:t>1.招标公告</w:t>
      </w:r>
    </w:p>
    <w:p>
      <w:pPr>
        <w:snapToGrid w:val="0"/>
        <w:spacing w:line="360" w:lineRule="auto"/>
        <w:ind w:firstLine="480" w:firstLineChars="200"/>
        <w:jc w:val="left"/>
        <w:rPr>
          <w:sz w:val="24"/>
          <w:szCs w:val="20"/>
        </w:rPr>
      </w:pPr>
      <w:r>
        <w:rPr>
          <w:sz w:val="24"/>
        </w:rPr>
        <w:t>2.投标人须知</w:t>
      </w:r>
    </w:p>
    <w:p>
      <w:pPr>
        <w:snapToGrid w:val="0"/>
        <w:spacing w:line="360" w:lineRule="auto"/>
        <w:ind w:firstLine="480" w:firstLineChars="200"/>
        <w:jc w:val="left"/>
        <w:rPr>
          <w:sz w:val="24"/>
          <w:szCs w:val="20"/>
        </w:rPr>
      </w:pPr>
      <w:r>
        <w:rPr>
          <w:sz w:val="24"/>
        </w:rPr>
        <w:t>3.评标办法</w:t>
      </w:r>
    </w:p>
    <w:p>
      <w:pPr>
        <w:snapToGrid w:val="0"/>
        <w:spacing w:line="360" w:lineRule="auto"/>
        <w:ind w:firstLine="480" w:firstLineChars="200"/>
        <w:rPr>
          <w:sz w:val="24"/>
        </w:rPr>
      </w:pPr>
      <w:r>
        <w:rPr>
          <w:sz w:val="24"/>
        </w:rPr>
        <w:t>4.采购内容及需求</w:t>
      </w:r>
    </w:p>
    <w:p>
      <w:pPr>
        <w:snapToGrid w:val="0"/>
        <w:spacing w:line="360" w:lineRule="auto"/>
        <w:ind w:firstLine="480" w:firstLineChars="200"/>
        <w:jc w:val="left"/>
        <w:rPr>
          <w:sz w:val="24"/>
          <w:szCs w:val="20"/>
        </w:rPr>
      </w:pPr>
      <w:r>
        <w:rPr>
          <w:sz w:val="24"/>
        </w:rPr>
        <w:t>5.合同主要条款</w:t>
      </w:r>
    </w:p>
    <w:p>
      <w:pPr>
        <w:snapToGrid w:val="0"/>
        <w:spacing w:line="360" w:lineRule="auto"/>
        <w:ind w:firstLine="480" w:firstLineChars="200"/>
        <w:jc w:val="left"/>
        <w:rPr>
          <w:sz w:val="24"/>
        </w:rPr>
      </w:pPr>
      <w:r>
        <w:rPr>
          <w:sz w:val="24"/>
        </w:rPr>
        <w:t>6.投标文件格式</w:t>
      </w:r>
    </w:p>
    <w:p>
      <w:pPr>
        <w:snapToGrid w:val="0"/>
        <w:spacing w:line="360" w:lineRule="auto"/>
        <w:ind w:firstLine="480" w:firstLineChars="200"/>
        <w:jc w:val="left"/>
        <w:rPr>
          <w:sz w:val="24"/>
          <w:szCs w:val="20"/>
        </w:rPr>
      </w:pPr>
      <w:r>
        <w:rPr>
          <w:sz w:val="24"/>
        </w:rPr>
        <w:t>7.本项目招标文件的澄清、修改内容（如有）</w:t>
      </w:r>
    </w:p>
    <w:p>
      <w:pPr>
        <w:snapToGrid w:val="0"/>
        <w:spacing w:line="360" w:lineRule="auto"/>
        <w:ind w:firstLine="419" w:firstLineChars="174"/>
        <w:jc w:val="left"/>
        <w:outlineLvl w:val="2"/>
        <w:rPr>
          <w:b/>
          <w:sz w:val="24"/>
        </w:rPr>
      </w:pPr>
      <w:r>
        <w:rPr>
          <w:b/>
          <w:sz w:val="24"/>
        </w:rPr>
        <w:t>（二）投标人的风险</w:t>
      </w:r>
    </w:p>
    <w:p>
      <w:pPr>
        <w:pStyle w:val="55"/>
        <w:spacing w:line="360" w:lineRule="auto"/>
        <w:rPr>
          <w:rFonts w:ascii="Times New Roman" w:hAnsi="Times New Roman" w:eastAsia="宋体"/>
          <w:color w:val="auto"/>
          <w:szCs w:val="20"/>
        </w:rPr>
      </w:pPr>
      <w:r>
        <w:rPr>
          <w:rFonts w:ascii="Times New Roman" w:hAnsi="Times New Roman" w:eastAsia="宋体"/>
          <w:color w:val="auto"/>
        </w:rPr>
        <w:t>投标人没有按照招标文件要求提供全部资料，或者投标人没有对招标文件在各方面作出实质性响应是投标人的风险，并可能导致其投标无效。</w:t>
      </w:r>
    </w:p>
    <w:p>
      <w:pPr>
        <w:snapToGrid w:val="0"/>
        <w:spacing w:line="360" w:lineRule="auto"/>
        <w:ind w:firstLine="419" w:firstLineChars="174"/>
        <w:jc w:val="left"/>
        <w:outlineLvl w:val="2"/>
        <w:rPr>
          <w:b/>
          <w:sz w:val="24"/>
        </w:rPr>
      </w:pPr>
      <w:r>
        <w:rPr>
          <w:b/>
          <w:sz w:val="24"/>
        </w:rPr>
        <w:t xml:space="preserve">（三）招标文件的澄清与修改 </w:t>
      </w:r>
    </w:p>
    <w:p>
      <w:pPr>
        <w:pStyle w:val="37"/>
        <w:snapToGrid w:val="0"/>
        <w:spacing w:before="0" w:beforeLines="0" w:after="0" w:afterLines="0" w:line="360" w:lineRule="auto"/>
        <w:ind w:firstLine="480" w:firstLineChars="200"/>
        <w:rPr>
          <w:rFonts w:ascii="Times New Roman" w:hAnsi="Times New Roman"/>
        </w:rPr>
      </w:pPr>
      <w:r>
        <w:rPr>
          <w:rFonts w:ascii="Times New Roman" w:hAnsi="Times New Roman"/>
        </w:rPr>
        <w:t>1.</w:t>
      </w:r>
      <w:r>
        <w:rPr>
          <w:rFonts w:ascii="Times New Roman" w:hAnsi="Times New Roman"/>
          <w:bCs/>
        </w:rPr>
        <w:t>投标人应认真阅读本招标文件，发现其中有</w:t>
      </w:r>
      <w:r>
        <w:rPr>
          <w:rFonts w:ascii="Times New Roman" w:hAnsi="Times New Roman"/>
        </w:rPr>
        <w:t>表述不清晰、前后矛盾等内容的</w:t>
      </w:r>
      <w:r>
        <w:rPr>
          <w:rFonts w:ascii="Times New Roman" w:hAnsi="Times New Roman"/>
          <w:bCs/>
        </w:rPr>
        <w:t>，投标人可以</w:t>
      </w:r>
      <w:r>
        <w:rPr>
          <w:rFonts w:ascii="Times New Roman" w:hAnsi="Times New Roman"/>
        </w:rPr>
        <w:t>在投标截止日15天前</w:t>
      </w:r>
      <w:r>
        <w:rPr>
          <w:rFonts w:ascii="Times New Roman" w:hAnsi="Times New Roman"/>
          <w:bCs/>
        </w:rPr>
        <w:t>以书面形式要求招标采购单位澄清</w:t>
      </w:r>
      <w:r>
        <w:rPr>
          <w:rFonts w:ascii="Times New Roman" w:hAnsi="Times New Roman"/>
        </w:rPr>
        <w:t>。招标采购单位对已发出的招标文件进行必要澄清、修改</w:t>
      </w:r>
      <w:r>
        <w:rPr>
          <w:rFonts w:ascii="Times New Roman" w:hAnsi="Times New Roman"/>
          <w:kern w:val="0"/>
        </w:rPr>
        <w:t>的内容可能影响投标文件编制的，</w:t>
      </w:r>
      <w:r>
        <w:rPr>
          <w:rFonts w:ascii="Times New Roman" w:hAnsi="Times New Roman"/>
        </w:rPr>
        <w:t>应当在招标文件要求提交投标文件截止时间十五日前，在财政部门指定的政府采购信息发布媒体上发布更正公告，并以书面形式通知所有招标文件收受人。</w:t>
      </w:r>
    </w:p>
    <w:p>
      <w:pPr>
        <w:pStyle w:val="37"/>
        <w:snapToGrid w:val="0"/>
        <w:spacing w:before="0" w:beforeLines="0" w:after="0" w:afterLines="0" w:line="360" w:lineRule="auto"/>
        <w:ind w:firstLine="480" w:firstLineChars="200"/>
        <w:rPr>
          <w:rFonts w:ascii="Times New Roman" w:hAnsi="Times New Roman"/>
        </w:rPr>
      </w:pPr>
      <w:r>
        <w:rPr>
          <w:rFonts w:ascii="Times New Roman" w:hAnsi="Times New Roman"/>
        </w:rPr>
        <w:t>2.招标采购单位必须以书面形式答复投标人要求澄清的问题，并将不包含问题来源的答复书面通知所有购买招标文件的投标人；除书面答复以外的其他澄清方式及澄清内容均无效。</w:t>
      </w:r>
    </w:p>
    <w:p>
      <w:pPr>
        <w:pStyle w:val="37"/>
        <w:snapToGrid w:val="0"/>
        <w:spacing w:before="0" w:beforeLines="0" w:after="0" w:afterLines="0" w:line="360" w:lineRule="auto"/>
        <w:ind w:firstLine="480" w:firstLineChars="200"/>
        <w:rPr>
          <w:rFonts w:ascii="Times New Roman" w:hAnsi="Times New Roman"/>
        </w:rPr>
      </w:pPr>
      <w:r>
        <w:rPr>
          <w:rFonts w:ascii="Times New Roman" w:hAnsi="Times New Roman"/>
        </w:rPr>
        <w:t>3.招标文件澄清、修改的内容为招标文件的组成部分。当招标文件与招标文件的澄清、修改通知就同一内容的表述不一致时，以最后发出的书面文件为准。</w:t>
      </w:r>
    </w:p>
    <w:p>
      <w:pPr>
        <w:pStyle w:val="37"/>
        <w:snapToGrid w:val="0"/>
        <w:spacing w:before="0" w:beforeLines="0" w:after="0" w:afterLines="0" w:line="360" w:lineRule="auto"/>
        <w:ind w:firstLine="480" w:firstLineChars="200"/>
        <w:rPr>
          <w:rFonts w:ascii="Times New Roman" w:hAnsi="Times New Roman"/>
        </w:rPr>
      </w:pPr>
      <w:r>
        <w:rPr>
          <w:rFonts w:ascii="Times New Roman" w:hAnsi="Times New Roman"/>
        </w:rPr>
        <w:t>4.招标文件的澄清、修改都应该通过本代理机构发布。</w:t>
      </w:r>
    </w:p>
    <w:p>
      <w:pPr>
        <w:snapToGrid w:val="0"/>
        <w:spacing w:before="120" w:beforeLines="50" w:after="120" w:afterLines="50" w:line="360" w:lineRule="auto"/>
        <w:ind w:left="238"/>
        <w:jc w:val="center"/>
        <w:outlineLvl w:val="1"/>
        <w:rPr>
          <w:b/>
          <w:sz w:val="28"/>
          <w:szCs w:val="28"/>
        </w:rPr>
      </w:pPr>
      <w:bookmarkStart w:id="13" w:name="_Toc18854403"/>
      <w:r>
        <w:rPr>
          <w:b/>
          <w:sz w:val="28"/>
          <w:szCs w:val="28"/>
        </w:rPr>
        <w:t>三、投标文件的编制</w:t>
      </w:r>
      <w:bookmarkEnd w:id="13"/>
    </w:p>
    <w:p>
      <w:pPr>
        <w:snapToGrid w:val="0"/>
        <w:spacing w:line="360" w:lineRule="auto"/>
        <w:ind w:firstLine="419" w:firstLineChars="174"/>
        <w:jc w:val="left"/>
        <w:outlineLvl w:val="2"/>
        <w:rPr>
          <w:b/>
          <w:sz w:val="24"/>
        </w:rPr>
      </w:pPr>
      <w:r>
        <w:rPr>
          <w:b/>
          <w:sz w:val="24"/>
        </w:rPr>
        <w:t>（一）投标文件的组成</w:t>
      </w:r>
    </w:p>
    <w:p>
      <w:pPr>
        <w:snapToGrid w:val="0"/>
        <w:spacing w:line="360" w:lineRule="auto"/>
        <w:ind w:firstLine="480" w:firstLineChars="200"/>
        <w:jc w:val="left"/>
        <w:rPr>
          <w:sz w:val="24"/>
          <w:szCs w:val="20"/>
        </w:rPr>
      </w:pPr>
      <w:r>
        <w:rPr>
          <w:sz w:val="24"/>
        </w:rPr>
        <w:t>投标文件由</w:t>
      </w:r>
      <w:r>
        <w:rPr>
          <w:b/>
          <w:sz w:val="24"/>
        </w:rPr>
        <w:t>资格证明文件、商务技术文件</w:t>
      </w:r>
      <w:r>
        <w:rPr>
          <w:sz w:val="24"/>
        </w:rPr>
        <w:t>和</w:t>
      </w:r>
      <w:r>
        <w:rPr>
          <w:b/>
          <w:sz w:val="24"/>
        </w:rPr>
        <w:t>报价文件</w:t>
      </w:r>
      <w:r>
        <w:rPr>
          <w:sz w:val="24"/>
        </w:rPr>
        <w:t>三部份组成。</w:t>
      </w:r>
    </w:p>
    <w:p>
      <w:pPr>
        <w:snapToGrid w:val="0"/>
        <w:spacing w:before="120" w:beforeLines="50" w:line="360" w:lineRule="auto"/>
        <w:ind w:firstLine="472" w:firstLineChars="196"/>
        <w:jc w:val="left"/>
        <w:rPr>
          <w:b/>
          <w:sz w:val="24"/>
        </w:rPr>
      </w:pPr>
      <w:r>
        <w:rPr>
          <w:b/>
          <w:sz w:val="24"/>
        </w:rPr>
        <w:t>1.</w:t>
      </w:r>
      <w:r>
        <w:t xml:space="preserve"> </w:t>
      </w:r>
      <w:r>
        <w:rPr>
          <w:b/>
          <w:sz w:val="24"/>
        </w:rPr>
        <w:t>资格证明文件</w:t>
      </w:r>
    </w:p>
    <w:p>
      <w:pPr>
        <w:snapToGrid w:val="0"/>
        <w:spacing w:line="360" w:lineRule="auto"/>
        <w:ind w:firstLine="470" w:firstLineChars="196"/>
        <w:jc w:val="left"/>
        <w:rPr>
          <w:rFonts w:hint="eastAsia"/>
          <w:bCs/>
          <w:sz w:val="24"/>
        </w:rPr>
      </w:pPr>
      <w:r>
        <w:rPr>
          <w:rFonts w:hint="eastAsia"/>
          <w:bCs/>
          <w:sz w:val="24"/>
        </w:rPr>
        <w:t>▲（1）法人或者其他组织的营业执照等证明文件复印件，自然人的身份证复印件；</w:t>
      </w:r>
    </w:p>
    <w:p>
      <w:pPr>
        <w:snapToGrid w:val="0"/>
        <w:spacing w:line="360" w:lineRule="auto"/>
        <w:ind w:firstLine="470" w:firstLineChars="196"/>
        <w:jc w:val="left"/>
        <w:rPr>
          <w:rFonts w:hint="eastAsia"/>
          <w:bCs/>
          <w:sz w:val="24"/>
        </w:rPr>
      </w:pPr>
      <w:r>
        <w:rPr>
          <w:rFonts w:hint="eastAsia"/>
          <w:bCs/>
          <w:sz w:val="24"/>
        </w:rPr>
        <w:t>▲（2）具有良好的商业信誉和健全的财务会计制度：提供上一年度经第三方审计的财务报告（须包括“四表一注”，即资产负债表、利润表、现金流量表、所有者权益变动表及其附注）或其基本开户银行出具的资信证明或财政部门认可的采购专业担保机构出具的投标担保函，或其他与企业规模相适应的商业信誉和财务会计制度证明材料；</w:t>
      </w:r>
    </w:p>
    <w:p>
      <w:pPr>
        <w:snapToGrid w:val="0"/>
        <w:spacing w:line="360" w:lineRule="auto"/>
        <w:ind w:firstLine="470" w:firstLineChars="196"/>
        <w:jc w:val="left"/>
        <w:rPr>
          <w:rFonts w:hint="eastAsia"/>
          <w:bCs/>
          <w:sz w:val="24"/>
        </w:rPr>
      </w:pPr>
      <w:r>
        <w:rPr>
          <w:rFonts w:hint="eastAsia"/>
          <w:bCs/>
          <w:sz w:val="24"/>
        </w:rPr>
        <w:t>▲（3）具备履行合同所必需的设备和专业技术能力的证明材料：提供相关证明（说明）材料，内容自拟，证明材料可以是以下的一项或多项：资产或存款证明、采购设备发票、代理证明、以往同类项目实施案例、投标人为其缴纳社保的人员资质、其他与项目规模相适应的证明材料。</w:t>
      </w:r>
    </w:p>
    <w:p>
      <w:pPr>
        <w:snapToGrid w:val="0"/>
        <w:spacing w:line="360" w:lineRule="auto"/>
        <w:ind w:firstLine="470" w:firstLineChars="196"/>
        <w:jc w:val="left"/>
        <w:rPr>
          <w:rFonts w:hint="eastAsia"/>
          <w:bCs/>
          <w:sz w:val="24"/>
        </w:rPr>
      </w:pPr>
      <w:r>
        <w:rPr>
          <w:rFonts w:hint="eastAsia"/>
          <w:bCs/>
          <w:sz w:val="24"/>
        </w:rPr>
        <w:t>▲（4）依法缴纳税收和社会保障资金的相关材料，可以是：1、须提供税务登记证（多证合一提供营业执照复印件即可）及投标截止时间前 6 个月内的依法缴纳税收的记录； 2、须提供社保登记证及投标截止时间前6个月内的社会保险缴纳凭据（专用收据或社会保险缴纳清单）；3、新成立不满 6 个月的公司自成立之日起算。</w:t>
      </w:r>
    </w:p>
    <w:p>
      <w:pPr>
        <w:snapToGrid w:val="0"/>
        <w:spacing w:line="360" w:lineRule="auto"/>
        <w:ind w:firstLine="470" w:firstLineChars="196"/>
        <w:jc w:val="left"/>
        <w:rPr>
          <w:rFonts w:hint="eastAsia"/>
          <w:bCs/>
          <w:sz w:val="24"/>
        </w:rPr>
      </w:pPr>
      <w:r>
        <w:rPr>
          <w:rFonts w:hint="eastAsia"/>
          <w:bCs/>
          <w:sz w:val="24"/>
        </w:rPr>
        <w:t>▲（5）投标声明书（格式见第六章）；</w:t>
      </w:r>
    </w:p>
    <w:p>
      <w:pPr>
        <w:snapToGrid w:val="0"/>
        <w:spacing w:line="360" w:lineRule="auto"/>
        <w:ind w:firstLine="470" w:firstLineChars="196"/>
        <w:jc w:val="left"/>
        <w:rPr>
          <w:rFonts w:hint="eastAsia"/>
          <w:bCs/>
          <w:sz w:val="24"/>
        </w:rPr>
      </w:pPr>
      <w:r>
        <w:rPr>
          <w:rFonts w:hint="eastAsia"/>
          <w:bCs/>
          <w:sz w:val="24"/>
        </w:rPr>
        <w:t>▲（6）参加政府采购活动前三年内，在经营活动中没有重大违法记录。请在投标声明书中如实填写。</w:t>
      </w:r>
    </w:p>
    <w:p>
      <w:pPr>
        <w:snapToGrid w:val="0"/>
        <w:spacing w:line="360" w:lineRule="auto"/>
        <w:ind w:firstLine="470" w:firstLineChars="196"/>
        <w:rPr>
          <w:sz w:val="24"/>
        </w:rPr>
      </w:pPr>
      <w:r>
        <w:rPr>
          <w:rFonts w:hint="eastAsia"/>
          <w:bCs/>
          <w:sz w:val="24"/>
        </w:rPr>
        <w:t>▲（7）截至投标截止日前1日历天17:00（北京时间），投标人未被列入“信用中国”网(www.creditchina.gov.cn)和“中国政府采购网”（www.ccgp.gov.cn）失信被执行人、重大税收违法案件当事人名单、政府采购严重违法失信行为记录名单且尚处于禁止参加政府采购活动期内。请在投标声明书在如实填写。</w:t>
      </w:r>
    </w:p>
    <w:p>
      <w:pPr>
        <w:snapToGrid w:val="0"/>
        <w:spacing w:before="120" w:beforeLines="50" w:line="360" w:lineRule="auto"/>
        <w:ind w:firstLine="472" w:firstLineChars="196"/>
        <w:jc w:val="left"/>
        <w:rPr>
          <w:b/>
          <w:sz w:val="24"/>
          <w:szCs w:val="20"/>
        </w:rPr>
      </w:pPr>
      <w:r>
        <w:rPr>
          <w:b/>
          <w:sz w:val="24"/>
        </w:rPr>
        <w:t>2. 商务技术文件：</w:t>
      </w:r>
    </w:p>
    <w:p>
      <w:pPr>
        <w:snapToGrid w:val="0"/>
        <w:spacing w:line="360" w:lineRule="auto"/>
        <w:ind w:firstLine="470" w:firstLineChars="196"/>
        <w:jc w:val="left"/>
        <w:rPr>
          <w:sz w:val="24"/>
          <w:szCs w:val="20"/>
        </w:rPr>
      </w:pPr>
      <w:r>
        <w:rPr>
          <w:bCs/>
          <w:sz w:val="24"/>
        </w:rPr>
        <w:t>▲</w:t>
      </w:r>
      <w:r>
        <w:rPr>
          <w:sz w:val="24"/>
        </w:rPr>
        <w:t>（1）法定代表人授权委托书（格式见第六章）；</w:t>
      </w:r>
    </w:p>
    <w:p>
      <w:pPr>
        <w:snapToGrid w:val="0"/>
        <w:spacing w:line="360" w:lineRule="auto"/>
        <w:ind w:firstLine="470" w:firstLineChars="196"/>
        <w:jc w:val="left"/>
        <w:rPr>
          <w:sz w:val="24"/>
          <w:szCs w:val="20"/>
        </w:rPr>
      </w:pPr>
      <w:r>
        <w:rPr>
          <w:bCs/>
          <w:sz w:val="24"/>
        </w:rPr>
        <w:t>▲</w:t>
      </w:r>
      <w:r>
        <w:rPr>
          <w:sz w:val="24"/>
        </w:rPr>
        <w:t>（2）投标人营业执照；</w:t>
      </w:r>
    </w:p>
    <w:p>
      <w:pPr>
        <w:snapToGrid w:val="0"/>
        <w:spacing w:line="360" w:lineRule="auto"/>
        <w:ind w:firstLine="470" w:firstLineChars="196"/>
        <w:jc w:val="left"/>
        <w:rPr>
          <w:sz w:val="24"/>
          <w:szCs w:val="20"/>
        </w:rPr>
      </w:pPr>
      <w:r>
        <w:rPr>
          <w:sz w:val="24"/>
        </w:rPr>
        <w:t>（3）投标人</w:t>
      </w:r>
      <w:r>
        <w:rPr>
          <w:rFonts w:hint="eastAsia"/>
          <w:sz w:val="24"/>
        </w:rPr>
        <w:t>介绍</w:t>
      </w:r>
      <w:r>
        <w:rPr>
          <w:sz w:val="24"/>
        </w:rPr>
        <w:t>；</w:t>
      </w:r>
    </w:p>
    <w:p>
      <w:pPr>
        <w:snapToGrid w:val="0"/>
        <w:spacing w:line="360" w:lineRule="auto"/>
        <w:ind w:firstLine="470" w:firstLineChars="196"/>
        <w:jc w:val="left"/>
        <w:rPr>
          <w:kern w:val="0"/>
          <w:sz w:val="24"/>
        </w:rPr>
      </w:pPr>
      <w:r>
        <w:rPr>
          <w:kern w:val="0"/>
          <w:sz w:val="24"/>
        </w:rPr>
        <w:t>（4）法律、法规等规定投标人从事本项目所列服务等要求具备的资质，提供相关证明材料；（如有）</w:t>
      </w:r>
    </w:p>
    <w:p>
      <w:pPr>
        <w:snapToGrid w:val="0"/>
        <w:spacing w:line="360" w:lineRule="auto"/>
        <w:ind w:firstLine="470" w:firstLineChars="196"/>
        <w:jc w:val="left"/>
        <w:rPr>
          <w:sz w:val="24"/>
        </w:rPr>
      </w:pPr>
      <w:r>
        <w:rPr>
          <w:sz w:val="24"/>
        </w:rPr>
        <w:t>（5）技术响应表（格式见第六章）；</w:t>
      </w:r>
    </w:p>
    <w:p>
      <w:pPr>
        <w:snapToGrid w:val="0"/>
        <w:spacing w:line="360" w:lineRule="auto"/>
        <w:ind w:firstLine="470" w:firstLineChars="196"/>
        <w:jc w:val="left"/>
        <w:rPr>
          <w:sz w:val="24"/>
        </w:rPr>
      </w:pPr>
      <w:r>
        <w:rPr>
          <w:sz w:val="24"/>
        </w:rPr>
        <w:t>（6）商务响应表（格式见第六章）；</w:t>
      </w:r>
    </w:p>
    <w:p>
      <w:pPr>
        <w:snapToGrid w:val="0"/>
        <w:spacing w:line="360" w:lineRule="auto"/>
        <w:ind w:firstLine="470" w:firstLineChars="196"/>
        <w:jc w:val="left"/>
        <w:rPr>
          <w:sz w:val="24"/>
        </w:rPr>
      </w:pPr>
      <w:r>
        <w:rPr>
          <w:sz w:val="24"/>
        </w:rPr>
        <w:t>（7）公司简介（格式见第六章）；</w:t>
      </w:r>
    </w:p>
    <w:p>
      <w:pPr>
        <w:snapToGrid w:val="0"/>
        <w:spacing w:line="360" w:lineRule="auto"/>
        <w:ind w:firstLine="470" w:firstLineChars="196"/>
        <w:jc w:val="left"/>
        <w:rPr>
          <w:sz w:val="24"/>
        </w:rPr>
      </w:pPr>
      <w:r>
        <w:rPr>
          <w:sz w:val="24"/>
        </w:rPr>
        <w:t>（8）最近一个年度经第三方审计的财务报告；</w:t>
      </w:r>
    </w:p>
    <w:p>
      <w:pPr>
        <w:snapToGrid w:val="0"/>
        <w:spacing w:line="360" w:lineRule="auto"/>
        <w:ind w:firstLine="470" w:firstLineChars="196"/>
        <w:jc w:val="left"/>
        <w:rPr>
          <w:sz w:val="24"/>
          <w:szCs w:val="18"/>
        </w:rPr>
      </w:pPr>
      <w:r>
        <w:rPr>
          <w:sz w:val="24"/>
        </w:rPr>
        <w:t>（9）有效期内的ISO9001质量管理体系认证、OHSAS18001职业健康安全管理体系认证、ISO14001环境管理体系认证</w:t>
      </w:r>
      <w:r>
        <w:rPr>
          <w:sz w:val="24"/>
          <w:szCs w:val="18"/>
        </w:rPr>
        <w:t>（详见评分标准要求）；</w:t>
      </w:r>
    </w:p>
    <w:p>
      <w:pPr>
        <w:snapToGrid w:val="0"/>
        <w:spacing w:line="360" w:lineRule="auto"/>
        <w:ind w:firstLine="470" w:firstLineChars="196"/>
        <w:jc w:val="left"/>
        <w:rPr>
          <w:sz w:val="24"/>
          <w:szCs w:val="18"/>
        </w:rPr>
      </w:pPr>
      <w:r>
        <w:rPr>
          <w:rFonts w:hint="eastAsia"/>
          <w:sz w:val="24"/>
          <w:szCs w:val="18"/>
        </w:rPr>
        <w:t>（10）投标人综合情况说明；</w:t>
      </w:r>
    </w:p>
    <w:p>
      <w:pPr>
        <w:snapToGrid w:val="0"/>
        <w:spacing w:line="360" w:lineRule="auto"/>
        <w:ind w:firstLine="470" w:firstLineChars="196"/>
        <w:jc w:val="left"/>
        <w:rPr>
          <w:sz w:val="24"/>
        </w:rPr>
      </w:pPr>
      <w:r>
        <w:rPr>
          <w:rFonts w:hint="eastAsia"/>
          <w:sz w:val="24"/>
          <w:szCs w:val="18"/>
        </w:rPr>
        <w:t>（11）</w:t>
      </w:r>
      <w:r>
        <w:rPr>
          <w:sz w:val="24"/>
          <w:szCs w:val="18"/>
        </w:rPr>
        <w:t>省级及以上市场监督管理局颁发的守合同重信用企业证明（详见评分标准要求）</w:t>
      </w:r>
      <w:r>
        <w:rPr>
          <w:sz w:val="24"/>
        </w:rPr>
        <w:t>；</w:t>
      </w:r>
    </w:p>
    <w:p>
      <w:pPr>
        <w:snapToGrid w:val="0"/>
        <w:spacing w:line="360" w:lineRule="auto"/>
        <w:ind w:firstLine="470" w:firstLineChars="196"/>
        <w:jc w:val="left"/>
        <w:rPr>
          <w:rFonts w:hint="eastAsia"/>
          <w:sz w:val="24"/>
          <w:szCs w:val="18"/>
        </w:rPr>
      </w:pPr>
      <w:r>
        <w:rPr>
          <w:rFonts w:hint="eastAsia"/>
          <w:sz w:val="24"/>
          <w:szCs w:val="18"/>
        </w:rPr>
        <w:t>（12）拟投入的设备、工具、消耗材料配备情况</w:t>
      </w:r>
      <w:r>
        <w:rPr>
          <w:sz w:val="24"/>
          <w:szCs w:val="18"/>
        </w:rPr>
        <w:t>（</w:t>
      </w:r>
      <w:r>
        <w:rPr>
          <w:sz w:val="24"/>
        </w:rPr>
        <w:t>格式见第六章</w:t>
      </w:r>
      <w:r>
        <w:rPr>
          <w:sz w:val="24"/>
          <w:szCs w:val="18"/>
        </w:rPr>
        <w:t>，要求详见评分标准要求）</w:t>
      </w:r>
      <w:r>
        <w:rPr>
          <w:sz w:val="24"/>
        </w:rPr>
        <w:t>；</w:t>
      </w:r>
    </w:p>
    <w:p>
      <w:pPr>
        <w:snapToGrid w:val="0"/>
        <w:spacing w:line="360" w:lineRule="auto"/>
        <w:ind w:firstLine="470" w:firstLineChars="196"/>
        <w:jc w:val="left"/>
        <w:rPr>
          <w:sz w:val="24"/>
        </w:rPr>
      </w:pPr>
      <w:r>
        <w:rPr>
          <w:sz w:val="24"/>
          <w:szCs w:val="18"/>
        </w:rPr>
        <w:t>（13）</w:t>
      </w:r>
      <w:r>
        <w:rPr>
          <w:sz w:val="24"/>
        </w:rPr>
        <w:t>同类项目业绩（详见评分标准要求）；</w:t>
      </w:r>
    </w:p>
    <w:p>
      <w:pPr>
        <w:snapToGrid w:val="0"/>
        <w:spacing w:line="360" w:lineRule="auto"/>
        <w:ind w:firstLine="470" w:firstLineChars="196"/>
        <w:jc w:val="left"/>
        <w:rPr>
          <w:sz w:val="24"/>
        </w:rPr>
      </w:pPr>
      <w:r>
        <w:rPr>
          <w:sz w:val="24"/>
        </w:rPr>
        <w:t>（14）履约评价（详见评分标准要求）；</w:t>
      </w:r>
    </w:p>
    <w:p>
      <w:pPr>
        <w:snapToGrid w:val="0"/>
        <w:spacing w:line="360" w:lineRule="auto"/>
        <w:ind w:firstLine="470" w:firstLineChars="196"/>
        <w:jc w:val="left"/>
        <w:rPr>
          <w:sz w:val="24"/>
        </w:rPr>
      </w:pPr>
      <w:r>
        <w:rPr>
          <w:sz w:val="24"/>
        </w:rPr>
        <w:t>（15）人员配置要求（</w:t>
      </w:r>
      <w:r>
        <w:rPr>
          <w:sz w:val="24"/>
          <w:szCs w:val="18"/>
        </w:rPr>
        <w:t>详见评分标准要求，</w:t>
      </w:r>
      <w:r>
        <w:rPr>
          <w:sz w:val="24"/>
        </w:rPr>
        <w:t>格式见第六章）；</w:t>
      </w:r>
    </w:p>
    <w:p>
      <w:pPr>
        <w:snapToGrid w:val="0"/>
        <w:spacing w:line="360" w:lineRule="auto"/>
        <w:ind w:firstLine="470" w:firstLineChars="196"/>
        <w:jc w:val="left"/>
        <w:rPr>
          <w:sz w:val="24"/>
        </w:rPr>
      </w:pPr>
      <w:r>
        <w:rPr>
          <w:sz w:val="24"/>
        </w:rPr>
        <w:t>（16）</w:t>
      </w:r>
      <w:r>
        <w:rPr>
          <w:rFonts w:hint="eastAsia"/>
          <w:sz w:val="24"/>
        </w:rPr>
        <w:t>清洁卫生管理服务要求</w:t>
      </w:r>
    </w:p>
    <w:p>
      <w:pPr>
        <w:snapToGrid w:val="0"/>
        <w:spacing w:line="360" w:lineRule="auto"/>
        <w:ind w:firstLine="470" w:firstLineChars="196"/>
        <w:jc w:val="left"/>
        <w:rPr>
          <w:sz w:val="24"/>
        </w:rPr>
      </w:pPr>
      <w:r>
        <w:rPr>
          <w:sz w:val="24"/>
        </w:rPr>
        <w:t>（17）拟安排的项目负责人和团队成员情况（详见评分标准要求；自行列表并提供证明材料）；</w:t>
      </w:r>
    </w:p>
    <w:p>
      <w:pPr>
        <w:snapToGrid w:val="0"/>
        <w:spacing w:line="360" w:lineRule="auto"/>
        <w:ind w:firstLine="470" w:firstLineChars="196"/>
        <w:jc w:val="left"/>
        <w:rPr>
          <w:sz w:val="24"/>
        </w:rPr>
      </w:pPr>
      <w:r>
        <w:rPr>
          <w:sz w:val="24"/>
        </w:rPr>
        <w:t>（18）</w:t>
      </w:r>
      <w:r>
        <w:rPr>
          <w:rFonts w:hint="eastAsia"/>
          <w:sz w:val="24"/>
        </w:rPr>
        <w:t>食堂物流及管理资质；</w:t>
      </w:r>
    </w:p>
    <w:p>
      <w:pPr>
        <w:snapToGrid w:val="0"/>
        <w:spacing w:line="360" w:lineRule="auto"/>
        <w:ind w:firstLine="470" w:firstLineChars="196"/>
        <w:jc w:val="left"/>
        <w:rPr>
          <w:sz w:val="24"/>
        </w:rPr>
      </w:pPr>
      <w:r>
        <w:rPr>
          <w:sz w:val="24"/>
        </w:rPr>
        <w:t>（19）各项管理服务分项工作的流程、标准，具体实施计划和方案</w:t>
      </w:r>
      <w:r>
        <w:rPr>
          <w:sz w:val="24"/>
          <w:szCs w:val="18"/>
        </w:rPr>
        <w:t>（详见评分标准要求）</w:t>
      </w:r>
      <w:r>
        <w:rPr>
          <w:sz w:val="24"/>
        </w:rPr>
        <w:t>；</w:t>
      </w:r>
    </w:p>
    <w:p>
      <w:pPr>
        <w:snapToGrid w:val="0"/>
        <w:spacing w:line="360" w:lineRule="auto"/>
        <w:ind w:firstLine="470" w:firstLineChars="196"/>
        <w:jc w:val="left"/>
        <w:rPr>
          <w:sz w:val="24"/>
        </w:rPr>
      </w:pPr>
      <w:r>
        <w:rPr>
          <w:sz w:val="24"/>
        </w:rPr>
        <w:t>（20）员工队伍建设</w:t>
      </w:r>
      <w:r>
        <w:rPr>
          <w:sz w:val="24"/>
          <w:szCs w:val="18"/>
        </w:rPr>
        <w:t>（详见评分标准要求）</w:t>
      </w:r>
      <w:r>
        <w:rPr>
          <w:sz w:val="24"/>
        </w:rPr>
        <w:t>；</w:t>
      </w:r>
    </w:p>
    <w:p>
      <w:pPr>
        <w:snapToGrid w:val="0"/>
        <w:spacing w:line="360" w:lineRule="auto"/>
        <w:ind w:firstLine="470" w:firstLineChars="196"/>
        <w:jc w:val="left"/>
        <w:rPr>
          <w:sz w:val="24"/>
        </w:rPr>
      </w:pPr>
      <w:r>
        <w:rPr>
          <w:sz w:val="24"/>
        </w:rPr>
        <w:t>（21）突发事件应急处理措施</w:t>
      </w:r>
      <w:r>
        <w:rPr>
          <w:sz w:val="24"/>
          <w:szCs w:val="18"/>
        </w:rPr>
        <w:t>（详见评分标准要求）</w:t>
      </w:r>
      <w:r>
        <w:rPr>
          <w:sz w:val="24"/>
        </w:rPr>
        <w:t>；</w:t>
      </w:r>
    </w:p>
    <w:p>
      <w:pPr>
        <w:snapToGrid w:val="0"/>
        <w:spacing w:line="360" w:lineRule="auto"/>
        <w:ind w:firstLine="470" w:firstLineChars="196"/>
        <w:jc w:val="left"/>
        <w:rPr>
          <w:sz w:val="24"/>
        </w:rPr>
      </w:pPr>
      <w:r>
        <w:rPr>
          <w:sz w:val="24"/>
        </w:rPr>
        <w:t>（22）针对此项目合理化建议及优惠措施</w:t>
      </w:r>
      <w:r>
        <w:rPr>
          <w:sz w:val="24"/>
          <w:szCs w:val="18"/>
        </w:rPr>
        <w:t>（详见评分标准要求）</w:t>
      </w:r>
      <w:r>
        <w:rPr>
          <w:sz w:val="24"/>
        </w:rPr>
        <w:t>；</w:t>
      </w:r>
    </w:p>
    <w:p>
      <w:pPr>
        <w:snapToGrid w:val="0"/>
        <w:spacing w:line="360" w:lineRule="auto"/>
        <w:ind w:firstLine="470" w:firstLineChars="196"/>
        <w:jc w:val="left"/>
        <w:rPr>
          <w:sz w:val="24"/>
        </w:rPr>
      </w:pPr>
      <w:r>
        <w:rPr>
          <w:sz w:val="24"/>
        </w:rPr>
        <w:t>（23）政府采购政策情况表（格式见第六章）；</w:t>
      </w:r>
    </w:p>
    <w:p>
      <w:pPr>
        <w:snapToGrid w:val="0"/>
        <w:spacing w:line="360" w:lineRule="auto"/>
        <w:ind w:firstLine="470" w:firstLineChars="196"/>
        <w:jc w:val="left"/>
        <w:rPr>
          <w:sz w:val="24"/>
        </w:rPr>
      </w:pPr>
      <w:r>
        <w:rPr>
          <w:sz w:val="24"/>
        </w:rPr>
        <w:t>（24）中小企业的相关证明材料（如投标人为小型和微型企业）：</w:t>
      </w:r>
    </w:p>
    <w:p>
      <w:pPr>
        <w:snapToGrid w:val="0"/>
        <w:spacing w:line="360" w:lineRule="auto"/>
        <w:ind w:firstLine="1132" w:firstLineChars="472"/>
        <w:jc w:val="left"/>
        <w:rPr>
          <w:sz w:val="24"/>
        </w:rPr>
      </w:pPr>
      <w:r>
        <w:rPr>
          <w:sz w:val="24"/>
        </w:rPr>
        <w:t>① 中小企业声明函（格式见第六章）；</w:t>
      </w:r>
    </w:p>
    <w:p>
      <w:pPr>
        <w:snapToGrid w:val="0"/>
        <w:spacing w:line="360" w:lineRule="auto"/>
        <w:ind w:firstLine="1132" w:firstLineChars="472"/>
        <w:jc w:val="left"/>
        <w:rPr>
          <w:sz w:val="24"/>
        </w:rPr>
      </w:pPr>
      <w:r>
        <w:rPr>
          <w:sz w:val="24"/>
        </w:rPr>
        <w:t>② 各级经信部门或中小企业局出具的中小企业资格证明材料；</w:t>
      </w:r>
    </w:p>
    <w:p>
      <w:pPr>
        <w:snapToGrid w:val="0"/>
        <w:spacing w:line="360" w:lineRule="auto"/>
        <w:ind w:firstLine="1132" w:firstLineChars="472"/>
        <w:jc w:val="left"/>
        <w:rPr>
          <w:sz w:val="24"/>
        </w:rPr>
      </w:pPr>
      <w:r>
        <w:rPr>
          <w:sz w:val="24"/>
        </w:rPr>
        <w:t>③ 投标人已通过浙江政府采购网申请注册并成为正式入库供应商的相关证明材料。</w:t>
      </w:r>
    </w:p>
    <w:p>
      <w:pPr>
        <w:snapToGrid w:val="0"/>
        <w:spacing w:line="360" w:lineRule="auto"/>
        <w:ind w:firstLine="470" w:firstLineChars="196"/>
        <w:jc w:val="left"/>
        <w:rPr>
          <w:sz w:val="24"/>
        </w:rPr>
      </w:pPr>
      <w:r>
        <w:rPr>
          <w:sz w:val="24"/>
        </w:rPr>
        <w:t>（25）残疾人福利性单位的相关证明材料（如投标人为残疾人福利性单位）：</w:t>
      </w:r>
    </w:p>
    <w:p>
      <w:pPr>
        <w:snapToGrid w:val="0"/>
        <w:spacing w:line="360" w:lineRule="auto"/>
        <w:ind w:firstLine="1132" w:firstLineChars="472"/>
        <w:jc w:val="left"/>
        <w:rPr>
          <w:sz w:val="24"/>
        </w:rPr>
      </w:pPr>
      <w:r>
        <w:rPr>
          <w:sz w:val="24"/>
        </w:rPr>
        <w:t>① 残疾人福利性单位声明函（格式见第六章）；</w:t>
      </w:r>
    </w:p>
    <w:p>
      <w:pPr>
        <w:snapToGrid w:val="0"/>
        <w:spacing w:line="360" w:lineRule="auto"/>
        <w:ind w:firstLine="1132" w:firstLineChars="472"/>
        <w:jc w:val="left"/>
        <w:rPr>
          <w:sz w:val="24"/>
        </w:rPr>
      </w:pPr>
      <w:r>
        <w:rPr>
          <w:sz w:val="24"/>
        </w:rPr>
        <w:t>② 各级民政部门出具的残疾人福利性单位证明材料。</w:t>
      </w:r>
    </w:p>
    <w:p>
      <w:pPr>
        <w:snapToGrid w:val="0"/>
        <w:spacing w:line="360" w:lineRule="auto"/>
        <w:ind w:firstLine="470" w:firstLineChars="196"/>
        <w:jc w:val="left"/>
        <w:rPr>
          <w:sz w:val="24"/>
        </w:rPr>
      </w:pPr>
      <w:r>
        <w:rPr>
          <w:sz w:val="24"/>
        </w:rPr>
        <w:t>（26）监狱企业的相关证明材料（如投标人为监狱企业）：</w:t>
      </w:r>
    </w:p>
    <w:p>
      <w:pPr>
        <w:snapToGrid w:val="0"/>
        <w:spacing w:line="360" w:lineRule="auto"/>
        <w:ind w:firstLine="1132" w:firstLineChars="472"/>
        <w:jc w:val="left"/>
        <w:rPr>
          <w:sz w:val="24"/>
        </w:rPr>
      </w:pPr>
      <w:r>
        <w:rPr>
          <w:sz w:val="24"/>
        </w:rPr>
        <w:t>① 由省级以上监狱管理局、戒毒管理局（含新疆生产建设兵团）出具的属于监狱企业的证明文件。</w:t>
      </w:r>
    </w:p>
    <w:p>
      <w:pPr>
        <w:snapToGrid w:val="0"/>
        <w:spacing w:line="360" w:lineRule="auto"/>
        <w:ind w:firstLine="470" w:firstLineChars="196"/>
        <w:jc w:val="left"/>
        <w:rPr>
          <w:kern w:val="0"/>
          <w:sz w:val="24"/>
        </w:rPr>
      </w:pPr>
      <w:r>
        <w:rPr>
          <w:kern w:val="0"/>
          <w:sz w:val="24"/>
        </w:rPr>
        <w:t>（27）</w:t>
      </w:r>
      <w:r>
        <w:rPr>
          <w:rFonts w:hint="eastAsia"/>
          <w:kern w:val="0"/>
          <w:sz w:val="24"/>
        </w:rPr>
        <w:t>招标文件要求提供的其他文件、</w:t>
      </w:r>
      <w:r>
        <w:rPr>
          <w:kern w:val="0"/>
          <w:sz w:val="24"/>
        </w:rPr>
        <w:t>投标人认为需要提供的其他文件。</w:t>
      </w:r>
    </w:p>
    <w:p>
      <w:pPr>
        <w:snapToGrid w:val="0"/>
        <w:spacing w:line="360" w:lineRule="auto"/>
        <w:ind w:firstLine="472" w:firstLineChars="196"/>
        <w:jc w:val="left"/>
        <w:rPr>
          <w:b/>
          <w:sz w:val="24"/>
          <w:szCs w:val="20"/>
        </w:rPr>
      </w:pPr>
      <w:r>
        <w:rPr>
          <w:b/>
          <w:sz w:val="24"/>
        </w:rPr>
        <w:t>3.报价文件：</w:t>
      </w:r>
    </w:p>
    <w:p>
      <w:pPr>
        <w:snapToGrid w:val="0"/>
        <w:spacing w:line="360" w:lineRule="auto"/>
        <w:ind w:firstLine="470" w:firstLineChars="196"/>
        <w:jc w:val="left"/>
        <w:rPr>
          <w:kern w:val="0"/>
          <w:sz w:val="24"/>
        </w:rPr>
      </w:pPr>
      <w:r>
        <w:rPr>
          <w:kern w:val="0"/>
          <w:sz w:val="24"/>
        </w:rPr>
        <w:t>（1）开标一览表（格式见第六章）；</w:t>
      </w:r>
    </w:p>
    <w:p>
      <w:pPr>
        <w:snapToGrid w:val="0"/>
        <w:spacing w:line="360" w:lineRule="auto"/>
        <w:ind w:firstLine="470" w:firstLineChars="196"/>
        <w:jc w:val="left"/>
        <w:rPr>
          <w:kern w:val="0"/>
          <w:sz w:val="24"/>
        </w:rPr>
      </w:pPr>
      <w:r>
        <w:rPr>
          <w:kern w:val="0"/>
          <w:sz w:val="24"/>
        </w:rPr>
        <w:t>（2）投标报价明细表（格式见第六章）；</w:t>
      </w:r>
    </w:p>
    <w:p>
      <w:pPr>
        <w:snapToGrid w:val="0"/>
        <w:spacing w:line="360" w:lineRule="auto"/>
        <w:ind w:firstLine="470" w:firstLineChars="196"/>
        <w:jc w:val="left"/>
        <w:rPr>
          <w:kern w:val="0"/>
          <w:sz w:val="24"/>
        </w:rPr>
      </w:pPr>
      <w:r>
        <w:rPr>
          <w:kern w:val="0"/>
          <w:sz w:val="24"/>
        </w:rPr>
        <w:t>（3）投标人针对报价需要说明的其他文件和说明。</w:t>
      </w:r>
    </w:p>
    <w:p>
      <w:pPr>
        <w:snapToGrid w:val="0"/>
        <w:spacing w:line="360" w:lineRule="auto"/>
        <w:ind w:firstLine="419" w:firstLineChars="174"/>
        <w:jc w:val="left"/>
        <w:outlineLvl w:val="2"/>
        <w:rPr>
          <w:b/>
          <w:sz w:val="24"/>
        </w:rPr>
      </w:pPr>
      <w:r>
        <w:rPr>
          <w:b/>
          <w:sz w:val="24"/>
        </w:rPr>
        <w:t>（二）投标文件的语言及计量</w:t>
      </w:r>
    </w:p>
    <w:p>
      <w:pPr>
        <w:snapToGrid w:val="0"/>
        <w:spacing w:line="360" w:lineRule="auto"/>
        <w:ind w:firstLine="480" w:firstLineChars="200"/>
        <w:jc w:val="left"/>
        <w:rPr>
          <w:sz w:val="24"/>
          <w:szCs w:val="20"/>
        </w:rPr>
      </w:pPr>
      <w:r>
        <w:rPr>
          <w:sz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80" w:firstLineChars="200"/>
        <w:jc w:val="left"/>
        <w:rPr>
          <w:sz w:val="24"/>
          <w:szCs w:val="20"/>
        </w:rPr>
      </w:pPr>
      <w:r>
        <w:rPr>
          <w:sz w:val="24"/>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419" w:firstLineChars="174"/>
        <w:jc w:val="left"/>
        <w:outlineLvl w:val="2"/>
        <w:rPr>
          <w:b/>
          <w:sz w:val="24"/>
        </w:rPr>
      </w:pPr>
      <w:r>
        <w:rPr>
          <w:b/>
          <w:sz w:val="24"/>
        </w:rPr>
        <w:t>（三）投标报价</w:t>
      </w:r>
    </w:p>
    <w:p>
      <w:pPr>
        <w:snapToGrid w:val="0"/>
        <w:spacing w:line="360" w:lineRule="auto"/>
        <w:ind w:firstLine="480" w:firstLineChars="200"/>
        <w:jc w:val="left"/>
        <w:rPr>
          <w:sz w:val="24"/>
        </w:rPr>
      </w:pPr>
      <w:r>
        <w:rPr>
          <w:sz w:val="24"/>
        </w:rPr>
        <w:t>1.投标报价应按招标文件中相关附表格式填写。</w:t>
      </w:r>
    </w:p>
    <w:p>
      <w:pPr>
        <w:snapToGrid w:val="0"/>
        <w:spacing w:line="360" w:lineRule="auto"/>
        <w:ind w:firstLine="480" w:firstLineChars="200"/>
        <w:jc w:val="left"/>
        <w:rPr>
          <w:sz w:val="24"/>
        </w:rPr>
      </w:pPr>
      <w:r>
        <w:rPr>
          <w:sz w:val="24"/>
        </w:rPr>
        <w:t>2.投标报价是履行合同的最终价格，应包括相关卫生保洁（含勤杂、配送）、安保</w:t>
      </w:r>
      <w:r>
        <w:rPr>
          <w:rFonts w:hint="eastAsia"/>
          <w:sz w:val="24"/>
        </w:rPr>
        <w:t>、</w:t>
      </w:r>
      <w:r>
        <w:rPr>
          <w:sz w:val="24"/>
        </w:rPr>
        <w:t>维修</w:t>
      </w:r>
      <w:r>
        <w:rPr>
          <w:rFonts w:hint="eastAsia"/>
          <w:sz w:val="24"/>
        </w:rPr>
        <w:t>、厨房</w:t>
      </w:r>
      <w:r>
        <w:rPr>
          <w:sz w:val="24"/>
        </w:rPr>
        <w:t>所需的一切人员工资、奖金、各种加班费、各种社会保险、食宿与交通、设备及工具、器材、消耗材料、消毒、仓储、运输、管理费用、税费、利润、完成合同所需的一切本身和不可或缺的所有工作开支、政策性文件规定及合同包含的所有风险、责任等各项全部费用并承担一切风险责任。</w:t>
      </w:r>
    </w:p>
    <w:p>
      <w:pPr>
        <w:snapToGrid w:val="0"/>
        <w:spacing w:line="360" w:lineRule="auto"/>
        <w:ind w:firstLine="480" w:firstLineChars="200"/>
        <w:jc w:val="left"/>
        <w:rPr>
          <w:sz w:val="24"/>
        </w:rPr>
      </w:pPr>
      <w:r>
        <w:rPr>
          <w:sz w:val="24"/>
        </w:rPr>
        <w:t>3.投标文件只允许有一个报价，有选择或有条件的报价将不予接受，其投标无效。</w:t>
      </w:r>
    </w:p>
    <w:p>
      <w:pPr>
        <w:snapToGrid w:val="0"/>
        <w:spacing w:line="360" w:lineRule="auto"/>
        <w:ind w:firstLine="419" w:firstLineChars="174"/>
        <w:jc w:val="left"/>
        <w:outlineLvl w:val="2"/>
        <w:rPr>
          <w:b/>
          <w:sz w:val="24"/>
        </w:rPr>
      </w:pPr>
      <w:r>
        <w:rPr>
          <w:b/>
          <w:sz w:val="24"/>
        </w:rPr>
        <w:t>（四）投标文件的有效期</w:t>
      </w:r>
    </w:p>
    <w:p>
      <w:pPr>
        <w:pStyle w:val="18"/>
        <w:widowControl w:val="0"/>
        <w:numPr>
          <w:ilvl w:val="0"/>
          <w:numId w:val="0"/>
        </w:numPr>
        <w:snapToGrid w:val="0"/>
        <w:spacing w:afterLines="0" w:line="360" w:lineRule="auto"/>
        <w:ind w:firstLine="480" w:firstLineChars="200"/>
        <w:rPr>
          <w:szCs w:val="24"/>
        </w:rPr>
      </w:pPr>
      <w:r>
        <w:rPr>
          <w:szCs w:val="24"/>
        </w:rPr>
        <w:t>1.自投标截止日起</w:t>
      </w:r>
      <w:r>
        <w:rPr>
          <w:szCs w:val="24"/>
          <w:u w:val="single"/>
        </w:rPr>
        <w:t xml:space="preserve"> 90 </w:t>
      </w:r>
      <w:r>
        <w:rPr>
          <w:szCs w:val="24"/>
        </w:rPr>
        <w:t>天投标文件应保持有效。有效期不足的投标文件将被视为无效。</w:t>
      </w:r>
    </w:p>
    <w:p>
      <w:pPr>
        <w:pStyle w:val="18"/>
        <w:widowControl w:val="0"/>
        <w:numPr>
          <w:ilvl w:val="0"/>
          <w:numId w:val="0"/>
        </w:numPr>
        <w:snapToGrid w:val="0"/>
        <w:spacing w:afterLines="0" w:line="360" w:lineRule="auto"/>
        <w:ind w:firstLine="480" w:firstLineChars="200"/>
        <w:rPr>
          <w:szCs w:val="24"/>
        </w:rPr>
      </w:pPr>
      <w:r>
        <w:rPr>
          <w:szCs w:val="24"/>
        </w:rPr>
        <w:t>2.在特殊情况下，招标人可与投标人协商延长投标书的有效期，这种要求和答复均以书面形式进行。</w:t>
      </w:r>
    </w:p>
    <w:p>
      <w:pPr>
        <w:snapToGrid w:val="0"/>
        <w:spacing w:line="360" w:lineRule="auto"/>
        <w:ind w:firstLine="480" w:firstLineChars="200"/>
        <w:jc w:val="left"/>
        <w:rPr>
          <w:b/>
          <w:sz w:val="24"/>
          <w:szCs w:val="20"/>
        </w:rPr>
      </w:pPr>
      <w:r>
        <w:rPr>
          <w:sz w:val="24"/>
        </w:rPr>
        <w:t>3.投标人可拒绝接受延期要求。同意延长有效期的，不能修改投标文件。</w:t>
      </w:r>
      <w:r>
        <w:rPr>
          <w:b/>
          <w:sz w:val="24"/>
        </w:rPr>
        <w:t xml:space="preserve"> </w:t>
      </w:r>
    </w:p>
    <w:p>
      <w:pPr>
        <w:snapToGrid w:val="0"/>
        <w:spacing w:line="360" w:lineRule="auto"/>
        <w:ind w:firstLine="480" w:firstLineChars="200"/>
        <w:jc w:val="left"/>
        <w:rPr>
          <w:b/>
          <w:sz w:val="24"/>
        </w:rPr>
      </w:pPr>
      <w:r>
        <w:rPr>
          <w:sz w:val="24"/>
        </w:rPr>
        <w:t>4.中标人的投标文件自开标之日起至合同履行完毕止均应保持有效。</w:t>
      </w:r>
    </w:p>
    <w:p>
      <w:pPr>
        <w:snapToGrid w:val="0"/>
        <w:spacing w:line="360" w:lineRule="auto"/>
        <w:ind w:firstLine="419" w:firstLineChars="174"/>
        <w:jc w:val="left"/>
        <w:outlineLvl w:val="2"/>
        <w:rPr>
          <w:b/>
          <w:sz w:val="24"/>
        </w:rPr>
      </w:pPr>
      <w:r>
        <w:rPr>
          <w:b/>
          <w:sz w:val="24"/>
        </w:rPr>
        <w:t>（</w:t>
      </w:r>
      <w:r>
        <w:rPr>
          <w:rFonts w:hint="eastAsia"/>
          <w:b/>
          <w:sz w:val="24"/>
        </w:rPr>
        <w:t>五</w:t>
      </w:r>
      <w:r>
        <w:rPr>
          <w:b/>
          <w:sz w:val="24"/>
        </w:rPr>
        <w:t>）投标文件的装订、签署和份数</w:t>
      </w:r>
    </w:p>
    <w:p>
      <w:pPr>
        <w:snapToGrid w:val="0"/>
        <w:spacing w:line="360" w:lineRule="auto"/>
        <w:ind w:firstLine="480" w:firstLineChars="200"/>
        <w:jc w:val="left"/>
        <w:rPr>
          <w:sz w:val="24"/>
          <w:szCs w:val="20"/>
        </w:rPr>
      </w:pPr>
      <w:r>
        <w:rPr>
          <w:sz w:val="24"/>
        </w:rPr>
        <w:t>1.投标人应按本招标文件规定的格式和顺序编制、装订投标文件并标注页码，投标文件内容不完整、编排混乱导致投标文件被误读、漏读或者查找不到相关内容的，是投标人的责任。</w:t>
      </w:r>
    </w:p>
    <w:p>
      <w:pPr>
        <w:snapToGrid w:val="0"/>
        <w:spacing w:line="360" w:lineRule="auto"/>
        <w:ind w:firstLine="360" w:firstLineChars="150"/>
        <w:jc w:val="left"/>
        <w:rPr>
          <w:sz w:val="24"/>
          <w:szCs w:val="20"/>
        </w:rPr>
      </w:pPr>
      <w:r>
        <w:rPr>
          <w:sz w:val="24"/>
        </w:rPr>
        <w:t>2.投标人应按</w:t>
      </w:r>
      <w:r>
        <w:rPr>
          <w:b/>
          <w:sz w:val="24"/>
        </w:rPr>
        <w:t>资格证明文件、商务技术文件</w:t>
      </w:r>
      <w:r>
        <w:rPr>
          <w:sz w:val="24"/>
        </w:rPr>
        <w:t>和</w:t>
      </w:r>
      <w:r>
        <w:rPr>
          <w:b/>
          <w:sz w:val="24"/>
        </w:rPr>
        <w:t>报价文件</w:t>
      </w:r>
      <w:r>
        <w:rPr>
          <w:sz w:val="24"/>
        </w:rPr>
        <w:t>分别编制并单独装订成册。正本各1份，副本各</w:t>
      </w:r>
      <w:r>
        <w:rPr>
          <w:sz w:val="24"/>
          <w:u w:val="single"/>
        </w:rPr>
        <w:t xml:space="preserve"> </w:t>
      </w:r>
      <w:r>
        <w:rPr>
          <w:rFonts w:hint="eastAsia"/>
          <w:sz w:val="24"/>
          <w:u w:val="single"/>
        </w:rPr>
        <w:t>5</w:t>
      </w:r>
      <w:r>
        <w:rPr>
          <w:sz w:val="24"/>
          <w:u w:val="single"/>
        </w:rPr>
        <w:t xml:space="preserve"> </w:t>
      </w:r>
      <w:r>
        <w:rPr>
          <w:sz w:val="24"/>
        </w:rPr>
        <w:t>份。投标文件的封面应注明“正本”、“副本”字样。采用活页装订的投标文件将被</w:t>
      </w:r>
      <w:r>
        <w:rPr>
          <w:b/>
          <w:sz w:val="24"/>
        </w:rPr>
        <w:t>拒绝</w:t>
      </w:r>
      <w:r>
        <w:rPr>
          <w:sz w:val="24"/>
        </w:rPr>
        <w:t>，并由现场工作人员退还投标人代表。</w:t>
      </w:r>
    </w:p>
    <w:p>
      <w:pPr>
        <w:snapToGrid w:val="0"/>
        <w:spacing w:line="360" w:lineRule="auto"/>
        <w:ind w:firstLine="480" w:firstLineChars="200"/>
        <w:jc w:val="left"/>
        <w:rPr>
          <w:sz w:val="24"/>
          <w:szCs w:val="20"/>
        </w:rPr>
      </w:pPr>
      <w:r>
        <w:rPr>
          <w:sz w:val="24"/>
        </w:rPr>
        <w:t>3.投标文件的正本需打印或用不褪色的墨水填写，副本为正本的复印件。</w:t>
      </w:r>
    </w:p>
    <w:p>
      <w:pPr>
        <w:snapToGrid w:val="0"/>
        <w:spacing w:line="360" w:lineRule="auto"/>
        <w:ind w:firstLine="480" w:firstLineChars="200"/>
        <w:jc w:val="left"/>
        <w:rPr>
          <w:sz w:val="24"/>
          <w:szCs w:val="20"/>
        </w:rPr>
      </w:pPr>
      <w:r>
        <w:rPr>
          <w:sz w:val="24"/>
        </w:rPr>
        <w:t>4.投标文件须由投标人在规定位置盖章并由法定代表人或法定代表人的授权委托人签署，投标人应写全称。</w:t>
      </w:r>
    </w:p>
    <w:p>
      <w:pPr>
        <w:snapToGrid w:val="0"/>
        <w:spacing w:line="360" w:lineRule="auto"/>
        <w:ind w:firstLine="480" w:firstLineChars="200"/>
        <w:jc w:val="left"/>
        <w:rPr>
          <w:sz w:val="24"/>
          <w:szCs w:val="20"/>
        </w:rPr>
      </w:pPr>
      <w:r>
        <w:rPr>
          <w:sz w:val="24"/>
        </w:rPr>
        <w:t>5.投标文件不得涂改，若有修改错漏处，须加盖单位公章或者法定代表人或授权委托人签字或盖章。投标文件因字迹潦草或表达不清所引起的后果由投标人负责。</w:t>
      </w:r>
    </w:p>
    <w:p>
      <w:pPr>
        <w:snapToGrid w:val="0"/>
        <w:spacing w:line="360" w:lineRule="auto"/>
        <w:ind w:firstLine="419" w:firstLineChars="174"/>
        <w:jc w:val="left"/>
        <w:outlineLvl w:val="2"/>
        <w:rPr>
          <w:b/>
          <w:sz w:val="24"/>
        </w:rPr>
      </w:pPr>
      <w:r>
        <w:rPr>
          <w:b/>
          <w:sz w:val="24"/>
        </w:rPr>
        <w:t>（</w:t>
      </w:r>
      <w:r>
        <w:rPr>
          <w:rFonts w:hint="eastAsia"/>
          <w:b/>
          <w:sz w:val="24"/>
        </w:rPr>
        <w:t>六</w:t>
      </w:r>
      <w:r>
        <w:rPr>
          <w:b/>
          <w:sz w:val="24"/>
        </w:rPr>
        <w:t>）投标文件的包装、递交、修改和撤回</w:t>
      </w:r>
    </w:p>
    <w:p>
      <w:pPr>
        <w:snapToGrid w:val="0"/>
        <w:spacing w:line="360" w:lineRule="auto"/>
        <w:ind w:firstLine="360" w:firstLineChars="150"/>
        <w:jc w:val="left"/>
        <w:rPr>
          <w:sz w:val="24"/>
        </w:rPr>
      </w:pPr>
      <w:r>
        <w:rPr>
          <w:sz w:val="24"/>
        </w:rPr>
        <w:t xml:space="preserve"> 1.投标人应按</w:t>
      </w:r>
      <w:r>
        <w:rPr>
          <w:b/>
          <w:sz w:val="24"/>
        </w:rPr>
        <w:t>资格证明文件、商务技术文件</w:t>
      </w:r>
      <w:r>
        <w:rPr>
          <w:sz w:val="24"/>
        </w:rPr>
        <w:t>和</w:t>
      </w:r>
      <w:r>
        <w:rPr>
          <w:b/>
          <w:sz w:val="24"/>
        </w:rPr>
        <w:t>报价文件</w:t>
      </w:r>
      <w:r>
        <w:rPr>
          <w:sz w:val="24"/>
        </w:rPr>
        <w:t>三部分分别包装和密封投标文件。</w:t>
      </w:r>
    </w:p>
    <w:p>
      <w:pPr>
        <w:snapToGrid w:val="0"/>
        <w:spacing w:line="360" w:lineRule="auto"/>
        <w:ind w:firstLine="420" w:firstLineChars="175"/>
        <w:jc w:val="left"/>
        <w:rPr>
          <w:sz w:val="24"/>
        </w:rPr>
      </w:pPr>
      <w:r>
        <w:rPr>
          <w:sz w:val="24"/>
        </w:rPr>
        <w:t>2.投标文件的包装封面上应注明投标人名称、投标人地址、投标文件名称（资格证明文件、商务技术文件和报价文件）、投标项目名称、项目编号、标项及“在  年  月  日  时  分之前不得启封”字样，并加盖投标人公章。</w:t>
      </w:r>
    </w:p>
    <w:p>
      <w:pPr>
        <w:snapToGrid w:val="0"/>
        <w:spacing w:line="360" w:lineRule="auto"/>
        <w:ind w:firstLine="420"/>
        <w:jc w:val="left"/>
        <w:rPr>
          <w:sz w:val="24"/>
        </w:rPr>
      </w:pPr>
      <w:r>
        <w:rPr>
          <w:sz w:val="24"/>
        </w:rPr>
        <w:t>3.未按规定</w:t>
      </w:r>
      <w:r>
        <w:rPr>
          <w:color w:val="000000"/>
          <w:kern w:val="0"/>
          <w:sz w:val="24"/>
        </w:rPr>
        <w:t>将</w:t>
      </w:r>
      <w:r>
        <w:rPr>
          <w:b/>
          <w:sz w:val="24"/>
        </w:rPr>
        <w:t>资格证明文件、商务技术文件</w:t>
      </w:r>
      <w:r>
        <w:rPr>
          <w:sz w:val="24"/>
        </w:rPr>
        <w:t>和</w:t>
      </w:r>
      <w:r>
        <w:rPr>
          <w:b/>
          <w:sz w:val="24"/>
        </w:rPr>
        <w:t>报价文件</w:t>
      </w:r>
      <w:r>
        <w:rPr>
          <w:rFonts w:hint="eastAsia"/>
          <w:b/>
          <w:sz w:val="24"/>
        </w:rPr>
        <w:t>三</w:t>
      </w:r>
      <w:r>
        <w:rPr>
          <w:sz w:val="24"/>
        </w:rPr>
        <w:t>部分分别包装的，</w:t>
      </w:r>
      <w:r>
        <w:rPr>
          <w:color w:val="000000"/>
          <w:kern w:val="0"/>
          <w:sz w:val="24"/>
        </w:rPr>
        <w:t>如开标时发生报价泄露的，由供应商自行承担相关责任。</w:t>
      </w:r>
      <w:r>
        <w:rPr>
          <w:sz w:val="24"/>
        </w:rPr>
        <w:t>未按规定密封的投标文件将被</w:t>
      </w:r>
      <w:r>
        <w:rPr>
          <w:b/>
          <w:sz w:val="24"/>
        </w:rPr>
        <w:t>拒绝</w:t>
      </w:r>
      <w:r>
        <w:rPr>
          <w:sz w:val="24"/>
        </w:rPr>
        <w:t>，并由现场工作人员退还投标人代表。</w:t>
      </w:r>
    </w:p>
    <w:p>
      <w:pPr>
        <w:snapToGrid w:val="0"/>
        <w:spacing w:line="360" w:lineRule="auto"/>
        <w:ind w:firstLine="420"/>
        <w:jc w:val="left"/>
        <w:rPr>
          <w:sz w:val="24"/>
        </w:rPr>
      </w:pPr>
      <w:r>
        <w:rPr>
          <w:sz w:val="24"/>
        </w:rPr>
        <w:t>4.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pStyle w:val="28"/>
        <w:snapToGrid w:val="0"/>
        <w:spacing w:line="240" w:lineRule="auto"/>
        <w:ind w:firstLine="0"/>
        <w:rPr>
          <w:rFonts w:ascii="Times New Roman" w:hAnsi="Times New Roman"/>
          <w:b/>
          <w:snapToGrid w:val="0"/>
          <w:sz w:val="24"/>
          <w:szCs w:val="24"/>
        </w:rPr>
      </w:pPr>
    </w:p>
    <w:p>
      <w:pPr>
        <w:snapToGrid w:val="0"/>
        <w:spacing w:before="120" w:beforeLines="50" w:after="120" w:afterLines="50" w:line="360" w:lineRule="auto"/>
        <w:ind w:left="238"/>
        <w:jc w:val="center"/>
        <w:outlineLvl w:val="1"/>
        <w:rPr>
          <w:b/>
          <w:snapToGrid w:val="0"/>
          <w:sz w:val="28"/>
          <w:szCs w:val="28"/>
        </w:rPr>
      </w:pPr>
      <w:bookmarkStart w:id="14" w:name="_Toc18854404"/>
      <w:r>
        <w:rPr>
          <w:b/>
          <w:sz w:val="28"/>
          <w:szCs w:val="28"/>
        </w:rPr>
        <w:t>四、开标</w:t>
      </w:r>
      <w:bookmarkEnd w:id="14"/>
    </w:p>
    <w:p>
      <w:pPr>
        <w:snapToGrid w:val="0"/>
        <w:spacing w:line="360" w:lineRule="auto"/>
        <w:ind w:firstLine="419" w:firstLineChars="174"/>
        <w:jc w:val="left"/>
        <w:outlineLvl w:val="2"/>
        <w:rPr>
          <w:b/>
          <w:sz w:val="24"/>
        </w:rPr>
      </w:pPr>
      <w:r>
        <w:rPr>
          <w:b/>
          <w:sz w:val="24"/>
        </w:rPr>
        <w:t>（一）开标准备</w:t>
      </w:r>
    </w:p>
    <w:p>
      <w:pPr>
        <w:pStyle w:val="37"/>
        <w:snapToGrid w:val="0"/>
        <w:spacing w:beforeLines="0" w:after="0" w:afterLines="0" w:line="360" w:lineRule="auto"/>
        <w:ind w:firstLine="470" w:firstLineChars="196"/>
        <w:rPr>
          <w:rFonts w:ascii="Times New Roman" w:hAnsi="Times New Roman"/>
          <w:b/>
        </w:rPr>
      </w:pPr>
      <w:r>
        <w:rPr>
          <w:rFonts w:ascii="Times New Roman" w:hAnsi="Times New Roman"/>
        </w:rPr>
        <w:t>1、</w:t>
      </w:r>
      <w:r>
        <w:rPr>
          <w:rFonts w:ascii="Times New Roman" w:hAnsi="Times New Roman"/>
          <w:kern w:val="0"/>
          <w:szCs w:val="21"/>
        </w:rPr>
        <w:t>投标人应按招标文件规定的投标截止时间前提交投标文件。逾期送达的或者未送达指定地点的投标文件，采购</w:t>
      </w:r>
      <w:r>
        <w:rPr>
          <w:rFonts w:ascii="Times New Roman" w:hAnsi="Times New Roman"/>
          <w:bCs/>
        </w:rPr>
        <w:t>代理机构</w:t>
      </w:r>
      <w:r>
        <w:rPr>
          <w:rFonts w:ascii="Times New Roman" w:hAnsi="Times New Roman"/>
          <w:kern w:val="0"/>
          <w:szCs w:val="21"/>
        </w:rPr>
        <w:t>将不予接收。</w:t>
      </w:r>
    </w:p>
    <w:p>
      <w:pPr>
        <w:pStyle w:val="37"/>
        <w:snapToGrid w:val="0"/>
        <w:spacing w:before="0" w:beforeLines="0" w:after="0" w:afterLines="0" w:line="360" w:lineRule="auto"/>
        <w:ind w:firstLine="480" w:firstLineChars="200"/>
        <w:rPr>
          <w:rFonts w:ascii="Times New Roman" w:hAnsi="Times New Roman"/>
          <w:bCs/>
        </w:rPr>
      </w:pPr>
      <w:r>
        <w:rPr>
          <w:rFonts w:ascii="Times New Roman" w:hAnsi="Times New Roman"/>
          <w:bCs/>
        </w:rPr>
        <w:t>2、采购代理机构将在规定的时间和地点进行开标，投标人的法定代表人或其授权代表应参加开标会并签到，并填写“</w:t>
      </w:r>
      <w:r>
        <w:rPr>
          <w:rFonts w:ascii="Times New Roman" w:hAnsi="Times New Roman"/>
        </w:rPr>
        <w:t>政府采购活动现场确认声明书”</w:t>
      </w:r>
      <w:r>
        <w:rPr>
          <w:rFonts w:ascii="Times New Roman" w:hAnsi="Times New Roman"/>
          <w:bCs/>
        </w:rPr>
        <w:t>。投标人的法定代表人或其授权代表未按时签到的，视同放弃开标监督权利、认可开标结果。</w:t>
      </w:r>
    </w:p>
    <w:p>
      <w:pPr>
        <w:autoSpaceDE w:val="0"/>
        <w:autoSpaceDN w:val="0"/>
        <w:adjustRightInd w:val="0"/>
        <w:spacing w:line="360" w:lineRule="auto"/>
        <w:ind w:firstLine="360" w:firstLineChars="150"/>
        <w:jc w:val="left"/>
        <w:rPr>
          <w:bCs/>
          <w:sz w:val="24"/>
        </w:rPr>
      </w:pPr>
      <w:r>
        <w:rPr>
          <w:bCs/>
          <w:sz w:val="24"/>
        </w:rPr>
        <w:t>3、投标截止时间后参加投标的供应商不足三家的，除财政部门另有规定外，应当终止该项目的开标并作废标处理。</w:t>
      </w:r>
    </w:p>
    <w:p>
      <w:pPr>
        <w:snapToGrid w:val="0"/>
        <w:spacing w:line="360" w:lineRule="auto"/>
        <w:ind w:firstLine="419" w:firstLineChars="174"/>
        <w:jc w:val="left"/>
        <w:outlineLvl w:val="2"/>
        <w:rPr>
          <w:b/>
          <w:sz w:val="24"/>
        </w:rPr>
      </w:pPr>
      <w:r>
        <w:rPr>
          <w:b/>
          <w:sz w:val="24"/>
        </w:rPr>
        <w:t>（二） 开标程序：</w:t>
      </w:r>
    </w:p>
    <w:p>
      <w:pPr>
        <w:pStyle w:val="37"/>
        <w:snapToGrid w:val="0"/>
        <w:spacing w:before="120" w:after="120" w:line="240" w:lineRule="auto"/>
        <w:ind w:firstLine="480" w:firstLineChars="200"/>
        <w:rPr>
          <w:rFonts w:ascii="Times New Roman" w:hAnsi="Times New Roman"/>
        </w:rPr>
      </w:pPr>
      <w:r>
        <w:rPr>
          <w:rFonts w:ascii="Times New Roman" w:hAnsi="Times New Roman"/>
        </w:rPr>
        <w:t>1.开标会由采购代理机构主持，主持人宣布开标会议开始。</w:t>
      </w:r>
    </w:p>
    <w:p>
      <w:pPr>
        <w:pStyle w:val="37"/>
        <w:snapToGrid w:val="0"/>
        <w:spacing w:before="120" w:after="120" w:line="240" w:lineRule="auto"/>
        <w:ind w:firstLine="480" w:firstLineChars="200"/>
        <w:rPr>
          <w:rFonts w:ascii="Times New Roman" w:hAnsi="Times New Roman"/>
        </w:rPr>
      </w:pPr>
      <w:r>
        <w:rPr>
          <w:rFonts w:ascii="Times New Roman" w:hAnsi="Times New Roman"/>
        </w:rPr>
        <w:t xml:space="preserve">2.主持人介绍参加开标会的人员名单。 </w:t>
      </w:r>
    </w:p>
    <w:p>
      <w:pPr>
        <w:pStyle w:val="37"/>
        <w:snapToGrid w:val="0"/>
        <w:spacing w:before="120" w:after="120" w:line="240" w:lineRule="auto"/>
        <w:ind w:firstLine="480" w:firstLineChars="200"/>
        <w:rPr>
          <w:rFonts w:ascii="Times New Roman" w:hAnsi="Times New Roman"/>
        </w:rPr>
      </w:pPr>
      <w:r>
        <w:rPr>
          <w:rFonts w:ascii="Times New Roman" w:hAnsi="Times New Roman"/>
        </w:rPr>
        <w:t>3.主持人宣布评标期间的有关事项；告知应当回避的情形,提请有关人员回避。</w:t>
      </w:r>
    </w:p>
    <w:p>
      <w:pPr>
        <w:pStyle w:val="37"/>
        <w:snapToGrid w:val="0"/>
        <w:spacing w:before="120" w:after="120" w:line="240" w:lineRule="auto"/>
        <w:ind w:firstLine="480" w:firstLineChars="200"/>
        <w:rPr>
          <w:rFonts w:ascii="Times New Roman" w:hAnsi="Times New Roman"/>
        </w:rPr>
      </w:pPr>
      <w:r>
        <w:rPr>
          <w:rFonts w:ascii="Times New Roman" w:hAnsi="Times New Roman"/>
        </w:rPr>
        <w:t>4.投标人或其当场推荐的代表检查投标文件密封的完整性并签字确认。</w:t>
      </w:r>
    </w:p>
    <w:p>
      <w:pPr>
        <w:pStyle w:val="37"/>
        <w:snapToGrid w:val="0"/>
        <w:spacing w:before="120" w:after="120" w:line="360" w:lineRule="auto"/>
        <w:ind w:firstLine="480" w:firstLineChars="200"/>
        <w:rPr>
          <w:rFonts w:ascii="Times New Roman" w:hAnsi="Times New Roman"/>
        </w:rPr>
      </w:pPr>
      <w:r>
        <w:rPr>
          <w:rFonts w:ascii="Times New Roman" w:hAnsi="Times New Roman"/>
        </w:rPr>
        <w:t>5.按各投标人提交投标文件时间的先后顺序打开资格证明文件、商务技术文件外包装，清点投标文件正本、副本数量，并送评标室评审。采用活页装订的投标文件将被当场退还投标人，并由投标人代表签字确认。</w:t>
      </w:r>
    </w:p>
    <w:p>
      <w:pPr>
        <w:pStyle w:val="37"/>
        <w:snapToGrid w:val="0"/>
        <w:spacing w:before="120" w:after="120" w:line="360" w:lineRule="auto"/>
        <w:ind w:firstLine="480" w:firstLineChars="200"/>
        <w:rPr>
          <w:rFonts w:ascii="Times New Roman" w:hAnsi="Times New Roman"/>
        </w:rPr>
      </w:pPr>
      <w:r>
        <w:rPr>
          <w:rFonts w:ascii="Times New Roman" w:hAnsi="Times New Roman"/>
        </w:rPr>
        <w:t>6.商务、技术评分结束后，由主持人公布无效投标的投标人名单、投标无效的原因及其他有效投标的评分结果。</w:t>
      </w:r>
    </w:p>
    <w:p>
      <w:pPr>
        <w:pStyle w:val="37"/>
        <w:snapToGrid w:val="0"/>
        <w:spacing w:before="120" w:after="120" w:line="360" w:lineRule="auto"/>
        <w:ind w:firstLine="480" w:firstLineChars="200"/>
        <w:rPr>
          <w:rFonts w:ascii="Times New Roman" w:hAnsi="Times New Roman"/>
        </w:rPr>
      </w:pPr>
      <w:r>
        <w:rPr>
          <w:rFonts w:ascii="Times New Roman" w:hAnsi="Times New Roman"/>
        </w:rPr>
        <w:t>7.按各投标人提交投标文件时间的先后顺序打开报价文件外包装，清点投标文件正本、副本数量。采用活页装订的报价文件将被当场退还投标人，并由投标人代表签字确认。</w:t>
      </w:r>
    </w:p>
    <w:p>
      <w:pPr>
        <w:pStyle w:val="37"/>
        <w:snapToGrid w:val="0"/>
        <w:spacing w:before="120" w:after="120" w:line="360" w:lineRule="auto"/>
        <w:ind w:firstLine="480" w:firstLineChars="200"/>
        <w:rPr>
          <w:rFonts w:ascii="Times New Roman" w:hAnsi="Times New Roman"/>
        </w:rPr>
      </w:pPr>
      <w:r>
        <w:rPr>
          <w:rFonts w:ascii="Times New Roman" w:hAnsi="Times New Roman"/>
        </w:rPr>
        <w:t>8．宣读《开标一览表》中的投标人名称及在其投标文件中承诺的投标报价、投标内容等，以及采购代理机构认为有必要宣读的其他内容。</w:t>
      </w:r>
    </w:p>
    <w:p>
      <w:pPr>
        <w:pStyle w:val="37"/>
        <w:snapToGrid w:val="0"/>
        <w:spacing w:before="120" w:after="120" w:line="360" w:lineRule="auto"/>
        <w:ind w:firstLine="480" w:firstLineChars="200"/>
        <w:rPr>
          <w:rFonts w:ascii="Times New Roman" w:hAnsi="Times New Roman"/>
        </w:rPr>
      </w:pPr>
      <w:r>
        <w:rPr>
          <w:rFonts w:ascii="Times New Roman" w:hAnsi="Times New Roman"/>
        </w:rPr>
        <w:t>9．采购代理机构做开标记录, 投标人代表对开标记录进行当场校核及勘误，并签字确认；同时由记录人、监督人当场签字确认。投标人代表未到场签字确认或者拒绝签字确认的，不影响开标过程。</w:t>
      </w:r>
    </w:p>
    <w:p>
      <w:pPr>
        <w:pStyle w:val="37"/>
        <w:snapToGrid w:val="0"/>
        <w:spacing w:before="120" w:after="120" w:line="360" w:lineRule="auto"/>
        <w:ind w:left="719" w:leftChars="228" w:hanging="240" w:hangingChars="100"/>
        <w:rPr>
          <w:rFonts w:ascii="Times New Roman" w:hAnsi="Times New Roman"/>
        </w:rPr>
      </w:pPr>
      <w:r>
        <w:rPr>
          <w:rFonts w:ascii="Times New Roman" w:hAnsi="Times New Roman"/>
        </w:rPr>
        <w:t>10、开标会议结束。</w:t>
      </w:r>
    </w:p>
    <w:p>
      <w:pPr>
        <w:snapToGrid w:val="0"/>
        <w:spacing w:before="120" w:beforeLines="50" w:after="120" w:afterLines="50" w:line="360" w:lineRule="auto"/>
        <w:ind w:left="238"/>
        <w:jc w:val="center"/>
        <w:outlineLvl w:val="1"/>
        <w:rPr>
          <w:b/>
          <w:sz w:val="28"/>
          <w:szCs w:val="28"/>
        </w:rPr>
      </w:pPr>
      <w:bookmarkStart w:id="15" w:name="_Toc18854405"/>
      <w:r>
        <w:rPr>
          <w:b/>
          <w:sz w:val="28"/>
          <w:szCs w:val="28"/>
        </w:rPr>
        <w:t>五、评标</w:t>
      </w:r>
      <w:bookmarkEnd w:id="15"/>
    </w:p>
    <w:p>
      <w:pPr>
        <w:snapToGrid w:val="0"/>
        <w:spacing w:line="360" w:lineRule="auto"/>
        <w:ind w:firstLine="419" w:firstLineChars="174"/>
        <w:jc w:val="left"/>
        <w:outlineLvl w:val="2"/>
        <w:rPr>
          <w:b/>
          <w:sz w:val="24"/>
        </w:rPr>
      </w:pPr>
      <w:r>
        <w:rPr>
          <w:b/>
          <w:sz w:val="24"/>
        </w:rPr>
        <w:t>（一）组建评标委员会</w:t>
      </w:r>
    </w:p>
    <w:p>
      <w:pPr>
        <w:pStyle w:val="37"/>
        <w:snapToGrid w:val="0"/>
        <w:spacing w:beforeLines="0" w:afterLines="0" w:line="360" w:lineRule="auto"/>
        <w:ind w:firstLine="480" w:firstLineChars="200"/>
        <w:rPr>
          <w:rFonts w:ascii="Times New Roman" w:hAnsi="Times New Roman"/>
        </w:rPr>
      </w:pPr>
      <w:r>
        <w:rPr>
          <w:rFonts w:ascii="Times New Roman" w:hAnsi="Times New Roman"/>
          <w:kern w:val="0"/>
        </w:rPr>
        <w:t>评标委员会由采购人代表和有关技术、经济等方面的专家组成，成员人数应当为五人或五人以上单数。其中，技术、经济等方面的专家不得少于成员总数的三分之二。</w:t>
      </w:r>
    </w:p>
    <w:p>
      <w:pPr>
        <w:snapToGrid w:val="0"/>
        <w:spacing w:line="360" w:lineRule="auto"/>
        <w:ind w:firstLine="419" w:firstLineChars="174"/>
        <w:jc w:val="left"/>
        <w:outlineLvl w:val="2"/>
        <w:rPr>
          <w:b/>
          <w:sz w:val="24"/>
        </w:rPr>
      </w:pPr>
      <w:r>
        <w:rPr>
          <w:b/>
          <w:sz w:val="24"/>
        </w:rPr>
        <w:t>（二）评标方式</w:t>
      </w:r>
    </w:p>
    <w:p>
      <w:pPr>
        <w:pStyle w:val="37"/>
        <w:snapToGrid w:val="0"/>
        <w:spacing w:beforeLines="0" w:afterLines="0" w:line="360" w:lineRule="auto"/>
        <w:ind w:left="719" w:leftChars="228" w:hanging="240" w:hangingChars="100"/>
        <w:rPr>
          <w:rFonts w:ascii="Times New Roman" w:hAnsi="Times New Roman"/>
        </w:rPr>
      </w:pPr>
      <w:r>
        <w:rPr>
          <w:rFonts w:ascii="Times New Roman" w:hAnsi="Times New Roman"/>
        </w:rPr>
        <w:t>本项目采用</w:t>
      </w:r>
      <w:r>
        <w:rPr>
          <w:rFonts w:hint="eastAsia" w:ascii="Times New Roman" w:hAnsi="Times New Roman"/>
        </w:rPr>
        <w:t>非</w:t>
      </w:r>
      <w:r>
        <w:rPr>
          <w:rFonts w:ascii="Times New Roman" w:hAnsi="Times New Roman"/>
        </w:rPr>
        <w:t>公开方式评标，评标的依据为招标文件和投标文件。</w:t>
      </w:r>
    </w:p>
    <w:p>
      <w:pPr>
        <w:pStyle w:val="37"/>
        <w:snapToGrid w:val="0"/>
        <w:spacing w:before="120" w:after="120" w:line="360" w:lineRule="auto"/>
        <w:ind w:left="720" w:leftChars="228" w:hanging="241" w:hangingChars="100"/>
        <w:rPr>
          <w:rFonts w:ascii="Times New Roman" w:hAnsi="Times New Roman"/>
          <w:b/>
        </w:rPr>
      </w:pPr>
      <w:r>
        <w:rPr>
          <w:rFonts w:ascii="Times New Roman" w:hAnsi="Times New Roman"/>
          <w:b/>
        </w:rPr>
        <w:t>（三）评标程序</w:t>
      </w:r>
    </w:p>
    <w:p>
      <w:pPr>
        <w:pStyle w:val="37"/>
        <w:snapToGrid w:val="0"/>
        <w:spacing w:before="120" w:after="120" w:line="360" w:lineRule="auto"/>
        <w:ind w:firstLine="470" w:firstLineChars="196"/>
        <w:rPr>
          <w:rFonts w:ascii="Times New Roman" w:hAnsi="Times New Roman"/>
        </w:rPr>
      </w:pPr>
      <w:r>
        <w:rPr>
          <w:rFonts w:ascii="Times New Roman" w:hAnsi="Times New Roman"/>
        </w:rPr>
        <w:t>1.在评审专家中推选评审小组组长。</w:t>
      </w:r>
    </w:p>
    <w:p>
      <w:pPr>
        <w:pStyle w:val="37"/>
        <w:snapToGrid w:val="0"/>
        <w:spacing w:before="120" w:after="120" w:line="360" w:lineRule="auto"/>
        <w:ind w:firstLine="470" w:firstLineChars="196"/>
        <w:rPr>
          <w:rFonts w:ascii="Times New Roman" w:hAnsi="Times New Roman"/>
        </w:rPr>
      </w:pPr>
      <w:r>
        <w:rPr>
          <w:rFonts w:ascii="Times New Roman" w:hAnsi="Times New Roman"/>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pPr>
        <w:pStyle w:val="37"/>
        <w:snapToGrid w:val="0"/>
        <w:spacing w:before="120" w:after="120" w:line="360" w:lineRule="auto"/>
        <w:ind w:firstLine="470" w:firstLineChars="196"/>
        <w:rPr>
          <w:rFonts w:ascii="Times New Roman" w:hAnsi="Times New Roman"/>
          <w:color w:val="FF0000"/>
        </w:rPr>
      </w:pPr>
      <w:r>
        <w:rPr>
          <w:rFonts w:ascii="Times New Roman" w:hAnsi="Times New Roman"/>
        </w:rPr>
        <w:t>3.招标人或者招标代理机构对各投标人的资格进行审查，投标人资格条件不符合招标文件要求的投标无效，</w:t>
      </w:r>
      <w:r>
        <w:rPr>
          <w:rFonts w:ascii="Times New Roman" w:hAnsi="Times New Roman"/>
          <w:bCs/>
        </w:rPr>
        <w:t>不再进入符合性审查。</w:t>
      </w:r>
    </w:p>
    <w:p>
      <w:pPr>
        <w:pStyle w:val="37"/>
        <w:snapToGrid w:val="0"/>
        <w:spacing w:before="120" w:after="120" w:line="360" w:lineRule="auto"/>
        <w:ind w:firstLine="470" w:firstLineChars="196"/>
        <w:rPr>
          <w:rFonts w:ascii="Times New Roman" w:hAnsi="Times New Roman"/>
        </w:rPr>
      </w:pPr>
      <w:r>
        <w:rPr>
          <w:rFonts w:ascii="Times New Roman" w:hAnsi="Times New Roman"/>
        </w:rPr>
        <w:t>4.评审小组对各投标文件的符合性进行审查，确定是否对招标文件作出了实质性响应。</w:t>
      </w:r>
      <w:r>
        <w:rPr>
          <w:rFonts w:ascii="Times New Roman" w:hAnsi="Times New Roman"/>
          <w:bCs/>
        </w:rPr>
        <w:t>实质上没有响应招标文件要求的投标将被视为无效投标，不再进入下一阶段的评审。</w:t>
      </w:r>
    </w:p>
    <w:p>
      <w:pPr>
        <w:pStyle w:val="37"/>
        <w:snapToGrid w:val="0"/>
        <w:spacing w:before="120" w:after="120" w:line="240" w:lineRule="auto"/>
        <w:ind w:left="719" w:leftChars="228" w:hanging="240" w:hangingChars="100"/>
        <w:rPr>
          <w:rFonts w:ascii="Times New Roman" w:hAnsi="Times New Roman"/>
        </w:rPr>
      </w:pPr>
      <w:r>
        <w:rPr>
          <w:rFonts w:ascii="Times New Roman" w:hAnsi="Times New Roman"/>
        </w:rPr>
        <w:t>5.评审人员按招标文件规定的评审方法和评审标准，依法独立对供应商投</w:t>
      </w:r>
    </w:p>
    <w:p>
      <w:pPr>
        <w:pStyle w:val="37"/>
        <w:snapToGrid w:val="0"/>
        <w:spacing w:before="120" w:after="120" w:line="240" w:lineRule="auto"/>
        <w:rPr>
          <w:rFonts w:ascii="Times New Roman" w:hAnsi="Times New Roman"/>
        </w:rPr>
      </w:pPr>
      <w:r>
        <w:rPr>
          <w:rFonts w:ascii="Times New Roman" w:hAnsi="Times New Roman"/>
        </w:rPr>
        <w:t>标文件进行评估、比较，并给予评价或打分，不受任何单位和个人的干预。</w:t>
      </w:r>
    </w:p>
    <w:p>
      <w:pPr>
        <w:snapToGrid w:val="0"/>
        <w:spacing w:line="360" w:lineRule="auto"/>
        <w:ind w:firstLine="480" w:firstLineChars="200"/>
        <w:rPr>
          <w:sz w:val="24"/>
          <w:szCs w:val="20"/>
        </w:rPr>
      </w:pPr>
      <w:r>
        <w:rPr>
          <w:sz w:val="24"/>
        </w:rPr>
        <w:t>6.各投标人的技术得分为所有评委的有效评分的算术平均数，由指定专人进行计算复核。</w:t>
      </w:r>
    </w:p>
    <w:p>
      <w:pPr>
        <w:snapToGrid w:val="0"/>
        <w:spacing w:line="360" w:lineRule="auto"/>
        <w:ind w:firstLine="480" w:firstLineChars="200"/>
        <w:rPr>
          <w:sz w:val="24"/>
        </w:rPr>
      </w:pPr>
      <w:r>
        <w:rPr>
          <w:sz w:val="24"/>
        </w:rPr>
        <w:t>7.评标委员会完成评标后,评委对各部分得分汇总,计算出本项目最终得分。评标委员会按评标原则推荐中标候选人，同时起草评标报告。</w:t>
      </w:r>
    </w:p>
    <w:p>
      <w:pPr>
        <w:snapToGrid w:val="0"/>
        <w:spacing w:line="360" w:lineRule="auto"/>
        <w:ind w:firstLine="480" w:firstLineChars="200"/>
        <w:rPr>
          <w:sz w:val="24"/>
          <w:szCs w:val="20"/>
        </w:rPr>
      </w:pPr>
      <w:r>
        <w:rPr>
          <w:sz w:val="24"/>
        </w:rPr>
        <w:t>8.实质上响应招标文件要求的投标人</w:t>
      </w:r>
      <w:r>
        <w:rPr>
          <w:bCs/>
          <w:sz w:val="24"/>
        </w:rPr>
        <w:t>不足三家的，除财政部门另有规定外，应当作废标处理。</w:t>
      </w:r>
    </w:p>
    <w:p>
      <w:pPr>
        <w:snapToGrid w:val="0"/>
        <w:spacing w:line="360" w:lineRule="auto"/>
        <w:ind w:firstLine="482" w:firstLineChars="200"/>
        <w:rPr>
          <w:b/>
          <w:sz w:val="24"/>
          <w:szCs w:val="20"/>
        </w:rPr>
      </w:pPr>
      <w:r>
        <w:rPr>
          <w:b/>
          <w:sz w:val="24"/>
        </w:rPr>
        <w:t>（四）澄清问题的形式</w:t>
      </w:r>
    </w:p>
    <w:p>
      <w:pPr>
        <w:snapToGrid w:val="0"/>
        <w:spacing w:line="360" w:lineRule="auto"/>
        <w:ind w:firstLine="480" w:firstLineChars="200"/>
        <w:rPr>
          <w:sz w:val="24"/>
          <w:szCs w:val="20"/>
        </w:rPr>
      </w:pPr>
      <w:r>
        <w:rPr>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37"/>
        <w:snapToGrid w:val="0"/>
        <w:spacing w:before="120" w:after="120" w:line="360" w:lineRule="auto"/>
        <w:ind w:left="720" w:leftChars="228" w:hanging="241" w:hangingChars="100"/>
        <w:rPr>
          <w:rFonts w:ascii="Times New Roman" w:hAnsi="Times New Roman"/>
          <w:b/>
        </w:rPr>
      </w:pPr>
      <w:r>
        <w:rPr>
          <w:rFonts w:ascii="Times New Roman" w:hAnsi="Times New Roman"/>
          <w:b/>
        </w:rPr>
        <w:t>（五）错误修正</w:t>
      </w:r>
    </w:p>
    <w:p>
      <w:pPr>
        <w:snapToGrid w:val="0"/>
        <w:spacing w:line="360" w:lineRule="auto"/>
        <w:ind w:firstLine="480" w:firstLineChars="200"/>
        <w:rPr>
          <w:sz w:val="24"/>
        </w:rPr>
      </w:pPr>
      <w:r>
        <w:rPr>
          <w:sz w:val="24"/>
        </w:rPr>
        <w:t>投标文件如果出现计算或表达上的错误，修正错误的原则如下：</w:t>
      </w:r>
    </w:p>
    <w:p>
      <w:pPr>
        <w:spacing w:line="360" w:lineRule="auto"/>
        <w:ind w:firstLine="480" w:firstLineChars="200"/>
        <w:rPr>
          <w:sz w:val="24"/>
        </w:rPr>
      </w:pPr>
      <w:r>
        <w:rPr>
          <w:sz w:val="24"/>
        </w:rPr>
        <w:t>1.投标文件中开标一览表内容与投标文件中相应内容不一致的，以开标一览表为准；</w:t>
      </w:r>
    </w:p>
    <w:p>
      <w:pPr>
        <w:spacing w:line="360" w:lineRule="auto"/>
        <w:ind w:firstLine="480" w:firstLineChars="200"/>
        <w:rPr>
          <w:sz w:val="24"/>
        </w:rPr>
      </w:pPr>
      <w:r>
        <w:rPr>
          <w:sz w:val="24"/>
        </w:rPr>
        <w:t>2.大写金额和小写金额不一致的，以大写金额为准；</w:t>
      </w:r>
    </w:p>
    <w:p>
      <w:pPr>
        <w:spacing w:line="360" w:lineRule="auto"/>
        <w:ind w:firstLine="480" w:firstLineChars="200"/>
        <w:rPr>
          <w:sz w:val="24"/>
        </w:rPr>
      </w:pPr>
      <w:r>
        <w:rPr>
          <w:sz w:val="24"/>
        </w:rPr>
        <w:t>3.单价金额小数点或者百分比有明显错位的，以开标一览表的总价为准，并修改单价；</w:t>
      </w:r>
    </w:p>
    <w:p>
      <w:pPr>
        <w:spacing w:line="360" w:lineRule="auto"/>
        <w:ind w:firstLine="480" w:firstLineChars="200"/>
        <w:rPr>
          <w:sz w:val="24"/>
        </w:rPr>
      </w:pPr>
      <w:r>
        <w:rPr>
          <w:sz w:val="24"/>
        </w:rPr>
        <w:t>4.总价金额与按单价汇总金额不一致的，以单价金额计算结果为准。</w:t>
      </w:r>
    </w:p>
    <w:p>
      <w:pPr>
        <w:snapToGrid w:val="0"/>
        <w:spacing w:line="360" w:lineRule="auto"/>
        <w:ind w:firstLine="480" w:firstLineChars="200"/>
        <w:rPr>
          <w:sz w:val="24"/>
        </w:rPr>
      </w:pPr>
      <w:r>
        <w:rPr>
          <w:sz w:val="24"/>
        </w:rPr>
        <w:t>同时出现两种以上不一致的，按照前款规定的顺序修正。评标委员会应当以书面形式要求投标人对修正后的报价予以确认并对投标人产生约束力。投标人不予确认的，其投标无效。</w:t>
      </w:r>
    </w:p>
    <w:p>
      <w:pPr>
        <w:pStyle w:val="37"/>
        <w:tabs>
          <w:tab w:val="left" w:pos="630"/>
        </w:tabs>
        <w:snapToGrid w:val="0"/>
        <w:spacing w:before="120" w:after="120" w:line="360" w:lineRule="auto"/>
        <w:ind w:firstLine="472" w:firstLineChars="196"/>
        <w:rPr>
          <w:rFonts w:ascii="Times New Roman" w:hAnsi="Times New Roman"/>
          <w:b/>
        </w:rPr>
      </w:pPr>
      <w:r>
        <w:rPr>
          <w:rFonts w:ascii="Times New Roman" w:hAnsi="Times New Roman"/>
          <w:b/>
        </w:rPr>
        <w:t>（六）评标原则和评标办法</w:t>
      </w:r>
    </w:p>
    <w:p>
      <w:pPr>
        <w:pStyle w:val="37"/>
        <w:snapToGrid w:val="0"/>
        <w:spacing w:before="120" w:after="120" w:line="360" w:lineRule="auto"/>
        <w:ind w:firstLine="480" w:firstLineChars="200"/>
        <w:rPr>
          <w:rFonts w:ascii="Times New Roman" w:hAnsi="Times New Roman"/>
        </w:rPr>
      </w:pPr>
      <w:r>
        <w:rPr>
          <w:rFonts w:ascii="Times New Roman" w:hAnsi="Times New Roman"/>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7"/>
        <w:snapToGrid w:val="0"/>
        <w:spacing w:before="120" w:after="120" w:line="360" w:lineRule="auto"/>
        <w:ind w:firstLine="480" w:firstLineChars="200"/>
        <w:rPr>
          <w:rFonts w:ascii="Times New Roman" w:hAnsi="Times New Roman"/>
        </w:rPr>
      </w:pPr>
      <w:r>
        <w:rPr>
          <w:rFonts w:ascii="Times New Roman" w:hAnsi="Times New Roman"/>
        </w:rPr>
        <w:t>2.本项目评标办法是综合评分法，具体评标内容及评分标准等详见第三章《评标办法》。</w:t>
      </w:r>
    </w:p>
    <w:p>
      <w:pPr>
        <w:pStyle w:val="37"/>
        <w:snapToGrid w:val="0"/>
        <w:spacing w:before="120" w:after="120" w:line="360" w:lineRule="auto"/>
        <w:ind w:firstLine="551" w:firstLineChars="196"/>
        <w:outlineLvl w:val="1"/>
        <w:rPr>
          <w:rFonts w:ascii="Times New Roman" w:hAnsi="Times New Roman"/>
          <w:b/>
          <w:sz w:val="28"/>
          <w:szCs w:val="28"/>
        </w:rPr>
      </w:pPr>
      <w:bookmarkStart w:id="16" w:name="_Toc18854406"/>
      <w:r>
        <w:rPr>
          <w:rFonts w:ascii="Times New Roman" w:hAnsi="Times New Roman"/>
          <w:b/>
          <w:sz w:val="28"/>
          <w:szCs w:val="28"/>
        </w:rPr>
        <w:t>六、定标</w:t>
      </w:r>
      <w:bookmarkEnd w:id="16"/>
    </w:p>
    <w:p>
      <w:pPr>
        <w:pStyle w:val="37"/>
        <w:snapToGrid w:val="0"/>
        <w:spacing w:before="120" w:after="120" w:line="360" w:lineRule="auto"/>
        <w:ind w:firstLine="472" w:firstLineChars="196"/>
        <w:rPr>
          <w:rFonts w:ascii="Times New Roman" w:hAnsi="Times New Roman"/>
          <w:b/>
          <w:bCs/>
          <w:szCs w:val="20"/>
        </w:rPr>
      </w:pPr>
      <w:r>
        <w:rPr>
          <w:rFonts w:ascii="Times New Roman" w:hAnsi="Times New Roman"/>
          <w:b/>
          <w:bCs/>
        </w:rPr>
        <w:t>（一）确定中标人</w:t>
      </w:r>
    </w:p>
    <w:p>
      <w:pPr>
        <w:snapToGrid w:val="0"/>
        <w:spacing w:line="360" w:lineRule="auto"/>
        <w:ind w:firstLine="480" w:firstLineChars="200"/>
        <w:rPr>
          <w:sz w:val="24"/>
        </w:rPr>
      </w:pPr>
      <w:r>
        <w:rPr>
          <w:sz w:val="24"/>
        </w:rPr>
        <w:t>1.采购人依法确定中标人后2个工作日内，采购代理机构以书面形式发出《中标通知书》和《</w:t>
      </w:r>
      <w:r>
        <w:rPr>
          <w:kern w:val="0"/>
          <w:sz w:val="24"/>
        </w:rPr>
        <w:t>招标结果通知书</w:t>
      </w:r>
      <w:r>
        <w:rPr>
          <w:sz w:val="24"/>
        </w:rPr>
        <w:t>》，并同时在相关网站上发布中标公告。</w:t>
      </w:r>
    </w:p>
    <w:p>
      <w:pPr>
        <w:pStyle w:val="37"/>
        <w:snapToGrid w:val="0"/>
        <w:spacing w:before="120" w:after="120" w:line="360" w:lineRule="auto"/>
        <w:ind w:firstLine="551" w:firstLineChars="196"/>
        <w:outlineLvl w:val="1"/>
        <w:rPr>
          <w:rFonts w:ascii="Times New Roman" w:hAnsi="Times New Roman"/>
          <w:b/>
          <w:sz w:val="28"/>
          <w:szCs w:val="28"/>
        </w:rPr>
      </w:pPr>
      <w:bookmarkStart w:id="17" w:name="_Toc18854407"/>
      <w:r>
        <w:rPr>
          <w:rFonts w:ascii="Times New Roman" w:hAnsi="Times New Roman"/>
          <w:b/>
          <w:sz w:val="28"/>
          <w:szCs w:val="28"/>
        </w:rPr>
        <w:t>七、合同授予</w:t>
      </w:r>
      <w:bookmarkEnd w:id="17"/>
    </w:p>
    <w:p>
      <w:pPr>
        <w:snapToGrid w:val="0"/>
        <w:spacing w:line="360" w:lineRule="auto"/>
        <w:ind w:firstLine="472" w:firstLineChars="196"/>
        <w:rPr>
          <w:b/>
          <w:bCs/>
          <w:sz w:val="24"/>
          <w:szCs w:val="20"/>
        </w:rPr>
      </w:pPr>
      <w:r>
        <w:rPr>
          <w:b/>
          <w:bCs/>
          <w:sz w:val="24"/>
        </w:rPr>
        <w:t>（一）签订合同</w:t>
      </w:r>
    </w:p>
    <w:p>
      <w:pPr>
        <w:snapToGrid w:val="0"/>
        <w:spacing w:line="360" w:lineRule="auto"/>
        <w:ind w:firstLine="480" w:firstLineChars="200"/>
        <w:rPr>
          <w:sz w:val="24"/>
          <w:szCs w:val="20"/>
        </w:rPr>
      </w:pPr>
      <w:r>
        <w:rPr>
          <w:sz w:val="24"/>
        </w:rPr>
        <w:t>1.采购人与中标人应当在《中标通知书》发出之日起30日内签订政府采购合同。</w:t>
      </w:r>
    </w:p>
    <w:p>
      <w:pPr>
        <w:snapToGrid w:val="0"/>
        <w:spacing w:line="360" w:lineRule="auto"/>
        <w:ind w:firstLine="480" w:firstLineChars="200"/>
        <w:rPr>
          <w:sz w:val="24"/>
          <w:szCs w:val="20"/>
        </w:rPr>
      </w:pPr>
      <w:r>
        <w:rPr>
          <w:sz w:val="24"/>
        </w:rPr>
        <w:t>2.中标人拖延、拒签合同的，将被取消中标资格。</w:t>
      </w:r>
    </w:p>
    <w:p>
      <w:pPr>
        <w:pStyle w:val="37"/>
        <w:snapToGrid w:val="0"/>
        <w:spacing w:before="120" w:after="120" w:line="360" w:lineRule="auto"/>
        <w:ind w:firstLine="472" w:firstLineChars="196"/>
        <w:rPr>
          <w:rFonts w:ascii="Times New Roman" w:hAnsi="Times New Roman"/>
          <w:b/>
        </w:rPr>
      </w:pPr>
      <w:r>
        <w:rPr>
          <w:rFonts w:ascii="Times New Roman" w:hAnsi="Times New Roman"/>
          <w:b/>
        </w:rPr>
        <w:t>（二）履约保证金</w:t>
      </w:r>
    </w:p>
    <w:p>
      <w:pPr>
        <w:pStyle w:val="37"/>
        <w:snapToGrid w:val="0"/>
        <w:spacing w:before="120" w:after="120" w:line="360" w:lineRule="auto"/>
        <w:ind w:firstLine="480" w:firstLineChars="200"/>
        <w:rPr>
          <w:rFonts w:ascii="Times New Roman" w:hAnsi="Times New Roman"/>
        </w:rPr>
      </w:pPr>
      <w:r>
        <w:rPr>
          <w:rFonts w:ascii="Times New Roman" w:hAnsi="Times New Roman"/>
        </w:rPr>
        <w:t>1.中标人应按招标文件确定的履约保证金的金额，向采购人交纳履约保证金。</w:t>
      </w:r>
    </w:p>
    <w:p>
      <w:pPr>
        <w:pStyle w:val="37"/>
        <w:snapToGrid w:val="0"/>
        <w:spacing w:before="120" w:after="120" w:line="360" w:lineRule="auto"/>
        <w:ind w:firstLine="480" w:firstLineChars="200"/>
        <w:rPr>
          <w:rFonts w:ascii="Times New Roman" w:hAnsi="Times New Roman"/>
        </w:rPr>
      </w:pPr>
      <w:r>
        <w:rPr>
          <w:rFonts w:ascii="Times New Roman" w:hAnsi="Times New Roman"/>
        </w:rPr>
        <w:t>2.签订合同后，如中标人不按双方合同约定履约，则没收其全部履约保证金，履约保证金不足以赔偿损失的，按实际损失赔偿。</w:t>
      </w:r>
    </w:p>
    <w:p>
      <w:pPr>
        <w:pStyle w:val="37"/>
        <w:snapToGrid w:val="0"/>
        <w:spacing w:beforeLines="0" w:afterLines="0" w:line="240" w:lineRule="auto"/>
        <w:jc w:val="center"/>
        <w:outlineLvl w:val="0"/>
        <w:rPr>
          <w:rFonts w:ascii="Times New Roman" w:hAnsi="Times New Roman"/>
        </w:rPr>
      </w:pPr>
      <w:r>
        <w:rPr>
          <w:rFonts w:ascii="Times New Roman" w:hAnsi="Times New Roman"/>
        </w:rPr>
        <w:br w:type="page"/>
      </w:r>
      <w:bookmarkStart w:id="18" w:name="_Toc18854408"/>
      <w:r>
        <w:rPr>
          <w:rFonts w:ascii="Times New Roman" w:hAnsi="Times New Roman"/>
          <w:sz w:val="30"/>
          <w:szCs w:val="30"/>
        </w:rPr>
        <w:t>第三章  评标办法</w:t>
      </w:r>
      <w:bookmarkEnd w:id="18"/>
    </w:p>
    <w:p>
      <w:pPr>
        <w:spacing w:before="120" w:beforeLines="50" w:after="120" w:afterLines="50"/>
        <w:ind w:firstLine="420"/>
        <w:rPr>
          <w:sz w:val="24"/>
        </w:rPr>
      </w:pPr>
    </w:p>
    <w:p>
      <w:pPr>
        <w:spacing w:before="120" w:beforeLines="50" w:after="120" w:afterLines="50" w:line="360" w:lineRule="auto"/>
        <w:ind w:firstLine="540" w:firstLineChars="225"/>
        <w:rPr>
          <w:bCs/>
          <w:sz w:val="24"/>
          <w:szCs w:val="48"/>
        </w:rPr>
      </w:pPr>
      <w:r>
        <w:rPr>
          <w:sz w:val="24"/>
        </w:rPr>
        <w:t>为公正、公平、科学地选择中标人，根据《中华人民共和国政府采购法》等有关法律法规的规定，并结合本项目的实际，制定本办法。本办法适用于温州医科大学附属眼视光医院、杭州眼视光科技有限公司本</w:t>
      </w:r>
      <w:r>
        <w:rPr>
          <w:bCs/>
          <w:sz w:val="24"/>
          <w:szCs w:val="48"/>
        </w:rPr>
        <w:t>项目的评标。</w:t>
      </w:r>
    </w:p>
    <w:p>
      <w:pPr>
        <w:spacing w:before="120" w:beforeLines="50" w:after="120" w:afterLines="50" w:line="360" w:lineRule="auto"/>
        <w:outlineLvl w:val="1"/>
        <w:rPr>
          <w:b/>
          <w:sz w:val="28"/>
          <w:szCs w:val="28"/>
        </w:rPr>
      </w:pPr>
      <w:bookmarkStart w:id="19" w:name="_Toc18854409"/>
      <w:r>
        <w:rPr>
          <w:b/>
          <w:sz w:val="28"/>
          <w:szCs w:val="28"/>
        </w:rPr>
        <w:t>一、总则</w:t>
      </w:r>
      <w:bookmarkEnd w:id="19"/>
    </w:p>
    <w:p>
      <w:pPr>
        <w:spacing w:before="120" w:beforeLines="50" w:after="120" w:afterLines="50" w:line="360" w:lineRule="auto"/>
        <w:ind w:firstLine="480" w:firstLineChars="200"/>
        <w:rPr>
          <w:bCs/>
          <w:sz w:val="24"/>
        </w:rPr>
      </w:pPr>
      <w:r>
        <w:rPr>
          <w:sz w:val="24"/>
        </w:rPr>
        <w:t>本次评标采用综合评分法，总分为100分，其中价格分</w:t>
      </w:r>
      <w:r>
        <w:rPr>
          <w:rFonts w:hint="eastAsia"/>
          <w:sz w:val="24"/>
        </w:rPr>
        <w:t>30</w:t>
      </w:r>
      <w:r>
        <w:rPr>
          <w:sz w:val="24"/>
        </w:rPr>
        <w:t>分、商务技术分</w:t>
      </w:r>
      <w:r>
        <w:rPr>
          <w:rFonts w:hint="eastAsia"/>
          <w:sz w:val="24"/>
        </w:rPr>
        <w:t>70</w:t>
      </w:r>
      <w:r>
        <w:rPr>
          <w:sz w:val="24"/>
        </w:rPr>
        <w:t>分。合格投标人的评标得分为各项目汇总得分，中标候选资格按评标得分由高到低顺序排列；得分相同的，中小企业优先获得中标候选资格；均相同的，投标报价由低到高顺序排列。</w:t>
      </w:r>
      <w:r>
        <w:rPr>
          <w:bCs/>
          <w:sz w:val="24"/>
        </w:rPr>
        <w:t>评分过程中采用四舍五入法，并保留小数2位。除财政部门另有规定外，评标委员会推荐</w:t>
      </w:r>
      <w:r>
        <w:rPr>
          <w:sz w:val="24"/>
        </w:rPr>
        <w:t>得分</w:t>
      </w:r>
      <w:r>
        <w:rPr>
          <w:bCs/>
          <w:sz w:val="24"/>
        </w:rPr>
        <w:t>排列前3名的投标人为中标候选人。采购人一般确定排名第一中标候选人为中标人。</w:t>
      </w:r>
    </w:p>
    <w:p>
      <w:pPr>
        <w:spacing w:before="120" w:beforeLines="50" w:after="120" w:afterLines="50" w:line="360" w:lineRule="auto"/>
        <w:ind w:firstLine="480" w:firstLineChars="200"/>
        <w:rPr>
          <w:sz w:val="24"/>
        </w:rPr>
      </w:pPr>
      <w:r>
        <w:rPr>
          <w:sz w:val="24"/>
        </w:rPr>
        <w:t>商务技术分=评标委员会所有成员评分合计数/评标委员会组成人员数</w:t>
      </w:r>
    </w:p>
    <w:p>
      <w:pPr>
        <w:spacing w:before="120" w:beforeLines="50" w:after="120" w:afterLines="50" w:line="360" w:lineRule="auto"/>
        <w:ind w:firstLine="480" w:firstLineChars="200"/>
        <w:rPr>
          <w:bCs/>
          <w:sz w:val="24"/>
        </w:rPr>
      </w:pPr>
      <w:r>
        <w:rPr>
          <w:sz w:val="24"/>
        </w:rPr>
        <w:t>投标人评标</w:t>
      </w:r>
      <w:r>
        <w:rPr>
          <w:bCs/>
          <w:sz w:val="24"/>
        </w:rPr>
        <w:t>综合得分=价格分+</w:t>
      </w:r>
      <w:r>
        <w:rPr>
          <w:sz w:val="24"/>
        </w:rPr>
        <w:t>商务技术分</w:t>
      </w:r>
    </w:p>
    <w:p>
      <w:pPr>
        <w:spacing w:before="120" w:beforeLines="50" w:after="120" w:afterLines="50" w:line="360" w:lineRule="auto"/>
        <w:outlineLvl w:val="1"/>
        <w:rPr>
          <w:b/>
          <w:sz w:val="28"/>
          <w:szCs w:val="28"/>
        </w:rPr>
      </w:pPr>
      <w:bookmarkStart w:id="20" w:name="_Toc18854410"/>
      <w:r>
        <w:rPr>
          <w:b/>
          <w:sz w:val="28"/>
          <w:szCs w:val="28"/>
        </w:rPr>
        <w:t>二、资格审查</w:t>
      </w:r>
      <w:bookmarkEnd w:id="20"/>
    </w:p>
    <w:p>
      <w:pPr>
        <w:spacing w:before="120" w:beforeLines="50" w:after="120" w:afterLines="50" w:line="360" w:lineRule="auto"/>
        <w:ind w:firstLine="480" w:firstLineChars="200"/>
        <w:rPr>
          <w:sz w:val="24"/>
        </w:rPr>
      </w:pPr>
      <w:r>
        <w:rPr>
          <w:sz w:val="24"/>
        </w:rPr>
        <w:t>招标人或者招标代理机构对各投标人的资格进行审查</w:t>
      </w:r>
      <w:r>
        <w:t>，</w:t>
      </w:r>
      <w:r>
        <w:rPr>
          <w:sz w:val="24"/>
        </w:rPr>
        <w:t>投标人资格条件不符合招标文件要求的投标无效，不再进入符合性审查。</w:t>
      </w:r>
    </w:p>
    <w:p>
      <w:pPr>
        <w:snapToGrid w:val="0"/>
        <w:spacing w:before="120" w:beforeLines="50" w:line="360" w:lineRule="auto"/>
        <w:outlineLvl w:val="1"/>
        <w:rPr>
          <w:b/>
          <w:sz w:val="28"/>
          <w:szCs w:val="28"/>
        </w:rPr>
      </w:pPr>
      <w:bookmarkStart w:id="21" w:name="_Toc18854411"/>
      <w:r>
        <w:rPr>
          <w:b/>
          <w:sz w:val="28"/>
          <w:szCs w:val="28"/>
        </w:rPr>
        <w:t>三、符合性审查</w:t>
      </w:r>
      <w:bookmarkEnd w:id="21"/>
    </w:p>
    <w:p>
      <w:pPr>
        <w:snapToGrid w:val="0"/>
        <w:spacing w:line="360" w:lineRule="auto"/>
        <w:ind w:firstLine="480" w:firstLineChars="200"/>
        <w:rPr>
          <w:bCs/>
          <w:sz w:val="24"/>
          <w:szCs w:val="20"/>
        </w:rPr>
      </w:pPr>
      <w:r>
        <w:rPr>
          <w:bCs/>
          <w:sz w:val="24"/>
        </w:rPr>
        <w:t>评标委员会对资格审查合格的投标文件进行符合性审查，确定是否对招标文件作出了实质性响应。符合性审查不合格的投标无效，不在</w:t>
      </w:r>
      <w:r>
        <w:rPr>
          <w:sz w:val="24"/>
        </w:rPr>
        <w:t>进行商务和技术评估、综合比较与评价。</w:t>
      </w:r>
      <w:r>
        <w:rPr>
          <w:bCs/>
          <w:sz w:val="24"/>
        </w:rPr>
        <w:t>投标人不得通过修正或撤消不合要求的偏离或保留从而使其投标成为有效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line="360" w:lineRule="auto"/>
        <w:ind w:firstLine="470" w:firstLineChars="196"/>
        <w:jc w:val="left"/>
        <w:rPr>
          <w:u w:val="single"/>
        </w:rPr>
      </w:pPr>
      <w:r>
        <w:rPr>
          <w:sz w:val="24"/>
          <w:u w:val="single"/>
        </w:rPr>
        <w:t>▲1、</w:t>
      </w:r>
      <w:r>
        <w:rPr>
          <w:b/>
          <w:sz w:val="24"/>
          <w:u w:val="single"/>
        </w:rPr>
        <w:t>在商务、技术评审时，如发现下列情形之一的，投标文件将被视为无效：</w:t>
      </w:r>
    </w:p>
    <w:p>
      <w:pPr>
        <w:spacing w:line="360" w:lineRule="auto"/>
        <w:ind w:firstLine="420"/>
        <w:jc w:val="left"/>
        <w:rPr>
          <w:sz w:val="24"/>
        </w:rPr>
      </w:pPr>
      <w:r>
        <w:rPr>
          <w:sz w:val="24"/>
        </w:rPr>
        <w:t>（</w:t>
      </w:r>
      <w:r>
        <w:rPr>
          <w:rFonts w:hint="eastAsia"/>
          <w:sz w:val="24"/>
        </w:rPr>
        <w:t>1</w:t>
      </w:r>
      <w:r>
        <w:rPr>
          <w:sz w:val="24"/>
        </w:rPr>
        <w:t>）投标文件未按招标文件要求签字和盖章的；</w:t>
      </w:r>
    </w:p>
    <w:p>
      <w:pPr>
        <w:spacing w:line="360" w:lineRule="auto"/>
        <w:ind w:firstLine="420"/>
        <w:jc w:val="left"/>
        <w:rPr>
          <w:sz w:val="24"/>
        </w:rPr>
      </w:pPr>
      <w:r>
        <w:rPr>
          <w:sz w:val="24"/>
        </w:rPr>
        <w:t>（</w:t>
      </w:r>
      <w:r>
        <w:rPr>
          <w:rFonts w:hint="eastAsia"/>
          <w:sz w:val="24"/>
        </w:rPr>
        <w:t>2</w:t>
      </w:r>
      <w:r>
        <w:rPr>
          <w:sz w:val="24"/>
        </w:rPr>
        <w:t>）未</w:t>
      </w:r>
      <w:r>
        <w:rPr>
          <w:bCs/>
          <w:kern w:val="0"/>
          <w:sz w:val="24"/>
        </w:rPr>
        <w:t>提供法定代表人授权委托书（</w:t>
      </w:r>
      <w:r>
        <w:rPr>
          <w:sz w:val="24"/>
        </w:rPr>
        <w:t>供应商代表不是法定代表人</w:t>
      </w:r>
      <w:r>
        <w:rPr>
          <w:bCs/>
          <w:kern w:val="0"/>
          <w:sz w:val="24"/>
        </w:rPr>
        <w:t>）、投标声明书</w:t>
      </w:r>
      <w:r>
        <w:rPr>
          <w:sz w:val="24"/>
        </w:rPr>
        <w:t>或</w:t>
      </w:r>
      <w:r>
        <w:rPr>
          <w:bCs/>
          <w:kern w:val="0"/>
          <w:sz w:val="24"/>
        </w:rPr>
        <w:t>填写项目不齐全的；</w:t>
      </w:r>
    </w:p>
    <w:p>
      <w:pPr>
        <w:spacing w:line="360" w:lineRule="auto"/>
        <w:ind w:firstLine="420"/>
        <w:jc w:val="left"/>
        <w:rPr>
          <w:sz w:val="24"/>
        </w:rPr>
      </w:pPr>
      <w:r>
        <w:rPr>
          <w:sz w:val="24"/>
        </w:rPr>
        <w:t>（</w:t>
      </w:r>
      <w:r>
        <w:rPr>
          <w:rFonts w:hint="eastAsia"/>
          <w:sz w:val="24"/>
        </w:rPr>
        <w:t>3</w:t>
      </w:r>
      <w:r>
        <w:rPr>
          <w:sz w:val="24"/>
        </w:rPr>
        <w:t>）投标有效期不足的；</w:t>
      </w:r>
    </w:p>
    <w:p>
      <w:pPr>
        <w:spacing w:line="360" w:lineRule="auto"/>
        <w:ind w:firstLine="420"/>
        <w:jc w:val="left"/>
        <w:rPr>
          <w:sz w:val="24"/>
        </w:rPr>
      </w:pPr>
      <w:r>
        <w:rPr>
          <w:sz w:val="24"/>
        </w:rPr>
        <w:t>（</w:t>
      </w:r>
      <w:r>
        <w:rPr>
          <w:rFonts w:hint="eastAsia"/>
          <w:sz w:val="24"/>
        </w:rPr>
        <w:t>4</w:t>
      </w:r>
      <w:r>
        <w:rPr>
          <w:sz w:val="24"/>
        </w:rPr>
        <w:t>）未响应招标文件标注“▲”的条款的；</w:t>
      </w:r>
    </w:p>
    <w:p>
      <w:pPr>
        <w:spacing w:line="360" w:lineRule="auto"/>
        <w:ind w:firstLine="420"/>
        <w:jc w:val="left"/>
        <w:rPr>
          <w:sz w:val="24"/>
        </w:rPr>
      </w:pPr>
      <w:r>
        <w:rPr>
          <w:sz w:val="24"/>
        </w:rPr>
        <w:t>（</w:t>
      </w:r>
      <w:r>
        <w:rPr>
          <w:rFonts w:hint="eastAsia"/>
          <w:sz w:val="24"/>
        </w:rPr>
        <w:t>5</w:t>
      </w:r>
      <w:r>
        <w:rPr>
          <w:sz w:val="24"/>
        </w:rPr>
        <w:t>）投标技术方案不明确，存在一个或一个以上备选（替代）投标方案的；</w:t>
      </w:r>
    </w:p>
    <w:p>
      <w:pPr>
        <w:spacing w:line="360" w:lineRule="auto"/>
        <w:ind w:firstLine="420"/>
        <w:jc w:val="left"/>
        <w:rPr>
          <w:sz w:val="24"/>
        </w:rPr>
      </w:pPr>
      <w:r>
        <w:rPr>
          <w:sz w:val="24"/>
        </w:rPr>
        <w:t>（</w:t>
      </w:r>
      <w:r>
        <w:rPr>
          <w:rFonts w:hint="eastAsia"/>
          <w:sz w:val="24"/>
        </w:rPr>
        <w:t>6</w:t>
      </w:r>
      <w:r>
        <w:rPr>
          <w:sz w:val="24"/>
        </w:rPr>
        <w:t xml:space="preserve">）投标文件有招标方不能接受的附加条件的； </w:t>
      </w:r>
    </w:p>
    <w:p>
      <w:pPr>
        <w:spacing w:line="360" w:lineRule="auto"/>
        <w:ind w:left="900" w:leftChars="200" w:hanging="480" w:hangingChars="200"/>
        <w:jc w:val="left"/>
        <w:rPr>
          <w:sz w:val="24"/>
        </w:rPr>
      </w:pPr>
      <w:r>
        <w:rPr>
          <w:sz w:val="24"/>
        </w:rPr>
        <w:t>（</w:t>
      </w:r>
      <w:r>
        <w:rPr>
          <w:rFonts w:hint="eastAsia"/>
          <w:sz w:val="24"/>
        </w:rPr>
        <w:t>7</w:t>
      </w:r>
      <w:r>
        <w:rPr>
          <w:sz w:val="24"/>
        </w:rPr>
        <w:t>）参加采购活动前3年内在经营活动中有重大违法记录的；</w:t>
      </w:r>
    </w:p>
    <w:p>
      <w:pPr>
        <w:spacing w:line="360" w:lineRule="auto"/>
        <w:ind w:left="900" w:leftChars="200" w:hanging="480" w:hangingChars="200"/>
        <w:jc w:val="left"/>
        <w:rPr>
          <w:sz w:val="24"/>
        </w:rPr>
      </w:pPr>
      <w:r>
        <w:rPr>
          <w:sz w:val="24"/>
        </w:rPr>
        <w:t>（</w:t>
      </w:r>
      <w:r>
        <w:rPr>
          <w:rFonts w:hint="eastAsia"/>
          <w:sz w:val="24"/>
        </w:rPr>
        <w:t>8</w:t>
      </w:r>
      <w:r>
        <w:rPr>
          <w:sz w:val="24"/>
        </w:rPr>
        <w:t>）不同投标人的投标文件由同一单位或者个人编制的；</w:t>
      </w:r>
    </w:p>
    <w:p>
      <w:pPr>
        <w:spacing w:line="360" w:lineRule="auto"/>
        <w:ind w:left="900" w:leftChars="200" w:hanging="480" w:hangingChars="200"/>
        <w:jc w:val="left"/>
        <w:rPr>
          <w:sz w:val="24"/>
        </w:rPr>
      </w:pPr>
      <w:r>
        <w:rPr>
          <w:sz w:val="24"/>
        </w:rPr>
        <w:t>（</w:t>
      </w:r>
      <w:r>
        <w:rPr>
          <w:rFonts w:hint="eastAsia"/>
          <w:sz w:val="24"/>
        </w:rPr>
        <w:t>9</w:t>
      </w:r>
      <w:r>
        <w:rPr>
          <w:sz w:val="24"/>
        </w:rPr>
        <w:t>）不同投标人委托同一单位或者个人办理投标事宜的；</w:t>
      </w:r>
    </w:p>
    <w:p>
      <w:pPr>
        <w:spacing w:line="360" w:lineRule="auto"/>
        <w:ind w:left="900" w:leftChars="200" w:hanging="480" w:hangingChars="200"/>
        <w:jc w:val="left"/>
        <w:rPr>
          <w:sz w:val="24"/>
        </w:rPr>
      </w:pPr>
      <w:r>
        <w:rPr>
          <w:sz w:val="24"/>
        </w:rPr>
        <w:t>（1</w:t>
      </w:r>
      <w:r>
        <w:rPr>
          <w:rFonts w:hint="eastAsia"/>
          <w:sz w:val="24"/>
        </w:rPr>
        <w:t>0</w:t>
      </w:r>
      <w:r>
        <w:rPr>
          <w:sz w:val="24"/>
        </w:rPr>
        <w:t>）不同投标人的投标文件载明的项目管理成员或者联系人员为同一人的；</w:t>
      </w:r>
    </w:p>
    <w:p>
      <w:pPr>
        <w:spacing w:line="360" w:lineRule="auto"/>
        <w:ind w:left="900" w:leftChars="200" w:hanging="480" w:hangingChars="200"/>
        <w:jc w:val="left"/>
        <w:rPr>
          <w:sz w:val="24"/>
        </w:rPr>
      </w:pPr>
      <w:r>
        <w:rPr>
          <w:sz w:val="24"/>
        </w:rPr>
        <w:t>（1</w:t>
      </w:r>
      <w:r>
        <w:rPr>
          <w:rFonts w:hint="eastAsia"/>
          <w:sz w:val="24"/>
        </w:rPr>
        <w:t>1</w:t>
      </w:r>
      <w:r>
        <w:rPr>
          <w:sz w:val="24"/>
        </w:rPr>
        <w:t>）不同投标人的投标文件异常一致或者投标报价呈规律性差异的；</w:t>
      </w:r>
    </w:p>
    <w:p>
      <w:pPr>
        <w:spacing w:line="360" w:lineRule="auto"/>
        <w:ind w:left="900" w:leftChars="200" w:hanging="480" w:hangingChars="200"/>
        <w:jc w:val="left"/>
        <w:rPr>
          <w:sz w:val="24"/>
        </w:rPr>
      </w:pPr>
      <w:r>
        <w:rPr>
          <w:sz w:val="24"/>
        </w:rPr>
        <w:t>（1</w:t>
      </w:r>
      <w:r>
        <w:rPr>
          <w:rFonts w:hint="eastAsia"/>
          <w:sz w:val="24"/>
        </w:rPr>
        <w:t>2</w:t>
      </w:r>
      <w:r>
        <w:rPr>
          <w:sz w:val="24"/>
        </w:rPr>
        <w:t>）不同投标人的投标文件相互混装的；</w:t>
      </w:r>
    </w:p>
    <w:p>
      <w:pPr>
        <w:spacing w:line="360" w:lineRule="auto"/>
        <w:ind w:left="900" w:leftChars="200" w:hanging="480" w:hangingChars="200"/>
        <w:jc w:val="left"/>
        <w:rPr>
          <w:sz w:val="24"/>
        </w:rPr>
      </w:pPr>
      <w:r>
        <w:rPr>
          <w:sz w:val="24"/>
        </w:rPr>
        <w:t>（1</w:t>
      </w:r>
      <w:r>
        <w:rPr>
          <w:rFonts w:hint="eastAsia"/>
          <w:sz w:val="24"/>
        </w:rPr>
        <w:t>3</w:t>
      </w:r>
      <w:r>
        <w:rPr>
          <w:sz w:val="24"/>
        </w:rPr>
        <w:t>）不同投标人的投标保证金从同一单位或者个人的账户转出的；</w:t>
      </w:r>
    </w:p>
    <w:p>
      <w:pPr>
        <w:spacing w:line="360" w:lineRule="auto"/>
        <w:ind w:left="900" w:leftChars="200" w:hanging="480" w:hangingChars="200"/>
        <w:jc w:val="left"/>
        <w:rPr>
          <w:sz w:val="24"/>
        </w:rPr>
      </w:pPr>
      <w:r>
        <w:rPr>
          <w:sz w:val="24"/>
        </w:rPr>
        <w:t>（1</w:t>
      </w:r>
      <w:r>
        <w:rPr>
          <w:rFonts w:hint="eastAsia"/>
          <w:sz w:val="24"/>
        </w:rPr>
        <w:t>4</w:t>
      </w:r>
      <w:r>
        <w:rPr>
          <w:sz w:val="24"/>
        </w:rPr>
        <w:t>）存在法律、法规、规章规定的其它无效投标情况的。</w:t>
      </w:r>
    </w:p>
    <w:p>
      <w:pPr>
        <w:adjustRightInd w:val="0"/>
        <w:snapToGrid w:val="0"/>
        <w:spacing w:line="360" w:lineRule="auto"/>
        <w:ind w:right="17" w:firstLine="480" w:firstLineChars="200"/>
        <w:rPr>
          <w:sz w:val="24"/>
        </w:rPr>
      </w:pPr>
      <w:r>
        <w:rPr>
          <w:sz w:val="24"/>
          <w:u w:val="single"/>
        </w:rPr>
        <w:t>▲2、</w:t>
      </w:r>
      <w:r>
        <w:rPr>
          <w:b/>
          <w:sz w:val="24"/>
          <w:u w:val="single"/>
        </w:rPr>
        <w:t>在报价评审时，如发现下列情形之一的，投标将被视为无效：</w:t>
      </w:r>
    </w:p>
    <w:p>
      <w:pPr>
        <w:adjustRightInd w:val="0"/>
        <w:snapToGrid w:val="0"/>
        <w:spacing w:line="360" w:lineRule="auto"/>
        <w:ind w:right="17" w:firstLine="480" w:firstLineChars="200"/>
        <w:rPr>
          <w:sz w:val="24"/>
        </w:rPr>
      </w:pPr>
      <w:r>
        <w:rPr>
          <w:sz w:val="24"/>
        </w:rPr>
        <w:t>（1）报价超出招标文件规定的采购预算金额或者最高限价，</w:t>
      </w:r>
      <w:r>
        <w:rPr>
          <w:rFonts w:hint="eastAsia"/>
          <w:sz w:val="24"/>
        </w:rPr>
        <w:t>或各采购单位的报价</w:t>
      </w:r>
      <w:r>
        <w:rPr>
          <w:sz w:val="24"/>
        </w:rPr>
        <w:t>总价超过</w:t>
      </w:r>
      <w:r>
        <w:rPr>
          <w:rFonts w:hint="eastAsia"/>
          <w:sz w:val="24"/>
        </w:rPr>
        <w:t>各自</w:t>
      </w:r>
      <w:r>
        <w:rPr>
          <w:sz w:val="24"/>
        </w:rPr>
        <w:t>的预算价格（详见招标公告）</w:t>
      </w:r>
      <w:r>
        <w:rPr>
          <w:rFonts w:hint="eastAsia"/>
          <w:sz w:val="24"/>
        </w:rPr>
        <w:t>，</w:t>
      </w:r>
      <w:r>
        <w:rPr>
          <w:sz w:val="24"/>
        </w:rPr>
        <w:t>采购人不能支付的；</w:t>
      </w:r>
    </w:p>
    <w:p>
      <w:pPr>
        <w:adjustRightInd w:val="0"/>
        <w:snapToGrid w:val="0"/>
        <w:spacing w:line="360" w:lineRule="auto"/>
        <w:ind w:right="17" w:firstLine="480" w:firstLineChars="200"/>
        <w:rPr>
          <w:sz w:val="24"/>
        </w:rPr>
      </w:pPr>
      <w:r>
        <w:rPr>
          <w:sz w:val="24"/>
        </w:rPr>
        <w:t>（2）投标报价具有选择性的；</w:t>
      </w:r>
    </w:p>
    <w:p>
      <w:pPr>
        <w:adjustRightInd w:val="0"/>
        <w:snapToGrid w:val="0"/>
        <w:spacing w:line="360" w:lineRule="auto"/>
        <w:ind w:right="17" w:firstLine="480" w:firstLineChars="200"/>
        <w:rPr>
          <w:rFonts w:hint="eastAsia"/>
          <w:sz w:val="24"/>
        </w:rPr>
      </w:pPr>
      <w:r>
        <w:rPr>
          <w:sz w:val="24"/>
        </w:rPr>
        <w:t>（3）不接受按招标文件规定的修正错误原则修正后的报价的；</w:t>
      </w:r>
    </w:p>
    <w:p>
      <w:pPr>
        <w:adjustRightInd w:val="0"/>
        <w:snapToGrid w:val="0"/>
        <w:spacing w:line="360" w:lineRule="auto"/>
        <w:ind w:right="17" w:firstLine="480" w:firstLineChars="200"/>
        <w:rPr>
          <w:sz w:val="24"/>
        </w:rPr>
      </w:pPr>
      <w:r>
        <w:rPr>
          <w:sz w:val="24"/>
        </w:rPr>
        <w:t>（4）报价明显低于其他通过符合性审查投标人的报价，且投标人不能证明其报价合理性，有可能影响产品质量或者不能诚信履约的。</w:t>
      </w:r>
    </w:p>
    <w:p>
      <w:pPr>
        <w:spacing w:before="120" w:beforeLines="50" w:after="120" w:afterLines="50"/>
        <w:outlineLvl w:val="1"/>
        <w:rPr>
          <w:b/>
          <w:sz w:val="28"/>
          <w:szCs w:val="28"/>
        </w:rPr>
      </w:pPr>
      <w:bookmarkStart w:id="22" w:name="_Toc18854412"/>
      <w:r>
        <w:rPr>
          <w:b/>
          <w:sz w:val="28"/>
          <w:szCs w:val="28"/>
        </w:rPr>
        <w:t>四、商务技术及政府采购政策详细评审</w:t>
      </w:r>
      <w:bookmarkEnd w:id="22"/>
    </w:p>
    <w:p>
      <w:pPr>
        <w:adjustRightInd w:val="0"/>
        <w:snapToGrid w:val="0"/>
        <w:spacing w:line="360" w:lineRule="auto"/>
        <w:rPr>
          <w:sz w:val="24"/>
        </w:rPr>
      </w:pPr>
      <w:r>
        <w:rPr>
          <w:sz w:val="24"/>
        </w:rPr>
        <w:t>1、商务技术评分</w:t>
      </w:r>
    </w:p>
    <w:p>
      <w:pPr>
        <w:adjustRightInd w:val="0"/>
        <w:snapToGrid w:val="0"/>
        <w:spacing w:line="360" w:lineRule="auto"/>
        <w:ind w:right="17" w:firstLine="480" w:firstLineChars="200"/>
        <w:rPr>
          <w:sz w:val="24"/>
        </w:rPr>
      </w:pPr>
      <w:r>
        <w:rPr>
          <w:sz w:val="24"/>
        </w:rPr>
        <w:t>商务技术评审合格的，由评标专家采用记名方式各自评分，投标人的商务技术分最终评审得分为全体评标专家评分的算术平均值。如某一份评分表中某一项评分超过评分细则所规定的分值范围，则该张打分表无效。各投标人商务技术得分为所有评委有效评分的算术平均值。</w:t>
      </w:r>
    </w:p>
    <w:p>
      <w:pPr>
        <w:adjustRightInd w:val="0"/>
        <w:snapToGrid w:val="0"/>
        <w:spacing w:line="360" w:lineRule="auto"/>
        <w:rPr>
          <w:sz w:val="24"/>
        </w:rPr>
      </w:pPr>
      <w:r>
        <w:rPr>
          <w:sz w:val="24"/>
        </w:rPr>
        <w:t>2、政府采购政策情况评审</w:t>
      </w:r>
    </w:p>
    <w:p>
      <w:pPr>
        <w:adjustRightInd w:val="0"/>
        <w:snapToGrid w:val="0"/>
        <w:spacing w:line="360" w:lineRule="auto"/>
        <w:ind w:firstLine="480" w:firstLineChars="200"/>
        <w:rPr>
          <w:sz w:val="24"/>
        </w:rPr>
      </w:pPr>
      <w:r>
        <w:rPr>
          <w:sz w:val="24"/>
        </w:rPr>
        <w:t>●根据《政府采购促进中小企业发展暂行办法》（财库[2011]181号），对小型或微型企业参加投标且投标产品为小型或微型企业生产的，价格给予</w:t>
      </w:r>
      <w:r>
        <w:rPr>
          <w:sz w:val="24"/>
          <w:u w:val="single"/>
        </w:rPr>
        <w:t xml:space="preserve"> 6% </w:t>
      </w:r>
      <w:r>
        <w:rPr>
          <w:sz w:val="24"/>
        </w:rPr>
        <w:t>的扣除，用扣除后的价格参与价格评分。</w:t>
      </w:r>
    </w:p>
    <w:p>
      <w:pPr>
        <w:adjustRightInd w:val="0"/>
        <w:snapToGrid w:val="0"/>
        <w:spacing w:line="360" w:lineRule="auto"/>
        <w:ind w:firstLine="480" w:firstLineChars="200"/>
        <w:rPr>
          <w:sz w:val="24"/>
        </w:rPr>
      </w:pPr>
      <w:r>
        <w:rPr>
          <w:sz w:val="24"/>
        </w:rPr>
        <w:t>同时符合以下所有要求的投标人被认定为小型、微型企业：</w:t>
      </w:r>
    </w:p>
    <w:p>
      <w:pPr>
        <w:adjustRightInd w:val="0"/>
        <w:snapToGrid w:val="0"/>
        <w:spacing w:line="360" w:lineRule="auto"/>
        <w:ind w:left="105" w:leftChars="50" w:firstLine="360" w:firstLineChars="150"/>
        <w:rPr>
          <w:sz w:val="24"/>
        </w:rPr>
      </w:pPr>
      <w:r>
        <w:rPr>
          <w:sz w:val="24"/>
        </w:rPr>
        <w:t>1）投标人及投标产品生产企业按照《关于印发中小企业划型标准规定的通知》（工信部联企业〔2011〕300号）的所属行业规定为小型、微型企业。投标文件中必须提供《中小企业声明函》；</w:t>
      </w:r>
    </w:p>
    <w:p>
      <w:pPr>
        <w:adjustRightInd w:val="0"/>
        <w:snapToGrid w:val="0"/>
        <w:spacing w:line="360" w:lineRule="auto"/>
        <w:ind w:left="105" w:leftChars="50" w:firstLine="360" w:firstLineChars="150"/>
        <w:rPr>
          <w:sz w:val="24"/>
        </w:rPr>
      </w:pPr>
      <w:r>
        <w:rPr>
          <w:sz w:val="24"/>
        </w:rPr>
        <w:t>2）在投标文件中提供各级经信部门或中小企业局出具的中小企业资格证明材料；</w:t>
      </w:r>
    </w:p>
    <w:p>
      <w:pPr>
        <w:adjustRightInd w:val="0"/>
        <w:snapToGrid w:val="0"/>
        <w:spacing w:line="360" w:lineRule="auto"/>
        <w:ind w:left="105" w:leftChars="50" w:firstLine="360" w:firstLineChars="150"/>
        <w:rPr>
          <w:sz w:val="24"/>
        </w:rPr>
      </w:pPr>
      <w:r>
        <w:rPr>
          <w:sz w:val="24"/>
        </w:rPr>
        <w:t>3）投标人已通过浙江政府采购网申请注册并成为正式入库供应商并在投标文件中提供证明材料。</w:t>
      </w:r>
    </w:p>
    <w:p>
      <w:pPr>
        <w:adjustRightInd w:val="0"/>
        <w:snapToGrid w:val="0"/>
        <w:spacing w:line="360" w:lineRule="auto"/>
        <w:ind w:left="105" w:leftChars="50" w:firstLine="360" w:firstLineChars="150"/>
        <w:rPr>
          <w:sz w:val="24"/>
        </w:rPr>
      </w:pPr>
      <w:r>
        <w:rPr>
          <w:sz w:val="24"/>
        </w:rPr>
        <w:t>● 残疾人福利性单位视同小微企业，其产品参加本项目投标的，享受小微企业同等的价格扣除。</w:t>
      </w:r>
    </w:p>
    <w:p>
      <w:pPr>
        <w:adjustRightInd w:val="0"/>
        <w:snapToGrid w:val="0"/>
        <w:spacing w:line="360" w:lineRule="auto"/>
        <w:ind w:left="105" w:leftChars="50" w:firstLine="360" w:firstLineChars="150"/>
        <w:rPr>
          <w:sz w:val="24"/>
        </w:rPr>
      </w:pPr>
      <w:r>
        <w:rPr>
          <w:sz w:val="24"/>
        </w:rPr>
        <w:t>残疾人福利性单位应当同时满足以下条件：</w:t>
      </w:r>
    </w:p>
    <w:p>
      <w:pPr>
        <w:adjustRightInd w:val="0"/>
        <w:snapToGrid w:val="0"/>
        <w:spacing w:line="360" w:lineRule="auto"/>
        <w:ind w:left="105" w:leftChars="50" w:firstLine="360" w:firstLineChars="150"/>
        <w:rPr>
          <w:sz w:val="24"/>
        </w:rPr>
      </w:pPr>
      <w:r>
        <w:rPr>
          <w:sz w:val="24"/>
        </w:rPr>
        <w:t>① 安置的残疾人占本单位在职职工人数的比例不低于25%（含25%），并且安置的残疾人人数不少于10人（含10人）；</w:t>
      </w:r>
    </w:p>
    <w:p>
      <w:pPr>
        <w:adjustRightInd w:val="0"/>
        <w:snapToGrid w:val="0"/>
        <w:spacing w:line="360" w:lineRule="auto"/>
        <w:ind w:left="105" w:leftChars="50" w:firstLine="360" w:firstLineChars="150"/>
        <w:rPr>
          <w:sz w:val="24"/>
        </w:rPr>
      </w:pPr>
      <w:r>
        <w:rPr>
          <w:sz w:val="24"/>
        </w:rPr>
        <w:t>② 依法与安置的每位残疾人签订了一年以上（含一年）的劳动合同或服务协议；</w:t>
      </w:r>
    </w:p>
    <w:p>
      <w:pPr>
        <w:adjustRightInd w:val="0"/>
        <w:snapToGrid w:val="0"/>
        <w:spacing w:line="360" w:lineRule="auto"/>
        <w:ind w:left="105" w:leftChars="50" w:firstLine="360" w:firstLineChars="150"/>
        <w:rPr>
          <w:sz w:val="24"/>
        </w:rPr>
      </w:pPr>
      <w:r>
        <w:rPr>
          <w:sz w:val="24"/>
        </w:rPr>
        <w:t>③ 为安置的每位残疾人按月足额缴纳了基本养老保险、基本医疗保险、失业保险、工伤保险和生育保险等社会保险费；</w:t>
      </w:r>
    </w:p>
    <w:p>
      <w:pPr>
        <w:adjustRightInd w:val="0"/>
        <w:snapToGrid w:val="0"/>
        <w:spacing w:line="360" w:lineRule="auto"/>
        <w:ind w:left="105" w:leftChars="50" w:firstLine="360" w:firstLineChars="150"/>
        <w:rPr>
          <w:sz w:val="24"/>
        </w:rPr>
      </w:pPr>
      <w:r>
        <w:rPr>
          <w:sz w:val="24"/>
        </w:rPr>
        <w:t>④ 通过银行等金融机构向安置的每位残疾人，按月支付了不低于单位所在区县适用的经省级人民政府批准的月最低工资标准的工资；</w:t>
      </w:r>
    </w:p>
    <w:p>
      <w:pPr>
        <w:adjustRightInd w:val="0"/>
        <w:snapToGrid w:val="0"/>
        <w:spacing w:line="360" w:lineRule="auto"/>
        <w:ind w:left="105" w:leftChars="50" w:firstLine="360" w:firstLineChars="150"/>
        <w:rPr>
          <w:sz w:val="24"/>
        </w:rPr>
      </w:pPr>
      <w:r>
        <w:rPr>
          <w:sz w:val="24"/>
        </w:rPr>
        <w:t>⑤ 提供本单位制造的货物、承担的工程或者服务（以下简称产品），或者提供其他残疾人福利性单位制造的货物（不包括使用非残疾人福利性单位注册商标的货物）。</w:t>
      </w:r>
    </w:p>
    <w:p>
      <w:pPr>
        <w:adjustRightInd w:val="0"/>
        <w:snapToGrid w:val="0"/>
        <w:spacing w:line="360" w:lineRule="auto"/>
        <w:ind w:left="105" w:leftChars="50" w:firstLine="360" w:firstLineChars="150"/>
        <w:rPr>
          <w:sz w:val="24"/>
        </w:rPr>
      </w:pPr>
      <w:r>
        <w:rPr>
          <w:sz w:val="24"/>
        </w:rPr>
        <w:t>同时提供以下所有证明材料的投标人被认定为残疾人福利性单位：</w:t>
      </w:r>
    </w:p>
    <w:p>
      <w:pPr>
        <w:adjustRightInd w:val="0"/>
        <w:snapToGrid w:val="0"/>
        <w:spacing w:line="360" w:lineRule="auto"/>
        <w:ind w:left="105" w:leftChars="50" w:firstLine="360" w:firstLineChars="150"/>
        <w:rPr>
          <w:sz w:val="24"/>
        </w:rPr>
      </w:pPr>
      <w:r>
        <w:rPr>
          <w:sz w:val="24"/>
        </w:rPr>
        <w:t>1）提供《残疾人福利性单位声明函》；</w:t>
      </w:r>
    </w:p>
    <w:p>
      <w:pPr>
        <w:adjustRightInd w:val="0"/>
        <w:snapToGrid w:val="0"/>
        <w:spacing w:line="360" w:lineRule="auto"/>
        <w:ind w:left="105" w:leftChars="50" w:firstLine="360" w:firstLineChars="150"/>
        <w:rPr>
          <w:sz w:val="24"/>
        </w:rPr>
      </w:pPr>
      <w:r>
        <w:rPr>
          <w:sz w:val="24"/>
        </w:rPr>
        <w:t>2）提供各级民政部门出具的残疾人福利性单位证明材料。</w:t>
      </w:r>
    </w:p>
    <w:p>
      <w:pPr>
        <w:adjustRightInd w:val="0"/>
        <w:snapToGrid w:val="0"/>
        <w:spacing w:line="360" w:lineRule="auto"/>
        <w:ind w:left="105" w:leftChars="50" w:firstLine="360" w:firstLineChars="150"/>
        <w:rPr>
          <w:sz w:val="24"/>
        </w:rPr>
      </w:pPr>
      <w:r>
        <w:rPr>
          <w:sz w:val="24"/>
        </w:rPr>
        <w:t>● 监狱企业视同小微企业，其产品参加本项目投标的，享受小微企业同等的价格扣除。</w:t>
      </w:r>
    </w:p>
    <w:p>
      <w:pPr>
        <w:adjustRightInd w:val="0"/>
        <w:snapToGrid w:val="0"/>
        <w:spacing w:line="360" w:lineRule="auto"/>
        <w:ind w:left="105" w:leftChars="50" w:firstLine="360" w:firstLineChars="150"/>
        <w:rPr>
          <w:sz w:val="24"/>
        </w:rPr>
      </w:pPr>
      <w:r>
        <w:rPr>
          <w:sz w:val="24"/>
        </w:rPr>
        <w:t>提供以下证明材料的投标人被认定为监狱企业：</w:t>
      </w:r>
    </w:p>
    <w:p>
      <w:pPr>
        <w:adjustRightInd w:val="0"/>
        <w:snapToGrid w:val="0"/>
        <w:spacing w:line="360" w:lineRule="auto"/>
        <w:ind w:left="105" w:leftChars="50" w:firstLine="360" w:firstLineChars="150"/>
        <w:rPr>
          <w:sz w:val="24"/>
        </w:rPr>
      </w:pPr>
      <w:r>
        <w:rPr>
          <w:sz w:val="24"/>
        </w:rPr>
        <w:t>省级以上监狱管理局、戒毒管理局（含新疆生产建设兵团）出具的属于监狱企业的证明文件。</w:t>
      </w:r>
    </w:p>
    <w:p>
      <w:pPr>
        <w:adjustRightInd w:val="0"/>
        <w:snapToGrid w:val="0"/>
        <w:spacing w:line="360" w:lineRule="auto"/>
        <w:ind w:right="17" w:firstLine="480" w:firstLineChars="200"/>
        <w:rPr>
          <w:sz w:val="24"/>
        </w:rPr>
      </w:pPr>
      <w:r>
        <w:rPr>
          <w:sz w:val="24"/>
        </w:rPr>
        <w:t xml:space="preserve">3、评标报告 </w:t>
      </w:r>
    </w:p>
    <w:p>
      <w:pPr>
        <w:adjustRightInd w:val="0"/>
        <w:snapToGrid w:val="0"/>
        <w:spacing w:line="360" w:lineRule="auto"/>
        <w:ind w:right="17" w:firstLine="480" w:firstLineChars="200"/>
        <w:rPr>
          <w:sz w:val="24"/>
        </w:rPr>
      </w:pPr>
      <w:r>
        <w:rPr>
          <w:sz w:val="24"/>
        </w:rPr>
        <w:t xml:space="preserve">评标委员会应根据评标情况和结果，编写评标报告。评标报告应由评标委员会起草，按少数服从多数的原则通过。评标委员会全体成员应在评标报告上签字认可，评标专家如有保留意见可以在评标报告中阐明。 </w:t>
      </w:r>
    </w:p>
    <w:p>
      <w:pPr>
        <w:adjustRightInd w:val="0"/>
        <w:spacing w:before="100" w:after="50" w:line="360" w:lineRule="auto"/>
        <w:ind w:firstLine="420"/>
        <w:rPr>
          <w:sz w:val="24"/>
        </w:rPr>
      </w:pPr>
      <w:r>
        <w:rPr>
          <w:sz w:val="24"/>
        </w:rPr>
        <w:t>评标委员会应在评标报告中按招标文件约定推荐中标候选人。</w:t>
      </w:r>
    </w:p>
    <w:p>
      <w:pPr>
        <w:spacing w:before="120" w:beforeLines="50" w:after="120" w:afterLines="50"/>
        <w:outlineLvl w:val="1"/>
        <w:rPr>
          <w:b/>
          <w:sz w:val="28"/>
          <w:szCs w:val="28"/>
        </w:rPr>
      </w:pPr>
      <w:bookmarkStart w:id="23" w:name="_Toc18854413"/>
      <w:r>
        <w:rPr>
          <w:b/>
          <w:sz w:val="28"/>
          <w:szCs w:val="28"/>
        </w:rPr>
        <w:t>五、评分细则</w:t>
      </w:r>
      <w:bookmarkEnd w:id="23"/>
    </w:p>
    <w:p>
      <w:pPr>
        <w:spacing w:line="360" w:lineRule="auto"/>
        <w:ind w:firstLine="457" w:firstLineChars="196"/>
        <w:rPr>
          <w:b/>
          <w:bCs/>
          <w:spacing w:val="-4"/>
          <w:sz w:val="24"/>
        </w:rPr>
      </w:pPr>
      <w:r>
        <w:rPr>
          <w:b/>
          <w:bCs/>
          <w:spacing w:val="-4"/>
          <w:sz w:val="24"/>
        </w:rPr>
        <w:t>1、商务技术分（0-</w:t>
      </w:r>
      <w:r>
        <w:rPr>
          <w:rFonts w:hint="eastAsia"/>
          <w:b/>
          <w:bCs/>
          <w:spacing w:val="-4"/>
          <w:sz w:val="24"/>
        </w:rPr>
        <w:t>70</w:t>
      </w:r>
      <w:r>
        <w:rPr>
          <w:b/>
          <w:bCs/>
          <w:spacing w:val="-4"/>
          <w:sz w:val="24"/>
        </w:rPr>
        <w:t>分）</w:t>
      </w:r>
    </w:p>
    <w:tbl>
      <w:tblPr>
        <w:tblStyle w:val="70"/>
        <w:tblW w:w="890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412"/>
        <w:gridCol w:w="709"/>
        <w:gridCol w:w="6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05" w:hRule="atLeast"/>
        </w:trPr>
        <w:tc>
          <w:tcPr>
            <w:tcW w:w="709" w:type="dxa"/>
            <w:tcBorders>
              <w:top w:val="single" w:color="auto" w:sz="4" w:space="0"/>
            </w:tcBorders>
            <w:shd w:val="clear" w:color="auto" w:fill="auto"/>
            <w:noWrap w:val="0"/>
            <w:vAlign w:val="center"/>
          </w:tcPr>
          <w:p>
            <w:pPr>
              <w:pStyle w:val="118"/>
              <w:jc w:val="center"/>
              <w:rPr>
                <w:rFonts w:ascii="Times New Roman" w:cs="Times New Roman"/>
                <w:sz w:val="21"/>
                <w:szCs w:val="21"/>
              </w:rPr>
            </w:pPr>
            <w:r>
              <w:rPr>
                <w:rFonts w:ascii="Times New Roman" w:cs="Times New Roman"/>
                <w:sz w:val="21"/>
                <w:szCs w:val="21"/>
              </w:rPr>
              <w:t>序号</w:t>
            </w:r>
          </w:p>
        </w:tc>
        <w:tc>
          <w:tcPr>
            <w:tcW w:w="1412" w:type="dxa"/>
            <w:shd w:val="clear" w:color="auto" w:fill="auto"/>
            <w:noWrap w:val="0"/>
            <w:vAlign w:val="center"/>
          </w:tcPr>
          <w:p>
            <w:pPr>
              <w:pStyle w:val="118"/>
              <w:jc w:val="center"/>
              <w:rPr>
                <w:rFonts w:ascii="Times New Roman" w:cs="Times New Roman"/>
                <w:sz w:val="21"/>
                <w:szCs w:val="21"/>
              </w:rPr>
            </w:pPr>
            <w:r>
              <w:rPr>
                <w:rFonts w:ascii="Times New Roman" w:cs="Times New Roman"/>
                <w:sz w:val="21"/>
                <w:szCs w:val="21"/>
              </w:rPr>
              <w:t>评分因素</w:t>
            </w:r>
          </w:p>
        </w:tc>
        <w:tc>
          <w:tcPr>
            <w:tcW w:w="709" w:type="dxa"/>
            <w:shd w:val="clear" w:color="auto" w:fill="auto"/>
            <w:noWrap w:val="0"/>
            <w:vAlign w:val="center"/>
          </w:tcPr>
          <w:p>
            <w:pPr>
              <w:pStyle w:val="118"/>
              <w:jc w:val="center"/>
              <w:rPr>
                <w:rFonts w:ascii="Times New Roman" w:cs="Times New Roman"/>
                <w:sz w:val="21"/>
                <w:szCs w:val="21"/>
              </w:rPr>
            </w:pPr>
            <w:r>
              <w:rPr>
                <w:rFonts w:ascii="Times New Roman" w:cs="Times New Roman"/>
                <w:sz w:val="21"/>
                <w:szCs w:val="21"/>
              </w:rPr>
              <w:t>权重</w:t>
            </w:r>
          </w:p>
        </w:tc>
        <w:tc>
          <w:tcPr>
            <w:tcW w:w="6072" w:type="dxa"/>
            <w:shd w:val="clear" w:color="auto" w:fill="auto"/>
            <w:noWrap w:val="0"/>
            <w:vAlign w:val="top"/>
          </w:tcPr>
          <w:p>
            <w:pPr>
              <w:pStyle w:val="118"/>
              <w:jc w:val="center"/>
              <w:rPr>
                <w:rFonts w:ascii="Times New Roman" w:cs="Times New Roman"/>
                <w:sz w:val="21"/>
                <w:szCs w:val="21"/>
              </w:rPr>
            </w:pPr>
            <w:r>
              <w:rPr>
                <w:rFonts w:ascii="Times New Roman" w:cs="Times New Roman"/>
                <w:sz w:val="21"/>
                <w:szCs w:val="21"/>
              </w:rPr>
              <w:t>评分准则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90" w:hRule="atLeast"/>
        </w:trPr>
        <w:tc>
          <w:tcPr>
            <w:tcW w:w="709" w:type="dxa"/>
            <w:shd w:val="clear" w:color="auto" w:fill="auto"/>
            <w:noWrap w:val="0"/>
            <w:vAlign w:val="center"/>
          </w:tcPr>
          <w:p>
            <w:pPr>
              <w:pStyle w:val="118"/>
              <w:jc w:val="center"/>
              <w:rPr>
                <w:rFonts w:ascii="Times New Roman" w:cs="Times New Roman"/>
                <w:sz w:val="21"/>
                <w:szCs w:val="21"/>
              </w:rPr>
            </w:pPr>
            <w:r>
              <w:rPr>
                <w:rFonts w:ascii="Times New Roman" w:cs="Times New Roman"/>
                <w:sz w:val="21"/>
                <w:szCs w:val="21"/>
              </w:rPr>
              <w:t>1</w:t>
            </w:r>
          </w:p>
        </w:tc>
        <w:tc>
          <w:tcPr>
            <w:tcW w:w="1412" w:type="dxa"/>
            <w:shd w:val="clear" w:color="auto" w:fill="auto"/>
            <w:noWrap w:val="0"/>
            <w:vAlign w:val="center"/>
          </w:tcPr>
          <w:p>
            <w:pPr>
              <w:pStyle w:val="118"/>
              <w:jc w:val="center"/>
              <w:rPr>
                <w:rFonts w:ascii="Times New Roman" w:cs="Times New Roman"/>
                <w:sz w:val="21"/>
                <w:szCs w:val="21"/>
              </w:rPr>
            </w:pPr>
            <w:r>
              <w:rPr>
                <w:rFonts w:ascii="Times New Roman" w:cs="Times New Roman"/>
                <w:sz w:val="21"/>
                <w:szCs w:val="21"/>
              </w:rPr>
              <w:t>认证情况</w:t>
            </w:r>
          </w:p>
        </w:tc>
        <w:tc>
          <w:tcPr>
            <w:tcW w:w="709" w:type="dxa"/>
            <w:shd w:val="clear" w:color="auto" w:fill="auto"/>
            <w:noWrap w:val="0"/>
            <w:vAlign w:val="center"/>
          </w:tcPr>
          <w:p>
            <w:pPr>
              <w:pStyle w:val="118"/>
              <w:jc w:val="center"/>
              <w:rPr>
                <w:rFonts w:ascii="Times New Roman" w:cs="Times New Roman"/>
                <w:sz w:val="21"/>
                <w:szCs w:val="21"/>
              </w:rPr>
            </w:pPr>
            <w:r>
              <w:rPr>
                <w:rFonts w:hint="eastAsia" w:ascii="Times New Roman" w:cs="Times New Roman"/>
                <w:sz w:val="21"/>
                <w:szCs w:val="21"/>
              </w:rPr>
              <w:t>6</w:t>
            </w:r>
          </w:p>
        </w:tc>
        <w:tc>
          <w:tcPr>
            <w:tcW w:w="6072" w:type="dxa"/>
            <w:shd w:val="clear" w:color="auto" w:fill="auto"/>
            <w:noWrap w:val="0"/>
            <w:vAlign w:val="top"/>
          </w:tcPr>
          <w:p>
            <w:pPr>
              <w:pStyle w:val="118"/>
              <w:tabs>
                <w:tab w:val="left" w:pos="312"/>
              </w:tabs>
              <w:rPr>
                <w:rFonts w:ascii="Times New Roman" w:cs="Times New Roman"/>
                <w:sz w:val="21"/>
                <w:szCs w:val="21"/>
              </w:rPr>
            </w:pPr>
            <w:r>
              <w:rPr>
                <w:rFonts w:hint="eastAsia" w:ascii="Times New Roman" w:cs="Times New Roman"/>
                <w:sz w:val="21"/>
                <w:szCs w:val="21"/>
              </w:rPr>
              <w:t>提供在有效期内的ISO9001质量管理体系认证、OHSAS18001职业健康安全管理体系认证、ISO14001环境管理体系认证，每个认证体系认证且在有效认证期内的得2分，三项最高得6分（提供有效的认证证书复印件，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88" w:hRule="atLeast"/>
        </w:trPr>
        <w:tc>
          <w:tcPr>
            <w:tcW w:w="709" w:type="dxa"/>
            <w:shd w:val="clear" w:color="auto" w:fill="auto"/>
            <w:noWrap w:val="0"/>
            <w:vAlign w:val="center"/>
          </w:tcPr>
          <w:p>
            <w:pPr>
              <w:pStyle w:val="118"/>
              <w:jc w:val="center"/>
              <w:rPr>
                <w:rFonts w:ascii="Times New Roman" w:cs="Times New Roman"/>
                <w:sz w:val="21"/>
                <w:szCs w:val="21"/>
              </w:rPr>
            </w:pPr>
            <w:r>
              <w:rPr>
                <w:rFonts w:ascii="Times New Roman" w:cs="Times New Roman"/>
                <w:sz w:val="21"/>
                <w:szCs w:val="21"/>
              </w:rPr>
              <w:t>2</w:t>
            </w:r>
          </w:p>
        </w:tc>
        <w:tc>
          <w:tcPr>
            <w:tcW w:w="1412" w:type="dxa"/>
            <w:shd w:val="clear" w:color="auto" w:fill="auto"/>
            <w:noWrap w:val="0"/>
            <w:vAlign w:val="center"/>
          </w:tcPr>
          <w:p>
            <w:pPr>
              <w:pStyle w:val="118"/>
              <w:jc w:val="center"/>
              <w:rPr>
                <w:rFonts w:ascii="Times New Roman" w:cs="Times New Roman"/>
                <w:sz w:val="21"/>
                <w:szCs w:val="21"/>
              </w:rPr>
            </w:pPr>
            <w:r>
              <w:rPr>
                <w:rFonts w:ascii="Times New Roman" w:cs="Times New Roman"/>
                <w:sz w:val="21"/>
                <w:szCs w:val="21"/>
              </w:rPr>
              <w:t>投标人综合评价</w:t>
            </w:r>
          </w:p>
        </w:tc>
        <w:tc>
          <w:tcPr>
            <w:tcW w:w="709" w:type="dxa"/>
            <w:shd w:val="clear" w:color="auto" w:fill="auto"/>
            <w:noWrap w:val="0"/>
            <w:vAlign w:val="center"/>
          </w:tcPr>
          <w:p>
            <w:pPr>
              <w:pStyle w:val="118"/>
              <w:jc w:val="center"/>
              <w:rPr>
                <w:rFonts w:ascii="Times New Roman" w:cs="Times New Roman"/>
                <w:sz w:val="21"/>
                <w:szCs w:val="21"/>
              </w:rPr>
            </w:pPr>
            <w:r>
              <w:rPr>
                <w:rFonts w:hint="eastAsia" w:ascii="Times New Roman" w:cs="Times New Roman"/>
                <w:sz w:val="21"/>
                <w:szCs w:val="21"/>
              </w:rPr>
              <w:t>2</w:t>
            </w:r>
          </w:p>
        </w:tc>
        <w:tc>
          <w:tcPr>
            <w:tcW w:w="6072" w:type="dxa"/>
            <w:shd w:val="clear" w:color="auto" w:fill="auto"/>
            <w:noWrap w:val="0"/>
            <w:vAlign w:val="top"/>
          </w:tcPr>
          <w:p>
            <w:pPr>
              <w:pStyle w:val="118"/>
              <w:rPr>
                <w:rFonts w:ascii="Times New Roman" w:cs="Times New Roman"/>
                <w:color w:val="FF0000"/>
                <w:sz w:val="21"/>
                <w:szCs w:val="21"/>
              </w:rPr>
            </w:pPr>
            <w:r>
              <w:rPr>
                <w:rFonts w:hint="eastAsia" w:ascii="Times New Roman" w:cs="Times New Roman"/>
                <w:sz w:val="21"/>
                <w:szCs w:val="21"/>
              </w:rPr>
              <w:t>根据投标人企业资质、近三年市场影响力、信誉、知名度以及财务健康情况（提供本企业最近一期的年度资产负债表）等情况综合比较，0-2分。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2" w:hRule="atLeast"/>
        </w:trPr>
        <w:tc>
          <w:tcPr>
            <w:tcW w:w="709" w:type="dxa"/>
            <w:shd w:val="clear" w:color="auto" w:fill="auto"/>
            <w:noWrap w:val="0"/>
            <w:vAlign w:val="center"/>
          </w:tcPr>
          <w:p>
            <w:pPr>
              <w:pStyle w:val="118"/>
              <w:jc w:val="center"/>
              <w:rPr>
                <w:rFonts w:ascii="Times New Roman" w:cs="Times New Roman"/>
                <w:sz w:val="21"/>
                <w:szCs w:val="21"/>
              </w:rPr>
            </w:pPr>
            <w:r>
              <w:rPr>
                <w:rFonts w:ascii="Times New Roman" w:cs="Times New Roman"/>
                <w:sz w:val="21"/>
                <w:szCs w:val="21"/>
              </w:rPr>
              <w:t>3</w:t>
            </w:r>
          </w:p>
        </w:tc>
        <w:tc>
          <w:tcPr>
            <w:tcW w:w="1412" w:type="dxa"/>
            <w:shd w:val="clear" w:color="auto" w:fill="auto"/>
            <w:noWrap w:val="0"/>
            <w:vAlign w:val="center"/>
          </w:tcPr>
          <w:p>
            <w:pPr>
              <w:pStyle w:val="118"/>
              <w:jc w:val="center"/>
              <w:rPr>
                <w:rFonts w:ascii="Times New Roman" w:cs="Times New Roman"/>
                <w:sz w:val="21"/>
                <w:szCs w:val="21"/>
              </w:rPr>
            </w:pPr>
            <w:r>
              <w:rPr>
                <w:rFonts w:ascii="Times New Roman" w:cs="Times New Roman"/>
                <w:sz w:val="21"/>
                <w:szCs w:val="21"/>
              </w:rPr>
              <w:t>信用情况</w:t>
            </w:r>
          </w:p>
        </w:tc>
        <w:tc>
          <w:tcPr>
            <w:tcW w:w="709" w:type="dxa"/>
            <w:shd w:val="clear" w:color="auto" w:fill="auto"/>
            <w:noWrap w:val="0"/>
            <w:vAlign w:val="center"/>
          </w:tcPr>
          <w:p>
            <w:pPr>
              <w:pStyle w:val="118"/>
              <w:jc w:val="center"/>
              <w:rPr>
                <w:rFonts w:ascii="Times New Roman" w:cs="Times New Roman"/>
                <w:sz w:val="21"/>
                <w:szCs w:val="21"/>
              </w:rPr>
            </w:pPr>
            <w:r>
              <w:rPr>
                <w:rFonts w:hint="eastAsia" w:ascii="Times New Roman" w:cs="Times New Roman"/>
                <w:sz w:val="21"/>
                <w:szCs w:val="21"/>
              </w:rPr>
              <w:t>2</w:t>
            </w:r>
          </w:p>
        </w:tc>
        <w:tc>
          <w:tcPr>
            <w:tcW w:w="6072" w:type="dxa"/>
            <w:shd w:val="clear" w:color="auto" w:fill="auto"/>
            <w:noWrap w:val="0"/>
            <w:vAlign w:val="top"/>
          </w:tcPr>
          <w:p>
            <w:pPr>
              <w:pStyle w:val="118"/>
              <w:rPr>
                <w:rFonts w:ascii="Times New Roman" w:cs="Times New Roman"/>
                <w:color w:val="auto"/>
                <w:sz w:val="21"/>
                <w:szCs w:val="21"/>
              </w:rPr>
            </w:pPr>
            <w:r>
              <w:rPr>
                <w:rFonts w:hint="eastAsia" w:ascii="Times New Roman" w:cs="Times New Roman"/>
                <w:color w:val="auto"/>
                <w:sz w:val="21"/>
                <w:szCs w:val="21"/>
              </w:rPr>
              <w:t>投标人自2016年1月1日至本项目开标之日获得第三方机构颁发的服务信誉AAA级诚信企业，得2分。要求提供证书复印件（原件备查）作为得分依据，未提供或提供不清晰导致专家无法判断的不得分。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16" w:hRule="atLeast"/>
        </w:trPr>
        <w:tc>
          <w:tcPr>
            <w:tcW w:w="709" w:type="dxa"/>
            <w:vMerge w:val="restart"/>
            <w:shd w:val="clear" w:color="auto" w:fill="auto"/>
            <w:noWrap w:val="0"/>
            <w:vAlign w:val="center"/>
          </w:tcPr>
          <w:p>
            <w:pPr>
              <w:pStyle w:val="118"/>
              <w:jc w:val="center"/>
              <w:rPr>
                <w:rFonts w:ascii="Times New Roman" w:cs="Times New Roman"/>
                <w:sz w:val="21"/>
                <w:szCs w:val="21"/>
              </w:rPr>
            </w:pPr>
            <w:r>
              <w:rPr>
                <w:rFonts w:ascii="Times New Roman" w:cs="Times New Roman"/>
                <w:sz w:val="21"/>
                <w:szCs w:val="21"/>
              </w:rPr>
              <w:t>4</w:t>
            </w:r>
          </w:p>
        </w:tc>
        <w:tc>
          <w:tcPr>
            <w:tcW w:w="1412" w:type="dxa"/>
            <w:vMerge w:val="restart"/>
            <w:shd w:val="clear" w:color="auto" w:fill="auto"/>
            <w:noWrap w:val="0"/>
            <w:vAlign w:val="center"/>
          </w:tcPr>
          <w:p>
            <w:pPr>
              <w:pStyle w:val="118"/>
              <w:jc w:val="center"/>
              <w:rPr>
                <w:rFonts w:ascii="Times New Roman" w:cs="Times New Roman"/>
                <w:sz w:val="21"/>
                <w:szCs w:val="21"/>
              </w:rPr>
            </w:pPr>
            <w:r>
              <w:rPr>
                <w:rFonts w:ascii="Times New Roman" w:cs="Times New Roman"/>
                <w:sz w:val="21"/>
                <w:szCs w:val="21"/>
              </w:rPr>
              <w:t>拟投入的设备、工具、消耗材料配备情况</w:t>
            </w:r>
          </w:p>
        </w:tc>
        <w:tc>
          <w:tcPr>
            <w:tcW w:w="709" w:type="dxa"/>
            <w:vMerge w:val="restart"/>
            <w:shd w:val="clear" w:color="auto" w:fill="auto"/>
            <w:noWrap w:val="0"/>
            <w:vAlign w:val="center"/>
          </w:tcPr>
          <w:p>
            <w:pPr>
              <w:pStyle w:val="118"/>
              <w:jc w:val="center"/>
              <w:rPr>
                <w:rFonts w:ascii="Times New Roman" w:cs="Times New Roman"/>
                <w:sz w:val="21"/>
                <w:szCs w:val="21"/>
              </w:rPr>
            </w:pPr>
            <w:r>
              <w:rPr>
                <w:rFonts w:hint="eastAsia" w:ascii="Times New Roman" w:cs="Times New Roman"/>
                <w:sz w:val="21"/>
                <w:szCs w:val="21"/>
              </w:rPr>
              <w:t>6</w:t>
            </w:r>
          </w:p>
        </w:tc>
        <w:tc>
          <w:tcPr>
            <w:tcW w:w="6072" w:type="dxa"/>
            <w:tcBorders>
              <w:bottom w:val="single" w:color="auto" w:sz="4" w:space="0"/>
            </w:tcBorders>
            <w:shd w:val="clear" w:color="auto" w:fill="auto"/>
            <w:noWrap w:val="0"/>
            <w:vAlign w:val="top"/>
          </w:tcPr>
          <w:p>
            <w:pPr>
              <w:autoSpaceDE w:val="0"/>
              <w:autoSpaceDN w:val="0"/>
              <w:adjustRightInd w:val="0"/>
              <w:jc w:val="left"/>
              <w:rPr>
                <w:rFonts w:hint="eastAsia"/>
                <w:color w:val="000000"/>
                <w:szCs w:val="21"/>
              </w:rPr>
            </w:pPr>
            <w:r>
              <w:rPr>
                <w:rFonts w:hint="eastAsia"/>
                <w:color w:val="000000"/>
                <w:szCs w:val="21"/>
              </w:rPr>
              <w:t>1、</w:t>
            </w:r>
            <w:r>
              <w:rPr>
                <w:color w:val="000000"/>
                <w:szCs w:val="21"/>
              </w:rPr>
              <w:t>投标人</w:t>
            </w:r>
            <w:r>
              <w:rPr>
                <w:rFonts w:hint="eastAsia"/>
                <w:color w:val="000000"/>
                <w:szCs w:val="21"/>
              </w:rPr>
              <w:t>拟投入本项目的</w:t>
            </w:r>
            <w:r>
              <w:rPr>
                <w:color w:val="000000"/>
                <w:szCs w:val="21"/>
              </w:rPr>
              <w:t>清洁服务装具配置</w:t>
            </w:r>
            <w:r>
              <w:rPr>
                <w:rFonts w:hint="eastAsia"/>
                <w:color w:val="000000"/>
                <w:szCs w:val="21"/>
              </w:rPr>
              <w:t>，满足文件规定最低要求的得0分，超出部分根据数量、性能、满足程度评分，0-2</w:t>
            </w:r>
            <w:r>
              <w:rPr>
                <w:color w:val="000000"/>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00" w:hRule="atLeast"/>
        </w:trPr>
        <w:tc>
          <w:tcPr>
            <w:tcW w:w="709" w:type="dxa"/>
            <w:vMerge w:val="continue"/>
            <w:shd w:val="clear" w:color="auto" w:fill="auto"/>
            <w:noWrap w:val="0"/>
            <w:vAlign w:val="center"/>
          </w:tcPr>
          <w:p>
            <w:pPr>
              <w:pStyle w:val="118"/>
              <w:jc w:val="center"/>
              <w:rPr>
                <w:rFonts w:ascii="Times New Roman" w:cs="Times New Roman"/>
                <w:sz w:val="21"/>
                <w:szCs w:val="21"/>
              </w:rPr>
            </w:pPr>
          </w:p>
        </w:tc>
        <w:tc>
          <w:tcPr>
            <w:tcW w:w="1412" w:type="dxa"/>
            <w:vMerge w:val="continue"/>
            <w:shd w:val="clear" w:color="auto" w:fill="auto"/>
            <w:noWrap w:val="0"/>
            <w:vAlign w:val="center"/>
          </w:tcPr>
          <w:p>
            <w:pPr>
              <w:pStyle w:val="118"/>
              <w:jc w:val="center"/>
              <w:rPr>
                <w:rFonts w:ascii="Times New Roman" w:cs="Times New Roman"/>
                <w:sz w:val="21"/>
                <w:szCs w:val="21"/>
              </w:rPr>
            </w:pPr>
          </w:p>
        </w:tc>
        <w:tc>
          <w:tcPr>
            <w:tcW w:w="709" w:type="dxa"/>
            <w:vMerge w:val="continue"/>
            <w:shd w:val="clear" w:color="auto" w:fill="auto"/>
            <w:noWrap w:val="0"/>
            <w:vAlign w:val="center"/>
          </w:tcPr>
          <w:p>
            <w:pPr>
              <w:pStyle w:val="118"/>
              <w:jc w:val="center"/>
              <w:rPr>
                <w:rFonts w:hint="eastAsia" w:ascii="Times New Roman" w:cs="Times New Roman"/>
                <w:sz w:val="21"/>
                <w:szCs w:val="21"/>
              </w:rPr>
            </w:pPr>
          </w:p>
        </w:tc>
        <w:tc>
          <w:tcPr>
            <w:tcW w:w="6072" w:type="dxa"/>
            <w:tcBorders>
              <w:top w:val="single" w:color="auto" w:sz="4" w:space="0"/>
              <w:bottom w:val="single" w:color="auto" w:sz="4" w:space="0"/>
            </w:tcBorders>
            <w:shd w:val="clear" w:color="auto" w:fill="auto"/>
            <w:noWrap w:val="0"/>
            <w:vAlign w:val="top"/>
          </w:tcPr>
          <w:p>
            <w:pPr>
              <w:autoSpaceDE w:val="0"/>
              <w:autoSpaceDN w:val="0"/>
              <w:adjustRightInd w:val="0"/>
              <w:jc w:val="left"/>
              <w:rPr>
                <w:rFonts w:hint="eastAsia"/>
                <w:color w:val="000000"/>
                <w:szCs w:val="21"/>
              </w:rPr>
            </w:pPr>
            <w:r>
              <w:rPr>
                <w:rFonts w:hint="eastAsia"/>
                <w:color w:val="000000"/>
                <w:szCs w:val="21"/>
              </w:rPr>
              <w:t>2、</w:t>
            </w:r>
            <w:r>
              <w:rPr>
                <w:color w:val="000000"/>
                <w:szCs w:val="21"/>
              </w:rPr>
              <w:t>投标人</w:t>
            </w:r>
            <w:r>
              <w:rPr>
                <w:rFonts w:hint="eastAsia"/>
                <w:color w:val="000000"/>
                <w:szCs w:val="21"/>
              </w:rPr>
              <w:t>拟投入本项目的</w:t>
            </w:r>
            <w:r>
              <w:rPr>
                <w:color w:val="000000"/>
                <w:szCs w:val="21"/>
              </w:rPr>
              <w:t>通讯工具的配置，</w:t>
            </w:r>
            <w:r>
              <w:rPr>
                <w:rFonts w:hint="eastAsia"/>
                <w:color w:val="000000"/>
                <w:szCs w:val="21"/>
              </w:rPr>
              <w:t>根据配置比例、满足程度评分，0-2</w:t>
            </w:r>
            <w:r>
              <w:rPr>
                <w:color w:val="000000"/>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atLeast"/>
        </w:trPr>
        <w:tc>
          <w:tcPr>
            <w:tcW w:w="709" w:type="dxa"/>
            <w:vMerge w:val="continue"/>
            <w:shd w:val="clear" w:color="auto" w:fill="auto"/>
            <w:noWrap w:val="0"/>
            <w:vAlign w:val="center"/>
          </w:tcPr>
          <w:p>
            <w:pPr>
              <w:pStyle w:val="118"/>
              <w:jc w:val="center"/>
              <w:rPr>
                <w:rFonts w:ascii="Times New Roman" w:cs="Times New Roman"/>
                <w:sz w:val="21"/>
                <w:szCs w:val="21"/>
              </w:rPr>
            </w:pPr>
          </w:p>
        </w:tc>
        <w:tc>
          <w:tcPr>
            <w:tcW w:w="1412" w:type="dxa"/>
            <w:vMerge w:val="continue"/>
            <w:shd w:val="clear" w:color="auto" w:fill="auto"/>
            <w:noWrap w:val="0"/>
            <w:vAlign w:val="center"/>
          </w:tcPr>
          <w:p>
            <w:pPr>
              <w:pStyle w:val="118"/>
              <w:jc w:val="center"/>
              <w:rPr>
                <w:rFonts w:ascii="Times New Roman" w:cs="Times New Roman"/>
                <w:sz w:val="21"/>
                <w:szCs w:val="21"/>
              </w:rPr>
            </w:pPr>
          </w:p>
        </w:tc>
        <w:tc>
          <w:tcPr>
            <w:tcW w:w="709" w:type="dxa"/>
            <w:vMerge w:val="continue"/>
            <w:shd w:val="clear" w:color="auto" w:fill="auto"/>
            <w:noWrap w:val="0"/>
            <w:vAlign w:val="center"/>
          </w:tcPr>
          <w:p>
            <w:pPr>
              <w:pStyle w:val="118"/>
              <w:jc w:val="center"/>
              <w:rPr>
                <w:rFonts w:hint="eastAsia" w:ascii="Times New Roman" w:cs="Times New Roman"/>
                <w:sz w:val="21"/>
                <w:szCs w:val="21"/>
              </w:rPr>
            </w:pPr>
          </w:p>
        </w:tc>
        <w:tc>
          <w:tcPr>
            <w:tcW w:w="6072" w:type="dxa"/>
            <w:tcBorders>
              <w:top w:val="single" w:color="auto" w:sz="4" w:space="0"/>
            </w:tcBorders>
            <w:shd w:val="clear" w:color="auto" w:fill="auto"/>
            <w:noWrap w:val="0"/>
            <w:vAlign w:val="top"/>
          </w:tcPr>
          <w:p>
            <w:pPr>
              <w:autoSpaceDE w:val="0"/>
              <w:autoSpaceDN w:val="0"/>
              <w:adjustRightInd w:val="0"/>
              <w:jc w:val="left"/>
              <w:rPr>
                <w:rFonts w:hint="eastAsia"/>
                <w:color w:val="000000"/>
                <w:szCs w:val="21"/>
              </w:rPr>
            </w:pPr>
            <w:r>
              <w:rPr>
                <w:rFonts w:hint="eastAsia"/>
                <w:color w:val="000000"/>
                <w:szCs w:val="21"/>
              </w:rPr>
              <w:t>3、</w:t>
            </w:r>
            <w:r>
              <w:rPr>
                <w:snapToGrid w:val="0"/>
                <w:kern w:val="0"/>
                <w:szCs w:val="21"/>
              </w:rPr>
              <w:t>提供招标文件要求的保洁、保安、维修方面的装备装具及消耗品的得2分</w:t>
            </w:r>
            <w:r>
              <w:rPr>
                <w:rFonts w:hint="eastAsia"/>
                <w:snapToGrid w:val="0"/>
                <w:kern w:val="0"/>
                <w:szCs w:val="21"/>
              </w:rPr>
              <w:t>，不满足者不得分</w:t>
            </w:r>
            <w:r>
              <w:rPr>
                <w:snapToGrid w:val="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32" w:hRule="atLeast"/>
        </w:trPr>
        <w:tc>
          <w:tcPr>
            <w:tcW w:w="709" w:type="dxa"/>
            <w:shd w:val="clear" w:color="auto" w:fill="auto"/>
            <w:noWrap w:val="0"/>
            <w:vAlign w:val="center"/>
          </w:tcPr>
          <w:p>
            <w:pPr>
              <w:pStyle w:val="118"/>
              <w:jc w:val="center"/>
              <w:rPr>
                <w:rFonts w:ascii="Times New Roman" w:cs="Times New Roman"/>
                <w:sz w:val="21"/>
                <w:szCs w:val="21"/>
              </w:rPr>
            </w:pPr>
            <w:r>
              <w:rPr>
                <w:rFonts w:ascii="Times New Roman" w:cs="Times New Roman"/>
                <w:sz w:val="21"/>
                <w:szCs w:val="21"/>
              </w:rPr>
              <w:t>5</w:t>
            </w:r>
          </w:p>
        </w:tc>
        <w:tc>
          <w:tcPr>
            <w:tcW w:w="1412" w:type="dxa"/>
            <w:shd w:val="clear" w:color="auto" w:fill="auto"/>
            <w:noWrap w:val="0"/>
            <w:vAlign w:val="center"/>
          </w:tcPr>
          <w:p>
            <w:pPr>
              <w:pStyle w:val="118"/>
              <w:jc w:val="center"/>
              <w:rPr>
                <w:rFonts w:ascii="Times New Roman" w:cs="Times New Roman"/>
                <w:sz w:val="21"/>
                <w:szCs w:val="21"/>
              </w:rPr>
            </w:pPr>
            <w:r>
              <w:rPr>
                <w:rFonts w:ascii="Times New Roman" w:cs="Times New Roman"/>
                <w:sz w:val="21"/>
                <w:szCs w:val="21"/>
              </w:rPr>
              <w:t>同类项目业绩</w:t>
            </w:r>
          </w:p>
        </w:tc>
        <w:tc>
          <w:tcPr>
            <w:tcW w:w="709" w:type="dxa"/>
            <w:shd w:val="clear" w:color="auto" w:fill="auto"/>
            <w:noWrap w:val="0"/>
            <w:vAlign w:val="center"/>
          </w:tcPr>
          <w:p>
            <w:pPr>
              <w:pStyle w:val="118"/>
              <w:jc w:val="center"/>
              <w:rPr>
                <w:rFonts w:ascii="Times New Roman" w:cs="Times New Roman"/>
                <w:sz w:val="21"/>
                <w:szCs w:val="21"/>
              </w:rPr>
            </w:pPr>
            <w:r>
              <w:rPr>
                <w:rFonts w:hint="eastAsia" w:ascii="Times New Roman" w:cs="Times New Roman"/>
                <w:sz w:val="21"/>
                <w:szCs w:val="21"/>
              </w:rPr>
              <w:t>8</w:t>
            </w:r>
          </w:p>
        </w:tc>
        <w:tc>
          <w:tcPr>
            <w:tcW w:w="6072" w:type="dxa"/>
            <w:shd w:val="clear" w:color="auto" w:fill="auto"/>
            <w:noWrap w:val="0"/>
            <w:vAlign w:val="top"/>
          </w:tcPr>
          <w:p>
            <w:pPr>
              <w:pStyle w:val="118"/>
              <w:rPr>
                <w:rFonts w:ascii="Calibri" w:eastAsia="宋体" w:cs="Times New Roman"/>
                <w:snapToGrid w:val="0"/>
                <w:sz w:val="21"/>
                <w:szCs w:val="21"/>
              </w:rPr>
            </w:pPr>
            <w:r>
              <w:rPr>
                <w:rFonts w:hint="eastAsia" w:ascii="Calibri" w:eastAsia="宋体" w:cs="Times New Roman"/>
                <w:snapToGrid w:val="0"/>
                <w:sz w:val="21"/>
                <w:szCs w:val="21"/>
              </w:rPr>
              <w:t>根据各投标人提供的2016年1月1日以来签订的同类型物业服务项目合同，每提供一个合同得2分。提供合同复印件（原件备查）。本项最高得8分</w:t>
            </w:r>
          </w:p>
          <w:p>
            <w:pPr>
              <w:pStyle w:val="118"/>
              <w:rPr>
                <w:rFonts w:hint="eastAsia" w:ascii="Times New Roman" w:cs="Times New Roman"/>
                <w:sz w:val="21"/>
                <w:szCs w:val="21"/>
              </w:rPr>
            </w:pPr>
            <w:r>
              <w:rPr>
                <w:rFonts w:ascii="Calibri" w:eastAsia="宋体" w:cs="Times New Roman"/>
                <w:snapToGrid w:val="0"/>
                <w:sz w:val="21"/>
                <w:szCs w:val="21"/>
              </w:rPr>
              <w:t>要求：各项业绩必需提供合同的复印件，原件备查。同一个</w:t>
            </w:r>
            <w:r>
              <w:rPr>
                <w:rFonts w:hint="eastAsia" w:ascii="Calibri" w:eastAsia="宋体" w:cs="Times New Roman"/>
                <w:snapToGrid w:val="0"/>
                <w:sz w:val="21"/>
                <w:szCs w:val="21"/>
              </w:rPr>
              <w:t>采购单位</w:t>
            </w:r>
            <w:r>
              <w:rPr>
                <w:rFonts w:ascii="Calibri" w:eastAsia="宋体" w:cs="Times New Roman"/>
                <w:snapToGrid w:val="0"/>
                <w:sz w:val="21"/>
                <w:szCs w:val="21"/>
              </w:rPr>
              <w:t>业绩（含续签合同）不重复计分，未提供或</w:t>
            </w:r>
            <w:r>
              <w:rPr>
                <w:rFonts w:ascii="Times New Roman" w:cs="Times New Roman"/>
                <w:sz w:val="21"/>
                <w:szCs w:val="21"/>
              </w:rPr>
              <w:t>提供不清晰导致专家无法判断的不得分。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74" w:hRule="atLeast"/>
        </w:trPr>
        <w:tc>
          <w:tcPr>
            <w:tcW w:w="709" w:type="dxa"/>
            <w:shd w:val="clear" w:color="auto" w:fill="auto"/>
            <w:noWrap w:val="0"/>
            <w:vAlign w:val="center"/>
          </w:tcPr>
          <w:p>
            <w:pPr>
              <w:pStyle w:val="118"/>
              <w:jc w:val="center"/>
              <w:rPr>
                <w:rFonts w:ascii="Times New Roman" w:cs="Times New Roman"/>
                <w:sz w:val="21"/>
                <w:szCs w:val="21"/>
              </w:rPr>
            </w:pPr>
            <w:r>
              <w:rPr>
                <w:rFonts w:ascii="Times New Roman" w:cs="Times New Roman"/>
                <w:sz w:val="21"/>
                <w:szCs w:val="21"/>
              </w:rPr>
              <w:t>6</w:t>
            </w:r>
          </w:p>
        </w:tc>
        <w:tc>
          <w:tcPr>
            <w:tcW w:w="1412" w:type="dxa"/>
            <w:shd w:val="clear" w:color="auto" w:fill="auto"/>
            <w:noWrap w:val="0"/>
            <w:vAlign w:val="center"/>
          </w:tcPr>
          <w:p>
            <w:pPr>
              <w:pStyle w:val="118"/>
              <w:jc w:val="center"/>
              <w:rPr>
                <w:rFonts w:ascii="Times New Roman" w:cs="Times New Roman"/>
                <w:sz w:val="21"/>
                <w:szCs w:val="21"/>
              </w:rPr>
            </w:pPr>
            <w:r>
              <w:rPr>
                <w:rFonts w:ascii="Times New Roman" w:cs="Times New Roman"/>
                <w:sz w:val="21"/>
                <w:szCs w:val="21"/>
              </w:rPr>
              <w:t>履约评价</w:t>
            </w:r>
          </w:p>
        </w:tc>
        <w:tc>
          <w:tcPr>
            <w:tcW w:w="709" w:type="dxa"/>
            <w:shd w:val="clear" w:color="auto" w:fill="auto"/>
            <w:noWrap w:val="0"/>
            <w:vAlign w:val="center"/>
          </w:tcPr>
          <w:p>
            <w:pPr>
              <w:pStyle w:val="118"/>
              <w:jc w:val="center"/>
              <w:rPr>
                <w:rFonts w:ascii="Times New Roman" w:cs="Times New Roman"/>
                <w:sz w:val="21"/>
                <w:szCs w:val="21"/>
              </w:rPr>
            </w:pPr>
            <w:r>
              <w:rPr>
                <w:rFonts w:ascii="Times New Roman" w:cs="Times New Roman"/>
                <w:sz w:val="21"/>
                <w:szCs w:val="21"/>
              </w:rPr>
              <w:t>3</w:t>
            </w:r>
          </w:p>
        </w:tc>
        <w:tc>
          <w:tcPr>
            <w:tcW w:w="6072" w:type="dxa"/>
            <w:shd w:val="clear" w:color="auto" w:fill="auto"/>
            <w:noWrap w:val="0"/>
            <w:vAlign w:val="top"/>
          </w:tcPr>
          <w:p>
            <w:pPr>
              <w:pStyle w:val="118"/>
              <w:rPr>
                <w:rFonts w:ascii="Times New Roman" w:cs="Times New Roman"/>
                <w:sz w:val="21"/>
                <w:szCs w:val="21"/>
              </w:rPr>
            </w:pPr>
            <w:r>
              <w:rPr>
                <w:rFonts w:ascii="Times New Roman" w:cs="Times New Roman"/>
                <w:sz w:val="21"/>
                <w:szCs w:val="21"/>
              </w:rPr>
              <w:t>供应商能提供客户出具的履约评价，且评价为优（或满意）的，每提供一项得1分，最高得3分。</w:t>
            </w:r>
          </w:p>
          <w:p>
            <w:pPr>
              <w:pStyle w:val="118"/>
              <w:rPr>
                <w:rFonts w:ascii="Times New Roman" w:cs="Times New Roman"/>
                <w:sz w:val="21"/>
                <w:szCs w:val="21"/>
              </w:rPr>
            </w:pPr>
            <w:r>
              <w:rPr>
                <w:rFonts w:ascii="Times New Roman" w:cs="Times New Roman"/>
                <w:sz w:val="21"/>
                <w:szCs w:val="21"/>
              </w:rPr>
              <w:t>要求：须提供履约评价书复印件；不能提供有效证明或复印件不清晰的一律不得分。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53" w:hRule="atLeast"/>
        </w:trPr>
        <w:tc>
          <w:tcPr>
            <w:tcW w:w="709" w:type="dxa"/>
            <w:shd w:val="clear" w:color="auto" w:fill="auto"/>
            <w:noWrap w:val="0"/>
            <w:vAlign w:val="center"/>
          </w:tcPr>
          <w:p>
            <w:pPr>
              <w:pStyle w:val="118"/>
              <w:jc w:val="center"/>
              <w:rPr>
                <w:rFonts w:ascii="Times New Roman" w:cs="Times New Roman"/>
                <w:sz w:val="21"/>
                <w:szCs w:val="21"/>
              </w:rPr>
            </w:pPr>
            <w:r>
              <w:rPr>
                <w:rFonts w:ascii="Times New Roman" w:cs="Times New Roman"/>
                <w:sz w:val="21"/>
                <w:szCs w:val="21"/>
              </w:rPr>
              <w:t>7</w:t>
            </w:r>
          </w:p>
        </w:tc>
        <w:tc>
          <w:tcPr>
            <w:tcW w:w="1412" w:type="dxa"/>
            <w:shd w:val="clear" w:color="auto" w:fill="auto"/>
            <w:noWrap w:val="0"/>
            <w:vAlign w:val="center"/>
          </w:tcPr>
          <w:p>
            <w:pPr>
              <w:pStyle w:val="118"/>
              <w:jc w:val="center"/>
              <w:rPr>
                <w:rFonts w:ascii="Times New Roman" w:cs="Times New Roman"/>
                <w:sz w:val="21"/>
                <w:szCs w:val="21"/>
              </w:rPr>
            </w:pPr>
            <w:r>
              <w:rPr>
                <w:rFonts w:ascii="Times New Roman" w:cs="Times New Roman"/>
                <w:sz w:val="21"/>
                <w:szCs w:val="21"/>
              </w:rPr>
              <w:t>人员配置</w:t>
            </w:r>
            <w:r>
              <w:rPr>
                <w:rFonts w:hint="eastAsia" w:ascii="Times New Roman" w:cs="Times New Roman"/>
                <w:sz w:val="21"/>
                <w:szCs w:val="21"/>
              </w:rPr>
              <w:t>及服务</w:t>
            </w:r>
            <w:r>
              <w:rPr>
                <w:rFonts w:ascii="Times New Roman" w:cs="Times New Roman"/>
                <w:sz w:val="21"/>
                <w:szCs w:val="21"/>
              </w:rPr>
              <w:t>要求</w:t>
            </w:r>
          </w:p>
        </w:tc>
        <w:tc>
          <w:tcPr>
            <w:tcW w:w="709" w:type="dxa"/>
            <w:shd w:val="clear" w:color="auto" w:fill="auto"/>
            <w:noWrap w:val="0"/>
            <w:vAlign w:val="center"/>
          </w:tcPr>
          <w:p>
            <w:pPr>
              <w:pStyle w:val="118"/>
              <w:jc w:val="center"/>
              <w:rPr>
                <w:rFonts w:ascii="Times New Roman" w:cs="Times New Roman"/>
                <w:sz w:val="21"/>
                <w:szCs w:val="21"/>
              </w:rPr>
            </w:pPr>
            <w:r>
              <w:rPr>
                <w:rFonts w:hint="eastAsia" w:ascii="Times New Roman" w:cs="Times New Roman"/>
                <w:sz w:val="21"/>
                <w:szCs w:val="21"/>
              </w:rPr>
              <w:t>2</w:t>
            </w:r>
          </w:p>
        </w:tc>
        <w:tc>
          <w:tcPr>
            <w:tcW w:w="6072" w:type="dxa"/>
            <w:shd w:val="clear" w:color="auto" w:fill="auto"/>
            <w:noWrap w:val="0"/>
            <w:vAlign w:val="top"/>
          </w:tcPr>
          <w:p>
            <w:pPr>
              <w:pStyle w:val="118"/>
              <w:rPr>
                <w:rFonts w:ascii="Times New Roman" w:cs="Times New Roman"/>
                <w:sz w:val="21"/>
                <w:szCs w:val="21"/>
              </w:rPr>
            </w:pPr>
            <w:r>
              <w:rPr>
                <w:rFonts w:ascii="Times New Roman" w:cs="Times New Roman"/>
                <w:sz w:val="21"/>
                <w:szCs w:val="21"/>
              </w:rPr>
              <w:t>以投标文件《</w:t>
            </w:r>
            <w:r>
              <w:rPr>
                <w:rFonts w:hint="eastAsia" w:ascii="Times New Roman" w:cs="Times New Roman"/>
                <w:sz w:val="21"/>
                <w:szCs w:val="21"/>
              </w:rPr>
              <w:t>第四章  招标内容及需求</w:t>
            </w:r>
            <w:r>
              <w:rPr>
                <w:rFonts w:ascii="Times New Roman" w:cs="Times New Roman"/>
                <w:sz w:val="21"/>
                <w:szCs w:val="21"/>
              </w:rPr>
              <w:t>》为评价依据，符合招标文件要求的得</w:t>
            </w:r>
            <w:r>
              <w:rPr>
                <w:rFonts w:hint="eastAsia" w:ascii="Times New Roman" w:cs="Times New Roman"/>
                <w:sz w:val="21"/>
                <w:szCs w:val="21"/>
              </w:rPr>
              <w:t>2</w:t>
            </w:r>
            <w:r>
              <w:rPr>
                <w:rFonts w:ascii="Times New Roman" w:cs="Times New Roman"/>
                <w:sz w:val="21"/>
                <w:szCs w:val="21"/>
              </w:rPr>
              <w:t>分，偏离服务要求1项扣0.25分，最低0分。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35" w:hRule="atLeast"/>
        </w:trPr>
        <w:tc>
          <w:tcPr>
            <w:tcW w:w="709" w:type="dxa"/>
            <w:shd w:val="clear" w:color="auto" w:fill="auto"/>
            <w:noWrap w:val="0"/>
            <w:vAlign w:val="center"/>
          </w:tcPr>
          <w:p>
            <w:pPr>
              <w:pStyle w:val="118"/>
              <w:jc w:val="center"/>
              <w:rPr>
                <w:rFonts w:ascii="Times New Roman" w:cs="Times New Roman"/>
                <w:sz w:val="21"/>
                <w:szCs w:val="21"/>
              </w:rPr>
            </w:pPr>
            <w:r>
              <w:rPr>
                <w:rFonts w:ascii="Times New Roman" w:cs="Times New Roman"/>
                <w:sz w:val="21"/>
                <w:szCs w:val="21"/>
              </w:rPr>
              <w:t>8</w:t>
            </w:r>
          </w:p>
        </w:tc>
        <w:tc>
          <w:tcPr>
            <w:tcW w:w="1412" w:type="dxa"/>
            <w:shd w:val="clear" w:color="auto" w:fill="auto"/>
            <w:noWrap w:val="0"/>
            <w:vAlign w:val="center"/>
          </w:tcPr>
          <w:p>
            <w:pPr>
              <w:pStyle w:val="118"/>
              <w:jc w:val="center"/>
              <w:rPr>
                <w:rFonts w:ascii="Times New Roman" w:cs="Times New Roman"/>
                <w:sz w:val="21"/>
                <w:szCs w:val="21"/>
              </w:rPr>
            </w:pPr>
            <w:r>
              <w:rPr>
                <w:rFonts w:ascii="Times New Roman" w:cs="Times New Roman"/>
                <w:sz w:val="21"/>
                <w:szCs w:val="21"/>
              </w:rPr>
              <w:t>清洁卫生管理服务要求</w:t>
            </w:r>
          </w:p>
        </w:tc>
        <w:tc>
          <w:tcPr>
            <w:tcW w:w="709" w:type="dxa"/>
            <w:shd w:val="clear" w:color="auto" w:fill="auto"/>
            <w:noWrap w:val="0"/>
            <w:vAlign w:val="center"/>
          </w:tcPr>
          <w:p>
            <w:pPr>
              <w:pStyle w:val="118"/>
              <w:jc w:val="center"/>
              <w:rPr>
                <w:rFonts w:ascii="Times New Roman" w:cs="Times New Roman"/>
                <w:sz w:val="21"/>
                <w:szCs w:val="21"/>
              </w:rPr>
            </w:pPr>
            <w:r>
              <w:rPr>
                <w:rFonts w:ascii="Times New Roman" w:cs="Times New Roman"/>
                <w:sz w:val="21"/>
                <w:szCs w:val="21"/>
              </w:rPr>
              <w:t>2</w:t>
            </w:r>
          </w:p>
        </w:tc>
        <w:tc>
          <w:tcPr>
            <w:tcW w:w="6072" w:type="dxa"/>
            <w:shd w:val="clear" w:color="auto" w:fill="auto"/>
            <w:noWrap w:val="0"/>
            <w:vAlign w:val="top"/>
          </w:tcPr>
          <w:p>
            <w:pPr>
              <w:pStyle w:val="118"/>
              <w:rPr>
                <w:rFonts w:ascii="Times New Roman" w:cs="Times New Roman"/>
                <w:sz w:val="21"/>
                <w:szCs w:val="21"/>
              </w:rPr>
            </w:pPr>
            <w:r>
              <w:rPr>
                <w:rFonts w:ascii="Times New Roman" w:cs="Times New Roman"/>
                <w:sz w:val="21"/>
                <w:szCs w:val="21"/>
              </w:rPr>
              <w:t>以投标文件《</w:t>
            </w:r>
            <w:r>
              <w:rPr>
                <w:rFonts w:hint="eastAsia" w:ascii="Times New Roman" w:cs="Times New Roman"/>
                <w:sz w:val="21"/>
                <w:szCs w:val="21"/>
              </w:rPr>
              <w:t>第四章  招标内容及需求</w:t>
            </w:r>
            <w:r>
              <w:rPr>
                <w:rFonts w:ascii="Times New Roman" w:cs="Times New Roman"/>
                <w:sz w:val="21"/>
                <w:szCs w:val="21"/>
              </w:rPr>
              <w:t>》为评价依据，符合招标文件要求的得2分，偏离服务要求1项扣0.25分，最低0分。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013" w:hRule="atLeast"/>
        </w:trPr>
        <w:tc>
          <w:tcPr>
            <w:tcW w:w="709" w:type="dxa"/>
            <w:vMerge w:val="restart"/>
            <w:shd w:val="clear" w:color="auto" w:fill="auto"/>
            <w:noWrap w:val="0"/>
            <w:vAlign w:val="center"/>
          </w:tcPr>
          <w:p>
            <w:pPr>
              <w:pStyle w:val="118"/>
              <w:jc w:val="center"/>
              <w:rPr>
                <w:rFonts w:ascii="Times New Roman" w:cs="Times New Roman"/>
                <w:sz w:val="21"/>
                <w:szCs w:val="21"/>
              </w:rPr>
            </w:pPr>
            <w:r>
              <w:rPr>
                <w:rFonts w:hint="eastAsia" w:ascii="Times New Roman" w:cs="Times New Roman"/>
                <w:sz w:val="21"/>
                <w:szCs w:val="21"/>
              </w:rPr>
              <w:t>9</w:t>
            </w:r>
          </w:p>
        </w:tc>
        <w:tc>
          <w:tcPr>
            <w:tcW w:w="1412" w:type="dxa"/>
            <w:vMerge w:val="restart"/>
            <w:shd w:val="clear" w:color="auto" w:fill="auto"/>
            <w:noWrap w:val="0"/>
            <w:vAlign w:val="center"/>
          </w:tcPr>
          <w:p>
            <w:pPr>
              <w:pStyle w:val="118"/>
              <w:jc w:val="center"/>
              <w:rPr>
                <w:rFonts w:ascii="Times New Roman" w:cs="Times New Roman"/>
                <w:color w:val="auto"/>
                <w:sz w:val="21"/>
                <w:szCs w:val="21"/>
              </w:rPr>
            </w:pPr>
            <w:r>
              <w:rPr>
                <w:rFonts w:hint="eastAsia" w:ascii="Times New Roman" w:cs="Times New Roman"/>
                <w:color w:val="auto"/>
                <w:sz w:val="21"/>
                <w:szCs w:val="21"/>
              </w:rPr>
              <w:t>拟安排的项目负责人和团队成员情况</w:t>
            </w:r>
          </w:p>
        </w:tc>
        <w:tc>
          <w:tcPr>
            <w:tcW w:w="709" w:type="dxa"/>
            <w:vMerge w:val="restart"/>
            <w:shd w:val="clear" w:color="auto" w:fill="auto"/>
            <w:noWrap w:val="0"/>
            <w:vAlign w:val="center"/>
          </w:tcPr>
          <w:p>
            <w:pPr>
              <w:pStyle w:val="118"/>
              <w:jc w:val="center"/>
              <w:rPr>
                <w:rFonts w:hint="eastAsia" w:ascii="Times New Roman" w:cs="Times New Roman"/>
                <w:color w:val="auto"/>
                <w:sz w:val="21"/>
                <w:szCs w:val="21"/>
              </w:rPr>
            </w:pPr>
            <w:r>
              <w:rPr>
                <w:rFonts w:hint="eastAsia" w:ascii="Times New Roman" w:cs="Times New Roman"/>
                <w:color w:val="auto"/>
                <w:sz w:val="21"/>
                <w:szCs w:val="21"/>
              </w:rPr>
              <w:t>20</w:t>
            </w:r>
          </w:p>
        </w:tc>
        <w:tc>
          <w:tcPr>
            <w:tcW w:w="6072" w:type="dxa"/>
            <w:shd w:val="clear" w:color="auto" w:fill="auto"/>
            <w:noWrap w:val="0"/>
            <w:vAlign w:val="top"/>
          </w:tcPr>
          <w:p>
            <w:pPr>
              <w:pStyle w:val="118"/>
              <w:rPr>
                <w:rFonts w:ascii="Times New Roman" w:cs="Times New Roman"/>
                <w:color w:val="auto"/>
                <w:sz w:val="21"/>
                <w:szCs w:val="21"/>
              </w:rPr>
            </w:pPr>
            <w:r>
              <w:rPr>
                <w:rFonts w:ascii="Times New Roman" w:cs="Times New Roman"/>
                <w:color w:val="auto"/>
                <w:sz w:val="21"/>
                <w:szCs w:val="21"/>
              </w:rPr>
              <w:t>一、项目负责人（4分）</w:t>
            </w:r>
          </w:p>
          <w:p>
            <w:pPr>
              <w:pStyle w:val="118"/>
              <w:rPr>
                <w:rFonts w:ascii="Times New Roman" w:cs="Times New Roman"/>
                <w:color w:val="auto"/>
                <w:sz w:val="21"/>
                <w:szCs w:val="21"/>
              </w:rPr>
            </w:pPr>
            <w:r>
              <w:rPr>
                <w:rFonts w:ascii="Times New Roman" w:cs="Times New Roman"/>
                <w:color w:val="auto"/>
                <w:sz w:val="21"/>
                <w:szCs w:val="21"/>
              </w:rPr>
              <w:t>1、学历（学位）</w:t>
            </w:r>
            <w:r>
              <w:rPr>
                <w:rFonts w:hint="eastAsia" w:ascii="Times New Roman" w:cs="Times New Roman"/>
                <w:color w:val="auto"/>
                <w:sz w:val="21"/>
                <w:szCs w:val="21"/>
              </w:rPr>
              <w:t>：</w:t>
            </w:r>
            <w:r>
              <w:rPr>
                <w:rFonts w:ascii="Times New Roman" w:cs="Times New Roman"/>
                <w:color w:val="auto"/>
                <w:sz w:val="21"/>
                <w:szCs w:val="21"/>
              </w:rPr>
              <w:t>具有本科及以上学历得</w:t>
            </w:r>
            <w:r>
              <w:rPr>
                <w:rFonts w:hint="eastAsia" w:ascii="Times New Roman" w:cs="Times New Roman"/>
                <w:color w:val="auto"/>
                <w:sz w:val="21"/>
                <w:szCs w:val="21"/>
              </w:rPr>
              <w:t>2</w:t>
            </w:r>
            <w:r>
              <w:rPr>
                <w:rFonts w:ascii="Times New Roman" w:cs="Times New Roman"/>
                <w:color w:val="auto"/>
                <w:sz w:val="21"/>
                <w:szCs w:val="21"/>
              </w:rPr>
              <w:t>分, 不符合者不得分；</w:t>
            </w:r>
          </w:p>
          <w:p>
            <w:pPr>
              <w:pStyle w:val="118"/>
              <w:rPr>
                <w:rFonts w:ascii="Times New Roman" w:cs="Times New Roman"/>
                <w:color w:val="auto"/>
                <w:sz w:val="21"/>
                <w:szCs w:val="21"/>
              </w:rPr>
            </w:pPr>
            <w:r>
              <w:rPr>
                <w:rFonts w:ascii="Times New Roman" w:cs="Times New Roman"/>
                <w:color w:val="auto"/>
                <w:sz w:val="21"/>
                <w:szCs w:val="21"/>
              </w:rPr>
              <w:t>2、资格（资质）</w:t>
            </w:r>
            <w:r>
              <w:rPr>
                <w:rFonts w:hint="eastAsia" w:ascii="Times New Roman" w:cs="Times New Roman"/>
                <w:color w:val="auto"/>
                <w:sz w:val="21"/>
                <w:szCs w:val="21"/>
              </w:rPr>
              <w:t>：</w:t>
            </w:r>
            <w:r>
              <w:rPr>
                <w:rFonts w:ascii="Times New Roman" w:cs="Times New Roman"/>
                <w:color w:val="auto"/>
                <w:sz w:val="21"/>
                <w:szCs w:val="21"/>
              </w:rPr>
              <w:t>具有</w:t>
            </w:r>
            <w:r>
              <w:rPr>
                <w:rFonts w:hint="eastAsia" w:ascii="Times New Roman" w:cs="Times New Roman"/>
                <w:color w:val="auto"/>
                <w:sz w:val="21"/>
                <w:szCs w:val="21"/>
              </w:rPr>
              <w:t>全国</w:t>
            </w:r>
            <w:r>
              <w:rPr>
                <w:rFonts w:ascii="Times New Roman" w:cs="Times New Roman"/>
                <w:sz w:val="21"/>
                <w:szCs w:val="21"/>
              </w:rPr>
              <w:t>物业管理企业经理或项目经理上岗证</w:t>
            </w:r>
            <w:r>
              <w:rPr>
                <w:rFonts w:ascii="Times New Roman" w:cs="Times New Roman"/>
                <w:color w:val="auto"/>
                <w:sz w:val="21"/>
                <w:szCs w:val="21"/>
              </w:rPr>
              <w:t>得</w:t>
            </w:r>
            <w:r>
              <w:rPr>
                <w:rFonts w:hint="eastAsia" w:ascii="Times New Roman" w:cs="Times New Roman"/>
                <w:color w:val="auto"/>
                <w:sz w:val="21"/>
                <w:szCs w:val="21"/>
              </w:rPr>
              <w:t>2</w:t>
            </w:r>
            <w:r>
              <w:rPr>
                <w:rFonts w:ascii="Times New Roman" w:cs="Times New Roman"/>
                <w:color w:val="auto"/>
                <w:sz w:val="21"/>
                <w:szCs w:val="21"/>
              </w:rPr>
              <w:t>分, 不符合者不得分</w:t>
            </w:r>
            <w:r>
              <w:rPr>
                <w:rFonts w:hint="eastAsia" w:ascii="Times New Roman" w:cs="Times New Roman"/>
                <w:color w:val="auto"/>
                <w:sz w:val="21"/>
                <w:szCs w:val="21"/>
              </w:rPr>
              <w:t>，</w:t>
            </w:r>
            <w:r>
              <w:rPr>
                <w:rFonts w:ascii="Times New Roman" w:cs="Times New Roman"/>
                <w:color w:val="auto"/>
                <w:sz w:val="21"/>
                <w:szCs w:val="21"/>
              </w:rPr>
              <w:t>本条款最多得2分。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013" w:hRule="atLeast"/>
        </w:trPr>
        <w:tc>
          <w:tcPr>
            <w:tcW w:w="709" w:type="dxa"/>
            <w:vMerge w:val="continue"/>
            <w:shd w:val="clear" w:color="auto" w:fill="auto"/>
            <w:noWrap w:val="0"/>
            <w:vAlign w:val="center"/>
          </w:tcPr>
          <w:p>
            <w:pPr>
              <w:pStyle w:val="118"/>
              <w:jc w:val="center"/>
              <w:rPr>
                <w:rFonts w:ascii="Times New Roman" w:cs="Times New Roman"/>
                <w:sz w:val="21"/>
                <w:szCs w:val="21"/>
              </w:rPr>
            </w:pPr>
          </w:p>
        </w:tc>
        <w:tc>
          <w:tcPr>
            <w:tcW w:w="1412" w:type="dxa"/>
            <w:vMerge w:val="continue"/>
            <w:shd w:val="clear" w:color="auto" w:fill="auto"/>
            <w:noWrap w:val="0"/>
            <w:vAlign w:val="center"/>
          </w:tcPr>
          <w:p>
            <w:pPr>
              <w:pStyle w:val="118"/>
              <w:jc w:val="center"/>
              <w:rPr>
                <w:rFonts w:ascii="Times New Roman" w:cs="Times New Roman"/>
                <w:color w:val="auto"/>
                <w:sz w:val="21"/>
                <w:szCs w:val="21"/>
              </w:rPr>
            </w:pPr>
          </w:p>
        </w:tc>
        <w:tc>
          <w:tcPr>
            <w:tcW w:w="709" w:type="dxa"/>
            <w:vMerge w:val="continue"/>
            <w:shd w:val="clear" w:color="auto" w:fill="auto"/>
            <w:noWrap w:val="0"/>
            <w:vAlign w:val="center"/>
          </w:tcPr>
          <w:p>
            <w:pPr>
              <w:pStyle w:val="118"/>
              <w:jc w:val="center"/>
              <w:rPr>
                <w:rFonts w:hint="eastAsia" w:ascii="Times New Roman" w:cs="Times New Roman"/>
                <w:color w:val="auto"/>
                <w:sz w:val="21"/>
                <w:szCs w:val="21"/>
              </w:rPr>
            </w:pPr>
          </w:p>
        </w:tc>
        <w:tc>
          <w:tcPr>
            <w:tcW w:w="6072" w:type="dxa"/>
            <w:shd w:val="clear" w:color="auto" w:fill="auto"/>
            <w:noWrap w:val="0"/>
            <w:vAlign w:val="top"/>
          </w:tcPr>
          <w:p>
            <w:pPr>
              <w:pStyle w:val="118"/>
              <w:rPr>
                <w:rFonts w:ascii="Times New Roman" w:cs="Times New Roman"/>
                <w:color w:val="auto"/>
                <w:sz w:val="21"/>
                <w:szCs w:val="21"/>
              </w:rPr>
            </w:pPr>
            <w:r>
              <w:rPr>
                <w:rFonts w:ascii="Times New Roman" w:cs="Times New Roman"/>
                <w:color w:val="auto"/>
                <w:sz w:val="21"/>
                <w:szCs w:val="21"/>
              </w:rPr>
              <w:t>二、保安负责人（4分）</w:t>
            </w:r>
          </w:p>
          <w:p>
            <w:pPr>
              <w:jc w:val="left"/>
              <w:rPr>
                <w:szCs w:val="21"/>
              </w:rPr>
            </w:pPr>
            <w:r>
              <w:t>1、需同时具备：建（构）筑物消防员职业资格证</w:t>
            </w:r>
            <w:r>
              <w:rPr>
                <w:color w:val="000000"/>
              </w:rPr>
              <w:t>（初级及以上）、</w:t>
            </w:r>
            <w:r>
              <w:t xml:space="preserve">保安员证，得2分，没有不得分； </w:t>
            </w:r>
          </w:p>
          <w:p>
            <w:pPr>
              <w:pStyle w:val="118"/>
              <w:rPr>
                <w:rFonts w:ascii="Times New Roman" w:cs="Times New Roman"/>
                <w:color w:val="auto"/>
                <w:sz w:val="21"/>
                <w:szCs w:val="21"/>
              </w:rPr>
            </w:pPr>
            <w:r>
              <w:rPr>
                <w:rFonts w:hint="eastAsia" w:ascii="Times New Roman" w:cs="Times New Roman"/>
                <w:color w:val="auto"/>
                <w:sz w:val="21"/>
                <w:szCs w:val="21"/>
              </w:rPr>
              <w:t>2</w:t>
            </w:r>
            <w:r>
              <w:rPr>
                <w:rFonts w:ascii="Times New Roman" w:cs="Times New Roman"/>
                <w:color w:val="auto"/>
                <w:sz w:val="21"/>
                <w:szCs w:val="21"/>
              </w:rPr>
              <w:t>、有不少于3年物业管理经验的</w:t>
            </w:r>
            <w:r>
              <w:rPr>
                <w:rFonts w:hint="eastAsia" w:ascii="Times New Roman" w:cs="Times New Roman"/>
                <w:color w:val="auto"/>
                <w:sz w:val="21"/>
                <w:szCs w:val="21"/>
              </w:rPr>
              <w:t>，</w:t>
            </w:r>
            <w:r>
              <w:rPr>
                <w:rFonts w:ascii="Times New Roman" w:cs="Times New Roman"/>
                <w:color w:val="auto"/>
                <w:sz w:val="21"/>
                <w:szCs w:val="21"/>
              </w:rPr>
              <w:t>得</w:t>
            </w:r>
            <w:r>
              <w:rPr>
                <w:rFonts w:hint="eastAsia" w:ascii="Times New Roman" w:cs="Times New Roman"/>
                <w:color w:val="auto"/>
                <w:sz w:val="21"/>
                <w:szCs w:val="21"/>
              </w:rPr>
              <w:t>2</w:t>
            </w:r>
            <w:r>
              <w:rPr>
                <w:rFonts w:ascii="Times New Roman" w:cs="Times New Roman"/>
                <w:color w:val="auto"/>
                <w:sz w:val="21"/>
                <w:szCs w:val="21"/>
              </w:rPr>
              <w:t>分</w:t>
            </w:r>
            <w:r>
              <w:rPr>
                <w:rFonts w:hint="eastAsia" w:ascii="Times New Roman" w:cs="Times New Roman"/>
                <w:color w:val="auto"/>
                <w:sz w:val="21"/>
                <w:szCs w:val="21"/>
              </w:rPr>
              <w:t>；不符合者不得分</w:t>
            </w:r>
            <w:r>
              <w:rPr>
                <w:rFonts w:ascii="Times New Roman"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057" w:hRule="atLeast"/>
        </w:trPr>
        <w:tc>
          <w:tcPr>
            <w:tcW w:w="709" w:type="dxa"/>
            <w:vMerge w:val="continue"/>
            <w:shd w:val="clear" w:color="auto" w:fill="auto"/>
            <w:noWrap w:val="0"/>
            <w:vAlign w:val="center"/>
          </w:tcPr>
          <w:p>
            <w:pPr>
              <w:pStyle w:val="118"/>
              <w:jc w:val="center"/>
              <w:rPr>
                <w:rFonts w:ascii="Times New Roman" w:cs="Times New Roman"/>
                <w:sz w:val="21"/>
                <w:szCs w:val="21"/>
              </w:rPr>
            </w:pPr>
          </w:p>
        </w:tc>
        <w:tc>
          <w:tcPr>
            <w:tcW w:w="1412" w:type="dxa"/>
            <w:vMerge w:val="continue"/>
            <w:shd w:val="clear" w:color="auto" w:fill="auto"/>
            <w:noWrap w:val="0"/>
            <w:vAlign w:val="center"/>
          </w:tcPr>
          <w:p>
            <w:pPr>
              <w:pStyle w:val="118"/>
              <w:jc w:val="center"/>
              <w:rPr>
                <w:rFonts w:ascii="Times New Roman" w:cs="Times New Roman"/>
                <w:color w:val="auto"/>
                <w:sz w:val="21"/>
                <w:szCs w:val="21"/>
              </w:rPr>
            </w:pPr>
          </w:p>
        </w:tc>
        <w:tc>
          <w:tcPr>
            <w:tcW w:w="709" w:type="dxa"/>
            <w:vMerge w:val="continue"/>
            <w:shd w:val="clear" w:color="auto" w:fill="auto"/>
            <w:noWrap w:val="0"/>
            <w:vAlign w:val="center"/>
          </w:tcPr>
          <w:p>
            <w:pPr>
              <w:pStyle w:val="118"/>
              <w:jc w:val="center"/>
              <w:rPr>
                <w:rFonts w:hint="eastAsia" w:ascii="Times New Roman" w:cs="Times New Roman"/>
                <w:color w:val="auto"/>
                <w:sz w:val="21"/>
                <w:szCs w:val="21"/>
              </w:rPr>
            </w:pPr>
          </w:p>
        </w:tc>
        <w:tc>
          <w:tcPr>
            <w:tcW w:w="6072" w:type="dxa"/>
            <w:shd w:val="clear" w:color="auto" w:fill="auto"/>
            <w:noWrap w:val="0"/>
            <w:vAlign w:val="top"/>
          </w:tcPr>
          <w:p>
            <w:pPr>
              <w:pStyle w:val="118"/>
              <w:rPr>
                <w:rFonts w:ascii="Times New Roman" w:cs="Times New Roman"/>
                <w:color w:val="auto"/>
                <w:sz w:val="21"/>
                <w:szCs w:val="21"/>
              </w:rPr>
            </w:pPr>
            <w:r>
              <w:rPr>
                <w:rFonts w:ascii="Times New Roman" w:cs="Times New Roman"/>
                <w:color w:val="auto"/>
                <w:sz w:val="21"/>
                <w:szCs w:val="21"/>
              </w:rPr>
              <w:t>三、保安人员（4分）</w:t>
            </w:r>
          </w:p>
          <w:p>
            <w:pPr>
              <w:pStyle w:val="118"/>
              <w:rPr>
                <w:rFonts w:ascii="Times New Roman" w:cs="Times New Roman"/>
                <w:sz w:val="21"/>
                <w:szCs w:val="21"/>
              </w:rPr>
            </w:pPr>
            <w:r>
              <w:rPr>
                <w:rFonts w:ascii="Times New Roman" w:cs="Times New Roman"/>
                <w:color w:val="auto"/>
                <w:sz w:val="21"/>
                <w:szCs w:val="21"/>
              </w:rPr>
              <w:t>1、提供保安员</w:t>
            </w:r>
            <w:r>
              <w:rPr>
                <w:rFonts w:ascii="Times New Roman" w:cs="Times New Roman"/>
                <w:sz w:val="21"/>
                <w:szCs w:val="21"/>
              </w:rPr>
              <w:t>证≥</w:t>
            </w:r>
            <w:r>
              <w:rPr>
                <w:rFonts w:hint="eastAsia" w:ascii="Times New Roman" w:cs="Times New Roman"/>
                <w:sz w:val="21"/>
                <w:szCs w:val="21"/>
              </w:rPr>
              <w:t>10</w:t>
            </w:r>
            <w:r>
              <w:rPr>
                <w:rFonts w:ascii="Times New Roman" w:cs="Times New Roman"/>
                <w:sz w:val="21"/>
                <w:szCs w:val="21"/>
              </w:rPr>
              <w:t>人的，得</w:t>
            </w:r>
            <w:r>
              <w:rPr>
                <w:rFonts w:hint="eastAsia" w:ascii="Times New Roman" w:cs="Times New Roman"/>
                <w:sz w:val="21"/>
                <w:szCs w:val="21"/>
              </w:rPr>
              <w:t>2</w:t>
            </w:r>
            <w:r>
              <w:rPr>
                <w:rFonts w:ascii="Times New Roman" w:cs="Times New Roman"/>
                <w:sz w:val="21"/>
                <w:szCs w:val="21"/>
              </w:rPr>
              <w:t>分</w:t>
            </w:r>
            <w:r>
              <w:rPr>
                <w:rFonts w:hint="eastAsia" w:ascii="Times New Roman" w:cs="Times New Roman"/>
                <w:sz w:val="21"/>
                <w:szCs w:val="21"/>
              </w:rPr>
              <w:t>，否则不得分</w:t>
            </w:r>
            <w:r>
              <w:rPr>
                <w:rFonts w:ascii="Times New Roman" w:cs="Times New Roman"/>
                <w:sz w:val="21"/>
                <w:szCs w:val="21"/>
              </w:rPr>
              <w:t>；</w:t>
            </w:r>
          </w:p>
          <w:p>
            <w:pPr>
              <w:pStyle w:val="118"/>
              <w:rPr>
                <w:rFonts w:ascii="Times New Roman" w:cs="Times New Roman"/>
                <w:color w:val="auto"/>
                <w:sz w:val="21"/>
                <w:szCs w:val="21"/>
              </w:rPr>
            </w:pPr>
            <w:r>
              <w:rPr>
                <w:rFonts w:ascii="Times New Roman" w:cs="Times New Roman"/>
                <w:sz w:val="21"/>
                <w:szCs w:val="21"/>
              </w:rPr>
              <w:t>2、消防值班员：≥</w:t>
            </w:r>
            <w:r>
              <w:rPr>
                <w:rFonts w:hint="eastAsia" w:ascii="Times New Roman" w:cs="Times New Roman"/>
                <w:sz w:val="21"/>
                <w:szCs w:val="21"/>
              </w:rPr>
              <w:t>4</w:t>
            </w:r>
            <w:r>
              <w:rPr>
                <w:rFonts w:ascii="Times New Roman" w:cs="Times New Roman"/>
                <w:sz w:val="21"/>
                <w:szCs w:val="21"/>
              </w:rPr>
              <w:t>人建（构）筑物消</w:t>
            </w:r>
            <w:r>
              <w:rPr>
                <w:rFonts w:ascii="Times New Roman" w:cs="Times New Roman"/>
                <w:color w:val="auto"/>
                <w:sz w:val="21"/>
                <w:szCs w:val="21"/>
              </w:rPr>
              <w:t>防员职业技能资格证书的，得2分，否则不得分。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94" w:hRule="atLeast"/>
        </w:trPr>
        <w:tc>
          <w:tcPr>
            <w:tcW w:w="709" w:type="dxa"/>
            <w:vMerge w:val="continue"/>
            <w:shd w:val="clear" w:color="auto" w:fill="auto"/>
            <w:noWrap w:val="0"/>
            <w:vAlign w:val="center"/>
          </w:tcPr>
          <w:p>
            <w:pPr>
              <w:pStyle w:val="118"/>
              <w:jc w:val="center"/>
              <w:rPr>
                <w:rFonts w:ascii="Times New Roman" w:cs="Times New Roman"/>
                <w:sz w:val="21"/>
                <w:szCs w:val="21"/>
              </w:rPr>
            </w:pPr>
          </w:p>
        </w:tc>
        <w:tc>
          <w:tcPr>
            <w:tcW w:w="1412" w:type="dxa"/>
            <w:vMerge w:val="continue"/>
            <w:shd w:val="clear" w:color="auto" w:fill="auto"/>
            <w:noWrap w:val="0"/>
            <w:vAlign w:val="center"/>
          </w:tcPr>
          <w:p>
            <w:pPr>
              <w:pStyle w:val="118"/>
              <w:jc w:val="center"/>
              <w:rPr>
                <w:rFonts w:ascii="Times New Roman" w:cs="Times New Roman"/>
                <w:color w:val="auto"/>
                <w:sz w:val="21"/>
                <w:szCs w:val="21"/>
              </w:rPr>
            </w:pPr>
          </w:p>
        </w:tc>
        <w:tc>
          <w:tcPr>
            <w:tcW w:w="709" w:type="dxa"/>
            <w:vMerge w:val="continue"/>
            <w:shd w:val="clear" w:color="auto" w:fill="auto"/>
            <w:noWrap w:val="0"/>
            <w:vAlign w:val="center"/>
          </w:tcPr>
          <w:p>
            <w:pPr>
              <w:pStyle w:val="118"/>
              <w:jc w:val="center"/>
              <w:rPr>
                <w:rFonts w:hint="eastAsia" w:ascii="Times New Roman" w:cs="Times New Roman"/>
                <w:color w:val="auto"/>
                <w:sz w:val="21"/>
                <w:szCs w:val="21"/>
              </w:rPr>
            </w:pPr>
          </w:p>
        </w:tc>
        <w:tc>
          <w:tcPr>
            <w:tcW w:w="6072" w:type="dxa"/>
            <w:shd w:val="clear" w:color="auto" w:fill="auto"/>
            <w:noWrap w:val="0"/>
            <w:vAlign w:val="top"/>
          </w:tcPr>
          <w:p>
            <w:pPr>
              <w:pStyle w:val="118"/>
              <w:rPr>
                <w:rFonts w:ascii="Times New Roman" w:cs="Times New Roman"/>
                <w:color w:val="auto"/>
                <w:sz w:val="21"/>
                <w:szCs w:val="21"/>
              </w:rPr>
            </w:pPr>
            <w:r>
              <w:rPr>
                <w:rFonts w:hint="eastAsia" w:ascii="Times New Roman" w:cs="Times New Roman"/>
                <w:color w:val="auto"/>
                <w:sz w:val="21"/>
                <w:szCs w:val="21"/>
              </w:rPr>
              <w:t>四</w:t>
            </w:r>
            <w:r>
              <w:rPr>
                <w:rFonts w:ascii="Times New Roman" w:cs="Times New Roman"/>
                <w:color w:val="auto"/>
                <w:sz w:val="21"/>
                <w:szCs w:val="21"/>
              </w:rPr>
              <w:t>、</w:t>
            </w:r>
            <w:r>
              <w:rPr>
                <w:rFonts w:hint="eastAsia" w:ascii="Times New Roman" w:cs="Times New Roman"/>
                <w:color w:val="auto"/>
                <w:sz w:val="21"/>
                <w:szCs w:val="21"/>
              </w:rPr>
              <w:t>工程维修</w:t>
            </w:r>
            <w:r>
              <w:rPr>
                <w:rFonts w:ascii="Times New Roman" w:cs="Times New Roman"/>
                <w:color w:val="auto"/>
                <w:sz w:val="21"/>
                <w:szCs w:val="21"/>
              </w:rPr>
              <w:t>负责人（2分）</w:t>
            </w:r>
          </w:p>
          <w:p>
            <w:pPr>
              <w:pStyle w:val="118"/>
              <w:rPr>
                <w:rFonts w:ascii="Times New Roman" w:cs="Times New Roman"/>
                <w:color w:val="auto"/>
                <w:sz w:val="21"/>
                <w:szCs w:val="21"/>
              </w:rPr>
            </w:pPr>
            <w:r>
              <w:rPr>
                <w:rFonts w:ascii="Times New Roman" w:cs="Times New Roman"/>
                <w:color w:val="auto"/>
                <w:sz w:val="21"/>
                <w:szCs w:val="21"/>
              </w:rPr>
              <w:t>具有电气高级工程师证得1分；具有5年及以上的</w:t>
            </w:r>
            <w:r>
              <w:rPr>
                <w:rFonts w:hint="eastAsia" w:ascii="Times New Roman" w:cs="Times New Roman"/>
                <w:color w:val="auto"/>
                <w:sz w:val="21"/>
                <w:szCs w:val="21"/>
              </w:rPr>
              <w:t>工程维修</w:t>
            </w:r>
            <w:r>
              <w:rPr>
                <w:rFonts w:ascii="Times New Roman" w:cs="Times New Roman"/>
                <w:color w:val="auto"/>
                <w:sz w:val="21"/>
                <w:szCs w:val="21"/>
              </w:rPr>
              <w:t>专业管理经验得1分；本条款最多得2分。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139" w:hRule="atLeast"/>
        </w:trPr>
        <w:tc>
          <w:tcPr>
            <w:tcW w:w="709" w:type="dxa"/>
            <w:vMerge w:val="continue"/>
            <w:shd w:val="clear" w:color="auto" w:fill="auto"/>
            <w:noWrap w:val="0"/>
            <w:vAlign w:val="center"/>
          </w:tcPr>
          <w:p>
            <w:pPr>
              <w:pStyle w:val="118"/>
              <w:jc w:val="center"/>
              <w:rPr>
                <w:rFonts w:ascii="Times New Roman" w:cs="Times New Roman"/>
                <w:sz w:val="21"/>
                <w:szCs w:val="21"/>
              </w:rPr>
            </w:pPr>
          </w:p>
        </w:tc>
        <w:tc>
          <w:tcPr>
            <w:tcW w:w="1412" w:type="dxa"/>
            <w:vMerge w:val="continue"/>
            <w:shd w:val="clear" w:color="auto" w:fill="auto"/>
            <w:noWrap w:val="0"/>
            <w:vAlign w:val="center"/>
          </w:tcPr>
          <w:p>
            <w:pPr>
              <w:pStyle w:val="118"/>
              <w:jc w:val="center"/>
              <w:rPr>
                <w:rFonts w:ascii="Times New Roman" w:cs="Times New Roman"/>
                <w:color w:val="auto"/>
                <w:sz w:val="21"/>
                <w:szCs w:val="21"/>
              </w:rPr>
            </w:pPr>
          </w:p>
        </w:tc>
        <w:tc>
          <w:tcPr>
            <w:tcW w:w="709" w:type="dxa"/>
            <w:vMerge w:val="continue"/>
            <w:shd w:val="clear" w:color="auto" w:fill="auto"/>
            <w:noWrap w:val="0"/>
            <w:vAlign w:val="center"/>
          </w:tcPr>
          <w:p>
            <w:pPr>
              <w:pStyle w:val="118"/>
              <w:jc w:val="center"/>
              <w:rPr>
                <w:rFonts w:hint="eastAsia" w:ascii="Times New Roman" w:cs="Times New Roman"/>
                <w:color w:val="auto"/>
                <w:sz w:val="21"/>
                <w:szCs w:val="21"/>
              </w:rPr>
            </w:pPr>
          </w:p>
        </w:tc>
        <w:tc>
          <w:tcPr>
            <w:tcW w:w="6072" w:type="dxa"/>
            <w:shd w:val="clear" w:color="auto" w:fill="auto"/>
            <w:noWrap w:val="0"/>
            <w:vAlign w:val="top"/>
          </w:tcPr>
          <w:p>
            <w:pPr>
              <w:pStyle w:val="118"/>
              <w:rPr>
                <w:rFonts w:ascii="Times New Roman" w:cs="Times New Roman"/>
                <w:color w:val="auto"/>
                <w:sz w:val="21"/>
                <w:szCs w:val="21"/>
              </w:rPr>
            </w:pPr>
            <w:r>
              <w:rPr>
                <w:rFonts w:hint="eastAsia" w:ascii="Times New Roman" w:cs="Times New Roman"/>
                <w:color w:val="auto"/>
                <w:sz w:val="21"/>
                <w:szCs w:val="21"/>
              </w:rPr>
              <w:t>五、工程维修员</w:t>
            </w:r>
            <w:r>
              <w:rPr>
                <w:rFonts w:ascii="Times New Roman" w:cs="Times New Roman"/>
                <w:color w:val="auto"/>
                <w:sz w:val="21"/>
                <w:szCs w:val="21"/>
              </w:rPr>
              <w:t>（</w:t>
            </w:r>
            <w:r>
              <w:rPr>
                <w:rFonts w:hint="eastAsia" w:ascii="Times New Roman" w:cs="Times New Roman"/>
                <w:color w:val="auto"/>
                <w:sz w:val="21"/>
                <w:szCs w:val="21"/>
              </w:rPr>
              <w:t>4</w:t>
            </w:r>
            <w:r>
              <w:rPr>
                <w:rFonts w:ascii="Times New Roman" w:cs="Times New Roman"/>
                <w:color w:val="auto"/>
                <w:sz w:val="21"/>
                <w:szCs w:val="21"/>
              </w:rPr>
              <w:t>分）</w:t>
            </w:r>
          </w:p>
          <w:p>
            <w:pPr>
              <w:pStyle w:val="118"/>
              <w:rPr>
                <w:rFonts w:ascii="Times New Roman" w:cs="Times New Roman"/>
                <w:color w:val="auto"/>
                <w:sz w:val="21"/>
                <w:szCs w:val="21"/>
              </w:rPr>
            </w:pPr>
            <w:r>
              <w:rPr>
                <w:rFonts w:ascii="Times New Roman" w:cs="Times New Roman"/>
                <w:color w:val="auto"/>
                <w:sz w:val="21"/>
                <w:szCs w:val="21"/>
              </w:rPr>
              <w:t>具有</w:t>
            </w:r>
            <w:r>
              <w:rPr>
                <w:rFonts w:hint="eastAsia" w:ascii="Times New Roman" w:cs="Times New Roman"/>
                <w:color w:val="auto"/>
                <w:sz w:val="21"/>
                <w:szCs w:val="21"/>
              </w:rPr>
              <w:t>3</w:t>
            </w:r>
            <w:r>
              <w:rPr>
                <w:rFonts w:ascii="Times New Roman" w:cs="Times New Roman"/>
                <w:color w:val="auto"/>
                <w:sz w:val="21"/>
                <w:szCs w:val="21"/>
              </w:rPr>
              <w:t>年及以上的</w:t>
            </w:r>
            <w:r>
              <w:rPr>
                <w:rFonts w:hint="eastAsia" w:ascii="Times New Roman" w:cs="Times New Roman"/>
                <w:color w:val="auto"/>
                <w:sz w:val="21"/>
                <w:szCs w:val="21"/>
              </w:rPr>
              <w:t>工程维修</w:t>
            </w:r>
            <w:r>
              <w:rPr>
                <w:rFonts w:ascii="Times New Roman" w:cs="Times New Roman"/>
                <w:color w:val="auto"/>
                <w:sz w:val="21"/>
                <w:szCs w:val="21"/>
              </w:rPr>
              <w:t>经验</w:t>
            </w:r>
            <w:r>
              <w:rPr>
                <w:rFonts w:hint="eastAsia" w:ascii="Times New Roman" w:cs="Times New Roman"/>
                <w:color w:val="auto"/>
                <w:sz w:val="21"/>
                <w:szCs w:val="21"/>
              </w:rPr>
              <w:t>并具有电工证</w:t>
            </w:r>
            <w:r>
              <w:rPr>
                <w:rFonts w:ascii="Times New Roman" w:cs="Times New Roman"/>
                <w:color w:val="auto"/>
                <w:sz w:val="21"/>
                <w:szCs w:val="21"/>
              </w:rPr>
              <w:t>得</w:t>
            </w:r>
            <w:r>
              <w:rPr>
                <w:rFonts w:hint="eastAsia" w:ascii="Times New Roman" w:cs="Times New Roman"/>
                <w:color w:val="auto"/>
                <w:sz w:val="21"/>
                <w:szCs w:val="21"/>
              </w:rPr>
              <w:t>每人得0.5分，具有特种设备作业人员证（含电梯、立体车库等）的每人得0.5分，最多得4</w:t>
            </w:r>
            <w:r>
              <w:rPr>
                <w:rFonts w:ascii="Times New Roman" w:cs="Times New Roman"/>
                <w:color w:val="auto"/>
                <w:sz w:val="21"/>
                <w:szCs w:val="21"/>
              </w:rPr>
              <w:t>分</w:t>
            </w:r>
            <w:r>
              <w:rPr>
                <w:rFonts w:hint="eastAsia" w:ascii="Times New Roman" w:cs="Times New Roman"/>
                <w:color w:val="auto"/>
                <w:sz w:val="21"/>
                <w:szCs w:val="21"/>
              </w:rPr>
              <w:t>，不符合的均不得分。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818" w:hRule="atLeast"/>
        </w:trPr>
        <w:tc>
          <w:tcPr>
            <w:tcW w:w="709" w:type="dxa"/>
            <w:vMerge w:val="continue"/>
            <w:shd w:val="clear" w:color="auto" w:fill="auto"/>
            <w:noWrap w:val="0"/>
            <w:vAlign w:val="center"/>
          </w:tcPr>
          <w:p>
            <w:pPr>
              <w:pStyle w:val="118"/>
              <w:jc w:val="center"/>
              <w:rPr>
                <w:rFonts w:ascii="Times New Roman" w:cs="Times New Roman"/>
                <w:sz w:val="21"/>
                <w:szCs w:val="21"/>
              </w:rPr>
            </w:pPr>
          </w:p>
        </w:tc>
        <w:tc>
          <w:tcPr>
            <w:tcW w:w="1412" w:type="dxa"/>
            <w:vMerge w:val="continue"/>
            <w:shd w:val="clear" w:color="auto" w:fill="auto"/>
            <w:noWrap w:val="0"/>
            <w:vAlign w:val="center"/>
          </w:tcPr>
          <w:p>
            <w:pPr>
              <w:pStyle w:val="118"/>
              <w:jc w:val="center"/>
              <w:rPr>
                <w:rFonts w:ascii="Times New Roman" w:cs="Times New Roman"/>
                <w:color w:val="auto"/>
                <w:sz w:val="21"/>
                <w:szCs w:val="21"/>
              </w:rPr>
            </w:pPr>
          </w:p>
        </w:tc>
        <w:tc>
          <w:tcPr>
            <w:tcW w:w="709" w:type="dxa"/>
            <w:vMerge w:val="continue"/>
            <w:shd w:val="clear" w:color="auto" w:fill="auto"/>
            <w:noWrap w:val="0"/>
            <w:vAlign w:val="center"/>
          </w:tcPr>
          <w:p>
            <w:pPr>
              <w:pStyle w:val="118"/>
              <w:jc w:val="center"/>
              <w:rPr>
                <w:rFonts w:hint="eastAsia" w:ascii="Times New Roman" w:cs="Times New Roman"/>
                <w:color w:val="auto"/>
                <w:sz w:val="21"/>
                <w:szCs w:val="21"/>
              </w:rPr>
            </w:pPr>
          </w:p>
        </w:tc>
        <w:tc>
          <w:tcPr>
            <w:tcW w:w="6072" w:type="dxa"/>
            <w:shd w:val="clear" w:color="auto" w:fill="auto"/>
            <w:noWrap w:val="0"/>
            <w:vAlign w:val="top"/>
          </w:tcPr>
          <w:p>
            <w:pPr>
              <w:pStyle w:val="118"/>
              <w:rPr>
                <w:rFonts w:ascii="Times New Roman" w:cs="Times New Roman"/>
                <w:color w:val="auto"/>
                <w:sz w:val="21"/>
                <w:szCs w:val="21"/>
              </w:rPr>
            </w:pPr>
            <w:r>
              <w:rPr>
                <w:rFonts w:hint="eastAsia" w:ascii="Times New Roman" w:cs="Times New Roman"/>
                <w:color w:val="auto"/>
                <w:sz w:val="21"/>
                <w:szCs w:val="21"/>
              </w:rPr>
              <w:t>六</w:t>
            </w:r>
            <w:r>
              <w:rPr>
                <w:rFonts w:ascii="Times New Roman" w:cs="Times New Roman"/>
                <w:color w:val="auto"/>
                <w:sz w:val="21"/>
                <w:szCs w:val="21"/>
              </w:rPr>
              <w:t>、保洁负责人（2分）</w:t>
            </w:r>
          </w:p>
          <w:p>
            <w:pPr>
              <w:pStyle w:val="118"/>
              <w:rPr>
                <w:rFonts w:hint="eastAsia" w:ascii="Times New Roman" w:cs="Times New Roman"/>
                <w:color w:val="auto"/>
                <w:sz w:val="21"/>
                <w:szCs w:val="21"/>
              </w:rPr>
            </w:pPr>
            <w:r>
              <w:rPr>
                <w:rFonts w:ascii="Times New Roman" w:cs="Times New Roman"/>
                <w:color w:val="auto"/>
                <w:sz w:val="21"/>
                <w:szCs w:val="21"/>
              </w:rPr>
              <w:t>具有3年及以上的</w:t>
            </w:r>
            <w:r>
              <w:rPr>
                <w:rFonts w:hint="eastAsia" w:ascii="Times New Roman" w:cs="Times New Roman"/>
                <w:color w:val="auto"/>
                <w:sz w:val="21"/>
                <w:szCs w:val="21"/>
              </w:rPr>
              <w:t>物业</w:t>
            </w:r>
            <w:r>
              <w:rPr>
                <w:rFonts w:ascii="Times New Roman" w:cs="Times New Roman"/>
                <w:color w:val="auto"/>
                <w:sz w:val="21"/>
                <w:szCs w:val="21"/>
              </w:rPr>
              <w:t>保洁管理经验得1分，</w:t>
            </w:r>
            <w:r>
              <w:rPr>
                <w:rFonts w:hint="eastAsia" w:ascii="Times New Roman" w:cs="Times New Roman"/>
                <w:color w:val="auto"/>
                <w:sz w:val="21"/>
                <w:szCs w:val="21"/>
              </w:rPr>
              <w:t>具有物业项目经理证得1分；本条款最多得2分</w:t>
            </w:r>
            <w:r>
              <w:rPr>
                <w:rFonts w:ascii="Times New Roman"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987" w:hRule="atLeast"/>
        </w:trPr>
        <w:tc>
          <w:tcPr>
            <w:tcW w:w="709" w:type="dxa"/>
            <w:vMerge w:val="continue"/>
            <w:shd w:val="clear" w:color="auto" w:fill="auto"/>
            <w:noWrap w:val="0"/>
            <w:vAlign w:val="center"/>
          </w:tcPr>
          <w:p>
            <w:pPr>
              <w:pStyle w:val="118"/>
              <w:jc w:val="center"/>
              <w:rPr>
                <w:rFonts w:ascii="Times New Roman" w:cs="Times New Roman"/>
                <w:sz w:val="21"/>
                <w:szCs w:val="21"/>
              </w:rPr>
            </w:pPr>
          </w:p>
        </w:tc>
        <w:tc>
          <w:tcPr>
            <w:tcW w:w="1412" w:type="dxa"/>
            <w:vMerge w:val="continue"/>
            <w:shd w:val="clear" w:color="auto" w:fill="auto"/>
            <w:noWrap w:val="0"/>
            <w:vAlign w:val="center"/>
          </w:tcPr>
          <w:p>
            <w:pPr>
              <w:pStyle w:val="118"/>
              <w:jc w:val="center"/>
              <w:rPr>
                <w:rFonts w:ascii="Times New Roman" w:cs="Times New Roman"/>
                <w:color w:val="auto"/>
                <w:sz w:val="21"/>
                <w:szCs w:val="21"/>
              </w:rPr>
            </w:pPr>
          </w:p>
        </w:tc>
        <w:tc>
          <w:tcPr>
            <w:tcW w:w="709" w:type="dxa"/>
            <w:vMerge w:val="continue"/>
            <w:shd w:val="clear" w:color="auto" w:fill="auto"/>
            <w:noWrap w:val="0"/>
            <w:vAlign w:val="center"/>
          </w:tcPr>
          <w:p>
            <w:pPr>
              <w:pStyle w:val="118"/>
              <w:jc w:val="center"/>
              <w:rPr>
                <w:rFonts w:hint="eastAsia" w:ascii="Times New Roman" w:cs="Times New Roman"/>
                <w:color w:val="auto"/>
                <w:sz w:val="21"/>
                <w:szCs w:val="21"/>
              </w:rPr>
            </w:pPr>
          </w:p>
        </w:tc>
        <w:tc>
          <w:tcPr>
            <w:tcW w:w="6072" w:type="dxa"/>
            <w:shd w:val="clear" w:color="auto" w:fill="auto"/>
            <w:noWrap w:val="0"/>
            <w:vAlign w:val="top"/>
          </w:tcPr>
          <w:p>
            <w:pPr>
              <w:pStyle w:val="118"/>
              <w:rPr>
                <w:rFonts w:hint="eastAsia" w:ascii="Times New Roman" w:cs="Times New Roman"/>
                <w:color w:val="auto"/>
                <w:sz w:val="21"/>
                <w:szCs w:val="21"/>
              </w:rPr>
            </w:pPr>
            <w:r>
              <w:rPr>
                <w:rFonts w:ascii="Times New Roman" w:cs="Times New Roman"/>
                <w:b/>
                <w:color w:val="auto"/>
                <w:sz w:val="21"/>
                <w:szCs w:val="21"/>
              </w:rPr>
              <w:t>备注：提供相关职称、学历、专业证书、工作经验（业绩）证明、提供该人员社保缴纳证明材料复印件，原件备查。评分中出现无证明资料或专家无法凭所提供资料判断是否得分的情况，一律作不得分处理。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885" w:hRule="atLeast"/>
        </w:trPr>
        <w:tc>
          <w:tcPr>
            <w:tcW w:w="709" w:type="dxa"/>
            <w:shd w:val="clear" w:color="auto" w:fill="auto"/>
            <w:noWrap w:val="0"/>
            <w:vAlign w:val="center"/>
          </w:tcPr>
          <w:p>
            <w:pPr>
              <w:pStyle w:val="118"/>
              <w:jc w:val="center"/>
              <w:rPr>
                <w:rFonts w:ascii="Times New Roman" w:cs="Times New Roman"/>
                <w:sz w:val="21"/>
                <w:szCs w:val="21"/>
              </w:rPr>
            </w:pPr>
            <w:r>
              <w:rPr>
                <w:rFonts w:hint="eastAsia" w:ascii="Times New Roman" w:cs="Times New Roman"/>
                <w:sz w:val="21"/>
                <w:szCs w:val="21"/>
              </w:rPr>
              <w:t>10</w:t>
            </w:r>
          </w:p>
        </w:tc>
        <w:tc>
          <w:tcPr>
            <w:tcW w:w="1412" w:type="dxa"/>
            <w:shd w:val="clear" w:color="auto" w:fill="auto"/>
            <w:noWrap w:val="0"/>
            <w:vAlign w:val="center"/>
          </w:tcPr>
          <w:p>
            <w:pPr>
              <w:pStyle w:val="118"/>
              <w:jc w:val="center"/>
              <w:rPr>
                <w:rFonts w:ascii="Times New Roman" w:cs="Times New Roman"/>
                <w:color w:val="auto"/>
                <w:sz w:val="21"/>
                <w:szCs w:val="21"/>
              </w:rPr>
            </w:pPr>
            <w:r>
              <w:rPr>
                <w:rFonts w:hint="eastAsia" w:ascii="Times New Roman" w:cs="Times New Roman"/>
                <w:color w:val="auto"/>
                <w:sz w:val="21"/>
                <w:szCs w:val="21"/>
              </w:rPr>
              <w:t>食堂物流及管理资质</w:t>
            </w:r>
          </w:p>
        </w:tc>
        <w:tc>
          <w:tcPr>
            <w:tcW w:w="709" w:type="dxa"/>
            <w:shd w:val="clear" w:color="auto" w:fill="auto"/>
            <w:noWrap w:val="0"/>
            <w:vAlign w:val="center"/>
          </w:tcPr>
          <w:p>
            <w:pPr>
              <w:pStyle w:val="118"/>
              <w:jc w:val="center"/>
              <w:rPr>
                <w:rFonts w:hint="eastAsia" w:ascii="Times New Roman" w:cs="Times New Roman"/>
                <w:color w:val="auto"/>
                <w:sz w:val="21"/>
                <w:szCs w:val="21"/>
              </w:rPr>
            </w:pPr>
            <w:r>
              <w:rPr>
                <w:rFonts w:hint="eastAsia" w:ascii="Times New Roman" w:cs="Times New Roman"/>
                <w:color w:val="auto"/>
                <w:sz w:val="21"/>
                <w:szCs w:val="21"/>
              </w:rPr>
              <w:t>4</w:t>
            </w:r>
          </w:p>
        </w:tc>
        <w:tc>
          <w:tcPr>
            <w:tcW w:w="6072" w:type="dxa"/>
            <w:shd w:val="clear" w:color="auto" w:fill="auto"/>
            <w:noWrap w:val="0"/>
            <w:vAlign w:val="top"/>
          </w:tcPr>
          <w:p>
            <w:pPr>
              <w:widowControl/>
              <w:tabs>
                <w:tab w:val="left" w:pos="7223"/>
              </w:tabs>
              <w:spacing w:line="320" w:lineRule="exact"/>
              <w:rPr>
                <w:szCs w:val="21"/>
              </w:rPr>
            </w:pPr>
            <w:r>
              <w:rPr>
                <w:rFonts w:hint="eastAsia" w:ascii="宋体" w:hAnsi="宋体" w:cs="宋体"/>
                <w:color w:val="000000"/>
              </w:rPr>
              <w:t>投标人具有食品流通许可证得2分，具有</w:t>
            </w:r>
            <w:r>
              <w:rPr>
                <w:rFonts w:hint="eastAsia" w:ascii="宋体" w:hAnsi="宋体"/>
                <w:color w:val="000000"/>
                <w:szCs w:val="21"/>
              </w:rPr>
              <w:t>食堂规范化达标单位得2分；提供相关证明材料复印件，原件备查；不具备上述资质或未提供相关证明材料的均不得分。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35" w:hRule="atLeast"/>
        </w:trPr>
        <w:tc>
          <w:tcPr>
            <w:tcW w:w="709" w:type="dxa"/>
            <w:vMerge w:val="restart"/>
            <w:shd w:val="clear" w:color="auto" w:fill="auto"/>
            <w:noWrap w:val="0"/>
            <w:vAlign w:val="center"/>
          </w:tcPr>
          <w:p>
            <w:pPr>
              <w:spacing w:line="260" w:lineRule="exact"/>
              <w:ind w:right="-78" w:rightChars="-37"/>
              <w:jc w:val="center"/>
              <w:rPr>
                <w:rFonts w:hint="eastAsia"/>
                <w:szCs w:val="21"/>
              </w:rPr>
            </w:pPr>
            <w:r>
              <w:rPr>
                <w:rFonts w:hint="eastAsia"/>
                <w:szCs w:val="21"/>
              </w:rPr>
              <w:t>11</w:t>
            </w:r>
          </w:p>
        </w:tc>
        <w:tc>
          <w:tcPr>
            <w:tcW w:w="1412" w:type="dxa"/>
            <w:vMerge w:val="restart"/>
            <w:shd w:val="clear" w:color="auto" w:fill="auto"/>
            <w:noWrap w:val="0"/>
            <w:vAlign w:val="center"/>
          </w:tcPr>
          <w:p>
            <w:pPr>
              <w:spacing w:line="260" w:lineRule="exact"/>
              <w:ind w:right="-78" w:rightChars="-37"/>
              <w:jc w:val="center"/>
              <w:rPr>
                <w:snapToGrid w:val="0"/>
                <w:kern w:val="0"/>
                <w:szCs w:val="21"/>
              </w:rPr>
            </w:pPr>
            <w:r>
              <w:rPr>
                <w:rFonts w:hint="eastAsia"/>
                <w:snapToGrid w:val="0"/>
                <w:kern w:val="0"/>
                <w:szCs w:val="21"/>
              </w:rPr>
              <w:t>各项管理服务分项工作的流程与标准，具体实施计划与方案</w:t>
            </w:r>
          </w:p>
        </w:tc>
        <w:tc>
          <w:tcPr>
            <w:tcW w:w="709" w:type="dxa"/>
            <w:vMerge w:val="restart"/>
            <w:shd w:val="clear" w:color="auto" w:fill="auto"/>
            <w:noWrap w:val="0"/>
            <w:vAlign w:val="center"/>
          </w:tcPr>
          <w:p>
            <w:pPr>
              <w:adjustRightInd w:val="0"/>
              <w:snapToGrid w:val="0"/>
              <w:spacing w:line="300" w:lineRule="exact"/>
              <w:jc w:val="center"/>
              <w:rPr>
                <w:rFonts w:hint="eastAsia"/>
                <w:snapToGrid w:val="0"/>
                <w:kern w:val="0"/>
                <w:szCs w:val="21"/>
              </w:rPr>
            </w:pPr>
            <w:r>
              <w:rPr>
                <w:rFonts w:hint="eastAsia"/>
                <w:snapToGrid w:val="0"/>
                <w:kern w:val="0"/>
                <w:szCs w:val="21"/>
              </w:rPr>
              <w:t>6</w:t>
            </w:r>
          </w:p>
        </w:tc>
        <w:tc>
          <w:tcPr>
            <w:tcW w:w="6072" w:type="dxa"/>
            <w:shd w:val="clear" w:color="auto" w:fill="auto"/>
            <w:noWrap w:val="0"/>
            <w:vAlign w:val="center"/>
          </w:tcPr>
          <w:p>
            <w:pPr>
              <w:adjustRightInd w:val="0"/>
              <w:snapToGrid w:val="0"/>
              <w:spacing w:line="300" w:lineRule="exact"/>
              <w:rPr>
                <w:snapToGrid w:val="0"/>
                <w:kern w:val="0"/>
                <w:szCs w:val="21"/>
              </w:rPr>
            </w:pPr>
            <w:r>
              <w:rPr>
                <w:snapToGrid w:val="0"/>
                <w:kern w:val="0"/>
                <w:szCs w:val="21"/>
              </w:rPr>
              <w:t>管理服务模式、工作流程及落实措施</w:t>
            </w:r>
            <w:r>
              <w:rPr>
                <w:rFonts w:hint="eastAsia"/>
                <w:snapToGrid w:val="0"/>
                <w:kern w:val="0"/>
                <w:szCs w:val="21"/>
              </w:rPr>
              <w:t>，根据科学性、合理性及有效性评分，</w:t>
            </w:r>
            <w:r>
              <w:rPr>
                <w:snapToGrid w:val="0"/>
                <w:kern w:val="0"/>
                <w:szCs w:val="21"/>
              </w:rPr>
              <w:t>0-</w:t>
            </w:r>
            <w:r>
              <w:rPr>
                <w:rFonts w:hint="eastAsia"/>
                <w:snapToGrid w:val="0"/>
                <w:kern w:val="0"/>
                <w:szCs w:val="21"/>
              </w:rPr>
              <w:t>2</w:t>
            </w:r>
            <w:r>
              <w:rPr>
                <w:snapToGrid w:val="0"/>
                <w:kern w:val="0"/>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35" w:hRule="atLeast"/>
        </w:trPr>
        <w:tc>
          <w:tcPr>
            <w:tcW w:w="709" w:type="dxa"/>
            <w:vMerge w:val="continue"/>
            <w:shd w:val="clear" w:color="auto" w:fill="auto"/>
            <w:noWrap w:val="0"/>
            <w:vAlign w:val="center"/>
          </w:tcPr>
          <w:p>
            <w:pPr>
              <w:spacing w:line="260" w:lineRule="exact"/>
              <w:ind w:right="-78" w:rightChars="-37"/>
              <w:jc w:val="center"/>
              <w:rPr>
                <w:rFonts w:hint="eastAsia"/>
                <w:szCs w:val="21"/>
              </w:rPr>
            </w:pPr>
          </w:p>
        </w:tc>
        <w:tc>
          <w:tcPr>
            <w:tcW w:w="1412" w:type="dxa"/>
            <w:vMerge w:val="continue"/>
            <w:shd w:val="clear" w:color="auto" w:fill="auto"/>
            <w:noWrap w:val="0"/>
            <w:vAlign w:val="center"/>
          </w:tcPr>
          <w:p>
            <w:pPr>
              <w:spacing w:line="260" w:lineRule="exact"/>
              <w:ind w:right="-78" w:rightChars="-37"/>
              <w:jc w:val="center"/>
              <w:rPr>
                <w:snapToGrid w:val="0"/>
                <w:kern w:val="0"/>
                <w:szCs w:val="21"/>
              </w:rPr>
            </w:pPr>
          </w:p>
        </w:tc>
        <w:tc>
          <w:tcPr>
            <w:tcW w:w="709" w:type="dxa"/>
            <w:vMerge w:val="continue"/>
            <w:shd w:val="clear" w:color="auto" w:fill="auto"/>
            <w:noWrap w:val="0"/>
            <w:vAlign w:val="center"/>
          </w:tcPr>
          <w:p>
            <w:pPr>
              <w:adjustRightInd w:val="0"/>
              <w:snapToGrid w:val="0"/>
              <w:spacing w:line="300" w:lineRule="exact"/>
              <w:jc w:val="center"/>
              <w:rPr>
                <w:rFonts w:hint="eastAsia"/>
                <w:snapToGrid w:val="0"/>
                <w:kern w:val="0"/>
                <w:szCs w:val="21"/>
              </w:rPr>
            </w:pPr>
          </w:p>
        </w:tc>
        <w:tc>
          <w:tcPr>
            <w:tcW w:w="6072" w:type="dxa"/>
            <w:shd w:val="clear" w:color="auto" w:fill="auto"/>
            <w:noWrap w:val="0"/>
            <w:vAlign w:val="center"/>
          </w:tcPr>
          <w:p>
            <w:pPr>
              <w:adjustRightInd w:val="0"/>
              <w:snapToGrid w:val="0"/>
              <w:spacing w:line="300" w:lineRule="exact"/>
              <w:rPr>
                <w:rFonts w:hint="eastAsia"/>
                <w:snapToGrid w:val="0"/>
                <w:kern w:val="0"/>
                <w:szCs w:val="21"/>
              </w:rPr>
            </w:pPr>
            <w:r>
              <w:rPr>
                <w:snapToGrid w:val="0"/>
                <w:kern w:val="0"/>
                <w:szCs w:val="21"/>
              </w:rPr>
              <w:t>各项管理服务标准及落实措施</w:t>
            </w:r>
            <w:r>
              <w:rPr>
                <w:rFonts w:hint="eastAsia"/>
                <w:snapToGrid w:val="0"/>
                <w:kern w:val="0"/>
                <w:szCs w:val="21"/>
              </w:rPr>
              <w:t>，根据标准、措施的科学性和有效性评分，</w:t>
            </w:r>
            <w:r>
              <w:rPr>
                <w:snapToGrid w:val="0"/>
                <w:kern w:val="0"/>
                <w:szCs w:val="21"/>
              </w:rPr>
              <w:t xml:space="preserve"> 0-</w:t>
            </w:r>
            <w:r>
              <w:rPr>
                <w:rFonts w:hint="eastAsia"/>
                <w:snapToGrid w:val="0"/>
                <w:kern w:val="0"/>
                <w:szCs w:val="21"/>
              </w:rPr>
              <w:t>2</w:t>
            </w:r>
            <w:r>
              <w:rPr>
                <w:snapToGrid w:val="0"/>
                <w:kern w:val="0"/>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35" w:hRule="atLeast"/>
        </w:trPr>
        <w:tc>
          <w:tcPr>
            <w:tcW w:w="709" w:type="dxa"/>
            <w:vMerge w:val="continue"/>
            <w:shd w:val="clear" w:color="auto" w:fill="auto"/>
            <w:noWrap w:val="0"/>
            <w:vAlign w:val="center"/>
          </w:tcPr>
          <w:p>
            <w:pPr>
              <w:spacing w:line="260" w:lineRule="exact"/>
              <w:ind w:right="-78" w:rightChars="-37"/>
              <w:jc w:val="center"/>
              <w:rPr>
                <w:rFonts w:hint="eastAsia"/>
                <w:szCs w:val="21"/>
              </w:rPr>
            </w:pPr>
          </w:p>
        </w:tc>
        <w:tc>
          <w:tcPr>
            <w:tcW w:w="1412" w:type="dxa"/>
            <w:vMerge w:val="continue"/>
            <w:shd w:val="clear" w:color="auto" w:fill="auto"/>
            <w:noWrap w:val="0"/>
            <w:vAlign w:val="center"/>
          </w:tcPr>
          <w:p>
            <w:pPr>
              <w:spacing w:line="260" w:lineRule="exact"/>
              <w:ind w:right="-78" w:rightChars="-37"/>
              <w:jc w:val="center"/>
              <w:rPr>
                <w:snapToGrid w:val="0"/>
                <w:kern w:val="0"/>
                <w:szCs w:val="21"/>
              </w:rPr>
            </w:pPr>
          </w:p>
        </w:tc>
        <w:tc>
          <w:tcPr>
            <w:tcW w:w="709" w:type="dxa"/>
            <w:vMerge w:val="continue"/>
            <w:shd w:val="clear" w:color="auto" w:fill="auto"/>
            <w:noWrap w:val="0"/>
            <w:vAlign w:val="center"/>
          </w:tcPr>
          <w:p>
            <w:pPr>
              <w:adjustRightInd w:val="0"/>
              <w:snapToGrid w:val="0"/>
              <w:spacing w:line="300" w:lineRule="exact"/>
              <w:jc w:val="center"/>
              <w:rPr>
                <w:rFonts w:hint="eastAsia"/>
                <w:snapToGrid w:val="0"/>
                <w:kern w:val="0"/>
                <w:szCs w:val="21"/>
              </w:rPr>
            </w:pPr>
          </w:p>
        </w:tc>
        <w:tc>
          <w:tcPr>
            <w:tcW w:w="6072" w:type="dxa"/>
            <w:shd w:val="clear" w:color="auto" w:fill="auto"/>
            <w:noWrap w:val="0"/>
            <w:vAlign w:val="center"/>
          </w:tcPr>
          <w:p>
            <w:pPr>
              <w:adjustRightInd w:val="0"/>
              <w:snapToGrid w:val="0"/>
              <w:spacing w:line="300" w:lineRule="exact"/>
              <w:rPr>
                <w:snapToGrid w:val="0"/>
                <w:kern w:val="0"/>
                <w:szCs w:val="21"/>
              </w:rPr>
            </w:pPr>
            <w:r>
              <w:rPr>
                <w:snapToGrid w:val="0"/>
                <w:kern w:val="0"/>
                <w:szCs w:val="21"/>
              </w:rPr>
              <w:t>防止交叉感染和消毒隔离制度和落实措施</w:t>
            </w:r>
            <w:r>
              <w:rPr>
                <w:rFonts w:hint="eastAsia"/>
                <w:snapToGrid w:val="0"/>
                <w:kern w:val="0"/>
                <w:szCs w:val="21"/>
              </w:rPr>
              <w:t>，根据制度的科学性和有效性评分，</w:t>
            </w:r>
            <w:r>
              <w:rPr>
                <w:snapToGrid w:val="0"/>
                <w:kern w:val="0"/>
                <w:szCs w:val="21"/>
              </w:rPr>
              <w:t>（0-</w:t>
            </w:r>
            <w:r>
              <w:rPr>
                <w:rFonts w:hint="eastAsia"/>
                <w:snapToGrid w:val="0"/>
                <w:kern w:val="0"/>
                <w:szCs w:val="21"/>
              </w:rPr>
              <w:t>2</w:t>
            </w:r>
            <w:r>
              <w:rPr>
                <w:snapToGrid w:val="0"/>
                <w:kern w:val="0"/>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0" w:hRule="atLeast"/>
        </w:trPr>
        <w:tc>
          <w:tcPr>
            <w:tcW w:w="709" w:type="dxa"/>
            <w:vMerge w:val="restart"/>
            <w:shd w:val="clear" w:color="auto" w:fill="auto"/>
            <w:noWrap w:val="0"/>
            <w:vAlign w:val="center"/>
          </w:tcPr>
          <w:p>
            <w:pPr>
              <w:spacing w:line="260" w:lineRule="exact"/>
              <w:ind w:right="-78" w:rightChars="-37"/>
              <w:jc w:val="center"/>
              <w:rPr>
                <w:szCs w:val="21"/>
              </w:rPr>
            </w:pPr>
            <w:r>
              <w:rPr>
                <w:rFonts w:hint="eastAsia"/>
                <w:szCs w:val="21"/>
              </w:rPr>
              <w:t>12</w:t>
            </w:r>
          </w:p>
        </w:tc>
        <w:tc>
          <w:tcPr>
            <w:tcW w:w="1412" w:type="dxa"/>
            <w:vMerge w:val="restart"/>
            <w:shd w:val="clear" w:color="auto" w:fill="auto"/>
            <w:noWrap w:val="0"/>
            <w:vAlign w:val="center"/>
          </w:tcPr>
          <w:p>
            <w:pPr>
              <w:spacing w:line="260" w:lineRule="exact"/>
              <w:ind w:right="-78" w:rightChars="-37"/>
              <w:jc w:val="center"/>
              <w:rPr>
                <w:szCs w:val="21"/>
              </w:rPr>
            </w:pPr>
            <w:r>
              <w:rPr>
                <w:snapToGrid w:val="0"/>
                <w:kern w:val="0"/>
                <w:szCs w:val="21"/>
              </w:rPr>
              <w:t>员工队伍建设</w:t>
            </w:r>
          </w:p>
        </w:tc>
        <w:tc>
          <w:tcPr>
            <w:tcW w:w="709" w:type="dxa"/>
            <w:vMerge w:val="restart"/>
            <w:shd w:val="clear" w:color="auto" w:fill="auto"/>
            <w:noWrap w:val="0"/>
            <w:vAlign w:val="center"/>
          </w:tcPr>
          <w:p>
            <w:pPr>
              <w:adjustRightInd w:val="0"/>
              <w:snapToGrid w:val="0"/>
              <w:spacing w:line="300" w:lineRule="exact"/>
              <w:jc w:val="center"/>
              <w:rPr>
                <w:snapToGrid w:val="0"/>
                <w:kern w:val="0"/>
                <w:szCs w:val="21"/>
              </w:rPr>
            </w:pPr>
            <w:r>
              <w:rPr>
                <w:rFonts w:hint="eastAsia"/>
                <w:snapToGrid w:val="0"/>
                <w:kern w:val="0"/>
                <w:szCs w:val="21"/>
              </w:rPr>
              <w:t>5</w:t>
            </w:r>
          </w:p>
        </w:tc>
        <w:tc>
          <w:tcPr>
            <w:tcW w:w="6072" w:type="dxa"/>
            <w:shd w:val="clear" w:color="auto" w:fill="auto"/>
            <w:noWrap w:val="0"/>
            <w:vAlign w:val="center"/>
          </w:tcPr>
          <w:p>
            <w:pPr>
              <w:adjustRightInd w:val="0"/>
              <w:snapToGrid w:val="0"/>
              <w:spacing w:line="300" w:lineRule="exact"/>
              <w:rPr>
                <w:szCs w:val="21"/>
              </w:rPr>
            </w:pPr>
            <w:r>
              <w:rPr>
                <w:snapToGrid w:val="0"/>
                <w:kern w:val="0"/>
                <w:szCs w:val="21"/>
              </w:rPr>
              <w:t>有计划的安全平稳交接</w:t>
            </w:r>
            <w:r>
              <w:rPr>
                <w:rFonts w:hint="eastAsia"/>
                <w:snapToGrid w:val="0"/>
                <w:kern w:val="0"/>
                <w:szCs w:val="21"/>
              </w:rPr>
              <w:t>方案：根据</w:t>
            </w:r>
            <w:r>
              <w:rPr>
                <w:snapToGrid w:val="0"/>
                <w:kern w:val="0"/>
                <w:szCs w:val="21"/>
              </w:rPr>
              <w:t>交接计划可操作性、科学有效性</w:t>
            </w:r>
            <w:r>
              <w:rPr>
                <w:rFonts w:hint="eastAsia"/>
                <w:snapToGrid w:val="0"/>
                <w:kern w:val="0"/>
                <w:szCs w:val="21"/>
              </w:rPr>
              <w:t>评分呢</w:t>
            </w:r>
            <w:r>
              <w:rPr>
                <w:snapToGrid w:val="0"/>
                <w:kern w:val="0"/>
                <w:szCs w:val="21"/>
              </w:rPr>
              <w:t>，0-</w:t>
            </w:r>
            <w:r>
              <w:rPr>
                <w:rFonts w:hint="eastAsia"/>
                <w:snapToGrid w:val="0"/>
                <w:kern w:val="0"/>
                <w:szCs w:val="21"/>
              </w:rPr>
              <w:t>2</w:t>
            </w:r>
            <w:r>
              <w:rPr>
                <w:snapToGrid w:val="0"/>
                <w:kern w:val="0"/>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0" w:hRule="atLeast"/>
        </w:trPr>
        <w:tc>
          <w:tcPr>
            <w:tcW w:w="709" w:type="dxa"/>
            <w:vMerge w:val="continue"/>
            <w:shd w:val="clear" w:color="auto" w:fill="auto"/>
            <w:noWrap w:val="0"/>
            <w:vAlign w:val="center"/>
          </w:tcPr>
          <w:p>
            <w:pPr>
              <w:spacing w:line="260" w:lineRule="exact"/>
              <w:ind w:right="-78" w:rightChars="-37"/>
              <w:jc w:val="center"/>
              <w:rPr>
                <w:rFonts w:hint="eastAsia"/>
                <w:szCs w:val="21"/>
              </w:rPr>
            </w:pPr>
          </w:p>
        </w:tc>
        <w:tc>
          <w:tcPr>
            <w:tcW w:w="1412" w:type="dxa"/>
            <w:vMerge w:val="continue"/>
            <w:shd w:val="clear" w:color="auto" w:fill="auto"/>
            <w:noWrap w:val="0"/>
            <w:vAlign w:val="center"/>
          </w:tcPr>
          <w:p>
            <w:pPr>
              <w:spacing w:line="260" w:lineRule="exact"/>
              <w:ind w:right="-78" w:rightChars="-37"/>
              <w:jc w:val="center"/>
              <w:rPr>
                <w:snapToGrid w:val="0"/>
                <w:kern w:val="0"/>
                <w:szCs w:val="21"/>
              </w:rPr>
            </w:pPr>
          </w:p>
        </w:tc>
        <w:tc>
          <w:tcPr>
            <w:tcW w:w="709" w:type="dxa"/>
            <w:vMerge w:val="continue"/>
            <w:shd w:val="clear" w:color="auto" w:fill="auto"/>
            <w:noWrap w:val="0"/>
            <w:vAlign w:val="center"/>
          </w:tcPr>
          <w:p>
            <w:pPr>
              <w:adjustRightInd w:val="0"/>
              <w:snapToGrid w:val="0"/>
              <w:spacing w:line="300" w:lineRule="exact"/>
              <w:jc w:val="center"/>
              <w:rPr>
                <w:rFonts w:hint="eastAsia"/>
                <w:snapToGrid w:val="0"/>
                <w:kern w:val="0"/>
                <w:szCs w:val="21"/>
              </w:rPr>
            </w:pPr>
          </w:p>
        </w:tc>
        <w:tc>
          <w:tcPr>
            <w:tcW w:w="6072" w:type="dxa"/>
            <w:shd w:val="clear" w:color="auto" w:fill="auto"/>
            <w:noWrap w:val="0"/>
            <w:vAlign w:val="center"/>
          </w:tcPr>
          <w:p>
            <w:pPr>
              <w:adjustRightInd w:val="0"/>
              <w:snapToGrid w:val="0"/>
              <w:spacing w:line="300" w:lineRule="exact"/>
              <w:rPr>
                <w:rFonts w:hint="eastAsia"/>
                <w:snapToGrid w:val="0"/>
                <w:kern w:val="0"/>
                <w:szCs w:val="21"/>
              </w:rPr>
            </w:pPr>
            <w:r>
              <w:rPr>
                <w:snapToGrid w:val="0"/>
                <w:kern w:val="0"/>
                <w:szCs w:val="21"/>
              </w:rPr>
              <w:t>员工培训方案情况</w:t>
            </w:r>
            <w:r>
              <w:rPr>
                <w:rFonts w:hint="eastAsia"/>
                <w:snapToGrid w:val="0"/>
                <w:kern w:val="0"/>
                <w:szCs w:val="21"/>
              </w:rPr>
              <w:t>：根据</w:t>
            </w:r>
            <w:r>
              <w:rPr>
                <w:snapToGrid w:val="0"/>
                <w:kern w:val="0"/>
                <w:szCs w:val="21"/>
              </w:rPr>
              <w:t>交接计划可操作性、科学有效性</w:t>
            </w:r>
            <w:r>
              <w:rPr>
                <w:rFonts w:hint="eastAsia"/>
                <w:snapToGrid w:val="0"/>
                <w:kern w:val="0"/>
                <w:szCs w:val="21"/>
              </w:rPr>
              <w:t>评分</w:t>
            </w:r>
            <w:r>
              <w:rPr>
                <w:snapToGrid w:val="0"/>
                <w:kern w:val="0"/>
                <w:szCs w:val="21"/>
              </w:rPr>
              <w:t>，0-</w:t>
            </w:r>
            <w:r>
              <w:rPr>
                <w:rFonts w:hint="eastAsia"/>
                <w:snapToGrid w:val="0"/>
                <w:kern w:val="0"/>
                <w:szCs w:val="21"/>
              </w:rPr>
              <w:t>2</w:t>
            </w:r>
            <w:r>
              <w:rPr>
                <w:snapToGrid w:val="0"/>
                <w:kern w:val="0"/>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00" w:hRule="atLeast"/>
        </w:trPr>
        <w:tc>
          <w:tcPr>
            <w:tcW w:w="709" w:type="dxa"/>
            <w:vMerge w:val="continue"/>
            <w:shd w:val="clear" w:color="auto" w:fill="auto"/>
            <w:noWrap w:val="0"/>
            <w:vAlign w:val="center"/>
          </w:tcPr>
          <w:p>
            <w:pPr>
              <w:spacing w:line="260" w:lineRule="exact"/>
              <w:ind w:right="-78" w:rightChars="-37"/>
              <w:jc w:val="center"/>
              <w:rPr>
                <w:rFonts w:hint="eastAsia"/>
                <w:szCs w:val="21"/>
              </w:rPr>
            </w:pPr>
          </w:p>
        </w:tc>
        <w:tc>
          <w:tcPr>
            <w:tcW w:w="1412" w:type="dxa"/>
            <w:vMerge w:val="continue"/>
            <w:shd w:val="clear" w:color="auto" w:fill="auto"/>
            <w:noWrap w:val="0"/>
            <w:vAlign w:val="center"/>
          </w:tcPr>
          <w:p>
            <w:pPr>
              <w:spacing w:line="260" w:lineRule="exact"/>
              <w:ind w:right="-78" w:rightChars="-37"/>
              <w:jc w:val="center"/>
              <w:rPr>
                <w:snapToGrid w:val="0"/>
                <w:kern w:val="0"/>
                <w:szCs w:val="21"/>
              </w:rPr>
            </w:pPr>
          </w:p>
        </w:tc>
        <w:tc>
          <w:tcPr>
            <w:tcW w:w="709" w:type="dxa"/>
            <w:vMerge w:val="continue"/>
            <w:shd w:val="clear" w:color="auto" w:fill="auto"/>
            <w:noWrap w:val="0"/>
            <w:vAlign w:val="center"/>
          </w:tcPr>
          <w:p>
            <w:pPr>
              <w:adjustRightInd w:val="0"/>
              <w:snapToGrid w:val="0"/>
              <w:spacing w:line="300" w:lineRule="exact"/>
              <w:jc w:val="center"/>
              <w:rPr>
                <w:rFonts w:hint="eastAsia"/>
                <w:snapToGrid w:val="0"/>
                <w:kern w:val="0"/>
                <w:szCs w:val="21"/>
              </w:rPr>
            </w:pPr>
          </w:p>
        </w:tc>
        <w:tc>
          <w:tcPr>
            <w:tcW w:w="6072" w:type="dxa"/>
            <w:shd w:val="clear" w:color="auto" w:fill="auto"/>
            <w:noWrap w:val="0"/>
            <w:vAlign w:val="center"/>
          </w:tcPr>
          <w:p>
            <w:pPr>
              <w:adjustRightInd w:val="0"/>
              <w:snapToGrid w:val="0"/>
              <w:spacing w:line="300" w:lineRule="exact"/>
              <w:rPr>
                <w:rFonts w:hint="eastAsia"/>
                <w:snapToGrid w:val="0"/>
                <w:kern w:val="0"/>
                <w:szCs w:val="21"/>
              </w:rPr>
            </w:pPr>
            <w:r>
              <w:rPr>
                <w:snapToGrid w:val="0"/>
                <w:kern w:val="0"/>
                <w:szCs w:val="21"/>
              </w:rPr>
              <w:t>员工稳定承诺、人员流失率承诺及有关措施的有效性</w:t>
            </w:r>
            <w:r>
              <w:rPr>
                <w:rFonts w:hint="eastAsia"/>
                <w:snapToGrid w:val="0"/>
                <w:kern w:val="0"/>
                <w:szCs w:val="21"/>
              </w:rPr>
              <w:t>：根据</w:t>
            </w:r>
            <w:r>
              <w:rPr>
                <w:snapToGrid w:val="0"/>
                <w:kern w:val="0"/>
                <w:szCs w:val="21"/>
              </w:rPr>
              <w:t>承诺及有效性</w:t>
            </w:r>
            <w:r>
              <w:rPr>
                <w:rFonts w:hint="eastAsia"/>
                <w:snapToGrid w:val="0"/>
                <w:kern w:val="0"/>
                <w:szCs w:val="21"/>
              </w:rPr>
              <w:t>评分</w:t>
            </w:r>
            <w:r>
              <w:rPr>
                <w:snapToGrid w:val="0"/>
                <w:kern w:val="0"/>
                <w:szCs w:val="21"/>
              </w:rPr>
              <w:t>，0-</w:t>
            </w:r>
            <w:r>
              <w:rPr>
                <w:rFonts w:hint="eastAsia"/>
                <w:snapToGrid w:val="0"/>
                <w:kern w:val="0"/>
                <w:szCs w:val="21"/>
              </w:rPr>
              <w:t>1</w:t>
            </w:r>
            <w:r>
              <w:rPr>
                <w:snapToGrid w:val="0"/>
                <w:kern w:val="0"/>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74" w:hRule="atLeast"/>
        </w:trPr>
        <w:tc>
          <w:tcPr>
            <w:tcW w:w="709" w:type="dxa"/>
            <w:shd w:val="clear" w:color="auto" w:fill="auto"/>
            <w:noWrap w:val="0"/>
            <w:vAlign w:val="center"/>
          </w:tcPr>
          <w:p>
            <w:pPr>
              <w:spacing w:line="260" w:lineRule="exact"/>
              <w:ind w:right="-78" w:rightChars="-37"/>
              <w:jc w:val="center"/>
              <w:rPr>
                <w:szCs w:val="21"/>
              </w:rPr>
            </w:pPr>
            <w:r>
              <w:rPr>
                <w:szCs w:val="21"/>
              </w:rPr>
              <w:t>1</w:t>
            </w:r>
            <w:r>
              <w:rPr>
                <w:rFonts w:hint="eastAsia"/>
                <w:szCs w:val="21"/>
              </w:rPr>
              <w:t>3</w:t>
            </w:r>
          </w:p>
        </w:tc>
        <w:tc>
          <w:tcPr>
            <w:tcW w:w="1412" w:type="dxa"/>
            <w:shd w:val="clear" w:color="auto" w:fill="auto"/>
            <w:noWrap w:val="0"/>
            <w:vAlign w:val="center"/>
          </w:tcPr>
          <w:p>
            <w:pPr>
              <w:adjustRightInd w:val="0"/>
              <w:snapToGrid w:val="0"/>
              <w:spacing w:line="300" w:lineRule="exact"/>
              <w:jc w:val="center"/>
              <w:rPr>
                <w:snapToGrid w:val="0"/>
                <w:kern w:val="0"/>
                <w:sz w:val="22"/>
                <w:szCs w:val="22"/>
              </w:rPr>
            </w:pPr>
            <w:r>
              <w:rPr>
                <w:snapToGrid w:val="0"/>
                <w:kern w:val="0"/>
                <w:sz w:val="22"/>
                <w:szCs w:val="22"/>
              </w:rPr>
              <w:t>突发事件应急处理措施</w:t>
            </w:r>
          </w:p>
        </w:tc>
        <w:tc>
          <w:tcPr>
            <w:tcW w:w="709" w:type="dxa"/>
            <w:shd w:val="clear" w:color="auto" w:fill="auto"/>
            <w:noWrap w:val="0"/>
            <w:vAlign w:val="center"/>
          </w:tcPr>
          <w:p>
            <w:pPr>
              <w:adjustRightInd w:val="0"/>
              <w:snapToGrid w:val="0"/>
              <w:spacing w:line="300" w:lineRule="exact"/>
              <w:jc w:val="center"/>
              <w:rPr>
                <w:snapToGrid w:val="0"/>
                <w:kern w:val="0"/>
                <w:szCs w:val="21"/>
              </w:rPr>
            </w:pPr>
            <w:r>
              <w:rPr>
                <w:rFonts w:hint="eastAsia"/>
                <w:snapToGrid w:val="0"/>
                <w:kern w:val="0"/>
                <w:szCs w:val="21"/>
              </w:rPr>
              <w:t>2</w:t>
            </w:r>
          </w:p>
        </w:tc>
        <w:tc>
          <w:tcPr>
            <w:tcW w:w="6072" w:type="dxa"/>
            <w:shd w:val="clear" w:color="auto" w:fill="auto"/>
            <w:noWrap w:val="0"/>
            <w:vAlign w:val="center"/>
          </w:tcPr>
          <w:p>
            <w:pPr>
              <w:adjustRightInd w:val="0"/>
              <w:snapToGrid w:val="0"/>
              <w:spacing w:line="300" w:lineRule="exact"/>
              <w:rPr>
                <w:snapToGrid w:val="0"/>
                <w:kern w:val="0"/>
                <w:sz w:val="22"/>
                <w:szCs w:val="22"/>
              </w:rPr>
            </w:pPr>
            <w:r>
              <w:rPr>
                <w:snapToGrid w:val="0"/>
                <w:kern w:val="0"/>
                <w:sz w:val="22"/>
                <w:szCs w:val="22"/>
              </w:rPr>
              <w:t>根据投标人针对本项目可能出现突发事件的应急预案的合理性评分</w:t>
            </w:r>
            <w:r>
              <w:rPr>
                <w:rFonts w:hint="eastAsia"/>
                <w:snapToGrid w:val="0"/>
                <w:kern w:val="0"/>
                <w:sz w:val="22"/>
                <w:szCs w:val="22"/>
              </w:rPr>
              <w:t>，</w:t>
            </w:r>
            <w:r>
              <w:rPr>
                <w:snapToGrid w:val="0"/>
                <w:kern w:val="0"/>
                <w:sz w:val="22"/>
                <w:szCs w:val="22"/>
              </w:rPr>
              <w:t>0-</w:t>
            </w:r>
            <w:r>
              <w:rPr>
                <w:rFonts w:hint="eastAsia"/>
                <w:snapToGrid w:val="0"/>
                <w:kern w:val="0"/>
                <w:sz w:val="22"/>
                <w:szCs w:val="22"/>
              </w:rPr>
              <w:t>2</w:t>
            </w:r>
            <w:r>
              <w:rPr>
                <w:snapToGrid w:val="0"/>
                <w:kern w:val="0"/>
                <w:sz w:val="22"/>
                <w:szCs w:val="2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78" w:hRule="atLeast"/>
        </w:trPr>
        <w:tc>
          <w:tcPr>
            <w:tcW w:w="709" w:type="dxa"/>
            <w:shd w:val="clear" w:color="auto" w:fill="auto"/>
            <w:noWrap w:val="0"/>
            <w:vAlign w:val="center"/>
          </w:tcPr>
          <w:p>
            <w:pPr>
              <w:spacing w:line="260" w:lineRule="exact"/>
              <w:ind w:right="-78" w:rightChars="-37"/>
              <w:jc w:val="center"/>
              <w:rPr>
                <w:szCs w:val="21"/>
              </w:rPr>
            </w:pPr>
            <w:r>
              <w:rPr>
                <w:szCs w:val="21"/>
              </w:rPr>
              <w:t>1</w:t>
            </w:r>
            <w:r>
              <w:rPr>
                <w:rFonts w:hint="eastAsia"/>
                <w:szCs w:val="21"/>
              </w:rPr>
              <w:t>4</w:t>
            </w:r>
          </w:p>
        </w:tc>
        <w:tc>
          <w:tcPr>
            <w:tcW w:w="1412" w:type="dxa"/>
            <w:shd w:val="clear" w:color="auto" w:fill="auto"/>
            <w:noWrap w:val="0"/>
            <w:vAlign w:val="center"/>
          </w:tcPr>
          <w:p>
            <w:pPr>
              <w:adjustRightInd w:val="0"/>
              <w:snapToGrid w:val="0"/>
              <w:spacing w:line="300" w:lineRule="exact"/>
              <w:jc w:val="center"/>
              <w:rPr>
                <w:snapToGrid w:val="0"/>
                <w:kern w:val="0"/>
                <w:sz w:val="22"/>
                <w:szCs w:val="22"/>
              </w:rPr>
            </w:pPr>
            <w:r>
              <w:rPr>
                <w:snapToGrid w:val="0"/>
                <w:kern w:val="0"/>
                <w:sz w:val="22"/>
                <w:szCs w:val="22"/>
              </w:rPr>
              <w:t>针对此项目合理化建议及优惠措施</w:t>
            </w:r>
          </w:p>
        </w:tc>
        <w:tc>
          <w:tcPr>
            <w:tcW w:w="709" w:type="dxa"/>
            <w:shd w:val="clear" w:color="auto" w:fill="auto"/>
            <w:noWrap w:val="0"/>
            <w:vAlign w:val="center"/>
          </w:tcPr>
          <w:p>
            <w:pPr>
              <w:adjustRightInd w:val="0"/>
              <w:snapToGrid w:val="0"/>
              <w:spacing w:line="300" w:lineRule="exact"/>
              <w:jc w:val="center"/>
              <w:rPr>
                <w:snapToGrid w:val="0"/>
                <w:kern w:val="0"/>
                <w:sz w:val="22"/>
                <w:szCs w:val="22"/>
              </w:rPr>
            </w:pPr>
            <w:r>
              <w:rPr>
                <w:rFonts w:hint="eastAsia"/>
                <w:snapToGrid w:val="0"/>
                <w:kern w:val="0"/>
                <w:sz w:val="22"/>
                <w:szCs w:val="22"/>
              </w:rPr>
              <w:t>2</w:t>
            </w:r>
          </w:p>
        </w:tc>
        <w:tc>
          <w:tcPr>
            <w:tcW w:w="6072" w:type="dxa"/>
            <w:shd w:val="clear" w:color="auto" w:fill="auto"/>
            <w:noWrap w:val="0"/>
            <w:vAlign w:val="center"/>
          </w:tcPr>
          <w:p>
            <w:pPr>
              <w:adjustRightInd w:val="0"/>
              <w:snapToGrid w:val="0"/>
              <w:spacing w:line="300" w:lineRule="exact"/>
              <w:rPr>
                <w:snapToGrid w:val="0"/>
                <w:kern w:val="0"/>
                <w:sz w:val="22"/>
                <w:szCs w:val="22"/>
              </w:rPr>
            </w:pPr>
            <w:r>
              <w:rPr>
                <w:snapToGrid w:val="0"/>
                <w:kern w:val="0"/>
                <w:sz w:val="22"/>
                <w:szCs w:val="22"/>
              </w:rPr>
              <w:t>针对本次采购项目是否给出实质性合理化建议及优惠措施</w:t>
            </w:r>
            <w:r>
              <w:rPr>
                <w:rFonts w:hint="eastAsia"/>
                <w:snapToGrid w:val="0"/>
                <w:kern w:val="0"/>
                <w:sz w:val="22"/>
                <w:szCs w:val="22"/>
              </w:rPr>
              <w:t>，</w:t>
            </w:r>
            <w:r>
              <w:rPr>
                <w:snapToGrid w:val="0"/>
                <w:kern w:val="0"/>
                <w:sz w:val="22"/>
                <w:szCs w:val="22"/>
              </w:rPr>
              <w:t xml:space="preserve"> 0-</w:t>
            </w:r>
            <w:r>
              <w:rPr>
                <w:rFonts w:hint="eastAsia"/>
                <w:snapToGrid w:val="0"/>
                <w:kern w:val="0"/>
                <w:sz w:val="22"/>
                <w:szCs w:val="22"/>
              </w:rPr>
              <w:t>2</w:t>
            </w:r>
            <w:r>
              <w:rPr>
                <w:snapToGrid w:val="0"/>
                <w:kern w:val="0"/>
                <w:sz w:val="22"/>
                <w:szCs w:val="22"/>
              </w:rPr>
              <w:t>分。</w:t>
            </w:r>
          </w:p>
        </w:tc>
      </w:tr>
    </w:tbl>
    <w:p>
      <w:pPr>
        <w:spacing w:before="120" w:beforeLines="50" w:after="120" w:afterLines="50"/>
        <w:ind w:firstLine="457" w:firstLineChars="196"/>
        <w:rPr>
          <w:b/>
          <w:spacing w:val="-4"/>
          <w:sz w:val="24"/>
          <w:szCs w:val="20"/>
        </w:rPr>
      </w:pPr>
    </w:p>
    <w:p>
      <w:pPr>
        <w:spacing w:before="120" w:beforeLines="50" w:after="120" w:afterLines="50"/>
        <w:ind w:firstLine="457" w:firstLineChars="196"/>
        <w:rPr>
          <w:b/>
          <w:bCs/>
          <w:spacing w:val="-4"/>
          <w:sz w:val="24"/>
          <w:szCs w:val="20"/>
        </w:rPr>
      </w:pPr>
      <w:r>
        <w:rPr>
          <w:b/>
          <w:spacing w:val="-4"/>
          <w:sz w:val="24"/>
          <w:szCs w:val="20"/>
        </w:rPr>
        <w:t>2、</w:t>
      </w:r>
      <w:r>
        <w:rPr>
          <w:b/>
          <w:bCs/>
          <w:spacing w:val="-4"/>
          <w:sz w:val="24"/>
          <w:szCs w:val="20"/>
        </w:rPr>
        <w:t>价格分（0-</w:t>
      </w:r>
      <w:r>
        <w:rPr>
          <w:rFonts w:hint="eastAsia"/>
          <w:b/>
          <w:bCs/>
          <w:spacing w:val="-4"/>
          <w:sz w:val="24"/>
          <w:szCs w:val="20"/>
        </w:rPr>
        <w:t>30</w:t>
      </w:r>
      <w:r>
        <w:rPr>
          <w:b/>
          <w:bCs/>
          <w:spacing w:val="-4"/>
          <w:sz w:val="24"/>
          <w:szCs w:val="20"/>
        </w:rPr>
        <w:t>分）</w:t>
      </w:r>
    </w:p>
    <w:p>
      <w:pPr>
        <w:spacing w:before="120" w:beforeLines="50" w:after="120" w:afterLines="50" w:line="360" w:lineRule="auto"/>
        <w:ind w:firstLine="464" w:firstLineChars="200"/>
        <w:rPr>
          <w:bCs/>
          <w:spacing w:val="-4"/>
          <w:sz w:val="24"/>
        </w:rPr>
      </w:pPr>
      <w:r>
        <w:rPr>
          <w:bCs/>
          <w:spacing w:val="-4"/>
          <w:sz w:val="24"/>
          <w:szCs w:val="20"/>
        </w:rPr>
        <w:t>价格分</w:t>
      </w:r>
      <w:r>
        <w:rPr>
          <w:bCs/>
          <w:spacing w:val="-4"/>
          <w:sz w:val="24"/>
        </w:rPr>
        <w:t>采用低价优先法计算，即满足招标文件要求且投标报价最低的投标报价为评标基准价，其得分为满分</w:t>
      </w:r>
      <w:r>
        <w:rPr>
          <w:rFonts w:hint="eastAsia"/>
          <w:bCs/>
          <w:spacing w:val="-4"/>
          <w:sz w:val="24"/>
        </w:rPr>
        <w:t>30</w:t>
      </w:r>
      <w:r>
        <w:rPr>
          <w:bCs/>
          <w:spacing w:val="-4"/>
          <w:sz w:val="24"/>
        </w:rPr>
        <w:t>分。其他投标人的价格分按照下列公式计算：</w:t>
      </w:r>
    </w:p>
    <w:p>
      <w:pPr>
        <w:spacing w:before="120" w:beforeLines="50" w:after="120" w:afterLines="50" w:line="360" w:lineRule="auto"/>
        <w:ind w:firstLine="480" w:firstLineChars="200"/>
        <w:rPr>
          <w:sz w:val="24"/>
        </w:rPr>
      </w:pPr>
      <w:r>
        <w:rPr>
          <w:sz w:val="24"/>
        </w:rPr>
        <w:t>价格分=（评标基准价/</w:t>
      </w:r>
      <w:r>
        <w:rPr>
          <w:bCs/>
          <w:spacing w:val="-4"/>
          <w:sz w:val="24"/>
        </w:rPr>
        <w:t>投标报价</w:t>
      </w:r>
      <w:r>
        <w:rPr>
          <w:sz w:val="24"/>
        </w:rPr>
        <w:t>）×</w:t>
      </w:r>
      <w:r>
        <w:rPr>
          <w:rFonts w:hint="eastAsia"/>
          <w:sz w:val="24"/>
        </w:rPr>
        <w:t>30</w:t>
      </w:r>
      <w:r>
        <w:rPr>
          <w:sz w:val="24"/>
        </w:rPr>
        <w:t>%×100</w:t>
      </w:r>
    </w:p>
    <w:p>
      <w:pPr>
        <w:adjustRightInd w:val="0"/>
        <w:spacing w:before="100" w:after="50" w:line="360" w:lineRule="auto"/>
        <w:ind w:firstLine="480" w:firstLineChars="200"/>
        <w:rPr>
          <w:bCs/>
          <w:kern w:val="0"/>
          <w:szCs w:val="21"/>
        </w:rPr>
      </w:pPr>
      <w:r>
        <w:rPr>
          <w:bCs/>
          <w:sz w:val="24"/>
        </w:rPr>
        <w:t>3、</w:t>
      </w:r>
      <w:r>
        <w:rPr>
          <w:sz w:val="24"/>
        </w:rPr>
        <w:t>投标人的综合得分为以上商务技术分及价格分之和。</w:t>
      </w:r>
    </w:p>
    <w:p>
      <w:pPr>
        <w:spacing w:before="120" w:beforeLines="50" w:after="120" w:afterLines="50" w:line="360" w:lineRule="auto"/>
        <w:ind w:firstLine="480" w:firstLineChars="200"/>
        <w:rPr>
          <w:sz w:val="24"/>
        </w:rPr>
      </w:pPr>
    </w:p>
    <w:p>
      <w:pPr>
        <w:snapToGrid w:val="0"/>
        <w:spacing w:line="360" w:lineRule="auto"/>
        <w:jc w:val="center"/>
        <w:outlineLvl w:val="0"/>
        <w:rPr>
          <w:sz w:val="24"/>
        </w:rPr>
        <w:sectPr>
          <w:footerReference r:id="rId7" w:type="default"/>
          <w:footerReference r:id="rId8" w:type="even"/>
          <w:pgSz w:w="11906" w:h="16838"/>
          <w:pgMar w:top="1588" w:right="1588" w:bottom="1588" w:left="1588" w:header="851" w:footer="992" w:gutter="0"/>
          <w:pgNumType w:start="1"/>
          <w:cols w:space="720" w:num="1"/>
          <w:docGrid w:linePitch="602" w:charSpace="-1675"/>
        </w:sectPr>
      </w:pPr>
    </w:p>
    <w:p>
      <w:pPr>
        <w:snapToGrid w:val="0"/>
        <w:spacing w:line="360" w:lineRule="auto"/>
        <w:jc w:val="center"/>
        <w:outlineLvl w:val="0"/>
        <w:rPr>
          <w:sz w:val="30"/>
          <w:szCs w:val="30"/>
        </w:rPr>
      </w:pPr>
      <w:bookmarkStart w:id="24" w:name="_Toc18854414"/>
      <w:r>
        <w:rPr>
          <w:b/>
          <w:sz w:val="30"/>
          <w:szCs w:val="30"/>
        </w:rPr>
        <w:t>第四章</w:t>
      </w:r>
      <w:r>
        <w:rPr>
          <w:sz w:val="30"/>
          <w:szCs w:val="30"/>
        </w:rPr>
        <w:t xml:space="preserve">  </w:t>
      </w:r>
      <w:r>
        <w:rPr>
          <w:b/>
          <w:sz w:val="30"/>
        </w:rPr>
        <w:t>招标内容及需求</w:t>
      </w:r>
      <w:bookmarkEnd w:id="24"/>
    </w:p>
    <w:p>
      <w:pPr>
        <w:spacing w:line="360" w:lineRule="auto"/>
        <w:jc w:val="center"/>
        <w:outlineLvl w:val="1"/>
        <w:rPr>
          <w:sz w:val="32"/>
          <w:szCs w:val="32"/>
        </w:rPr>
      </w:pPr>
      <w:bookmarkStart w:id="25" w:name="_Toc18854415"/>
      <w:r>
        <w:rPr>
          <w:sz w:val="32"/>
          <w:szCs w:val="32"/>
        </w:rPr>
        <w:t>I、项目整体介绍</w:t>
      </w:r>
      <w:bookmarkEnd w:id="25"/>
    </w:p>
    <w:p>
      <w:pPr>
        <w:spacing w:line="360" w:lineRule="auto"/>
        <w:rPr>
          <w:sz w:val="24"/>
        </w:rPr>
      </w:pPr>
      <w:r>
        <w:rPr>
          <w:b/>
          <w:sz w:val="24"/>
        </w:rPr>
        <w:t>招标单位介绍：</w:t>
      </w:r>
      <w:r>
        <w:rPr>
          <w:sz w:val="24"/>
        </w:rPr>
        <w:t>（1）温州医科大学附属眼视光医院是浙江省级三甲眼科专科医院，为省属事业单位法人</w:t>
      </w:r>
      <w:r>
        <w:rPr>
          <w:rFonts w:hint="eastAsia"/>
          <w:sz w:val="24"/>
        </w:rPr>
        <w:t>，本次招标范围温州医科大学附属眼视光医院杭州院区</w:t>
      </w:r>
      <w:r>
        <w:rPr>
          <w:sz w:val="24"/>
        </w:rPr>
        <w:t>；（2）</w:t>
      </w:r>
      <w:r>
        <w:rPr>
          <w:rFonts w:hint="eastAsia"/>
          <w:sz w:val="24"/>
        </w:rPr>
        <w:t>杭州眼视光科技有限公司是温州医科大学附属眼视光医院全资设立的独立法人有限责任公司。</w:t>
      </w:r>
    </w:p>
    <w:p>
      <w:pPr>
        <w:spacing w:line="360" w:lineRule="auto"/>
        <w:rPr>
          <w:sz w:val="24"/>
        </w:rPr>
      </w:pPr>
      <w:r>
        <w:rPr>
          <w:b/>
          <w:sz w:val="24"/>
        </w:rPr>
        <w:t>服务期限：</w:t>
      </w:r>
      <w:r>
        <w:rPr>
          <w:rFonts w:hint="eastAsia"/>
          <w:sz w:val="24"/>
        </w:rPr>
        <w:t>本次招标的服务期限为二</w:t>
      </w:r>
      <w:r>
        <w:rPr>
          <w:sz w:val="24"/>
        </w:rPr>
        <w:t>年，</w:t>
      </w:r>
      <w:r>
        <w:rPr>
          <w:rFonts w:hint="eastAsia"/>
          <w:sz w:val="24"/>
        </w:rPr>
        <w:t>24</w:t>
      </w:r>
      <w:r>
        <w:rPr>
          <w:sz w:val="24"/>
        </w:rPr>
        <w:t>个月。</w:t>
      </w:r>
      <w:r>
        <w:rPr>
          <w:rFonts w:hint="eastAsia"/>
          <w:sz w:val="24"/>
        </w:rPr>
        <w:t>根据《浙江省政府购买服务采购管理暂行办法》（浙财采监〔2014〕28号）第十二条的规定，中标单位服务期满并通过验收，绩效评价好、服务对象满意度高的，在年度预算能够保障的前提下，采购单位可以根据原采购合同的约定续签合同，续签的单次合同期限一般不得长于原采购的合同期限，且续签次数最多不超过2次。</w:t>
      </w:r>
    </w:p>
    <w:p>
      <w:pPr>
        <w:spacing w:line="360" w:lineRule="auto"/>
        <w:rPr>
          <w:sz w:val="24"/>
        </w:rPr>
      </w:pPr>
      <w:r>
        <w:rPr>
          <w:b/>
          <w:sz w:val="24"/>
        </w:rPr>
        <w:t>服务范围：</w:t>
      </w:r>
      <w:r>
        <w:rPr>
          <w:rFonts w:hint="eastAsia"/>
          <w:sz w:val="24"/>
        </w:rPr>
        <w:t>温州医科大学附属眼视光医院（杭州院区）及其外围、杭州眼视光科技有限公司</w:t>
      </w:r>
    </w:p>
    <w:p>
      <w:pPr>
        <w:spacing w:line="360" w:lineRule="auto"/>
        <w:rPr>
          <w:sz w:val="24"/>
        </w:rPr>
      </w:pPr>
      <w:r>
        <w:rPr>
          <w:b/>
          <w:sz w:val="24"/>
        </w:rPr>
        <w:t>招标方式：</w:t>
      </w:r>
      <w:r>
        <w:rPr>
          <w:rFonts w:hint="eastAsia"/>
          <w:sz w:val="24"/>
        </w:rPr>
        <w:t>为两家单位组成联合体进行公开招标，一次性报总价，并按单位分项报价。</w:t>
      </w:r>
    </w:p>
    <w:p>
      <w:pPr>
        <w:spacing w:line="360" w:lineRule="auto"/>
        <w:rPr>
          <w:sz w:val="28"/>
          <w:szCs w:val="28"/>
        </w:rPr>
      </w:pPr>
      <w:r>
        <w:rPr>
          <w:b/>
          <w:sz w:val="24"/>
        </w:rPr>
        <w:t>费用支付方式</w:t>
      </w:r>
      <w:r>
        <w:rPr>
          <w:sz w:val="24"/>
        </w:rPr>
        <w:t>：</w:t>
      </w:r>
      <w:r>
        <w:rPr>
          <w:rFonts w:hint="eastAsia"/>
          <w:sz w:val="24"/>
        </w:rPr>
        <w:t>两</w:t>
      </w:r>
      <w:r>
        <w:rPr>
          <w:sz w:val="24"/>
        </w:rPr>
        <w:t>家单位按每月实际服务人数分别进行月结。</w:t>
      </w:r>
    </w:p>
    <w:p>
      <w:pPr>
        <w:jc w:val="center"/>
        <w:outlineLvl w:val="1"/>
        <w:rPr>
          <w:sz w:val="32"/>
          <w:szCs w:val="32"/>
        </w:rPr>
      </w:pPr>
      <w:r>
        <w:rPr>
          <w:sz w:val="44"/>
          <w:szCs w:val="44"/>
        </w:rPr>
        <w:br w:type="page"/>
      </w:r>
      <w:bookmarkStart w:id="26" w:name="_Toc18854416"/>
      <w:r>
        <w:rPr>
          <w:sz w:val="32"/>
          <w:szCs w:val="32"/>
        </w:rPr>
        <w:t>II、人员需求情况</w:t>
      </w:r>
      <w:bookmarkEnd w:id="26"/>
    </w:p>
    <w:p>
      <w:pPr>
        <w:numPr>
          <w:ilvl w:val="0"/>
          <w:numId w:val="6"/>
        </w:numPr>
        <w:spacing w:before="120" w:beforeLines="50" w:line="360" w:lineRule="auto"/>
        <w:rPr>
          <w:b/>
          <w:sz w:val="28"/>
        </w:rPr>
      </w:pPr>
      <w:r>
        <w:rPr>
          <w:b/>
          <w:sz w:val="28"/>
        </w:rPr>
        <w:t>人员需求一览表：</w:t>
      </w:r>
    </w:p>
    <w:p>
      <w:pPr>
        <w:spacing w:before="120" w:beforeLines="50" w:line="360" w:lineRule="auto"/>
        <w:rPr>
          <w:rFonts w:hint="eastAsia"/>
          <w:b/>
          <w:sz w:val="28"/>
        </w:rPr>
      </w:pPr>
      <w:r>
        <w:rPr>
          <w:rFonts w:hint="eastAsia"/>
          <w:b/>
          <w:sz w:val="28"/>
        </w:rPr>
        <w:t>温州医科大学附属眼视光医院杭州院区部分：</w:t>
      </w:r>
    </w:p>
    <w:p>
      <w:pPr>
        <w:spacing w:before="120" w:beforeLines="50" w:line="360" w:lineRule="auto"/>
        <w:rPr>
          <w:rFonts w:hint="eastAsia"/>
          <w:b/>
          <w:sz w:val="24"/>
        </w:rPr>
      </w:pPr>
      <w:r>
        <w:rPr>
          <w:rFonts w:hint="eastAsia"/>
          <w:b/>
          <w:sz w:val="24"/>
        </w:rPr>
        <w:t>温州医科大学附属眼视光医院杭州院区卫生保洁、运送人员配置需求表</w:t>
      </w:r>
    </w:p>
    <w:tbl>
      <w:tblPr>
        <w:tblStyle w:val="7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774"/>
        <w:gridCol w:w="1203"/>
        <w:gridCol w:w="656"/>
        <w:gridCol w:w="2268"/>
        <w:gridCol w:w="1543"/>
        <w:gridCol w:w="1276"/>
        <w:tblGridChange w:id="0">
          <w:tblGrid>
            <w:gridCol w:w="636"/>
            <w:gridCol w:w="1774"/>
            <w:gridCol w:w="1203"/>
            <w:gridCol w:w="656"/>
            <w:gridCol w:w="2268"/>
            <w:gridCol w:w="1543"/>
            <w:gridCol w:w="127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636" w:type="dxa"/>
            <w:shd w:val="clear" w:color="auto" w:fill="auto"/>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774" w:type="dxa"/>
            <w:shd w:val="clear" w:color="auto" w:fill="auto"/>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服务区域</w:t>
            </w:r>
          </w:p>
        </w:tc>
        <w:tc>
          <w:tcPr>
            <w:tcW w:w="1203" w:type="dxa"/>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岗位</w:t>
            </w:r>
          </w:p>
        </w:tc>
        <w:tc>
          <w:tcPr>
            <w:tcW w:w="656" w:type="dxa"/>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人数</w:t>
            </w:r>
          </w:p>
        </w:tc>
        <w:tc>
          <w:tcPr>
            <w:tcW w:w="2268" w:type="dxa"/>
            <w:shd w:val="clear" w:color="auto" w:fill="auto"/>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职责</w:t>
            </w:r>
          </w:p>
        </w:tc>
        <w:tc>
          <w:tcPr>
            <w:tcW w:w="1543" w:type="dxa"/>
            <w:shd w:val="clear" w:color="auto" w:fill="auto"/>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工作时间</w:t>
            </w:r>
          </w:p>
        </w:tc>
        <w:tc>
          <w:tcPr>
            <w:tcW w:w="1276" w:type="dxa"/>
            <w:shd w:val="clear" w:color="auto" w:fill="auto"/>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休息时间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636"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774"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二楼整个层面</w:t>
            </w:r>
          </w:p>
        </w:tc>
        <w:tc>
          <w:tcPr>
            <w:tcW w:w="1203"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配送兼保洁</w:t>
            </w:r>
          </w:p>
        </w:tc>
        <w:tc>
          <w:tcPr>
            <w:tcW w:w="656" w:type="dxa"/>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w:t>
            </w:r>
          </w:p>
        </w:tc>
        <w:tc>
          <w:tcPr>
            <w:tcW w:w="2268"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日常配送、保洁</w:t>
            </w:r>
          </w:p>
        </w:tc>
        <w:tc>
          <w:tcPr>
            <w:tcW w:w="1543"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07：00-17：00</w:t>
            </w:r>
          </w:p>
        </w:tc>
        <w:tc>
          <w:tcPr>
            <w:tcW w:w="1276"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单休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636"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774"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三楼整个层面</w:t>
            </w:r>
          </w:p>
        </w:tc>
        <w:tc>
          <w:tcPr>
            <w:tcW w:w="120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配送兼保洁</w:t>
            </w:r>
          </w:p>
        </w:tc>
        <w:tc>
          <w:tcPr>
            <w:tcW w:w="656"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268"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日常配送、保洁</w:t>
            </w:r>
          </w:p>
        </w:tc>
        <w:tc>
          <w:tcPr>
            <w:tcW w:w="1543"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07：00-17：00</w:t>
            </w:r>
          </w:p>
        </w:tc>
        <w:tc>
          <w:tcPr>
            <w:tcW w:w="1276"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636"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774" w:type="dxa"/>
            <w:vMerge w:val="restart"/>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四楼整个层面 </w:t>
            </w:r>
          </w:p>
        </w:tc>
        <w:tc>
          <w:tcPr>
            <w:tcW w:w="120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勤杂工</w:t>
            </w:r>
          </w:p>
        </w:tc>
        <w:tc>
          <w:tcPr>
            <w:tcW w:w="656"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268"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协助完成非医疗性质的护理等工作</w:t>
            </w:r>
          </w:p>
        </w:tc>
        <w:tc>
          <w:tcPr>
            <w:tcW w:w="1543"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07：00-17：00</w:t>
            </w:r>
          </w:p>
        </w:tc>
        <w:tc>
          <w:tcPr>
            <w:tcW w:w="1276"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636"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774" w:type="dxa"/>
            <w:vMerge w:val="continue"/>
            <w:shd w:val="clear" w:color="auto" w:fill="auto"/>
            <w:noWrap w:val="0"/>
            <w:vAlign w:val="center"/>
          </w:tcPr>
          <w:p>
            <w:pPr>
              <w:widowControl/>
              <w:jc w:val="left"/>
              <w:rPr>
                <w:rFonts w:ascii="宋体" w:hAnsi="宋体" w:cs="宋体"/>
                <w:color w:val="000000"/>
                <w:kern w:val="0"/>
                <w:szCs w:val="21"/>
              </w:rPr>
            </w:pPr>
          </w:p>
        </w:tc>
        <w:tc>
          <w:tcPr>
            <w:tcW w:w="120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配送员</w:t>
            </w:r>
          </w:p>
        </w:tc>
        <w:tc>
          <w:tcPr>
            <w:tcW w:w="656"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268"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日常配送、保洁</w:t>
            </w:r>
            <w:r>
              <w:rPr>
                <w:rFonts w:hint="eastAsia" w:ascii="宋体" w:hAnsi="宋体" w:cs="宋体"/>
                <w:color w:val="000000"/>
                <w:kern w:val="0"/>
                <w:szCs w:val="21"/>
              </w:rPr>
              <w:br w:type="textWrapping"/>
            </w:r>
            <w:r>
              <w:rPr>
                <w:rFonts w:hint="eastAsia" w:ascii="宋体" w:hAnsi="宋体" w:cs="宋体"/>
                <w:color w:val="000000"/>
                <w:kern w:val="0"/>
                <w:szCs w:val="21"/>
              </w:rPr>
              <w:t>（供应室为主）</w:t>
            </w:r>
          </w:p>
        </w:tc>
        <w:tc>
          <w:tcPr>
            <w:tcW w:w="1543"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07：00-17：00</w:t>
            </w:r>
          </w:p>
        </w:tc>
        <w:tc>
          <w:tcPr>
            <w:tcW w:w="1276"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636"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774" w:type="dxa"/>
            <w:vMerge w:val="continue"/>
            <w:shd w:val="clear" w:color="auto" w:fill="auto"/>
            <w:noWrap w:val="0"/>
            <w:vAlign w:val="center"/>
          </w:tcPr>
          <w:p>
            <w:pPr>
              <w:widowControl/>
              <w:jc w:val="left"/>
              <w:rPr>
                <w:rFonts w:ascii="宋体" w:hAnsi="宋体" w:cs="宋体"/>
                <w:color w:val="000000"/>
                <w:kern w:val="0"/>
                <w:szCs w:val="21"/>
              </w:rPr>
            </w:pPr>
          </w:p>
        </w:tc>
        <w:tc>
          <w:tcPr>
            <w:tcW w:w="1203" w:type="dxa"/>
            <w:shd w:val="clear" w:color="auto" w:fill="auto"/>
            <w:noWrap/>
            <w:vAlign w:val="center"/>
          </w:tcPr>
          <w:p>
            <w:pPr>
              <w:widowControl/>
              <w:jc w:val="center"/>
              <w:rPr>
                <w:rFonts w:ascii="宋体" w:hAnsi="宋体" w:cs="宋体"/>
                <w:color w:val="000000"/>
                <w:kern w:val="0"/>
                <w:sz w:val="22"/>
              </w:rPr>
            </w:pPr>
          </w:p>
        </w:tc>
        <w:tc>
          <w:tcPr>
            <w:tcW w:w="656" w:type="dxa"/>
            <w:shd w:val="clear" w:color="auto" w:fill="auto"/>
            <w:noWrap/>
            <w:vAlign w:val="center"/>
          </w:tcPr>
          <w:p>
            <w:pPr>
              <w:widowControl/>
              <w:jc w:val="center"/>
              <w:rPr>
                <w:rFonts w:ascii="宋体" w:hAnsi="宋体" w:cs="宋体"/>
                <w:color w:val="000000"/>
                <w:kern w:val="0"/>
                <w:sz w:val="22"/>
              </w:rPr>
            </w:pPr>
          </w:p>
        </w:tc>
        <w:tc>
          <w:tcPr>
            <w:tcW w:w="2268" w:type="dxa"/>
            <w:shd w:val="clear" w:color="auto" w:fill="auto"/>
            <w:noWrap/>
            <w:vAlign w:val="center"/>
          </w:tcPr>
          <w:p>
            <w:pPr>
              <w:widowControl/>
              <w:jc w:val="center"/>
              <w:rPr>
                <w:rFonts w:ascii="宋体" w:hAnsi="宋体" w:cs="宋体"/>
                <w:color w:val="000000"/>
                <w:kern w:val="0"/>
                <w:sz w:val="22"/>
              </w:rPr>
            </w:pPr>
          </w:p>
        </w:tc>
        <w:tc>
          <w:tcPr>
            <w:tcW w:w="1543" w:type="dxa"/>
            <w:shd w:val="clear" w:color="auto" w:fill="auto"/>
            <w:noWrap w:val="0"/>
            <w:vAlign w:val="center"/>
          </w:tcPr>
          <w:p>
            <w:pPr>
              <w:widowControl/>
              <w:jc w:val="center"/>
              <w:rPr>
                <w:rFonts w:ascii="宋体" w:hAnsi="宋体" w:cs="宋体"/>
                <w:color w:val="000000"/>
                <w:kern w:val="0"/>
                <w:szCs w:val="21"/>
              </w:rPr>
            </w:pPr>
          </w:p>
        </w:tc>
        <w:tc>
          <w:tcPr>
            <w:tcW w:w="1276" w:type="dxa"/>
            <w:shd w:val="clear" w:color="auto" w:fill="auto"/>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636"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77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五楼手术室</w:t>
            </w:r>
          </w:p>
        </w:tc>
        <w:tc>
          <w:tcPr>
            <w:tcW w:w="120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勤杂工</w:t>
            </w:r>
          </w:p>
        </w:tc>
        <w:tc>
          <w:tcPr>
            <w:tcW w:w="656"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2268"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日常保洁、运送病人</w:t>
            </w:r>
          </w:p>
        </w:tc>
        <w:tc>
          <w:tcPr>
            <w:tcW w:w="1543"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07：00-17：00</w:t>
            </w:r>
          </w:p>
        </w:tc>
        <w:tc>
          <w:tcPr>
            <w:tcW w:w="1276"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636"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774" w:type="dxa"/>
            <w:vMerge w:val="restart"/>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六楼 病房</w:t>
            </w:r>
          </w:p>
        </w:tc>
        <w:tc>
          <w:tcPr>
            <w:tcW w:w="120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勤杂工</w:t>
            </w:r>
          </w:p>
        </w:tc>
        <w:tc>
          <w:tcPr>
            <w:tcW w:w="656"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268"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协助完成非医疗性质的护理等工作</w:t>
            </w:r>
          </w:p>
        </w:tc>
        <w:tc>
          <w:tcPr>
            <w:tcW w:w="1543"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06：30-15：00</w:t>
            </w:r>
          </w:p>
        </w:tc>
        <w:tc>
          <w:tcPr>
            <w:tcW w:w="1276"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636"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774" w:type="dxa"/>
            <w:vMerge w:val="continue"/>
            <w:shd w:val="clear" w:color="auto" w:fill="auto"/>
            <w:noWrap w:val="0"/>
            <w:vAlign w:val="center"/>
          </w:tcPr>
          <w:p>
            <w:pPr>
              <w:widowControl/>
              <w:jc w:val="left"/>
              <w:rPr>
                <w:rFonts w:ascii="宋体" w:hAnsi="宋体" w:cs="宋体"/>
                <w:color w:val="000000"/>
                <w:kern w:val="0"/>
                <w:szCs w:val="21"/>
              </w:rPr>
            </w:pPr>
          </w:p>
        </w:tc>
        <w:tc>
          <w:tcPr>
            <w:tcW w:w="120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配送员</w:t>
            </w:r>
          </w:p>
        </w:tc>
        <w:tc>
          <w:tcPr>
            <w:tcW w:w="656"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268"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日常保洁、运送</w:t>
            </w:r>
          </w:p>
        </w:tc>
        <w:tc>
          <w:tcPr>
            <w:tcW w:w="1543"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06：30-15：00</w:t>
            </w:r>
          </w:p>
        </w:tc>
        <w:tc>
          <w:tcPr>
            <w:tcW w:w="1276"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636"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774" w:type="dxa"/>
            <w:vMerge w:val="continue"/>
            <w:shd w:val="clear" w:color="auto" w:fill="auto"/>
            <w:noWrap w:val="0"/>
            <w:vAlign w:val="center"/>
          </w:tcPr>
          <w:p>
            <w:pPr>
              <w:widowControl/>
              <w:jc w:val="left"/>
              <w:rPr>
                <w:rFonts w:ascii="宋体" w:hAnsi="宋体" w:cs="宋体"/>
                <w:color w:val="000000"/>
                <w:kern w:val="0"/>
                <w:szCs w:val="21"/>
              </w:rPr>
            </w:pPr>
          </w:p>
        </w:tc>
        <w:tc>
          <w:tcPr>
            <w:tcW w:w="120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保洁员</w:t>
            </w:r>
          </w:p>
        </w:tc>
        <w:tc>
          <w:tcPr>
            <w:tcW w:w="656"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268"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日常保洁</w:t>
            </w:r>
          </w:p>
        </w:tc>
        <w:tc>
          <w:tcPr>
            <w:tcW w:w="1543"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07：00-17：00</w:t>
            </w:r>
          </w:p>
        </w:tc>
        <w:tc>
          <w:tcPr>
            <w:tcW w:w="1276"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636"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774" w:type="dxa"/>
            <w:vMerge w:val="restart"/>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七楼 病房</w:t>
            </w:r>
          </w:p>
        </w:tc>
        <w:tc>
          <w:tcPr>
            <w:tcW w:w="120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勤杂工</w:t>
            </w:r>
          </w:p>
        </w:tc>
        <w:tc>
          <w:tcPr>
            <w:tcW w:w="656"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268"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协助完成非医疗性质的护理等工作</w:t>
            </w:r>
          </w:p>
        </w:tc>
        <w:tc>
          <w:tcPr>
            <w:tcW w:w="1543"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06：30-15：00</w:t>
            </w:r>
          </w:p>
        </w:tc>
        <w:tc>
          <w:tcPr>
            <w:tcW w:w="1276"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636"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1774" w:type="dxa"/>
            <w:vMerge w:val="continue"/>
            <w:shd w:val="clear" w:color="auto" w:fill="auto"/>
            <w:noWrap w:val="0"/>
            <w:vAlign w:val="center"/>
          </w:tcPr>
          <w:p>
            <w:pPr>
              <w:widowControl/>
              <w:jc w:val="left"/>
              <w:rPr>
                <w:rFonts w:ascii="宋体" w:hAnsi="宋体" w:cs="宋体"/>
                <w:color w:val="000000"/>
                <w:kern w:val="0"/>
                <w:szCs w:val="21"/>
              </w:rPr>
            </w:pPr>
          </w:p>
        </w:tc>
        <w:tc>
          <w:tcPr>
            <w:tcW w:w="120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配送员</w:t>
            </w:r>
          </w:p>
        </w:tc>
        <w:tc>
          <w:tcPr>
            <w:tcW w:w="656"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268"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日常保洁、运送</w:t>
            </w:r>
          </w:p>
        </w:tc>
        <w:tc>
          <w:tcPr>
            <w:tcW w:w="1543"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06：30-15：00</w:t>
            </w:r>
          </w:p>
        </w:tc>
        <w:tc>
          <w:tcPr>
            <w:tcW w:w="1276"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636"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1774" w:type="dxa"/>
            <w:vMerge w:val="continue"/>
            <w:shd w:val="clear" w:color="auto" w:fill="auto"/>
            <w:noWrap w:val="0"/>
            <w:vAlign w:val="center"/>
          </w:tcPr>
          <w:p>
            <w:pPr>
              <w:widowControl/>
              <w:jc w:val="left"/>
              <w:rPr>
                <w:rFonts w:ascii="宋体" w:hAnsi="宋体" w:cs="宋体"/>
                <w:color w:val="000000"/>
                <w:kern w:val="0"/>
                <w:szCs w:val="21"/>
              </w:rPr>
            </w:pPr>
          </w:p>
        </w:tc>
        <w:tc>
          <w:tcPr>
            <w:tcW w:w="120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保洁员</w:t>
            </w:r>
          </w:p>
        </w:tc>
        <w:tc>
          <w:tcPr>
            <w:tcW w:w="656"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268"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日常保洁</w:t>
            </w:r>
          </w:p>
        </w:tc>
        <w:tc>
          <w:tcPr>
            <w:tcW w:w="1543"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07：00-17：00</w:t>
            </w:r>
          </w:p>
        </w:tc>
        <w:tc>
          <w:tcPr>
            <w:tcW w:w="1276"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636"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w:t>
            </w:r>
          </w:p>
        </w:tc>
        <w:tc>
          <w:tcPr>
            <w:tcW w:w="1774" w:type="dxa"/>
            <w:vMerge w:val="restart"/>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八楼 病房</w:t>
            </w:r>
          </w:p>
        </w:tc>
        <w:tc>
          <w:tcPr>
            <w:tcW w:w="1203"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勤杂工</w:t>
            </w:r>
          </w:p>
        </w:tc>
        <w:tc>
          <w:tcPr>
            <w:tcW w:w="656" w:type="dxa"/>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w:t>
            </w:r>
          </w:p>
        </w:tc>
        <w:tc>
          <w:tcPr>
            <w:tcW w:w="2268"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协助完成非医疗性质的护理等工作</w:t>
            </w:r>
          </w:p>
        </w:tc>
        <w:tc>
          <w:tcPr>
            <w:tcW w:w="1543" w:type="dxa"/>
            <w:shd w:val="clear" w:color="auto" w:fill="auto"/>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06：30-15：00</w:t>
            </w:r>
          </w:p>
        </w:tc>
        <w:tc>
          <w:tcPr>
            <w:tcW w:w="1276"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单休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636"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w:t>
            </w:r>
          </w:p>
        </w:tc>
        <w:tc>
          <w:tcPr>
            <w:tcW w:w="1774" w:type="dxa"/>
            <w:vMerge w:val="continue"/>
            <w:shd w:val="clear" w:color="auto" w:fill="auto"/>
            <w:noWrap w:val="0"/>
            <w:vAlign w:val="center"/>
          </w:tcPr>
          <w:p>
            <w:pPr>
              <w:widowControl/>
              <w:jc w:val="center"/>
              <w:rPr>
                <w:rFonts w:hint="eastAsia" w:ascii="宋体" w:hAnsi="宋体" w:cs="宋体"/>
                <w:color w:val="000000"/>
                <w:kern w:val="0"/>
                <w:szCs w:val="21"/>
              </w:rPr>
            </w:pPr>
          </w:p>
        </w:tc>
        <w:tc>
          <w:tcPr>
            <w:tcW w:w="1203"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配送员</w:t>
            </w:r>
          </w:p>
        </w:tc>
        <w:tc>
          <w:tcPr>
            <w:tcW w:w="656" w:type="dxa"/>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w:t>
            </w:r>
          </w:p>
        </w:tc>
        <w:tc>
          <w:tcPr>
            <w:tcW w:w="2268"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日常保洁、运送</w:t>
            </w:r>
          </w:p>
        </w:tc>
        <w:tc>
          <w:tcPr>
            <w:tcW w:w="1543" w:type="dxa"/>
            <w:shd w:val="clear" w:color="auto" w:fill="auto"/>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06：30-15：00</w:t>
            </w:r>
          </w:p>
        </w:tc>
        <w:tc>
          <w:tcPr>
            <w:tcW w:w="1276"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单休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636"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w:t>
            </w:r>
          </w:p>
        </w:tc>
        <w:tc>
          <w:tcPr>
            <w:tcW w:w="1774" w:type="dxa"/>
            <w:vMerge w:val="continue"/>
            <w:shd w:val="clear" w:color="auto" w:fill="auto"/>
            <w:noWrap w:val="0"/>
            <w:vAlign w:val="center"/>
          </w:tcPr>
          <w:p>
            <w:pPr>
              <w:widowControl/>
              <w:jc w:val="center"/>
              <w:rPr>
                <w:rFonts w:hint="eastAsia" w:ascii="宋体" w:hAnsi="宋体" w:cs="宋体"/>
                <w:color w:val="000000"/>
                <w:kern w:val="0"/>
                <w:szCs w:val="21"/>
              </w:rPr>
            </w:pPr>
          </w:p>
        </w:tc>
        <w:tc>
          <w:tcPr>
            <w:tcW w:w="1203"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保洁员</w:t>
            </w:r>
          </w:p>
        </w:tc>
        <w:tc>
          <w:tcPr>
            <w:tcW w:w="656" w:type="dxa"/>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w:t>
            </w:r>
          </w:p>
        </w:tc>
        <w:tc>
          <w:tcPr>
            <w:tcW w:w="2268"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日常保洁</w:t>
            </w:r>
          </w:p>
        </w:tc>
        <w:tc>
          <w:tcPr>
            <w:tcW w:w="1543"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07：00-17：00</w:t>
            </w:r>
          </w:p>
        </w:tc>
        <w:tc>
          <w:tcPr>
            <w:tcW w:w="1276"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单休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636"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16</w:t>
            </w:r>
          </w:p>
        </w:tc>
        <w:tc>
          <w:tcPr>
            <w:tcW w:w="1774"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十楼 诊疗区域</w:t>
            </w:r>
          </w:p>
        </w:tc>
        <w:tc>
          <w:tcPr>
            <w:tcW w:w="1203"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勤杂工</w:t>
            </w:r>
          </w:p>
        </w:tc>
        <w:tc>
          <w:tcPr>
            <w:tcW w:w="656" w:type="dxa"/>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w:t>
            </w:r>
          </w:p>
        </w:tc>
        <w:tc>
          <w:tcPr>
            <w:tcW w:w="2268"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日常保洁、运送</w:t>
            </w:r>
          </w:p>
        </w:tc>
        <w:tc>
          <w:tcPr>
            <w:tcW w:w="1543"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07：00-17：00</w:t>
            </w:r>
          </w:p>
        </w:tc>
        <w:tc>
          <w:tcPr>
            <w:tcW w:w="1276"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单休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0" w:hRule="atLeast"/>
        </w:trPr>
        <w:tc>
          <w:tcPr>
            <w:tcW w:w="636"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1774"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专项</w:t>
            </w:r>
          </w:p>
        </w:tc>
        <w:tc>
          <w:tcPr>
            <w:tcW w:w="120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保洁员</w:t>
            </w:r>
          </w:p>
        </w:tc>
        <w:tc>
          <w:tcPr>
            <w:tcW w:w="656"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268"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医疗垃圾清运、院感协助为主，同时作为备班，补充休假人员</w:t>
            </w:r>
          </w:p>
        </w:tc>
        <w:tc>
          <w:tcPr>
            <w:tcW w:w="1543"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07：00-17：00</w:t>
            </w:r>
          </w:p>
        </w:tc>
        <w:tc>
          <w:tcPr>
            <w:tcW w:w="1276"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636"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774"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203"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656" w:type="dxa"/>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2268"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543"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276"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bl>
    <w:p>
      <w:pPr>
        <w:spacing w:before="120" w:beforeLines="50" w:line="360" w:lineRule="auto"/>
        <w:rPr>
          <w:rFonts w:hint="eastAsia"/>
          <w:b/>
          <w:sz w:val="24"/>
        </w:rPr>
      </w:pPr>
      <w:bookmarkStart w:id="27" w:name="_Hlk517727060"/>
      <w:r>
        <w:rPr>
          <w:rFonts w:hint="eastAsia"/>
          <w:b/>
          <w:sz w:val="24"/>
        </w:rPr>
        <w:t>温州医科大学附属眼视光医院杭州院区保安人员配置需求表</w:t>
      </w:r>
    </w:p>
    <w:bookmarkEnd w:id="27"/>
    <w:tbl>
      <w:tblPr>
        <w:tblStyle w:val="70"/>
        <w:tblW w:w="91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352"/>
        <w:gridCol w:w="1417"/>
        <w:gridCol w:w="567"/>
        <w:gridCol w:w="2552"/>
        <w:gridCol w:w="1625"/>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trPr>
        <w:tc>
          <w:tcPr>
            <w:tcW w:w="567"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1352"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服务区域</w:t>
            </w:r>
          </w:p>
        </w:tc>
        <w:tc>
          <w:tcPr>
            <w:tcW w:w="141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岗位</w:t>
            </w:r>
          </w:p>
        </w:tc>
        <w:tc>
          <w:tcPr>
            <w:tcW w:w="567"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人数</w:t>
            </w:r>
          </w:p>
        </w:tc>
        <w:tc>
          <w:tcPr>
            <w:tcW w:w="2552"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职责</w:t>
            </w:r>
          </w:p>
        </w:tc>
        <w:tc>
          <w:tcPr>
            <w:tcW w:w="1625"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工作时间</w:t>
            </w:r>
          </w:p>
        </w:tc>
        <w:tc>
          <w:tcPr>
            <w:tcW w:w="1068"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休息时间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05" w:hRule="atLeast"/>
        </w:trPr>
        <w:tc>
          <w:tcPr>
            <w:tcW w:w="567"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352"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二楼</w:t>
            </w:r>
          </w:p>
        </w:tc>
        <w:tc>
          <w:tcPr>
            <w:tcW w:w="141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执勤</w:t>
            </w:r>
          </w:p>
        </w:tc>
        <w:tc>
          <w:tcPr>
            <w:tcW w:w="56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552" w:type="dxa"/>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维持二楼秩序，18点后巡视全楼层，打点、关门、切断电源</w:t>
            </w:r>
          </w:p>
        </w:tc>
        <w:tc>
          <w:tcPr>
            <w:tcW w:w="1625"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07:00-19:00</w:t>
            </w:r>
          </w:p>
        </w:tc>
        <w:tc>
          <w:tcPr>
            <w:tcW w:w="1068"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0" w:hRule="atLeast"/>
        </w:trPr>
        <w:tc>
          <w:tcPr>
            <w:tcW w:w="567"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352"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三楼</w:t>
            </w:r>
          </w:p>
        </w:tc>
        <w:tc>
          <w:tcPr>
            <w:tcW w:w="141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执勤</w:t>
            </w:r>
          </w:p>
        </w:tc>
        <w:tc>
          <w:tcPr>
            <w:tcW w:w="56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552" w:type="dxa"/>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峰期维持三楼秩序，周末负责一楼视光大厅的秩序维护，平日主要负责整个楼层、外围的巡视及机动调配</w:t>
            </w:r>
          </w:p>
        </w:tc>
        <w:tc>
          <w:tcPr>
            <w:tcW w:w="1625"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07:00-19:00</w:t>
            </w:r>
          </w:p>
        </w:tc>
        <w:tc>
          <w:tcPr>
            <w:tcW w:w="1068"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0" w:hRule="atLeast"/>
        </w:trPr>
        <w:tc>
          <w:tcPr>
            <w:tcW w:w="567" w:type="dxa"/>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w:t>
            </w:r>
          </w:p>
        </w:tc>
        <w:tc>
          <w:tcPr>
            <w:tcW w:w="1352"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五-八楼</w:t>
            </w:r>
          </w:p>
        </w:tc>
        <w:tc>
          <w:tcPr>
            <w:tcW w:w="1417"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执勤</w:t>
            </w:r>
          </w:p>
        </w:tc>
        <w:tc>
          <w:tcPr>
            <w:tcW w:w="567"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552" w:type="dxa"/>
            <w:shd w:val="clear" w:color="auto" w:fill="auto"/>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维持楼层秩序，平日主要负责整个楼层、外围的巡视、控烟督导及机动调配</w:t>
            </w:r>
          </w:p>
        </w:tc>
        <w:tc>
          <w:tcPr>
            <w:tcW w:w="1625"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07:00-19:00</w:t>
            </w:r>
          </w:p>
        </w:tc>
        <w:tc>
          <w:tcPr>
            <w:tcW w:w="1068" w:type="dxa"/>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单休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567"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352"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地下室\外围</w:t>
            </w:r>
          </w:p>
        </w:tc>
        <w:tc>
          <w:tcPr>
            <w:tcW w:w="141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执勤\车辆管理</w:t>
            </w:r>
          </w:p>
        </w:tc>
        <w:tc>
          <w:tcPr>
            <w:tcW w:w="56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552" w:type="dxa"/>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维护车辆秩序，立体车库的管理，保证人防通道的畅通。</w:t>
            </w:r>
          </w:p>
        </w:tc>
        <w:tc>
          <w:tcPr>
            <w:tcW w:w="1625"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08:00—16:00</w:t>
            </w:r>
          </w:p>
        </w:tc>
        <w:tc>
          <w:tcPr>
            <w:tcW w:w="1068"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75" w:hRule="atLeast"/>
        </w:trPr>
        <w:tc>
          <w:tcPr>
            <w:tcW w:w="567"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352"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消控室</w:t>
            </w:r>
          </w:p>
        </w:tc>
        <w:tc>
          <w:tcPr>
            <w:tcW w:w="141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消控夜班</w:t>
            </w:r>
          </w:p>
        </w:tc>
        <w:tc>
          <w:tcPr>
            <w:tcW w:w="56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552" w:type="dxa"/>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监视消防控制台及打印设备的信号，监视视频监视系统的动向，监控诊室情况，及时作出反应，每隔2小时打点</w:t>
            </w:r>
          </w:p>
        </w:tc>
        <w:tc>
          <w:tcPr>
            <w:tcW w:w="1625"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07:00—19:00</w:t>
            </w:r>
          </w:p>
        </w:tc>
        <w:tc>
          <w:tcPr>
            <w:tcW w:w="1068"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567"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352"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全区域</w:t>
            </w:r>
          </w:p>
        </w:tc>
        <w:tc>
          <w:tcPr>
            <w:tcW w:w="141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机动</w:t>
            </w:r>
          </w:p>
        </w:tc>
        <w:tc>
          <w:tcPr>
            <w:tcW w:w="56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552" w:type="dxa"/>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调休安排和高峰期支持</w:t>
            </w:r>
          </w:p>
        </w:tc>
        <w:tc>
          <w:tcPr>
            <w:tcW w:w="1625" w:type="dxa"/>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068"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567"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52" w:type="dxa"/>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417"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6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2552"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625"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68"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bl>
    <w:p>
      <w:pPr>
        <w:spacing w:line="360" w:lineRule="auto"/>
        <w:rPr>
          <w:b/>
          <w:sz w:val="28"/>
        </w:rPr>
      </w:pPr>
    </w:p>
    <w:p>
      <w:pPr>
        <w:spacing w:before="120" w:beforeLines="50" w:line="360" w:lineRule="auto"/>
        <w:rPr>
          <w:rFonts w:hint="eastAsia"/>
          <w:b/>
          <w:sz w:val="28"/>
        </w:rPr>
      </w:pPr>
      <w:r>
        <w:rPr>
          <w:rFonts w:hint="eastAsia"/>
          <w:b/>
          <w:sz w:val="24"/>
        </w:rPr>
        <w:t>温州医科大学附属眼视光医院杭州院区洗衣房人员配置需求表</w:t>
      </w:r>
    </w:p>
    <w:tbl>
      <w:tblPr>
        <w:tblStyle w:val="70"/>
        <w:tblW w:w="9356" w:type="dxa"/>
        <w:tblInd w:w="108" w:type="dxa"/>
        <w:tblLayout w:type="autofit"/>
        <w:tblCellMar>
          <w:top w:w="0" w:type="dxa"/>
          <w:left w:w="108" w:type="dxa"/>
          <w:bottom w:w="0" w:type="dxa"/>
          <w:right w:w="108" w:type="dxa"/>
        </w:tblCellMar>
      </w:tblPr>
      <w:tblGrid>
        <w:gridCol w:w="567"/>
        <w:gridCol w:w="1560"/>
        <w:gridCol w:w="1417"/>
        <w:gridCol w:w="567"/>
        <w:gridCol w:w="2268"/>
        <w:gridCol w:w="1701"/>
        <w:gridCol w:w="1276"/>
      </w:tblGrid>
      <w:tr>
        <w:tblPrEx>
          <w:tblCellMar>
            <w:top w:w="0" w:type="dxa"/>
            <w:left w:w="108" w:type="dxa"/>
            <w:bottom w:w="0" w:type="dxa"/>
            <w:right w:w="108" w:type="dxa"/>
          </w:tblCellMar>
        </w:tblPrEx>
        <w:trPr>
          <w:wBefore w:w="0" w:type="dxa"/>
          <w:wAfter w:w="0" w:type="dxa"/>
          <w:trHeight w:val="57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服务区域</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岗位</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人数</w:t>
            </w:r>
          </w:p>
        </w:tc>
        <w:tc>
          <w:tcPr>
            <w:tcW w:w="226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职责</w:t>
            </w:r>
          </w:p>
        </w:tc>
        <w:tc>
          <w:tcPr>
            <w:tcW w:w="1701"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工作时间</w:t>
            </w:r>
          </w:p>
        </w:tc>
        <w:tc>
          <w:tcPr>
            <w:tcW w:w="127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休息时间</w:t>
            </w:r>
          </w:p>
        </w:tc>
      </w:tr>
      <w:tr>
        <w:tblPrEx>
          <w:tblCellMar>
            <w:top w:w="0" w:type="dxa"/>
            <w:left w:w="108" w:type="dxa"/>
            <w:bottom w:w="0" w:type="dxa"/>
            <w:right w:w="108" w:type="dxa"/>
          </w:tblCellMar>
        </w:tblPrEx>
        <w:trPr>
          <w:wBefore w:w="0" w:type="dxa"/>
          <w:wAfter w:w="0" w:type="dxa"/>
          <w:trHeight w:val="57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洗衣房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被服管理</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整理折叠并分发各类衣物，缝补破损衣物</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08:00-17：00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单休</w:t>
            </w:r>
          </w:p>
        </w:tc>
      </w:tr>
      <w:tr>
        <w:tblPrEx>
          <w:tblCellMar>
            <w:top w:w="0" w:type="dxa"/>
            <w:left w:w="108" w:type="dxa"/>
            <w:bottom w:w="0" w:type="dxa"/>
            <w:right w:w="108" w:type="dxa"/>
          </w:tblCellMar>
        </w:tblPrEx>
        <w:trPr>
          <w:wBefore w:w="0" w:type="dxa"/>
          <w:wAfter w:w="0" w:type="dxa"/>
          <w:trHeight w:val="57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洗衣房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运送员</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运送、清点各类布草，清洁消毒污物区</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08:00-17：00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单休</w:t>
            </w:r>
          </w:p>
        </w:tc>
      </w:tr>
      <w:tr>
        <w:tblPrEx>
          <w:tblCellMar>
            <w:top w:w="0" w:type="dxa"/>
            <w:left w:w="108" w:type="dxa"/>
            <w:bottom w:w="0" w:type="dxa"/>
            <w:right w:w="108" w:type="dxa"/>
          </w:tblCellMar>
        </w:tblPrEx>
        <w:trPr>
          <w:wBefore w:w="0" w:type="dxa"/>
          <w:wAfter w:w="0" w:type="dxa"/>
          <w:trHeight w:val="57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bl>
    <w:p>
      <w:pPr>
        <w:spacing w:line="360" w:lineRule="auto"/>
        <w:rPr>
          <w:rFonts w:hint="eastAsia"/>
          <w:b/>
          <w:sz w:val="28"/>
        </w:rPr>
      </w:pPr>
    </w:p>
    <w:p>
      <w:pPr>
        <w:rPr>
          <w:b/>
          <w:sz w:val="24"/>
        </w:rPr>
      </w:pPr>
      <w:r>
        <w:rPr>
          <w:rFonts w:hint="eastAsia"/>
          <w:b/>
          <w:sz w:val="24"/>
        </w:rPr>
        <w:t>温州医科大学附属眼视光医院杭州院区工程设施维护人员配置需求表</w:t>
      </w:r>
    </w:p>
    <w:tbl>
      <w:tblPr>
        <w:tblStyle w:val="70"/>
        <w:tblW w:w="9356" w:type="dxa"/>
        <w:tblInd w:w="108" w:type="dxa"/>
        <w:tblLayout w:type="autofit"/>
        <w:tblCellMar>
          <w:top w:w="0" w:type="dxa"/>
          <w:left w:w="108" w:type="dxa"/>
          <w:bottom w:w="0" w:type="dxa"/>
          <w:right w:w="108" w:type="dxa"/>
        </w:tblCellMar>
      </w:tblPr>
      <w:tblGrid>
        <w:gridCol w:w="567"/>
        <w:gridCol w:w="1560"/>
        <w:gridCol w:w="1417"/>
        <w:gridCol w:w="567"/>
        <w:gridCol w:w="2268"/>
        <w:gridCol w:w="1701"/>
        <w:gridCol w:w="1276"/>
      </w:tblGrid>
      <w:tr>
        <w:tblPrEx>
          <w:tblCellMar>
            <w:top w:w="0" w:type="dxa"/>
            <w:left w:w="108" w:type="dxa"/>
            <w:bottom w:w="0" w:type="dxa"/>
            <w:right w:w="108" w:type="dxa"/>
          </w:tblCellMar>
        </w:tblPrEx>
        <w:trPr>
          <w:wBefore w:w="0" w:type="dxa"/>
          <w:wAfter w:w="0" w:type="dxa"/>
          <w:trHeight w:val="57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服务区域</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岗位</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人数</w:t>
            </w:r>
          </w:p>
        </w:tc>
        <w:tc>
          <w:tcPr>
            <w:tcW w:w="226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职责</w:t>
            </w:r>
          </w:p>
        </w:tc>
        <w:tc>
          <w:tcPr>
            <w:tcW w:w="1701"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工作时间</w:t>
            </w:r>
          </w:p>
        </w:tc>
        <w:tc>
          <w:tcPr>
            <w:tcW w:w="127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休息时间</w:t>
            </w:r>
          </w:p>
        </w:tc>
      </w:tr>
      <w:tr>
        <w:tblPrEx>
          <w:tblCellMar>
            <w:top w:w="0" w:type="dxa"/>
            <w:left w:w="108" w:type="dxa"/>
            <w:bottom w:w="0" w:type="dxa"/>
            <w:right w:w="108" w:type="dxa"/>
          </w:tblCellMar>
        </w:tblPrEx>
        <w:trPr>
          <w:wBefore w:w="0" w:type="dxa"/>
          <w:wAfter w:w="0" w:type="dxa"/>
          <w:trHeight w:val="90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全区域</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高压配电</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负责大楼的高压配电、日常维修工作及暖通系统（所有人员需要具备高配证、电工证）</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24小时</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做一休二</w:t>
            </w:r>
          </w:p>
        </w:tc>
      </w:tr>
      <w:tr>
        <w:tblPrEx>
          <w:tblCellMar>
            <w:top w:w="0" w:type="dxa"/>
            <w:left w:w="108" w:type="dxa"/>
            <w:bottom w:w="0" w:type="dxa"/>
            <w:right w:w="108" w:type="dxa"/>
          </w:tblCellMar>
        </w:tblPrEx>
        <w:trPr>
          <w:wBefore w:w="0" w:type="dxa"/>
          <w:wAfter w:w="0" w:type="dxa"/>
          <w:trHeight w:val="302"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全区域</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维修工</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负责大楼的日常维修工作、给排水系统的日常运行</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08:00-17：00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双休</w:t>
            </w:r>
          </w:p>
        </w:tc>
      </w:tr>
      <w:tr>
        <w:tblPrEx>
          <w:tblCellMar>
            <w:top w:w="0" w:type="dxa"/>
            <w:left w:w="108" w:type="dxa"/>
            <w:bottom w:w="0" w:type="dxa"/>
            <w:right w:w="108" w:type="dxa"/>
          </w:tblCellMar>
        </w:tblPrEx>
        <w:trPr>
          <w:wBefore w:w="0" w:type="dxa"/>
          <w:wAfter w:w="0" w:type="dxa"/>
          <w:trHeight w:val="57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rPr>
          <w:b/>
          <w:sz w:val="24"/>
        </w:rPr>
      </w:pPr>
    </w:p>
    <w:p>
      <w:pPr>
        <w:rPr>
          <w:b/>
          <w:sz w:val="24"/>
        </w:rPr>
      </w:pPr>
      <w:r>
        <w:rPr>
          <w:rFonts w:hint="eastAsia"/>
          <w:b/>
          <w:sz w:val="24"/>
        </w:rPr>
        <w:t>温州医科大学附属眼视光医院杭州院区厨房人员配置需求表</w:t>
      </w:r>
    </w:p>
    <w:tbl>
      <w:tblPr>
        <w:tblStyle w:val="70"/>
        <w:tblW w:w="9356" w:type="dxa"/>
        <w:tblInd w:w="108" w:type="dxa"/>
        <w:tblLayout w:type="autofit"/>
        <w:tblCellMar>
          <w:top w:w="0" w:type="dxa"/>
          <w:left w:w="108" w:type="dxa"/>
          <w:bottom w:w="0" w:type="dxa"/>
          <w:right w:w="108" w:type="dxa"/>
        </w:tblCellMar>
      </w:tblPr>
      <w:tblGrid>
        <w:gridCol w:w="567"/>
        <w:gridCol w:w="1560"/>
        <w:gridCol w:w="1417"/>
        <w:gridCol w:w="567"/>
        <w:gridCol w:w="2268"/>
        <w:gridCol w:w="1701"/>
        <w:gridCol w:w="1276"/>
      </w:tblGrid>
      <w:tr>
        <w:tblPrEx>
          <w:tblCellMar>
            <w:top w:w="0" w:type="dxa"/>
            <w:left w:w="108" w:type="dxa"/>
            <w:bottom w:w="0" w:type="dxa"/>
            <w:right w:w="108" w:type="dxa"/>
          </w:tblCellMar>
        </w:tblPrEx>
        <w:trPr>
          <w:wBefore w:w="0" w:type="dxa"/>
          <w:wAfter w:w="0" w:type="dxa"/>
          <w:trHeight w:val="57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服务区域</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岗位</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人数</w:t>
            </w:r>
          </w:p>
        </w:tc>
        <w:tc>
          <w:tcPr>
            <w:tcW w:w="226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职责</w:t>
            </w:r>
          </w:p>
        </w:tc>
        <w:tc>
          <w:tcPr>
            <w:tcW w:w="1701"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工作时间</w:t>
            </w:r>
          </w:p>
        </w:tc>
        <w:tc>
          <w:tcPr>
            <w:tcW w:w="127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休息时间</w:t>
            </w:r>
          </w:p>
        </w:tc>
      </w:tr>
      <w:tr>
        <w:tblPrEx>
          <w:tblCellMar>
            <w:top w:w="0" w:type="dxa"/>
            <w:left w:w="108" w:type="dxa"/>
            <w:bottom w:w="0" w:type="dxa"/>
            <w:right w:w="108" w:type="dxa"/>
          </w:tblCellMar>
        </w:tblPrEx>
        <w:trPr>
          <w:wBefore w:w="0" w:type="dxa"/>
          <w:wAfter w:w="0" w:type="dxa"/>
          <w:trHeight w:val="570" w:hRule="atLeast"/>
        </w:trPr>
        <w:tc>
          <w:tcPr>
            <w:tcW w:w="56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全 院</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行政厨师长</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负责项目运行及行政事务等日常管理</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9小时班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单休</w:t>
            </w:r>
          </w:p>
        </w:tc>
      </w:tr>
      <w:tr>
        <w:tblPrEx>
          <w:tblCellMar>
            <w:top w:w="0" w:type="dxa"/>
            <w:left w:w="108" w:type="dxa"/>
            <w:bottom w:w="0" w:type="dxa"/>
            <w:right w:w="108" w:type="dxa"/>
          </w:tblCellMar>
        </w:tblPrEx>
        <w:trPr>
          <w:wBefore w:w="0" w:type="dxa"/>
          <w:wAfter w:w="0" w:type="dxa"/>
          <w:trHeight w:val="57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全 院</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厨师长</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负责厨房运行及质量控制等日常管理</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9小时班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单休</w:t>
            </w:r>
          </w:p>
        </w:tc>
      </w:tr>
      <w:tr>
        <w:tblPrEx>
          <w:tblCellMar>
            <w:top w:w="0" w:type="dxa"/>
            <w:left w:w="108" w:type="dxa"/>
            <w:bottom w:w="0" w:type="dxa"/>
            <w:right w:w="108" w:type="dxa"/>
          </w:tblCellMar>
        </w:tblPrEx>
        <w:trPr>
          <w:wBefore w:w="0" w:type="dxa"/>
          <w:wAfter w:w="0" w:type="dxa"/>
          <w:trHeight w:val="570" w:hRule="atLeast"/>
        </w:trPr>
        <w:tc>
          <w:tcPr>
            <w:tcW w:w="56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全 院</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副厨</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负责早餐及午餐的制作及其他事务</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9小时班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单休</w:t>
            </w:r>
          </w:p>
        </w:tc>
      </w:tr>
      <w:tr>
        <w:tblPrEx>
          <w:tblCellMar>
            <w:top w:w="0" w:type="dxa"/>
            <w:left w:w="108" w:type="dxa"/>
            <w:bottom w:w="0" w:type="dxa"/>
            <w:right w:w="108" w:type="dxa"/>
          </w:tblCellMar>
        </w:tblPrEx>
        <w:trPr>
          <w:wBefore w:w="0" w:type="dxa"/>
          <w:wAfter w:w="0" w:type="dxa"/>
          <w:trHeight w:val="57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全 院</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副厨</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负责午餐及晚餐的制作及其他事务</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9小时班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单休</w:t>
            </w:r>
          </w:p>
        </w:tc>
      </w:tr>
      <w:tr>
        <w:tblPrEx>
          <w:tblCellMar>
            <w:top w:w="0" w:type="dxa"/>
            <w:left w:w="108" w:type="dxa"/>
            <w:bottom w:w="0" w:type="dxa"/>
            <w:right w:w="108" w:type="dxa"/>
          </w:tblCellMar>
        </w:tblPrEx>
        <w:trPr>
          <w:wBefore w:w="0" w:type="dxa"/>
          <w:wAfter w:w="0" w:type="dxa"/>
          <w:trHeight w:val="570" w:hRule="atLeast"/>
        </w:trPr>
        <w:tc>
          <w:tcPr>
            <w:tcW w:w="56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全 院</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帮工</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负责摘菜、售卖、清洁、洗碗、运送、打包等厨房勤杂工作</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9小时班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单休</w:t>
            </w:r>
          </w:p>
        </w:tc>
      </w:tr>
      <w:tr>
        <w:tblPrEx>
          <w:tblCellMar>
            <w:top w:w="0" w:type="dxa"/>
            <w:left w:w="108" w:type="dxa"/>
            <w:bottom w:w="0" w:type="dxa"/>
            <w:right w:w="108" w:type="dxa"/>
          </w:tblCellMar>
        </w:tblPrEx>
        <w:trPr>
          <w:wBefore w:w="0" w:type="dxa"/>
          <w:wAfter w:w="0" w:type="dxa"/>
          <w:trHeight w:val="466"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r>
    </w:tbl>
    <w:p>
      <w:pPr>
        <w:rPr>
          <w:b/>
          <w:sz w:val="24"/>
        </w:rPr>
      </w:pPr>
    </w:p>
    <w:p>
      <w:pPr>
        <w:spacing w:line="360" w:lineRule="auto"/>
        <w:rPr>
          <w:rFonts w:hint="eastAsia"/>
          <w:b/>
          <w:sz w:val="28"/>
          <w:szCs w:val="28"/>
        </w:rPr>
      </w:pPr>
      <w:r>
        <w:rPr>
          <w:rFonts w:hint="eastAsia"/>
          <w:b/>
          <w:sz w:val="28"/>
          <w:szCs w:val="28"/>
        </w:rPr>
        <w:t>杭州眼视光科技有限公司部分：</w:t>
      </w:r>
    </w:p>
    <w:p>
      <w:pPr>
        <w:rPr>
          <w:b/>
          <w:sz w:val="24"/>
        </w:rPr>
      </w:pPr>
      <w:r>
        <w:rPr>
          <w:rFonts w:hint="eastAsia"/>
          <w:b/>
          <w:sz w:val="24"/>
        </w:rPr>
        <w:t>杭州眼视光科技有限公司保洁人员配置需求表</w:t>
      </w:r>
    </w:p>
    <w:tbl>
      <w:tblPr>
        <w:tblStyle w:val="70"/>
        <w:tblW w:w="9353" w:type="dxa"/>
        <w:tblInd w:w="108" w:type="dxa"/>
        <w:tblLayout w:type="autofit"/>
        <w:tblCellMar>
          <w:top w:w="0" w:type="dxa"/>
          <w:left w:w="108" w:type="dxa"/>
          <w:bottom w:w="0" w:type="dxa"/>
          <w:right w:w="108" w:type="dxa"/>
        </w:tblCellMar>
      </w:tblPr>
      <w:tblGrid>
        <w:gridCol w:w="567"/>
        <w:gridCol w:w="1560"/>
        <w:gridCol w:w="1417"/>
        <w:gridCol w:w="574"/>
        <w:gridCol w:w="2261"/>
        <w:gridCol w:w="1699"/>
        <w:gridCol w:w="1275"/>
      </w:tblGrid>
      <w:tr>
        <w:tblPrEx>
          <w:tblCellMar>
            <w:top w:w="0" w:type="dxa"/>
            <w:left w:w="108" w:type="dxa"/>
            <w:bottom w:w="0" w:type="dxa"/>
            <w:right w:w="108" w:type="dxa"/>
          </w:tblCellMar>
        </w:tblPrEx>
        <w:trPr>
          <w:wBefore w:w="0" w:type="dxa"/>
          <w:wAfter w:w="0" w:type="dxa"/>
          <w:trHeight w:val="54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序号</w:t>
            </w: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服务区域</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岗位</w:t>
            </w:r>
          </w:p>
        </w:tc>
        <w:tc>
          <w:tcPr>
            <w:tcW w:w="5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人数</w:t>
            </w:r>
          </w:p>
        </w:tc>
        <w:tc>
          <w:tcPr>
            <w:tcW w:w="2261"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职责</w:t>
            </w:r>
          </w:p>
        </w:tc>
        <w:tc>
          <w:tcPr>
            <w:tcW w:w="169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工作时间</w:t>
            </w:r>
          </w:p>
        </w:tc>
        <w:tc>
          <w:tcPr>
            <w:tcW w:w="127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休息时间</w:t>
            </w:r>
          </w:p>
        </w:tc>
      </w:tr>
      <w:tr>
        <w:tblPrEx>
          <w:tblCellMar>
            <w:top w:w="0" w:type="dxa"/>
            <w:left w:w="108" w:type="dxa"/>
            <w:bottom w:w="0" w:type="dxa"/>
            <w:right w:w="108" w:type="dxa"/>
          </w:tblCellMar>
        </w:tblPrEx>
        <w:trPr>
          <w:wBefore w:w="0" w:type="dxa"/>
          <w:wAfter w:w="0" w:type="dxa"/>
          <w:trHeight w:val="54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全区域</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项目主任</w:t>
            </w:r>
          </w:p>
        </w:tc>
        <w:tc>
          <w:tcPr>
            <w:tcW w:w="5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2261" w:type="dxa"/>
            <w:tcBorders>
              <w:top w:val="nil"/>
              <w:left w:val="nil"/>
              <w:bottom w:val="single" w:color="auto" w:sz="4" w:space="0"/>
              <w:right w:val="single" w:color="auto" w:sz="4" w:space="0"/>
            </w:tcBorders>
            <w:shd w:val="clear" w:color="auto" w:fill="auto"/>
            <w:noWrap w:val="0"/>
            <w:vAlign w:val="top"/>
          </w:tcPr>
          <w:p>
            <w:pPr>
              <w:widowControl/>
              <w:jc w:val="center"/>
              <w:rPr>
                <w:rFonts w:hint="eastAsia" w:ascii="宋体" w:hAnsi="宋体" w:cs="宋体"/>
                <w:color w:val="000000"/>
                <w:kern w:val="0"/>
                <w:szCs w:val="21"/>
              </w:rPr>
            </w:pPr>
            <w:r>
              <w:rPr>
                <w:rFonts w:hint="eastAsia" w:ascii="宋体" w:hAnsi="宋体" w:cs="宋体"/>
                <w:color w:val="000000"/>
                <w:kern w:val="0"/>
                <w:szCs w:val="21"/>
              </w:rPr>
              <w:t>协调、安排，并对日常项目工作负责。</w:t>
            </w:r>
          </w:p>
        </w:tc>
        <w:tc>
          <w:tcPr>
            <w:tcW w:w="169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07：30-17：30</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单休</w:t>
            </w:r>
          </w:p>
        </w:tc>
      </w:tr>
      <w:tr>
        <w:tblPrEx>
          <w:tblCellMar>
            <w:top w:w="0" w:type="dxa"/>
            <w:left w:w="108" w:type="dxa"/>
            <w:bottom w:w="0" w:type="dxa"/>
            <w:right w:w="108" w:type="dxa"/>
          </w:tblCellMar>
        </w:tblPrEx>
        <w:trPr>
          <w:wBefore w:w="0" w:type="dxa"/>
          <w:wAfter w:w="0" w:type="dxa"/>
          <w:trHeight w:val="54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全区域</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保洁主管</w:t>
            </w:r>
          </w:p>
        </w:tc>
        <w:tc>
          <w:tcPr>
            <w:tcW w:w="5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226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协调保洁及洗衣房各项工作及日常检查与监督</w:t>
            </w:r>
          </w:p>
        </w:tc>
        <w:tc>
          <w:tcPr>
            <w:tcW w:w="169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07：30-17：30</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单休</w:t>
            </w:r>
          </w:p>
        </w:tc>
      </w:tr>
      <w:tr>
        <w:tblPrEx>
          <w:tblCellMar>
            <w:top w:w="0" w:type="dxa"/>
            <w:left w:w="108" w:type="dxa"/>
            <w:bottom w:w="0" w:type="dxa"/>
            <w:right w:w="108" w:type="dxa"/>
          </w:tblCellMar>
        </w:tblPrEx>
        <w:trPr>
          <w:wBefore w:w="0" w:type="dxa"/>
          <w:wAfter w:w="0" w:type="dxa"/>
          <w:trHeight w:val="54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一楼整个层面</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保洁员</w:t>
            </w:r>
          </w:p>
        </w:tc>
        <w:tc>
          <w:tcPr>
            <w:tcW w:w="5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26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日常保洁</w:t>
            </w:r>
          </w:p>
        </w:tc>
        <w:tc>
          <w:tcPr>
            <w:tcW w:w="169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07：00-17：00</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单休</w:t>
            </w:r>
          </w:p>
        </w:tc>
      </w:tr>
      <w:tr>
        <w:tblPrEx>
          <w:tblCellMar>
            <w:top w:w="0" w:type="dxa"/>
            <w:left w:w="108" w:type="dxa"/>
            <w:bottom w:w="0" w:type="dxa"/>
            <w:right w:w="108" w:type="dxa"/>
          </w:tblCellMar>
        </w:tblPrEx>
        <w:trPr>
          <w:wBefore w:w="0" w:type="dxa"/>
          <w:wAfter w:w="0" w:type="dxa"/>
          <w:trHeight w:val="54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1560" w:type="dxa"/>
            <w:tcBorders>
              <w:top w:val="nil"/>
              <w:left w:val="nil"/>
              <w:bottom w:val="nil"/>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十一楼区域</w:t>
            </w:r>
          </w:p>
        </w:tc>
        <w:tc>
          <w:tcPr>
            <w:tcW w:w="1417" w:type="dxa"/>
            <w:tcBorders>
              <w:top w:val="nil"/>
              <w:left w:val="nil"/>
              <w:bottom w:val="nil"/>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保洁员</w:t>
            </w:r>
          </w:p>
        </w:tc>
        <w:tc>
          <w:tcPr>
            <w:tcW w:w="574" w:type="dxa"/>
            <w:tcBorders>
              <w:top w:val="nil"/>
              <w:left w:val="nil"/>
              <w:bottom w:val="nil"/>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2261" w:type="dxa"/>
            <w:tcBorders>
              <w:top w:val="nil"/>
              <w:left w:val="nil"/>
              <w:bottom w:val="nil"/>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日常保洁</w:t>
            </w:r>
          </w:p>
        </w:tc>
        <w:tc>
          <w:tcPr>
            <w:tcW w:w="1699" w:type="dxa"/>
            <w:tcBorders>
              <w:top w:val="nil"/>
              <w:left w:val="nil"/>
              <w:bottom w:val="nil"/>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07：00-17：00</w:t>
            </w:r>
          </w:p>
        </w:tc>
        <w:tc>
          <w:tcPr>
            <w:tcW w:w="1275" w:type="dxa"/>
            <w:tcBorders>
              <w:top w:val="nil"/>
              <w:left w:val="nil"/>
              <w:bottom w:val="nil"/>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单休</w:t>
            </w:r>
          </w:p>
        </w:tc>
      </w:tr>
      <w:tr>
        <w:tblPrEx>
          <w:tblCellMar>
            <w:top w:w="0" w:type="dxa"/>
            <w:left w:w="108" w:type="dxa"/>
            <w:bottom w:w="0" w:type="dxa"/>
            <w:right w:w="108" w:type="dxa"/>
          </w:tblCellMar>
        </w:tblPrEx>
        <w:trPr>
          <w:wBefore w:w="0" w:type="dxa"/>
          <w:wAfter w:w="0" w:type="dxa"/>
          <w:trHeight w:val="54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十二楼</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保洁员</w:t>
            </w:r>
          </w:p>
        </w:tc>
        <w:tc>
          <w:tcPr>
            <w:tcW w:w="5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2261"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日常保洁</w:t>
            </w:r>
          </w:p>
        </w:tc>
        <w:tc>
          <w:tcPr>
            <w:tcW w:w="169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07：00-17：00</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单休</w:t>
            </w:r>
          </w:p>
        </w:tc>
      </w:tr>
      <w:tr>
        <w:tblPrEx>
          <w:tblCellMar>
            <w:top w:w="0" w:type="dxa"/>
            <w:left w:w="108" w:type="dxa"/>
            <w:bottom w:w="0" w:type="dxa"/>
            <w:right w:w="108" w:type="dxa"/>
          </w:tblCellMar>
        </w:tblPrEx>
        <w:trPr>
          <w:wBefore w:w="0" w:type="dxa"/>
          <w:wAfter w:w="0" w:type="dxa"/>
          <w:trHeight w:val="54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十三楼及楼顶</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保洁员</w:t>
            </w:r>
          </w:p>
        </w:tc>
        <w:tc>
          <w:tcPr>
            <w:tcW w:w="5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226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日常保洁</w:t>
            </w:r>
          </w:p>
        </w:tc>
        <w:tc>
          <w:tcPr>
            <w:tcW w:w="169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07：00-17：00</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单休</w:t>
            </w:r>
          </w:p>
        </w:tc>
      </w:tr>
      <w:tr>
        <w:tblPrEx>
          <w:tblCellMar>
            <w:top w:w="0" w:type="dxa"/>
            <w:left w:w="108" w:type="dxa"/>
            <w:bottom w:w="0" w:type="dxa"/>
            <w:right w:w="108" w:type="dxa"/>
          </w:tblCellMar>
        </w:tblPrEx>
        <w:trPr>
          <w:wBefore w:w="0" w:type="dxa"/>
          <w:wAfter w:w="0" w:type="dxa"/>
          <w:trHeight w:val="54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机动 专项</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保洁员</w:t>
            </w:r>
          </w:p>
        </w:tc>
        <w:tc>
          <w:tcPr>
            <w:tcW w:w="5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26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外围/地下室/电梯/顶楼/擦玻璃等</w:t>
            </w:r>
          </w:p>
        </w:tc>
        <w:tc>
          <w:tcPr>
            <w:tcW w:w="169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07：00-17：00</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单休</w:t>
            </w:r>
          </w:p>
        </w:tc>
      </w:tr>
      <w:tr>
        <w:tblPrEx>
          <w:tblCellMar>
            <w:top w:w="0" w:type="dxa"/>
            <w:left w:w="108" w:type="dxa"/>
            <w:bottom w:w="0" w:type="dxa"/>
            <w:right w:w="108" w:type="dxa"/>
          </w:tblCellMar>
        </w:tblPrEx>
        <w:trPr>
          <w:wBefore w:w="0" w:type="dxa"/>
          <w:wAfter w:w="0" w:type="dxa"/>
          <w:trHeight w:val="54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合计</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57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w:t>
            </w:r>
          </w:p>
        </w:tc>
        <w:tc>
          <w:tcPr>
            <w:tcW w:w="226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69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bl>
    <w:p>
      <w:pPr>
        <w:rPr>
          <w:b/>
          <w:sz w:val="24"/>
        </w:rPr>
      </w:pPr>
    </w:p>
    <w:p>
      <w:pPr>
        <w:rPr>
          <w:b/>
          <w:sz w:val="24"/>
        </w:rPr>
      </w:pPr>
      <w:r>
        <w:rPr>
          <w:rFonts w:hint="eastAsia"/>
          <w:b/>
          <w:sz w:val="24"/>
        </w:rPr>
        <w:t>杭州眼视光科技有限公司保安人员配置需求表</w:t>
      </w:r>
    </w:p>
    <w:tbl>
      <w:tblPr>
        <w:tblStyle w:val="70"/>
        <w:tblW w:w="93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560"/>
        <w:gridCol w:w="1417"/>
        <w:gridCol w:w="574"/>
        <w:gridCol w:w="2545"/>
        <w:gridCol w:w="1559"/>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567" w:type="dxa"/>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1560"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服务区域</w:t>
            </w:r>
          </w:p>
        </w:tc>
        <w:tc>
          <w:tcPr>
            <w:tcW w:w="1417"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岗位</w:t>
            </w:r>
          </w:p>
        </w:tc>
        <w:tc>
          <w:tcPr>
            <w:tcW w:w="574" w:type="dxa"/>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人数</w:t>
            </w:r>
          </w:p>
        </w:tc>
        <w:tc>
          <w:tcPr>
            <w:tcW w:w="2545"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职责</w:t>
            </w:r>
          </w:p>
        </w:tc>
        <w:tc>
          <w:tcPr>
            <w:tcW w:w="1559"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工作时间</w:t>
            </w:r>
          </w:p>
        </w:tc>
        <w:tc>
          <w:tcPr>
            <w:tcW w:w="1131"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休息时间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trPr>
        <w:tc>
          <w:tcPr>
            <w:tcW w:w="567"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560"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全区域</w:t>
            </w:r>
          </w:p>
        </w:tc>
        <w:tc>
          <w:tcPr>
            <w:tcW w:w="1417"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保安队长</w:t>
            </w:r>
          </w:p>
        </w:tc>
        <w:tc>
          <w:tcPr>
            <w:tcW w:w="574"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2545" w:type="dxa"/>
            <w:shd w:val="clear" w:color="auto" w:fill="auto"/>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保安队伍的全面日常管理、巡视、督察</w:t>
            </w:r>
          </w:p>
        </w:tc>
        <w:tc>
          <w:tcPr>
            <w:tcW w:w="1559"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08:00-17:00</w:t>
            </w:r>
          </w:p>
        </w:tc>
        <w:tc>
          <w:tcPr>
            <w:tcW w:w="1131"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单休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85" w:hRule="atLeast"/>
        </w:trPr>
        <w:tc>
          <w:tcPr>
            <w:tcW w:w="567"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1560"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门厅</w:t>
            </w:r>
          </w:p>
        </w:tc>
        <w:tc>
          <w:tcPr>
            <w:tcW w:w="1417"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巡逻早班</w:t>
            </w:r>
          </w:p>
        </w:tc>
        <w:tc>
          <w:tcPr>
            <w:tcW w:w="574"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545" w:type="dxa"/>
            <w:shd w:val="clear" w:color="auto" w:fill="auto"/>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巡视楼层，检查环境设施是否完好，检查可能出现的异常情况，关注房间情况，应对突发情况，在岗亭岗上班前维持停车秩序。</w:t>
            </w:r>
          </w:p>
        </w:tc>
        <w:tc>
          <w:tcPr>
            <w:tcW w:w="1559"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07:00—19：00</w:t>
            </w:r>
          </w:p>
        </w:tc>
        <w:tc>
          <w:tcPr>
            <w:tcW w:w="1131"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单休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40" w:hRule="atLeast"/>
        </w:trPr>
        <w:tc>
          <w:tcPr>
            <w:tcW w:w="567"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560"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门厅</w:t>
            </w:r>
          </w:p>
        </w:tc>
        <w:tc>
          <w:tcPr>
            <w:tcW w:w="1417"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巡逻夜班</w:t>
            </w:r>
          </w:p>
        </w:tc>
        <w:tc>
          <w:tcPr>
            <w:tcW w:w="574"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2545" w:type="dxa"/>
            <w:shd w:val="clear" w:color="auto" w:fill="auto"/>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巡视楼层，检查环境设施是否完好，检查可能出现的异常情况，发现并制止抽烟现象，关注房间情况，应对突发情况。</w:t>
            </w:r>
          </w:p>
        </w:tc>
        <w:tc>
          <w:tcPr>
            <w:tcW w:w="1559"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19:00—07:00</w:t>
            </w:r>
          </w:p>
        </w:tc>
        <w:tc>
          <w:tcPr>
            <w:tcW w:w="1131"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单休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85" w:hRule="atLeast"/>
        </w:trPr>
        <w:tc>
          <w:tcPr>
            <w:tcW w:w="567"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1560"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消控室</w:t>
            </w:r>
          </w:p>
        </w:tc>
        <w:tc>
          <w:tcPr>
            <w:tcW w:w="1417"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消控早班</w:t>
            </w:r>
          </w:p>
        </w:tc>
        <w:tc>
          <w:tcPr>
            <w:tcW w:w="574"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2545" w:type="dxa"/>
            <w:shd w:val="clear" w:color="auto" w:fill="auto"/>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监视消防控制台及打印设备的信号，监视视频监视系统的动向，监控环境情况，及时作出反应，每隔2小时打点</w:t>
            </w:r>
          </w:p>
        </w:tc>
        <w:tc>
          <w:tcPr>
            <w:tcW w:w="1559"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07:00—19：00</w:t>
            </w:r>
          </w:p>
        </w:tc>
        <w:tc>
          <w:tcPr>
            <w:tcW w:w="1131"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单休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60" w:hRule="atLeast"/>
        </w:trPr>
        <w:tc>
          <w:tcPr>
            <w:tcW w:w="567"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560"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消控室</w:t>
            </w:r>
          </w:p>
        </w:tc>
        <w:tc>
          <w:tcPr>
            <w:tcW w:w="1417"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消控夜班</w:t>
            </w:r>
          </w:p>
        </w:tc>
        <w:tc>
          <w:tcPr>
            <w:tcW w:w="574"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2545" w:type="dxa"/>
            <w:shd w:val="clear" w:color="auto" w:fill="auto"/>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监视消防控制台及打印设备的信号，监视视频监视系统的动向，监控环境情况，及时作出反应，每隔2小时打点</w:t>
            </w:r>
          </w:p>
        </w:tc>
        <w:tc>
          <w:tcPr>
            <w:tcW w:w="1559"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19:00—07:00</w:t>
            </w:r>
          </w:p>
        </w:tc>
        <w:tc>
          <w:tcPr>
            <w:tcW w:w="1131"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单休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60" w:hRule="atLeast"/>
        </w:trPr>
        <w:tc>
          <w:tcPr>
            <w:tcW w:w="567"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 w:val="22"/>
              </w:rPr>
              <w:t>6</w:t>
            </w:r>
          </w:p>
        </w:tc>
        <w:tc>
          <w:tcPr>
            <w:tcW w:w="1560"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全区域</w:t>
            </w:r>
          </w:p>
        </w:tc>
        <w:tc>
          <w:tcPr>
            <w:tcW w:w="1417"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机动</w:t>
            </w:r>
          </w:p>
        </w:tc>
        <w:tc>
          <w:tcPr>
            <w:tcW w:w="574"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2545" w:type="dxa"/>
            <w:shd w:val="clear" w:color="auto" w:fill="auto"/>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调休安排和高峰期支持</w:t>
            </w:r>
          </w:p>
        </w:tc>
        <w:tc>
          <w:tcPr>
            <w:tcW w:w="1559"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131" w:type="dxa"/>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单休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567" w:type="dxa"/>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合计</w:t>
            </w:r>
          </w:p>
        </w:tc>
        <w:tc>
          <w:tcPr>
            <w:tcW w:w="1417"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574" w:type="dxa"/>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2545" w:type="dxa"/>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59" w:type="dxa"/>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1" w:type="dxa"/>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bl>
    <w:p>
      <w:pPr>
        <w:rPr>
          <w:b/>
          <w:sz w:val="24"/>
        </w:rPr>
      </w:pPr>
    </w:p>
    <w:p>
      <w:pPr>
        <w:rPr>
          <w:b/>
          <w:sz w:val="24"/>
        </w:rPr>
      </w:pPr>
      <w:r>
        <w:rPr>
          <w:rFonts w:hint="eastAsia"/>
          <w:b/>
          <w:sz w:val="24"/>
        </w:rPr>
        <w:t>杭州眼视光科技有限公司洗衣房人员配置需求表</w:t>
      </w:r>
    </w:p>
    <w:tbl>
      <w:tblPr>
        <w:tblStyle w:val="70"/>
        <w:tblW w:w="9353" w:type="dxa"/>
        <w:tblInd w:w="108" w:type="dxa"/>
        <w:tblLayout w:type="autofit"/>
        <w:tblCellMar>
          <w:top w:w="0" w:type="dxa"/>
          <w:left w:w="108" w:type="dxa"/>
          <w:bottom w:w="0" w:type="dxa"/>
          <w:right w:w="108" w:type="dxa"/>
        </w:tblCellMar>
      </w:tblPr>
      <w:tblGrid>
        <w:gridCol w:w="567"/>
        <w:gridCol w:w="1560"/>
        <w:gridCol w:w="1417"/>
        <w:gridCol w:w="574"/>
        <w:gridCol w:w="2261"/>
        <w:gridCol w:w="1699"/>
        <w:gridCol w:w="1275"/>
      </w:tblGrid>
      <w:tr>
        <w:tblPrEx>
          <w:tblCellMar>
            <w:top w:w="0" w:type="dxa"/>
            <w:left w:w="108" w:type="dxa"/>
            <w:bottom w:w="0" w:type="dxa"/>
            <w:right w:w="108" w:type="dxa"/>
          </w:tblCellMar>
        </w:tblPrEx>
        <w:trPr>
          <w:wAfter w:w="0" w:type="dxa"/>
          <w:trHeight w:val="54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序号</w:t>
            </w: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服务区域</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岗位</w:t>
            </w:r>
          </w:p>
        </w:tc>
        <w:tc>
          <w:tcPr>
            <w:tcW w:w="5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人数</w:t>
            </w:r>
          </w:p>
        </w:tc>
        <w:tc>
          <w:tcPr>
            <w:tcW w:w="2261"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职责</w:t>
            </w:r>
          </w:p>
        </w:tc>
        <w:tc>
          <w:tcPr>
            <w:tcW w:w="169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工作时间</w:t>
            </w:r>
          </w:p>
        </w:tc>
        <w:tc>
          <w:tcPr>
            <w:tcW w:w="127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休息时间</w:t>
            </w:r>
          </w:p>
        </w:tc>
      </w:tr>
      <w:tr>
        <w:tblPrEx>
          <w:tblCellMar>
            <w:top w:w="0" w:type="dxa"/>
            <w:left w:w="108" w:type="dxa"/>
            <w:bottom w:w="0" w:type="dxa"/>
            <w:right w:w="108" w:type="dxa"/>
          </w:tblCellMar>
        </w:tblPrEx>
        <w:trPr>
          <w:wAfter w:w="0" w:type="dxa"/>
          <w:trHeight w:val="54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洗衣房</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被服管理</w:t>
            </w:r>
          </w:p>
        </w:tc>
        <w:tc>
          <w:tcPr>
            <w:tcW w:w="5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226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整理折叠并分发各类衣物，缝补破损衣物</w:t>
            </w:r>
          </w:p>
        </w:tc>
        <w:tc>
          <w:tcPr>
            <w:tcW w:w="169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08:00-17：00</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单休</w:t>
            </w:r>
          </w:p>
        </w:tc>
      </w:tr>
      <w:tr>
        <w:tblPrEx>
          <w:tblCellMar>
            <w:top w:w="0" w:type="dxa"/>
            <w:left w:w="108" w:type="dxa"/>
            <w:bottom w:w="0" w:type="dxa"/>
            <w:right w:w="108" w:type="dxa"/>
          </w:tblCellMar>
        </w:tblPrEx>
        <w:trPr>
          <w:wAfter w:w="0" w:type="dxa"/>
          <w:trHeight w:val="54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合计</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57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226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69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bl>
    <w:p>
      <w:pPr>
        <w:rPr>
          <w:b/>
          <w:sz w:val="24"/>
        </w:rPr>
      </w:pPr>
    </w:p>
    <w:p>
      <w:pPr>
        <w:rPr>
          <w:b/>
          <w:sz w:val="24"/>
        </w:rPr>
      </w:pPr>
      <w:r>
        <w:rPr>
          <w:rFonts w:hint="eastAsia"/>
          <w:b/>
          <w:sz w:val="24"/>
        </w:rPr>
        <w:t>杭州眼视光科技有限公司工程设施维护人员配置需求表</w:t>
      </w:r>
    </w:p>
    <w:tbl>
      <w:tblPr>
        <w:tblStyle w:val="70"/>
        <w:tblW w:w="93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560"/>
        <w:gridCol w:w="1417"/>
        <w:gridCol w:w="574"/>
        <w:gridCol w:w="2261"/>
        <w:gridCol w:w="169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40" w:hRule="atLeast"/>
        </w:trPr>
        <w:tc>
          <w:tcPr>
            <w:tcW w:w="567" w:type="dxa"/>
            <w:shd w:val="clear" w:color="auto" w:fill="auto"/>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序号</w:t>
            </w:r>
          </w:p>
        </w:tc>
        <w:tc>
          <w:tcPr>
            <w:tcW w:w="1560" w:type="dxa"/>
            <w:shd w:val="clear" w:color="auto" w:fill="auto"/>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服务区域</w:t>
            </w:r>
          </w:p>
        </w:tc>
        <w:tc>
          <w:tcPr>
            <w:tcW w:w="1417" w:type="dxa"/>
            <w:shd w:val="clear" w:color="auto" w:fill="auto"/>
            <w:noWrap/>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岗位</w:t>
            </w:r>
          </w:p>
        </w:tc>
        <w:tc>
          <w:tcPr>
            <w:tcW w:w="574" w:type="dxa"/>
            <w:shd w:val="clear" w:color="auto" w:fill="auto"/>
            <w:noWrap/>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人数</w:t>
            </w:r>
          </w:p>
        </w:tc>
        <w:tc>
          <w:tcPr>
            <w:tcW w:w="2261" w:type="dxa"/>
            <w:shd w:val="clear" w:color="auto" w:fill="auto"/>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职责</w:t>
            </w:r>
          </w:p>
        </w:tc>
        <w:tc>
          <w:tcPr>
            <w:tcW w:w="1699" w:type="dxa"/>
            <w:shd w:val="clear" w:color="auto" w:fill="auto"/>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工作时间</w:t>
            </w:r>
          </w:p>
        </w:tc>
        <w:tc>
          <w:tcPr>
            <w:tcW w:w="1275" w:type="dxa"/>
            <w:shd w:val="clear" w:color="auto" w:fill="auto"/>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休息时间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40" w:hRule="atLeast"/>
        </w:trPr>
        <w:tc>
          <w:tcPr>
            <w:tcW w:w="567" w:type="dxa"/>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560" w:type="dxa"/>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全区域</w:t>
            </w:r>
          </w:p>
        </w:tc>
        <w:tc>
          <w:tcPr>
            <w:tcW w:w="1417" w:type="dxa"/>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项目主管</w:t>
            </w:r>
          </w:p>
        </w:tc>
        <w:tc>
          <w:tcPr>
            <w:tcW w:w="574" w:type="dxa"/>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2261" w:type="dxa"/>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负责项目运行维修工程类的所有日常管理</w:t>
            </w:r>
          </w:p>
        </w:tc>
        <w:tc>
          <w:tcPr>
            <w:tcW w:w="1699"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08:00-17：00</w:t>
            </w:r>
          </w:p>
        </w:tc>
        <w:tc>
          <w:tcPr>
            <w:tcW w:w="1275" w:type="dxa"/>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双休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1035" w:hRule="atLeast"/>
        </w:trPr>
        <w:tc>
          <w:tcPr>
            <w:tcW w:w="567" w:type="dxa"/>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560" w:type="dxa"/>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全区域</w:t>
            </w:r>
          </w:p>
        </w:tc>
        <w:tc>
          <w:tcPr>
            <w:tcW w:w="1417" w:type="dxa"/>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高压配电</w:t>
            </w:r>
          </w:p>
        </w:tc>
        <w:tc>
          <w:tcPr>
            <w:tcW w:w="574" w:type="dxa"/>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2261" w:type="dxa"/>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负责大楼的高压配电、日常维修工作及暖通系统（所有人员需要具备高配证、电工证）</w:t>
            </w:r>
          </w:p>
        </w:tc>
        <w:tc>
          <w:tcPr>
            <w:tcW w:w="1699" w:type="dxa"/>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24小时</w:t>
            </w:r>
          </w:p>
        </w:tc>
        <w:tc>
          <w:tcPr>
            <w:tcW w:w="1275" w:type="dxa"/>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做一休二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855" w:hRule="atLeast"/>
        </w:trPr>
        <w:tc>
          <w:tcPr>
            <w:tcW w:w="567" w:type="dxa"/>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560" w:type="dxa"/>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全区域</w:t>
            </w:r>
          </w:p>
        </w:tc>
        <w:tc>
          <w:tcPr>
            <w:tcW w:w="1417" w:type="dxa"/>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维修工</w:t>
            </w:r>
          </w:p>
        </w:tc>
        <w:tc>
          <w:tcPr>
            <w:tcW w:w="574" w:type="dxa"/>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2261" w:type="dxa"/>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负责大楼的日常维修工作、给排水系统的日常运行</w:t>
            </w:r>
          </w:p>
        </w:tc>
        <w:tc>
          <w:tcPr>
            <w:tcW w:w="1699" w:type="dxa"/>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08:00-17：00</w:t>
            </w:r>
          </w:p>
        </w:tc>
        <w:tc>
          <w:tcPr>
            <w:tcW w:w="1275" w:type="dxa"/>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双休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40" w:hRule="atLeast"/>
        </w:trPr>
        <w:tc>
          <w:tcPr>
            <w:tcW w:w="567" w:type="dxa"/>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60" w:type="dxa"/>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合计</w:t>
            </w:r>
          </w:p>
        </w:tc>
        <w:tc>
          <w:tcPr>
            <w:tcW w:w="1417" w:type="dxa"/>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574" w:type="dxa"/>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2261" w:type="dxa"/>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699" w:type="dxa"/>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275" w:type="dxa"/>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bl>
    <w:p>
      <w:pPr>
        <w:rPr>
          <w:rFonts w:hint="eastAsia"/>
          <w:b/>
          <w:sz w:val="24"/>
        </w:rPr>
      </w:pPr>
    </w:p>
    <w:p>
      <w:pPr>
        <w:pStyle w:val="4"/>
        <w:jc w:val="center"/>
        <w:rPr>
          <w:rFonts w:ascii="Times New Roman" w:hAnsi="Times New Roman" w:eastAsia="宋体"/>
        </w:rPr>
      </w:pPr>
      <w:r>
        <w:rPr>
          <w:rFonts w:ascii="宋体" w:hAnsi="宋体"/>
          <w:b w:val="0"/>
          <w:sz w:val="28"/>
        </w:rPr>
        <w:br w:type="page"/>
      </w:r>
      <w:bookmarkStart w:id="28" w:name="_Toc18854417"/>
      <w:r>
        <w:rPr>
          <w:rFonts w:ascii="Times New Roman" w:hAnsi="Times New Roman" w:eastAsia="宋体"/>
        </w:rPr>
        <w:t>III、服务需求</w:t>
      </w:r>
      <w:bookmarkEnd w:id="28"/>
    </w:p>
    <w:p>
      <w:pPr>
        <w:pStyle w:val="4"/>
        <w:rPr>
          <w:rFonts w:ascii="宋体" w:hAnsi="宋体" w:eastAsia="宋体"/>
          <w:sz w:val="28"/>
        </w:rPr>
      </w:pPr>
      <w:bookmarkStart w:id="29" w:name="_Toc18854418"/>
      <w:r>
        <w:rPr>
          <w:rFonts w:hint="eastAsia" w:ascii="宋体" w:hAnsi="宋体" w:eastAsia="宋体"/>
          <w:sz w:val="28"/>
        </w:rPr>
        <w:t>一、卫生保洁服务需求：</w:t>
      </w:r>
      <w:bookmarkEnd w:id="29"/>
    </w:p>
    <w:p>
      <w:pPr>
        <w:spacing w:line="360" w:lineRule="auto"/>
        <w:ind w:firstLine="161" w:firstLineChars="67"/>
        <w:jc w:val="center"/>
        <w:rPr>
          <w:rFonts w:ascii="宋体" w:hAnsi="宋体"/>
          <w:b/>
          <w:sz w:val="24"/>
        </w:rPr>
      </w:pPr>
      <w:r>
        <w:rPr>
          <w:rFonts w:hint="eastAsia" w:ascii="宋体" w:hAnsi="宋体"/>
          <w:b/>
          <w:sz w:val="24"/>
        </w:rPr>
        <w:t>（一）保洁服务区域及内容</w:t>
      </w:r>
    </w:p>
    <w:p>
      <w:pPr>
        <w:spacing w:line="360" w:lineRule="auto"/>
        <w:rPr>
          <w:rFonts w:ascii="宋体" w:hAnsi="宋体"/>
          <w:b/>
          <w:sz w:val="24"/>
        </w:rPr>
      </w:pPr>
      <w:r>
        <w:rPr>
          <w:rFonts w:hint="eastAsia" w:ascii="宋体" w:hAnsi="宋体"/>
          <w:b/>
          <w:sz w:val="24"/>
        </w:rPr>
        <w:t>1.1  门诊、病房</w:t>
      </w:r>
    </w:p>
    <w:p>
      <w:pPr>
        <w:tabs>
          <w:tab w:val="left" w:pos="284"/>
        </w:tabs>
        <w:spacing w:line="360" w:lineRule="auto"/>
        <w:ind w:firstLine="480" w:firstLineChars="200"/>
        <w:rPr>
          <w:rFonts w:ascii="宋体" w:hAnsi="宋体"/>
          <w:sz w:val="24"/>
        </w:rPr>
      </w:pPr>
      <w:r>
        <w:rPr>
          <w:rFonts w:ascii="宋体" w:hAnsi="宋体"/>
          <w:sz w:val="24"/>
        </w:rPr>
        <w:t>服务内容：房</w:t>
      </w:r>
      <w:r>
        <w:rPr>
          <w:rFonts w:hint="eastAsia" w:ascii="宋体" w:hAnsi="宋体"/>
          <w:sz w:val="24"/>
        </w:rPr>
        <w:t>间</w:t>
      </w:r>
      <w:r>
        <w:rPr>
          <w:rFonts w:ascii="宋体" w:hAnsi="宋体"/>
          <w:sz w:val="24"/>
        </w:rPr>
        <w:t>、电梯厅、通道、楼梯、卫生间、办公室、值班室及</w:t>
      </w:r>
      <w:r>
        <w:rPr>
          <w:rFonts w:hint="eastAsia" w:ascii="宋体" w:hAnsi="宋体"/>
          <w:sz w:val="24"/>
        </w:rPr>
        <w:t>其他</w:t>
      </w:r>
      <w:r>
        <w:rPr>
          <w:rFonts w:ascii="宋体" w:hAnsi="宋体"/>
          <w:sz w:val="24"/>
        </w:rPr>
        <w:t>用房地面、墙面、天花板、门窗玻璃、门及门窗框，墙壁附体、办公家具、设备（如空调表面、电梯表面及沟槽</w:t>
      </w:r>
      <w:r>
        <w:rPr>
          <w:rFonts w:hint="eastAsia" w:ascii="宋体" w:hAnsi="宋体"/>
          <w:sz w:val="24"/>
        </w:rPr>
        <w:t>、</w:t>
      </w:r>
      <w:r>
        <w:rPr>
          <w:rFonts w:ascii="宋体" w:hAnsi="宋体"/>
          <w:sz w:val="24"/>
        </w:rPr>
        <w:t>电视机等）</w:t>
      </w:r>
      <w:r>
        <w:rPr>
          <w:rFonts w:hint="eastAsia" w:ascii="宋体" w:hAnsi="宋体"/>
          <w:sz w:val="24"/>
        </w:rPr>
        <w:t>、床头柜</w:t>
      </w:r>
      <w:r>
        <w:rPr>
          <w:rFonts w:ascii="宋体" w:hAnsi="宋体"/>
          <w:sz w:val="24"/>
        </w:rPr>
        <w:t>等表面</w:t>
      </w:r>
      <w:r>
        <w:rPr>
          <w:rFonts w:hint="eastAsia" w:ascii="宋体" w:hAnsi="宋体"/>
          <w:sz w:val="24"/>
        </w:rPr>
        <w:t>保洁，并根据区域要求严格按照相应消</w:t>
      </w:r>
      <w:r>
        <w:rPr>
          <w:rFonts w:ascii="宋体" w:hAnsi="宋体"/>
          <w:sz w:val="24"/>
        </w:rPr>
        <w:t>毒</w:t>
      </w:r>
      <w:r>
        <w:rPr>
          <w:rFonts w:hint="eastAsia" w:ascii="宋体" w:hAnsi="宋体"/>
          <w:sz w:val="24"/>
        </w:rPr>
        <w:t>规范操作；</w:t>
      </w:r>
    </w:p>
    <w:p>
      <w:pPr>
        <w:spacing w:line="360" w:lineRule="auto"/>
        <w:ind w:firstLine="161" w:firstLineChars="67"/>
        <w:rPr>
          <w:rFonts w:ascii="宋体" w:hAnsi="宋体"/>
          <w:b/>
          <w:sz w:val="24"/>
        </w:rPr>
      </w:pPr>
      <w:r>
        <w:rPr>
          <w:rFonts w:hint="eastAsia" w:ascii="宋体" w:hAnsi="宋体"/>
          <w:b/>
          <w:sz w:val="24"/>
        </w:rPr>
        <w:t>1.2  办公区域</w:t>
      </w:r>
    </w:p>
    <w:p>
      <w:pPr>
        <w:spacing w:line="360" w:lineRule="auto"/>
        <w:ind w:firstLine="480" w:firstLineChars="200"/>
        <w:rPr>
          <w:rFonts w:hint="eastAsia" w:ascii="宋体" w:hAnsi="宋体"/>
          <w:sz w:val="24"/>
        </w:rPr>
      </w:pPr>
      <w:r>
        <w:rPr>
          <w:rFonts w:ascii="宋体" w:hAnsi="宋体"/>
          <w:sz w:val="24"/>
        </w:rPr>
        <w:t>服务内容：办公室、楼道、楼梯、卫生间及其他用房地面、墙面、天花板</w:t>
      </w:r>
      <w:r>
        <w:rPr>
          <w:rFonts w:hint="eastAsia" w:ascii="宋体" w:hAnsi="宋体"/>
          <w:sz w:val="24"/>
        </w:rPr>
        <w:t>（含裸露管道表面）</w:t>
      </w:r>
      <w:r>
        <w:rPr>
          <w:rFonts w:ascii="宋体" w:hAnsi="宋体"/>
          <w:sz w:val="24"/>
        </w:rPr>
        <w:t>、门窗玻璃、门及门窗框，墙壁附体、办公家具、设备（包括电脑、打印机、传真机等）</w:t>
      </w:r>
      <w:r>
        <w:rPr>
          <w:rFonts w:hint="eastAsia" w:ascii="宋体" w:hAnsi="宋体"/>
          <w:sz w:val="24"/>
        </w:rPr>
        <w:t>的清洁及</w:t>
      </w:r>
      <w:r>
        <w:rPr>
          <w:rFonts w:ascii="宋体" w:hAnsi="宋体"/>
          <w:sz w:val="24"/>
        </w:rPr>
        <w:t>桌面简单整理等</w:t>
      </w:r>
      <w:r>
        <w:rPr>
          <w:rFonts w:hint="eastAsia" w:ascii="宋体" w:hAnsi="宋体"/>
          <w:sz w:val="24"/>
        </w:rPr>
        <w:t>；</w:t>
      </w:r>
    </w:p>
    <w:p>
      <w:pPr>
        <w:spacing w:line="360" w:lineRule="auto"/>
        <w:ind w:firstLine="161" w:firstLineChars="67"/>
        <w:rPr>
          <w:rFonts w:ascii="宋体" w:hAnsi="宋体"/>
          <w:b/>
          <w:sz w:val="24"/>
        </w:rPr>
      </w:pPr>
      <w:r>
        <w:rPr>
          <w:rFonts w:hint="eastAsia" w:ascii="宋体" w:hAnsi="宋体"/>
          <w:b/>
          <w:sz w:val="24"/>
        </w:rPr>
        <w:t xml:space="preserve">1.3  </w:t>
      </w:r>
      <w:r>
        <w:rPr>
          <w:rFonts w:ascii="宋体" w:hAnsi="宋体"/>
          <w:b/>
          <w:sz w:val="24"/>
        </w:rPr>
        <w:t xml:space="preserve">公共场所 </w:t>
      </w:r>
    </w:p>
    <w:p>
      <w:pPr>
        <w:spacing w:line="360" w:lineRule="auto"/>
        <w:ind w:firstLine="480" w:firstLineChars="200"/>
        <w:rPr>
          <w:rFonts w:ascii="宋体" w:hAnsi="宋体"/>
          <w:sz w:val="24"/>
        </w:rPr>
      </w:pPr>
      <w:r>
        <w:rPr>
          <w:rFonts w:ascii="宋体" w:hAnsi="宋体"/>
          <w:sz w:val="24"/>
        </w:rPr>
        <w:t>服务内容：</w:t>
      </w:r>
      <w:r>
        <w:rPr>
          <w:rFonts w:hint="eastAsia" w:ascii="宋体" w:hAnsi="宋体"/>
          <w:sz w:val="24"/>
        </w:rPr>
        <w:t>各类材质</w:t>
      </w:r>
      <w:r>
        <w:rPr>
          <w:rFonts w:ascii="宋体" w:hAnsi="宋体"/>
          <w:sz w:val="24"/>
        </w:rPr>
        <w:t>地面、扶手、门窗玻璃、门及门窗框、幕玻璃，</w:t>
      </w:r>
      <w:r>
        <w:rPr>
          <w:rFonts w:hint="eastAsia" w:ascii="宋体" w:hAnsi="宋体"/>
          <w:sz w:val="24"/>
        </w:rPr>
        <w:t>排</w:t>
      </w:r>
      <w:r>
        <w:rPr>
          <w:rFonts w:ascii="宋体" w:hAnsi="宋体"/>
          <w:sz w:val="24"/>
        </w:rPr>
        <w:t>椅、桌子、各类宣传牌、</w:t>
      </w:r>
      <w:r>
        <w:rPr>
          <w:rFonts w:hint="eastAsia" w:ascii="宋体" w:hAnsi="宋体"/>
          <w:sz w:val="24"/>
        </w:rPr>
        <w:t>艺术摆设品、</w:t>
      </w:r>
      <w:r>
        <w:rPr>
          <w:rFonts w:ascii="宋体" w:hAnsi="宋体"/>
          <w:sz w:val="24"/>
        </w:rPr>
        <w:t>橱窗及有关附体，天花板、栏杆、绿化区域</w:t>
      </w:r>
      <w:r>
        <w:rPr>
          <w:rFonts w:hint="eastAsia" w:ascii="宋体" w:hAnsi="宋体"/>
          <w:sz w:val="24"/>
        </w:rPr>
        <w:t>、绿化盆、室外吸烟区</w:t>
      </w:r>
      <w:r>
        <w:rPr>
          <w:rFonts w:ascii="宋体" w:hAnsi="宋体"/>
          <w:sz w:val="24"/>
        </w:rPr>
        <w:t>等</w:t>
      </w:r>
      <w:r>
        <w:rPr>
          <w:rFonts w:hint="eastAsia" w:ascii="宋体" w:hAnsi="宋体"/>
          <w:sz w:val="24"/>
        </w:rPr>
        <w:t>；</w:t>
      </w:r>
    </w:p>
    <w:p>
      <w:pPr>
        <w:spacing w:line="360" w:lineRule="auto"/>
        <w:ind w:firstLine="161" w:firstLineChars="67"/>
        <w:rPr>
          <w:rFonts w:ascii="宋体" w:hAnsi="宋体"/>
          <w:b/>
          <w:sz w:val="24"/>
        </w:rPr>
      </w:pPr>
      <w:r>
        <w:rPr>
          <w:rFonts w:hint="eastAsia" w:ascii="宋体" w:hAnsi="宋体"/>
          <w:b/>
          <w:sz w:val="24"/>
        </w:rPr>
        <w:t>1.4  宿舍</w:t>
      </w:r>
    </w:p>
    <w:p>
      <w:pPr>
        <w:spacing w:line="360" w:lineRule="auto"/>
        <w:ind w:firstLine="480" w:firstLineChars="200"/>
        <w:rPr>
          <w:rFonts w:ascii="宋体" w:hAnsi="宋体"/>
          <w:sz w:val="24"/>
        </w:rPr>
      </w:pPr>
      <w:r>
        <w:rPr>
          <w:rFonts w:ascii="宋体" w:hAnsi="宋体"/>
          <w:sz w:val="24"/>
        </w:rPr>
        <w:t>服务内容：地面、墙面、天花板、门窗玻璃、门及门窗框、墙壁附体，家具</w:t>
      </w:r>
      <w:r>
        <w:rPr>
          <w:rFonts w:hint="eastAsia" w:ascii="宋体" w:hAnsi="宋体"/>
          <w:sz w:val="24"/>
        </w:rPr>
        <w:t>卫浴</w:t>
      </w:r>
      <w:r>
        <w:rPr>
          <w:rFonts w:ascii="宋体" w:hAnsi="宋体"/>
          <w:sz w:val="24"/>
        </w:rPr>
        <w:t>表面、普通机器设备表面（无特殊要求的）</w:t>
      </w:r>
      <w:r>
        <w:rPr>
          <w:rFonts w:hint="eastAsia" w:ascii="宋体" w:hAnsi="宋体"/>
          <w:sz w:val="24"/>
        </w:rPr>
        <w:t>；</w:t>
      </w:r>
    </w:p>
    <w:p>
      <w:pPr>
        <w:spacing w:line="360" w:lineRule="auto"/>
        <w:ind w:firstLine="161" w:firstLineChars="67"/>
        <w:rPr>
          <w:rFonts w:ascii="宋体" w:hAnsi="宋体"/>
          <w:b/>
          <w:sz w:val="24"/>
        </w:rPr>
      </w:pPr>
      <w:r>
        <w:rPr>
          <w:rFonts w:hint="eastAsia" w:ascii="宋体" w:hAnsi="宋体"/>
          <w:b/>
          <w:sz w:val="24"/>
        </w:rPr>
        <w:t xml:space="preserve">1.5  </w:t>
      </w:r>
      <w:r>
        <w:rPr>
          <w:rFonts w:ascii="宋体" w:hAnsi="宋体"/>
          <w:b/>
          <w:sz w:val="24"/>
        </w:rPr>
        <w:t>顶篷、露天阳台等边缘区域，包括</w:t>
      </w:r>
      <w:r>
        <w:rPr>
          <w:rFonts w:hint="eastAsia" w:ascii="宋体" w:hAnsi="宋体"/>
          <w:b/>
          <w:sz w:val="24"/>
        </w:rPr>
        <w:t>大</w:t>
      </w:r>
      <w:r>
        <w:rPr>
          <w:rFonts w:ascii="宋体" w:hAnsi="宋体"/>
          <w:b/>
          <w:sz w:val="24"/>
        </w:rPr>
        <w:t>楼的顶楼、露天阳台、边角区域等</w:t>
      </w:r>
    </w:p>
    <w:p>
      <w:pPr>
        <w:spacing w:line="360" w:lineRule="auto"/>
        <w:ind w:firstLine="480" w:firstLineChars="200"/>
        <w:rPr>
          <w:rFonts w:ascii="宋体" w:hAnsi="宋体"/>
          <w:sz w:val="24"/>
        </w:rPr>
      </w:pPr>
      <w:r>
        <w:rPr>
          <w:rFonts w:ascii="宋体" w:hAnsi="宋体"/>
          <w:sz w:val="24"/>
        </w:rPr>
        <w:t>服务内容：沟槽、地面、雨篷及边角区域，各种附体</w:t>
      </w:r>
      <w:r>
        <w:rPr>
          <w:rFonts w:hint="eastAsia" w:ascii="宋体" w:hAnsi="宋体"/>
          <w:sz w:val="24"/>
        </w:rPr>
        <w:t>（如垃圾桶）</w:t>
      </w:r>
      <w:r>
        <w:rPr>
          <w:rFonts w:ascii="宋体" w:hAnsi="宋体"/>
          <w:sz w:val="24"/>
        </w:rPr>
        <w:t>的表面</w:t>
      </w:r>
      <w:r>
        <w:rPr>
          <w:rFonts w:hint="eastAsia" w:ascii="宋体" w:hAnsi="宋体"/>
          <w:sz w:val="24"/>
        </w:rPr>
        <w:t>；</w:t>
      </w:r>
    </w:p>
    <w:p>
      <w:pPr>
        <w:spacing w:line="360" w:lineRule="auto"/>
        <w:ind w:firstLine="161" w:firstLineChars="67"/>
        <w:rPr>
          <w:rFonts w:ascii="宋体" w:hAnsi="宋体"/>
          <w:b/>
          <w:sz w:val="24"/>
        </w:rPr>
      </w:pPr>
      <w:r>
        <w:rPr>
          <w:rFonts w:hint="eastAsia" w:ascii="宋体" w:hAnsi="宋体"/>
          <w:b/>
          <w:sz w:val="24"/>
        </w:rPr>
        <w:t xml:space="preserve">1.6  </w:t>
      </w:r>
      <w:r>
        <w:rPr>
          <w:rFonts w:ascii="宋体" w:hAnsi="宋体"/>
          <w:b/>
          <w:sz w:val="24"/>
        </w:rPr>
        <w:t>保障及</w:t>
      </w:r>
      <w:r>
        <w:rPr>
          <w:rFonts w:hint="eastAsia" w:ascii="宋体" w:hAnsi="宋体"/>
          <w:b/>
          <w:sz w:val="24"/>
        </w:rPr>
        <w:t>一般</w:t>
      </w:r>
      <w:r>
        <w:rPr>
          <w:rFonts w:ascii="宋体" w:hAnsi="宋体"/>
          <w:b/>
          <w:sz w:val="24"/>
        </w:rPr>
        <w:t>设施类</w:t>
      </w:r>
    </w:p>
    <w:p>
      <w:pPr>
        <w:spacing w:line="360" w:lineRule="auto"/>
        <w:ind w:firstLine="480" w:firstLineChars="200"/>
        <w:rPr>
          <w:rFonts w:ascii="宋体" w:hAnsi="宋体"/>
          <w:sz w:val="24"/>
        </w:rPr>
      </w:pPr>
      <w:r>
        <w:rPr>
          <w:rFonts w:ascii="宋体" w:hAnsi="宋体"/>
          <w:sz w:val="24"/>
        </w:rPr>
        <w:t>服务内容：一般机器表面清洁（</w:t>
      </w:r>
      <w:r>
        <w:rPr>
          <w:rFonts w:hint="eastAsia" w:ascii="宋体" w:hAnsi="宋体"/>
          <w:sz w:val="24"/>
        </w:rPr>
        <w:t>公司</w:t>
      </w:r>
      <w:r>
        <w:rPr>
          <w:rFonts w:ascii="宋体" w:hAnsi="宋体"/>
          <w:sz w:val="24"/>
        </w:rPr>
        <w:t>有特殊规定的机器除外），消防设施、空调的过滤网</w:t>
      </w:r>
      <w:r>
        <w:rPr>
          <w:rFonts w:hint="eastAsia" w:ascii="宋体" w:hAnsi="宋体"/>
          <w:sz w:val="24"/>
        </w:rPr>
        <w:t>和</w:t>
      </w:r>
      <w:r>
        <w:rPr>
          <w:rFonts w:ascii="宋体" w:hAnsi="宋体"/>
          <w:sz w:val="24"/>
        </w:rPr>
        <w:t>外壳洗尘与保洁</w:t>
      </w:r>
      <w:r>
        <w:rPr>
          <w:rFonts w:hint="eastAsia" w:ascii="宋体" w:hAnsi="宋体"/>
          <w:sz w:val="24"/>
        </w:rPr>
        <w:t>；</w:t>
      </w:r>
    </w:p>
    <w:p>
      <w:pPr>
        <w:spacing w:line="360" w:lineRule="auto"/>
        <w:ind w:firstLine="161" w:firstLineChars="67"/>
        <w:rPr>
          <w:rFonts w:ascii="宋体" w:hAnsi="宋体"/>
          <w:b/>
          <w:sz w:val="24"/>
        </w:rPr>
      </w:pPr>
      <w:r>
        <w:rPr>
          <w:rFonts w:hint="eastAsia" w:ascii="宋体" w:hAnsi="宋体"/>
          <w:b/>
          <w:sz w:val="24"/>
        </w:rPr>
        <w:t xml:space="preserve">1.7  </w:t>
      </w:r>
      <w:r>
        <w:rPr>
          <w:rFonts w:ascii="宋体" w:hAnsi="宋体"/>
          <w:b/>
          <w:sz w:val="24"/>
        </w:rPr>
        <w:t>地</w:t>
      </w:r>
      <w:r>
        <w:rPr>
          <w:rFonts w:hint="eastAsia" w:ascii="宋体" w:hAnsi="宋体"/>
          <w:b/>
          <w:sz w:val="24"/>
        </w:rPr>
        <w:t>面清洗</w:t>
      </w:r>
    </w:p>
    <w:p>
      <w:pPr>
        <w:spacing w:line="360" w:lineRule="auto"/>
        <w:ind w:firstLine="480" w:firstLineChars="200"/>
        <w:rPr>
          <w:rFonts w:ascii="宋体" w:hAnsi="宋体"/>
          <w:sz w:val="24"/>
        </w:rPr>
      </w:pPr>
      <w:r>
        <w:rPr>
          <w:rFonts w:ascii="宋体" w:hAnsi="宋体"/>
          <w:sz w:val="24"/>
        </w:rPr>
        <w:t>服务内容：</w:t>
      </w:r>
      <w:r>
        <w:rPr>
          <w:rFonts w:hint="eastAsia" w:ascii="宋体" w:hAnsi="宋体"/>
          <w:sz w:val="24"/>
        </w:rPr>
        <w:t>大楼外公共区域每周至少清洗两次；</w:t>
      </w:r>
      <w:r>
        <w:rPr>
          <w:rFonts w:ascii="宋体" w:hAnsi="宋体"/>
          <w:sz w:val="24"/>
        </w:rPr>
        <w:t>大厅</w:t>
      </w:r>
      <w:r>
        <w:rPr>
          <w:rFonts w:hint="eastAsia" w:ascii="宋体" w:hAnsi="宋体"/>
          <w:sz w:val="24"/>
        </w:rPr>
        <w:t>地面每天至少清洗两次；其他区域的PVC地毯、办公区域地毯每季度清洗一次；</w:t>
      </w:r>
    </w:p>
    <w:p>
      <w:pPr>
        <w:spacing w:line="360" w:lineRule="auto"/>
        <w:ind w:firstLine="161" w:firstLineChars="67"/>
        <w:rPr>
          <w:rFonts w:ascii="宋体" w:hAnsi="宋体"/>
          <w:b/>
          <w:sz w:val="24"/>
        </w:rPr>
      </w:pPr>
      <w:r>
        <w:rPr>
          <w:rFonts w:hint="eastAsia" w:ascii="宋体" w:hAnsi="宋体"/>
          <w:b/>
          <w:sz w:val="24"/>
        </w:rPr>
        <w:t>1.8  床</w:t>
      </w:r>
      <w:r>
        <w:rPr>
          <w:rFonts w:ascii="宋体" w:hAnsi="宋体"/>
          <w:b/>
          <w:sz w:val="24"/>
        </w:rPr>
        <w:t>帘</w:t>
      </w:r>
    </w:p>
    <w:p>
      <w:pPr>
        <w:spacing w:line="360" w:lineRule="auto"/>
        <w:ind w:firstLine="480" w:firstLineChars="200"/>
        <w:rPr>
          <w:rFonts w:ascii="宋体" w:hAnsi="宋体"/>
          <w:sz w:val="24"/>
        </w:rPr>
      </w:pPr>
      <w:r>
        <w:rPr>
          <w:rFonts w:ascii="宋体" w:hAnsi="宋体"/>
          <w:sz w:val="24"/>
        </w:rPr>
        <w:t>服务内容：根据</w:t>
      </w:r>
      <w:r>
        <w:rPr>
          <w:rFonts w:hint="eastAsia" w:ascii="宋体" w:hAnsi="宋体"/>
          <w:sz w:val="24"/>
        </w:rPr>
        <w:t>院感要求，床</w:t>
      </w:r>
      <w:r>
        <w:rPr>
          <w:rFonts w:ascii="宋体" w:hAnsi="宋体"/>
          <w:sz w:val="24"/>
        </w:rPr>
        <w:t>帘清洁</w:t>
      </w:r>
      <w:r>
        <w:rPr>
          <w:rFonts w:hint="eastAsia" w:ascii="宋体" w:hAnsi="宋体"/>
          <w:sz w:val="24"/>
        </w:rPr>
        <w:t>每季度至少</w:t>
      </w:r>
      <w:r>
        <w:rPr>
          <w:rFonts w:ascii="宋体" w:hAnsi="宋体"/>
          <w:sz w:val="24"/>
        </w:rPr>
        <w:t>拆装</w:t>
      </w:r>
      <w:r>
        <w:rPr>
          <w:rFonts w:hint="eastAsia" w:ascii="宋体" w:hAnsi="宋体"/>
          <w:sz w:val="24"/>
        </w:rPr>
        <w:t>清洗一次，床帘清洗交洗衣房；</w:t>
      </w:r>
    </w:p>
    <w:p>
      <w:pPr>
        <w:spacing w:line="360" w:lineRule="auto"/>
        <w:ind w:firstLine="161" w:firstLineChars="67"/>
        <w:rPr>
          <w:rFonts w:ascii="宋体" w:hAnsi="宋体"/>
          <w:b/>
          <w:sz w:val="24"/>
        </w:rPr>
      </w:pPr>
      <w:r>
        <w:rPr>
          <w:rFonts w:hint="eastAsia" w:ascii="宋体" w:hAnsi="宋体"/>
          <w:b/>
          <w:sz w:val="24"/>
        </w:rPr>
        <w:t>1.9  医疗/生活</w:t>
      </w:r>
      <w:r>
        <w:rPr>
          <w:rFonts w:ascii="宋体" w:hAnsi="宋体"/>
          <w:b/>
          <w:sz w:val="24"/>
        </w:rPr>
        <w:t>垃圾</w:t>
      </w:r>
      <w:r>
        <w:rPr>
          <w:rFonts w:hint="eastAsia" w:ascii="宋体" w:hAnsi="宋体"/>
          <w:b/>
          <w:sz w:val="24"/>
        </w:rPr>
        <w:t>收集</w:t>
      </w:r>
    </w:p>
    <w:p>
      <w:pPr>
        <w:spacing w:line="360" w:lineRule="auto"/>
        <w:ind w:firstLine="480" w:firstLineChars="200"/>
        <w:rPr>
          <w:rFonts w:ascii="宋体" w:hAnsi="宋体"/>
          <w:sz w:val="24"/>
        </w:rPr>
      </w:pPr>
      <w:r>
        <w:rPr>
          <w:rFonts w:ascii="宋体" w:hAnsi="宋体"/>
          <w:sz w:val="24"/>
        </w:rPr>
        <w:t>服务内容：</w:t>
      </w:r>
      <w:r>
        <w:rPr>
          <w:rFonts w:hint="eastAsia" w:ascii="宋体" w:hAnsi="宋体"/>
          <w:sz w:val="24"/>
        </w:rPr>
        <w:t>医疗垃圾必须严格按照院感相关规定收集至指定区域,并做好与医废回收公司的交接登记工作；</w:t>
      </w:r>
      <w:r>
        <w:rPr>
          <w:rFonts w:ascii="宋体" w:hAnsi="宋体"/>
          <w:sz w:val="24"/>
        </w:rPr>
        <w:t>各类</w:t>
      </w:r>
      <w:r>
        <w:rPr>
          <w:rFonts w:hint="eastAsia" w:ascii="宋体" w:hAnsi="宋体"/>
          <w:sz w:val="24"/>
        </w:rPr>
        <w:t>生活</w:t>
      </w:r>
      <w:r>
        <w:rPr>
          <w:rFonts w:ascii="宋体" w:hAnsi="宋体"/>
          <w:sz w:val="24"/>
        </w:rPr>
        <w:t>垃圾</w:t>
      </w:r>
      <w:r>
        <w:rPr>
          <w:rFonts w:hint="eastAsia" w:ascii="宋体" w:hAnsi="宋体"/>
          <w:sz w:val="24"/>
        </w:rPr>
        <w:t>严格按照政府垃圾分类规定，进行垃圾分类与收集，并</w:t>
      </w:r>
      <w:r>
        <w:rPr>
          <w:rFonts w:ascii="宋体" w:hAnsi="宋体"/>
          <w:sz w:val="24"/>
        </w:rPr>
        <w:t>运到</w:t>
      </w:r>
      <w:r>
        <w:rPr>
          <w:rFonts w:hint="eastAsia" w:ascii="宋体" w:hAnsi="宋体"/>
          <w:sz w:val="24"/>
        </w:rPr>
        <w:t>指定</w:t>
      </w:r>
      <w:r>
        <w:rPr>
          <w:rFonts w:ascii="宋体" w:hAnsi="宋体"/>
          <w:sz w:val="24"/>
        </w:rPr>
        <w:t>的</w:t>
      </w:r>
      <w:r>
        <w:rPr>
          <w:rFonts w:hint="eastAsia" w:ascii="宋体" w:hAnsi="宋体"/>
          <w:sz w:val="24"/>
        </w:rPr>
        <w:t>生活垃圾房</w:t>
      </w:r>
      <w:r>
        <w:rPr>
          <w:rFonts w:ascii="宋体" w:hAnsi="宋体"/>
          <w:sz w:val="24"/>
        </w:rPr>
        <w:t>，</w:t>
      </w:r>
      <w:r>
        <w:rPr>
          <w:rFonts w:hint="eastAsia" w:ascii="宋体" w:hAnsi="宋体"/>
          <w:sz w:val="24"/>
        </w:rPr>
        <w:t>各区域</w:t>
      </w:r>
      <w:r>
        <w:rPr>
          <w:rFonts w:ascii="宋体" w:hAnsi="宋体"/>
          <w:sz w:val="24"/>
        </w:rPr>
        <w:t>无堆积垃圾</w:t>
      </w:r>
      <w:r>
        <w:rPr>
          <w:rFonts w:hint="eastAsia" w:ascii="宋体" w:hAnsi="宋体"/>
          <w:sz w:val="24"/>
        </w:rPr>
        <w:t>。</w:t>
      </w:r>
      <w:r>
        <w:rPr>
          <w:rFonts w:ascii="宋体" w:hAnsi="宋体"/>
          <w:sz w:val="24"/>
        </w:rPr>
        <w:t>；</w:t>
      </w:r>
    </w:p>
    <w:p>
      <w:pPr>
        <w:spacing w:line="360" w:lineRule="auto"/>
        <w:ind w:firstLine="161" w:firstLineChars="67"/>
        <w:rPr>
          <w:rFonts w:ascii="宋体" w:hAnsi="宋体"/>
          <w:b/>
          <w:sz w:val="24"/>
        </w:rPr>
      </w:pPr>
      <w:r>
        <w:rPr>
          <w:rFonts w:hint="eastAsia" w:ascii="宋体" w:hAnsi="宋体"/>
          <w:b/>
          <w:sz w:val="24"/>
        </w:rPr>
        <w:t>1.10  标本配送</w:t>
      </w:r>
    </w:p>
    <w:p>
      <w:pPr>
        <w:spacing w:line="360" w:lineRule="auto"/>
        <w:ind w:firstLine="480" w:firstLineChars="200"/>
        <w:rPr>
          <w:rFonts w:ascii="宋体" w:hAnsi="宋体"/>
          <w:sz w:val="24"/>
        </w:rPr>
      </w:pPr>
      <w:r>
        <w:rPr>
          <w:rFonts w:hint="eastAsia" w:ascii="宋体" w:hAnsi="宋体"/>
          <w:sz w:val="24"/>
        </w:rPr>
        <w:t>服务内容：按要求将标本送至指定区域，并做好标本录入登记</w:t>
      </w:r>
      <w:r>
        <w:rPr>
          <w:rFonts w:ascii="宋体" w:hAnsi="宋体"/>
          <w:sz w:val="24"/>
        </w:rPr>
        <w:t>；</w:t>
      </w:r>
    </w:p>
    <w:p>
      <w:pPr>
        <w:spacing w:line="360" w:lineRule="auto"/>
        <w:ind w:firstLine="161" w:firstLineChars="67"/>
        <w:rPr>
          <w:rFonts w:ascii="宋体" w:hAnsi="宋体"/>
          <w:b/>
          <w:sz w:val="24"/>
        </w:rPr>
      </w:pPr>
      <w:r>
        <w:rPr>
          <w:rFonts w:hint="eastAsia" w:ascii="宋体" w:hAnsi="宋体"/>
          <w:b/>
          <w:sz w:val="24"/>
        </w:rPr>
        <w:t>1.11</w:t>
      </w:r>
      <w:r>
        <w:rPr>
          <w:rFonts w:ascii="宋体" w:hAnsi="宋体"/>
          <w:b/>
          <w:sz w:val="24"/>
        </w:rPr>
        <w:t>感</w:t>
      </w:r>
      <w:r>
        <w:rPr>
          <w:rFonts w:hint="eastAsia" w:ascii="宋体" w:hAnsi="宋体"/>
          <w:b/>
          <w:sz w:val="24"/>
        </w:rPr>
        <w:t>染</w:t>
      </w:r>
      <w:r>
        <w:rPr>
          <w:rFonts w:ascii="宋体" w:hAnsi="宋体"/>
          <w:b/>
          <w:sz w:val="24"/>
        </w:rPr>
        <w:t>管</w:t>
      </w:r>
      <w:r>
        <w:rPr>
          <w:rFonts w:hint="eastAsia" w:ascii="宋体" w:hAnsi="宋体"/>
          <w:b/>
          <w:sz w:val="24"/>
        </w:rPr>
        <w:t>理</w:t>
      </w:r>
      <w:r>
        <w:rPr>
          <w:rFonts w:ascii="宋体" w:hAnsi="宋体"/>
          <w:b/>
          <w:sz w:val="24"/>
        </w:rPr>
        <w:t>方面的擦拭</w:t>
      </w:r>
    </w:p>
    <w:p>
      <w:pPr>
        <w:spacing w:line="360" w:lineRule="auto"/>
        <w:ind w:firstLine="480" w:firstLineChars="200"/>
        <w:rPr>
          <w:rFonts w:ascii="宋体" w:hAnsi="宋体"/>
          <w:sz w:val="24"/>
        </w:rPr>
      </w:pPr>
      <w:r>
        <w:rPr>
          <w:rFonts w:ascii="宋体" w:hAnsi="宋体"/>
          <w:sz w:val="24"/>
        </w:rPr>
        <w:t>服务内容：如</w:t>
      </w:r>
      <w:r>
        <w:rPr>
          <w:rFonts w:hint="eastAsia" w:ascii="宋体" w:hAnsi="宋体"/>
          <w:sz w:val="24"/>
        </w:rPr>
        <w:t>医院</w:t>
      </w:r>
      <w:r>
        <w:rPr>
          <w:rFonts w:ascii="宋体" w:hAnsi="宋体"/>
          <w:sz w:val="24"/>
        </w:rPr>
        <w:t>感</w:t>
      </w:r>
      <w:r>
        <w:rPr>
          <w:rFonts w:hint="eastAsia" w:ascii="宋体" w:hAnsi="宋体"/>
          <w:sz w:val="24"/>
        </w:rPr>
        <w:t>染</w:t>
      </w:r>
      <w:r>
        <w:rPr>
          <w:rFonts w:ascii="宋体" w:hAnsi="宋体"/>
          <w:sz w:val="24"/>
        </w:rPr>
        <w:t>管</w:t>
      </w:r>
      <w:r>
        <w:rPr>
          <w:rFonts w:hint="eastAsia" w:ascii="宋体" w:hAnsi="宋体"/>
          <w:sz w:val="24"/>
        </w:rPr>
        <w:t>理</w:t>
      </w:r>
      <w:r>
        <w:rPr>
          <w:rFonts w:ascii="宋体" w:hAnsi="宋体"/>
          <w:sz w:val="24"/>
        </w:rPr>
        <w:t>方面的服务内容发生变化，</w:t>
      </w:r>
      <w:r>
        <w:rPr>
          <w:rFonts w:hint="eastAsia" w:ascii="宋体" w:hAnsi="宋体"/>
          <w:sz w:val="24"/>
        </w:rPr>
        <w:t>中标人</w:t>
      </w:r>
      <w:r>
        <w:rPr>
          <w:rFonts w:ascii="宋体" w:hAnsi="宋体"/>
          <w:sz w:val="24"/>
        </w:rPr>
        <w:t>要完成将发生变化的内容（</w:t>
      </w:r>
      <w:r>
        <w:rPr>
          <w:rFonts w:hint="eastAsia" w:ascii="宋体" w:hAnsi="宋体"/>
          <w:sz w:val="24"/>
        </w:rPr>
        <w:t>医院</w:t>
      </w:r>
      <w:r>
        <w:rPr>
          <w:rFonts w:ascii="宋体" w:hAnsi="宋体"/>
          <w:sz w:val="24"/>
        </w:rPr>
        <w:t>不另支付费用）。</w:t>
      </w:r>
    </w:p>
    <w:p>
      <w:pPr>
        <w:jc w:val="center"/>
        <w:rPr>
          <w:b/>
          <w:sz w:val="24"/>
          <w:u w:val="single"/>
        </w:rPr>
      </w:pPr>
      <w:r>
        <w:rPr>
          <w:bCs/>
          <w:sz w:val="24"/>
          <w:u w:val="single"/>
        </w:rPr>
        <w:t>▲</w:t>
      </w:r>
      <w:r>
        <w:rPr>
          <w:b/>
          <w:sz w:val="24"/>
          <w:u w:val="single"/>
        </w:rPr>
        <w:t>（二）保洁设备最低要求</w:t>
      </w:r>
    </w:p>
    <w:tbl>
      <w:tblPr>
        <w:tblStyle w:val="70"/>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6"/>
        <w:gridCol w:w="4600"/>
        <w:gridCol w:w="989"/>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jc w:val="center"/>
        </w:trPr>
        <w:tc>
          <w:tcPr>
            <w:tcW w:w="2646" w:type="dxa"/>
            <w:noWrap w:val="0"/>
            <w:vAlign w:val="center"/>
          </w:tcPr>
          <w:p>
            <w:pPr>
              <w:widowControl/>
              <w:jc w:val="center"/>
              <w:rPr>
                <w:b/>
                <w:kern w:val="0"/>
                <w:sz w:val="24"/>
              </w:rPr>
            </w:pPr>
            <w:r>
              <w:rPr>
                <w:b/>
                <w:kern w:val="0"/>
                <w:sz w:val="24"/>
              </w:rPr>
              <w:t>设备名称</w:t>
            </w:r>
          </w:p>
        </w:tc>
        <w:tc>
          <w:tcPr>
            <w:tcW w:w="4600" w:type="dxa"/>
            <w:noWrap w:val="0"/>
            <w:vAlign w:val="center"/>
          </w:tcPr>
          <w:p>
            <w:pPr>
              <w:widowControl/>
              <w:jc w:val="center"/>
              <w:rPr>
                <w:b/>
                <w:kern w:val="0"/>
                <w:sz w:val="24"/>
              </w:rPr>
            </w:pPr>
            <w:r>
              <w:rPr>
                <w:b/>
                <w:kern w:val="0"/>
                <w:sz w:val="24"/>
              </w:rPr>
              <w:t>品牌</w:t>
            </w:r>
          </w:p>
        </w:tc>
        <w:tc>
          <w:tcPr>
            <w:tcW w:w="989" w:type="dxa"/>
            <w:noWrap w:val="0"/>
            <w:vAlign w:val="center"/>
          </w:tcPr>
          <w:p>
            <w:pPr>
              <w:widowControl/>
              <w:jc w:val="center"/>
              <w:rPr>
                <w:b/>
                <w:kern w:val="0"/>
                <w:sz w:val="24"/>
              </w:rPr>
            </w:pPr>
            <w:r>
              <w:rPr>
                <w:b/>
                <w:kern w:val="0"/>
                <w:sz w:val="24"/>
              </w:rPr>
              <w:t>数量</w:t>
            </w:r>
          </w:p>
        </w:tc>
        <w:tc>
          <w:tcPr>
            <w:tcW w:w="1118" w:type="dxa"/>
            <w:noWrap w:val="0"/>
            <w:vAlign w:val="center"/>
          </w:tcPr>
          <w:p>
            <w:pPr>
              <w:widowControl/>
              <w:jc w:val="center"/>
              <w:rPr>
                <w:b/>
                <w:kern w:val="0"/>
                <w:sz w:val="24"/>
              </w:rPr>
            </w:pPr>
            <w:r>
              <w:rPr>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7" w:hRule="atLeast"/>
          <w:jc w:val="center"/>
        </w:trPr>
        <w:tc>
          <w:tcPr>
            <w:tcW w:w="2646" w:type="dxa"/>
            <w:noWrap w:val="0"/>
            <w:vAlign w:val="center"/>
          </w:tcPr>
          <w:p>
            <w:pPr>
              <w:widowControl/>
              <w:jc w:val="center"/>
              <w:rPr>
                <w:kern w:val="0"/>
                <w:sz w:val="24"/>
              </w:rPr>
            </w:pPr>
            <w:r>
              <w:rPr>
                <w:kern w:val="0"/>
                <w:sz w:val="24"/>
              </w:rPr>
              <w:t>保洁车</w:t>
            </w:r>
          </w:p>
        </w:tc>
        <w:tc>
          <w:tcPr>
            <w:tcW w:w="4600" w:type="dxa"/>
            <w:noWrap w:val="0"/>
            <w:vAlign w:val="center"/>
          </w:tcPr>
          <w:p>
            <w:pPr>
              <w:widowControl/>
              <w:jc w:val="center"/>
              <w:rPr>
                <w:kern w:val="0"/>
                <w:sz w:val="24"/>
              </w:rPr>
            </w:pPr>
            <w:r>
              <w:rPr>
                <w:kern w:val="0"/>
                <w:sz w:val="24"/>
              </w:rPr>
              <w:t>施达、金易洁、白云或其他同等知名品牌</w:t>
            </w:r>
          </w:p>
        </w:tc>
        <w:tc>
          <w:tcPr>
            <w:tcW w:w="989" w:type="dxa"/>
            <w:noWrap w:val="0"/>
            <w:vAlign w:val="center"/>
          </w:tcPr>
          <w:p>
            <w:pPr>
              <w:widowControl/>
              <w:jc w:val="center"/>
              <w:rPr>
                <w:kern w:val="0"/>
                <w:sz w:val="24"/>
              </w:rPr>
            </w:pPr>
            <w:r>
              <w:rPr>
                <w:kern w:val="0"/>
                <w:sz w:val="24"/>
              </w:rPr>
              <w:t>12</w:t>
            </w:r>
          </w:p>
        </w:tc>
        <w:tc>
          <w:tcPr>
            <w:tcW w:w="1118" w:type="dxa"/>
            <w:vMerge w:val="restart"/>
            <w:noWrap w:val="0"/>
            <w:vAlign w:val="center"/>
          </w:tcPr>
          <w:p>
            <w:pPr>
              <w:widowControl/>
              <w:jc w:val="center"/>
              <w:rPr>
                <w:b/>
                <w:kern w:val="0"/>
                <w:sz w:val="24"/>
                <w:u w:val="single"/>
              </w:rPr>
            </w:pPr>
            <w:r>
              <w:rPr>
                <w:b/>
                <w:kern w:val="0"/>
                <w:sz w:val="24"/>
                <w:u w:val="single"/>
              </w:rPr>
              <w:t>▲以上设备均为必须配置的保洁设备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7" w:hRule="atLeast"/>
          <w:jc w:val="center"/>
        </w:trPr>
        <w:tc>
          <w:tcPr>
            <w:tcW w:w="2646" w:type="dxa"/>
            <w:noWrap w:val="0"/>
            <w:vAlign w:val="center"/>
          </w:tcPr>
          <w:p>
            <w:pPr>
              <w:widowControl/>
              <w:jc w:val="center"/>
              <w:rPr>
                <w:kern w:val="0"/>
                <w:sz w:val="24"/>
              </w:rPr>
            </w:pPr>
            <w:r>
              <w:rPr>
                <w:kern w:val="0"/>
                <w:sz w:val="24"/>
              </w:rPr>
              <w:t>驾驶式洗扫一体机</w:t>
            </w:r>
          </w:p>
        </w:tc>
        <w:tc>
          <w:tcPr>
            <w:tcW w:w="4600" w:type="dxa"/>
            <w:noWrap w:val="0"/>
            <w:vAlign w:val="center"/>
          </w:tcPr>
          <w:p>
            <w:pPr>
              <w:widowControl/>
              <w:jc w:val="center"/>
              <w:rPr>
                <w:kern w:val="0"/>
                <w:sz w:val="24"/>
              </w:rPr>
            </w:pPr>
            <w:r>
              <w:rPr>
                <w:kern w:val="0"/>
                <w:sz w:val="24"/>
              </w:rPr>
              <w:t>力奇、凯驰、泰华施或其他同等知名品牌</w:t>
            </w:r>
          </w:p>
        </w:tc>
        <w:tc>
          <w:tcPr>
            <w:tcW w:w="989" w:type="dxa"/>
            <w:noWrap w:val="0"/>
            <w:vAlign w:val="center"/>
          </w:tcPr>
          <w:p>
            <w:pPr>
              <w:widowControl/>
              <w:jc w:val="center"/>
              <w:rPr>
                <w:kern w:val="0"/>
                <w:sz w:val="24"/>
              </w:rPr>
            </w:pPr>
            <w:r>
              <w:rPr>
                <w:kern w:val="0"/>
                <w:sz w:val="24"/>
              </w:rPr>
              <w:t>1</w:t>
            </w:r>
          </w:p>
        </w:tc>
        <w:tc>
          <w:tcPr>
            <w:tcW w:w="1118" w:type="dxa"/>
            <w:vMerge w:val="continue"/>
            <w:noWrap w:val="0"/>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jc w:val="center"/>
        </w:trPr>
        <w:tc>
          <w:tcPr>
            <w:tcW w:w="2646" w:type="dxa"/>
            <w:noWrap w:val="0"/>
            <w:vAlign w:val="center"/>
          </w:tcPr>
          <w:p>
            <w:pPr>
              <w:widowControl/>
              <w:jc w:val="center"/>
              <w:rPr>
                <w:kern w:val="0"/>
                <w:sz w:val="24"/>
              </w:rPr>
            </w:pPr>
            <w:r>
              <w:rPr>
                <w:kern w:val="0"/>
                <w:sz w:val="24"/>
              </w:rPr>
              <w:t>驾驶式洗地机</w:t>
            </w:r>
          </w:p>
        </w:tc>
        <w:tc>
          <w:tcPr>
            <w:tcW w:w="4600" w:type="dxa"/>
            <w:noWrap w:val="0"/>
            <w:vAlign w:val="center"/>
          </w:tcPr>
          <w:p>
            <w:pPr>
              <w:widowControl/>
              <w:jc w:val="center"/>
              <w:rPr>
                <w:kern w:val="0"/>
                <w:sz w:val="24"/>
              </w:rPr>
            </w:pPr>
            <w:r>
              <w:rPr>
                <w:kern w:val="0"/>
                <w:sz w:val="24"/>
              </w:rPr>
              <w:t>力奇、凯驰、泰华施或其他同等知名品牌</w:t>
            </w:r>
          </w:p>
        </w:tc>
        <w:tc>
          <w:tcPr>
            <w:tcW w:w="989" w:type="dxa"/>
            <w:noWrap w:val="0"/>
            <w:vAlign w:val="center"/>
          </w:tcPr>
          <w:p>
            <w:pPr>
              <w:widowControl/>
              <w:jc w:val="center"/>
              <w:rPr>
                <w:kern w:val="0"/>
                <w:sz w:val="24"/>
              </w:rPr>
            </w:pPr>
            <w:r>
              <w:rPr>
                <w:kern w:val="0"/>
                <w:sz w:val="24"/>
              </w:rPr>
              <w:t>1</w:t>
            </w:r>
          </w:p>
        </w:tc>
        <w:tc>
          <w:tcPr>
            <w:tcW w:w="1118" w:type="dxa"/>
            <w:vMerge w:val="continue"/>
            <w:noWrap w:val="0"/>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7" w:hRule="atLeast"/>
          <w:jc w:val="center"/>
        </w:trPr>
        <w:tc>
          <w:tcPr>
            <w:tcW w:w="2646" w:type="dxa"/>
            <w:noWrap w:val="0"/>
            <w:vAlign w:val="center"/>
          </w:tcPr>
          <w:p>
            <w:pPr>
              <w:widowControl/>
              <w:jc w:val="center"/>
              <w:rPr>
                <w:kern w:val="0"/>
                <w:sz w:val="24"/>
              </w:rPr>
            </w:pPr>
            <w:r>
              <w:rPr>
                <w:kern w:val="0"/>
                <w:sz w:val="24"/>
              </w:rPr>
              <w:t>手提抛光机</w:t>
            </w:r>
          </w:p>
        </w:tc>
        <w:tc>
          <w:tcPr>
            <w:tcW w:w="4600" w:type="dxa"/>
            <w:noWrap w:val="0"/>
            <w:vAlign w:val="center"/>
          </w:tcPr>
          <w:p>
            <w:pPr>
              <w:jc w:val="center"/>
              <w:rPr>
                <w:sz w:val="24"/>
              </w:rPr>
            </w:pPr>
            <w:r>
              <w:rPr>
                <w:kern w:val="0"/>
                <w:sz w:val="24"/>
              </w:rPr>
              <w:t>力奇、凯驰、泰华施或其他同等知名品牌</w:t>
            </w:r>
          </w:p>
        </w:tc>
        <w:tc>
          <w:tcPr>
            <w:tcW w:w="989" w:type="dxa"/>
            <w:noWrap w:val="0"/>
            <w:vAlign w:val="center"/>
          </w:tcPr>
          <w:p>
            <w:pPr>
              <w:widowControl/>
              <w:jc w:val="center"/>
              <w:rPr>
                <w:kern w:val="0"/>
                <w:sz w:val="24"/>
              </w:rPr>
            </w:pPr>
            <w:r>
              <w:rPr>
                <w:kern w:val="0"/>
                <w:sz w:val="24"/>
              </w:rPr>
              <w:t>1</w:t>
            </w:r>
          </w:p>
        </w:tc>
        <w:tc>
          <w:tcPr>
            <w:tcW w:w="1118" w:type="dxa"/>
            <w:vMerge w:val="continue"/>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7" w:hRule="atLeast"/>
          <w:jc w:val="center"/>
        </w:trPr>
        <w:tc>
          <w:tcPr>
            <w:tcW w:w="2646" w:type="dxa"/>
            <w:noWrap w:val="0"/>
            <w:vAlign w:val="center"/>
          </w:tcPr>
          <w:p>
            <w:pPr>
              <w:widowControl/>
              <w:jc w:val="center"/>
              <w:rPr>
                <w:kern w:val="0"/>
                <w:sz w:val="24"/>
              </w:rPr>
            </w:pPr>
            <w:r>
              <w:rPr>
                <w:kern w:val="0"/>
                <w:sz w:val="24"/>
              </w:rPr>
              <w:t>三速地坪/地毯吹干机</w:t>
            </w:r>
          </w:p>
        </w:tc>
        <w:tc>
          <w:tcPr>
            <w:tcW w:w="4600" w:type="dxa"/>
            <w:noWrap w:val="0"/>
            <w:vAlign w:val="top"/>
          </w:tcPr>
          <w:p>
            <w:pPr>
              <w:jc w:val="center"/>
            </w:pPr>
            <w:r>
              <w:rPr>
                <w:kern w:val="0"/>
                <w:sz w:val="24"/>
              </w:rPr>
              <w:t>力奇、凯驰、泰华施或其他同等知名品牌</w:t>
            </w:r>
          </w:p>
        </w:tc>
        <w:tc>
          <w:tcPr>
            <w:tcW w:w="989" w:type="dxa"/>
            <w:noWrap w:val="0"/>
            <w:vAlign w:val="center"/>
          </w:tcPr>
          <w:p>
            <w:pPr>
              <w:widowControl/>
              <w:jc w:val="center"/>
              <w:rPr>
                <w:kern w:val="0"/>
                <w:sz w:val="24"/>
              </w:rPr>
            </w:pPr>
            <w:r>
              <w:rPr>
                <w:kern w:val="0"/>
                <w:sz w:val="24"/>
              </w:rPr>
              <w:t>2</w:t>
            </w:r>
          </w:p>
        </w:tc>
        <w:tc>
          <w:tcPr>
            <w:tcW w:w="1118" w:type="dxa"/>
            <w:vMerge w:val="continue"/>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jc w:val="center"/>
        </w:trPr>
        <w:tc>
          <w:tcPr>
            <w:tcW w:w="2646" w:type="dxa"/>
            <w:noWrap w:val="0"/>
            <w:vAlign w:val="center"/>
          </w:tcPr>
          <w:p>
            <w:pPr>
              <w:widowControl/>
              <w:jc w:val="center"/>
              <w:rPr>
                <w:kern w:val="0"/>
                <w:sz w:val="24"/>
              </w:rPr>
            </w:pPr>
            <w:r>
              <w:rPr>
                <w:kern w:val="0"/>
                <w:sz w:val="24"/>
              </w:rPr>
              <w:t>吸水吸尘两用机</w:t>
            </w:r>
          </w:p>
        </w:tc>
        <w:tc>
          <w:tcPr>
            <w:tcW w:w="4600" w:type="dxa"/>
            <w:noWrap w:val="0"/>
            <w:vAlign w:val="top"/>
          </w:tcPr>
          <w:p>
            <w:pPr>
              <w:jc w:val="center"/>
            </w:pPr>
            <w:r>
              <w:rPr>
                <w:kern w:val="0"/>
                <w:sz w:val="24"/>
              </w:rPr>
              <w:t>力奇、凯驰、泰华施或其他同等知名品牌</w:t>
            </w:r>
          </w:p>
        </w:tc>
        <w:tc>
          <w:tcPr>
            <w:tcW w:w="989" w:type="dxa"/>
            <w:noWrap w:val="0"/>
            <w:vAlign w:val="center"/>
          </w:tcPr>
          <w:p>
            <w:pPr>
              <w:widowControl/>
              <w:jc w:val="center"/>
              <w:rPr>
                <w:kern w:val="0"/>
                <w:sz w:val="24"/>
              </w:rPr>
            </w:pPr>
            <w:r>
              <w:rPr>
                <w:kern w:val="0"/>
                <w:sz w:val="24"/>
              </w:rPr>
              <w:t>2</w:t>
            </w:r>
          </w:p>
        </w:tc>
        <w:tc>
          <w:tcPr>
            <w:tcW w:w="1118" w:type="dxa"/>
            <w:vMerge w:val="continue"/>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7" w:hRule="atLeast"/>
          <w:jc w:val="center"/>
        </w:trPr>
        <w:tc>
          <w:tcPr>
            <w:tcW w:w="2646" w:type="dxa"/>
            <w:noWrap w:val="0"/>
            <w:vAlign w:val="center"/>
          </w:tcPr>
          <w:p>
            <w:pPr>
              <w:widowControl/>
              <w:jc w:val="center"/>
              <w:rPr>
                <w:kern w:val="0"/>
                <w:sz w:val="24"/>
              </w:rPr>
            </w:pPr>
            <w:r>
              <w:rPr>
                <w:kern w:val="0"/>
                <w:sz w:val="24"/>
              </w:rPr>
              <w:t>电动尘推车</w:t>
            </w:r>
          </w:p>
        </w:tc>
        <w:tc>
          <w:tcPr>
            <w:tcW w:w="4600" w:type="dxa"/>
            <w:noWrap w:val="0"/>
            <w:vAlign w:val="top"/>
          </w:tcPr>
          <w:p>
            <w:pPr>
              <w:jc w:val="center"/>
            </w:pPr>
            <w:r>
              <w:rPr>
                <w:kern w:val="0"/>
                <w:sz w:val="24"/>
              </w:rPr>
              <w:t>力奇、凯驰、泰华施或其他同等知名品牌</w:t>
            </w:r>
          </w:p>
        </w:tc>
        <w:tc>
          <w:tcPr>
            <w:tcW w:w="989" w:type="dxa"/>
            <w:noWrap w:val="0"/>
            <w:vAlign w:val="center"/>
          </w:tcPr>
          <w:p>
            <w:pPr>
              <w:widowControl/>
              <w:jc w:val="center"/>
              <w:rPr>
                <w:kern w:val="0"/>
                <w:sz w:val="24"/>
              </w:rPr>
            </w:pPr>
            <w:r>
              <w:rPr>
                <w:kern w:val="0"/>
                <w:sz w:val="24"/>
              </w:rPr>
              <w:t>1</w:t>
            </w:r>
          </w:p>
        </w:tc>
        <w:tc>
          <w:tcPr>
            <w:tcW w:w="1118" w:type="dxa"/>
            <w:vMerge w:val="continue"/>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7" w:hRule="atLeast"/>
          <w:jc w:val="center"/>
        </w:trPr>
        <w:tc>
          <w:tcPr>
            <w:tcW w:w="2646" w:type="dxa"/>
            <w:noWrap w:val="0"/>
            <w:vAlign w:val="center"/>
          </w:tcPr>
          <w:p>
            <w:pPr>
              <w:widowControl/>
              <w:jc w:val="center"/>
              <w:rPr>
                <w:kern w:val="0"/>
                <w:sz w:val="24"/>
              </w:rPr>
            </w:pPr>
            <w:r>
              <w:rPr>
                <w:kern w:val="0"/>
                <w:sz w:val="24"/>
              </w:rPr>
              <w:t>加重单擦机</w:t>
            </w:r>
          </w:p>
        </w:tc>
        <w:tc>
          <w:tcPr>
            <w:tcW w:w="4600" w:type="dxa"/>
            <w:noWrap w:val="0"/>
            <w:vAlign w:val="top"/>
          </w:tcPr>
          <w:p>
            <w:pPr>
              <w:jc w:val="center"/>
            </w:pPr>
            <w:r>
              <w:rPr>
                <w:kern w:val="0"/>
                <w:sz w:val="24"/>
              </w:rPr>
              <w:t>力奇、凯驰、泰华施或其他同等知名品牌</w:t>
            </w:r>
          </w:p>
        </w:tc>
        <w:tc>
          <w:tcPr>
            <w:tcW w:w="989" w:type="dxa"/>
            <w:noWrap w:val="0"/>
            <w:vAlign w:val="center"/>
          </w:tcPr>
          <w:p>
            <w:pPr>
              <w:widowControl/>
              <w:jc w:val="center"/>
              <w:rPr>
                <w:kern w:val="0"/>
                <w:sz w:val="24"/>
              </w:rPr>
            </w:pPr>
            <w:r>
              <w:rPr>
                <w:kern w:val="0"/>
                <w:sz w:val="24"/>
              </w:rPr>
              <w:t>1</w:t>
            </w:r>
          </w:p>
        </w:tc>
        <w:tc>
          <w:tcPr>
            <w:tcW w:w="1118" w:type="dxa"/>
            <w:vMerge w:val="continue"/>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jc w:val="center"/>
        </w:trPr>
        <w:tc>
          <w:tcPr>
            <w:tcW w:w="2646" w:type="dxa"/>
            <w:noWrap w:val="0"/>
            <w:vAlign w:val="center"/>
          </w:tcPr>
          <w:p>
            <w:pPr>
              <w:jc w:val="center"/>
              <w:rPr>
                <w:kern w:val="0"/>
                <w:sz w:val="24"/>
              </w:rPr>
            </w:pPr>
            <w:r>
              <w:rPr>
                <w:kern w:val="0"/>
                <w:sz w:val="24"/>
              </w:rPr>
              <w:t>榨水车</w:t>
            </w:r>
          </w:p>
        </w:tc>
        <w:tc>
          <w:tcPr>
            <w:tcW w:w="4600" w:type="dxa"/>
            <w:noWrap w:val="0"/>
            <w:vAlign w:val="center"/>
          </w:tcPr>
          <w:p>
            <w:pPr>
              <w:widowControl/>
              <w:jc w:val="center"/>
              <w:rPr>
                <w:kern w:val="0"/>
                <w:sz w:val="24"/>
              </w:rPr>
            </w:pPr>
            <w:r>
              <w:rPr>
                <w:kern w:val="0"/>
                <w:sz w:val="24"/>
              </w:rPr>
              <w:t>施达、金易洁、白云或其他同等知名品牌</w:t>
            </w:r>
          </w:p>
        </w:tc>
        <w:tc>
          <w:tcPr>
            <w:tcW w:w="989" w:type="dxa"/>
            <w:noWrap w:val="0"/>
            <w:vAlign w:val="center"/>
          </w:tcPr>
          <w:p>
            <w:pPr>
              <w:widowControl/>
              <w:jc w:val="center"/>
              <w:rPr>
                <w:kern w:val="0"/>
                <w:sz w:val="24"/>
              </w:rPr>
            </w:pPr>
            <w:r>
              <w:rPr>
                <w:kern w:val="0"/>
                <w:sz w:val="24"/>
              </w:rPr>
              <w:t>12</w:t>
            </w:r>
          </w:p>
        </w:tc>
        <w:tc>
          <w:tcPr>
            <w:tcW w:w="1118" w:type="dxa"/>
            <w:vMerge w:val="continue"/>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7" w:hRule="atLeast"/>
          <w:jc w:val="center"/>
        </w:trPr>
        <w:tc>
          <w:tcPr>
            <w:tcW w:w="2646" w:type="dxa"/>
            <w:noWrap w:val="0"/>
            <w:vAlign w:val="center"/>
          </w:tcPr>
          <w:p>
            <w:pPr>
              <w:jc w:val="center"/>
              <w:rPr>
                <w:kern w:val="0"/>
                <w:sz w:val="24"/>
              </w:rPr>
            </w:pPr>
            <w:r>
              <w:rPr>
                <w:kern w:val="0"/>
                <w:sz w:val="24"/>
              </w:rPr>
              <w:t>全自动洗地机</w:t>
            </w:r>
          </w:p>
        </w:tc>
        <w:tc>
          <w:tcPr>
            <w:tcW w:w="4600" w:type="dxa"/>
            <w:noWrap w:val="0"/>
            <w:vAlign w:val="center"/>
          </w:tcPr>
          <w:p>
            <w:pPr>
              <w:widowControl/>
              <w:jc w:val="center"/>
              <w:rPr>
                <w:kern w:val="0"/>
                <w:sz w:val="24"/>
              </w:rPr>
            </w:pPr>
            <w:r>
              <w:rPr>
                <w:kern w:val="0"/>
                <w:sz w:val="24"/>
              </w:rPr>
              <w:t>力奇、凯驰、泰华施或其他同等知名品牌</w:t>
            </w:r>
          </w:p>
        </w:tc>
        <w:tc>
          <w:tcPr>
            <w:tcW w:w="989" w:type="dxa"/>
            <w:noWrap w:val="0"/>
            <w:vAlign w:val="center"/>
          </w:tcPr>
          <w:p>
            <w:pPr>
              <w:widowControl/>
              <w:jc w:val="center"/>
              <w:rPr>
                <w:kern w:val="0"/>
                <w:sz w:val="24"/>
              </w:rPr>
            </w:pPr>
            <w:r>
              <w:rPr>
                <w:kern w:val="0"/>
                <w:sz w:val="24"/>
              </w:rPr>
              <w:t>1</w:t>
            </w:r>
          </w:p>
        </w:tc>
        <w:tc>
          <w:tcPr>
            <w:tcW w:w="1118" w:type="dxa"/>
            <w:vMerge w:val="continue"/>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7" w:hRule="atLeast"/>
          <w:jc w:val="center"/>
        </w:trPr>
        <w:tc>
          <w:tcPr>
            <w:tcW w:w="2646" w:type="dxa"/>
            <w:noWrap w:val="0"/>
            <w:vAlign w:val="center"/>
          </w:tcPr>
          <w:p>
            <w:pPr>
              <w:jc w:val="center"/>
              <w:rPr>
                <w:kern w:val="0"/>
                <w:sz w:val="24"/>
              </w:rPr>
            </w:pPr>
            <w:r>
              <w:rPr>
                <w:kern w:val="0"/>
                <w:sz w:val="24"/>
              </w:rPr>
              <w:t>高压水枪</w:t>
            </w:r>
          </w:p>
        </w:tc>
        <w:tc>
          <w:tcPr>
            <w:tcW w:w="4600" w:type="dxa"/>
            <w:noWrap w:val="0"/>
            <w:vAlign w:val="center"/>
          </w:tcPr>
          <w:p>
            <w:pPr>
              <w:widowControl/>
              <w:jc w:val="center"/>
              <w:rPr>
                <w:kern w:val="0"/>
                <w:sz w:val="24"/>
              </w:rPr>
            </w:pPr>
            <w:r>
              <w:rPr>
                <w:kern w:val="0"/>
                <w:sz w:val="24"/>
              </w:rPr>
              <w:t>力奇、凯驰、泰华施或其他同等知名品牌</w:t>
            </w:r>
          </w:p>
        </w:tc>
        <w:tc>
          <w:tcPr>
            <w:tcW w:w="989" w:type="dxa"/>
            <w:noWrap w:val="0"/>
            <w:vAlign w:val="center"/>
          </w:tcPr>
          <w:p>
            <w:pPr>
              <w:widowControl/>
              <w:jc w:val="center"/>
              <w:rPr>
                <w:kern w:val="0"/>
                <w:sz w:val="24"/>
              </w:rPr>
            </w:pPr>
            <w:r>
              <w:rPr>
                <w:kern w:val="0"/>
                <w:sz w:val="24"/>
              </w:rPr>
              <w:t>1</w:t>
            </w:r>
          </w:p>
        </w:tc>
        <w:tc>
          <w:tcPr>
            <w:tcW w:w="1118" w:type="dxa"/>
            <w:vMerge w:val="continue"/>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jc w:val="center"/>
        </w:trPr>
        <w:tc>
          <w:tcPr>
            <w:tcW w:w="2646" w:type="dxa"/>
            <w:noWrap w:val="0"/>
            <w:vAlign w:val="center"/>
          </w:tcPr>
          <w:p>
            <w:pPr>
              <w:jc w:val="center"/>
              <w:rPr>
                <w:kern w:val="0"/>
                <w:sz w:val="24"/>
              </w:rPr>
            </w:pPr>
            <w:r>
              <w:rPr>
                <w:kern w:val="0"/>
                <w:sz w:val="24"/>
              </w:rPr>
              <w:t>50公斤工业洗衣机</w:t>
            </w:r>
          </w:p>
        </w:tc>
        <w:tc>
          <w:tcPr>
            <w:tcW w:w="4600" w:type="dxa"/>
            <w:noWrap w:val="0"/>
            <w:vAlign w:val="center"/>
          </w:tcPr>
          <w:p>
            <w:pPr>
              <w:widowControl/>
              <w:jc w:val="center"/>
              <w:rPr>
                <w:kern w:val="0"/>
                <w:sz w:val="24"/>
              </w:rPr>
            </w:pPr>
            <w:r>
              <w:rPr>
                <w:kern w:val="0"/>
                <w:sz w:val="24"/>
              </w:rPr>
              <w:t>成飞、小天鹅、盈涛或其他同等其他品牌</w:t>
            </w:r>
          </w:p>
        </w:tc>
        <w:tc>
          <w:tcPr>
            <w:tcW w:w="989" w:type="dxa"/>
            <w:noWrap w:val="0"/>
            <w:vAlign w:val="center"/>
          </w:tcPr>
          <w:p>
            <w:pPr>
              <w:widowControl/>
              <w:jc w:val="center"/>
              <w:rPr>
                <w:kern w:val="0"/>
                <w:sz w:val="24"/>
              </w:rPr>
            </w:pPr>
            <w:r>
              <w:rPr>
                <w:kern w:val="0"/>
                <w:sz w:val="24"/>
              </w:rPr>
              <w:t>1</w:t>
            </w:r>
          </w:p>
        </w:tc>
        <w:tc>
          <w:tcPr>
            <w:tcW w:w="1118" w:type="dxa"/>
            <w:vMerge w:val="continue"/>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7" w:hRule="atLeast"/>
          <w:jc w:val="center"/>
        </w:trPr>
        <w:tc>
          <w:tcPr>
            <w:tcW w:w="2646" w:type="dxa"/>
            <w:noWrap w:val="0"/>
            <w:vAlign w:val="center"/>
          </w:tcPr>
          <w:p>
            <w:pPr>
              <w:jc w:val="center"/>
              <w:rPr>
                <w:kern w:val="0"/>
                <w:sz w:val="24"/>
              </w:rPr>
            </w:pPr>
            <w:r>
              <w:rPr>
                <w:kern w:val="0"/>
                <w:sz w:val="24"/>
              </w:rPr>
              <w:t>工业烘干机</w:t>
            </w:r>
          </w:p>
        </w:tc>
        <w:tc>
          <w:tcPr>
            <w:tcW w:w="4600" w:type="dxa"/>
            <w:noWrap w:val="0"/>
            <w:vAlign w:val="center"/>
          </w:tcPr>
          <w:p>
            <w:pPr>
              <w:widowControl/>
              <w:jc w:val="center"/>
              <w:rPr>
                <w:kern w:val="0"/>
                <w:sz w:val="24"/>
              </w:rPr>
            </w:pPr>
            <w:r>
              <w:rPr>
                <w:kern w:val="0"/>
                <w:sz w:val="24"/>
              </w:rPr>
              <w:t>成飞、小天鹅、盈涛或其他同等其他品牌</w:t>
            </w:r>
          </w:p>
        </w:tc>
        <w:tc>
          <w:tcPr>
            <w:tcW w:w="989" w:type="dxa"/>
            <w:noWrap w:val="0"/>
            <w:vAlign w:val="center"/>
          </w:tcPr>
          <w:p>
            <w:pPr>
              <w:widowControl/>
              <w:jc w:val="center"/>
              <w:rPr>
                <w:kern w:val="0"/>
                <w:sz w:val="24"/>
              </w:rPr>
            </w:pPr>
            <w:r>
              <w:rPr>
                <w:kern w:val="0"/>
                <w:sz w:val="24"/>
              </w:rPr>
              <w:t>1</w:t>
            </w:r>
          </w:p>
        </w:tc>
        <w:tc>
          <w:tcPr>
            <w:tcW w:w="1118" w:type="dxa"/>
            <w:vMerge w:val="continue"/>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7" w:hRule="atLeast"/>
          <w:jc w:val="center"/>
        </w:trPr>
        <w:tc>
          <w:tcPr>
            <w:tcW w:w="2646" w:type="dxa"/>
            <w:noWrap w:val="0"/>
            <w:vAlign w:val="center"/>
          </w:tcPr>
          <w:p>
            <w:pPr>
              <w:jc w:val="center"/>
              <w:rPr>
                <w:kern w:val="0"/>
                <w:sz w:val="24"/>
              </w:rPr>
            </w:pPr>
            <w:r>
              <w:rPr>
                <w:kern w:val="0"/>
                <w:sz w:val="24"/>
              </w:rPr>
              <w:t>管道疏通机</w:t>
            </w:r>
          </w:p>
        </w:tc>
        <w:tc>
          <w:tcPr>
            <w:tcW w:w="4600" w:type="dxa"/>
            <w:noWrap w:val="0"/>
            <w:vAlign w:val="center"/>
          </w:tcPr>
          <w:p>
            <w:pPr>
              <w:jc w:val="center"/>
              <w:rPr>
                <w:sz w:val="24"/>
              </w:rPr>
            </w:pPr>
            <w:r>
              <w:rPr>
                <w:kern w:val="0"/>
                <w:sz w:val="24"/>
              </w:rPr>
              <w:t>力奇、凯驰、泰华施或其他同等知名品牌</w:t>
            </w:r>
          </w:p>
        </w:tc>
        <w:tc>
          <w:tcPr>
            <w:tcW w:w="989" w:type="dxa"/>
            <w:noWrap w:val="0"/>
            <w:vAlign w:val="center"/>
          </w:tcPr>
          <w:p>
            <w:pPr>
              <w:widowControl/>
              <w:jc w:val="center"/>
              <w:rPr>
                <w:kern w:val="0"/>
                <w:sz w:val="24"/>
              </w:rPr>
            </w:pPr>
            <w:r>
              <w:rPr>
                <w:kern w:val="0"/>
                <w:sz w:val="24"/>
              </w:rPr>
              <w:t>1</w:t>
            </w:r>
          </w:p>
        </w:tc>
        <w:tc>
          <w:tcPr>
            <w:tcW w:w="1118" w:type="dxa"/>
            <w:vMerge w:val="continue"/>
            <w:noWrap w:val="0"/>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7" w:hRule="atLeast"/>
          <w:jc w:val="center"/>
        </w:trPr>
        <w:tc>
          <w:tcPr>
            <w:tcW w:w="9353" w:type="dxa"/>
            <w:gridSpan w:val="4"/>
            <w:noWrap w:val="0"/>
            <w:vAlign w:val="center"/>
          </w:tcPr>
          <w:p>
            <w:pPr>
              <w:widowControl/>
              <w:rPr>
                <w:kern w:val="0"/>
                <w:sz w:val="24"/>
              </w:rPr>
            </w:pPr>
            <w:r>
              <w:rPr>
                <w:kern w:val="0"/>
                <w:sz w:val="24"/>
              </w:rPr>
              <w:t>注：1.如保洁车已配备榨水功能，可以考虑不再另行提供榨水车；</w:t>
            </w:r>
          </w:p>
          <w:p>
            <w:pPr>
              <w:widowControl/>
              <w:ind w:firstLine="480" w:firstLineChars="200"/>
              <w:rPr>
                <w:kern w:val="0"/>
                <w:sz w:val="24"/>
              </w:rPr>
            </w:pPr>
            <w:r>
              <w:rPr>
                <w:kern w:val="0"/>
                <w:sz w:val="24"/>
              </w:rPr>
              <w:t>2.</w:t>
            </w:r>
            <w:r>
              <w:rPr>
                <w:b/>
                <w:kern w:val="0"/>
                <w:sz w:val="24"/>
              </w:rPr>
              <w:t>招标人提供洗地机1台（其耗品和维修费由中标人负责）</w:t>
            </w:r>
            <w:r>
              <w:rPr>
                <w:kern w:val="0"/>
                <w:sz w:val="24"/>
              </w:rPr>
              <w:t>。</w:t>
            </w:r>
          </w:p>
        </w:tc>
      </w:tr>
    </w:tbl>
    <w:p>
      <w:pPr>
        <w:jc w:val="center"/>
        <w:rPr>
          <w:rFonts w:hint="eastAsia" w:ascii="宋体" w:hAnsi="宋体"/>
          <w:b/>
          <w:sz w:val="24"/>
          <w:u w:val="single"/>
        </w:rPr>
      </w:pPr>
    </w:p>
    <w:p>
      <w:pPr>
        <w:spacing w:before="240" w:beforeLines="100" w:line="360" w:lineRule="auto"/>
        <w:ind w:firstLine="161" w:firstLineChars="67"/>
        <w:jc w:val="center"/>
        <w:rPr>
          <w:rFonts w:ascii="宋体" w:hAnsi="宋体"/>
          <w:b/>
          <w:sz w:val="24"/>
        </w:rPr>
      </w:pPr>
      <w:r>
        <w:rPr>
          <w:rFonts w:hint="eastAsia" w:ascii="宋体" w:hAnsi="宋体"/>
          <w:b/>
          <w:sz w:val="24"/>
        </w:rPr>
        <w:t>（三）保洁具体要求</w:t>
      </w:r>
    </w:p>
    <w:p>
      <w:pPr>
        <w:spacing w:line="360" w:lineRule="auto"/>
        <w:ind w:firstLine="161" w:firstLineChars="67"/>
        <w:rPr>
          <w:rFonts w:ascii="宋体" w:hAnsi="宋体"/>
          <w:b/>
          <w:sz w:val="24"/>
        </w:rPr>
      </w:pPr>
      <w:r>
        <w:rPr>
          <w:rFonts w:hint="eastAsia" w:ascii="宋体" w:hAnsi="宋体"/>
          <w:b/>
          <w:sz w:val="24"/>
        </w:rPr>
        <w:t>3.1  病区保洁要求</w:t>
      </w:r>
    </w:p>
    <w:p>
      <w:pPr>
        <w:spacing w:line="360" w:lineRule="auto"/>
        <w:ind w:firstLine="161" w:firstLineChars="67"/>
        <w:jc w:val="left"/>
        <w:rPr>
          <w:rFonts w:ascii="宋体" w:hAnsi="宋体"/>
          <w:b/>
          <w:sz w:val="24"/>
        </w:rPr>
      </w:pPr>
      <w:r>
        <w:rPr>
          <w:rFonts w:hint="eastAsia" w:ascii="宋体" w:hAnsi="宋体"/>
          <w:b/>
          <w:sz w:val="24"/>
        </w:rPr>
        <w:t>（1）病房日常保洁项目要求</w:t>
      </w:r>
    </w:p>
    <w:tbl>
      <w:tblPr>
        <w:tblStyle w:val="7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721"/>
        <w:gridCol w:w="2372"/>
        <w:gridCol w:w="1607"/>
        <w:gridCol w:w="1754"/>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项目</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标准</w:t>
            </w:r>
          </w:p>
          <w:p>
            <w:pPr>
              <w:spacing w:line="260" w:lineRule="exact"/>
              <w:jc w:val="center"/>
              <w:rPr>
                <w:rFonts w:ascii="宋体" w:hAnsi="宋体"/>
                <w:b/>
                <w:szCs w:val="21"/>
              </w:rPr>
            </w:pPr>
            <w:r>
              <w:rPr>
                <w:rFonts w:hint="eastAsia" w:ascii="宋体" w:hAnsi="宋体"/>
                <w:b/>
                <w:szCs w:val="21"/>
              </w:rPr>
              <w:t>（质量要求）</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程序</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频次</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注意事项</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工具</w:t>
            </w:r>
          </w:p>
          <w:p>
            <w:pPr>
              <w:spacing w:line="260" w:lineRule="exact"/>
              <w:jc w:val="center"/>
              <w:rPr>
                <w:rFonts w:ascii="宋体" w:hAnsi="宋体"/>
                <w:b/>
                <w:szCs w:val="21"/>
              </w:rPr>
            </w:pPr>
            <w:r>
              <w:rPr>
                <w:rFonts w:hint="eastAsia" w:ascii="宋体" w:hAnsi="宋体"/>
                <w:b/>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门、防火通道图</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无浮灰、手印、斑迹，光亮</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pacing w:line="260" w:lineRule="exact"/>
              <w:rPr>
                <w:rFonts w:ascii="宋体" w:hAnsi="宋体"/>
                <w:szCs w:val="21"/>
              </w:rPr>
            </w:pPr>
            <w:r>
              <w:rPr>
                <w:rFonts w:hint="eastAsia" w:ascii="宋体" w:hAnsi="宋体"/>
                <w:szCs w:val="21"/>
              </w:rPr>
              <w:t>用抹布擦净门面、框、把手</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每天上午一次</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jc w:val="center"/>
              <w:rPr>
                <w:rFonts w:ascii="宋体" w:hAnsi="宋体"/>
                <w:szCs w:val="21"/>
              </w:rPr>
            </w:pPr>
            <w:r>
              <w:rPr>
                <w:rFonts w:hint="eastAsia" w:ascii="宋体" w:hAnsi="宋体"/>
                <w:szCs w:val="21"/>
              </w:rPr>
              <w:t>防火通道图不可破损、脱落</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地面</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无灰尘、污迹、水迹，清洁、干净、无斑迹</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spacing w:line="260" w:lineRule="exact"/>
              <w:rPr>
                <w:rFonts w:ascii="宋体" w:hAnsi="宋体"/>
                <w:szCs w:val="21"/>
              </w:rPr>
            </w:pPr>
            <w:r>
              <w:rPr>
                <w:rFonts w:hint="eastAsia" w:ascii="宋体" w:hAnsi="宋体"/>
                <w:szCs w:val="21"/>
              </w:rPr>
              <w:t>用平推拖净</w:t>
            </w:r>
          </w:p>
          <w:p>
            <w:pPr>
              <w:numPr>
                <w:ilvl w:val="0"/>
                <w:numId w:val="8"/>
              </w:numPr>
              <w:spacing w:line="260" w:lineRule="exact"/>
              <w:rPr>
                <w:rFonts w:ascii="宋体" w:hAnsi="宋体"/>
                <w:szCs w:val="21"/>
              </w:rPr>
            </w:pPr>
            <w:r>
              <w:rPr>
                <w:rFonts w:hint="eastAsia" w:ascii="宋体" w:hAnsi="宋体"/>
                <w:szCs w:val="21"/>
              </w:rPr>
              <w:t>用清洁剂清除污迹</w:t>
            </w:r>
          </w:p>
          <w:p>
            <w:pPr>
              <w:numPr>
                <w:ilvl w:val="0"/>
                <w:numId w:val="8"/>
              </w:numPr>
              <w:spacing w:line="260" w:lineRule="exact"/>
              <w:rPr>
                <w:rFonts w:ascii="宋体" w:hAnsi="宋体"/>
                <w:szCs w:val="21"/>
              </w:rPr>
            </w:pPr>
            <w:r>
              <w:rPr>
                <w:rFonts w:hint="eastAsia" w:ascii="宋体" w:hAnsi="宋体"/>
                <w:szCs w:val="21"/>
              </w:rPr>
              <w:t>对黏附物如口香糖等污物，用刮刀去除</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numPr>
                <w:ilvl w:val="0"/>
                <w:numId w:val="9"/>
              </w:numPr>
              <w:spacing w:line="260" w:lineRule="exact"/>
              <w:rPr>
                <w:rFonts w:ascii="宋体" w:hAnsi="宋体"/>
                <w:szCs w:val="21"/>
              </w:rPr>
            </w:pPr>
            <w:r>
              <w:rPr>
                <w:rFonts w:hint="eastAsia" w:ascii="宋体" w:hAnsi="宋体"/>
                <w:szCs w:val="21"/>
              </w:rPr>
              <w:t>每天两次</w:t>
            </w:r>
          </w:p>
          <w:p>
            <w:pPr>
              <w:numPr>
                <w:ilvl w:val="0"/>
                <w:numId w:val="9"/>
              </w:numPr>
              <w:spacing w:line="260" w:lineRule="exact"/>
              <w:rPr>
                <w:rFonts w:ascii="宋体" w:hAnsi="宋体"/>
                <w:szCs w:val="21"/>
              </w:rPr>
            </w:pPr>
            <w:r>
              <w:rPr>
                <w:rFonts w:hint="eastAsia" w:ascii="宋体" w:hAnsi="宋体"/>
                <w:szCs w:val="21"/>
              </w:rPr>
              <w:t>随脏随拖</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jc w:val="center"/>
              <w:rPr>
                <w:rFonts w:ascii="宋体" w:hAnsi="宋体"/>
                <w:szCs w:val="21"/>
              </w:rPr>
            </w:pPr>
            <w:r>
              <w:rPr>
                <w:rFonts w:hint="eastAsia" w:ascii="宋体" w:hAnsi="宋体"/>
                <w:szCs w:val="21"/>
              </w:rPr>
              <w:t>床脚、床头柜脚下的地面卫生不可忽略</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平推、清洁剂、刮刀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壁橱内外</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无灰尘、污迹，干净</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numPr>
                <w:ilvl w:val="0"/>
                <w:numId w:val="10"/>
              </w:numPr>
              <w:spacing w:line="260" w:lineRule="exact"/>
              <w:rPr>
                <w:rFonts w:ascii="宋体" w:hAnsi="宋体"/>
                <w:szCs w:val="21"/>
              </w:rPr>
            </w:pPr>
            <w:r>
              <w:rPr>
                <w:rFonts w:hint="eastAsia" w:ascii="宋体" w:hAnsi="宋体"/>
                <w:szCs w:val="21"/>
              </w:rPr>
              <w:t>用抹布逐层擦拭</w:t>
            </w:r>
          </w:p>
          <w:p>
            <w:pPr>
              <w:numPr>
                <w:ilvl w:val="0"/>
                <w:numId w:val="10"/>
              </w:numPr>
              <w:spacing w:line="260" w:lineRule="exact"/>
              <w:rPr>
                <w:rFonts w:ascii="宋体" w:hAnsi="宋体"/>
                <w:szCs w:val="21"/>
              </w:rPr>
            </w:pPr>
            <w:r>
              <w:rPr>
                <w:rFonts w:hint="eastAsia" w:ascii="宋体" w:hAnsi="宋体"/>
                <w:szCs w:val="21"/>
              </w:rPr>
              <w:t>对污迹处用清洁剂擦拭</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numPr>
                <w:ilvl w:val="0"/>
                <w:numId w:val="11"/>
              </w:numPr>
              <w:spacing w:line="260" w:lineRule="exact"/>
              <w:rPr>
                <w:rFonts w:ascii="宋体" w:hAnsi="宋体"/>
                <w:szCs w:val="21"/>
              </w:rPr>
            </w:pPr>
            <w:r>
              <w:rPr>
                <w:rFonts w:hint="eastAsia" w:ascii="宋体" w:hAnsi="宋体"/>
                <w:szCs w:val="21"/>
              </w:rPr>
              <w:t>表面每天一次</w:t>
            </w:r>
          </w:p>
          <w:p>
            <w:pPr>
              <w:numPr>
                <w:ilvl w:val="0"/>
                <w:numId w:val="11"/>
              </w:numPr>
              <w:spacing w:line="260" w:lineRule="exact"/>
              <w:rPr>
                <w:rFonts w:ascii="宋体" w:hAnsi="宋体"/>
                <w:szCs w:val="21"/>
              </w:rPr>
            </w:pPr>
            <w:r>
              <w:rPr>
                <w:rFonts w:hint="eastAsia" w:ascii="宋体" w:hAnsi="宋体"/>
                <w:szCs w:val="21"/>
              </w:rPr>
              <w:t>内部须在无人使用的情况下擦拭</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jc w:val="center"/>
              <w:rPr>
                <w:rFonts w:ascii="宋体" w:hAnsi="宋体"/>
                <w:szCs w:val="21"/>
              </w:rPr>
            </w:pPr>
            <w:r>
              <w:rPr>
                <w:rFonts w:hint="eastAsia" w:ascii="宋体" w:hAnsi="宋体"/>
                <w:szCs w:val="21"/>
              </w:rPr>
              <w:t>家具不能擦花，清除残留在家具面上的清洁剂泡沫，除净并擦均匀</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抹布（百洁布）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床头柜</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无灰尘、污迹，干净</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numPr>
                <w:ilvl w:val="0"/>
                <w:numId w:val="12"/>
              </w:numPr>
              <w:spacing w:line="260" w:lineRule="exact"/>
              <w:rPr>
                <w:rFonts w:ascii="宋体" w:hAnsi="宋体"/>
                <w:szCs w:val="21"/>
              </w:rPr>
            </w:pPr>
            <w:r>
              <w:rPr>
                <w:rFonts w:hint="eastAsia" w:ascii="宋体" w:hAnsi="宋体"/>
                <w:szCs w:val="21"/>
              </w:rPr>
              <w:t>用抹布逐层擦拭</w:t>
            </w:r>
          </w:p>
          <w:p>
            <w:pPr>
              <w:numPr>
                <w:ilvl w:val="0"/>
                <w:numId w:val="12"/>
              </w:numPr>
              <w:spacing w:line="260" w:lineRule="exact"/>
              <w:rPr>
                <w:rFonts w:ascii="宋体" w:hAnsi="宋体"/>
                <w:szCs w:val="21"/>
              </w:rPr>
            </w:pPr>
            <w:r>
              <w:rPr>
                <w:rFonts w:hint="eastAsia" w:ascii="宋体" w:hAnsi="宋体"/>
                <w:szCs w:val="21"/>
              </w:rPr>
              <w:t>对污迹处用清洁剂擦拭</w:t>
            </w:r>
            <w:r>
              <w:rPr>
                <w:rFonts w:ascii="宋体" w:hAnsi="宋体"/>
                <w:szCs w:val="21"/>
              </w:rPr>
              <w:t xml:space="preserve"> </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numPr>
                <w:ilvl w:val="0"/>
                <w:numId w:val="13"/>
              </w:numPr>
              <w:spacing w:line="260" w:lineRule="exact"/>
              <w:rPr>
                <w:rFonts w:ascii="宋体" w:hAnsi="宋体"/>
                <w:szCs w:val="21"/>
              </w:rPr>
            </w:pPr>
            <w:r>
              <w:rPr>
                <w:rFonts w:hint="eastAsia" w:ascii="宋体" w:hAnsi="宋体"/>
                <w:szCs w:val="21"/>
              </w:rPr>
              <w:t>表面每天一次</w:t>
            </w:r>
          </w:p>
          <w:p>
            <w:pPr>
              <w:numPr>
                <w:ilvl w:val="0"/>
                <w:numId w:val="13"/>
              </w:numPr>
              <w:spacing w:line="260" w:lineRule="exact"/>
              <w:rPr>
                <w:rFonts w:ascii="宋体" w:hAnsi="宋体"/>
                <w:szCs w:val="21"/>
              </w:rPr>
            </w:pPr>
            <w:r>
              <w:rPr>
                <w:rFonts w:hint="eastAsia" w:ascii="宋体" w:hAnsi="宋体"/>
                <w:szCs w:val="21"/>
              </w:rPr>
              <w:t>内部须在无人使用的情况下擦拭</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床头柜脚的卫生不可忽略，抽屉和手把处不可有污迹</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抹布、清洁剂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床、床头板</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无灰尘、污迹、破损</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spacing w:line="260" w:lineRule="exact"/>
              <w:rPr>
                <w:rFonts w:ascii="宋体" w:hAnsi="宋体"/>
                <w:szCs w:val="21"/>
              </w:rPr>
            </w:pPr>
            <w:r>
              <w:rPr>
                <w:rFonts w:hint="eastAsia" w:ascii="宋体" w:hAnsi="宋体"/>
                <w:szCs w:val="21"/>
              </w:rPr>
              <w:t>用抹布逐层擦拭至洁净</w:t>
            </w:r>
          </w:p>
          <w:p>
            <w:pPr>
              <w:numPr>
                <w:ilvl w:val="0"/>
                <w:numId w:val="14"/>
              </w:numPr>
              <w:spacing w:line="260" w:lineRule="exact"/>
              <w:rPr>
                <w:rFonts w:ascii="宋体" w:hAnsi="宋体"/>
                <w:szCs w:val="21"/>
              </w:rPr>
            </w:pPr>
            <w:r>
              <w:rPr>
                <w:rFonts w:hint="eastAsia" w:ascii="宋体" w:hAnsi="宋体"/>
                <w:szCs w:val="21"/>
              </w:rPr>
              <w:t>对污迹处用清洁剂擦拭</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每天一次</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床头板不可有污迹，擦拭时不可用脱色剂</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抹布、清洁剂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椅子</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无灰尘、污迹、水迹、变形、破损，洁净、稳固、完好</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numPr>
                <w:ilvl w:val="0"/>
                <w:numId w:val="15"/>
              </w:numPr>
              <w:spacing w:line="260" w:lineRule="exact"/>
              <w:rPr>
                <w:rFonts w:ascii="宋体" w:hAnsi="宋体"/>
                <w:szCs w:val="21"/>
              </w:rPr>
            </w:pPr>
            <w:r>
              <w:rPr>
                <w:rFonts w:hint="eastAsia" w:ascii="宋体" w:hAnsi="宋体"/>
                <w:szCs w:val="21"/>
              </w:rPr>
              <w:t>用抹布抹净</w:t>
            </w:r>
          </w:p>
          <w:p>
            <w:pPr>
              <w:numPr>
                <w:ilvl w:val="0"/>
                <w:numId w:val="15"/>
              </w:numPr>
              <w:spacing w:line="260" w:lineRule="exact"/>
              <w:rPr>
                <w:rFonts w:ascii="宋体" w:hAnsi="宋体"/>
                <w:szCs w:val="21"/>
              </w:rPr>
            </w:pPr>
            <w:r>
              <w:rPr>
                <w:rFonts w:hint="eastAsia" w:ascii="宋体" w:hAnsi="宋体"/>
                <w:szCs w:val="21"/>
              </w:rPr>
              <w:t>用清洁剂去除污迹</w:t>
            </w:r>
          </w:p>
          <w:p>
            <w:pPr>
              <w:numPr>
                <w:ilvl w:val="0"/>
                <w:numId w:val="15"/>
              </w:numPr>
              <w:spacing w:line="260" w:lineRule="exact"/>
              <w:rPr>
                <w:rFonts w:ascii="宋体" w:hAnsi="宋体"/>
                <w:szCs w:val="21"/>
              </w:rPr>
            </w:pPr>
            <w:r>
              <w:rPr>
                <w:rFonts w:hint="eastAsia" w:ascii="宋体" w:hAnsi="宋体"/>
                <w:szCs w:val="21"/>
              </w:rPr>
              <w:t>用干抹布抹净</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每天一次</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如破损及时报修</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抹布、清洁剂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墙壁</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无灰尘、水迹、污迹，干净、明亮、无脱落</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numPr>
                <w:ilvl w:val="0"/>
                <w:numId w:val="16"/>
              </w:numPr>
              <w:spacing w:line="260" w:lineRule="exact"/>
              <w:rPr>
                <w:rFonts w:ascii="宋体" w:hAnsi="宋体"/>
                <w:szCs w:val="21"/>
              </w:rPr>
            </w:pPr>
            <w:r>
              <w:rPr>
                <w:rFonts w:hint="eastAsia" w:ascii="宋体" w:hAnsi="宋体"/>
                <w:szCs w:val="21"/>
              </w:rPr>
              <w:t>用干抹布抹浮灰</w:t>
            </w:r>
          </w:p>
          <w:p>
            <w:pPr>
              <w:numPr>
                <w:ilvl w:val="0"/>
                <w:numId w:val="16"/>
              </w:numPr>
              <w:spacing w:line="260" w:lineRule="exact"/>
              <w:rPr>
                <w:rFonts w:ascii="宋体" w:hAnsi="宋体"/>
                <w:szCs w:val="21"/>
              </w:rPr>
            </w:pPr>
            <w:r>
              <w:rPr>
                <w:rFonts w:hint="eastAsia" w:ascii="宋体" w:hAnsi="宋体"/>
                <w:szCs w:val="21"/>
              </w:rPr>
              <w:t>用抹布蘸清洁剂去除污迹</w:t>
            </w:r>
          </w:p>
          <w:p>
            <w:pPr>
              <w:numPr>
                <w:ilvl w:val="0"/>
                <w:numId w:val="16"/>
              </w:numPr>
              <w:spacing w:line="260" w:lineRule="exact"/>
              <w:rPr>
                <w:rFonts w:ascii="宋体" w:hAnsi="宋体"/>
                <w:szCs w:val="21"/>
              </w:rPr>
            </w:pPr>
            <w:r>
              <w:rPr>
                <w:rFonts w:hint="eastAsia" w:ascii="宋体" w:hAnsi="宋体"/>
                <w:szCs w:val="21"/>
              </w:rPr>
              <w:t>用干净抹布抹净</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每天一次</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不可损坏墙面，清洁剂不可脱色</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抹布、清洁剂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天花板、输液轨道</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无斑迹、吊灰、蜘蛛网</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numPr>
                <w:ilvl w:val="0"/>
                <w:numId w:val="17"/>
              </w:numPr>
              <w:spacing w:line="260" w:lineRule="exact"/>
              <w:jc w:val="left"/>
              <w:rPr>
                <w:rFonts w:ascii="宋体" w:hAnsi="宋体"/>
                <w:szCs w:val="21"/>
              </w:rPr>
            </w:pPr>
            <w:r>
              <w:rPr>
                <w:rFonts w:hint="eastAsia" w:ascii="宋体" w:hAnsi="宋体"/>
                <w:szCs w:val="21"/>
              </w:rPr>
              <w:t>蜘蛛网用鸡毛掸子清除干净</w:t>
            </w:r>
          </w:p>
          <w:p>
            <w:pPr>
              <w:numPr>
                <w:ilvl w:val="0"/>
                <w:numId w:val="17"/>
              </w:numPr>
              <w:spacing w:line="260" w:lineRule="exact"/>
              <w:jc w:val="left"/>
              <w:rPr>
                <w:rFonts w:ascii="宋体" w:hAnsi="宋体"/>
                <w:szCs w:val="21"/>
              </w:rPr>
            </w:pPr>
            <w:r>
              <w:rPr>
                <w:rFonts w:hint="eastAsia" w:ascii="宋体" w:hAnsi="宋体"/>
                <w:szCs w:val="21"/>
              </w:rPr>
              <w:t>用干净抹布擦净</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每周一次</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防止灰尘扬起</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抹布、鸡毛掸子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顶灯、罩</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用抹布擦净</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每周一次</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szCs w:val="21"/>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抹布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开关、插座、空调调节器</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无灰尘、污迹，光亮、无破损</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numPr>
                <w:ilvl w:val="0"/>
                <w:numId w:val="18"/>
              </w:numPr>
              <w:spacing w:line="260" w:lineRule="exact"/>
              <w:rPr>
                <w:rFonts w:ascii="宋体" w:hAnsi="宋体"/>
                <w:szCs w:val="21"/>
              </w:rPr>
            </w:pPr>
            <w:r>
              <w:rPr>
                <w:rFonts w:hint="eastAsia" w:ascii="宋体" w:hAnsi="宋体"/>
                <w:szCs w:val="21"/>
              </w:rPr>
              <w:t>抹布抹浮灰</w:t>
            </w:r>
          </w:p>
          <w:p>
            <w:pPr>
              <w:numPr>
                <w:ilvl w:val="0"/>
                <w:numId w:val="18"/>
              </w:numPr>
              <w:spacing w:line="260" w:lineRule="exact"/>
              <w:rPr>
                <w:rFonts w:ascii="宋体" w:hAnsi="宋体"/>
                <w:szCs w:val="21"/>
              </w:rPr>
            </w:pPr>
            <w:r>
              <w:rPr>
                <w:rFonts w:hint="eastAsia" w:ascii="宋体" w:hAnsi="宋体"/>
                <w:szCs w:val="21"/>
              </w:rPr>
              <w:t>用抹布蘸清洁剂去除污迹</w:t>
            </w:r>
          </w:p>
          <w:p>
            <w:pPr>
              <w:numPr>
                <w:ilvl w:val="0"/>
                <w:numId w:val="18"/>
              </w:numPr>
              <w:spacing w:line="260" w:lineRule="exact"/>
              <w:rPr>
                <w:rFonts w:ascii="宋体" w:hAnsi="宋体"/>
                <w:szCs w:val="21"/>
              </w:rPr>
            </w:pPr>
            <w:r>
              <w:rPr>
                <w:rFonts w:hint="eastAsia" w:ascii="宋体" w:hAnsi="宋体"/>
                <w:szCs w:val="21"/>
              </w:rPr>
              <w:t>用干净抹布抹净</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每天一次</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szCs w:val="21"/>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抹布、清洁剂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窗户玻璃、窗框、窗台</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玻璃干净、明亮，无灰尘、污迹，窗框无破损，窗扣完好</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numPr>
                <w:ilvl w:val="0"/>
                <w:numId w:val="19"/>
              </w:numPr>
              <w:spacing w:line="260" w:lineRule="exact"/>
              <w:rPr>
                <w:rFonts w:ascii="宋体" w:hAnsi="宋体"/>
                <w:szCs w:val="21"/>
              </w:rPr>
            </w:pPr>
            <w:r>
              <w:rPr>
                <w:rFonts w:hint="eastAsia" w:ascii="宋体" w:hAnsi="宋体"/>
                <w:szCs w:val="21"/>
              </w:rPr>
              <w:t>用涂水器蘸上清洁剂均匀涂于玻璃表面</w:t>
            </w:r>
          </w:p>
          <w:p>
            <w:pPr>
              <w:numPr>
                <w:ilvl w:val="0"/>
                <w:numId w:val="19"/>
              </w:numPr>
              <w:spacing w:line="260" w:lineRule="exact"/>
              <w:rPr>
                <w:rFonts w:ascii="宋体" w:hAnsi="宋体"/>
                <w:szCs w:val="21"/>
              </w:rPr>
            </w:pPr>
            <w:r>
              <w:rPr>
                <w:rFonts w:hint="eastAsia" w:ascii="宋体" w:hAnsi="宋体"/>
                <w:szCs w:val="21"/>
              </w:rPr>
              <w:t>用刮水器刮除玻璃上污水</w:t>
            </w:r>
          </w:p>
          <w:p>
            <w:pPr>
              <w:numPr>
                <w:ilvl w:val="0"/>
                <w:numId w:val="19"/>
              </w:numPr>
              <w:spacing w:line="260" w:lineRule="exact"/>
              <w:rPr>
                <w:rFonts w:ascii="宋体" w:hAnsi="宋体"/>
                <w:szCs w:val="21"/>
              </w:rPr>
            </w:pPr>
            <w:r>
              <w:rPr>
                <w:rFonts w:hint="eastAsia" w:ascii="宋体" w:hAnsi="宋体"/>
                <w:szCs w:val="21"/>
              </w:rPr>
              <w:t>刮水器刮在玻璃上运行的起止处应是边框到对门边框</w:t>
            </w:r>
          </w:p>
          <w:p>
            <w:pPr>
              <w:numPr>
                <w:ilvl w:val="0"/>
                <w:numId w:val="19"/>
              </w:numPr>
              <w:spacing w:line="260" w:lineRule="exact"/>
              <w:rPr>
                <w:rFonts w:ascii="宋体" w:hAnsi="宋体"/>
                <w:szCs w:val="21"/>
              </w:rPr>
            </w:pPr>
            <w:r>
              <w:rPr>
                <w:rFonts w:hint="eastAsia" w:ascii="宋体" w:hAnsi="宋体"/>
                <w:szCs w:val="21"/>
              </w:rPr>
              <w:t>用力均匀，每刮一回用抹布将刮水器擦干，再行下一回</w:t>
            </w:r>
          </w:p>
          <w:p>
            <w:pPr>
              <w:numPr>
                <w:ilvl w:val="0"/>
                <w:numId w:val="19"/>
              </w:numPr>
              <w:spacing w:line="260" w:lineRule="exact"/>
              <w:rPr>
                <w:rFonts w:ascii="宋体" w:hAnsi="宋体"/>
                <w:szCs w:val="21"/>
              </w:rPr>
            </w:pPr>
            <w:r>
              <w:rPr>
                <w:rFonts w:hint="eastAsia" w:ascii="宋体" w:hAnsi="宋体"/>
                <w:szCs w:val="21"/>
              </w:rPr>
              <w:t>刮洗结束后，要用干净抹布将边框处水道擦去</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每两周一次</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1.污水不可滴落楼下</w:t>
            </w:r>
          </w:p>
          <w:p>
            <w:pPr>
              <w:spacing w:line="260" w:lineRule="exact"/>
              <w:ind w:firstLine="210" w:firstLineChars="100"/>
              <w:rPr>
                <w:rFonts w:ascii="宋体" w:hAnsi="宋体"/>
                <w:szCs w:val="21"/>
              </w:rPr>
            </w:pPr>
            <w:r>
              <w:rPr>
                <w:rFonts w:hint="eastAsia" w:ascii="宋体" w:hAnsi="宋体"/>
                <w:szCs w:val="21"/>
              </w:rPr>
              <w:t>2.高空作业必须系牢安全带，或用升降机、吊篮进行作业</w:t>
            </w:r>
          </w:p>
          <w:p>
            <w:pPr>
              <w:spacing w:line="260" w:lineRule="exact"/>
              <w:ind w:firstLine="210" w:firstLineChars="100"/>
              <w:rPr>
                <w:rFonts w:ascii="宋体" w:hAnsi="宋体"/>
                <w:szCs w:val="21"/>
              </w:rPr>
            </w:pPr>
            <w:r>
              <w:rPr>
                <w:rFonts w:hint="eastAsia" w:ascii="宋体" w:hAnsi="宋体"/>
                <w:szCs w:val="21"/>
              </w:rPr>
              <w:t>3.刮大风、下雨时勿作业</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抹布、清洁剂、刮水器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szCs w:val="21"/>
              </w:rPr>
            </w:pPr>
            <w:r>
              <w:rPr>
                <w:rFonts w:hint="eastAsia" w:ascii="宋体" w:hAnsi="宋体"/>
                <w:szCs w:val="21"/>
              </w:rPr>
              <w:t>隔离帘、屏风、开关及拉绳、轨道</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干净，无破损、脱钩、污迹、变形</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numPr>
                <w:ilvl w:val="0"/>
                <w:numId w:val="20"/>
              </w:numPr>
              <w:spacing w:line="260" w:lineRule="exact"/>
              <w:rPr>
                <w:rFonts w:ascii="宋体" w:hAnsi="宋体"/>
                <w:szCs w:val="21"/>
              </w:rPr>
            </w:pPr>
            <w:r>
              <w:rPr>
                <w:rFonts w:hint="eastAsia" w:ascii="宋体" w:hAnsi="宋体"/>
                <w:szCs w:val="21"/>
              </w:rPr>
              <w:t>用抹布擦净轨道</w:t>
            </w:r>
          </w:p>
          <w:p>
            <w:pPr>
              <w:numPr>
                <w:ilvl w:val="0"/>
                <w:numId w:val="20"/>
              </w:numPr>
              <w:spacing w:line="260" w:lineRule="exact"/>
              <w:rPr>
                <w:rFonts w:ascii="宋体" w:hAnsi="宋体"/>
                <w:szCs w:val="21"/>
              </w:rPr>
            </w:pPr>
            <w:r>
              <w:rPr>
                <w:rFonts w:hint="eastAsia" w:ascii="宋体" w:hAnsi="宋体"/>
                <w:szCs w:val="21"/>
              </w:rPr>
              <w:t>对拉绳污迹进行除污处理至洁净</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numPr>
                <w:ilvl w:val="0"/>
                <w:numId w:val="21"/>
              </w:numPr>
              <w:spacing w:line="260" w:lineRule="exact"/>
              <w:rPr>
                <w:rFonts w:ascii="宋体" w:hAnsi="宋体"/>
                <w:szCs w:val="21"/>
              </w:rPr>
            </w:pPr>
            <w:r>
              <w:rPr>
                <w:rFonts w:hint="eastAsia" w:ascii="宋体" w:hAnsi="宋体"/>
                <w:szCs w:val="21"/>
              </w:rPr>
              <w:t>隔离帘每半年送洗一次</w:t>
            </w:r>
          </w:p>
          <w:p>
            <w:pPr>
              <w:numPr>
                <w:ilvl w:val="0"/>
                <w:numId w:val="21"/>
              </w:numPr>
              <w:spacing w:line="260" w:lineRule="exact"/>
              <w:rPr>
                <w:rFonts w:ascii="宋体" w:hAnsi="宋体"/>
                <w:szCs w:val="21"/>
              </w:rPr>
            </w:pPr>
            <w:r>
              <w:rPr>
                <w:rFonts w:hint="eastAsia" w:ascii="宋体" w:hAnsi="宋体"/>
                <w:szCs w:val="21"/>
              </w:rPr>
              <w:t>擦拭每天一次</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szCs w:val="21"/>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抹布（百洁布）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垃圾桶</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szCs w:val="21"/>
              </w:rPr>
            </w:pPr>
            <w:r>
              <w:rPr>
                <w:rFonts w:hint="eastAsia" w:ascii="宋体" w:hAnsi="宋体"/>
                <w:szCs w:val="21"/>
              </w:rPr>
              <w:t>光亮、无污迹、无水迹，周边无垃圾</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numPr>
                <w:ilvl w:val="0"/>
                <w:numId w:val="22"/>
              </w:numPr>
              <w:spacing w:line="260" w:lineRule="exact"/>
              <w:rPr>
                <w:rFonts w:ascii="宋体" w:hAnsi="宋体"/>
                <w:szCs w:val="21"/>
              </w:rPr>
            </w:pPr>
            <w:r>
              <w:rPr>
                <w:rFonts w:hint="eastAsia" w:ascii="宋体" w:hAnsi="宋体"/>
                <w:szCs w:val="21"/>
              </w:rPr>
              <w:t>将垃圾袋取出，口扎紧丢入工作车垃圾桶内</w:t>
            </w:r>
          </w:p>
          <w:p>
            <w:pPr>
              <w:numPr>
                <w:ilvl w:val="0"/>
                <w:numId w:val="22"/>
              </w:numPr>
              <w:spacing w:line="260" w:lineRule="exact"/>
              <w:rPr>
                <w:rFonts w:ascii="宋体" w:hAnsi="宋体"/>
                <w:szCs w:val="21"/>
              </w:rPr>
            </w:pPr>
            <w:r>
              <w:rPr>
                <w:rFonts w:hint="eastAsia" w:ascii="宋体" w:hAnsi="宋体"/>
                <w:szCs w:val="21"/>
              </w:rPr>
              <w:t>用清洁剂刷洗垃圾桶内外</w:t>
            </w:r>
          </w:p>
          <w:p>
            <w:pPr>
              <w:numPr>
                <w:ilvl w:val="0"/>
                <w:numId w:val="22"/>
              </w:numPr>
              <w:spacing w:line="260" w:lineRule="exact"/>
              <w:rPr>
                <w:rFonts w:ascii="宋体" w:hAnsi="宋体"/>
                <w:szCs w:val="21"/>
              </w:rPr>
            </w:pPr>
            <w:r>
              <w:rPr>
                <w:rFonts w:hint="eastAsia" w:ascii="宋体" w:hAnsi="宋体"/>
                <w:szCs w:val="21"/>
              </w:rPr>
              <w:t>擦干、擦净</w:t>
            </w:r>
          </w:p>
          <w:p>
            <w:pPr>
              <w:numPr>
                <w:ilvl w:val="0"/>
                <w:numId w:val="22"/>
              </w:numPr>
              <w:spacing w:line="260" w:lineRule="exact"/>
              <w:rPr>
                <w:rFonts w:ascii="宋体" w:hAnsi="宋体"/>
                <w:szCs w:val="21"/>
              </w:rPr>
            </w:pPr>
            <w:r>
              <w:rPr>
                <w:rFonts w:hint="eastAsia" w:ascii="宋体" w:hAnsi="宋体"/>
                <w:szCs w:val="21"/>
              </w:rPr>
              <w:t>更换干净垃圾袋</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numPr>
                <w:ilvl w:val="0"/>
                <w:numId w:val="23"/>
              </w:numPr>
              <w:spacing w:line="260" w:lineRule="exact"/>
              <w:rPr>
                <w:rFonts w:ascii="宋体" w:hAnsi="宋体"/>
                <w:szCs w:val="21"/>
              </w:rPr>
            </w:pPr>
            <w:r>
              <w:rPr>
                <w:rFonts w:hint="eastAsia" w:ascii="宋体" w:hAnsi="宋体"/>
                <w:szCs w:val="21"/>
              </w:rPr>
              <w:t>每天上、下午各一次</w:t>
            </w:r>
          </w:p>
          <w:p>
            <w:pPr>
              <w:numPr>
                <w:ilvl w:val="0"/>
                <w:numId w:val="23"/>
              </w:numPr>
              <w:spacing w:line="260" w:lineRule="exact"/>
              <w:rPr>
                <w:rFonts w:ascii="宋体" w:hAnsi="宋体"/>
                <w:szCs w:val="21"/>
              </w:rPr>
            </w:pPr>
            <w:r>
              <w:rPr>
                <w:rFonts w:hint="eastAsia" w:ascii="宋体" w:hAnsi="宋体"/>
                <w:szCs w:val="21"/>
              </w:rPr>
              <w:t>随满随倒</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垃圾袋平整地套在垃圾桶上，与垃圾桶之间无缝隙，翻边约5厘米,不能漫溢（垃圾不得超过垃圾桶容量的3/4）</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清洁剂、百洁布、毛刷、抹布、手套、塑料袋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电视机、架及遥控器</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无灰尘、污迹</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numPr>
                <w:ilvl w:val="0"/>
                <w:numId w:val="24"/>
              </w:numPr>
              <w:spacing w:line="260" w:lineRule="exact"/>
              <w:rPr>
                <w:rFonts w:ascii="宋体" w:hAnsi="宋体"/>
                <w:szCs w:val="21"/>
              </w:rPr>
            </w:pPr>
            <w:r>
              <w:rPr>
                <w:rFonts w:hint="eastAsia" w:ascii="宋体" w:hAnsi="宋体"/>
                <w:szCs w:val="21"/>
              </w:rPr>
              <w:t>用抹布抹净</w:t>
            </w:r>
          </w:p>
          <w:p>
            <w:pPr>
              <w:numPr>
                <w:ilvl w:val="0"/>
                <w:numId w:val="24"/>
              </w:numPr>
              <w:spacing w:line="260" w:lineRule="exact"/>
              <w:rPr>
                <w:rFonts w:ascii="宋体" w:hAnsi="宋体"/>
                <w:szCs w:val="21"/>
              </w:rPr>
            </w:pPr>
            <w:r>
              <w:rPr>
                <w:rFonts w:hint="eastAsia" w:ascii="宋体" w:hAnsi="宋体"/>
                <w:szCs w:val="21"/>
              </w:rPr>
              <w:t>污迹处用清洁剂去除</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每天一次</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遥控器不可水洗</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踢脚板</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无污物、斑迹，干净、光亮</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numPr>
                <w:ilvl w:val="0"/>
                <w:numId w:val="25"/>
              </w:numPr>
              <w:spacing w:line="260" w:lineRule="exact"/>
              <w:rPr>
                <w:rFonts w:ascii="宋体" w:hAnsi="宋体"/>
                <w:szCs w:val="21"/>
              </w:rPr>
            </w:pPr>
            <w:r>
              <w:rPr>
                <w:rFonts w:hint="eastAsia" w:ascii="宋体" w:hAnsi="宋体"/>
                <w:szCs w:val="21"/>
              </w:rPr>
              <w:t>用抹布裹着平口起子擦拭踢脚板沟缝内的污迹</w:t>
            </w:r>
          </w:p>
          <w:p>
            <w:pPr>
              <w:numPr>
                <w:ilvl w:val="0"/>
                <w:numId w:val="25"/>
              </w:numPr>
              <w:spacing w:line="260" w:lineRule="exact"/>
              <w:rPr>
                <w:rFonts w:ascii="宋体" w:hAnsi="宋体"/>
                <w:szCs w:val="21"/>
              </w:rPr>
            </w:pPr>
            <w:r>
              <w:rPr>
                <w:rFonts w:hint="eastAsia" w:ascii="宋体" w:hAnsi="宋体"/>
                <w:szCs w:val="21"/>
              </w:rPr>
              <w:t>抹净踢脚板表面</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每天一次</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szCs w:val="21"/>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抹布、平口起子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空调</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无冷凝水，清洁无灰尘</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numPr>
                <w:ilvl w:val="0"/>
                <w:numId w:val="26"/>
              </w:numPr>
              <w:spacing w:line="260" w:lineRule="exact"/>
              <w:rPr>
                <w:rFonts w:ascii="宋体" w:hAnsi="宋体"/>
                <w:szCs w:val="21"/>
              </w:rPr>
            </w:pPr>
            <w:r>
              <w:rPr>
                <w:rFonts w:hint="eastAsia" w:ascii="宋体" w:hAnsi="宋体"/>
                <w:szCs w:val="21"/>
              </w:rPr>
              <w:t>用干抹布抹净空调表面及风叶扇</w:t>
            </w:r>
          </w:p>
          <w:p>
            <w:pPr>
              <w:numPr>
                <w:ilvl w:val="0"/>
                <w:numId w:val="26"/>
              </w:numPr>
              <w:spacing w:line="260" w:lineRule="exact"/>
              <w:rPr>
                <w:rFonts w:ascii="宋体" w:hAnsi="宋体"/>
                <w:szCs w:val="21"/>
              </w:rPr>
            </w:pPr>
            <w:r>
              <w:rPr>
                <w:rFonts w:hint="eastAsia" w:ascii="宋体" w:hAnsi="宋体"/>
                <w:szCs w:val="21"/>
              </w:rPr>
              <w:t>清洗过滤网</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每两周一次</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1.应站在梯子或稳定性较好的支撑物上</w:t>
            </w:r>
          </w:p>
          <w:p>
            <w:pPr>
              <w:spacing w:line="260" w:lineRule="exact"/>
              <w:ind w:firstLine="210" w:firstLineChars="100"/>
              <w:rPr>
                <w:rFonts w:ascii="宋体" w:hAnsi="宋体"/>
                <w:szCs w:val="21"/>
              </w:rPr>
            </w:pPr>
            <w:r>
              <w:rPr>
                <w:rFonts w:hint="eastAsia" w:ascii="宋体" w:hAnsi="宋体"/>
                <w:szCs w:val="21"/>
              </w:rPr>
              <w:t>2.擦拭前拔下空调插头</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梯子、干净抹布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沙发（面、缝隙、脚）</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无灰尘、污物、斑迹、破损，干净、整洁</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numPr>
                <w:ilvl w:val="0"/>
                <w:numId w:val="27"/>
              </w:numPr>
              <w:rPr>
                <w:rFonts w:ascii="宋体" w:hAnsi="宋体"/>
                <w:szCs w:val="21"/>
              </w:rPr>
            </w:pPr>
            <w:r>
              <w:rPr>
                <w:rFonts w:hint="eastAsia" w:ascii="宋体" w:hAnsi="宋体"/>
                <w:szCs w:val="21"/>
              </w:rPr>
              <w:t>用吸尘器将沙发各部位彻底吸尘</w:t>
            </w:r>
          </w:p>
          <w:p>
            <w:pPr>
              <w:numPr>
                <w:ilvl w:val="0"/>
                <w:numId w:val="27"/>
              </w:numPr>
              <w:rPr>
                <w:rFonts w:ascii="宋体" w:hAnsi="宋体"/>
                <w:szCs w:val="21"/>
              </w:rPr>
            </w:pPr>
            <w:r>
              <w:rPr>
                <w:rFonts w:hint="eastAsia" w:ascii="宋体" w:hAnsi="宋体"/>
                <w:szCs w:val="21"/>
              </w:rPr>
              <w:t>针对不同的斑迹，用除油剂和正确配制的TR103,用毛刷刷除</w:t>
            </w:r>
          </w:p>
          <w:p>
            <w:pPr>
              <w:numPr>
                <w:ilvl w:val="0"/>
                <w:numId w:val="27"/>
              </w:numPr>
              <w:rPr>
                <w:rFonts w:ascii="宋体" w:hAnsi="宋体"/>
                <w:szCs w:val="21"/>
              </w:rPr>
            </w:pPr>
            <w:r>
              <w:rPr>
                <w:rFonts w:hint="eastAsia" w:ascii="宋体" w:hAnsi="宋体"/>
                <w:szCs w:val="21"/>
              </w:rPr>
              <w:t>对重污处（扶手、靠背、坐垫等易脏部位）进行刷洗</w:t>
            </w:r>
          </w:p>
          <w:p>
            <w:pPr>
              <w:numPr>
                <w:ilvl w:val="0"/>
                <w:numId w:val="27"/>
              </w:numPr>
              <w:rPr>
                <w:rFonts w:ascii="宋体" w:hAnsi="宋体"/>
                <w:szCs w:val="21"/>
              </w:rPr>
            </w:pPr>
            <w:r>
              <w:rPr>
                <w:rFonts w:hint="eastAsia" w:ascii="宋体" w:hAnsi="宋体"/>
                <w:szCs w:val="21"/>
              </w:rPr>
              <w:t>用干净抹布抹净</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每月一次</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对破损的沙发及时报修</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清洁剂（TR103）、除油剂吸尘器、毛刷、抹布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电话机</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清洁，无污迹、异味</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numPr>
                <w:ilvl w:val="0"/>
                <w:numId w:val="28"/>
              </w:numPr>
              <w:rPr>
                <w:rFonts w:ascii="宋体" w:hAnsi="宋体"/>
                <w:szCs w:val="21"/>
              </w:rPr>
            </w:pPr>
            <w:r>
              <w:rPr>
                <w:rFonts w:hint="eastAsia" w:ascii="宋体" w:hAnsi="宋体"/>
                <w:szCs w:val="21"/>
              </w:rPr>
              <w:t>用抹布蘸牙膏擦拭污迹</w:t>
            </w:r>
          </w:p>
          <w:p>
            <w:pPr>
              <w:numPr>
                <w:ilvl w:val="0"/>
                <w:numId w:val="28"/>
              </w:numPr>
              <w:rPr>
                <w:rFonts w:ascii="宋体" w:hAnsi="宋体"/>
                <w:szCs w:val="21"/>
              </w:rPr>
            </w:pPr>
            <w:r>
              <w:rPr>
                <w:rFonts w:hint="eastAsia" w:ascii="宋体" w:hAnsi="宋体"/>
                <w:szCs w:val="21"/>
              </w:rPr>
              <w:t>用酒精棉球擦拭听话筒</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每2天1次</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清洁时按下电话按键</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牙膏、抹布、酒精棉球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冰箱</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内外清洁，外部光亮，无异味、斑迹，运转正常</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numPr>
                <w:ilvl w:val="0"/>
                <w:numId w:val="29"/>
              </w:numPr>
              <w:rPr>
                <w:rFonts w:ascii="宋体" w:hAnsi="宋体"/>
                <w:szCs w:val="21"/>
              </w:rPr>
            </w:pPr>
            <w:r>
              <w:rPr>
                <w:rFonts w:hint="eastAsia" w:ascii="宋体" w:hAnsi="宋体"/>
                <w:szCs w:val="21"/>
              </w:rPr>
              <w:t>用抹布擦净冰壳</w:t>
            </w:r>
          </w:p>
          <w:p>
            <w:pPr>
              <w:numPr>
                <w:ilvl w:val="0"/>
                <w:numId w:val="29"/>
              </w:numPr>
              <w:rPr>
                <w:rFonts w:ascii="宋体" w:hAnsi="宋体"/>
                <w:szCs w:val="21"/>
              </w:rPr>
            </w:pPr>
            <w:r>
              <w:rPr>
                <w:rFonts w:hint="eastAsia" w:ascii="宋体" w:hAnsi="宋体"/>
                <w:szCs w:val="21"/>
              </w:rPr>
              <w:t>用清洁剂去除斑迹</w:t>
            </w:r>
          </w:p>
          <w:p>
            <w:pPr>
              <w:numPr>
                <w:ilvl w:val="0"/>
                <w:numId w:val="29"/>
              </w:numPr>
              <w:rPr>
                <w:rFonts w:ascii="宋体" w:hAnsi="宋体"/>
                <w:szCs w:val="21"/>
              </w:rPr>
            </w:pPr>
            <w:r>
              <w:rPr>
                <w:rFonts w:hint="eastAsia" w:ascii="宋体" w:hAnsi="宋体"/>
                <w:szCs w:val="21"/>
              </w:rPr>
              <w:t>关掉冰箱电源，将冰箱内食品取出，化霜，擦净</w:t>
            </w:r>
          </w:p>
          <w:p>
            <w:pPr>
              <w:numPr>
                <w:ilvl w:val="0"/>
                <w:numId w:val="29"/>
              </w:numPr>
              <w:rPr>
                <w:rFonts w:ascii="宋体" w:hAnsi="宋体"/>
                <w:szCs w:val="21"/>
              </w:rPr>
            </w:pPr>
            <w:r>
              <w:rPr>
                <w:rFonts w:hint="eastAsia" w:ascii="宋体" w:hAnsi="宋体"/>
                <w:szCs w:val="21"/>
              </w:rPr>
              <w:t>医用冰箱仅擦拭外壳</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每月一次</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1.取出食品时，需征得病人同意后再行擦拭</w:t>
            </w:r>
          </w:p>
          <w:p>
            <w:pPr>
              <w:spacing w:line="260" w:lineRule="exact"/>
              <w:ind w:firstLine="210" w:firstLineChars="100"/>
              <w:rPr>
                <w:rFonts w:ascii="宋体" w:hAnsi="宋体"/>
                <w:szCs w:val="21"/>
              </w:rPr>
            </w:pPr>
            <w:r>
              <w:rPr>
                <w:rFonts w:hint="eastAsia" w:ascii="宋体" w:hAnsi="宋体"/>
                <w:szCs w:val="21"/>
              </w:rPr>
              <w:t>2.冰箱门边缘封胶处的清洁不可忽略</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抹布、清洁剂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地灯</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无灰尘，灯罩完好、光亮</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0" w:hanging="420"/>
              <w:jc w:val="center"/>
              <w:rPr>
                <w:rFonts w:ascii="宋体" w:hAnsi="宋体"/>
                <w:szCs w:val="21"/>
              </w:rPr>
            </w:pPr>
            <w:r>
              <w:rPr>
                <w:rFonts w:hint="eastAsia" w:ascii="宋体" w:hAnsi="宋体"/>
                <w:szCs w:val="21"/>
              </w:rPr>
              <w:t>用抹布擦拭干净</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每天一次</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灯罩、灯泡损坏及时报修</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热水瓶</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numPr>
                <w:ilvl w:val="0"/>
                <w:numId w:val="30"/>
              </w:numPr>
              <w:rPr>
                <w:rFonts w:ascii="宋体" w:hAnsi="宋体"/>
                <w:szCs w:val="21"/>
              </w:rPr>
            </w:pPr>
            <w:r>
              <w:rPr>
                <w:rFonts w:hint="eastAsia" w:ascii="宋体" w:hAnsi="宋体"/>
                <w:szCs w:val="21"/>
              </w:rPr>
              <w:t>瓶子干净，无污迹</w:t>
            </w:r>
          </w:p>
          <w:p>
            <w:pPr>
              <w:numPr>
                <w:ilvl w:val="0"/>
                <w:numId w:val="30"/>
              </w:numPr>
              <w:rPr>
                <w:rFonts w:ascii="宋体" w:hAnsi="宋体"/>
                <w:szCs w:val="21"/>
              </w:rPr>
            </w:pPr>
            <w:r>
              <w:rPr>
                <w:rFonts w:hint="eastAsia" w:ascii="宋体" w:hAnsi="宋体"/>
                <w:szCs w:val="21"/>
              </w:rPr>
              <w:t>瓶口无缺损</w:t>
            </w:r>
          </w:p>
          <w:p>
            <w:pPr>
              <w:numPr>
                <w:ilvl w:val="0"/>
                <w:numId w:val="30"/>
              </w:numPr>
              <w:rPr>
                <w:rFonts w:ascii="宋体" w:hAnsi="宋体"/>
                <w:szCs w:val="21"/>
              </w:rPr>
            </w:pPr>
            <w:r>
              <w:rPr>
                <w:rFonts w:hint="eastAsia" w:ascii="宋体" w:hAnsi="宋体"/>
                <w:szCs w:val="21"/>
              </w:rPr>
              <w:t>瓶塞消毒</w:t>
            </w:r>
          </w:p>
          <w:p>
            <w:pPr>
              <w:numPr>
                <w:ilvl w:val="0"/>
                <w:numId w:val="30"/>
              </w:numPr>
              <w:rPr>
                <w:rFonts w:ascii="宋体" w:hAnsi="宋体"/>
                <w:szCs w:val="21"/>
              </w:rPr>
            </w:pPr>
            <w:r>
              <w:rPr>
                <w:rFonts w:hint="eastAsia" w:ascii="宋体" w:hAnsi="宋体"/>
                <w:szCs w:val="21"/>
              </w:rPr>
              <w:t>保温</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numPr>
                <w:ilvl w:val="0"/>
                <w:numId w:val="31"/>
              </w:numPr>
              <w:rPr>
                <w:rFonts w:ascii="宋体" w:hAnsi="宋体"/>
                <w:szCs w:val="21"/>
              </w:rPr>
            </w:pPr>
            <w:r>
              <w:rPr>
                <w:rFonts w:hint="eastAsia" w:ascii="宋体" w:hAnsi="宋体"/>
                <w:szCs w:val="21"/>
              </w:rPr>
              <w:t>用抹布擦拭瓶身、瓶把至洁净</w:t>
            </w:r>
          </w:p>
          <w:p>
            <w:pPr>
              <w:numPr>
                <w:ilvl w:val="0"/>
                <w:numId w:val="31"/>
              </w:numPr>
              <w:rPr>
                <w:rFonts w:ascii="宋体" w:hAnsi="宋体"/>
                <w:szCs w:val="21"/>
              </w:rPr>
            </w:pPr>
            <w:r>
              <w:rPr>
                <w:rFonts w:hint="eastAsia" w:ascii="宋体" w:hAnsi="宋体"/>
                <w:szCs w:val="21"/>
              </w:rPr>
              <w:t>瓶塞用消毒液浸泡后用开水冲洗</w:t>
            </w:r>
          </w:p>
          <w:p>
            <w:pPr>
              <w:numPr>
                <w:ilvl w:val="0"/>
                <w:numId w:val="31"/>
              </w:numPr>
              <w:rPr>
                <w:rFonts w:ascii="宋体" w:hAnsi="宋体"/>
                <w:szCs w:val="21"/>
              </w:rPr>
            </w:pPr>
            <w:r>
              <w:rPr>
                <w:rFonts w:hint="eastAsia" w:ascii="宋体" w:hAnsi="宋体"/>
                <w:szCs w:val="21"/>
              </w:rPr>
              <w:t>瓶口缺损，应及时更换</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每天一次</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不保温水瓶及时上报</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抹布、稀释后的消毒液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纱窗</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无灰尘、破损</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numPr>
                <w:ilvl w:val="0"/>
                <w:numId w:val="32"/>
              </w:numPr>
              <w:rPr>
                <w:rFonts w:ascii="宋体" w:hAnsi="宋体"/>
                <w:szCs w:val="21"/>
              </w:rPr>
            </w:pPr>
            <w:r>
              <w:rPr>
                <w:rFonts w:hint="eastAsia" w:ascii="宋体" w:hAnsi="宋体"/>
                <w:szCs w:val="21"/>
              </w:rPr>
              <w:t>用吸尘器吸除灰尘</w:t>
            </w:r>
          </w:p>
          <w:p>
            <w:pPr>
              <w:numPr>
                <w:ilvl w:val="0"/>
                <w:numId w:val="32"/>
              </w:numPr>
              <w:rPr>
                <w:rFonts w:ascii="宋体" w:hAnsi="宋体"/>
                <w:szCs w:val="21"/>
              </w:rPr>
            </w:pPr>
            <w:r>
              <w:rPr>
                <w:rFonts w:hint="eastAsia" w:ascii="宋体" w:hAnsi="宋体"/>
                <w:szCs w:val="21"/>
              </w:rPr>
              <w:t>用抹布抹净</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每周一次</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对破损的纱窗及时报修</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吸尘器、抹布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床头设备带</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清洁，无污迹</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0" w:hanging="420"/>
              <w:jc w:val="center"/>
              <w:rPr>
                <w:rFonts w:ascii="宋体" w:hAnsi="宋体"/>
                <w:szCs w:val="21"/>
              </w:rPr>
            </w:pPr>
            <w:r>
              <w:rPr>
                <w:rFonts w:hint="eastAsia" w:ascii="宋体" w:hAnsi="宋体"/>
                <w:szCs w:val="21"/>
              </w:rPr>
              <w:t>用抹布擦拭干净</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每天一次</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不可带水擦拭</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抹布（百洁布）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微波炉及框、架</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无灰尘、污迹、油垢</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numPr>
                <w:ilvl w:val="0"/>
                <w:numId w:val="33"/>
              </w:numPr>
              <w:rPr>
                <w:rFonts w:ascii="宋体" w:hAnsi="宋体"/>
                <w:szCs w:val="21"/>
              </w:rPr>
            </w:pPr>
            <w:r>
              <w:rPr>
                <w:rFonts w:hint="eastAsia" w:ascii="宋体" w:hAnsi="宋体"/>
                <w:szCs w:val="21"/>
              </w:rPr>
              <w:t>用抹布抹净</w:t>
            </w:r>
          </w:p>
          <w:p>
            <w:pPr>
              <w:numPr>
                <w:ilvl w:val="0"/>
                <w:numId w:val="33"/>
              </w:numPr>
              <w:rPr>
                <w:rFonts w:ascii="宋体" w:hAnsi="宋体"/>
                <w:szCs w:val="21"/>
              </w:rPr>
            </w:pPr>
            <w:r>
              <w:rPr>
                <w:rFonts w:hint="eastAsia" w:ascii="宋体" w:hAnsi="宋体"/>
                <w:szCs w:val="21"/>
              </w:rPr>
              <w:t>用清洁剂去除油污迹</w:t>
            </w:r>
          </w:p>
          <w:p>
            <w:pPr>
              <w:numPr>
                <w:ilvl w:val="0"/>
                <w:numId w:val="33"/>
              </w:numPr>
              <w:rPr>
                <w:rFonts w:ascii="宋体" w:hAnsi="宋体"/>
                <w:szCs w:val="21"/>
              </w:rPr>
            </w:pPr>
            <w:r>
              <w:rPr>
                <w:rFonts w:hint="eastAsia" w:ascii="宋体" w:hAnsi="宋体"/>
                <w:szCs w:val="21"/>
              </w:rPr>
              <w:t>用干净抹布抹净</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每天中、晚各一次</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1.清洁时请勿拆下除转盘、盘架、滚珠以外的任何部件，以免损坏微波炉及引起触电的危险；</w:t>
            </w:r>
          </w:p>
          <w:p>
            <w:pPr>
              <w:spacing w:line="260" w:lineRule="exact"/>
              <w:ind w:firstLine="210" w:firstLineChars="100"/>
              <w:rPr>
                <w:rFonts w:ascii="宋体" w:hAnsi="宋体"/>
                <w:szCs w:val="21"/>
              </w:rPr>
            </w:pPr>
            <w:r>
              <w:rPr>
                <w:rFonts w:hint="eastAsia" w:ascii="宋体" w:hAnsi="宋体"/>
                <w:szCs w:val="21"/>
              </w:rPr>
              <w:t>2.勿用金属刷子、颗粒状洗涤剂、酸碱性洗涤剂、溶化剂、去污粉、碱性肥皂洗刷微波炉的任何部位。</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抹布、清洁剂</w:t>
            </w:r>
          </w:p>
        </w:tc>
      </w:tr>
    </w:tbl>
    <w:p>
      <w:pPr>
        <w:spacing w:before="120" w:beforeLines="50" w:line="360" w:lineRule="auto"/>
        <w:ind w:firstLine="161" w:firstLineChars="67"/>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病区洗手间日常保洁项目要求</w:t>
      </w:r>
    </w:p>
    <w:tbl>
      <w:tblPr>
        <w:tblStyle w:val="70"/>
        <w:tblW w:w="1004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484"/>
        <w:gridCol w:w="2379"/>
        <w:gridCol w:w="1612"/>
        <w:gridCol w:w="1759"/>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trPr>
        <w:tc>
          <w:tcPr>
            <w:tcW w:w="1494" w:type="dxa"/>
            <w:noWrap w:val="0"/>
            <w:vAlign w:val="center"/>
          </w:tcPr>
          <w:p>
            <w:pPr>
              <w:jc w:val="center"/>
              <w:rPr>
                <w:rFonts w:ascii="宋体" w:hAnsi="宋体"/>
                <w:b/>
                <w:szCs w:val="21"/>
              </w:rPr>
            </w:pPr>
            <w:r>
              <w:rPr>
                <w:rFonts w:hint="eastAsia" w:ascii="宋体" w:hAnsi="宋体"/>
                <w:b/>
                <w:szCs w:val="21"/>
              </w:rPr>
              <w:t>项目</w:t>
            </w:r>
          </w:p>
        </w:tc>
        <w:tc>
          <w:tcPr>
            <w:tcW w:w="1484" w:type="dxa"/>
            <w:noWrap w:val="0"/>
            <w:vAlign w:val="center"/>
          </w:tcPr>
          <w:p>
            <w:pPr>
              <w:jc w:val="center"/>
              <w:rPr>
                <w:rFonts w:ascii="宋体" w:hAnsi="宋体"/>
                <w:b/>
                <w:szCs w:val="21"/>
              </w:rPr>
            </w:pPr>
            <w:r>
              <w:rPr>
                <w:rFonts w:hint="eastAsia" w:ascii="宋体" w:hAnsi="宋体"/>
                <w:b/>
                <w:szCs w:val="21"/>
              </w:rPr>
              <w:t>标准</w:t>
            </w:r>
          </w:p>
          <w:p>
            <w:pPr>
              <w:jc w:val="center"/>
              <w:rPr>
                <w:rFonts w:ascii="宋体" w:hAnsi="宋体"/>
                <w:b/>
                <w:szCs w:val="21"/>
              </w:rPr>
            </w:pPr>
            <w:r>
              <w:rPr>
                <w:rFonts w:hint="eastAsia" w:ascii="宋体" w:hAnsi="宋体"/>
                <w:b/>
                <w:szCs w:val="21"/>
              </w:rPr>
              <w:t>（质量要求）</w:t>
            </w:r>
          </w:p>
        </w:tc>
        <w:tc>
          <w:tcPr>
            <w:tcW w:w="2379" w:type="dxa"/>
            <w:noWrap w:val="0"/>
            <w:vAlign w:val="center"/>
          </w:tcPr>
          <w:p>
            <w:pPr>
              <w:jc w:val="center"/>
              <w:rPr>
                <w:rFonts w:ascii="宋体" w:hAnsi="宋体"/>
                <w:b/>
                <w:szCs w:val="21"/>
              </w:rPr>
            </w:pPr>
            <w:r>
              <w:rPr>
                <w:rFonts w:hint="eastAsia" w:ascii="宋体" w:hAnsi="宋体"/>
                <w:b/>
                <w:szCs w:val="21"/>
              </w:rPr>
              <w:t>程序</w:t>
            </w:r>
          </w:p>
        </w:tc>
        <w:tc>
          <w:tcPr>
            <w:tcW w:w="1612" w:type="dxa"/>
            <w:noWrap w:val="0"/>
            <w:vAlign w:val="center"/>
          </w:tcPr>
          <w:p>
            <w:pPr>
              <w:jc w:val="center"/>
              <w:rPr>
                <w:rFonts w:ascii="宋体" w:hAnsi="宋体"/>
                <w:b/>
                <w:szCs w:val="21"/>
              </w:rPr>
            </w:pPr>
            <w:r>
              <w:rPr>
                <w:rFonts w:hint="eastAsia" w:ascii="宋体" w:hAnsi="宋体"/>
                <w:b/>
                <w:szCs w:val="21"/>
              </w:rPr>
              <w:t>频次</w:t>
            </w:r>
          </w:p>
        </w:tc>
        <w:tc>
          <w:tcPr>
            <w:tcW w:w="1759" w:type="dxa"/>
            <w:noWrap w:val="0"/>
            <w:vAlign w:val="center"/>
          </w:tcPr>
          <w:p>
            <w:pPr>
              <w:jc w:val="center"/>
              <w:rPr>
                <w:rFonts w:ascii="宋体" w:hAnsi="宋体"/>
                <w:b/>
                <w:szCs w:val="21"/>
              </w:rPr>
            </w:pPr>
            <w:r>
              <w:rPr>
                <w:rFonts w:hint="eastAsia" w:ascii="宋体" w:hAnsi="宋体"/>
                <w:b/>
                <w:szCs w:val="21"/>
              </w:rPr>
              <w:t>注意事项</w:t>
            </w:r>
          </w:p>
        </w:tc>
        <w:tc>
          <w:tcPr>
            <w:tcW w:w="1320" w:type="dxa"/>
            <w:noWrap w:val="0"/>
            <w:vAlign w:val="center"/>
          </w:tcPr>
          <w:p>
            <w:pPr>
              <w:jc w:val="center"/>
              <w:rPr>
                <w:rFonts w:ascii="宋体" w:hAnsi="宋体"/>
                <w:b/>
                <w:szCs w:val="21"/>
              </w:rPr>
            </w:pPr>
            <w:r>
              <w:rPr>
                <w:rFonts w:hint="eastAsia" w:ascii="宋体" w:hAnsi="宋体"/>
                <w:b/>
                <w:szCs w:val="21"/>
              </w:rPr>
              <w:t>工具</w:t>
            </w:r>
          </w:p>
          <w:p>
            <w:pPr>
              <w:jc w:val="center"/>
              <w:rPr>
                <w:rFonts w:ascii="宋体" w:hAnsi="宋体"/>
                <w:b/>
                <w:szCs w:val="21"/>
              </w:rPr>
            </w:pPr>
            <w:r>
              <w:rPr>
                <w:rFonts w:hint="eastAsia" w:ascii="宋体" w:hAnsi="宋体"/>
                <w:b/>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 w:hRule="atLeast"/>
        </w:trPr>
        <w:tc>
          <w:tcPr>
            <w:tcW w:w="1494" w:type="dxa"/>
            <w:noWrap w:val="0"/>
            <w:vAlign w:val="center"/>
          </w:tcPr>
          <w:p>
            <w:pPr>
              <w:spacing w:line="280" w:lineRule="exact"/>
              <w:jc w:val="center"/>
              <w:rPr>
                <w:rFonts w:ascii="宋体" w:hAnsi="宋体"/>
                <w:szCs w:val="21"/>
              </w:rPr>
            </w:pPr>
            <w:r>
              <w:rPr>
                <w:rFonts w:hint="eastAsia" w:ascii="宋体" w:hAnsi="宋体"/>
                <w:szCs w:val="21"/>
              </w:rPr>
              <w:t>地面</w:t>
            </w:r>
          </w:p>
        </w:tc>
        <w:tc>
          <w:tcPr>
            <w:tcW w:w="1484" w:type="dxa"/>
            <w:noWrap w:val="0"/>
            <w:vAlign w:val="center"/>
          </w:tcPr>
          <w:p>
            <w:pPr>
              <w:spacing w:line="280" w:lineRule="exact"/>
              <w:jc w:val="center"/>
              <w:rPr>
                <w:rFonts w:ascii="宋体" w:hAnsi="宋体"/>
                <w:szCs w:val="21"/>
              </w:rPr>
            </w:pPr>
            <w:r>
              <w:rPr>
                <w:rFonts w:hint="eastAsia" w:ascii="宋体" w:hAnsi="宋体"/>
                <w:szCs w:val="21"/>
              </w:rPr>
              <w:t>无浮灰、水迹、杂物、鞋印及污迹</w:t>
            </w:r>
          </w:p>
        </w:tc>
        <w:tc>
          <w:tcPr>
            <w:tcW w:w="2379" w:type="dxa"/>
            <w:noWrap w:val="0"/>
            <w:vAlign w:val="center"/>
          </w:tcPr>
          <w:p>
            <w:pPr>
              <w:numPr>
                <w:ilvl w:val="0"/>
                <w:numId w:val="34"/>
              </w:numPr>
              <w:spacing w:line="280" w:lineRule="exact"/>
              <w:rPr>
                <w:rFonts w:ascii="宋体" w:hAnsi="宋体"/>
                <w:szCs w:val="21"/>
              </w:rPr>
            </w:pPr>
            <w:r>
              <w:rPr>
                <w:rFonts w:hint="eastAsia" w:ascii="宋体" w:hAnsi="宋体"/>
                <w:szCs w:val="21"/>
              </w:rPr>
              <w:t>将地面清扫干净</w:t>
            </w:r>
          </w:p>
          <w:p>
            <w:pPr>
              <w:numPr>
                <w:ilvl w:val="0"/>
                <w:numId w:val="34"/>
              </w:numPr>
              <w:spacing w:line="280" w:lineRule="exact"/>
              <w:rPr>
                <w:rFonts w:ascii="宋体" w:hAnsi="宋体"/>
                <w:szCs w:val="21"/>
              </w:rPr>
            </w:pPr>
            <w:r>
              <w:rPr>
                <w:rFonts w:hint="eastAsia" w:ascii="宋体" w:hAnsi="宋体"/>
                <w:szCs w:val="21"/>
              </w:rPr>
              <w:t>用拖把拖净地面</w:t>
            </w:r>
          </w:p>
          <w:p>
            <w:pPr>
              <w:numPr>
                <w:ilvl w:val="0"/>
                <w:numId w:val="34"/>
              </w:numPr>
              <w:spacing w:line="280" w:lineRule="exact"/>
              <w:rPr>
                <w:rFonts w:ascii="宋体" w:hAnsi="宋体"/>
                <w:szCs w:val="21"/>
              </w:rPr>
            </w:pPr>
            <w:r>
              <w:rPr>
                <w:rFonts w:hint="eastAsia" w:ascii="宋体" w:hAnsi="宋体"/>
                <w:szCs w:val="21"/>
              </w:rPr>
              <w:t>对污迹用毛刷蘸清洁剂刷洗</w:t>
            </w:r>
          </w:p>
          <w:p>
            <w:pPr>
              <w:numPr>
                <w:ilvl w:val="0"/>
                <w:numId w:val="34"/>
              </w:numPr>
              <w:spacing w:line="280" w:lineRule="exact"/>
              <w:rPr>
                <w:rFonts w:ascii="宋体" w:hAnsi="宋体"/>
                <w:szCs w:val="21"/>
              </w:rPr>
            </w:pPr>
            <w:r>
              <w:rPr>
                <w:rFonts w:hint="eastAsia" w:ascii="宋体" w:hAnsi="宋体"/>
                <w:szCs w:val="21"/>
              </w:rPr>
              <w:t>用干拖把拖净地面</w:t>
            </w:r>
          </w:p>
        </w:tc>
        <w:tc>
          <w:tcPr>
            <w:tcW w:w="1612" w:type="dxa"/>
            <w:noWrap w:val="0"/>
            <w:vAlign w:val="center"/>
          </w:tcPr>
          <w:p>
            <w:pPr>
              <w:numPr>
                <w:ilvl w:val="0"/>
                <w:numId w:val="35"/>
              </w:numPr>
              <w:spacing w:line="280" w:lineRule="exact"/>
              <w:rPr>
                <w:rFonts w:ascii="宋体" w:hAnsi="宋体"/>
                <w:szCs w:val="21"/>
              </w:rPr>
            </w:pPr>
            <w:r>
              <w:rPr>
                <w:rFonts w:hint="eastAsia" w:ascii="宋体" w:hAnsi="宋体"/>
                <w:szCs w:val="21"/>
              </w:rPr>
              <w:t>每天上、下午各一次</w:t>
            </w:r>
          </w:p>
          <w:p>
            <w:pPr>
              <w:numPr>
                <w:ilvl w:val="0"/>
                <w:numId w:val="35"/>
              </w:numPr>
              <w:spacing w:line="280" w:lineRule="exact"/>
              <w:rPr>
                <w:rFonts w:ascii="宋体" w:hAnsi="宋体"/>
                <w:szCs w:val="21"/>
              </w:rPr>
            </w:pPr>
            <w:r>
              <w:rPr>
                <w:rFonts w:hint="eastAsia" w:ascii="宋体" w:hAnsi="宋体"/>
                <w:szCs w:val="21"/>
              </w:rPr>
              <w:t>随脏随拖</w:t>
            </w:r>
          </w:p>
        </w:tc>
        <w:tc>
          <w:tcPr>
            <w:tcW w:w="1759" w:type="dxa"/>
            <w:noWrap w:val="0"/>
            <w:vAlign w:val="center"/>
          </w:tcPr>
          <w:p>
            <w:pPr>
              <w:ind w:firstLine="210" w:firstLineChars="100"/>
              <w:rPr>
                <w:rFonts w:ascii="宋体" w:hAnsi="宋体"/>
                <w:szCs w:val="21"/>
              </w:rPr>
            </w:pPr>
            <w:r>
              <w:rPr>
                <w:rFonts w:hint="eastAsia" w:ascii="宋体" w:hAnsi="宋体"/>
                <w:szCs w:val="21"/>
              </w:rPr>
              <w:t>注意马桶后及脸盆下的地面</w:t>
            </w:r>
          </w:p>
        </w:tc>
        <w:tc>
          <w:tcPr>
            <w:tcW w:w="1320" w:type="dxa"/>
            <w:noWrap w:val="0"/>
            <w:vAlign w:val="center"/>
          </w:tcPr>
          <w:p>
            <w:pPr>
              <w:spacing w:line="260" w:lineRule="exact"/>
              <w:ind w:firstLine="210" w:firstLineChars="100"/>
              <w:rPr>
                <w:rFonts w:ascii="宋体" w:hAnsi="宋体"/>
                <w:szCs w:val="21"/>
              </w:rPr>
            </w:pPr>
            <w:r>
              <w:rPr>
                <w:rFonts w:hint="eastAsia" w:ascii="宋体" w:hAnsi="宋体"/>
                <w:szCs w:val="21"/>
              </w:rPr>
              <w:t>清洁剂、毛刷、抹布（百洁布）、拖把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 w:hRule="atLeast"/>
        </w:trPr>
        <w:tc>
          <w:tcPr>
            <w:tcW w:w="1494" w:type="dxa"/>
            <w:noWrap w:val="0"/>
            <w:vAlign w:val="center"/>
          </w:tcPr>
          <w:p>
            <w:pPr>
              <w:spacing w:line="280" w:lineRule="exact"/>
              <w:jc w:val="center"/>
              <w:rPr>
                <w:rFonts w:ascii="宋体" w:hAnsi="宋体"/>
                <w:szCs w:val="21"/>
              </w:rPr>
            </w:pPr>
            <w:r>
              <w:rPr>
                <w:rFonts w:hint="eastAsia" w:ascii="宋体" w:hAnsi="宋体"/>
                <w:szCs w:val="21"/>
              </w:rPr>
              <w:t>墙壁瓷砖</w:t>
            </w:r>
          </w:p>
        </w:tc>
        <w:tc>
          <w:tcPr>
            <w:tcW w:w="1484" w:type="dxa"/>
            <w:noWrap w:val="0"/>
            <w:vAlign w:val="center"/>
          </w:tcPr>
          <w:p>
            <w:pPr>
              <w:spacing w:line="280" w:lineRule="exact"/>
              <w:jc w:val="center"/>
              <w:rPr>
                <w:rFonts w:ascii="宋体" w:hAnsi="宋体"/>
                <w:szCs w:val="21"/>
              </w:rPr>
            </w:pPr>
            <w:r>
              <w:rPr>
                <w:rFonts w:hint="eastAsia" w:ascii="宋体" w:hAnsi="宋体"/>
                <w:szCs w:val="21"/>
              </w:rPr>
              <w:t>无灰尘、水迹、皂迹，瓷砖缝隙处洁白</w:t>
            </w:r>
          </w:p>
        </w:tc>
        <w:tc>
          <w:tcPr>
            <w:tcW w:w="2379" w:type="dxa"/>
            <w:noWrap w:val="0"/>
            <w:vAlign w:val="center"/>
          </w:tcPr>
          <w:p>
            <w:pPr>
              <w:numPr>
                <w:ilvl w:val="0"/>
                <w:numId w:val="36"/>
              </w:numPr>
              <w:spacing w:line="280" w:lineRule="exact"/>
              <w:rPr>
                <w:rFonts w:ascii="宋体" w:hAnsi="宋体"/>
                <w:szCs w:val="21"/>
              </w:rPr>
            </w:pPr>
            <w:r>
              <w:rPr>
                <w:rFonts w:hint="eastAsia" w:ascii="宋体" w:hAnsi="宋体"/>
                <w:szCs w:val="21"/>
              </w:rPr>
              <w:t>用蘸有清洁剂的抹布由上至下擦拭干净</w:t>
            </w:r>
          </w:p>
          <w:p>
            <w:pPr>
              <w:numPr>
                <w:ilvl w:val="0"/>
                <w:numId w:val="36"/>
              </w:numPr>
              <w:spacing w:line="280" w:lineRule="exact"/>
              <w:rPr>
                <w:rFonts w:ascii="宋体" w:hAnsi="宋体"/>
                <w:szCs w:val="21"/>
              </w:rPr>
            </w:pPr>
            <w:r>
              <w:rPr>
                <w:rFonts w:hint="eastAsia" w:ascii="宋体" w:hAnsi="宋体"/>
                <w:szCs w:val="21"/>
              </w:rPr>
              <w:t>用抹布擦净</w:t>
            </w:r>
          </w:p>
        </w:tc>
        <w:tc>
          <w:tcPr>
            <w:tcW w:w="1612" w:type="dxa"/>
            <w:noWrap w:val="0"/>
            <w:vAlign w:val="center"/>
          </w:tcPr>
          <w:p>
            <w:pPr>
              <w:spacing w:line="280" w:lineRule="exact"/>
              <w:jc w:val="center"/>
              <w:rPr>
                <w:rFonts w:ascii="宋体" w:hAnsi="宋体"/>
                <w:szCs w:val="21"/>
              </w:rPr>
            </w:pPr>
            <w:r>
              <w:rPr>
                <w:rFonts w:hint="eastAsia" w:ascii="宋体" w:hAnsi="宋体"/>
                <w:szCs w:val="21"/>
              </w:rPr>
              <w:t>每天下午一次</w:t>
            </w:r>
          </w:p>
        </w:tc>
        <w:tc>
          <w:tcPr>
            <w:tcW w:w="1759" w:type="dxa"/>
            <w:noWrap w:val="0"/>
            <w:vAlign w:val="center"/>
          </w:tcPr>
          <w:p>
            <w:pPr>
              <w:ind w:firstLine="210" w:firstLineChars="100"/>
              <w:rPr>
                <w:rFonts w:ascii="宋体" w:hAnsi="宋体"/>
                <w:szCs w:val="21"/>
              </w:rPr>
            </w:pPr>
            <w:r>
              <w:rPr>
                <w:rFonts w:hint="eastAsia" w:ascii="宋体" w:hAnsi="宋体"/>
                <w:szCs w:val="21"/>
              </w:rPr>
              <w:t>先用牙刷蘸清洁剂，先刷洗缝隙，再按程序操作</w:t>
            </w:r>
          </w:p>
        </w:tc>
        <w:tc>
          <w:tcPr>
            <w:tcW w:w="1320" w:type="dxa"/>
            <w:noWrap w:val="0"/>
            <w:vAlign w:val="center"/>
          </w:tcPr>
          <w:p>
            <w:pPr>
              <w:spacing w:line="260" w:lineRule="exact"/>
              <w:ind w:firstLine="210" w:firstLineChars="100"/>
              <w:rPr>
                <w:rFonts w:ascii="宋体" w:hAnsi="宋体"/>
                <w:szCs w:val="21"/>
              </w:rPr>
            </w:pPr>
            <w:r>
              <w:rPr>
                <w:rFonts w:hint="eastAsia" w:ascii="宋体" w:hAnsi="宋体"/>
                <w:szCs w:val="21"/>
              </w:rPr>
              <w:t>清洁剂、毛刷（牙刷）、抹布（百洁布）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3" w:hRule="atLeast"/>
        </w:trPr>
        <w:tc>
          <w:tcPr>
            <w:tcW w:w="1494" w:type="dxa"/>
            <w:noWrap w:val="0"/>
            <w:vAlign w:val="center"/>
          </w:tcPr>
          <w:p>
            <w:pPr>
              <w:spacing w:line="280" w:lineRule="exact"/>
              <w:jc w:val="center"/>
              <w:rPr>
                <w:rFonts w:ascii="宋体" w:hAnsi="宋体"/>
                <w:szCs w:val="21"/>
              </w:rPr>
            </w:pPr>
            <w:r>
              <w:rPr>
                <w:rFonts w:hint="eastAsia" w:ascii="宋体" w:hAnsi="宋体"/>
                <w:szCs w:val="21"/>
              </w:rPr>
              <w:t>脸盆及台面</w:t>
            </w:r>
          </w:p>
        </w:tc>
        <w:tc>
          <w:tcPr>
            <w:tcW w:w="1484" w:type="dxa"/>
            <w:noWrap w:val="0"/>
            <w:vAlign w:val="center"/>
          </w:tcPr>
          <w:p>
            <w:pPr>
              <w:spacing w:line="280" w:lineRule="exact"/>
              <w:jc w:val="center"/>
              <w:rPr>
                <w:rFonts w:ascii="宋体" w:hAnsi="宋体"/>
                <w:szCs w:val="21"/>
              </w:rPr>
            </w:pPr>
            <w:r>
              <w:rPr>
                <w:rFonts w:hint="eastAsia" w:ascii="宋体" w:hAnsi="宋体"/>
                <w:szCs w:val="21"/>
              </w:rPr>
              <w:t>无水迹、黄迹，洁净、光亮</w:t>
            </w:r>
          </w:p>
        </w:tc>
        <w:tc>
          <w:tcPr>
            <w:tcW w:w="2379" w:type="dxa"/>
            <w:noWrap w:val="0"/>
            <w:vAlign w:val="center"/>
          </w:tcPr>
          <w:p>
            <w:pPr>
              <w:numPr>
                <w:ilvl w:val="0"/>
                <w:numId w:val="37"/>
              </w:numPr>
              <w:spacing w:line="280" w:lineRule="exact"/>
              <w:rPr>
                <w:rFonts w:ascii="宋体" w:hAnsi="宋体"/>
                <w:szCs w:val="21"/>
              </w:rPr>
            </w:pPr>
            <w:r>
              <w:rPr>
                <w:rFonts w:hint="eastAsia" w:ascii="宋体" w:hAnsi="宋体"/>
                <w:szCs w:val="21"/>
              </w:rPr>
              <w:t>用蘸有清洁剂的抹布擦拭脸盆、台面</w:t>
            </w:r>
          </w:p>
          <w:p>
            <w:pPr>
              <w:numPr>
                <w:ilvl w:val="0"/>
                <w:numId w:val="37"/>
              </w:numPr>
              <w:spacing w:line="280" w:lineRule="exact"/>
              <w:rPr>
                <w:rFonts w:ascii="宋体" w:hAnsi="宋体"/>
                <w:szCs w:val="21"/>
              </w:rPr>
            </w:pPr>
            <w:r>
              <w:rPr>
                <w:rFonts w:hint="eastAsia" w:ascii="宋体" w:hAnsi="宋体"/>
                <w:szCs w:val="21"/>
              </w:rPr>
              <w:t>用抹布擦干净</w:t>
            </w:r>
          </w:p>
        </w:tc>
        <w:tc>
          <w:tcPr>
            <w:tcW w:w="1612" w:type="dxa"/>
            <w:noWrap w:val="0"/>
            <w:vAlign w:val="center"/>
          </w:tcPr>
          <w:p>
            <w:pPr>
              <w:spacing w:line="280" w:lineRule="exact"/>
              <w:jc w:val="center"/>
              <w:rPr>
                <w:rFonts w:ascii="宋体" w:hAnsi="宋体"/>
                <w:szCs w:val="21"/>
              </w:rPr>
            </w:pPr>
            <w:r>
              <w:rPr>
                <w:rFonts w:hint="eastAsia" w:ascii="宋体" w:hAnsi="宋体"/>
                <w:szCs w:val="21"/>
              </w:rPr>
              <w:t>每天上、下午各一次</w:t>
            </w:r>
          </w:p>
        </w:tc>
        <w:tc>
          <w:tcPr>
            <w:tcW w:w="1759" w:type="dxa"/>
            <w:noWrap w:val="0"/>
            <w:vAlign w:val="center"/>
          </w:tcPr>
          <w:p>
            <w:pPr>
              <w:ind w:firstLine="210" w:firstLineChars="100"/>
              <w:rPr>
                <w:rFonts w:ascii="宋体" w:hAnsi="宋体"/>
                <w:szCs w:val="21"/>
              </w:rPr>
            </w:pPr>
            <w:r>
              <w:rPr>
                <w:rFonts w:hint="eastAsia" w:ascii="宋体" w:hAnsi="宋体"/>
                <w:szCs w:val="21"/>
              </w:rPr>
              <w:t>不可遗漏台面下的弯头</w:t>
            </w:r>
          </w:p>
        </w:tc>
        <w:tc>
          <w:tcPr>
            <w:tcW w:w="1320" w:type="dxa"/>
            <w:noWrap w:val="0"/>
            <w:vAlign w:val="center"/>
          </w:tcPr>
          <w:p>
            <w:pPr>
              <w:spacing w:line="260" w:lineRule="exact"/>
              <w:ind w:firstLine="210" w:firstLineChars="100"/>
              <w:rPr>
                <w:rFonts w:ascii="宋体" w:hAnsi="宋体"/>
                <w:szCs w:val="21"/>
              </w:rPr>
            </w:pPr>
            <w:r>
              <w:rPr>
                <w:rFonts w:hint="eastAsia" w:ascii="宋体" w:hAnsi="宋体"/>
                <w:szCs w:val="21"/>
              </w:rPr>
              <w:t>清洁剂、抹布（百洁布）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99" w:hRule="atLeast"/>
        </w:trPr>
        <w:tc>
          <w:tcPr>
            <w:tcW w:w="1494" w:type="dxa"/>
            <w:noWrap w:val="0"/>
            <w:vAlign w:val="center"/>
          </w:tcPr>
          <w:p>
            <w:pPr>
              <w:spacing w:line="280" w:lineRule="exact"/>
              <w:jc w:val="center"/>
              <w:rPr>
                <w:rFonts w:ascii="宋体" w:hAnsi="宋体"/>
                <w:szCs w:val="21"/>
              </w:rPr>
            </w:pPr>
            <w:r>
              <w:rPr>
                <w:rFonts w:hint="eastAsia" w:ascii="宋体" w:hAnsi="宋体"/>
                <w:szCs w:val="21"/>
              </w:rPr>
              <w:t>镜面、镜框</w:t>
            </w:r>
          </w:p>
        </w:tc>
        <w:tc>
          <w:tcPr>
            <w:tcW w:w="1484" w:type="dxa"/>
            <w:noWrap w:val="0"/>
            <w:vAlign w:val="center"/>
          </w:tcPr>
          <w:p>
            <w:pPr>
              <w:spacing w:line="280" w:lineRule="exact"/>
              <w:jc w:val="center"/>
              <w:rPr>
                <w:rFonts w:ascii="宋体" w:hAnsi="宋体"/>
                <w:szCs w:val="21"/>
              </w:rPr>
            </w:pPr>
            <w:r>
              <w:rPr>
                <w:rFonts w:hint="eastAsia" w:ascii="宋体" w:hAnsi="宋体"/>
                <w:szCs w:val="21"/>
              </w:rPr>
              <w:t>无灰尘、水迹、锈迹，镜面上无顽垢</w:t>
            </w:r>
          </w:p>
        </w:tc>
        <w:tc>
          <w:tcPr>
            <w:tcW w:w="2379" w:type="dxa"/>
            <w:noWrap w:val="0"/>
            <w:vAlign w:val="center"/>
          </w:tcPr>
          <w:p>
            <w:pPr>
              <w:numPr>
                <w:ilvl w:val="0"/>
                <w:numId w:val="38"/>
              </w:numPr>
              <w:spacing w:line="280" w:lineRule="exact"/>
              <w:rPr>
                <w:rFonts w:ascii="宋体" w:hAnsi="宋体"/>
                <w:szCs w:val="21"/>
              </w:rPr>
            </w:pPr>
            <w:r>
              <w:rPr>
                <w:rFonts w:hint="eastAsia" w:ascii="宋体" w:hAnsi="宋体"/>
                <w:szCs w:val="21"/>
              </w:rPr>
              <w:t>用玻璃刮刮净镜面上的水迹</w:t>
            </w:r>
          </w:p>
          <w:p>
            <w:pPr>
              <w:numPr>
                <w:ilvl w:val="0"/>
                <w:numId w:val="38"/>
              </w:numPr>
              <w:spacing w:line="280" w:lineRule="exact"/>
              <w:rPr>
                <w:rFonts w:ascii="宋体" w:hAnsi="宋体"/>
                <w:szCs w:val="21"/>
              </w:rPr>
            </w:pPr>
            <w:r>
              <w:rPr>
                <w:rFonts w:hint="eastAsia" w:ascii="宋体" w:hAnsi="宋体"/>
                <w:szCs w:val="21"/>
              </w:rPr>
              <w:t>用抹布蘸矿物油擦拭镜框</w:t>
            </w:r>
          </w:p>
          <w:p>
            <w:pPr>
              <w:numPr>
                <w:ilvl w:val="0"/>
                <w:numId w:val="38"/>
              </w:numPr>
              <w:spacing w:line="280" w:lineRule="exact"/>
              <w:rPr>
                <w:rFonts w:ascii="宋体" w:hAnsi="宋体"/>
                <w:szCs w:val="21"/>
              </w:rPr>
            </w:pPr>
            <w:r>
              <w:rPr>
                <w:rFonts w:hint="eastAsia" w:ascii="宋体" w:hAnsi="宋体"/>
                <w:szCs w:val="21"/>
              </w:rPr>
              <w:t>用清洁剂清除污迹</w:t>
            </w:r>
          </w:p>
        </w:tc>
        <w:tc>
          <w:tcPr>
            <w:tcW w:w="1612" w:type="dxa"/>
            <w:noWrap w:val="0"/>
            <w:vAlign w:val="center"/>
          </w:tcPr>
          <w:p>
            <w:pPr>
              <w:spacing w:line="280" w:lineRule="exact"/>
              <w:jc w:val="center"/>
              <w:rPr>
                <w:rFonts w:ascii="宋体" w:hAnsi="宋体"/>
                <w:szCs w:val="21"/>
              </w:rPr>
            </w:pPr>
            <w:r>
              <w:rPr>
                <w:rFonts w:hint="eastAsia" w:ascii="宋体" w:hAnsi="宋体"/>
                <w:szCs w:val="21"/>
              </w:rPr>
              <w:t>每天上午一次</w:t>
            </w:r>
          </w:p>
        </w:tc>
        <w:tc>
          <w:tcPr>
            <w:tcW w:w="1759" w:type="dxa"/>
            <w:noWrap w:val="0"/>
            <w:vAlign w:val="center"/>
          </w:tcPr>
          <w:p>
            <w:pPr>
              <w:jc w:val="center"/>
              <w:rPr>
                <w:rFonts w:ascii="宋体" w:hAnsi="宋体"/>
                <w:szCs w:val="21"/>
              </w:rPr>
            </w:pPr>
            <w:r>
              <w:rPr>
                <w:rFonts w:hint="eastAsia" w:ascii="宋体" w:hAnsi="宋体"/>
                <w:szCs w:val="21"/>
              </w:rPr>
              <w:t>玻璃不能擦花</w:t>
            </w:r>
          </w:p>
        </w:tc>
        <w:tc>
          <w:tcPr>
            <w:tcW w:w="1320" w:type="dxa"/>
            <w:noWrap w:val="0"/>
            <w:vAlign w:val="center"/>
          </w:tcPr>
          <w:p>
            <w:pPr>
              <w:spacing w:line="260" w:lineRule="exact"/>
              <w:ind w:firstLine="210" w:firstLineChars="100"/>
              <w:rPr>
                <w:rFonts w:ascii="宋体" w:hAnsi="宋体"/>
                <w:szCs w:val="21"/>
              </w:rPr>
            </w:pPr>
            <w:r>
              <w:rPr>
                <w:rFonts w:hint="eastAsia" w:ascii="宋体" w:hAnsi="宋体"/>
                <w:szCs w:val="21"/>
              </w:rPr>
              <w:t>玻璃刮、抹布（百洁布）、矿物油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6" w:hRule="atLeast"/>
        </w:trPr>
        <w:tc>
          <w:tcPr>
            <w:tcW w:w="1494" w:type="dxa"/>
            <w:noWrap w:val="0"/>
            <w:vAlign w:val="center"/>
          </w:tcPr>
          <w:p>
            <w:pPr>
              <w:spacing w:line="280" w:lineRule="exact"/>
              <w:jc w:val="center"/>
              <w:rPr>
                <w:rFonts w:ascii="宋体" w:hAnsi="宋体"/>
                <w:szCs w:val="21"/>
              </w:rPr>
            </w:pPr>
            <w:r>
              <w:rPr>
                <w:rFonts w:hint="eastAsia" w:ascii="宋体" w:hAnsi="宋体"/>
                <w:szCs w:val="21"/>
              </w:rPr>
              <w:t>所有金属架、龙头、污物钩、软管、下水弯头、开关、扶手等</w:t>
            </w:r>
          </w:p>
        </w:tc>
        <w:tc>
          <w:tcPr>
            <w:tcW w:w="1484" w:type="dxa"/>
            <w:noWrap w:val="0"/>
            <w:vAlign w:val="center"/>
          </w:tcPr>
          <w:p>
            <w:pPr>
              <w:spacing w:line="280" w:lineRule="exact"/>
              <w:jc w:val="center"/>
              <w:rPr>
                <w:rFonts w:ascii="宋体" w:hAnsi="宋体"/>
                <w:szCs w:val="21"/>
              </w:rPr>
            </w:pPr>
            <w:r>
              <w:rPr>
                <w:rFonts w:hint="eastAsia" w:ascii="宋体" w:hAnsi="宋体"/>
                <w:szCs w:val="21"/>
              </w:rPr>
              <w:t>光亮、无斑迹</w:t>
            </w:r>
          </w:p>
        </w:tc>
        <w:tc>
          <w:tcPr>
            <w:tcW w:w="2379" w:type="dxa"/>
            <w:noWrap w:val="0"/>
            <w:vAlign w:val="center"/>
          </w:tcPr>
          <w:p>
            <w:pPr>
              <w:numPr>
                <w:ilvl w:val="0"/>
                <w:numId w:val="39"/>
              </w:numPr>
              <w:spacing w:line="280" w:lineRule="exact"/>
              <w:rPr>
                <w:rFonts w:ascii="宋体" w:hAnsi="宋体"/>
                <w:szCs w:val="21"/>
              </w:rPr>
            </w:pPr>
            <w:r>
              <w:rPr>
                <w:rFonts w:hint="eastAsia" w:ascii="宋体" w:hAnsi="宋体"/>
                <w:szCs w:val="21"/>
              </w:rPr>
              <w:t>用抹布抹浮灰</w:t>
            </w:r>
          </w:p>
          <w:p>
            <w:pPr>
              <w:numPr>
                <w:ilvl w:val="0"/>
                <w:numId w:val="39"/>
              </w:numPr>
              <w:spacing w:line="280" w:lineRule="exact"/>
              <w:rPr>
                <w:rFonts w:ascii="宋体" w:hAnsi="宋体"/>
                <w:szCs w:val="21"/>
              </w:rPr>
            </w:pPr>
            <w:r>
              <w:rPr>
                <w:rFonts w:hint="eastAsia" w:ascii="宋体" w:hAnsi="宋体"/>
                <w:szCs w:val="21"/>
              </w:rPr>
              <w:t>用抹布蘸清洁剂擦拭金属器</w:t>
            </w:r>
          </w:p>
          <w:p>
            <w:pPr>
              <w:numPr>
                <w:ilvl w:val="0"/>
                <w:numId w:val="39"/>
              </w:numPr>
              <w:spacing w:line="280" w:lineRule="exact"/>
              <w:rPr>
                <w:rFonts w:ascii="宋体" w:hAnsi="宋体"/>
                <w:szCs w:val="21"/>
              </w:rPr>
            </w:pPr>
            <w:r>
              <w:rPr>
                <w:rFonts w:hint="eastAsia" w:ascii="宋体" w:hAnsi="宋体"/>
                <w:szCs w:val="21"/>
              </w:rPr>
              <w:t>用抹布擦净</w:t>
            </w:r>
          </w:p>
        </w:tc>
        <w:tc>
          <w:tcPr>
            <w:tcW w:w="1612" w:type="dxa"/>
            <w:noWrap w:val="0"/>
            <w:vAlign w:val="center"/>
          </w:tcPr>
          <w:p>
            <w:pPr>
              <w:spacing w:line="280" w:lineRule="exact"/>
              <w:jc w:val="center"/>
              <w:rPr>
                <w:rFonts w:ascii="宋体" w:hAnsi="宋体"/>
                <w:szCs w:val="21"/>
              </w:rPr>
            </w:pPr>
            <w:r>
              <w:rPr>
                <w:rFonts w:hint="eastAsia" w:ascii="宋体" w:hAnsi="宋体"/>
                <w:szCs w:val="21"/>
              </w:rPr>
              <w:t>每天上午一次</w:t>
            </w:r>
          </w:p>
        </w:tc>
        <w:tc>
          <w:tcPr>
            <w:tcW w:w="1759" w:type="dxa"/>
            <w:noWrap w:val="0"/>
            <w:vAlign w:val="center"/>
          </w:tcPr>
          <w:p>
            <w:pPr>
              <w:ind w:firstLine="210" w:firstLineChars="100"/>
              <w:rPr>
                <w:rFonts w:ascii="宋体" w:hAnsi="宋体"/>
                <w:szCs w:val="21"/>
              </w:rPr>
            </w:pPr>
            <w:r>
              <w:rPr>
                <w:rFonts w:hint="eastAsia" w:ascii="宋体" w:hAnsi="宋体"/>
                <w:szCs w:val="21"/>
              </w:rPr>
              <w:t>抹布要分开使用</w:t>
            </w:r>
          </w:p>
        </w:tc>
        <w:tc>
          <w:tcPr>
            <w:tcW w:w="1320" w:type="dxa"/>
            <w:noWrap w:val="0"/>
            <w:vAlign w:val="center"/>
          </w:tcPr>
          <w:p>
            <w:pPr>
              <w:spacing w:line="260" w:lineRule="exact"/>
              <w:ind w:firstLine="210" w:firstLineChars="100"/>
              <w:rPr>
                <w:rFonts w:ascii="宋体" w:hAnsi="宋体"/>
                <w:szCs w:val="21"/>
              </w:rPr>
            </w:pPr>
            <w:r>
              <w:rPr>
                <w:rFonts w:hint="eastAsia" w:ascii="宋体" w:hAnsi="宋体"/>
                <w:szCs w:val="21"/>
              </w:rPr>
              <w:t>抹布、铬、不锈钢清洁剂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15" w:hRule="atLeast"/>
        </w:trPr>
        <w:tc>
          <w:tcPr>
            <w:tcW w:w="1494" w:type="dxa"/>
            <w:vMerge w:val="restart"/>
            <w:noWrap w:val="0"/>
            <w:vAlign w:val="center"/>
          </w:tcPr>
          <w:p>
            <w:pPr>
              <w:spacing w:line="280" w:lineRule="exact"/>
              <w:jc w:val="center"/>
              <w:rPr>
                <w:rFonts w:ascii="宋体" w:hAnsi="宋体"/>
                <w:szCs w:val="21"/>
              </w:rPr>
            </w:pPr>
            <w:r>
              <w:rPr>
                <w:rFonts w:hint="eastAsia" w:ascii="宋体" w:hAnsi="宋体"/>
                <w:szCs w:val="21"/>
              </w:rPr>
              <w:t>抽水马桶及水箱</w:t>
            </w:r>
          </w:p>
        </w:tc>
        <w:tc>
          <w:tcPr>
            <w:tcW w:w="1484" w:type="dxa"/>
            <w:noWrap w:val="0"/>
            <w:vAlign w:val="center"/>
          </w:tcPr>
          <w:p>
            <w:pPr>
              <w:spacing w:line="280" w:lineRule="exact"/>
              <w:jc w:val="center"/>
              <w:rPr>
                <w:rFonts w:ascii="宋体" w:hAnsi="宋体"/>
                <w:szCs w:val="21"/>
              </w:rPr>
            </w:pPr>
            <w:r>
              <w:rPr>
                <w:rFonts w:hint="eastAsia" w:ascii="宋体" w:hAnsi="宋体"/>
                <w:szCs w:val="21"/>
              </w:rPr>
              <w:t>无水痕、锈迹、斑迹、毛发、尿迹</w:t>
            </w:r>
          </w:p>
        </w:tc>
        <w:tc>
          <w:tcPr>
            <w:tcW w:w="2379" w:type="dxa"/>
            <w:noWrap w:val="0"/>
            <w:vAlign w:val="center"/>
          </w:tcPr>
          <w:p>
            <w:pPr>
              <w:numPr>
                <w:ilvl w:val="0"/>
                <w:numId w:val="40"/>
              </w:numPr>
              <w:spacing w:line="280" w:lineRule="exact"/>
              <w:rPr>
                <w:rFonts w:ascii="宋体" w:hAnsi="宋体"/>
                <w:szCs w:val="21"/>
              </w:rPr>
            </w:pPr>
            <w:r>
              <w:rPr>
                <w:rFonts w:hint="eastAsia" w:ascii="宋体" w:hAnsi="宋体"/>
                <w:szCs w:val="21"/>
              </w:rPr>
              <w:t>先抽一次马桶</w:t>
            </w:r>
          </w:p>
          <w:p>
            <w:pPr>
              <w:numPr>
                <w:ilvl w:val="0"/>
                <w:numId w:val="40"/>
              </w:numPr>
              <w:spacing w:line="280" w:lineRule="exact"/>
              <w:rPr>
                <w:rFonts w:ascii="宋体" w:hAnsi="宋体"/>
                <w:szCs w:val="21"/>
              </w:rPr>
            </w:pPr>
            <w:r>
              <w:rPr>
                <w:rFonts w:hint="eastAsia" w:ascii="宋体" w:hAnsi="宋体"/>
                <w:szCs w:val="21"/>
              </w:rPr>
              <w:t>倒入清洁剂清洗</w:t>
            </w:r>
          </w:p>
          <w:p>
            <w:pPr>
              <w:numPr>
                <w:ilvl w:val="0"/>
                <w:numId w:val="40"/>
              </w:numPr>
              <w:spacing w:line="280" w:lineRule="exact"/>
              <w:rPr>
                <w:rFonts w:ascii="宋体" w:hAnsi="宋体"/>
                <w:szCs w:val="21"/>
              </w:rPr>
            </w:pPr>
            <w:r>
              <w:rPr>
                <w:rFonts w:hint="eastAsia" w:ascii="宋体" w:hAnsi="宋体"/>
                <w:szCs w:val="21"/>
              </w:rPr>
              <w:t>用清水过洗干净</w:t>
            </w:r>
          </w:p>
          <w:p>
            <w:pPr>
              <w:numPr>
                <w:ilvl w:val="0"/>
                <w:numId w:val="40"/>
              </w:numPr>
              <w:spacing w:line="280" w:lineRule="exact"/>
              <w:rPr>
                <w:rFonts w:ascii="宋体" w:hAnsi="宋体"/>
                <w:szCs w:val="21"/>
              </w:rPr>
            </w:pPr>
            <w:r>
              <w:rPr>
                <w:rFonts w:hint="eastAsia" w:ascii="宋体" w:hAnsi="宋体"/>
                <w:szCs w:val="21"/>
              </w:rPr>
              <w:t>用抹布擦干马桶内外底座</w:t>
            </w:r>
          </w:p>
        </w:tc>
        <w:tc>
          <w:tcPr>
            <w:tcW w:w="1612" w:type="dxa"/>
            <w:noWrap w:val="0"/>
            <w:vAlign w:val="center"/>
          </w:tcPr>
          <w:p>
            <w:pPr>
              <w:numPr>
                <w:ilvl w:val="0"/>
                <w:numId w:val="41"/>
              </w:numPr>
              <w:spacing w:line="280" w:lineRule="exact"/>
              <w:rPr>
                <w:rFonts w:ascii="宋体" w:hAnsi="宋体"/>
                <w:szCs w:val="21"/>
              </w:rPr>
            </w:pPr>
            <w:r>
              <w:rPr>
                <w:rFonts w:hint="eastAsia" w:ascii="宋体" w:hAnsi="宋体"/>
                <w:szCs w:val="21"/>
              </w:rPr>
              <w:t>每天上、下午各一次</w:t>
            </w:r>
          </w:p>
          <w:p>
            <w:pPr>
              <w:numPr>
                <w:ilvl w:val="0"/>
                <w:numId w:val="41"/>
              </w:numPr>
              <w:spacing w:line="280" w:lineRule="exact"/>
              <w:rPr>
                <w:rFonts w:ascii="宋体" w:hAnsi="宋体"/>
                <w:szCs w:val="21"/>
              </w:rPr>
            </w:pPr>
            <w:r>
              <w:rPr>
                <w:rFonts w:hint="eastAsia" w:ascii="宋体" w:hAnsi="宋体"/>
                <w:szCs w:val="21"/>
              </w:rPr>
              <w:t>随脏随洗</w:t>
            </w:r>
          </w:p>
        </w:tc>
        <w:tc>
          <w:tcPr>
            <w:tcW w:w="1759" w:type="dxa"/>
            <w:noWrap w:val="0"/>
            <w:vAlign w:val="center"/>
          </w:tcPr>
          <w:p>
            <w:pPr>
              <w:ind w:firstLine="210" w:firstLineChars="100"/>
              <w:rPr>
                <w:rFonts w:ascii="宋体" w:hAnsi="宋体"/>
                <w:szCs w:val="21"/>
              </w:rPr>
            </w:pPr>
            <w:r>
              <w:rPr>
                <w:rFonts w:hint="eastAsia" w:ascii="宋体" w:hAnsi="宋体"/>
                <w:szCs w:val="21"/>
              </w:rPr>
              <w:t>马桶铰链、出水口、溢水口、水阀、控制器、四周瓷砖的卫生不能忽略。</w:t>
            </w:r>
          </w:p>
        </w:tc>
        <w:tc>
          <w:tcPr>
            <w:tcW w:w="1320" w:type="dxa"/>
            <w:noWrap w:val="0"/>
            <w:vAlign w:val="center"/>
          </w:tcPr>
          <w:p>
            <w:pPr>
              <w:spacing w:line="260" w:lineRule="exact"/>
              <w:ind w:firstLine="210" w:firstLineChars="100"/>
              <w:rPr>
                <w:rFonts w:ascii="宋体" w:hAnsi="宋体"/>
                <w:szCs w:val="21"/>
              </w:rPr>
            </w:pPr>
            <w:r>
              <w:rPr>
                <w:rFonts w:hint="eastAsia" w:ascii="宋体" w:hAnsi="宋体"/>
                <w:szCs w:val="21"/>
              </w:rPr>
              <w:t>清洁剂、百洁布、牙刷、抹布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 w:hRule="atLeast"/>
        </w:trPr>
        <w:tc>
          <w:tcPr>
            <w:tcW w:w="1494" w:type="dxa"/>
            <w:vMerge w:val="continue"/>
            <w:noWrap w:val="0"/>
            <w:vAlign w:val="center"/>
          </w:tcPr>
          <w:p>
            <w:pPr>
              <w:widowControl/>
              <w:jc w:val="left"/>
              <w:rPr>
                <w:rFonts w:ascii="宋体" w:hAnsi="宋体"/>
                <w:szCs w:val="21"/>
              </w:rPr>
            </w:pPr>
          </w:p>
        </w:tc>
        <w:tc>
          <w:tcPr>
            <w:tcW w:w="1484" w:type="dxa"/>
            <w:noWrap w:val="0"/>
            <w:vAlign w:val="center"/>
          </w:tcPr>
          <w:p>
            <w:pPr>
              <w:spacing w:line="280" w:lineRule="exact"/>
              <w:jc w:val="center"/>
              <w:rPr>
                <w:rFonts w:ascii="宋体" w:hAnsi="宋体"/>
                <w:szCs w:val="21"/>
              </w:rPr>
            </w:pPr>
            <w:r>
              <w:rPr>
                <w:rFonts w:hint="eastAsia" w:ascii="宋体" w:hAnsi="宋体"/>
                <w:szCs w:val="21"/>
              </w:rPr>
              <w:t>无灰尘、无黄迹、无沉淀物</w:t>
            </w:r>
          </w:p>
        </w:tc>
        <w:tc>
          <w:tcPr>
            <w:tcW w:w="2379" w:type="dxa"/>
            <w:noWrap w:val="0"/>
            <w:vAlign w:val="center"/>
          </w:tcPr>
          <w:p>
            <w:pPr>
              <w:numPr>
                <w:ilvl w:val="0"/>
                <w:numId w:val="42"/>
              </w:numPr>
              <w:spacing w:line="280" w:lineRule="exact"/>
              <w:rPr>
                <w:rFonts w:ascii="宋体" w:hAnsi="宋体"/>
                <w:szCs w:val="21"/>
              </w:rPr>
            </w:pPr>
            <w:r>
              <w:rPr>
                <w:rFonts w:hint="eastAsia" w:ascii="宋体" w:hAnsi="宋体"/>
                <w:szCs w:val="21"/>
              </w:rPr>
              <w:t>用抹布抹浮灰</w:t>
            </w:r>
          </w:p>
          <w:p>
            <w:pPr>
              <w:numPr>
                <w:ilvl w:val="0"/>
                <w:numId w:val="42"/>
              </w:numPr>
              <w:spacing w:line="280" w:lineRule="exact"/>
              <w:rPr>
                <w:rFonts w:ascii="宋体" w:hAnsi="宋体"/>
                <w:szCs w:val="21"/>
              </w:rPr>
            </w:pPr>
            <w:r>
              <w:rPr>
                <w:rFonts w:hint="eastAsia" w:ascii="宋体" w:hAnsi="宋体"/>
                <w:szCs w:val="21"/>
              </w:rPr>
              <w:t>用抹布蘸清洁剂擦黄迹、污迹</w:t>
            </w:r>
          </w:p>
        </w:tc>
        <w:tc>
          <w:tcPr>
            <w:tcW w:w="1612" w:type="dxa"/>
            <w:noWrap w:val="0"/>
            <w:vAlign w:val="center"/>
          </w:tcPr>
          <w:p>
            <w:pPr>
              <w:spacing w:line="280" w:lineRule="exact"/>
              <w:jc w:val="center"/>
              <w:rPr>
                <w:rFonts w:ascii="宋体" w:hAnsi="宋体"/>
                <w:szCs w:val="21"/>
              </w:rPr>
            </w:pPr>
            <w:r>
              <w:rPr>
                <w:rFonts w:hint="eastAsia" w:ascii="宋体" w:hAnsi="宋体"/>
                <w:szCs w:val="21"/>
              </w:rPr>
              <w:t>每天上、下午各一次</w:t>
            </w:r>
          </w:p>
        </w:tc>
        <w:tc>
          <w:tcPr>
            <w:tcW w:w="1759" w:type="dxa"/>
            <w:noWrap w:val="0"/>
            <w:vAlign w:val="center"/>
          </w:tcPr>
          <w:p>
            <w:pPr>
              <w:ind w:firstLine="210" w:firstLineChars="100"/>
              <w:rPr>
                <w:rFonts w:ascii="宋体" w:hAnsi="宋体"/>
                <w:szCs w:val="21"/>
              </w:rPr>
            </w:pPr>
            <w:r>
              <w:rPr>
                <w:rFonts w:hint="eastAsia" w:ascii="宋体" w:hAnsi="宋体"/>
                <w:szCs w:val="21"/>
              </w:rPr>
              <w:t>1.水箱盖一定要放在安全的地方，防止打烂；</w:t>
            </w:r>
          </w:p>
          <w:p>
            <w:pPr>
              <w:ind w:firstLine="210" w:firstLineChars="100"/>
              <w:rPr>
                <w:rFonts w:ascii="宋体" w:hAnsi="宋体"/>
                <w:szCs w:val="21"/>
              </w:rPr>
            </w:pPr>
            <w:r>
              <w:rPr>
                <w:rFonts w:hint="eastAsia" w:ascii="宋体" w:hAnsi="宋体"/>
                <w:szCs w:val="21"/>
              </w:rPr>
              <w:t>2.刷洗时要小心，避免损坏内部构件。</w:t>
            </w:r>
          </w:p>
        </w:tc>
        <w:tc>
          <w:tcPr>
            <w:tcW w:w="1320" w:type="dxa"/>
            <w:noWrap w:val="0"/>
            <w:vAlign w:val="center"/>
          </w:tcPr>
          <w:p>
            <w:pPr>
              <w:spacing w:line="260" w:lineRule="exact"/>
              <w:ind w:firstLine="210" w:firstLineChars="100"/>
              <w:rPr>
                <w:rFonts w:ascii="宋体" w:hAnsi="宋体"/>
                <w:szCs w:val="21"/>
              </w:rPr>
            </w:pPr>
            <w:r>
              <w:rPr>
                <w:rFonts w:hint="eastAsia" w:ascii="宋体" w:hAnsi="宋体"/>
                <w:szCs w:val="21"/>
              </w:rPr>
              <w:t>清洁剂、抹布（百洁布）、手套、毛刷、牙膏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 w:hRule="atLeast"/>
        </w:trPr>
        <w:tc>
          <w:tcPr>
            <w:tcW w:w="1494" w:type="dxa"/>
            <w:noWrap w:val="0"/>
            <w:vAlign w:val="center"/>
          </w:tcPr>
          <w:p>
            <w:pPr>
              <w:spacing w:line="280" w:lineRule="exact"/>
              <w:jc w:val="center"/>
              <w:rPr>
                <w:rFonts w:ascii="宋体" w:hAnsi="宋体"/>
                <w:szCs w:val="21"/>
              </w:rPr>
            </w:pPr>
            <w:r>
              <w:rPr>
                <w:rFonts w:hint="eastAsia" w:ascii="宋体" w:hAnsi="宋体"/>
                <w:szCs w:val="21"/>
              </w:rPr>
              <w:t>浴帘、浴帘杆、环</w:t>
            </w:r>
          </w:p>
        </w:tc>
        <w:tc>
          <w:tcPr>
            <w:tcW w:w="1484" w:type="dxa"/>
            <w:noWrap w:val="0"/>
            <w:vAlign w:val="center"/>
          </w:tcPr>
          <w:p>
            <w:pPr>
              <w:spacing w:line="280" w:lineRule="exact"/>
              <w:jc w:val="center"/>
              <w:rPr>
                <w:rFonts w:ascii="宋体" w:hAnsi="宋体"/>
                <w:szCs w:val="21"/>
              </w:rPr>
            </w:pPr>
            <w:r>
              <w:rPr>
                <w:rFonts w:hint="eastAsia" w:ascii="宋体" w:hAnsi="宋体"/>
                <w:szCs w:val="21"/>
              </w:rPr>
              <w:t>无皂迹、头发</w:t>
            </w:r>
          </w:p>
        </w:tc>
        <w:tc>
          <w:tcPr>
            <w:tcW w:w="2379" w:type="dxa"/>
            <w:noWrap w:val="0"/>
            <w:vAlign w:val="center"/>
          </w:tcPr>
          <w:p>
            <w:pPr>
              <w:numPr>
                <w:ilvl w:val="0"/>
                <w:numId w:val="43"/>
              </w:numPr>
              <w:spacing w:line="280" w:lineRule="exact"/>
              <w:rPr>
                <w:rFonts w:ascii="宋体" w:hAnsi="宋体"/>
                <w:szCs w:val="21"/>
              </w:rPr>
            </w:pPr>
            <w:r>
              <w:rPr>
                <w:rFonts w:hint="eastAsia" w:ascii="宋体" w:hAnsi="宋体"/>
                <w:szCs w:val="21"/>
              </w:rPr>
              <w:t>将浴帘放在脸盆内清洗</w:t>
            </w:r>
          </w:p>
          <w:p>
            <w:pPr>
              <w:numPr>
                <w:ilvl w:val="0"/>
                <w:numId w:val="43"/>
              </w:numPr>
              <w:spacing w:line="280" w:lineRule="exact"/>
              <w:rPr>
                <w:rFonts w:ascii="宋体" w:hAnsi="宋体"/>
                <w:szCs w:val="21"/>
              </w:rPr>
            </w:pPr>
            <w:r>
              <w:rPr>
                <w:rFonts w:hint="eastAsia" w:ascii="宋体" w:hAnsi="宋体"/>
                <w:szCs w:val="21"/>
              </w:rPr>
              <w:t>擦干、擦净后挂在指定位置，无脱钩，再擦洗浴帘杆、环</w:t>
            </w:r>
          </w:p>
        </w:tc>
        <w:tc>
          <w:tcPr>
            <w:tcW w:w="1612" w:type="dxa"/>
            <w:noWrap w:val="0"/>
            <w:vAlign w:val="center"/>
          </w:tcPr>
          <w:p>
            <w:pPr>
              <w:spacing w:line="280" w:lineRule="exact"/>
              <w:jc w:val="center"/>
              <w:rPr>
                <w:rFonts w:ascii="宋体" w:hAnsi="宋体"/>
                <w:szCs w:val="21"/>
              </w:rPr>
            </w:pPr>
            <w:r>
              <w:rPr>
                <w:rFonts w:hint="eastAsia" w:ascii="宋体" w:hAnsi="宋体"/>
                <w:szCs w:val="21"/>
              </w:rPr>
              <w:t>每天上午一次</w:t>
            </w:r>
          </w:p>
        </w:tc>
        <w:tc>
          <w:tcPr>
            <w:tcW w:w="1759" w:type="dxa"/>
            <w:noWrap w:val="0"/>
            <w:vAlign w:val="center"/>
          </w:tcPr>
          <w:p>
            <w:pPr>
              <w:ind w:firstLine="210" w:firstLineChars="100"/>
              <w:rPr>
                <w:rFonts w:ascii="宋体" w:hAnsi="宋体"/>
                <w:szCs w:val="21"/>
              </w:rPr>
            </w:pPr>
            <w:r>
              <w:rPr>
                <w:rFonts w:hint="eastAsia" w:ascii="宋体" w:hAnsi="宋体"/>
                <w:szCs w:val="21"/>
              </w:rPr>
              <w:t>洗净后抹干，不可滴水。</w:t>
            </w:r>
          </w:p>
        </w:tc>
        <w:tc>
          <w:tcPr>
            <w:tcW w:w="1320" w:type="dxa"/>
            <w:noWrap w:val="0"/>
            <w:vAlign w:val="center"/>
          </w:tcPr>
          <w:p>
            <w:pPr>
              <w:spacing w:line="260" w:lineRule="exact"/>
              <w:ind w:firstLine="210" w:firstLineChars="100"/>
              <w:rPr>
                <w:rFonts w:ascii="宋体" w:hAnsi="宋体"/>
                <w:szCs w:val="21"/>
              </w:rPr>
            </w:pPr>
            <w:r>
              <w:rPr>
                <w:rFonts w:hint="eastAsia" w:ascii="宋体" w:hAnsi="宋体"/>
                <w:szCs w:val="21"/>
              </w:rPr>
              <w:t>百洁布、毛刷、抹布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22" w:hRule="atLeast"/>
        </w:trPr>
        <w:tc>
          <w:tcPr>
            <w:tcW w:w="1494" w:type="dxa"/>
            <w:noWrap w:val="0"/>
            <w:vAlign w:val="center"/>
          </w:tcPr>
          <w:p>
            <w:pPr>
              <w:spacing w:line="280" w:lineRule="exact"/>
              <w:jc w:val="center"/>
              <w:rPr>
                <w:rFonts w:ascii="宋体" w:hAnsi="宋体"/>
                <w:szCs w:val="21"/>
              </w:rPr>
            </w:pPr>
            <w:r>
              <w:rPr>
                <w:rFonts w:hint="eastAsia" w:ascii="宋体" w:hAnsi="宋体"/>
                <w:szCs w:val="21"/>
              </w:rPr>
              <w:t>卫生间垃圾桶</w:t>
            </w:r>
          </w:p>
        </w:tc>
        <w:tc>
          <w:tcPr>
            <w:tcW w:w="1484" w:type="dxa"/>
            <w:noWrap w:val="0"/>
            <w:vAlign w:val="center"/>
          </w:tcPr>
          <w:p>
            <w:pPr>
              <w:spacing w:line="280" w:lineRule="exact"/>
              <w:jc w:val="center"/>
              <w:rPr>
                <w:rFonts w:ascii="宋体" w:hAnsi="宋体"/>
                <w:szCs w:val="21"/>
              </w:rPr>
            </w:pPr>
            <w:r>
              <w:rPr>
                <w:rFonts w:hint="eastAsia" w:ascii="宋体" w:hAnsi="宋体"/>
                <w:szCs w:val="21"/>
              </w:rPr>
              <w:t>光亮、无污迹、无水迹，周边无垃圾</w:t>
            </w:r>
          </w:p>
        </w:tc>
        <w:tc>
          <w:tcPr>
            <w:tcW w:w="2379" w:type="dxa"/>
            <w:noWrap w:val="0"/>
            <w:vAlign w:val="center"/>
          </w:tcPr>
          <w:p>
            <w:pPr>
              <w:numPr>
                <w:ilvl w:val="0"/>
                <w:numId w:val="44"/>
              </w:numPr>
              <w:spacing w:line="280" w:lineRule="exact"/>
              <w:rPr>
                <w:rFonts w:ascii="宋体" w:hAnsi="宋体"/>
                <w:szCs w:val="21"/>
              </w:rPr>
            </w:pPr>
            <w:r>
              <w:rPr>
                <w:rFonts w:hint="eastAsia" w:ascii="宋体" w:hAnsi="宋体"/>
                <w:szCs w:val="21"/>
              </w:rPr>
              <w:t>将垃圾袋取出，口扎紧丢入工作车垃圾桶内</w:t>
            </w:r>
          </w:p>
          <w:p>
            <w:pPr>
              <w:numPr>
                <w:ilvl w:val="0"/>
                <w:numId w:val="44"/>
              </w:numPr>
              <w:spacing w:line="280" w:lineRule="exact"/>
              <w:rPr>
                <w:rFonts w:ascii="宋体" w:hAnsi="宋体"/>
                <w:szCs w:val="21"/>
              </w:rPr>
            </w:pPr>
            <w:r>
              <w:rPr>
                <w:rFonts w:hint="eastAsia" w:ascii="宋体" w:hAnsi="宋体"/>
                <w:szCs w:val="21"/>
              </w:rPr>
              <w:t>用清洁剂刷洗垃圾桶内外</w:t>
            </w:r>
          </w:p>
          <w:p>
            <w:pPr>
              <w:numPr>
                <w:ilvl w:val="0"/>
                <w:numId w:val="44"/>
              </w:numPr>
              <w:spacing w:line="280" w:lineRule="exact"/>
              <w:rPr>
                <w:rFonts w:ascii="宋体" w:hAnsi="宋体"/>
                <w:szCs w:val="21"/>
              </w:rPr>
            </w:pPr>
            <w:r>
              <w:rPr>
                <w:rFonts w:hint="eastAsia" w:ascii="宋体" w:hAnsi="宋体"/>
                <w:szCs w:val="21"/>
              </w:rPr>
              <w:t>擦干、擦净</w:t>
            </w:r>
          </w:p>
          <w:p>
            <w:pPr>
              <w:numPr>
                <w:ilvl w:val="0"/>
                <w:numId w:val="44"/>
              </w:numPr>
              <w:spacing w:line="280" w:lineRule="exact"/>
              <w:rPr>
                <w:rFonts w:ascii="宋体" w:hAnsi="宋体"/>
                <w:szCs w:val="21"/>
              </w:rPr>
            </w:pPr>
            <w:r>
              <w:rPr>
                <w:rFonts w:hint="eastAsia" w:ascii="宋体" w:hAnsi="宋体"/>
                <w:szCs w:val="21"/>
              </w:rPr>
              <w:t>更换干净垃圾袋</w:t>
            </w:r>
          </w:p>
        </w:tc>
        <w:tc>
          <w:tcPr>
            <w:tcW w:w="1612" w:type="dxa"/>
            <w:noWrap w:val="0"/>
            <w:vAlign w:val="center"/>
          </w:tcPr>
          <w:p>
            <w:pPr>
              <w:numPr>
                <w:ilvl w:val="0"/>
                <w:numId w:val="45"/>
              </w:numPr>
              <w:spacing w:line="280" w:lineRule="exact"/>
              <w:rPr>
                <w:rFonts w:ascii="宋体" w:hAnsi="宋体"/>
                <w:szCs w:val="21"/>
              </w:rPr>
            </w:pPr>
            <w:r>
              <w:rPr>
                <w:rFonts w:hint="eastAsia" w:ascii="宋体" w:hAnsi="宋体"/>
                <w:szCs w:val="21"/>
              </w:rPr>
              <w:t>每天上、下午一次</w:t>
            </w:r>
          </w:p>
          <w:p>
            <w:pPr>
              <w:numPr>
                <w:ilvl w:val="0"/>
                <w:numId w:val="45"/>
              </w:numPr>
              <w:spacing w:line="280" w:lineRule="exact"/>
              <w:rPr>
                <w:rFonts w:ascii="宋体" w:hAnsi="宋体"/>
                <w:szCs w:val="21"/>
              </w:rPr>
            </w:pPr>
            <w:r>
              <w:rPr>
                <w:rFonts w:hint="eastAsia" w:ascii="宋体" w:hAnsi="宋体"/>
                <w:szCs w:val="21"/>
              </w:rPr>
              <w:t>随满随倒</w:t>
            </w:r>
          </w:p>
        </w:tc>
        <w:tc>
          <w:tcPr>
            <w:tcW w:w="1759" w:type="dxa"/>
            <w:noWrap w:val="0"/>
            <w:vAlign w:val="center"/>
          </w:tcPr>
          <w:p>
            <w:pPr>
              <w:ind w:firstLine="210" w:firstLineChars="100"/>
              <w:rPr>
                <w:rFonts w:ascii="宋体" w:hAnsi="宋体"/>
                <w:szCs w:val="21"/>
              </w:rPr>
            </w:pPr>
            <w:r>
              <w:rPr>
                <w:rFonts w:hint="eastAsia" w:ascii="宋体" w:hAnsi="宋体"/>
                <w:szCs w:val="21"/>
              </w:rPr>
              <w:t>垃圾袋平整地套在垃圾桶上，与垃圾桶之间无缝隙，翻边约5厘米,不能漫溢（垃圾不得超过垃圾桶容量的3/4）。</w:t>
            </w:r>
          </w:p>
        </w:tc>
        <w:tc>
          <w:tcPr>
            <w:tcW w:w="1320" w:type="dxa"/>
            <w:noWrap w:val="0"/>
            <w:vAlign w:val="center"/>
          </w:tcPr>
          <w:p>
            <w:pPr>
              <w:spacing w:line="260" w:lineRule="exact"/>
              <w:ind w:firstLine="210" w:firstLineChars="100"/>
              <w:rPr>
                <w:rFonts w:ascii="宋体" w:hAnsi="宋体"/>
                <w:szCs w:val="21"/>
              </w:rPr>
            </w:pPr>
            <w:r>
              <w:rPr>
                <w:rFonts w:hint="eastAsia" w:ascii="宋体" w:hAnsi="宋体"/>
                <w:szCs w:val="21"/>
              </w:rPr>
              <w:t>清洁剂、百洁布、毛刷、抹布、手套、塑料袋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84" w:hRule="atLeast"/>
        </w:trPr>
        <w:tc>
          <w:tcPr>
            <w:tcW w:w="1494" w:type="dxa"/>
            <w:noWrap w:val="0"/>
            <w:vAlign w:val="center"/>
          </w:tcPr>
          <w:p>
            <w:pPr>
              <w:spacing w:line="280" w:lineRule="exact"/>
              <w:jc w:val="center"/>
              <w:rPr>
                <w:rFonts w:ascii="宋体" w:hAnsi="宋体"/>
                <w:szCs w:val="21"/>
              </w:rPr>
            </w:pPr>
            <w:r>
              <w:rPr>
                <w:rFonts w:hint="eastAsia" w:ascii="宋体" w:hAnsi="宋体"/>
                <w:szCs w:val="21"/>
              </w:rPr>
              <w:t>门（面、锁把手、锁眼、碰头）、铰链</w:t>
            </w:r>
          </w:p>
        </w:tc>
        <w:tc>
          <w:tcPr>
            <w:tcW w:w="1484" w:type="dxa"/>
            <w:noWrap w:val="0"/>
            <w:vAlign w:val="center"/>
          </w:tcPr>
          <w:p>
            <w:pPr>
              <w:spacing w:line="280" w:lineRule="exact"/>
              <w:jc w:val="center"/>
              <w:rPr>
                <w:rFonts w:ascii="宋体" w:hAnsi="宋体"/>
                <w:szCs w:val="21"/>
              </w:rPr>
            </w:pPr>
            <w:r>
              <w:rPr>
                <w:rFonts w:hint="eastAsia" w:ascii="宋体" w:hAnsi="宋体"/>
                <w:szCs w:val="21"/>
              </w:rPr>
              <w:t>无浮灰、手印、斑迹</w:t>
            </w:r>
          </w:p>
        </w:tc>
        <w:tc>
          <w:tcPr>
            <w:tcW w:w="2379" w:type="dxa"/>
            <w:noWrap w:val="0"/>
            <w:vAlign w:val="center"/>
          </w:tcPr>
          <w:p>
            <w:pPr>
              <w:spacing w:line="280" w:lineRule="exact"/>
              <w:jc w:val="center"/>
              <w:rPr>
                <w:rFonts w:ascii="宋体" w:hAnsi="宋体"/>
                <w:szCs w:val="21"/>
              </w:rPr>
            </w:pPr>
            <w:r>
              <w:rPr>
                <w:rFonts w:hint="eastAsia" w:ascii="宋体" w:hAnsi="宋体"/>
                <w:szCs w:val="21"/>
              </w:rPr>
              <w:t>用抹布擦净门面、框</w:t>
            </w:r>
          </w:p>
        </w:tc>
        <w:tc>
          <w:tcPr>
            <w:tcW w:w="1612" w:type="dxa"/>
            <w:noWrap w:val="0"/>
            <w:vAlign w:val="center"/>
          </w:tcPr>
          <w:p>
            <w:pPr>
              <w:spacing w:line="280" w:lineRule="exact"/>
              <w:jc w:val="center"/>
              <w:rPr>
                <w:rFonts w:ascii="宋体" w:hAnsi="宋体"/>
                <w:szCs w:val="21"/>
              </w:rPr>
            </w:pPr>
            <w:r>
              <w:rPr>
                <w:rFonts w:hint="eastAsia" w:ascii="宋体" w:hAnsi="宋体"/>
                <w:szCs w:val="21"/>
              </w:rPr>
              <w:t>每天上午一次</w:t>
            </w:r>
          </w:p>
        </w:tc>
        <w:tc>
          <w:tcPr>
            <w:tcW w:w="1759" w:type="dxa"/>
            <w:noWrap w:val="0"/>
            <w:vAlign w:val="center"/>
          </w:tcPr>
          <w:p>
            <w:pPr>
              <w:spacing w:line="280" w:lineRule="exact"/>
              <w:ind w:firstLine="210" w:firstLineChars="100"/>
              <w:rPr>
                <w:rFonts w:ascii="宋体" w:hAnsi="宋体"/>
                <w:szCs w:val="21"/>
              </w:rPr>
            </w:pPr>
            <w:r>
              <w:rPr>
                <w:rFonts w:hint="eastAsia" w:ascii="宋体" w:hAnsi="宋体"/>
                <w:szCs w:val="21"/>
              </w:rPr>
              <w:t>用专用工具包抹布清洁锁眼、铰链、碰头，定时给铰链上矿物油，保洁保养每周一次。</w:t>
            </w:r>
          </w:p>
        </w:tc>
        <w:tc>
          <w:tcPr>
            <w:tcW w:w="1320" w:type="dxa"/>
            <w:noWrap w:val="0"/>
            <w:vAlign w:val="center"/>
          </w:tcPr>
          <w:p>
            <w:pPr>
              <w:spacing w:line="260" w:lineRule="exact"/>
              <w:ind w:firstLine="210" w:firstLineChars="100"/>
              <w:rPr>
                <w:rFonts w:ascii="宋体" w:hAnsi="宋体"/>
                <w:szCs w:val="21"/>
              </w:rPr>
            </w:pPr>
            <w:r>
              <w:rPr>
                <w:rFonts w:hint="eastAsia" w:ascii="宋体" w:hAnsi="宋体"/>
                <w:szCs w:val="21"/>
              </w:rPr>
              <w:t>抹布、门锁眼专用工具包、矿物油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94" w:hRule="atLeast"/>
        </w:trPr>
        <w:tc>
          <w:tcPr>
            <w:tcW w:w="1494" w:type="dxa"/>
            <w:noWrap w:val="0"/>
            <w:vAlign w:val="center"/>
          </w:tcPr>
          <w:p>
            <w:pPr>
              <w:spacing w:line="280" w:lineRule="exact"/>
              <w:jc w:val="center"/>
              <w:rPr>
                <w:rFonts w:ascii="宋体" w:hAnsi="宋体"/>
                <w:szCs w:val="21"/>
              </w:rPr>
            </w:pPr>
            <w:r>
              <w:rPr>
                <w:rFonts w:hint="eastAsia" w:ascii="宋体" w:hAnsi="宋体"/>
                <w:szCs w:val="21"/>
              </w:rPr>
              <w:t>门槛、防滑垫、地漏</w:t>
            </w:r>
          </w:p>
        </w:tc>
        <w:tc>
          <w:tcPr>
            <w:tcW w:w="1484" w:type="dxa"/>
            <w:noWrap w:val="0"/>
            <w:vAlign w:val="center"/>
          </w:tcPr>
          <w:p>
            <w:pPr>
              <w:spacing w:line="280" w:lineRule="exact"/>
              <w:jc w:val="center"/>
              <w:rPr>
                <w:rFonts w:ascii="宋体" w:hAnsi="宋体"/>
                <w:szCs w:val="21"/>
              </w:rPr>
            </w:pPr>
            <w:r>
              <w:rPr>
                <w:rFonts w:hint="eastAsia" w:ascii="宋体" w:hAnsi="宋体"/>
                <w:szCs w:val="21"/>
              </w:rPr>
              <w:t>无头发、纱头，无灰尘、纸屑，无污迹、水迹</w:t>
            </w:r>
          </w:p>
        </w:tc>
        <w:tc>
          <w:tcPr>
            <w:tcW w:w="2379" w:type="dxa"/>
            <w:noWrap w:val="0"/>
            <w:vAlign w:val="center"/>
          </w:tcPr>
          <w:p>
            <w:pPr>
              <w:numPr>
                <w:ilvl w:val="0"/>
                <w:numId w:val="46"/>
              </w:numPr>
              <w:spacing w:line="280" w:lineRule="exact"/>
              <w:rPr>
                <w:rFonts w:ascii="宋体" w:hAnsi="宋体"/>
                <w:szCs w:val="21"/>
              </w:rPr>
            </w:pPr>
            <w:r>
              <w:rPr>
                <w:rFonts w:hint="eastAsia" w:ascii="宋体" w:hAnsi="宋体"/>
                <w:szCs w:val="21"/>
              </w:rPr>
              <w:t>用牙刷剔除门槛缝隙内的头发、杂物</w:t>
            </w:r>
          </w:p>
          <w:p>
            <w:pPr>
              <w:numPr>
                <w:ilvl w:val="0"/>
                <w:numId w:val="46"/>
              </w:numPr>
              <w:spacing w:line="280" w:lineRule="exact"/>
              <w:rPr>
                <w:rFonts w:ascii="宋体" w:hAnsi="宋体"/>
                <w:szCs w:val="21"/>
              </w:rPr>
            </w:pPr>
            <w:r>
              <w:rPr>
                <w:rFonts w:hint="eastAsia" w:ascii="宋体" w:hAnsi="宋体"/>
                <w:szCs w:val="21"/>
              </w:rPr>
              <w:t>用清洁剂刷洗门槛、防滑垫、地漏</w:t>
            </w:r>
          </w:p>
          <w:p>
            <w:pPr>
              <w:numPr>
                <w:ilvl w:val="0"/>
                <w:numId w:val="46"/>
              </w:numPr>
              <w:spacing w:line="280" w:lineRule="exact"/>
              <w:rPr>
                <w:rFonts w:ascii="宋体" w:hAnsi="宋体"/>
                <w:szCs w:val="21"/>
              </w:rPr>
            </w:pPr>
            <w:r>
              <w:rPr>
                <w:rFonts w:hint="eastAsia" w:ascii="宋体" w:hAnsi="宋体"/>
                <w:szCs w:val="21"/>
              </w:rPr>
              <w:t>抹布抹净</w:t>
            </w:r>
          </w:p>
        </w:tc>
        <w:tc>
          <w:tcPr>
            <w:tcW w:w="1612" w:type="dxa"/>
            <w:noWrap w:val="0"/>
            <w:vAlign w:val="center"/>
          </w:tcPr>
          <w:p>
            <w:pPr>
              <w:spacing w:line="280" w:lineRule="exact"/>
              <w:jc w:val="center"/>
              <w:rPr>
                <w:rFonts w:ascii="宋体" w:hAnsi="宋体"/>
                <w:szCs w:val="21"/>
              </w:rPr>
            </w:pPr>
            <w:r>
              <w:rPr>
                <w:rFonts w:hint="eastAsia" w:ascii="宋体" w:hAnsi="宋体"/>
                <w:szCs w:val="21"/>
              </w:rPr>
              <w:t>每天上、下午一次</w:t>
            </w:r>
          </w:p>
        </w:tc>
        <w:tc>
          <w:tcPr>
            <w:tcW w:w="1759" w:type="dxa"/>
            <w:noWrap w:val="0"/>
            <w:vAlign w:val="center"/>
          </w:tcPr>
          <w:p>
            <w:pPr>
              <w:ind w:firstLine="210" w:firstLineChars="100"/>
              <w:rPr>
                <w:rFonts w:ascii="宋体" w:hAnsi="宋体"/>
                <w:szCs w:val="21"/>
              </w:rPr>
            </w:pPr>
            <w:r>
              <w:rPr>
                <w:rFonts w:hint="eastAsia" w:ascii="宋体" w:hAnsi="宋体"/>
                <w:szCs w:val="21"/>
              </w:rPr>
              <w:t>地漏清洁后应盖在地漏孔上，不可有积水。</w:t>
            </w:r>
          </w:p>
        </w:tc>
        <w:tc>
          <w:tcPr>
            <w:tcW w:w="1320" w:type="dxa"/>
            <w:noWrap w:val="0"/>
            <w:vAlign w:val="center"/>
          </w:tcPr>
          <w:p>
            <w:pPr>
              <w:spacing w:line="260" w:lineRule="exact"/>
              <w:ind w:firstLine="210" w:firstLineChars="100"/>
              <w:rPr>
                <w:rFonts w:ascii="宋体" w:hAnsi="宋体"/>
                <w:szCs w:val="21"/>
              </w:rPr>
            </w:pPr>
            <w:r>
              <w:rPr>
                <w:rFonts w:hint="eastAsia" w:ascii="宋体" w:hAnsi="宋体"/>
                <w:szCs w:val="21"/>
              </w:rPr>
              <w:t>牙刷、清洁剂、抹布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trPr>
        <w:tc>
          <w:tcPr>
            <w:tcW w:w="1494" w:type="dxa"/>
            <w:noWrap w:val="0"/>
            <w:vAlign w:val="center"/>
          </w:tcPr>
          <w:p>
            <w:pPr>
              <w:spacing w:line="280" w:lineRule="exact"/>
              <w:jc w:val="center"/>
              <w:rPr>
                <w:rFonts w:ascii="宋体" w:hAnsi="宋体"/>
                <w:szCs w:val="21"/>
              </w:rPr>
            </w:pPr>
            <w:r>
              <w:rPr>
                <w:rFonts w:hint="eastAsia" w:ascii="宋体" w:hAnsi="宋体"/>
                <w:szCs w:val="21"/>
              </w:rPr>
              <w:t>排风口及风口挡板</w:t>
            </w:r>
          </w:p>
        </w:tc>
        <w:tc>
          <w:tcPr>
            <w:tcW w:w="1484" w:type="dxa"/>
            <w:noWrap w:val="0"/>
            <w:vAlign w:val="center"/>
          </w:tcPr>
          <w:p>
            <w:pPr>
              <w:spacing w:line="280" w:lineRule="exact"/>
              <w:jc w:val="center"/>
              <w:rPr>
                <w:rFonts w:ascii="宋体" w:hAnsi="宋体"/>
                <w:szCs w:val="21"/>
              </w:rPr>
            </w:pPr>
            <w:r>
              <w:rPr>
                <w:rFonts w:hint="eastAsia" w:ascii="宋体" w:hAnsi="宋体"/>
                <w:szCs w:val="21"/>
              </w:rPr>
              <w:t>无灰尘、无印迹</w:t>
            </w:r>
          </w:p>
        </w:tc>
        <w:tc>
          <w:tcPr>
            <w:tcW w:w="2379" w:type="dxa"/>
            <w:noWrap w:val="0"/>
            <w:vAlign w:val="center"/>
          </w:tcPr>
          <w:p>
            <w:pPr>
              <w:numPr>
                <w:ilvl w:val="0"/>
                <w:numId w:val="47"/>
              </w:numPr>
              <w:spacing w:line="280" w:lineRule="exact"/>
              <w:rPr>
                <w:rFonts w:ascii="宋体" w:hAnsi="宋体"/>
                <w:szCs w:val="21"/>
              </w:rPr>
            </w:pPr>
            <w:r>
              <w:rPr>
                <w:rFonts w:hint="eastAsia" w:ascii="宋体" w:hAnsi="宋体"/>
                <w:szCs w:val="21"/>
              </w:rPr>
              <w:t>用抹布擦净挡风板</w:t>
            </w:r>
          </w:p>
          <w:p>
            <w:pPr>
              <w:numPr>
                <w:ilvl w:val="0"/>
                <w:numId w:val="47"/>
              </w:numPr>
              <w:spacing w:line="280" w:lineRule="exact"/>
              <w:rPr>
                <w:rFonts w:ascii="宋体" w:hAnsi="宋体"/>
                <w:szCs w:val="21"/>
              </w:rPr>
            </w:pPr>
            <w:r>
              <w:rPr>
                <w:rFonts w:hint="eastAsia" w:ascii="宋体" w:hAnsi="宋体"/>
                <w:szCs w:val="21"/>
              </w:rPr>
              <w:t>用抹布擦净风口四周墙壁</w:t>
            </w:r>
          </w:p>
        </w:tc>
        <w:tc>
          <w:tcPr>
            <w:tcW w:w="1612" w:type="dxa"/>
            <w:noWrap w:val="0"/>
            <w:vAlign w:val="center"/>
          </w:tcPr>
          <w:p>
            <w:pPr>
              <w:spacing w:line="280" w:lineRule="exact"/>
              <w:jc w:val="center"/>
              <w:rPr>
                <w:rFonts w:ascii="宋体" w:hAnsi="宋体"/>
                <w:szCs w:val="21"/>
              </w:rPr>
            </w:pPr>
            <w:r>
              <w:rPr>
                <w:rFonts w:hint="eastAsia" w:ascii="宋体" w:hAnsi="宋体"/>
                <w:szCs w:val="21"/>
              </w:rPr>
              <w:t>每周一次</w:t>
            </w:r>
          </w:p>
        </w:tc>
        <w:tc>
          <w:tcPr>
            <w:tcW w:w="1759" w:type="dxa"/>
            <w:noWrap w:val="0"/>
            <w:vAlign w:val="center"/>
          </w:tcPr>
          <w:p>
            <w:pPr>
              <w:ind w:firstLine="210" w:firstLineChars="100"/>
              <w:rPr>
                <w:rFonts w:ascii="宋体" w:hAnsi="宋体"/>
                <w:szCs w:val="21"/>
              </w:rPr>
            </w:pPr>
            <w:r>
              <w:rPr>
                <w:rFonts w:hint="eastAsia" w:ascii="宋体" w:hAnsi="宋体"/>
                <w:szCs w:val="21"/>
              </w:rPr>
              <w:t>风口四周墙壁不可有污迹，不可站在病人用椅上。</w:t>
            </w:r>
          </w:p>
        </w:tc>
        <w:tc>
          <w:tcPr>
            <w:tcW w:w="1320" w:type="dxa"/>
            <w:noWrap w:val="0"/>
            <w:vAlign w:val="center"/>
          </w:tcPr>
          <w:p>
            <w:pPr>
              <w:spacing w:line="260" w:lineRule="exact"/>
              <w:ind w:firstLine="210" w:firstLineChars="100"/>
              <w:rPr>
                <w:rFonts w:ascii="宋体" w:hAnsi="宋体"/>
                <w:szCs w:val="21"/>
              </w:rPr>
            </w:pPr>
            <w:r>
              <w:rPr>
                <w:rFonts w:hint="eastAsia" w:ascii="宋体" w:hAnsi="宋体"/>
                <w:szCs w:val="21"/>
              </w:rPr>
              <w:t>抹布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1" w:hRule="atLeast"/>
        </w:trPr>
        <w:tc>
          <w:tcPr>
            <w:tcW w:w="1494" w:type="dxa"/>
            <w:noWrap w:val="0"/>
            <w:vAlign w:val="center"/>
          </w:tcPr>
          <w:p>
            <w:pPr>
              <w:spacing w:line="280" w:lineRule="exact"/>
              <w:jc w:val="center"/>
              <w:rPr>
                <w:rFonts w:ascii="宋体" w:hAnsi="宋体"/>
                <w:szCs w:val="21"/>
              </w:rPr>
            </w:pPr>
            <w:r>
              <w:rPr>
                <w:rFonts w:hint="eastAsia" w:ascii="宋体" w:hAnsi="宋体"/>
                <w:szCs w:val="21"/>
              </w:rPr>
              <w:t>天花板</w:t>
            </w:r>
          </w:p>
        </w:tc>
        <w:tc>
          <w:tcPr>
            <w:tcW w:w="1484" w:type="dxa"/>
            <w:noWrap w:val="0"/>
            <w:vAlign w:val="center"/>
          </w:tcPr>
          <w:p>
            <w:pPr>
              <w:spacing w:line="280" w:lineRule="exact"/>
              <w:jc w:val="center"/>
              <w:rPr>
                <w:rFonts w:ascii="宋体" w:hAnsi="宋体"/>
                <w:szCs w:val="21"/>
              </w:rPr>
            </w:pPr>
            <w:r>
              <w:rPr>
                <w:rFonts w:hint="eastAsia" w:ascii="宋体" w:hAnsi="宋体"/>
                <w:szCs w:val="21"/>
              </w:rPr>
              <w:t>无斑迹、无吊灰、无蜘蛛网</w:t>
            </w:r>
          </w:p>
        </w:tc>
        <w:tc>
          <w:tcPr>
            <w:tcW w:w="2379" w:type="dxa"/>
            <w:noWrap w:val="0"/>
            <w:vAlign w:val="center"/>
          </w:tcPr>
          <w:p>
            <w:pPr>
              <w:numPr>
                <w:ilvl w:val="0"/>
                <w:numId w:val="48"/>
              </w:numPr>
              <w:spacing w:line="260" w:lineRule="exact"/>
              <w:jc w:val="left"/>
              <w:rPr>
                <w:rFonts w:ascii="宋体" w:hAnsi="宋体"/>
                <w:szCs w:val="21"/>
              </w:rPr>
            </w:pPr>
            <w:r>
              <w:rPr>
                <w:rFonts w:hint="eastAsia" w:ascii="宋体" w:hAnsi="宋体"/>
                <w:szCs w:val="21"/>
              </w:rPr>
              <w:t>蜘蛛网用鸡毛掸子清除干净</w:t>
            </w:r>
          </w:p>
          <w:p>
            <w:pPr>
              <w:numPr>
                <w:ilvl w:val="0"/>
                <w:numId w:val="48"/>
              </w:numPr>
              <w:spacing w:line="260" w:lineRule="exact"/>
              <w:jc w:val="left"/>
              <w:rPr>
                <w:rFonts w:ascii="宋体" w:hAnsi="宋体"/>
                <w:szCs w:val="21"/>
              </w:rPr>
            </w:pPr>
            <w:r>
              <w:rPr>
                <w:rFonts w:hint="eastAsia" w:ascii="宋体" w:hAnsi="宋体"/>
                <w:szCs w:val="21"/>
              </w:rPr>
              <w:t>用干净抹布擦净</w:t>
            </w:r>
          </w:p>
        </w:tc>
        <w:tc>
          <w:tcPr>
            <w:tcW w:w="1612" w:type="dxa"/>
            <w:noWrap w:val="0"/>
            <w:vAlign w:val="center"/>
          </w:tcPr>
          <w:p>
            <w:pPr>
              <w:spacing w:line="260" w:lineRule="exact"/>
              <w:jc w:val="center"/>
              <w:rPr>
                <w:rFonts w:ascii="宋体" w:hAnsi="宋体"/>
                <w:szCs w:val="21"/>
              </w:rPr>
            </w:pPr>
            <w:r>
              <w:rPr>
                <w:rFonts w:hint="eastAsia" w:ascii="宋体" w:hAnsi="宋体"/>
                <w:szCs w:val="21"/>
              </w:rPr>
              <w:t>每周一次</w:t>
            </w:r>
          </w:p>
        </w:tc>
        <w:tc>
          <w:tcPr>
            <w:tcW w:w="1759" w:type="dxa"/>
            <w:noWrap w:val="0"/>
            <w:vAlign w:val="center"/>
          </w:tcPr>
          <w:p>
            <w:pPr>
              <w:spacing w:line="260" w:lineRule="exact"/>
              <w:jc w:val="center"/>
              <w:rPr>
                <w:rFonts w:ascii="宋体" w:hAnsi="宋体"/>
                <w:szCs w:val="21"/>
              </w:rPr>
            </w:pPr>
            <w:r>
              <w:rPr>
                <w:rFonts w:hint="eastAsia" w:ascii="宋体" w:hAnsi="宋体"/>
                <w:szCs w:val="21"/>
              </w:rPr>
              <w:t>防止灰尘扬起</w:t>
            </w:r>
          </w:p>
        </w:tc>
        <w:tc>
          <w:tcPr>
            <w:tcW w:w="1320" w:type="dxa"/>
            <w:noWrap w:val="0"/>
            <w:vAlign w:val="center"/>
          </w:tcPr>
          <w:p>
            <w:pPr>
              <w:spacing w:line="260" w:lineRule="exact"/>
              <w:ind w:firstLine="210" w:firstLineChars="100"/>
              <w:rPr>
                <w:rFonts w:ascii="宋体" w:hAnsi="宋体"/>
                <w:szCs w:val="21"/>
              </w:rPr>
            </w:pPr>
            <w:r>
              <w:rPr>
                <w:rFonts w:hint="eastAsia" w:ascii="宋体" w:hAnsi="宋体"/>
                <w:szCs w:val="21"/>
              </w:rPr>
              <w:t>抹布、鸡毛掸子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5" w:hRule="atLeast"/>
        </w:trPr>
        <w:tc>
          <w:tcPr>
            <w:tcW w:w="1494" w:type="dxa"/>
            <w:noWrap w:val="0"/>
            <w:vAlign w:val="center"/>
          </w:tcPr>
          <w:p>
            <w:pPr>
              <w:spacing w:line="280" w:lineRule="exact"/>
              <w:jc w:val="center"/>
              <w:rPr>
                <w:rFonts w:ascii="宋体" w:hAnsi="宋体"/>
                <w:szCs w:val="21"/>
              </w:rPr>
            </w:pPr>
            <w:r>
              <w:rPr>
                <w:rFonts w:hint="eastAsia" w:ascii="宋体" w:hAnsi="宋体"/>
                <w:szCs w:val="21"/>
              </w:rPr>
              <w:t>顶灯及罩</w:t>
            </w:r>
          </w:p>
        </w:tc>
        <w:tc>
          <w:tcPr>
            <w:tcW w:w="1484" w:type="dxa"/>
            <w:noWrap w:val="0"/>
            <w:vAlign w:val="center"/>
          </w:tcPr>
          <w:p>
            <w:pPr>
              <w:spacing w:line="280" w:lineRule="exact"/>
              <w:jc w:val="center"/>
              <w:rPr>
                <w:rFonts w:ascii="宋体" w:hAnsi="宋体"/>
                <w:szCs w:val="21"/>
              </w:rPr>
            </w:pPr>
            <w:r>
              <w:rPr>
                <w:rFonts w:hint="eastAsia" w:ascii="宋体" w:hAnsi="宋体"/>
                <w:szCs w:val="21"/>
              </w:rPr>
              <w:t>无灰尘</w:t>
            </w:r>
          </w:p>
        </w:tc>
        <w:tc>
          <w:tcPr>
            <w:tcW w:w="2379" w:type="dxa"/>
            <w:noWrap w:val="0"/>
            <w:vAlign w:val="center"/>
          </w:tcPr>
          <w:p>
            <w:pPr>
              <w:spacing w:line="280" w:lineRule="exact"/>
              <w:jc w:val="center"/>
              <w:rPr>
                <w:rFonts w:ascii="宋体" w:hAnsi="宋体"/>
                <w:szCs w:val="21"/>
              </w:rPr>
            </w:pPr>
            <w:r>
              <w:rPr>
                <w:rFonts w:hint="eastAsia" w:ascii="宋体" w:hAnsi="宋体"/>
                <w:szCs w:val="21"/>
              </w:rPr>
              <w:t>用抹布擦净</w:t>
            </w:r>
          </w:p>
        </w:tc>
        <w:tc>
          <w:tcPr>
            <w:tcW w:w="1612" w:type="dxa"/>
            <w:noWrap w:val="0"/>
            <w:vAlign w:val="center"/>
          </w:tcPr>
          <w:p>
            <w:pPr>
              <w:spacing w:line="280" w:lineRule="exact"/>
              <w:jc w:val="center"/>
              <w:rPr>
                <w:rFonts w:ascii="宋体" w:hAnsi="宋体"/>
                <w:szCs w:val="21"/>
              </w:rPr>
            </w:pPr>
            <w:r>
              <w:rPr>
                <w:rFonts w:hint="eastAsia" w:ascii="宋体" w:hAnsi="宋体"/>
                <w:szCs w:val="21"/>
              </w:rPr>
              <w:t>每周一次</w:t>
            </w:r>
          </w:p>
        </w:tc>
        <w:tc>
          <w:tcPr>
            <w:tcW w:w="1759" w:type="dxa"/>
            <w:noWrap w:val="0"/>
            <w:vAlign w:val="center"/>
          </w:tcPr>
          <w:p>
            <w:pPr>
              <w:ind w:firstLine="210" w:firstLineChars="100"/>
              <w:rPr>
                <w:rFonts w:ascii="宋体" w:hAnsi="宋体"/>
                <w:szCs w:val="21"/>
              </w:rPr>
            </w:pPr>
            <w:r>
              <w:rPr>
                <w:rFonts w:hint="eastAsia" w:ascii="宋体" w:hAnsi="宋体"/>
                <w:szCs w:val="21"/>
              </w:rPr>
              <w:t>擦时不要把灯罩周围墙壁碰有印迹。</w:t>
            </w:r>
          </w:p>
        </w:tc>
        <w:tc>
          <w:tcPr>
            <w:tcW w:w="1320" w:type="dxa"/>
            <w:noWrap w:val="0"/>
            <w:vAlign w:val="center"/>
          </w:tcPr>
          <w:p>
            <w:pPr>
              <w:spacing w:line="260" w:lineRule="exact"/>
              <w:ind w:firstLine="210" w:firstLineChars="100"/>
              <w:rPr>
                <w:rFonts w:ascii="宋体" w:hAnsi="宋体"/>
                <w:szCs w:val="21"/>
              </w:rPr>
            </w:pPr>
            <w:r>
              <w:rPr>
                <w:rFonts w:hint="eastAsia" w:ascii="宋体" w:hAnsi="宋体"/>
                <w:szCs w:val="21"/>
              </w:rPr>
              <w:t>抹布（百洁布）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0" w:hRule="atLeast"/>
        </w:trPr>
        <w:tc>
          <w:tcPr>
            <w:tcW w:w="1494" w:type="dxa"/>
            <w:noWrap w:val="0"/>
            <w:vAlign w:val="center"/>
          </w:tcPr>
          <w:p>
            <w:pPr>
              <w:spacing w:line="280" w:lineRule="exact"/>
              <w:jc w:val="center"/>
              <w:rPr>
                <w:rFonts w:ascii="宋体" w:hAnsi="宋体"/>
                <w:szCs w:val="21"/>
              </w:rPr>
            </w:pPr>
            <w:r>
              <w:rPr>
                <w:rFonts w:hint="eastAsia" w:ascii="宋体" w:hAnsi="宋体"/>
                <w:szCs w:val="21"/>
              </w:rPr>
              <w:t>卫生间空气</w:t>
            </w:r>
          </w:p>
        </w:tc>
        <w:tc>
          <w:tcPr>
            <w:tcW w:w="1484" w:type="dxa"/>
            <w:noWrap w:val="0"/>
            <w:vAlign w:val="center"/>
          </w:tcPr>
          <w:p>
            <w:pPr>
              <w:spacing w:line="280" w:lineRule="exact"/>
              <w:jc w:val="center"/>
              <w:rPr>
                <w:rFonts w:ascii="宋体" w:hAnsi="宋体"/>
                <w:szCs w:val="21"/>
              </w:rPr>
            </w:pPr>
            <w:r>
              <w:rPr>
                <w:rFonts w:hint="eastAsia" w:ascii="宋体" w:hAnsi="宋体"/>
                <w:szCs w:val="21"/>
              </w:rPr>
              <w:t>无异味、空气清新</w:t>
            </w:r>
          </w:p>
        </w:tc>
        <w:tc>
          <w:tcPr>
            <w:tcW w:w="2379" w:type="dxa"/>
            <w:noWrap w:val="0"/>
            <w:vAlign w:val="center"/>
          </w:tcPr>
          <w:p>
            <w:pPr>
              <w:spacing w:line="280" w:lineRule="exact"/>
              <w:ind w:firstLine="210" w:firstLineChars="100"/>
              <w:rPr>
                <w:rFonts w:ascii="宋体" w:hAnsi="宋体"/>
                <w:szCs w:val="21"/>
              </w:rPr>
            </w:pPr>
            <w:r>
              <w:rPr>
                <w:rFonts w:hint="eastAsia" w:ascii="宋体" w:hAnsi="宋体"/>
                <w:szCs w:val="21"/>
              </w:rPr>
              <w:t>酌情在洗手间内喷洒卫生间专用香水</w:t>
            </w:r>
          </w:p>
        </w:tc>
        <w:tc>
          <w:tcPr>
            <w:tcW w:w="1612" w:type="dxa"/>
            <w:noWrap w:val="0"/>
            <w:vAlign w:val="center"/>
          </w:tcPr>
          <w:p>
            <w:pPr>
              <w:spacing w:line="280" w:lineRule="exact"/>
              <w:jc w:val="center"/>
              <w:rPr>
                <w:rFonts w:ascii="宋体" w:hAnsi="宋体"/>
                <w:szCs w:val="21"/>
              </w:rPr>
            </w:pPr>
            <w:r>
              <w:rPr>
                <w:rFonts w:hint="eastAsia" w:ascii="宋体" w:hAnsi="宋体"/>
                <w:szCs w:val="21"/>
              </w:rPr>
              <w:t>必要时</w:t>
            </w:r>
          </w:p>
        </w:tc>
        <w:tc>
          <w:tcPr>
            <w:tcW w:w="1759" w:type="dxa"/>
            <w:noWrap w:val="0"/>
            <w:vAlign w:val="center"/>
          </w:tcPr>
          <w:p>
            <w:pPr>
              <w:ind w:firstLine="210" w:firstLineChars="100"/>
              <w:rPr>
                <w:rFonts w:ascii="宋体" w:hAnsi="宋体"/>
                <w:szCs w:val="21"/>
              </w:rPr>
            </w:pPr>
            <w:r>
              <w:rPr>
                <w:rFonts w:hint="eastAsia" w:ascii="宋体" w:hAnsi="宋体"/>
                <w:szCs w:val="21"/>
              </w:rPr>
              <w:t>喷洒时征求病人及家属意见。</w:t>
            </w:r>
          </w:p>
        </w:tc>
        <w:tc>
          <w:tcPr>
            <w:tcW w:w="1320" w:type="dxa"/>
            <w:noWrap w:val="0"/>
            <w:vAlign w:val="center"/>
          </w:tcPr>
          <w:p>
            <w:pPr>
              <w:spacing w:line="260" w:lineRule="exact"/>
              <w:ind w:firstLine="210" w:firstLineChars="100"/>
              <w:rPr>
                <w:rFonts w:ascii="宋体" w:hAnsi="宋体"/>
                <w:szCs w:val="21"/>
              </w:rPr>
            </w:pPr>
            <w:r>
              <w:rPr>
                <w:rFonts w:hint="eastAsia" w:ascii="宋体" w:hAnsi="宋体"/>
                <w:szCs w:val="21"/>
              </w:rPr>
              <w:t>卫生间专用香水</w:t>
            </w:r>
          </w:p>
        </w:tc>
      </w:tr>
    </w:tbl>
    <w:p>
      <w:pPr>
        <w:spacing w:before="100" w:beforeAutospacing="1" w:line="360" w:lineRule="auto"/>
        <w:ind w:firstLine="161" w:firstLineChars="67"/>
        <w:rPr>
          <w:rFonts w:ascii="宋体" w:hAnsi="宋体"/>
          <w:b/>
          <w:sz w:val="24"/>
        </w:rPr>
      </w:pPr>
      <w:r>
        <w:rPr>
          <w:rFonts w:hint="eastAsia" w:ascii="宋体" w:hAnsi="宋体"/>
          <w:b/>
          <w:sz w:val="24"/>
        </w:rPr>
        <w:t>3.2  公共区域保洁要求</w:t>
      </w:r>
    </w:p>
    <w:p>
      <w:pPr>
        <w:spacing w:line="360" w:lineRule="auto"/>
        <w:ind w:firstLine="161" w:firstLineChars="67"/>
        <w:rPr>
          <w:rFonts w:ascii="宋体" w:hAnsi="宋体"/>
          <w:b/>
          <w:sz w:val="24"/>
        </w:rPr>
      </w:pPr>
      <w:r>
        <w:rPr>
          <w:rFonts w:hint="eastAsia" w:ascii="宋体" w:hAnsi="宋体"/>
          <w:b/>
          <w:sz w:val="24"/>
        </w:rPr>
        <w:t>（1）公共医疗用房日常保洁项目要求</w:t>
      </w:r>
    </w:p>
    <w:tbl>
      <w:tblPr>
        <w:tblStyle w:val="7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799"/>
        <w:gridCol w:w="2400"/>
        <w:gridCol w:w="1650"/>
        <w:gridCol w:w="1650"/>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项目</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标准</w:t>
            </w:r>
          </w:p>
          <w:p>
            <w:pPr>
              <w:jc w:val="center"/>
              <w:rPr>
                <w:rFonts w:ascii="宋体" w:hAnsi="宋体"/>
                <w:b/>
                <w:szCs w:val="21"/>
              </w:rPr>
            </w:pPr>
            <w:r>
              <w:rPr>
                <w:rFonts w:hint="eastAsia" w:ascii="宋体" w:hAnsi="宋体"/>
                <w:b/>
                <w:szCs w:val="21"/>
              </w:rPr>
              <w:t>（质量要求）</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程序</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频次</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注意事项</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工具</w:t>
            </w:r>
          </w:p>
          <w:p>
            <w:pPr>
              <w:spacing w:line="260" w:lineRule="exact"/>
              <w:jc w:val="center"/>
              <w:rPr>
                <w:rFonts w:ascii="宋体" w:hAnsi="宋体"/>
                <w:b/>
                <w:szCs w:val="21"/>
              </w:rPr>
            </w:pPr>
            <w:r>
              <w:rPr>
                <w:rFonts w:hint="eastAsia" w:ascii="宋体" w:hAnsi="宋体"/>
                <w:b/>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门（面、框、把手）、防火通道图</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无浮灰、手印、斑迹，光亮</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numPr>
                <w:ilvl w:val="0"/>
                <w:numId w:val="49"/>
              </w:numPr>
              <w:spacing w:line="260" w:lineRule="exact"/>
              <w:rPr>
                <w:rFonts w:ascii="宋体" w:hAnsi="宋体"/>
                <w:szCs w:val="21"/>
              </w:rPr>
            </w:pPr>
            <w:r>
              <w:rPr>
                <w:rFonts w:hint="eastAsia" w:ascii="宋体" w:hAnsi="宋体"/>
                <w:szCs w:val="21"/>
              </w:rPr>
              <w:t>用抹布擦净门面、框、把手</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每天上午一次</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jc w:val="center"/>
              <w:rPr>
                <w:rFonts w:ascii="宋体" w:hAnsi="宋体"/>
                <w:szCs w:val="21"/>
              </w:rPr>
            </w:pPr>
            <w:r>
              <w:rPr>
                <w:rFonts w:hint="eastAsia" w:ascii="宋体" w:hAnsi="宋体"/>
                <w:szCs w:val="21"/>
              </w:rPr>
              <w:t>防火通道图不可破损、脱落</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抹布（百洁布）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窗台、框、轨道、玻璃</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玻璃干净、明亮，无灰尘、污迹，窗框无破损，窗扣完好</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numPr>
                <w:ilvl w:val="0"/>
                <w:numId w:val="50"/>
              </w:numPr>
              <w:spacing w:line="260" w:lineRule="exact"/>
              <w:rPr>
                <w:rFonts w:ascii="宋体" w:hAnsi="宋体"/>
                <w:szCs w:val="21"/>
              </w:rPr>
            </w:pPr>
            <w:r>
              <w:rPr>
                <w:rFonts w:hint="eastAsia" w:ascii="宋体" w:hAnsi="宋体"/>
                <w:szCs w:val="21"/>
              </w:rPr>
              <w:t>用涂水器蘸上清洁剂均匀涂于玻璃表面</w:t>
            </w:r>
          </w:p>
          <w:p>
            <w:pPr>
              <w:numPr>
                <w:ilvl w:val="0"/>
                <w:numId w:val="50"/>
              </w:numPr>
              <w:spacing w:line="260" w:lineRule="exact"/>
              <w:rPr>
                <w:rFonts w:ascii="宋体" w:hAnsi="宋体"/>
                <w:szCs w:val="21"/>
              </w:rPr>
            </w:pPr>
            <w:r>
              <w:rPr>
                <w:rFonts w:hint="eastAsia" w:ascii="宋体" w:hAnsi="宋体"/>
                <w:szCs w:val="21"/>
              </w:rPr>
              <w:t>用刮水器刮除玻璃上污水</w:t>
            </w:r>
          </w:p>
          <w:p>
            <w:pPr>
              <w:numPr>
                <w:ilvl w:val="0"/>
                <w:numId w:val="50"/>
              </w:numPr>
              <w:spacing w:line="260" w:lineRule="exact"/>
              <w:rPr>
                <w:rFonts w:ascii="宋体" w:hAnsi="宋体"/>
                <w:szCs w:val="21"/>
              </w:rPr>
            </w:pPr>
            <w:r>
              <w:rPr>
                <w:rFonts w:hint="eastAsia" w:ascii="宋体" w:hAnsi="宋体"/>
                <w:szCs w:val="21"/>
              </w:rPr>
              <w:t>刮水器刮在玻璃上运行的起止处应是边框到对面边框</w:t>
            </w:r>
          </w:p>
          <w:p>
            <w:pPr>
              <w:numPr>
                <w:ilvl w:val="0"/>
                <w:numId w:val="50"/>
              </w:numPr>
              <w:spacing w:line="260" w:lineRule="exact"/>
              <w:rPr>
                <w:rFonts w:ascii="宋体" w:hAnsi="宋体"/>
                <w:szCs w:val="21"/>
              </w:rPr>
            </w:pPr>
            <w:r>
              <w:rPr>
                <w:rFonts w:hint="eastAsia" w:ascii="宋体" w:hAnsi="宋体"/>
                <w:szCs w:val="21"/>
              </w:rPr>
              <w:t>用力均匀，每刮一回用抹布将刮水器擦干，再行下一回</w:t>
            </w:r>
          </w:p>
          <w:p>
            <w:pPr>
              <w:numPr>
                <w:ilvl w:val="0"/>
                <w:numId w:val="50"/>
              </w:numPr>
              <w:spacing w:line="260" w:lineRule="exact"/>
              <w:rPr>
                <w:rFonts w:ascii="宋体" w:hAnsi="宋体"/>
                <w:szCs w:val="21"/>
              </w:rPr>
            </w:pPr>
            <w:r>
              <w:rPr>
                <w:rFonts w:hint="eastAsia" w:ascii="宋体" w:hAnsi="宋体"/>
                <w:szCs w:val="21"/>
              </w:rPr>
              <w:t>刮洗结束后，要用干净抹布将边框处水迹擦去</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numPr>
                <w:ilvl w:val="0"/>
                <w:numId w:val="51"/>
              </w:numPr>
              <w:spacing w:line="260" w:lineRule="exact"/>
              <w:rPr>
                <w:rFonts w:ascii="宋体" w:hAnsi="宋体"/>
                <w:szCs w:val="21"/>
              </w:rPr>
            </w:pPr>
            <w:r>
              <w:rPr>
                <w:rFonts w:hint="eastAsia" w:ascii="宋体" w:hAnsi="宋体"/>
                <w:szCs w:val="21"/>
              </w:rPr>
              <w:t>窗台、窗框每天一次</w:t>
            </w:r>
          </w:p>
          <w:p>
            <w:pPr>
              <w:numPr>
                <w:ilvl w:val="0"/>
                <w:numId w:val="51"/>
              </w:numPr>
              <w:spacing w:line="260" w:lineRule="exact"/>
              <w:rPr>
                <w:rFonts w:ascii="宋体" w:hAnsi="宋体"/>
                <w:szCs w:val="21"/>
              </w:rPr>
            </w:pPr>
            <w:r>
              <w:rPr>
                <w:rFonts w:hint="eastAsia" w:ascii="宋体" w:hAnsi="宋体"/>
                <w:szCs w:val="21"/>
              </w:rPr>
              <w:t>轨道、玻璃每两周一次</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1.污水不可滴落楼下</w:t>
            </w:r>
          </w:p>
          <w:p>
            <w:pPr>
              <w:spacing w:line="260" w:lineRule="exact"/>
              <w:ind w:firstLine="210" w:firstLineChars="100"/>
              <w:rPr>
                <w:rFonts w:ascii="宋体" w:hAnsi="宋体"/>
                <w:szCs w:val="21"/>
              </w:rPr>
            </w:pPr>
            <w:r>
              <w:rPr>
                <w:rFonts w:hint="eastAsia" w:ascii="宋体" w:hAnsi="宋体"/>
                <w:szCs w:val="21"/>
              </w:rPr>
              <w:t>2.高空作业必须系牢安全带，或用升降机、吊篮进行作业</w:t>
            </w:r>
          </w:p>
          <w:p>
            <w:pPr>
              <w:spacing w:line="260" w:lineRule="exact"/>
              <w:ind w:firstLine="210" w:firstLineChars="100"/>
              <w:rPr>
                <w:rFonts w:ascii="宋体" w:hAnsi="宋体"/>
                <w:szCs w:val="21"/>
              </w:rPr>
            </w:pPr>
            <w:r>
              <w:rPr>
                <w:rFonts w:hint="eastAsia" w:ascii="宋体" w:hAnsi="宋体"/>
                <w:szCs w:val="21"/>
              </w:rPr>
              <w:t>3.刮大风、下雨时勿作业</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抹布、清洁剂、刮水器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纱窗</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用吸尘器吸除灰尘</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每周一次</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纱窗破损及时报修</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地面</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无灰尘、污迹、水迹，清洁、干净、无斑迹</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numPr>
                <w:ilvl w:val="0"/>
                <w:numId w:val="52"/>
              </w:numPr>
              <w:spacing w:line="260" w:lineRule="exact"/>
              <w:rPr>
                <w:rFonts w:ascii="宋体" w:hAnsi="宋体"/>
                <w:szCs w:val="21"/>
              </w:rPr>
            </w:pPr>
            <w:r>
              <w:rPr>
                <w:rFonts w:hint="eastAsia" w:ascii="宋体" w:hAnsi="宋体"/>
                <w:szCs w:val="21"/>
              </w:rPr>
              <w:t>用湿拖把拖净</w:t>
            </w:r>
          </w:p>
          <w:p>
            <w:pPr>
              <w:numPr>
                <w:ilvl w:val="0"/>
                <w:numId w:val="52"/>
              </w:numPr>
              <w:spacing w:line="260" w:lineRule="exact"/>
              <w:rPr>
                <w:rFonts w:ascii="宋体" w:hAnsi="宋体"/>
                <w:szCs w:val="21"/>
              </w:rPr>
            </w:pPr>
            <w:r>
              <w:rPr>
                <w:rFonts w:hint="eastAsia" w:ascii="宋体" w:hAnsi="宋体"/>
                <w:szCs w:val="21"/>
              </w:rPr>
              <w:t>用清洁剂清除污迹</w:t>
            </w:r>
          </w:p>
          <w:p>
            <w:pPr>
              <w:numPr>
                <w:ilvl w:val="0"/>
                <w:numId w:val="52"/>
              </w:numPr>
              <w:spacing w:line="260" w:lineRule="exact"/>
              <w:rPr>
                <w:rFonts w:ascii="宋体" w:hAnsi="宋体"/>
                <w:szCs w:val="21"/>
              </w:rPr>
            </w:pPr>
            <w:r>
              <w:rPr>
                <w:rFonts w:hint="eastAsia" w:ascii="宋体" w:hAnsi="宋体"/>
                <w:szCs w:val="21"/>
              </w:rPr>
              <w:t>对黏附物如口香糖等污物，用刮刀去除</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numPr>
                <w:ilvl w:val="0"/>
                <w:numId w:val="53"/>
              </w:numPr>
              <w:spacing w:line="260" w:lineRule="exact"/>
              <w:rPr>
                <w:rFonts w:ascii="宋体" w:hAnsi="宋体"/>
                <w:szCs w:val="21"/>
              </w:rPr>
            </w:pPr>
            <w:r>
              <w:rPr>
                <w:rFonts w:hint="eastAsia" w:ascii="宋体" w:hAnsi="宋体"/>
                <w:szCs w:val="21"/>
              </w:rPr>
              <w:t>每天三次</w:t>
            </w:r>
          </w:p>
          <w:p>
            <w:pPr>
              <w:numPr>
                <w:ilvl w:val="0"/>
                <w:numId w:val="53"/>
              </w:numPr>
              <w:spacing w:line="260" w:lineRule="exact"/>
              <w:rPr>
                <w:rFonts w:ascii="宋体" w:hAnsi="宋体"/>
                <w:szCs w:val="21"/>
              </w:rPr>
            </w:pPr>
            <w:r>
              <w:rPr>
                <w:rFonts w:hint="eastAsia" w:ascii="宋体" w:hAnsi="宋体"/>
                <w:szCs w:val="21"/>
              </w:rPr>
              <w:t>随脏随拖</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隐蔽区域地面卫生不可忽略</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墙壁</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无灰尘、水迹、污迹，干净、明亮、无脱落</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numPr>
                <w:ilvl w:val="0"/>
                <w:numId w:val="54"/>
              </w:numPr>
              <w:spacing w:line="260" w:lineRule="exact"/>
              <w:rPr>
                <w:rFonts w:ascii="宋体" w:hAnsi="宋体"/>
                <w:szCs w:val="21"/>
              </w:rPr>
            </w:pPr>
            <w:r>
              <w:rPr>
                <w:rFonts w:hint="eastAsia" w:ascii="宋体" w:hAnsi="宋体"/>
                <w:szCs w:val="21"/>
              </w:rPr>
              <w:t>用干抹布抹浮灰</w:t>
            </w:r>
          </w:p>
          <w:p>
            <w:pPr>
              <w:numPr>
                <w:ilvl w:val="0"/>
                <w:numId w:val="54"/>
              </w:numPr>
              <w:spacing w:line="260" w:lineRule="exact"/>
              <w:rPr>
                <w:rFonts w:ascii="宋体" w:hAnsi="宋体"/>
                <w:szCs w:val="21"/>
              </w:rPr>
            </w:pPr>
            <w:r>
              <w:rPr>
                <w:rFonts w:hint="eastAsia" w:ascii="宋体" w:hAnsi="宋体"/>
                <w:szCs w:val="21"/>
              </w:rPr>
              <w:t>用抹布蘸清洁剂去除污迹</w:t>
            </w:r>
          </w:p>
          <w:p>
            <w:pPr>
              <w:numPr>
                <w:ilvl w:val="0"/>
                <w:numId w:val="54"/>
              </w:numPr>
              <w:spacing w:line="260" w:lineRule="exact"/>
              <w:rPr>
                <w:rFonts w:ascii="宋体" w:hAnsi="宋体"/>
                <w:szCs w:val="21"/>
              </w:rPr>
            </w:pPr>
            <w:r>
              <w:rPr>
                <w:rFonts w:hint="eastAsia" w:ascii="宋体" w:hAnsi="宋体"/>
                <w:szCs w:val="21"/>
              </w:rPr>
              <w:t>用干净抹布抹净</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每天一次</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不可损坏墙面，清洁剂不可脱色</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抹布、清洁剂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天花板</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无斑迹、吊灰、蜘蛛网</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numPr>
                <w:ilvl w:val="0"/>
                <w:numId w:val="55"/>
              </w:numPr>
              <w:spacing w:line="260" w:lineRule="exact"/>
              <w:jc w:val="left"/>
              <w:rPr>
                <w:rFonts w:ascii="宋体" w:hAnsi="宋体"/>
                <w:szCs w:val="21"/>
              </w:rPr>
            </w:pPr>
            <w:r>
              <w:rPr>
                <w:rFonts w:hint="eastAsia" w:ascii="宋体" w:hAnsi="宋体"/>
                <w:szCs w:val="21"/>
              </w:rPr>
              <w:t>蜘蛛网用鸡毛掸子清除干净</w:t>
            </w:r>
          </w:p>
          <w:p>
            <w:pPr>
              <w:numPr>
                <w:ilvl w:val="0"/>
                <w:numId w:val="55"/>
              </w:numPr>
              <w:spacing w:line="260" w:lineRule="exact"/>
              <w:jc w:val="left"/>
              <w:rPr>
                <w:rFonts w:ascii="宋体" w:hAnsi="宋体"/>
                <w:szCs w:val="21"/>
              </w:rPr>
            </w:pPr>
            <w:r>
              <w:rPr>
                <w:rFonts w:hint="eastAsia" w:ascii="宋体" w:hAnsi="宋体"/>
                <w:szCs w:val="21"/>
              </w:rPr>
              <w:t>用干净抹布擦净</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每周一次</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防止灰尘扬起</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抹布、鸡毛掸子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顶灯、罩</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用抹布擦净</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每周一次</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szCs w:val="21"/>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壁橱、柜</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无灰尘、污迹、蟑螂，干净</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numPr>
                <w:ilvl w:val="0"/>
                <w:numId w:val="56"/>
              </w:numPr>
              <w:spacing w:line="260" w:lineRule="exact"/>
              <w:rPr>
                <w:rFonts w:ascii="宋体" w:hAnsi="宋体"/>
                <w:szCs w:val="21"/>
              </w:rPr>
            </w:pPr>
            <w:r>
              <w:rPr>
                <w:rFonts w:hint="eastAsia" w:ascii="宋体" w:hAnsi="宋体"/>
                <w:szCs w:val="21"/>
              </w:rPr>
              <w:t>用抹布逐层擦拭</w:t>
            </w:r>
          </w:p>
          <w:p>
            <w:pPr>
              <w:numPr>
                <w:ilvl w:val="0"/>
                <w:numId w:val="56"/>
              </w:numPr>
              <w:spacing w:line="260" w:lineRule="exact"/>
              <w:rPr>
                <w:rFonts w:ascii="宋体" w:hAnsi="宋体"/>
                <w:szCs w:val="21"/>
              </w:rPr>
            </w:pPr>
            <w:r>
              <w:rPr>
                <w:rFonts w:hint="eastAsia" w:ascii="宋体" w:hAnsi="宋体"/>
                <w:szCs w:val="21"/>
              </w:rPr>
              <w:t>对污迹处用清洁剂擦拭</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每天一次</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家具不能擦花，清除残留在家具面上的清洁剂泡沫，除净并擦均匀</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桌、椅</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无灰尘、污迹、水迹、变形、破损，洁净、稳固、完好</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numPr>
                <w:ilvl w:val="0"/>
                <w:numId w:val="57"/>
              </w:numPr>
              <w:spacing w:line="260" w:lineRule="exact"/>
              <w:rPr>
                <w:rFonts w:ascii="宋体" w:hAnsi="宋体"/>
                <w:szCs w:val="21"/>
              </w:rPr>
            </w:pPr>
            <w:r>
              <w:rPr>
                <w:rFonts w:hint="eastAsia" w:ascii="宋体" w:hAnsi="宋体"/>
                <w:szCs w:val="21"/>
              </w:rPr>
              <w:t>用抹布抹净</w:t>
            </w:r>
          </w:p>
          <w:p>
            <w:pPr>
              <w:numPr>
                <w:ilvl w:val="0"/>
                <w:numId w:val="57"/>
              </w:numPr>
              <w:spacing w:line="260" w:lineRule="exact"/>
              <w:rPr>
                <w:rFonts w:ascii="宋体" w:hAnsi="宋体"/>
                <w:szCs w:val="21"/>
              </w:rPr>
            </w:pPr>
            <w:r>
              <w:rPr>
                <w:rFonts w:hint="eastAsia" w:ascii="宋体" w:hAnsi="宋体"/>
                <w:szCs w:val="21"/>
              </w:rPr>
              <w:t>用清洁剂去除污迹</w:t>
            </w:r>
          </w:p>
          <w:p>
            <w:pPr>
              <w:numPr>
                <w:ilvl w:val="0"/>
                <w:numId w:val="57"/>
              </w:numPr>
              <w:spacing w:line="260" w:lineRule="exact"/>
              <w:rPr>
                <w:rFonts w:ascii="宋体" w:hAnsi="宋体"/>
                <w:szCs w:val="21"/>
              </w:rPr>
            </w:pPr>
            <w:r>
              <w:rPr>
                <w:rFonts w:hint="eastAsia" w:ascii="宋体" w:hAnsi="宋体"/>
                <w:szCs w:val="21"/>
              </w:rPr>
              <w:t>用干抹布抹净</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每天一次</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如破损及时报修</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洗手池、龙头</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无水迹、黄迹，洁净、光亮、畅通</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numPr>
                <w:ilvl w:val="0"/>
                <w:numId w:val="58"/>
              </w:numPr>
              <w:spacing w:line="260" w:lineRule="exact"/>
              <w:rPr>
                <w:rFonts w:ascii="宋体" w:hAnsi="宋体"/>
                <w:szCs w:val="21"/>
              </w:rPr>
            </w:pPr>
            <w:r>
              <w:rPr>
                <w:rFonts w:hint="eastAsia" w:ascii="宋体" w:hAnsi="宋体"/>
                <w:szCs w:val="21"/>
              </w:rPr>
              <w:t>用蘸有清洁剂的抹布擦拭脸盆、台面、龙头</w:t>
            </w:r>
          </w:p>
          <w:p>
            <w:pPr>
              <w:numPr>
                <w:ilvl w:val="0"/>
                <w:numId w:val="58"/>
              </w:numPr>
              <w:spacing w:line="260" w:lineRule="exact"/>
              <w:rPr>
                <w:rFonts w:ascii="宋体" w:hAnsi="宋体"/>
                <w:szCs w:val="21"/>
              </w:rPr>
            </w:pPr>
            <w:r>
              <w:rPr>
                <w:rFonts w:hint="eastAsia" w:ascii="宋体" w:hAnsi="宋体"/>
                <w:szCs w:val="21"/>
              </w:rPr>
              <w:t>用抹布擦干净</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每天二次</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jc w:val="left"/>
              <w:rPr>
                <w:rFonts w:ascii="宋体" w:hAnsi="宋体"/>
                <w:szCs w:val="21"/>
              </w:rPr>
            </w:pPr>
            <w:r>
              <w:rPr>
                <w:rFonts w:hint="eastAsia" w:ascii="宋体" w:hAnsi="宋体"/>
                <w:szCs w:val="21"/>
              </w:rPr>
              <w:t>1.不可遗漏台面下的弯头。</w:t>
            </w:r>
          </w:p>
          <w:p>
            <w:pPr>
              <w:spacing w:line="260" w:lineRule="exact"/>
              <w:ind w:firstLine="210" w:firstLineChars="100"/>
              <w:rPr>
                <w:rFonts w:ascii="宋体" w:hAnsi="宋体"/>
                <w:szCs w:val="21"/>
              </w:rPr>
            </w:pPr>
            <w:r>
              <w:rPr>
                <w:rFonts w:hint="eastAsia" w:ascii="宋体" w:hAnsi="宋体"/>
                <w:szCs w:val="21"/>
              </w:rPr>
              <w:t>2.如有故障及时报修</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清洁剂、抹布（百洁布）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白板框</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无灰尘、污迹</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numPr>
                <w:ilvl w:val="0"/>
                <w:numId w:val="59"/>
              </w:numPr>
              <w:spacing w:line="280" w:lineRule="exact"/>
              <w:rPr>
                <w:rFonts w:ascii="宋体" w:hAnsi="宋体"/>
                <w:szCs w:val="21"/>
              </w:rPr>
            </w:pPr>
            <w:r>
              <w:rPr>
                <w:rFonts w:hint="eastAsia" w:ascii="宋体" w:hAnsi="宋体"/>
                <w:szCs w:val="21"/>
              </w:rPr>
              <w:t>用抹布抹去灰尘</w:t>
            </w:r>
          </w:p>
          <w:p>
            <w:pPr>
              <w:numPr>
                <w:ilvl w:val="0"/>
                <w:numId w:val="59"/>
              </w:numPr>
              <w:spacing w:line="280" w:lineRule="exact"/>
              <w:rPr>
                <w:rFonts w:ascii="宋体" w:hAnsi="宋体"/>
                <w:szCs w:val="21"/>
              </w:rPr>
            </w:pPr>
            <w:r>
              <w:rPr>
                <w:rFonts w:hint="eastAsia" w:ascii="宋体" w:hAnsi="宋体"/>
                <w:szCs w:val="21"/>
              </w:rPr>
              <w:t>脱落处妥善处理</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每天一次</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szCs w:val="21"/>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标识牌</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清晰，无灰尘</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numPr>
                <w:ilvl w:val="0"/>
                <w:numId w:val="60"/>
              </w:numPr>
              <w:spacing w:line="280" w:lineRule="exact"/>
              <w:rPr>
                <w:rFonts w:ascii="宋体" w:hAnsi="宋体"/>
                <w:szCs w:val="21"/>
              </w:rPr>
            </w:pPr>
            <w:r>
              <w:rPr>
                <w:rFonts w:hint="eastAsia" w:ascii="宋体" w:hAnsi="宋体"/>
                <w:szCs w:val="21"/>
              </w:rPr>
              <w:t>用抹布抹去灰尘</w:t>
            </w:r>
          </w:p>
          <w:p>
            <w:pPr>
              <w:numPr>
                <w:ilvl w:val="0"/>
                <w:numId w:val="60"/>
              </w:numPr>
              <w:spacing w:line="280" w:lineRule="exact"/>
              <w:rPr>
                <w:rFonts w:ascii="宋体" w:hAnsi="宋体"/>
                <w:szCs w:val="21"/>
              </w:rPr>
            </w:pPr>
            <w:r>
              <w:rPr>
                <w:rFonts w:hint="eastAsia" w:ascii="宋体" w:hAnsi="宋体"/>
                <w:szCs w:val="21"/>
              </w:rPr>
              <w:t>脱落处妥善处理</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每天一次</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szCs w:val="21"/>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垃圾桶</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光亮、无污迹、无水迹，周边无垃圾</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numPr>
                <w:ilvl w:val="0"/>
                <w:numId w:val="61"/>
              </w:numPr>
              <w:spacing w:line="260" w:lineRule="exact"/>
              <w:rPr>
                <w:rFonts w:ascii="宋体" w:hAnsi="宋体"/>
                <w:szCs w:val="21"/>
              </w:rPr>
            </w:pPr>
            <w:r>
              <w:rPr>
                <w:rFonts w:hint="eastAsia" w:ascii="宋体" w:hAnsi="宋体"/>
                <w:szCs w:val="21"/>
              </w:rPr>
              <w:t>将垃圾袋取出，口扎紧丢入工作车垃圾桶内</w:t>
            </w:r>
          </w:p>
          <w:p>
            <w:pPr>
              <w:numPr>
                <w:ilvl w:val="0"/>
                <w:numId w:val="61"/>
              </w:numPr>
              <w:spacing w:line="260" w:lineRule="exact"/>
              <w:rPr>
                <w:rFonts w:ascii="宋体" w:hAnsi="宋体"/>
                <w:szCs w:val="21"/>
              </w:rPr>
            </w:pPr>
            <w:r>
              <w:rPr>
                <w:rFonts w:hint="eastAsia" w:ascii="宋体" w:hAnsi="宋体"/>
                <w:szCs w:val="21"/>
              </w:rPr>
              <w:t>用清洁剂刷洗垃圾桶内外</w:t>
            </w:r>
          </w:p>
          <w:p>
            <w:pPr>
              <w:numPr>
                <w:ilvl w:val="0"/>
                <w:numId w:val="61"/>
              </w:numPr>
              <w:spacing w:line="260" w:lineRule="exact"/>
              <w:rPr>
                <w:rFonts w:ascii="宋体" w:hAnsi="宋体"/>
                <w:szCs w:val="21"/>
              </w:rPr>
            </w:pPr>
            <w:r>
              <w:rPr>
                <w:rFonts w:hint="eastAsia" w:ascii="宋体" w:hAnsi="宋体"/>
                <w:szCs w:val="21"/>
              </w:rPr>
              <w:t>擦干、擦净</w:t>
            </w:r>
          </w:p>
          <w:p>
            <w:pPr>
              <w:numPr>
                <w:ilvl w:val="0"/>
                <w:numId w:val="61"/>
              </w:numPr>
              <w:spacing w:line="260" w:lineRule="exact"/>
              <w:rPr>
                <w:rFonts w:ascii="宋体" w:hAnsi="宋体"/>
                <w:szCs w:val="21"/>
              </w:rPr>
            </w:pPr>
            <w:r>
              <w:rPr>
                <w:rFonts w:hint="eastAsia" w:ascii="宋体" w:hAnsi="宋体"/>
                <w:szCs w:val="21"/>
              </w:rPr>
              <w:t>更换干净垃圾袋</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numPr>
                <w:ilvl w:val="0"/>
                <w:numId w:val="62"/>
              </w:numPr>
              <w:spacing w:line="260" w:lineRule="exact"/>
              <w:rPr>
                <w:rFonts w:ascii="宋体" w:hAnsi="宋体"/>
                <w:szCs w:val="21"/>
              </w:rPr>
            </w:pPr>
            <w:r>
              <w:rPr>
                <w:rFonts w:hint="eastAsia" w:ascii="宋体" w:hAnsi="宋体"/>
                <w:szCs w:val="21"/>
              </w:rPr>
              <w:t>每天上、下午各一次</w:t>
            </w:r>
          </w:p>
          <w:p>
            <w:pPr>
              <w:numPr>
                <w:ilvl w:val="0"/>
                <w:numId w:val="62"/>
              </w:numPr>
              <w:spacing w:line="260" w:lineRule="exact"/>
              <w:rPr>
                <w:rFonts w:ascii="宋体" w:hAnsi="宋体"/>
                <w:szCs w:val="21"/>
              </w:rPr>
            </w:pPr>
            <w:r>
              <w:rPr>
                <w:rFonts w:hint="eastAsia" w:ascii="宋体" w:hAnsi="宋体"/>
                <w:szCs w:val="21"/>
              </w:rPr>
              <w:t>随满随倒</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垃圾袋平整地套在垃圾桶上，与垃圾桶之间无缝隙，翻边约5厘米,不能漫溢（垃圾不得超过垃圾桶容量的3/4）。</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清洁剂、百洁布、毛刷、抹布、手套、塑料袋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护士站\吧台</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jc w:val="center"/>
              <w:rPr>
                <w:rFonts w:ascii="宋体" w:hAnsi="宋体"/>
                <w:szCs w:val="21"/>
              </w:rPr>
            </w:pPr>
            <w:r>
              <w:rPr>
                <w:rFonts w:hint="eastAsia" w:ascii="宋体" w:hAnsi="宋体"/>
                <w:szCs w:val="21"/>
              </w:rPr>
              <w:t>无灰尘、污迹、水迹、变形、破损，洁净、稳固、完好</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numPr>
                <w:ilvl w:val="0"/>
                <w:numId w:val="63"/>
              </w:numPr>
              <w:spacing w:line="260" w:lineRule="exact"/>
              <w:rPr>
                <w:rFonts w:ascii="宋体" w:hAnsi="宋体"/>
                <w:szCs w:val="21"/>
              </w:rPr>
            </w:pPr>
            <w:r>
              <w:rPr>
                <w:rFonts w:hint="eastAsia" w:ascii="宋体" w:hAnsi="宋体"/>
                <w:szCs w:val="21"/>
              </w:rPr>
              <w:t>用抹布抹净</w:t>
            </w:r>
          </w:p>
          <w:p>
            <w:pPr>
              <w:numPr>
                <w:ilvl w:val="0"/>
                <w:numId w:val="63"/>
              </w:numPr>
              <w:spacing w:line="260" w:lineRule="exact"/>
              <w:rPr>
                <w:rFonts w:ascii="宋体" w:hAnsi="宋体"/>
                <w:szCs w:val="21"/>
              </w:rPr>
            </w:pPr>
            <w:r>
              <w:rPr>
                <w:rFonts w:hint="eastAsia" w:ascii="宋体" w:hAnsi="宋体"/>
                <w:szCs w:val="21"/>
              </w:rPr>
              <w:t>用清洁剂去除污迹</w:t>
            </w:r>
          </w:p>
          <w:p>
            <w:pPr>
              <w:numPr>
                <w:ilvl w:val="0"/>
                <w:numId w:val="63"/>
              </w:numPr>
              <w:spacing w:line="260" w:lineRule="exact"/>
              <w:rPr>
                <w:rFonts w:ascii="宋体" w:hAnsi="宋体"/>
                <w:szCs w:val="21"/>
              </w:rPr>
            </w:pPr>
            <w:r>
              <w:rPr>
                <w:rFonts w:hint="eastAsia" w:ascii="宋体" w:hAnsi="宋体"/>
                <w:szCs w:val="21"/>
              </w:rPr>
              <w:t>用干抹布抹净</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每天一次</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如破损及时报修</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体重秤</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无灰尘、污迹</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用干净抹布擦拭至洁净、明亮</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每天一次</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抹布（百洁布）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电话机</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清洁，无污迹、异味</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numPr>
                <w:ilvl w:val="0"/>
                <w:numId w:val="64"/>
              </w:numPr>
              <w:rPr>
                <w:rFonts w:ascii="宋体" w:hAnsi="宋体"/>
                <w:szCs w:val="21"/>
              </w:rPr>
            </w:pPr>
            <w:r>
              <w:rPr>
                <w:rFonts w:hint="eastAsia" w:ascii="宋体" w:hAnsi="宋体"/>
                <w:szCs w:val="21"/>
              </w:rPr>
              <w:t>用抹布蘸牙膏擦拭污迹</w:t>
            </w:r>
          </w:p>
          <w:p>
            <w:pPr>
              <w:numPr>
                <w:ilvl w:val="0"/>
                <w:numId w:val="64"/>
              </w:numPr>
              <w:rPr>
                <w:rFonts w:ascii="宋体" w:hAnsi="宋体"/>
                <w:szCs w:val="21"/>
              </w:rPr>
            </w:pPr>
            <w:r>
              <w:rPr>
                <w:rFonts w:hint="eastAsia" w:ascii="宋体" w:hAnsi="宋体"/>
                <w:szCs w:val="21"/>
              </w:rPr>
              <w:t>用酒精棉球擦拭听话筒</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每2天1次</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清洁时按下电话按键</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牙膏、抹布（百洁布）、酒精棉球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空调</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无冷凝水，清洁无灰尘</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numPr>
                <w:ilvl w:val="0"/>
                <w:numId w:val="65"/>
              </w:numPr>
              <w:spacing w:line="260" w:lineRule="exact"/>
              <w:rPr>
                <w:rFonts w:ascii="宋体" w:hAnsi="宋体"/>
                <w:szCs w:val="21"/>
              </w:rPr>
            </w:pPr>
            <w:r>
              <w:rPr>
                <w:rFonts w:hint="eastAsia" w:ascii="宋体" w:hAnsi="宋体"/>
                <w:szCs w:val="21"/>
              </w:rPr>
              <w:t>用干抹布抹净空调表面及风叶扇</w:t>
            </w:r>
          </w:p>
          <w:p>
            <w:pPr>
              <w:numPr>
                <w:ilvl w:val="0"/>
                <w:numId w:val="65"/>
              </w:numPr>
              <w:spacing w:line="260" w:lineRule="exact"/>
              <w:rPr>
                <w:rFonts w:ascii="宋体" w:hAnsi="宋体"/>
                <w:szCs w:val="21"/>
              </w:rPr>
            </w:pPr>
            <w:r>
              <w:rPr>
                <w:rFonts w:hint="eastAsia" w:ascii="宋体" w:hAnsi="宋体"/>
                <w:szCs w:val="21"/>
              </w:rPr>
              <w:t>清洗过滤网</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每两周一次</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1.应站在梯子或稳定性较好的支撑物上</w:t>
            </w:r>
          </w:p>
          <w:p>
            <w:pPr>
              <w:spacing w:line="260" w:lineRule="exact"/>
              <w:ind w:firstLine="210" w:firstLineChars="100"/>
              <w:rPr>
                <w:rFonts w:ascii="宋体" w:hAnsi="宋体"/>
                <w:szCs w:val="21"/>
              </w:rPr>
            </w:pPr>
            <w:r>
              <w:rPr>
                <w:rFonts w:hint="eastAsia" w:ascii="宋体" w:hAnsi="宋体"/>
                <w:szCs w:val="21"/>
              </w:rPr>
              <w:t>2.擦拭前拔下空调插头</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梯子、干净抹布</w:t>
            </w:r>
          </w:p>
        </w:tc>
      </w:tr>
    </w:tbl>
    <w:p>
      <w:pPr>
        <w:ind w:firstLine="411" w:firstLineChars="196"/>
        <w:rPr>
          <w:rFonts w:ascii="宋体" w:hAnsi="宋体"/>
          <w:szCs w:val="21"/>
        </w:rPr>
      </w:pPr>
      <w:r>
        <w:rPr>
          <w:rFonts w:hint="eastAsia" w:ascii="宋体" w:hAnsi="宋体"/>
          <w:szCs w:val="21"/>
        </w:rPr>
        <w:t>说明：公共医疗用房：医生办公室、护士站、主任办公室、开水间、污洗间、值班房、库房、处置间、诊疗室、专科检查室、清创室、教研活动室。</w:t>
      </w:r>
    </w:p>
    <w:p>
      <w:pPr>
        <w:spacing w:before="120" w:beforeLines="50" w:line="360" w:lineRule="auto"/>
        <w:ind w:firstLine="161" w:firstLineChars="67"/>
        <w:rPr>
          <w:rFonts w:ascii="宋体" w:hAnsi="宋体"/>
          <w:b/>
          <w:sz w:val="24"/>
        </w:rPr>
      </w:pPr>
      <w:r>
        <w:rPr>
          <w:rFonts w:hint="eastAsia" w:ascii="宋体" w:hAnsi="宋体"/>
          <w:b/>
          <w:sz w:val="24"/>
        </w:rPr>
        <w:t>（2）公共走廊、厅堂及楼道日常保洁项目要求</w:t>
      </w:r>
    </w:p>
    <w:tbl>
      <w:tblPr>
        <w:tblStyle w:val="70"/>
        <w:tblW w:w="1022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767"/>
        <w:gridCol w:w="2557"/>
        <w:gridCol w:w="1650"/>
        <w:gridCol w:w="1632"/>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项目</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标准</w:t>
            </w:r>
          </w:p>
          <w:p>
            <w:pPr>
              <w:jc w:val="center"/>
              <w:rPr>
                <w:rFonts w:ascii="宋体" w:hAnsi="宋体"/>
                <w:b/>
                <w:szCs w:val="21"/>
              </w:rPr>
            </w:pPr>
            <w:r>
              <w:rPr>
                <w:rFonts w:hint="eastAsia" w:ascii="宋体" w:hAnsi="宋体"/>
                <w:b/>
                <w:szCs w:val="21"/>
              </w:rPr>
              <w:t>（质量要求）</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程序</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频次</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注意事项</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工具</w:t>
            </w:r>
          </w:p>
          <w:p>
            <w:pPr>
              <w:jc w:val="center"/>
              <w:rPr>
                <w:rFonts w:ascii="宋体" w:hAnsi="宋体"/>
                <w:b/>
                <w:szCs w:val="21"/>
              </w:rPr>
            </w:pPr>
            <w:r>
              <w:rPr>
                <w:rFonts w:hint="eastAsia" w:ascii="宋体" w:hAnsi="宋体"/>
                <w:b/>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走廊</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清洁光亮，无尘、斑迹、油迹、污迹、烟头</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numPr>
                <w:ilvl w:val="0"/>
                <w:numId w:val="66"/>
              </w:numPr>
              <w:spacing w:line="280" w:lineRule="exact"/>
              <w:rPr>
                <w:rFonts w:ascii="宋体" w:hAnsi="宋体"/>
                <w:szCs w:val="21"/>
              </w:rPr>
            </w:pPr>
            <w:r>
              <w:rPr>
                <w:rFonts w:hint="eastAsia" w:ascii="宋体" w:hAnsi="宋体"/>
                <w:szCs w:val="21"/>
              </w:rPr>
              <w:t>用尘推往返推尘</w:t>
            </w:r>
          </w:p>
          <w:p>
            <w:pPr>
              <w:numPr>
                <w:ilvl w:val="0"/>
                <w:numId w:val="66"/>
              </w:numPr>
              <w:spacing w:line="280" w:lineRule="exact"/>
              <w:rPr>
                <w:rFonts w:ascii="宋体" w:hAnsi="宋体"/>
                <w:szCs w:val="21"/>
              </w:rPr>
            </w:pPr>
            <w:r>
              <w:rPr>
                <w:rFonts w:hint="eastAsia" w:ascii="宋体" w:hAnsi="宋体"/>
                <w:szCs w:val="21"/>
              </w:rPr>
              <w:t>将灰尘推至拐角用抹布抹掉</w:t>
            </w:r>
          </w:p>
          <w:p>
            <w:pPr>
              <w:numPr>
                <w:ilvl w:val="0"/>
                <w:numId w:val="66"/>
              </w:numPr>
              <w:spacing w:line="280" w:lineRule="exact"/>
              <w:rPr>
                <w:rFonts w:ascii="宋体" w:hAnsi="宋体"/>
                <w:szCs w:val="21"/>
              </w:rPr>
            </w:pPr>
            <w:r>
              <w:rPr>
                <w:rFonts w:hint="eastAsia" w:ascii="宋体" w:hAnsi="宋体"/>
                <w:szCs w:val="21"/>
              </w:rPr>
              <w:t>更换干净推头</w:t>
            </w:r>
          </w:p>
          <w:p>
            <w:pPr>
              <w:numPr>
                <w:ilvl w:val="0"/>
                <w:numId w:val="66"/>
              </w:numPr>
              <w:spacing w:line="280" w:lineRule="exact"/>
              <w:rPr>
                <w:rFonts w:ascii="宋体" w:hAnsi="宋体"/>
                <w:szCs w:val="21"/>
              </w:rPr>
            </w:pPr>
            <w:r>
              <w:rPr>
                <w:rFonts w:hint="eastAsia" w:ascii="宋体" w:hAnsi="宋体"/>
                <w:szCs w:val="21"/>
              </w:rPr>
              <w:t>在不影响人员进出的情况下对斑迹、油迹用洗地机抽洗</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numPr>
                <w:ilvl w:val="0"/>
                <w:numId w:val="67"/>
              </w:numPr>
              <w:spacing w:line="280" w:lineRule="exact"/>
              <w:rPr>
                <w:rFonts w:ascii="宋体" w:hAnsi="宋体"/>
                <w:szCs w:val="21"/>
              </w:rPr>
            </w:pPr>
            <w:r>
              <w:rPr>
                <w:rFonts w:hint="eastAsia" w:ascii="宋体" w:hAnsi="宋体"/>
                <w:szCs w:val="21"/>
              </w:rPr>
              <w:t>尘推：2小时1次，随脏随打扫</w:t>
            </w:r>
          </w:p>
          <w:p>
            <w:pPr>
              <w:numPr>
                <w:ilvl w:val="0"/>
                <w:numId w:val="67"/>
              </w:numPr>
              <w:spacing w:line="280" w:lineRule="exact"/>
              <w:rPr>
                <w:rFonts w:ascii="宋体" w:hAnsi="宋体"/>
                <w:szCs w:val="21"/>
              </w:rPr>
            </w:pPr>
            <w:r>
              <w:rPr>
                <w:rFonts w:hint="eastAsia" w:ascii="宋体" w:hAnsi="宋体"/>
                <w:szCs w:val="21"/>
              </w:rPr>
              <w:t>洗地机：每周2次（1楼大厅每天至少2次）</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r>
              <w:rPr>
                <w:rFonts w:hint="eastAsia" w:ascii="宋体" w:hAnsi="宋体"/>
                <w:szCs w:val="21"/>
              </w:rPr>
              <w:t>1.尘推不可靠近病人及家属</w:t>
            </w:r>
          </w:p>
          <w:p>
            <w:pPr>
              <w:ind w:firstLine="210" w:firstLineChars="100"/>
              <w:rPr>
                <w:rFonts w:ascii="宋体" w:hAnsi="宋体"/>
                <w:szCs w:val="21"/>
              </w:rPr>
            </w:pPr>
            <w:r>
              <w:rPr>
                <w:rFonts w:hint="eastAsia" w:ascii="宋体" w:hAnsi="宋体"/>
                <w:szCs w:val="21"/>
              </w:rPr>
              <w:t>2.不可跟在病人后面推尘，应绕道推尘</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尘推、抹布、洗地机、防滑警示牌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24"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楼梯面</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干净，无灰尘、污迹</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用湿拖把拖净并用尘推推干</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numPr>
                <w:ilvl w:val="0"/>
                <w:numId w:val="68"/>
              </w:numPr>
              <w:rPr>
                <w:rFonts w:ascii="宋体" w:hAnsi="宋体"/>
                <w:szCs w:val="21"/>
              </w:rPr>
            </w:pPr>
            <w:r>
              <w:rPr>
                <w:rFonts w:hint="eastAsia" w:ascii="宋体" w:hAnsi="宋体"/>
                <w:szCs w:val="21"/>
              </w:rPr>
              <w:t>每天上午7点之前拖净</w:t>
            </w:r>
          </w:p>
          <w:p>
            <w:pPr>
              <w:numPr>
                <w:ilvl w:val="0"/>
                <w:numId w:val="68"/>
              </w:numPr>
              <w:rPr>
                <w:rFonts w:ascii="宋体" w:hAnsi="宋体"/>
                <w:szCs w:val="21"/>
              </w:rPr>
            </w:pPr>
            <w:r>
              <w:rPr>
                <w:rFonts w:hint="eastAsia" w:ascii="宋体" w:hAnsi="宋体"/>
                <w:szCs w:val="21"/>
              </w:rPr>
              <w:t>随脏随拖</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r>
              <w:rPr>
                <w:rFonts w:hint="eastAsia" w:ascii="宋体" w:hAnsi="宋体"/>
                <w:szCs w:val="21"/>
              </w:rPr>
              <w:t>1.勿忽略靠近扶手一侧的楼梯面的清洁</w:t>
            </w:r>
          </w:p>
          <w:p>
            <w:pPr>
              <w:ind w:firstLine="210" w:firstLineChars="100"/>
              <w:rPr>
                <w:rFonts w:ascii="宋体" w:hAnsi="宋体"/>
                <w:szCs w:val="21"/>
              </w:rPr>
            </w:pPr>
            <w:r>
              <w:rPr>
                <w:rFonts w:hint="eastAsia" w:ascii="宋体" w:hAnsi="宋体"/>
                <w:szCs w:val="21"/>
              </w:rPr>
              <w:t>2.不可污染另一侧墙面</w:t>
            </w:r>
          </w:p>
          <w:p>
            <w:pPr>
              <w:ind w:firstLine="210" w:firstLineChars="100"/>
              <w:rPr>
                <w:rFonts w:ascii="宋体" w:hAnsi="宋体"/>
                <w:szCs w:val="21"/>
              </w:rPr>
            </w:pPr>
            <w:r>
              <w:rPr>
                <w:rFonts w:hint="eastAsia" w:ascii="宋体" w:hAnsi="宋体"/>
                <w:szCs w:val="21"/>
              </w:rPr>
              <w:t>3.确保地面干燥</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拖布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7"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楼梯扶手、栏杆、玻璃</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无灰尘、斑迹</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用干净的抹布抹净</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每天一次</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60"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楼梯防滑铜条</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无污迹、锈迹，光亮清洁</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numPr>
                <w:ilvl w:val="0"/>
                <w:numId w:val="69"/>
              </w:numPr>
              <w:spacing w:line="280" w:lineRule="exact"/>
              <w:rPr>
                <w:rFonts w:ascii="宋体" w:hAnsi="宋体"/>
                <w:szCs w:val="21"/>
              </w:rPr>
            </w:pPr>
            <w:r>
              <w:rPr>
                <w:rFonts w:hint="eastAsia" w:ascii="宋体" w:hAnsi="宋体"/>
                <w:szCs w:val="21"/>
              </w:rPr>
              <w:t>用抹布蘸清洁剂去除黏附在铜条上的污物</w:t>
            </w:r>
          </w:p>
          <w:p>
            <w:pPr>
              <w:numPr>
                <w:ilvl w:val="0"/>
                <w:numId w:val="69"/>
              </w:numPr>
              <w:spacing w:line="280" w:lineRule="exact"/>
              <w:rPr>
                <w:rFonts w:ascii="宋体" w:hAnsi="宋体"/>
                <w:szCs w:val="21"/>
              </w:rPr>
            </w:pPr>
            <w:r>
              <w:rPr>
                <w:rFonts w:hint="eastAsia" w:ascii="宋体" w:hAnsi="宋体"/>
                <w:szCs w:val="21"/>
              </w:rPr>
              <w:t>用干抹布擦净</w:t>
            </w:r>
          </w:p>
          <w:p>
            <w:pPr>
              <w:numPr>
                <w:ilvl w:val="0"/>
                <w:numId w:val="69"/>
              </w:numPr>
              <w:spacing w:line="280" w:lineRule="exact"/>
              <w:rPr>
                <w:rFonts w:ascii="宋体" w:hAnsi="宋体"/>
                <w:szCs w:val="21"/>
              </w:rPr>
            </w:pPr>
            <w:r>
              <w:rPr>
                <w:rFonts w:hint="eastAsia" w:ascii="宋体" w:hAnsi="宋体"/>
                <w:szCs w:val="21"/>
              </w:rPr>
              <w:t>用百洁布蘸桐油擦拭，直至桐油呈黑糊状</w:t>
            </w:r>
          </w:p>
          <w:p>
            <w:pPr>
              <w:numPr>
                <w:ilvl w:val="0"/>
                <w:numId w:val="69"/>
              </w:numPr>
              <w:spacing w:line="280" w:lineRule="exact"/>
              <w:rPr>
                <w:rFonts w:ascii="宋体" w:hAnsi="宋体"/>
                <w:szCs w:val="21"/>
              </w:rPr>
            </w:pPr>
            <w:r>
              <w:rPr>
                <w:rFonts w:hint="eastAsia" w:ascii="宋体" w:hAnsi="宋体"/>
                <w:szCs w:val="21"/>
              </w:rPr>
              <w:t>再用抹布抹净</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每月一次</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r>
              <w:rPr>
                <w:rFonts w:hint="eastAsia" w:ascii="宋体" w:hAnsi="宋体"/>
                <w:szCs w:val="21"/>
              </w:rPr>
              <w:t>擦桐油不可沾染到墙壁、地毯上，防止地毯脱色</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抹布、桐油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97"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防尘垫</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无沙土、杂物、污物残留，干净、美观</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numPr>
                <w:ilvl w:val="0"/>
                <w:numId w:val="70"/>
              </w:numPr>
              <w:spacing w:line="280" w:lineRule="exact"/>
              <w:rPr>
                <w:rFonts w:ascii="宋体" w:hAnsi="宋体"/>
                <w:szCs w:val="21"/>
              </w:rPr>
            </w:pPr>
            <w:r>
              <w:rPr>
                <w:rFonts w:hint="eastAsia" w:ascii="宋体" w:hAnsi="宋体"/>
                <w:szCs w:val="21"/>
              </w:rPr>
              <w:t>用吸尘器彻底吸尘</w:t>
            </w:r>
          </w:p>
          <w:p>
            <w:pPr>
              <w:numPr>
                <w:ilvl w:val="0"/>
                <w:numId w:val="70"/>
              </w:numPr>
              <w:spacing w:line="280" w:lineRule="exact"/>
              <w:rPr>
                <w:rFonts w:ascii="宋体" w:hAnsi="宋体"/>
                <w:szCs w:val="21"/>
              </w:rPr>
            </w:pPr>
            <w:r>
              <w:rPr>
                <w:rFonts w:hint="eastAsia" w:ascii="宋体" w:hAnsi="宋体"/>
                <w:szCs w:val="21"/>
              </w:rPr>
              <w:t>用高压水枪冲洗地垫，去除污物直至结束</w:t>
            </w:r>
          </w:p>
          <w:p>
            <w:pPr>
              <w:numPr>
                <w:ilvl w:val="0"/>
                <w:numId w:val="70"/>
              </w:numPr>
              <w:spacing w:line="280" w:lineRule="exact"/>
              <w:rPr>
                <w:rFonts w:ascii="宋体" w:hAnsi="宋体"/>
                <w:szCs w:val="21"/>
              </w:rPr>
            </w:pPr>
            <w:r>
              <w:rPr>
                <w:rFonts w:hint="eastAsia" w:ascii="宋体" w:hAnsi="宋体"/>
                <w:szCs w:val="21"/>
              </w:rPr>
              <w:t>用吸水器吸取残留在地垫中的水分</w:t>
            </w:r>
          </w:p>
          <w:p>
            <w:pPr>
              <w:numPr>
                <w:ilvl w:val="0"/>
                <w:numId w:val="70"/>
              </w:numPr>
              <w:spacing w:line="280" w:lineRule="exact"/>
              <w:rPr>
                <w:rFonts w:ascii="宋体" w:hAnsi="宋体"/>
                <w:szCs w:val="21"/>
              </w:rPr>
            </w:pPr>
            <w:r>
              <w:rPr>
                <w:rFonts w:hint="eastAsia" w:ascii="宋体" w:hAnsi="宋体"/>
                <w:szCs w:val="21"/>
              </w:rPr>
              <w:t>用拖把将地垫周围的水迹拖掉</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每天一次</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r>
              <w:rPr>
                <w:rFonts w:hint="eastAsia" w:ascii="宋体" w:hAnsi="宋体"/>
                <w:szCs w:val="21"/>
              </w:rPr>
              <w:t>检查清洗后的地垫，对有些镶嵌在地垫中的杂物挑除</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吸尘器、高压水枪、拖把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5"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空调帘</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无灰尘、污迹、缺损，清洁</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numPr>
                <w:ilvl w:val="0"/>
                <w:numId w:val="71"/>
              </w:numPr>
              <w:spacing w:line="280" w:lineRule="exact"/>
              <w:rPr>
                <w:rFonts w:ascii="宋体" w:hAnsi="宋体"/>
                <w:szCs w:val="21"/>
              </w:rPr>
            </w:pPr>
            <w:r>
              <w:rPr>
                <w:rFonts w:hint="eastAsia" w:ascii="宋体" w:hAnsi="宋体"/>
                <w:szCs w:val="21"/>
              </w:rPr>
              <w:t>用抹布蘸清洁剂逐条抹净</w:t>
            </w:r>
          </w:p>
          <w:p>
            <w:pPr>
              <w:numPr>
                <w:ilvl w:val="0"/>
                <w:numId w:val="71"/>
              </w:numPr>
              <w:spacing w:line="280" w:lineRule="exact"/>
              <w:rPr>
                <w:rFonts w:ascii="宋体" w:hAnsi="宋体"/>
                <w:szCs w:val="21"/>
              </w:rPr>
            </w:pPr>
            <w:r>
              <w:rPr>
                <w:rFonts w:hint="eastAsia" w:ascii="宋体" w:hAnsi="宋体"/>
                <w:szCs w:val="21"/>
              </w:rPr>
              <w:t>用干抹布抹净</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每天一次</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r>
              <w:rPr>
                <w:rFonts w:hint="eastAsia" w:ascii="宋体" w:hAnsi="宋体"/>
                <w:szCs w:val="21"/>
              </w:rPr>
              <w:t>避免在人员进出高峰期进行保洁</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抹布、清洁剂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5"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等候椅</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无灰尘、污迹、杂物、水迹，干净明亮</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numPr>
                <w:ilvl w:val="0"/>
                <w:numId w:val="72"/>
              </w:numPr>
              <w:spacing w:line="280" w:lineRule="exact"/>
              <w:jc w:val="center"/>
              <w:rPr>
                <w:rFonts w:ascii="宋体" w:hAnsi="宋体"/>
                <w:szCs w:val="21"/>
              </w:rPr>
            </w:pPr>
            <w:r>
              <w:rPr>
                <w:rFonts w:hint="eastAsia" w:ascii="宋体" w:hAnsi="宋体"/>
                <w:szCs w:val="21"/>
              </w:rPr>
              <w:t>抹布蘸清洁剂逐</w:t>
            </w:r>
          </w:p>
          <w:p>
            <w:pPr>
              <w:spacing w:line="280" w:lineRule="exact"/>
              <w:ind w:left="420"/>
              <w:rPr>
                <w:rFonts w:ascii="宋体" w:hAnsi="宋体"/>
                <w:szCs w:val="21"/>
              </w:rPr>
            </w:pPr>
            <w:r>
              <w:rPr>
                <w:rFonts w:hint="eastAsia" w:ascii="宋体" w:hAnsi="宋体"/>
                <w:szCs w:val="21"/>
              </w:rPr>
              <w:t>个抹净</w:t>
            </w:r>
          </w:p>
          <w:p>
            <w:pPr>
              <w:numPr>
                <w:ilvl w:val="0"/>
                <w:numId w:val="72"/>
              </w:numPr>
              <w:spacing w:line="280" w:lineRule="exact"/>
              <w:rPr>
                <w:rFonts w:ascii="宋体" w:hAnsi="宋体"/>
                <w:szCs w:val="21"/>
              </w:rPr>
            </w:pPr>
            <w:r>
              <w:rPr>
                <w:rFonts w:hint="eastAsia" w:ascii="宋体" w:hAnsi="宋体"/>
                <w:szCs w:val="21"/>
              </w:rPr>
              <w:t>用干抹布抹净</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每天二次</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r>
              <w:rPr>
                <w:rFonts w:hint="eastAsia" w:ascii="宋体" w:hAnsi="宋体"/>
                <w:szCs w:val="21"/>
              </w:rPr>
              <w:t>等候椅下方的卫生不要忽略</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86"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垃圾桶</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光亮、无污迹、无水迹，周边无垃圾</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numPr>
                <w:ilvl w:val="0"/>
                <w:numId w:val="73"/>
              </w:numPr>
              <w:spacing w:line="280" w:lineRule="exact"/>
              <w:rPr>
                <w:rFonts w:ascii="宋体" w:hAnsi="宋体"/>
                <w:szCs w:val="21"/>
              </w:rPr>
            </w:pPr>
            <w:r>
              <w:rPr>
                <w:rFonts w:hint="eastAsia" w:ascii="宋体" w:hAnsi="宋体"/>
                <w:szCs w:val="21"/>
              </w:rPr>
              <w:t>将垃圾袋取出，口扎紧丢入工作车垃圾桶内</w:t>
            </w:r>
          </w:p>
          <w:p>
            <w:pPr>
              <w:numPr>
                <w:ilvl w:val="0"/>
                <w:numId w:val="73"/>
              </w:numPr>
              <w:spacing w:line="280" w:lineRule="exact"/>
              <w:rPr>
                <w:rFonts w:ascii="宋体" w:hAnsi="宋体"/>
                <w:szCs w:val="21"/>
              </w:rPr>
            </w:pPr>
            <w:r>
              <w:rPr>
                <w:rFonts w:hint="eastAsia" w:ascii="宋体" w:hAnsi="宋体"/>
                <w:szCs w:val="21"/>
              </w:rPr>
              <w:t>用清洁剂刷洗垃圾桶内外</w:t>
            </w:r>
          </w:p>
          <w:p>
            <w:pPr>
              <w:numPr>
                <w:ilvl w:val="0"/>
                <w:numId w:val="73"/>
              </w:numPr>
              <w:spacing w:line="280" w:lineRule="exact"/>
              <w:rPr>
                <w:rFonts w:ascii="宋体" w:hAnsi="宋体"/>
                <w:szCs w:val="21"/>
              </w:rPr>
            </w:pPr>
            <w:r>
              <w:rPr>
                <w:rFonts w:hint="eastAsia" w:ascii="宋体" w:hAnsi="宋体"/>
                <w:szCs w:val="21"/>
              </w:rPr>
              <w:t>擦干、擦净</w:t>
            </w:r>
          </w:p>
          <w:p>
            <w:pPr>
              <w:numPr>
                <w:ilvl w:val="0"/>
                <w:numId w:val="73"/>
              </w:numPr>
              <w:spacing w:line="280" w:lineRule="exact"/>
              <w:rPr>
                <w:rFonts w:ascii="宋体" w:hAnsi="宋体"/>
                <w:szCs w:val="21"/>
              </w:rPr>
            </w:pPr>
            <w:r>
              <w:rPr>
                <w:rFonts w:hint="eastAsia" w:ascii="宋体" w:hAnsi="宋体"/>
                <w:szCs w:val="21"/>
              </w:rPr>
              <w:t>更换干净垃圾袋</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numPr>
                <w:ilvl w:val="0"/>
                <w:numId w:val="74"/>
              </w:numPr>
              <w:spacing w:line="280" w:lineRule="exact"/>
              <w:rPr>
                <w:rFonts w:ascii="宋体" w:hAnsi="宋体"/>
                <w:szCs w:val="21"/>
              </w:rPr>
            </w:pPr>
            <w:r>
              <w:rPr>
                <w:rFonts w:hint="eastAsia" w:ascii="宋体" w:hAnsi="宋体"/>
                <w:szCs w:val="21"/>
              </w:rPr>
              <w:t>每天三次</w:t>
            </w:r>
          </w:p>
          <w:p>
            <w:pPr>
              <w:numPr>
                <w:ilvl w:val="0"/>
                <w:numId w:val="74"/>
              </w:numPr>
              <w:spacing w:line="280" w:lineRule="exact"/>
              <w:rPr>
                <w:rFonts w:ascii="宋体" w:hAnsi="宋体"/>
                <w:szCs w:val="21"/>
              </w:rPr>
            </w:pPr>
            <w:r>
              <w:rPr>
                <w:rFonts w:hint="eastAsia" w:ascii="宋体" w:hAnsi="宋体"/>
                <w:szCs w:val="21"/>
              </w:rPr>
              <w:t>随满随倒</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r>
              <w:rPr>
                <w:rFonts w:hint="eastAsia" w:ascii="宋体" w:hAnsi="宋体"/>
                <w:szCs w:val="21"/>
              </w:rPr>
              <w:t>不可漫溢，</w:t>
            </w:r>
            <w:r>
              <w:rPr>
                <w:rFonts w:hint="eastAsia" w:ascii="宋体" w:hAnsi="宋体"/>
              </w:rPr>
              <w:t>垃圾不得超过垃圾桶容量的3/4</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刷子、清洁剂、抹布、垃圾袋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5"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花盆、花架、装饰花卉</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无枯枝败叶、灰尘、烟头、杂物</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numPr>
                <w:ilvl w:val="0"/>
                <w:numId w:val="75"/>
              </w:numPr>
              <w:spacing w:line="280" w:lineRule="exact"/>
              <w:rPr>
                <w:rFonts w:ascii="宋体" w:hAnsi="宋体"/>
                <w:szCs w:val="21"/>
              </w:rPr>
            </w:pPr>
            <w:r>
              <w:rPr>
                <w:rFonts w:hint="eastAsia" w:ascii="宋体" w:hAnsi="宋体"/>
                <w:szCs w:val="21"/>
              </w:rPr>
              <w:t>用抹布抹去灰尘，捡去烟头、杂物及枯枝败叶，放进垃圾袋里</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每天一次</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r>
              <w:rPr>
                <w:rFonts w:hint="eastAsia" w:ascii="宋体" w:hAnsi="宋体"/>
                <w:szCs w:val="21"/>
              </w:rPr>
              <w:t>摆放合理</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抹布、垃圾袋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7"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标识牌、框</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无灰尘、无损坏、无脱落</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numPr>
                <w:ilvl w:val="0"/>
                <w:numId w:val="76"/>
              </w:numPr>
              <w:spacing w:line="280" w:lineRule="exact"/>
              <w:rPr>
                <w:rFonts w:ascii="宋体" w:hAnsi="宋体"/>
                <w:szCs w:val="21"/>
              </w:rPr>
            </w:pPr>
            <w:r>
              <w:rPr>
                <w:rFonts w:hint="eastAsia" w:ascii="宋体" w:hAnsi="宋体"/>
                <w:szCs w:val="21"/>
              </w:rPr>
              <w:t>用抹布抹去灰尘</w:t>
            </w:r>
          </w:p>
          <w:p>
            <w:pPr>
              <w:numPr>
                <w:ilvl w:val="0"/>
                <w:numId w:val="76"/>
              </w:numPr>
              <w:spacing w:line="280" w:lineRule="exact"/>
              <w:rPr>
                <w:rFonts w:ascii="宋体" w:hAnsi="宋体"/>
                <w:szCs w:val="21"/>
              </w:rPr>
            </w:pPr>
            <w:r>
              <w:rPr>
                <w:rFonts w:hint="eastAsia" w:ascii="宋体" w:hAnsi="宋体"/>
                <w:szCs w:val="21"/>
              </w:rPr>
              <w:t>脱落处妥善处理</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每天一次</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7"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走廊扶手</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无灰尘、损坏、污迹</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numPr>
                <w:ilvl w:val="0"/>
                <w:numId w:val="77"/>
              </w:numPr>
              <w:spacing w:line="280" w:lineRule="exact"/>
              <w:rPr>
                <w:rFonts w:ascii="宋体" w:hAnsi="宋体"/>
                <w:szCs w:val="21"/>
              </w:rPr>
            </w:pPr>
            <w:r>
              <w:rPr>
                <w:rFonts w:hint="eastAsia" w:ascii="宋体" w:hAnsi="宋体"/>
                <w:szCs w:val="21"/>
              </w:rPr>
              <w:t>用抹布抹去灰尘</w:t>
            </w:r>
          </w:p>
          <w:p>
            <w:pPr>
              <w:numPr>
                <w:ilvl w:val="0"/>
                <w:numId w:val="77"/>
              </w:numPr>
              <w:spacing w:line="280" w:lineRule="exact"/>
              <w:rPr>
                <w:rFonts w:ascii="宋体" w:hAnsi="宋体"/>
                <w:szCs w:val="21"/>
              </w:rPr>
            </w:pPr>
            <w:r>
              <w:rPr>
                <w:rFonts w:hint="eastAsia" w:ascii="宋体" w:hAnsi="宋体"/>
                <w:szCs w:val="21"/>
              </w:rPr>
              <w:t>用清洁剂去除污迹</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每天一次</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抹布、清洁剂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4"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走廊两侧墙壁</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无灰尘、污迹、脱落</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numPr>
                <w:ilvl w:val="0"/>
                <w:numId w:val="78"/>
              </w:numPr>
              <w:spacing w:line="280" w:lineRule="exact"/>
              <w:rPr>
                <w:rFonts w:ascii="宋体" w:hAnsi="宋体"/>
                <w:szCs w:val="21"/>
              </w:rPr>
            </w:pPr>
            <w:r>
              <w:rPr>
                <w:rFonts w:hint="eastAsia" w:ascii="宋体" w:hAnsi="宋体"/>
                <w:szCs w:val="21"/>
              </w:rPr>
              <w:t>用抹布由上而下抹净</w:t>
            </w:r>
          </w:p>
          <w:p>
            <w:pPr>
              <w:numPr>
                <w:ilvl w:val="0"/>
                <w:numId w:val="78"/>
              </w:numPr>
              <w:spacing w:line="280" w:lineRule="exact"/>
              <w:rPr>
                <w:rFonts w:ascii="宋体" w:hAnsi="宋体"/>
                <w:szCs w:val="21"/>
              </w:rPr>
            </w:pPr>
            <w:r>
              <w:rPr>
                <w:rFonts w:hint="eastAsia" w:ascii="宋体" w:hAnsi="宋体"/>
                <w:szCs w:val="21"/>
              </w:rPr>
              <w:t>污迹处用清洁剂清除</w:t>
            </w:r>
          </w:p>
          <w:p>
            <w:pPr>
              <w:numPr>
                <w:ilvl w:val="0"/>
                <w:numId w:val="78"/>
              </w:numPr>
              <w:spacing w:line="280" w:lineRule="exact"/>
              <w:rPr>
                <w:rFonts w:ascii="宋体" w:hAnsi="宋体"/>
                <w:szCs w:val="21"/>
              </w:rPr>
            </w:pPr>
            <w:r>
              <w:rPr>
                <w:rFonts w:hint="eastAsia" w:ascii="宋体" w:hAnsi="宋体"/>
                <w:szCs w:val="21"/>
              </w:rPr>
              <w:t>用干抹布抹净</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每天一次</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r>
              <w:rPr>
                <w:rFonts w:hint="eastAsia" w:ascii="宋体" w:hAnsi="宋体"/>
                <w:szCs w:val="21"/>
              </w:rPr>
              <w:t>勿忽略踢脚板的卫生，不可将墙壁擦花</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抹布（百洁布）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2"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立式烟缸</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干净，无烟头、烟灰、痰迹、垃圾</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numPr>
                <w:ilvl w:val="0"/>
                <w:numId w:val="79"/>
              </w:numPr>
              <w:spacing w:line="280" w:lineRule="exact"/>
              <w:rPr>
                <w:rFonts w:ascii="宋体" w:hAnsi="宋体"/>
                <w:szCs w:val="21"/>
              </w:rPr>
            </w:pPr>
            <w:r>
              <w:rPr>
                <w:rFonts w:hint="eastAsia" w:ascii="宋体" w:hAnsi="宋体"/>
                <w:szCs w:val="21"/>
              </w:rPr>
              <w:t>将烟灰桶内的杂物、砂子表面的烟头倒净</w:t>
            </w:r>
          </w:p>
          <w:p>
            <w:pPr>
              <w:numPr>
                <w:ilvl w:val="0"/>
                <w:numId w:val="79"/>
              </w:numPr>
              <w:spacing w:line="280" w:lineRule="exact"/>
              <w:rPr>
                <w:rFonts w:ascii="宋体" w:hAnsi="宋体"/>
                <w:szCs w:val="21"/>
              </w:rPr>
            </w:pPr>
            <w:r>
              <w:rPr>
                <w:rFonts w:hint="eastAsia" w:ascii="宋体" w:hAnsi="宋体"/>
                <w:szCs w:val="21"/>
              </w:rPr>
              <w:t>将烟缸盖上的痰迹擦净，表面外壳擦干净</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每天一次</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r>
              <w:rPr>
                <w:rFonts w:hint="eastAsia" w:ascii="宋体" w:hAnsi="宋体"/>
                <w:szCs w:val="21"/>
              </w:rPr>
              <w:t>定期清洗，更换砂子</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抹布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7"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电子触摸屏</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无灰尘、污迹，完好</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用拧干水分的干净抹布擦拭至洁净</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每天一次</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不可沾水</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抹布（百洁布）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6"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大厅所有玻璃面</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无灰尘、污迹，洁净明亮</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numPr>
                <w:ilvl w:val="0"/>
                <w:numId w:val="80"/>
              </w:numPr>
              <w:spacing w:line="280" w:lineRule="exact"/>
              <w:rPr>
                <w:rFonts w:ascii="宋体" w:hAnsi="宋体"/>
                <w:szCs w:val="21"/>
              </w:rPr>
            </w:pPr>
            <w:r>
              <w:rPr>
                <w:rFonts w:hint="eastAsia" w:ascii="宋体" w:hAnsi="宋体"/>
                <w:szCs w:val="21"/>
              </w:rPr>
              <w:t>用干净抹布蘸清洁剂擦拭</w:t>
            </w:r>
          </w:p>
          <w:p>
            <w:pPr>
              <w:numPr>
                <w:ilvl w:val="0"/>
                <w:numId w:val="80"/>
              </w:numPr>
              <w:spacing w:line="280" w:lineRule="exact"/>
              <w:rPr>
                <w:rFonts w:ascii="宋体" w:hAnsi="宋体"/>
                <w:szCs w:val="21"/>
              </w:rPr>
            </w:pPr>
            <w:r>
              <w:rPr>
                <w:rFonts w:hint="eastAsia" w:ascii="宋体" w:hAnsi="宋体"/>
                <w:szCs w:val="21"/>
              </w:rPr>
              <w:t>用干抹布擦拭至洁净明亮</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每天一次</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污水不可滴漏</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10" w:firstLineChars="100"/>
              <w:rPr>
                <w:rFonts w:ascii="宋体" w:hAnsi="宋体"/>
                <w:szCs w:val="21"/>
              </w:rPr>
            </w:pPr>
            <w:r>
              <w:rPr>
                <w:rFonts w:hint="eastAsia" w:ascii="宋体" w:hAnsi="宋体"/>
                <w:szCs w:val="21"/>
              </w:rPr>
              <w:t>抹布、清洁剂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3"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空调</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无冷凝水，清洁无灰尘</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numPr>
                <w:ilvl w:val="0"/>
                <w:numId w:val="81"/>
              </w:numPr>
              <w:spacing w:line="260" w:lineRule="exact"/>
              <w:rPr>
                <w:rFonts w:ascii="宋体" w:hAnsi="宋体"/>
                <w:szCs w:val="21"/>
              </w:rPr>
            </w:pPr>
            <w:r>
              <w:rPr>
                <w:rFonts w:hint="eastAsia" w:ascii="宋体" w:hAnsi="宋体"/>
                <w:szCs w:val="21"/>
              </w:rPr>
              <w:t>用干抹布抹净空调表面及风叶扇</w:t>
            </w:r>
          </w:p>
          <w:p>
            <w:pPr>
              <w:numPr>
                <w:ilvl w:val="0"/>
                <w:numId w:val="81"/>
              </w:numPr>
              <w:spacing w:line="260" w:lineRule="exact"/>
              <w:rPr>
                <w:rFonts w:ascii="宋体" w:hAnsi="宋体"/>
                <w:szCs w:val="21"/>
              </w:rPr>
            </w:pPr>
            <w:r>
              <w:rPr>
                <w:rFonts w:hint="eastAsia" w:ascii="宋体" w:hAnsi="宋体"/>
                <w:szCs w:val="21"/>
              </w:rPr>
              <w:t>清洗过滤网</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每两周一次</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rPr>
            </w:pPr>
            <w:r>
              <w:rPr>
                <w:rFonts w:hint="eastAsia" w:ascii="宋体" w:hAnsi="宋体"/>
              </w:rPr>
              <w:t>1.应站在梯子或稳定性较好的支撑物上</w:t>
            </w:r>
          </w:p>
          <w:p>
            <w:pPr>
              <w:spacing w:line="260" w:lineRule="exact"/>
              <w:ind w:firstLine="210" w:firstLineChars="100"/>
              <w:rPr>
                <w:rFonts w:ascii="宋体" w:hAnsi="宋体"/>
              </w:rPr>
            </w:pPr>
            <w:r>
              <w:rPr>
                <w:rFonts w:hint="eastAsia" w:ascii="宋体" w:hAnsi="宋体"/>
              </w:rPr>
              <w:t>2.擦拭前拔下空调插头</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梯子、干净抹布</w:t>
            </w:r>
          </w:p>
        </w:tc>
      </w:tr>
    </w:tbl>
    <w:p>
      <w:pPr>
        <w:spacing w:before="120" w:beforeLines="50" w:line="360" w:lineRule="auto"/>
        <w:ind w:firstLine="161" w:firstLineChars="67"/>
        <w:rPr>
          <w:rFonts w:ascii="宋体" w:hAnsi="宋体"/>
          <w:b/>
          <w:sz w:val="24"/>
        </w:rPr>
      </w:pPr>
      <w:r>
        <w:rPr>
          <w:rFonts w:hint="eastAsia" w:ascii="宋体" w:hAnsi="宋体"/>
          <w:b/>
          <w:sz w:val="24"/>
        </w:rPr>
        <w:t>（3）公共洗手间日常保洁项目要求</w:t>
      </w:r>
    </w:p>
    <w:tbl>
      <w:tblPr>
        <w:tblStyle w:val="7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766"/>
        <w:gridCol w:w="2434"/>
        <w:gridCol w:w="1650"/>
        <w:gridCol w:w="1631"/>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282" w:type="dxa"/>
            <w:noWrap w:val="0"/>
            <w:vAlign w:val="center"/>
          </w:tcPr>
          <w:p>
            <w:pPr>
              <w:jc w:val="center"/>
              <w:rPr>
                <w:rFonts w:ascii="宋体" w:hAnsi="宋体"/>
                <w:b/>
                <w:szCs w:val="21"/>
              </w:rPr>
            </w:pPr>
            <w:r>
              <w:rPr>
                <w:rFonts w:hint="eastAsia" w:ascii="宋体" w:hAnsi="宋体"/>
                <w:b/>
                <w:szCs w:val="21"/>
              </w:rPr>
              <w:t>项目</w:t>
            </w:r>
          </w:p>
        </w:tc>
        <w:tc>
          <w:tcPr>
            <w:tcW w:w="1766" w:type="dxa"/>
            <w:noWrap w:val="0"/>
            <w:vAlign w:val="center"/>
          </w:tcPr>
          <w:p>
            <w:pPr>
              <w:jc w:val="center"/>
              <w:rPr>
                <w:rFonts w:ascii="宋体" w:hAnsi="宋体"/>
                <w:b/>
                <w:szCs w:val="21"/>
              </w:rPr>
            </w:pPr>
            <w:r>
              <w:rPr>
                <w:rFonts w:hint="eastAsia" w:ascii="宋体" w:hAnsi="宋体"/>
                <w:b/>
                <w:szCs w:val="21"/>
              </w:rPr>
              <w:t>标准</w:t>
            </w:r>
          </w:p>
          <w:p>
            <w:pPr>
              <w:jc w:val="center"/>
              <w:rPr>
                <w:rFonts w:ascii="宋体" w:hAnsi="宋体"/>
                <w:b/>
                <w:szCs w:val="21"/>
              </w:rPr>
            </w:pPr>
            <w:r>
              <w:rPr>
                <w:rFonts w:hint="eastAsia" w:ascii="宋体" w:hAnsi="宋体"/>
                <w:b/>
                <w:szCs w:val="21"/>
              </w:rPr>
              <w:t>（质量要求）</w:t>
            </w:r>
          </w:p>
        </w:tc>
        <w:tc>
          <w:tcPr>
            <w:tcW w:w="2434" w:type="dxa"/>
            <w:noWrap w:val="0"/>
            <w:vAlign w:val="center"/>
          </w:tcPr>
          <w:p>
            <w:pPr>
              <w:jc w:val="center"/>
              <w:rPr>
                <w:rFonts w:ascii="宋体" w:hAnsi="宋体"/>
                <w:b/>
                <w:szCs w:val="21"/>
              </w:rPr>
            </w:pPr>
            <w:r>
              <w:rPr>
                <w:rFonts w:hint="eastAsia" w:ascii="宋体" w:hAnsi="宋体"/>
                <w:b/>
                <w:szCs w:val="21"/>
              </w:rPr>
              <w:t>程序</w:t>
            </w:r>
          </w:p>
        </w:tc>
        <w:tc>
          <w:tcPr>
            <w:tcW w:w="1650" w:type="dxa"/>
            <w:noWrap w:val="0"/>
            <w:vAlign w:val="center"/>
          </w:tcPr>
          <w:p>
            <w:pPr>
              <w:jc w:val="center"/>
              <w:rPr>
                <w:rFonts w:ascii="宋体" w:hAnsi="宋体"/>
                <w:b/>
                <w:szCs w:val="21"/>
              </w:rPr>
            </w:pPr>
            <w:r>
              <w:rPr>
                <w:rFonts w:hint="eastAsia" w:ascii="宋体" w:hAnsi="宋体"/>
                <w:b/>
                <w:szCs w:val="21"/>
              </w:rPr>
              <w:t>频次</w:t>
            </w:r>
          </w:p>
        </w:tc>
        <w:tc>
          <w:tcPr>
            <w:tcW w:w="1631" w:type="dxa"/>
            <w:noWrap w:val="0"/>
            <w:vAlign w:val="center"/>
          </w:tcPr>
          <w:p>
            <w:pPr>
              <w:jc w:val="center"/>
              <w:rPr>
                <w:rFonts w:ascii="宋体" w:hAnsi="宋体"/>
                <w:b/>
                <w:szCs w:val="21"/>
              </w:rPr>
            </w:pPr>
            <w:r>
              <w:rPr>
                <w:rFonts w:hint="eastAsia" w:ascii="宋体" w:hAnsi="宋体"/>
                <w:b/>
                <w:szCs w:val="21"/>
              </w:rPr>
              <w:t>注意事项</w:t>
            </w:r>
          </w:p>
        </w:tc>
        <w:tc>
          <w:tcPr>
            <w:tcW w:w="1334" w:type="dxa"/>
            <w:noWrap w:val="0"/>
            <w:vAlign w:val="center"/>
          </w:tcPr>
          <w:p>
            <w:pPr>
              <w:jc w:val="center"/>
              <w:rPr>
                <w:rFonts w:ascii="宋体" w:hAnsi="宋体"/>
                <w:b/>
                <w:szCs w:val="21"/>
              </w:rPr>
            </w:pPr>
            <w:r>
              <w:rPr>
                <w:rFonts w:hint="eastAsia" w:ascii="宋体" w:hAnsi="宋体"/>
                <w:b/>
                <w:szCs w:val="21"/>
              </w:rPr>
              <w:t>工具</w:t>
            </w:r>
          </w:p>
          <w:p>
            <w:pPr>
              <w:jc w:val="center"/>
              <w:rPr>
                <w:rFonts w:ascii="宋体" w:hAnsi="宋体"/>
                <w:b/>
                <w:szCs w:val="21"/>
              </w:rPr>
            </w:pPr>
            <w:r>
              <w:rPr>
                <w:rFonts w:hint="eastAsia" w:ascii="宋体" w:hAnsi="宋体"/>
                <w:b/>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282" w:type="dxa"/>
            <w:noWrap w:val="0"/>
            <w:vAlign w:val="center"/>
          </w:tcPr>
          <w:p>
            <w:pPr>
              <w:spacing w:line="260" w:lineRule="exact"/>
              <w:jc w:val="center"/>
              <w:rPr>
                <w:rFonts w:ascii="宋体" w:hAnsi="宋体"/>
                <w:szCs w:val="21"/>
              </w:rPr>
            </w:pPr>
            <w:r>
              <w:rPr>
                <w:rFonts w:hint="eastAsia" w:ascii="宋体" w:hAnsi="宋体"/>
                <w:szCs w:val="21"/>
              </w:rPr>
              <w:t>地面</w:t>
            </w:r>
          </w:p>
        </w:tc>
        <w:tc>
          <w:tcPr>
            <w:tcW w:w="1766" w:type="dxa"/>
            <w:noWrap w:val="0"/>
            <w:vAlign w:val="center"/>
          </w:tcPr>
          <w:p>
            <w:pPr>
              <w:spacing w:line="260" w:lineRule="exact"/>
              <w:jc w:val="center"/>
              <w:rPr>
                <w:rFonts w:ascii="宋体" w:hAnsi="宋体"/>
                <w:szCs w:val="21"/>
              </w:rPr>
            </w:pPr>
            <w:r>
              <w:rPr>
                <w:rFonts w:hint="eastAsia" w:ascii="宋体" w:hAnsi="宋体"/>
                <w:szCs w:val="21"/>
              </w:rPr>
              <w:t>无浮灰、水迹、杂物、鞋印及污迹</w:t>
            </w:r>
          </w:p>
        </w:tc>
        <w:tc>
          <w:tcPr>
            <w:tcW w:w="2434" w:type="dxa"/>
            <w:noWrap w:val="0"/>
            <w:vAlign w:val="center"/>
          </w:tcPr>
          <w:p>
            <w:pPr>
              <w:numPr>
                <w:ilvl w:val="0"/>
                <w:numId w:val="82"/>
              </w:numPr>
              <w:spacing w:line="260" w:lineRule="exact"/>
              <w:rPr>
                <w:rFonts w:ascii="宋体" w:hAnsi="宋体"/>
                <w:szCs w:val="21"/>
              </w:rPr>
            </w:pPr>
            <w:r>
              <w:rPr>
                <w:rFonts w:hint="eastAsia" w:ascii="宋体" w:hAnsi="宋体"/>
                <w:szCs w:val="21"/>
              </w:rPr>
              <w:t>将地面清扫干净</w:t>
            </w:r>
          </w:p>
          <w:p>
            <w:pPr>
              <w:numPr>
                <w:ilvl w:val="0"/>
                <w:numId w:val="82"/>
              </w:numPr>
              <w:spacing w:line="260" w:lineRule="exact"/>
              <w:rPr>
                <w:rFonts w:ascii="宋体" w:hAnsi="宋体"/>
                <w:szCs w:val="21"/>
              </w:rPr>
            </w:pPr>
            <w:r>
              <w:rPr>
                <w:rFonts w:hint="eastAsia" w:ascii="宋体" w:hAnsi="宋体"/>
                <w:szCs w:val="21"/>
              </w:rPr>
              <w:t>用拖把拖净地面</w:t>
            </w:r>
          </w:p>
          <w:p>
            <w:pPr>
              <w:numPr>
                <w:ilvl w:val="0"/>
                <w:numId w:val="82"/>
              </w:numPr>
              <w:spacing w:line="260" w:lineRule="exact"/>
              <w:rPr>
                <w:rFonts w:ascii="宋体" w:hAnsi="宋体"/>
                <w:szCs w:val="21"/>
              </w:rPr>
            </w:pPr>
            <w:r>
              <w:rPr>
                <w:rFonts w:hint="eastAsia" w:ascii="宋体" w:hAnsi="宋体"/>
                <w:szCs w:val="21"/>
              </w:rPr>
              <w:t>对污迹用毛刷蘸清洁剂刷洗</w:t>
            </w:r>
          </w:p>
          <w:p>
            <w:pPr>
              <w:numPr>
                <w:ilvl w:val="0"/>
                <w:numId w:val="82"/>
              </w:numPr>
              <w:spacing w:line="260" w:lineRule="exact"/>
              <w:rPr>
                <w:rFonts w:ascii="宋体" w:hAnsi="宋体"/>
                <w:szCs w:val="21"/>
              </w:rPr>
            </w:pPr>
            <w:r>
              <w:rPr>
                <w:rFonts w:hint="eastAsia" w:ascii="宋体" w:hAnsi="宋体"/>
                <w:szCs w:val="21"/>
              </w:rPr>
              <w:t>用干拖把拖净地面</w:t>
            </w:r>
          </w:p>
        </w:tc>
        <w:tc>
          <w:tcPr>
            <w:tcW w:w="1650" w:type="dxa"/>
            <w:noWrap w:val="0"/>
            <w:vAlign w:val="center"/>
          </w:tcPr>
          <w:p>
            <w:pPr>
              <w:numPr>
                <w:ilvl w:val="0"/>
                <w:numId w:val="83"/>
              </w:numPr>
              <w:spacing w:line="260" w:lineRule="exact"/>
              <w:rPr>
                <w:rFonts w:ascii="宋体" w:hAnsi="宋体"/>
                <w:szCs w:val="21"/>
              </w:rPr>
            </w:pPr>
            <w:r>
              <w:rPr>
                <w:rFonts w:hint="eastAsia" w:ascii="宋体" w:hAnsi="宋体"/>
                <w:szCs w:val="21"/>
              </w:rPr>
              <w:t>每半小时一次</w:t>
            </w:r>
          </w:p>
          <w:p>
            <w:pPr>
              <w:numPr>
                <w:ilvl w:val="0"/>
                <w:numId w:val="83"/>
              </w:numPr>
              <w:spacing w:line="260" w:lineRule="exact"/>
              <w:rPr>
                <w:rFonts w:ascii="宋体" w:hAnsi="宋体"/>
                <w:szCs w:val="21"/>
              </w:rPr>
            </w:pPr>
            <w:r>
              <w:rPr>
                <w:rFonts w:hint="eastAsia" w:ascii="宋体" w:hAnsi="宋体"/>
                <w:szCs w:val="21"/>
              </w:rPr>
              <w:t>随脏随拖</w:t>
            </w:r>
          </w:p>
        </w:tc>
        <w:tc>
          <w:tcPr>
            <w:tcW w:w="1631" w:type="dxa"/>
            <w:noWrap w:val="0"/>
            <w:vAlign w:val="center"/>
          </w:tcPr>
          <w:p>
            <w:pPr>
              <w:spacing w:line="260" w:lineRule="exact"/>
              <w:ind w:firstLine="210" w:firstLineChars="100"/>
              <w:rPr>
                <w:rFonts w:ascii="宋体" w:hAnsi="宋体"/>
                <w:szCs w:val="21"/>
              </w:rPr>
            </w:pPr>
            <w:r>
              <w:rPr>
                <w:rFonts w:hint="eastAsia" w:ascii="宋体" w:hAnsi="宋体"/>
                <w:szCs w:val="21"/>
              </w:rPr>
              <w:t>1.注意使用“正在清洁”等提示牌</w:t>
            </w:r>
          </w:p>
          <w:p>
            <w:pPr>
              <w:spacing w:line="260" w:lineRule="exact"/>
              <w:ind w:firstLine="210" w:firstLineChars="100"/>
              <w:rPr>
                <w:rFonts w:ascii="宋体" w:hAnsi="宋体"/>
                <w:szCs w:val="21"/>
              </w:rPr>
            </w:pPr>
            <w:r>
              <w:rPr>
                <w:rFonts w:hint="eastAsia" w:ascii="宋体" w:hAnsi="宋体"/>
                <w:szCs w:val="21"/>
              </w:rPr>
              <w:t>2.注意马桶后及脸盆下的地面</w:t>
            </w:r>
          </w:p>
        </w:tc>
        <w:tc>
          <w:tcPr>
            <w:tcW w:w="1334" w:type="dxa"/>
            <w:noWrap w:val="0"/>
            <w:vAlign w:val="center"/>
          </w:tcPr>
          <w:p>
            <w:pPr>
              <w:spacing w:line="260" w:lineRule="exact"/>
              <w:ind w:firstLine="210" w:firstLineChars="100"/>
              <w:rPr>
                <w:rFonts w:ascii="宋体" w:hAnsi="宋体"/>
                <w:szCs w:val="21"/>
              </w:rPr>
            </w:pPr>
            <w:r>
              <w:rPr>
                <w:rFonts w:hint="eastAsia" w:ascii="宋体" w:hAnsi="宋体"/>
                <w:szCs w:val="21"/>
              </w:rPr>
              <w:t>清洁剂、毛刷、拖把、防滑牌、提示牌、抹布（百洁布）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282" w:type="dxa"/>
            <w:noWrap w:val="0"/>
            <w:vAlign w:val="center"/>
          </w:tcPr>
          <w:p>
            <w:pPr>
              <w:spacing w:line="260" w:lineRule="exact"/>
              <w:jc w:val="center"/>
              <w:rPr>
                <w:rFonts w:ascii="宋体" w:hAnsi="宋体"/>
                <w:szCs w:val="21"/>
              </w:rPr>
            </w:pPr>
            <w:r>
              <w:rPr>
                <w:rFonts w:hint="eastAsia" w:ascii="宋体" w:hAnsi="宋体"/>
                <w:szCs w:val="21"/>
              </w:rPr>
              <w:t>墙壁瓷砖</w:t>
            </w:r>
          </w:p>
        </w:tc>
        <w:tc>
          <w:tcPr>
            <w:tcW w:w="1766" w:type="dxa"/>
            <w:noWrap w:val="0"/>
            <w:vAlign w:val="center"/>
          </w:tcPr>
          <w:p>
            <w:pPr>
              <w:spacing w:line="260" w:lineRule="exact"/>
              <w:jc w:val="center"/>
              <w:rPr>
                <w:rFonts w:ascii="宋体" w:hAnsi="宋体"/>
                <w:szCs w:val="21"/>
              </w:rPr>
            </w:pPr>
            <w:r>
              <w:rPr>
                <w:rFonts w:hint="eastAsia" w:ascii="宋体" w:hAnsi="宋体"/>
                <w:szCs w:val="21"/>
              </w:rPr>
              <w:t>无灰尘、水迹、皂迹，瓷砖缝隙处洁白，无脱落</w:t>
            </w:r>
          </w:p>
        </w:tc>
        <w:tc>
          <w:tcPr>
            <w:tcW w:w="2434" w:type="dxa"/>
            <w:noWrap w:val="0"/>
            <w:vAlign w:val="center"/>
          </w:tcPr>
          <w:p>
            <w:pPr>
              <w:numPr>
                <w:ilvl w:val="0"/>
                <w:numId w:val="84"/>
              </w:numPr>
              <w:spacing w:line="260" w:lineRule="exact"/>
              <w:rPr>
                <w:rFonts w:ascii="宋体" w:hAnsi="宋体"/>
                <w:szCs w:val="21"/>
              </w:rPr>
            </w:pPr>
            <w:r>
              <w:rPr>
                <w:rFonts w:hint="eastAsia" w:ascii="宋体" w:hAnsi="宋体"/>
                <w:szCs w:val="21"/>
              </w:rPr>
              <w:t>用蘸有清洁剂的抹布由上至下擦拭干净</w:t>
            </w:r>
          </w:p>
          <w:p>
            <w:pPr>
              <w:numPr>
                <w:ilvl w:val="0"/>
                <w:numId w:val="84"/>
              </w:numPr>
              <w:spacing w:line="260" w:lineRule="exact"/>
              <w:rPr>
                <w:rFonts w:ascii="宋体" w:hAnsi="宋体"/>
                <w:szCs w:val="21"/>
              </w:rPr>
            </w:pPr>
            <w:r>
              <w:rPr>
                <w:rFonts w:hint="eastAsia" w:ascii="宋体" w:hAnsi="宋体"/>
                <w:szCs w:val="21"/>
              </w:rPr>
              <w:t>用抹布擦净</w:t>
            </w:r>
          </w:p>
        </w:tc>
        <w:tc>
          <w:tcPr>
            <w:tcW w:w="1650" w:type="dxa"/>
            <w:noWrap w:val="0"/>
            <w:vAlign w:val="center"/>
          </w:tcPr>
          <w:p>
            <w:pPr>
              <w:spacing w:line="260" w:lineRule="exact"/>
              <w:jc w:val="center"/>
              <w:rPr>
                <w:rFonts w:ascii="宋体" w:hAnsi="宋体"/>
                <w:szCs w:val="21"/>
              </w:rPr>
            </w:pPr>
            <w:r>
              <w:rPr>
                <w:rFonts w:hint="eastAsia" w:ascii="宋体" w:hAnsi="宋体"/>
                <w:szCs w:val="21"/>
              </w:rPr>
              <w:t>每天上午一次</w:t>
            </w:r>
          </w:p>
        </w:tc>
        <w:tc>
          <w:tcPr>
            <w:tcW w:w="1631" w:type="dxa"/>
            <w:noWrap w:val="0"/>
            <w:vAlign w:val="center"/>
          </w:tcPr>
          <w:p>
            <w:pPr>
              <w:spacing w:line="260" w:lineRule="exact"/>
              <w:ind w:firstLine="210" w:firstLineChars="100"/>
              <w:rPr>
                <w:rFonts w:ascii="宋体" w:hAnsi="宋体"/>
                <w:szCs w:val="21"/>
              </w:rPr>
            </w:pPr>
            <w:r>
              <w:rPr>
                <w:rFonts w:hint="eastAsia" w:ascii="宋体" w:hAnsi="宋体"/>
                <w:szCs w:val="21"/>
              </w:rPr>
              <w:t>先用牙刷蘸清洁剂，先刷洗缝隙，再按程序操作</w:t>
            </w:r>
          </w:p>
        </w:tc>
        <w:tc>
          <w:tcPr>
            <w:tcW w:w="1334" w:type="dxa"/>
            <w:noWrap w:val="0"/>
            <w:vAlign w:val="center"/>
          </w:tcPr>
          <w:p>
            <w:pPr>
              <w:spacing w:line="260" w:lineRule="exact"/>
              <w:ind w:firstLine="210" w:firstLineChars="100"/>
              <w:rPr>
                <w:rFonts w:ascii="宋体" w:hAnsi="宋体"/>
                <w:szCs w:val="21"/>
              </w:rPr>
            </w:pPr>
            <w:r>
              <w:rPr>
                <w:rFonts w:hint="eastAsia" w:ascii="宋体" w:hAnsi="宋体"/>
                <w:szCs w:val="21"/>
              </w:rPr>
              <w:t>清洁剂、毛刷（牙刷）、抹布（百洁布）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282" w:type="dxa"/>
            <w:noWrap w:val="0"/>
            <w:vAlign w:val="center"/>
          </w:tcPr>
          <w:p>
            <w:pPr>
              <w:spacing w:line="260" w:lineRule="exact"/>
              <w:jc w:val="center"/>
              <w:rPr>
                <w:rFonts w:ascii="宋体" w:hAnsi="宋体"/>
                <w:szCs w:val="21"/>
              </w:rPr>
            </w:pPr>
            <w:r>
              <w:rPr>
                <w:rFonts w:hint="eastAsia" w:ascii="宋体" w:hAnsi="宋体"/>
                <w:szCs w:val="21"/>
              </w:rPr>
              <w:t>洗手盆及台面</w:t>
            </w:r>
          </w:p>
        </w:tc>
        <w:tc>
          <w:tcPr>
            <w:tcW w:w="1766" w:type="dxa"/>
            <w:noWrap w:val="0"/>
            <w:vAlign w:val="center"/>
          </w:tcPr>
          <w:p>
            <w:pPr>
              <w:spacing w:line="260" w:lineRule="exact"/>
              <w:jc w:val="center"/>
              <w:rPr>
                <w:rFonts w:ascii="宋体" w:hAnsi="宋体"/>
                <w:szCs w:val="21"/>
              </w:rPr>
            </w:pPr>
            <w:r>
              <w:rPr>
                <w:rFonts w:hint="eastAsia" w:ascii="宋体" w:hAnsi="宋体"/>
                <w:szCs w:val="21"/>
              </w:rPr>
              <w:t>无水迹、黄迹，洁净、光亮、畅通</w:t>
            </w:r>
          </w:p>
        </w:tc>
        <w:tc>
          <w:tcPr>
            <w:tcW w:w="2434" w:type="dxa"/>
            <w:noWrap w:val="0"/>
            <w:vAlign w:val="center"/>
          </w:tcPr>
          <w:p>
            <w:pPr>
              <w:numPr>
                <w:ilvl w:val="0"/>
                <w:numId w:val="85"/>
              </w:numPr>
              <w:spacing w:line="260" w:lineRule="exact"/>
              <w:rPr>
                <w:rFonts w:ascii="宋体" w:hAnsi="宋体"/>
                <w:szCs w:val="21"/>
              </w:rPr>
            </w:pPr>
            <w:r>
              <w:rPr>
                <w:rFonts w:hint="eastAsia" w:ascii="宋体" w:hAnsi="宋体"/>
                <w:szCs w:val="21"/>
              </w:rPr>
              <w:t>用蘸有清洁剂的抹布擦拭脸盆、台面</w:t>
            </w:r>
          </w:p>
          <w:p>
            <w:pPr>
              <w:numPr>
                <w:ilvl w:val="0"/>
                <w:numId w:val="85"/>
              </w:numPr>
              <w:spacing w:line="260" w:lineRule="exact"/>
              <w:rPr>
                <w:rFonts w:ascii="宋体" w:hAnsi="宋体"/>
                <w:szCs w:val="21"/>
              </w:rPr>
            </w:pPr>
            <w:r>
              <w:rPr>
                <w:rFonts w:hint="eastAsia" w:ascii="宋体" w:hAnsi="宋体"/>
                <w:szCs w:val="21"/>
              </w:rPr>
              <w:t>用抹布擦干净</w:t>
            </w:r>
          </w:p>
        </w:tc>
        <w:tc>
          <w:tcPr>
            <w:tcW w:w="1650" w:type="dxa"/>
            <w:noWrap w:val="0"/>
            <w:vAlign w:val="center"/>
          </w:tcPr>
          <w:p>
            <w:pPr>
              <w:spacing w:line="260" w:lineRule="exact"/>
              <w:jc w:val="center"/>
              <w:rPr>
                <w:rFonts w:ascii="宋体" w:hAnsi="宋体"/>
                <w:szCs w:val="21"/>
              </w:rPr>
            </w:pPr>
            <w:r>
              <w:rPr>
                <w:rFonts w:hint="eastAsia" w:ascii="宋体" w:hAnsi="宋体"/>
                <w:szCs w:val="21"/>
              </w:rPr>
              <w:t>每半小时一次</w:t>
            </w:r>
          </w:p>
        </w:tc>
        <w:tc>
          <w:tcPr>
            <w:tcW w:w="1631" w:type="dxa"/>
            <w:noWrap w:val="0"/>
            <w:vAlign w:val="center"/>
          </w:tcPr>
          <w:p>
            <w:pPr>
              <w:spacing w:line="260" w:lineRule="exact"/>
              <w:ind w:firstLine="210" w:firstLineChars="100"/>
              <w:rPr>
                <w:rFonts w:ascii="宋体" w:hAnsi="宋体"/>
                <w:szCs w:val="21"/>
              </w:rPr>
            </w:pPr>
            <w:r>
              <w:rPr>
                <w:rFonts w:hint="eastAsia" w:ascii="宋体" w:hAnsi="宋体"/>
                <w:szCs w:val="21"/>
              </w:rPr>
              <w:t>不可遗漏台面下的弯头</w:t>
            </w:r>
          </w:p>
        </w:tc>
        <w:tc>
          <w:tcPr>
            <w:tcW w:w="1334" w:type="dxa"/>
            <w:noWrap w:val="0"/>
            <w:vAlign w:val="center"/>
          </w:tcPr>
          <w:p>
            <w:pPr>
              <w:spacing w:line="260" w:lineRule="exact"/>
              <w:ind w:firstLine="210" w:firstLineChars="100"/>
              <w:rPr>
                <w:rFonts w:ascii="宋体" w:hAnsi="宋体"/>
                <w:szCs w:val="21"/>
              </w:rPr>
            </w:pPr>
            <w:r>
              <w:rPr>
                <w:rFonts w:hint="eastAsia" w:ascii="宋体" w:hAnsi="宋体"/>
                <w:szCs w:val="21"/>
              </w:rPr>
              <w:t>清洁剂、抹布（百洁布）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282" w:type="dxa"/>
            <w:noWrap w:val="0"/>
            <w:vAlign w:val="center"/>
          </w:tcPr>
          <w:p>
            <w:pPr>
              <w:spacing w:line="260" w:lineRule="exact"/>
              <w:jc w:val="center"/>
              <w:rPr>
                <w:rFonts w:ascii="宋体" w:hAnsi="宋体"/>
                <w:szCs w:val="21"/>
              </w:rPr>
            </w:pPr>
            <w:r>
              <w:rPr>
                <w:rFonts w:hint="eastAsia" w:ascii="宋体" w:hAnsi="宋体"/>
                <w:szCs w:val="21"/>
              </w:rPr>
              <w:t>镜面、镜框、镜灯</w:t>
            </w:r>
          </w:p>
        </w:tc>
        <w:tc>
          <w:tcPr>
            <w:tcW w:w="1766" w:type="dxa"/>
            <w:noWrap w:val="0"/>
            <w:vAlign w:val="center"/>
          </w:tcPr>
          <w:p>
            <w:pPr>
              <w:spacing w:line="260" w:lineRule="exact"/>
              <w:jc w:val="center"/>
              <w:rPr>
                <w:rFonts w:ascii="宋体" w:hAnsi="宋体"/>
                <w:szCs w:val="21"/>
              </w:rPr>
            </w:pPr>
            <w:r>
              <w:rPr>
                <w:rFonts w:hint="eastAsia" w:ascii="宋体" w:hAnsi="宋体"/>
                <w:szCs w:val="21"/>
              </w:rPr>
              <w:t>无灰尘、水迹、锈迹，镜面上无顽垢</w:t>
            </w:r>
          </w:p>
        </w:tc>
        <w:tc>
          <w:tcPr>
            <w:tcW w:w="2434" w:type="dxa"/>
            <w:noWrap w:val="0"/>
            <w:vAlign w:val="center"/>
          </w:tcPr>
          <w:p>
            <w:pPr>
              <w:numPr>
                <w:ilvl w:val="0"/>
                <w:numId w:val="86"/>
              </w:numPr>
              <w:spacing w:line="260" w:lineRule="exact"/>
              <w:rPr>
                <w:rFonts w:ascii="宋体" w:hAnsi="宋体"/>
                <w:szCs w:val="21"/>
              </w:rPr>
            </w:pPr>
            <w:r>
              <w:rPr>
                <w:rFonts w:hint="eastAsia" w:ascii="宋体" w:hAnsi="宋体"/>
                <w:szCs w:val="21"/>
              </w:rPr>
              <w:t>用玻璃刮刮净镜面上的水迹</w:t>
            </w:r>
          </w:p>
          <w:p>
            <w:pPr>
              <w:numPr>
                <w:ilvl w:val="0"/>
                <w:numId w:val="86"/>
              </w:numPr>
              <w:spacing w:line="260" w:lineRule="exact"/>
              <w:rPr>
                <w:rFonts w:ascii="宋体" w:hAnsi="宋体"/>
                <w:szCs w:val="21"/>
              </w:rPr>
            </w:pPr>
            <w:r>
              <w:rPr>
                <w:rFonts w:hint="eastAsia" w:ascii="宋体" w:hAnsi="宋体"/>
                <w:szCs w:val="21"/>
              </w:rPr>
              <w:t>用抹布蘸矿物油擦拭镜框</w:t>
            </w:r>
          </w:p>
          <w:p>
            <w:pPr>
              <w:numPr>
                <w:ilvl w:val="0"/>
                <w:numId w:val="86"/>
              </w:numPr>
              <w:spacing w:line="260" w:lineRule="exact"/>
              <w:rPr>
                <w:rFonts w:ascii="宋体" w:hAnsi="宋体"/>
                <w:szCs w:val="21"/>
              </w:rPr>
            </w:pPr>
            <w:r>
              <w:rPr>
                <w:rFonts w:hint="eastAsia" w:ascii="宋体" w:hAnsi="宋体"/>
                <w:szCs w:val="21"/>
              </w:rPr>
              <w:t>用清洁剂清除污迹</w:t>
            </w:r>
          </w:p>
          <w:p>
            <w:pPr>
              <w:numPr>
                <w:ilvl w:val="0"/>
                <w:numId w:val="86"/>
              </w:numPr>
              <w:spacing w:line="260" w:lineRule="exact"/>
              <w:rPr>
                <w:rFonts w:ascii="宋体" w:hAnsi="宋体"/>
                <w:szCs w:val="21"/>
              </w:rPr>
            </w:pPr>
            <w:r>
              <w:rPr>
                <w:rFonts w:hint="eastAsia" w:ascii="宋体" w:hAnsi="宋体"/>
                <w:szCs w:val="21"/>
              </w:rPr>
              <w:t>用干净抹布抹净镜灯架</w:t>
            </w:r>
          </w:p>
        </w:tc>
        <w:tc>
          <w:tcPr>
            <w:tcW w:w="1650" w:type="dxa"/>
            <w:noWrap w:val="0"/>
            <w:vAlign w:val="center"/>
          </w:tcPr>
          <w:p>
            <w:pPr>
              <w:spacing w:line="260" w:lineRule="exact"/>
              <w:jc w:val="center"/>
              <w:rPr>
                <w:rFonts w:ascii="宋体" w:hAnsi="宋体"/>
                <w:szCs w:val="21"/>
              </w:rPr>
            </w:pPr>
            <w:r>
              <w:rPr>
                <w:rFonts w:hint="eastAsia" w:ascii="宋体" w:hAnsi="宋体"/>
                <w:szCs w:val="21"/>
              </w:rPr>
              <w:t>每天上午一次</w:t>
            </w:r>
          </w:p>
        </w:tc>
        <w:tc>
          <w:tcPr>
            <w:tcW w:w="1631" w:type="dxa"/>
            <w:noWrap w:val="0"/>
            <w:vAlign w:val="center"/>
          </w:tcPr>
          <w:p>
            <w:pPr>
              <w:spacing w:line="260" w:lineRule="exact"/>
              <w:ind w:firstLine="210" w:firstLineChars="100"/>
              <w:rPr>
                <w:rFonts w:ascii="宋体" w:hAnsi="宋体"/>
                <w:szCs w:val="21"/>
              </w:rPr>
            </w:pPr>
            <w:r>
              <w:rPr>
                <w:rFonts w:hint="eastAsia" w:ascii="宋体" w:hAnsi="宋体"/>
                <w:szCs w:val="21"/>
              </w:rPr>
              <w:t>玻璃不能擦花</w:t>
            </w:r>
          </w:p>
        </w:tc>
        <w:tc>
          <w:tcPr>
            <w:tcW w:w="1334" w:type="dxa"/>
            <w:noWrap w:val="0"/>
            <w:vAlign w:val="center"/>
          </w:tcPr>
          <w:p>
            <w:pPr>
              <w:spacing w:line="260" w:lineRule="exact"/>
              <w:ind w:firstLine="210" w:firstLineChars="100"/>
              <w:rPr>
                <w:rFonts w:ascii="宋体" w:hAnsi="宋体"/>
                <w:szCs w:val="21"/>
              </w:rPr>
            </w:pPr>
            <w:r>
              <w:rPr>
                <w:rFonts w:hint="eastAsia" w:ascii="宋体" w:hAnsi="宋体"/>
                <w:szCs w:val="21"/>
              </w:rPr>
              <w:t>玻璃刮、抹布（百洁布）、矿物油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282" w:type="dxa"/>
            <w:noWrap w:val="0"/>
            <w:vAlign w:val="center"/>
          </w:tcPr>
          <w:p>
            <w:pPr>
              <w:spacing w:line="260" w:lineRule="exact"/>
              <w:ind w:firstLine="210" w:firstLineChars="100"/>
              <w:rPr>
                <w:rFonts w:ascii="宋体" w:hAnsi="宋体"/>
                <w:szCs w:val="21"/>
              </w:rPr>
            </w:pPr>
            <w:r>
              <w:rPr>
                <w:rFonts w:hint="eastAsia" w:ascii="宋体" w:hAnsi="宋体"/>
                <w:szCs w:val="21"/>
              </w:rPr>
              <w:t>龙头、挂钩、下水弯头、开关、扶手等</w:t>
            </w:r>
          </w:p>
        </w:tc>
        <w:tc>
          <w:tcPr>
            <w:tcW w:w="1766" w:type="dxa"/>
            <w:noWrap w:val="0"/>
            <w:vAlign w:val="center"/>
          </w:tcPr>
          <w:p>
            <w:pPr>
              <w:spacing w:line="260" w:lineRule="exact"/>
              <w:jc w:val="center"/>
              <w:rPr>
                <w:rFonts w:ascii="宋体" w:hAnsi="宋体"/>
                <w:szCs w:val="21"/>
              </w:rPr>
            </w:pPr>
            <w:r>
              <w:rPr>
                <w:rFonts w:hint="eastAsia" w:ascii="宋体" w:hAnsi="宋体"/>
                <w:szCs w:val="21"/>
              </w:rPr>
              <w:t>光亮、无斑迹</w:t>
            </w:r>
          </w:p>
        </w:tc>
        <w:tc>
          <w:tcPr>
            <w:tcW w:w="2434" w:type="dxa"/>
            <w:noWrap w:val="0"/>
            <w:vAlign w:val="center"/>
          </w:tcPr>
          <w:p>
            <w:pPr>
              <w:numPr>
                <w:ilvl w:val="0"/>
                <w:numId w:val="87"/>
              </w:numPr>
              <w:spacing w:line="260" w:lineRule="exact"/>
              <w:rPr>
                <w:rFonts w:ascii="宋体" w:hAnsi="宋体"/>
                <w:szCs w:val="21"/>
              </w:rPr>
            </w:pPr>
            <w:r>
              <w:rPr>
                <w:rFonts w:hint="eastAsia" w:ascii="宋体" w:hAnsi="宋体"/>
                <w:szCs w:val="21"/>
              </w:rPr>
              <w:t>用抹布抹浮灰</w:t>
            </w:r>
          </w:p>
          <w:p>
            <w:pPr>
              <w:numPr>
                <w:ilvl w:val="0"/>
                <w:numId w:val="87"/>
              </w:numPr>
              <w:spacing w:line="260" w:lineRule="exact"/>
              <w:rPr>
                <w:rFonts w:ascii="宋体" w:hAnsi="宋体"/>
                <w:szCs w:val="21"/>
              </w:rPr>
            </w:pPr>
            <w:r>
              <w:rPr>
                <w:rFonts w:hint="eastAsia" w:ascii="宋体" w:hAnsi="宋体"/>
                <w:szCs w:val="21"/>
              </w:rPr>
              <w:t>用抹布蘸清洁剂擦拭金属器</w:t>
            </w:r>
          </w:p>
          <w:p>
            <w:pPr>
              <w:numPr>
                <w:ilvl w:val="0"/>
                <w:numId w:val="87"/>
              </w:numPr>
              <w:spacing w:line="260" w:lineRule="exact"/>
              <w:rPr>
                <w:rFonts w:ascii="宋体" w:hAnsi="宋体"/>
                <w:szCs w:val="21"/>
              </w:rPr>
            </w:pPr>
            <w:r>
              <w:rPr>
                <w:rFonts w:hint="eastAsia" w:ascii="宋体" w:hAnsi="宋体"/>
                <w:szCs w:val="21"/>
              </w:rPr>
              <w:t>用抹布擦净</w:t>
            </w:r>
          </w:p>
        </w:tc>
        <w:tc>
          <w:tcPr>
            <w:tcW w:w="1650" w:type="dxa"/>
            <w:noWrap w:val="0"/>
            <w:vAlign w:val="center"/>
          </w:tcPr>
          <w:p>
            <w:pPr>
              <w:spacing w:line="260" w:lineRule="exact"/>
              <w:jc w:val="center"/>
              <w:rPr>
                <w:rFonts w:ascii="宋体" w:hAnsi="宋体"/>
                <w:szCs w:val="21"/>
              </w:rPr>
            </w:pPr>
            <w:r>
              <w:rPr>
                <w:rFonts w:hint="eastAsia" w:ascii="宋体" w:hAnsi="宋体"/>
                <w:szCs w:val="21"/>
              </w:rPr>
              <w:t>每2小时一次</w:t>
            </w:r>
          </w:p>
        </w:tc>
        <w:tc>
          <w:tcPr>
            <w:tcW w:w="1631" w:type="dxa"/>
            <w:noWrap w:val="0"/>
            <w:vAlign w:val="center"/>
          </w:tcPr>
          <w:p>
            <w:pPr>
              <w:spacing w:line="260" w:lineRule="exact"/>
              <w:ind w:firstLine="210" w:firstLineChars="100"/>
              <w:rPr>
                <w:rFonts w:ascii="宋体" w:hAnsi="宋体"/>
                <w:szCs w:val="21"/>
              </w:rPr>
            </w:pPr>
            <w:r>
              <w:rPr>
                <w:rFonts w:hint="eastAsia" w:ascii="宋体" w:hAnsi="宋体"/>
                <w:szCs w:val="21"/>
              </w:rPr>
              <w:t>抹布要分开使用</w:t>
            </w:r>
          </w:p>
        </w:tc>
        <w:tc>
          <w:tcPr>
            <w:tcW w:w="1334" w:type="dxa"/>
            <w:noWrap w:val="0"/>
            <w:vAlign w:val="center"/>
          </w:tcPr>
          <w:p>
            <w:pPr>
              <w:spacing w:line="260" w:lineRule="exact"/>
              <w:ind w:firstLine="210" w:firstLineChars="100"/>
              <w:rPr>
                <w:rFonts w:ascii="宋体" w:hAnsi="宋体"/>
                <w:szCs w:val="21"/>
              </w:rPr>
            </w:pPr>
            <w:r>
              <w:rPr>
                <w:rFonts w:hint="eastAsia" w:ascii="宋体" w:hAnsi="宋体"/>
                <w:szCs w:val="21"/>
              </w:rPr>
              <w:t>抹布、铬、不锈钢清洁剂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282" w:type="dxa"/>
            <w:vMerge w:val="restart"/>
            <w:noWrap w:val="0"/>
            <w:vAlign w:val="center"/>
          </w:tcPr>
          <w:p>
            <w:pPr>
              <w:spacing w:line="260" w:lineRule="exact"/>
              <w:jc w:val="center"/>
              <w:rPr>
                <w:rFonts w:ascii="宋体" w:hAnsi="宋体"/>
                <w:szCs w:val="21"/>
              </w:rPr>
            </w:pPr>
            <w:r>
              <w:rPr>
                <w:rFonts w:hint="eastAsia" w:ascii="宋体" w:hAnsi="宋体"/>
                <w:szCs w:val="21"/>
              </w:rPr>
              <w:t>小便池、抽水马桶及水箱</w:t>
            </w:r>
          </w:p>
        </w:tc>
        <w:tc>
          <w:tcPr>
            <w:tcW w:w="1766" w:type="dxa"/>
            <w:noWrap w:val="0"/>
            <w:vAlign w:val="center"/>
          </w:tcPr>
          <w:p>
            <w:pPr>
              <w:spacing w:line="260" w:lineRule="exact"/>
              <w:jc w:val="center"/>
              <w:rPr>
                <w:rFonts w:ascii="宋体" w:hAnsi="宋体"/>
                <w:szCs w:val="21"/>
              </w:rPr>
            </w:pPr>
            <w:r>
              <w:rPr>
                <w:rFonts w:hint="eastAsia" w:ascii="宋体" w:hAnsi="宋体"/>
                <w:szCs w:val="21"/>
              </w:rPr>
              <w:t>无水痕、锈迹、斑迹、毛发、尿碱</w:t>
            </w:r>
          </w:p>
        </w:tc>
        <w:tc>
          <w:tcPr>
            <w:tcW w:w="2434" w:type="dxa"/>
            <w:noWrap w:val="0"/>
            <w:vAlign w:val="center"/>
          </w:tcPr>
          <w:p>
            <w:pPr>
              <w:numPr>
                <w:ilvl w:val="0"/>
                <w:numId w:val="88"/>
              </w:numPr>
              <w:spacing w:line="260" w:lineRule="exact"/>
              <w:rPr>
                <w:rFonts w:ascii="宋体" w:hAnsi="宋体"/>
                <w:szCs w:val="21"/>
              </w:rPr>
            </w:pPr>
            <w:r>
              <w:rPr>
                <w:rFonts w:hint="eastAsia" w:ascii="宋体" w:hAnsi="宋体"/>
                <w:szCs w:val="21"/>
              </w:rPr>
              <w:t>先抽一次马桶</w:t>
            </w:r>
          </w:p>
          <w:p>
            <w:pPr>
              <w:numPr>
                <w:ilvl w:val="0"/>
                <w:numId w:val="88"/>
              </w:numPr>
              <w:spacing w:line="260" w:lineRule="exact"/>
              <w:rPr>
                <w:rFonts w:ascii="宋体" w:hAnsi="宋体"/>
                <w:szCs w:val="21"/>
              </w:rPr>
            </w:pPr>
            <w:r>
              <w:rPr>
                <w:rFonts w:hint="eastAsia" w:ascii="宋体" w:hAnsi="宋体"/>
                <w:szCs w:val="21"/>
              </w:rPr>
              <w:t>倒入清洁剂清洗</w:t>
            </w:r>
          </w:p>
          <w:p>
            <w:pPr>
              <w:numPr>
                <w:ilvl w:val="0"/>
                <w:numId w:val="88"/>
              </w:numPr>
              <w:spacing w:line="260" w:lineRule="exact"/>
              <w:rPr>
                <w:rFonts w:ascii="宋体" w:hAnsi="宋体"/>
                <w:szCs w:val="21"/>
              </w:rPr>
            </w:pPr>
            <w:r>
              <w:rPr>
                <w:rFonts w:hint="eastAsia" w:ascii="宋体" w:hAnsi="宋体"/>
                <w:szCs w:val="21"/>
              </w:rPr>
              <w:t>用清水过洗干净</w:t>
            </w:r>
          </w:p>
          <w:p>
            <w:pPr>
              <w:numPr>
                <w:ilvl w:val="0"/>
                <w:numId w:val="88"/>
              </w:numPr>
              <w:spacing w:line="260" w:lineRule="exact"/>
              <w:rPr>
                <w:rFonts w:ascii="宋体" w:hAnsi="宋体"/>
                <w:szCs w:val="21"/>
              </w:rPr>
            </w:pPr>
            <w:r>
              <w:rPr>
                <w:rFonts w:hint="eastAsia" w:ascii="宋体" w:hAnsi="宋体"/>
                <w:szCs w:val="21"/>
              </w:rPr>
              <w:t>用抹布擦干马桶内外底座</w:t>
            </w:r>
          </w:p>
        </w:tc>
        <w:tc>
          <w:tcPr>
            <w:tcW w:w="1650" w:type="dxa"/>
            <w:noWrap w:val="0"/>
            <w:vAlign w:val="center"/>
          </w:tcPr>
          <w:p>
            <w:pPr>
              <w:spacing w:line="260" w:lineRule="exact"/>
              <w:jc w:val="center"/>
              <w:rPr>
                <w:rFonts w:ascii="宋体" w:hAnsi="宋体"/>
                <w:szCs w:val="21"/>
              </w:rPr>
            </w:pPr>
            <w:r>
              <w:rPr>
                <w:rFonts w:hint="eastAsia" w:ascii="宋体" w:hAnsi="宋体"/>
                <w:szCs w:val="21"/>
              </w:rPr>
              <w:t>每天三次</w:t>
            </w:r>
          </w:p>
        </w:tc>
        <w:tc>
          <w:tcPr>
            <w:tcW w:w="1631" w:type="dxa"/>
            <w:noWrap w:val="0"/>
            <w:vAlign w:val="center"/>
          </w:tcPr>
          <w:p>
            <w:pPr>
              <w:spacing w:line="260" w:lineRule="exact"/>
              <w:ind w:firstLine="210" w:firstLineChars="100"/>
              <w:rPr>
                <w:rFonts w:ascii="宋体" w:hAnsi="宋体"/>
                <w:szCs w:val="21"/>
              </w:rPr>
            </w:pPr>
            <w:r>
              <w:rPr>
                <w:rFonts w:hint="eastAsia" w:ascii="宋体" w:hAnsi="宋体"/>
                <w:szCs w:val="21"/>
              </w:rPr>
              <w:t>马桶铰链、出水口、溢水口、水阀、控制器、四周瓷砖的卫生不能忽略。</w:t>
            </w:r>
          </w:p>
        </w:tc>
        <w:tc>
          <w:tcPr>
            <w:tcW w:w="1334" w:type="dxa"/>
            <w:noWrap w:val="0"/>
            <w:vAlign w:val="center"/>
          </w:tcPr>
          <w:p>
            <w:pPr>
              <w:spacing w:line="260" w:lineRule="exact"/>
              <w:ind w:firstLine="210" w:firstLineChars="100"/>
              <w:rPr>
                <w:rFonts w:ascii="宋体" w:hAnsi="宋体"/>
                <w:szCs w:val="21"/>
              </w:rPr>
            </w:pPr>
            <w:r>
              <w:rPr>
                <w:rFonts w:hint="eastAsia" w:ascii="宋体" w:hAnsi="宋体"/>
                <w:szCs w:val="21"/>
              </w:rPr>
              <w:t>清洁剂、百洁布、牙刷、抹布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282" w:type="dxa"/>
            <w:vMerge w:val="continue"/>
            <w:noWrap w:val="0"/>
            <w:vAlign w:val="center"/>
          </w:tcPr>
          <w:p>
            <w:pPr>
              <w:widowControl/>
              <w:jc w:val="left"/>
              <w:rPr>
                <w:rFonts w:ascii="宋体" w:hAnsi="宋体"/>
                <w:szCs w:val="21"/>
              </w:rPr>
            </w:pPr>
          </w:p>
        </w:tc>
        <w:tc>
          <w:tcPr>
            <w:tcW w:w="1766" w:type="dxa"/>
            <w:noWrap w:val="0"/>
            <w:vAlign w:val="center"/>
          </w:tcPr>
          <w:p>
            <w:pPr>
              <w:spacing w:line="260" w:lineRule="exact"/>
              <w:jc w:val="center"/>
              <w:rPr>
                <w:rFonts w:ascii="宋体" w:hAnsi="宋体"/>
                <w:szCs w:val="21"/>
              </w:rPr>
            </w:pPr>
            <w:r>
              <w:rPr>
                <w:rFonts w:hint="eastAsia" w:ascii="宋体" w:hAnsi="宋体"/>
                <w:szCs w:val="21"/>
              </w:rPr>
              <w:t>无灰尘、无黄迹、无沉淀物</w:t>
            </w:r>
          </w:p>
        </w:tc>
        <w:tc>
          <w:tcPr>
            <w:tcW w:w="2434" w:type="dxa"/>
            <w:noWrap w:val="0"/>
            <w:vAlign w:val="center"/>
          </w:tcPr>
          <w:p>
            <w:pPr>
              <w:numPr>
                <w:ilvl w:val="0"/>
                <w:numId w:val="89"/>
              </w:numPr>
              <w:spacing w:line="260" w:lineRule="exact"/>
              <w:rPr>
                <w:rFonts w:ascii="宋体" w:hAnsi="宋体"/>
                <w:szCs w:val="21"/>
              </w:rPr>
            </w:pPr>
            <w:r>
              <w:rPr>
                <w:rFonts w:hint="eastAsia" w:ascii="宋体" w:hAnsi="宋体"/>
                <w:szCs w:val="21"/>
              </w:rPr>
              <w:t>用抹布抹浮灰</w:t>
            </w:r>
          </w:p>
          <w:p>
            <w:pPr>
              <w:numPr>
                <w:ilvl w:val="0"/>
                <w:numId w:val="89"/>
              </w:numPr>
              <w:spacing w:line="260" w:lineRule="exact"/>
              <w:rPr>
                <w:rFonts w:ascii="宋体" w:hAnsi="宋体"/>
                <w:szCs w:val="21"/>
              </w:rPr>
            </w:pPr>
            <w:r>
              <w:rPr>
                <w:rFonts w:hint="eastAsia" w:ascii="宋体" w:hAnsi="宋体"/>
                <w:szCs w:val="21"/>
              </w:rPr>
              <w:t>用抹布蘸清洁剂擦黄迹、污迹</w:t>
            </w:r>
          </w:p>
        </w:tc>
        <w:tc>
          <w:tcPr>
            <w:tcW w:w="1650" w:type="dxa"/>
            <w:noWrap w:val="0"/>
            <w:vAlign w:val="center"/>
          </w:tcPr>
          <w:p>
            <w:pPr>
              <w:spacing w:line="260" w:lineRule="exact"/>
              <w:jc w:val="center"/>
              <w:rPr>
                <w:rFonts w:ascii="宋体" w:hAnsi="宋体"/>
                <w:szCs w:val="21"/>
              </w:rPr>
            </w:pPr>
            <w:r>
              <w:rPr>
                <w:rFonts w:hint="eastAsia" w:ascii="宋体" w:hAnsi="宋体"/>
                <w:szCs w:val="21"/>
              </w:rPr>
              <w:t>每天上、下午各一次</w:t>
            </w:r>
          </w:p>
        </w:tc>
        <w:tc>
          <w:tcPr>
            <w:tcW w:w="1631" w:type="dxa"/>
            <w:noWrap w:val="0"/>
            <w:vAlign w:val="center"/>
          </w:tcPr>
          <w:p>
            <w:pPr>
              <w:spacing w:line="260" w:lineRule="exact"/>
              <w:ind w:firstLine="210" w:firstLineChars="100"/>
              <w:rPr>
                <w:rFonts w:ascii="宋体" w:hAnsi="宋体"/>
                <w:szCs w:val="21"/>
              </w:rPr>
            </w:pPr>
            <w:r>
              <w:rPr>
                <w:rFonts w:hint="eastAsia" w:ascii="宋体" w:hAnsi="宋体"/>
                <w:szCs w:val="21"/>
              </w:rPr>
              <w:t>1.水箱盖一定要放在安全的地方，防止打烂</w:t>
            </w:r>
          </w:p>
          <w:p>
            <w:pPr>
              <w:spacing w:line="260" w:lineRule="exact"/>
              <w:ind w:firstLine="210" w:firstLineChars="100"/>
              <w:rPr>
                <w:rFonts w:ascii="宋体" w:hAnsi="宋体"/>
                <w:szCs w:val="21"/>
              </w:rPr>
            </w:pPr>
            <w:r>
              <w:rPr>
                <w:rFonts w:hint="eastAsia" w:ascii="宋体" w:hAnsi="宋体"/>
                <w:szCs w:val="21"/>
              </w:rPr>
              <w:t>2.刷洗时要小心，避免损坏内部构件</w:t>
            </w:r>
          </w:p>
        </w:tc>
        <w:tc>
          <w:tcPr>
            <w:tcW w:w="1334" w:type="dxa"/>
            <w:noWrap w:val="0"/>
            <w:vAlign w:val="center"/>
          </w:tcPr>
          <w:p>
            <w:pPr>
              <w:spacing w:line="260" w:lineRule="exact"/>
              <w:ind w:firstLine="210" w:firstLineChars="100"/>
              <w:rPr>
                <w:rFonts w:ascii="宋体" w:hAnsi="宋体"/>
                <w:szCs w:val="21"/>
              </w:rPr>
            </w:pPr>
            <w:r>
              <w:rPr>
                <w:rFonts w:hint="eastAsia" w:ascii="宋体" w:hAnsi="宋体"/>
                <w:szCs w:val="21"/>
              </w:rPr>
              <w:t>清洁剂、抹布（百洁布）、手套、毛刷、牙膏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282" w:type="dxa"/>
            <w:noWrap w:val="0"/>
            <w:vAlign w:val="center"/>
          </w:tcPr>
          <w:p>
            <w:pPr>
              <w:spacing w:line="260" w:lineRule="exact"/>
              <w:jc w:val="center"/>
              <w:rPr>
                <w:rFonts w:ascii="宋体" w:hAnsi="宋体"/>
                <w:szCs w:val="21"/>
              </w:rPr>
            </w:pPr>
            <w:r>
              <w:rPr>
                <w:rFonts w:hint="eastAsia" w:ascii="宋体" w:hAnsi="宋体"/>
                <w:szCs w:val="21"/>
              </w:rPr>
              <w:t>垃圾桶</w:t>
            </w:r>
          </w:p>
        </w:tc>
        <w:tc>
          <w:tcPr>
            <w:tcW w:w="1766" w:type="dxa"/>
            <w:noWrap w:val="0"/>
            <w:vAlign w:val="center"/>
          </w:tcPr>
          <w:p>
            <w:pPr>
              <w:spacing w:line="260" w:lineRule="exact"/>
              <w:jc w:val="center"/>
              <w:rPr>
                <w:rFonts w:ascii="宋体" w:hAnsi="宋体"/>
                <w:szCs w:val="21"/>
              </w:rPr>
            </w:pPr>
            <w:r>
              <w:rPr>
                <w:rFonts w:hint="eastAsia" w:ascii="宋体" w:hAnsi="宋体"/>
                <w:szCs w:val="21"/>
              </w:rPr>
              <w:t>光亮、无污迹、无水迹，周边无垃圾</w:t>
            </w:r>
          </w:p>
        </w:tc>
        <w:tc>
          <w:tcPr>
            <w:tcW w:w="2434" w:type="dxa"/>
            <w:noWrap w:val="0"/>
            <w:vAlign w:val="center"/>
          </w:tcPr>
          <w:p>
            <w:pPr>
              <w:numPr>
                <w:ilvl w:val="0"/>
                <w:numId w:val="90"/>
              </w:numPr>
              <w:spacing w:line="260" w:lineRule="exact"/>
              <w:rPr>
                <w:rFonts w:ascii="宋体" w:hAnsi="宋体"/>
                <w:szCs w:val="21"/>
              </w:rPr>
            </w:pPr>
            <w:r>
              <w:rPr>
                <w:rFonts w:hint="eastAsia" w:ascii="宋体" w:hAnsi="宋体"/>
                <w:szCs w:val="21"/>
              </w:rPr>
              <w:t>将垃圾袋取出，口扎紧丢入工作车垃圾桶内</w:t>
            </w:r>
          </w:p>
          <w:p>
            <w:pPr>
              <w:numPr>
                <w:ilvl w:val="0"/>
                <w:numId w:val="90"/>
              </w:numPr>
              <w:spacing w:line="260" w:lineRule="exact"/>
              <w:rPr>
                <w:rFonts w:ascii="宋体" w:hAnsi="宋体"/>
                <w:szCs w:val="21"/>
              </w:rPr>
            </w:pPr>
            <w:r>
              <w:rPr>
                <w:rFonts w:hint="eastAsia" w:ascii="宋体" w:hAnsi="宋体"/>
                <w:szCs w:val="21"/>
              </w:rPr>
              <w:t>用清洁剂刷洗垃圾桶内外</w:t>
            </w:r>
          </w:p>
          <w:p>
            <w:pPr>
              <w:numPr>
                <w:ilvl w:val="0"/>
                <w:numId w:val="90"/>
              </w:numPr>
              <w:spacing w:line="260" w:lineRule="exact"/>
              <w:rPr>
                <w:rFonts w:ascii="宋体" w:hAnsi="宋体"/>
                <w:szCs w:val="21"/>
              </w:rPr>
            </w:pPr>
            <w:r>
              <w:rPr>
                <w:rFonts w:hint="eastAsia" w:ascii="宋体" w:hAnsi="宋体"/>
                <w:szCs w:val="21"/>
              </w:rPr>
              <w:t>擦干、擦净</w:t>
            </w:r>
          </w:p>
          <w:p>
            <w:pPr>
              <w:numPr>
                <w:ilvl w:val="0"/>
                <w:numId w:val="90"/>
              </w:numPr>
              <w:spacing w:line="260" w:lineRule="exact"/>
              <w:rPr>
                <w:rFonts w:ascii="宋体" w:hAnsi="宋体"/>
                <w:szCs w:val="21"/>
              </w:rPr>
            </w:pPr>
            <w:r>
              <w:rPr>
                <w:rFonts w:hint="eastAsia" w:ascii="宋体" w:hAnsi="宋体"/>
                <w:szCs w:val="21"/>
              </w:rPr>
              <w:t>更换干净垃圾袋</w:t>
            </w:r>
          </w:p>
        </w:tc>
        <w:tc>
          <w:tcPr>
            <w:tcW w:w="1650" w:type="dxa"/>
            <w:noWrap w:val="0"/>
            <w:vAlign w:val="center"/>
          </w:tcPr>
          <w:p>
            <w:pPr>
              <w:numPr>
                <w:ilvl w:val="0"/>
                <w:numId w:val="91"/>
              </w:numPr>
              <w:spacing w:line="260" w:lineRule="exact"/>
              <w:rPr>
                <w:rFonts w:ascii="宋体" w:hAnsi="宋体"/>
                <w:szCs w:val="21"/>
              </w:rPr>
            </w:pPr>
            <w:r>
              <w:rPr>
                <w:rFonts w:hint="eastAsia" w:ascii="宋体" w:hAnsi="宋体"/>
                <w:szCs w:val="21"/>
              </w:rPr>
              <w:t>每天四次</w:t>
            </w:r>
          </w:p>
          <w:p>
            <w:pPr>
              <w:numPr>
                <w:ilvl w:val="0"/>
                <w:numId w:val="91"/>
              </w:numPr>
              <w:spacing w:line="260" w:lineRule="exact"/>
              <w:rPr>
                <w:rFonts w:ascii="宋体" w:hAnsi="宋体"/>
                <w:szCs w:val="21"/>
              </w:rPr>
            </w:pPr>
            <w:r>
              <w:rPr>
                <w:rFonts w:hint="eastAsia" w:ascii="宋体" w:hAnsi="宋体"/>
                <w:szCs w:val="21"/>
              </w:rPr>
              <w:t>随满随倒</w:t>
            </w:r>
          </w:p>
        </w:tc>
        <w:tc>
          <w:tcPr>
            <w:tcW w:w="1631" w:type="dxa"/>
            <w:noWrap w:val="0"/>
            <w:vAlign w:val="center"/>
          </w:tcPr>
          <w:p>
            <w:pPr>
              <w:spacing w:line="260" w:lineRule="exact"/>
              <w:ind w:firstLine="210" w:firstLineChars="100"/>
              <w:rPr>
                <w:rFonts w:ascii="宋体" w:hAnsi="宋体"/>
                <w:szCs w:val="21"/>
              </w:rPr>
            </w:pPr>
            <w:r>
              <w:rPr>
                <w:rFonts w:hint="eastAsia" w:ascii="宋体" w:hAnsi="宋体"/>
                <w:szCs w:val="21"/>
              </w:rPr>
              <w:t>垃圾袋平整地套在垃圾桶上，与垃圾桶之间无缝隙，翻边约5厘米,不能漫溢（垃圾不得超过垃圾桶容量的3/4）。</w:t>
            </w:r>
          </w:p>
        </w:tc>
        <w:tc>
          <w:tcPr>
            <w:tcW w:w="1334" w:type="dxa"/>
            <w:noWrap w:val="0"/>
            <w:vAlign w:val="center"/>
          </w:tcPr>
          <w:p>
            <w:pPr>
              <w:spacing w:line="260" w:lineRule="exact"/>
              <w:ind w:firstLine="210" w:firstLineChars="100"/>
              <w:rPr>
                <w:rFonts w:ascii="宋体" w:hAnsi="宋体"/>
                <w:szCs w:val="21"/>
              </w:rPr>
            </w:pPr>
            <w:r>
              <w:rPr>
                <w:rFonts w:hint="eastAsia" w:ascii="宋体" w:hAnsi="宋体"/>
                <w:szCs w:val="21"/>
              </w:rPr>
              <w:t>清洁剂、百洁布、毛刷、抹布、手套、塑料袋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82" w:type="dxa"/>
            <w:noWrap w:val="0"/>
            <w:vAlign w:val="center"/>
          </w:tcPr>
          <w:p>
            <w:pPr>
              <w:spacing w:line="280" w:lineRule="exact"/>
              <w:ind w:firstLine="210" w:firstLineChars="100"/>
              <w:rPr>
                <w:rFonts w:ascii="宋体" w:hAnsi="宋体"/>
                <w:szCs w:val="21"/>
              </w:rPr>
            </w:pPr>
            <w:r>
              <w:rPr>
                <w:rFonts w:hint="eastAsia" w:ascii="宋体" w:hAnsi="宋体"/>
                <w:szCs w:val="21"/>
              </w:rPr>
              <w:t>门（面、锁把手、锁眼、碰头）、铰链</w:t>
            </w:r>
          </w:p>
        </w:tc>
        <w:tc>
          <w:tcPr>
            <w:tcW w:w="1766" w:type="dxa"/>
            <w:noWrap w:val="0"/>
            <w:vAlign w:val="center"/>
          </w:tcPr>
          <w:p>
            <w:pPr>
              <w:spacing w:line="280" w:lineRule="exact"/>
              <w:jc w:val="center"/>
              <w:rPr>
                <w:rFonts w:ascii="宋体" w:hAnsi="宋体"/>
                <w:szCs w:val="21"/>
              </w:rPr>
            </w:pPr>
            <w:r>
              <w:rPr>
                <w:rFonts w:hint="eastAsia" w:ascii="宋体" w:hAnsi="宋体"/>
                <w:szCs w:val="21"/>
              </w:rPr>
              <w:t>无浮灰、手印、斑迹</w:t>
            </w:r>
          </w:p>
        </w:tc>
        <w:tc>
          <w:tcPr>
            <w:tcW w:w="2434" w:type="dxa"/>
            <w:noWrap w:val="0"/>
            <w:vAlign w:val="center"/>
          </w:tcPr>
          <w:p>
            <w:pPr>
              <w:spacing w:line="280" w:lineRule="exact"/>
              <w:jc w:val="center"/>
              <w:rPr>
                <w:rFonts w:ascii="宋体" w:hAnsi="宋体"/>
                <w:szCs w:val="21"/>
              </w:rPr>
            </w:pPr>
            <w:r>
              <w:rPr>
                <w:rFonts w:hint="eastAsia" w:ascii="宋体" w:hAnsi="宋体"/>
                <w:szCs w:val="21"/>
              </w:rPr>
              <w:t>用抹布擦净门面、框</w:t>
            </w:r>
          </w:p>
        </w:tc>
        <w:tc>
          <w:tcPr>
            <w:tcW w:w="1650" w:type="dxa"/>
            <w:noWrap w:val="0"/>
            <w:vAlign w:val="center"/>
          </w:tcPr>
          <w:p>
            <w:pPr>
              <w:spacing w:line="280" w:lineRule="exact"/>
              <w:jc w:val="center"/>
              <w:rPr>
                <w:rFonts w:ascii="宋体" w:hAnsi="宋体"/>
                <w:szCs w:val="21"/>
              </w:rPr>
            </w:pPr>
            <w:r>
              <w:rPr>
                <w:rFonts w:hint="eastAsia" w:ascii="宋体" w:hAnsi="宋体"/>
                <w:szCs w:val="21"/>
              </w:rPr>
              <w:t>每天上午一次</w:t>
            </w:r>
          </w:p>
        </w:tc>
        <w:tc>
          <w:tcPr>
            <w:tcW w:w="1631" w:type="dxa"/>
            <w:noWrap w:val="0"/>
            <w:vAlign w:val="center"/>
          </w:tcPr>
          <w:p>
            <w:pPr>
              <w:spacing w:line="260" w:lineRule="exact"/>
              <w:ind w:firstLine="210" w:firstLineChars="100"/>
              <w:rPr>
                <w:rFonts w:ascii="宋体" w:hAnsi="宋体"/>
                <w:szCs w:val="21"/>
              </w:rPr>
            </w:pPr>
            <w:r>
              <w:rPr>
                <w:rFonts w:hint="eastAsia" w:ascii="宋体" w:hAnsi="宋体"/>
                <w:szCs w:val="21"/>
              </w:rPr>
              <w:t>用专用工具包抹布清洁锁眼、铰链、碰头，定时给铰链上矿物油，保洁保养每周一次</w:t>
            </w:r>
          </w:p>
        </w:tc>
        <w:tc>
          <w:tcPr>
            <w:tcW w:w="1334" w:type="dxa"/>
            <w:noWrap w:val="0"/>
            <w:vAlign w:val="center"/>
          </w:tcPr>
          <w:p>
            <w:pPr>
              <w:spacing w:line="260" w:lineRule="exact"/>
              <w:ind w:firstLine="210" w:firstLineChars="100"/>
              <w:rPr>
                <w:rFonts w:ascii="宋体" w:hAnsi="宋体"/>
                <w:szCs w:val="21"/>
              </w:rPr>
            </w:pPr>
            <w:r>
              <w:rPr>
                <w:rFonts w:hint="eastAsia" w:ascii="宋体" w:hAnsi="宋体"/>
                <w:szCs w:val="21"/>
              </w:rPr>
              <w:t>抹布、门锁眼专用工具包、矿物油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1282" w:type="dxa"/>
            <w:noWrap w:val="0"/>
            <w:vAlign w:val="center"/>
          </w:tcPr>
          <w:p>
            <w:pPr>
              <w:spacing w:line="260" w:lineRule="exact"/>
              <w:jc w:val="center"/>
              <w:rPr>
                <w:rFonts w:ascii="宋体" w:hAnsi="宋体"/>
                <w:szCs w:val="21"/>
              </w:rPr>
            </w:pPr>
            <w:r>
              <w:rPr>
                <w:rFonts w:hint="eastAsia" w:ascii="宋体" w:hAnsi="宋体"/>
                <w:szCs w:val="21"/>
              </w:rPr>
              <w:t>门槛、防滑垫、地漏</w:t>
            </w:r>
          </w:p>
        </w:tc>
        <w:tc>
          <w:tcPr>
            <w:tcW w:w="1766" w:type="dxa"/>
            <w:noWrap w:val="0"/>
            <w:vAlign w:val="center"/>
          </w:tcPr>
          <w:p>
            <w:pPr>
              <w:spacing w:line="260" w:lineRule="exact"/>
              <w:jc w:val="center"/>
              <w:rPr>
                <w:rFonts w:ascii="宋体" w:hAnsi="宋体"/>
                <w:szCs w:val="21"/>
              </w:rPr>
            </w:pPr>
            <w:r>
              <w:rPr>
                <w:rFonts w:hint="eastAsia" w:ascii="宋体" w:hAnsi="宋体"/>
                <w:szCs w:val="21"/>
              </w:rPr>
              <w:t>无头发、杂物，无灰尘、纸屑，无污迹、水迹</w:t>
            </w:r>
          </w:p>
        </w:tc>
        <w:tc>
          <w:tcPr>
            <w:tcW w:w="2434" w:type="dxa"/>
            <w:noWrap w:val="0"/>
            <w:vAlign w:val="center"/>
          </w:tcPr>
          <w:p>
            <w:pPr>
              <w:numPr>
                <w:ilvl w:val="0"/>
                <w:numId w:val="92"/>
              </w:numPr>
              <w:spacing w:line="260" w:lineRule="exact"/>
              <w:rPr>
                <w:rFonts w:ascii="宋体" w:hAnsi="宋体"/>
                <w:szCs w:val="21"/>
              </w:rPr>
            </w:pPr>
            <w:r>
              <w:rPr>
                <w:rFonts w:hint="eastAsia" w:ascii="宋体" w:hAnsi="宋体"/>
                <w:szCs w:val="21"/>
              </w:rPr>
              <w:t>用牙刷剔除门槛缝隙内的头发、杂物</w:t>
            </w:r>
          </w:p>
          <w:p>
            <w:pPr>
              <w:numPr>
                <w:ilvl w:val="0"/>
                <w:numId w:val="92"/>
              </w:numPr>
              <w:spacing w:line="260" w:lineRule="exact"/>
              <w:rPr>
                <w:rFonts w:ascii="宋体" w:hAnsi="宋体"/>
                <w:szCs w:val="21"/>
              </w:rPr>
            </w:pPr>
            <w:r>
              <w:rPr>
                <w:rFonts w:hint="eastAsia" w:ascii="宋体" w:hAnsi="宋体"/>
                <w:szCs w:val="21"/>
              </w:rPr>
              <w:t>用清洁剂刷洗门槛、防滑垫、地漏</w:t>
            </w:r>
          </w:p>
          <w:p>
            <w:pPr>
              <w:numPr>
                <w:ilvl w:val="0"/>
                <w:numId w:val="92"/>
              </w:numPr>
              <w:spacing w:line="260" w:lineRule="exact"/>
              <w:rPr>
                <w:rFonts w:ascii="宋体" w:hAnsi="宋体"/>
                <w:szCs w:val="21"/>
              </w:rPr>
            </w:pPr>
            <w:r>
              <w:rPr>
                <w:rFonts w:hint="eastAsia" w:ascii="宋体" w:hAnsi="宋体"/>
                <w:szCs w:val="21"/>
              </w:rPr>
              <w:t>抹布抹净</w:t>
            </w:r>
          </w:p>
        </w:tc>
        <w:tc>
          <w:tcPr>
            <w:tcW w:w="1650" w:type="dxa"/>
            <w:noWrap w:val="0"/>
            <w:vAlign w:val="center"/>
          </w:tcPr>
          <w:p>
            <w:pPr>
              <w:spacing w:line="260" w:lineRule="exact"/>
              <w:jc w:val="center"/>
              <w:rPr>
                <w:rFonts w:ascii="宋体" w:hAnsi="宋体"/>
                <w:szCs w:val="21"/>
              </w:rPr>
            </w:pPr>
            <w:r>
              <w:rPr>
                <w:rFonts w:hint="eastAsia" w:ascii="宋体" w:hAnsi="宋体"/>
                <w:szCs w:val="21"/>
              </w:rPr>
              <w:t>每天上、下午一次</w:t>
            </w:r>
          </w:p>
        </w:tc>
        <w:tc>
          <w:tcPr>
            <w:tcW w:w="1631" w:type="dxa"/>
            <w:noWrap w:val="0"/>
            <w:vAlign w:val="center"/>
          </w:tcPr>
          <w:p>
            <w:pPr>
              <w:spacing w:line="260" w:lineRule="exact"/>
              <w:ind w:firstLine="210" w:firstLineChars="100"/>
              <w:rPr>
                <w:rFonts w:ascii="宋体" w:hAnsi="宋体"/>
                <w:szCs w:val="21"/>
              </w:rPr>
            </w:pPr>
            <w:r>
              <w:rPr>
                <w:rFonts w:hint="eastAsia" w:ascii="宋体" w:hAnsi="宋体"/>
                <w:szCs w:val="21"/>
              </w:rPr>
              <w:t>地漏清洁后应盖在地漏孔上，不可有积水</w:t>
            </w:r>
          </w:p>
        </w:tc>
        <w:tc>
          <w:tcPr>
            <w:tcW w:w="1334" w:type="dxa"/>
            <w:noWrap w:val="0"/>
            <w:vAlign w:val="center"/>
          </w:tcPr>
          <w:p>
            <w:pPr>
              <w:spacing w:line="260" w:lineRule="exact"/>
              <w:ind w:firstLine="210" w:firstLineChars="100"/>
              <w:rPr>
                <w:rFonts w:ascii="宋体" w:hAnsi="宋体"/>
                <w:szCs w:val="21"/>
              </w:rPr>
            </w:pPr>
            <w:r>
              <w:rPr>
                <w:rFonts w:hint="eastAsia" w:ascii="宋体" w:hAnsi="宋体"/>
                <w:szCs w:val="21"/>
              </w:rPr>
              <w:t>牙刷、清洁剂、抹布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282" w:type="dxa"/>
            <w:noWrap w:val="0"/>
            <w:vAlign w:val="center"/>
          </w:tcPr>
          <w:p>
            <w:pPr>
              <w:spacing w:line="260" w:lineRule="exact"/>
              <w:jc w:val="center"/>
              <w:rPr>
                <w:rFonts w:ascii="宋体" w:hAnsi="宋体"/>
                <w:szCs w:val="21"/>
              </w:rPr>
            </w:pPr>
            <w:r>
              <w:rPr>
                <w:rFonts w:hint="eastAsia" w:ascii="宋体" w:hAnsi="宋体"/>
                <w:szCs w:val="21"/>
              </w:rPr>
              <w:t>风口及风口挡板</w:t>
            </w:r>
          </w:p>
        </w:tc>
        <w:tc>
          <w:tcPr>
            <w:tcW w:w="1766" w:type="dxa"/>
            <w:noWrap w:val="0"/>
            <w:vAlign w:val="center"/>
          </w:tcPr>
          <w:p>
            <w:pPr>
              <w:spacing w:line="260" w:lineRule="exact"/>
              <w:jc w:val="center"/>
              <w:rPr>
                <w:rFonts w:ascii="宋体" w:hAnsi="宋体"/>
                <w:szCs w:val="21"/>
              </w:rPr>
            </w:pPr>
            <w:r>
              <w:rPr>
                <w:rFonts w:hint="eastAsia" w:ascii="宋体" w:hAnsi="宋体"/>
                <w:szCs w:val="21"/>
              </w:rPr>
              <w:t>无灰尘、无印迹</w:t>
            </w:r>
          </w:p>
        </w:tc>
        <w:tc>
          <w:tcPr>
            <w:tcW w:w="2434" w:type="dxa"/>
            <w:noWrap w:val="0"/>
            <w:vAlign w:val="center"/>
          </w:tcPr>
          <w:p>
            <w:pPr>
              <w:numPr>
                <w:ilvl w:val="0"/>
                <w:numId w:val="93"/>
              </w:numPr>
              <w:spacing w:line="260" w:lineRule="exact"/>
              <w:rPr>
                <w:rFonts w:ascii="宋体" w:hAnsi="宋体"/>
                <w:szCs w:val="21"/>
              </w:rPr>
            </w:pPr>
            <w:r>
              <w:rPr>
                <w:rFonts w:hint="eastAsia" w:ascii="宋体" w:hAnsi="宋体"/>
                <w:szCs w:val="21"/>
              </w:rPr>
              <w:t>用抹布擦净挡风板</w:t>
            </w:r>
          </w:p>
          <w:p>
            <w:pPr>
              <w:numPr>
                <w:ilvl w:val="0"/>
                <w:numId w:val="93"/>
              </w:numPr>
              <w:spacing w:line="260" w:lineRule="exact"/>
              <w:rPr>
                <w:rFonts w:ascii="宋体" w:hAnsi="宋体"/>
                <w:szCs w:val="21"/>
              </w:rPr>
            </w:pPr>
            <w:r>
              <w:rPr>
                <w:rFonts w:hint="eastAsia" w:ascii="宋体" w:hAnsi="宋体"/>
                <w:szCs w:val="21"/>
              </w:rPr>
              <w:t>用抹布擦净风口四周墙壁</w:t>
            </w:r>
          </w:p>
        </w:tc>
        <w:tc>
          <w:tcPr>
            <w:tcW w:w="1650" w:type="dxa"/>
            <w:noWrap w:val="0"/>
            <w:vAlign w:val="center"/>
          </w:tcPr>
          <w:p>
            <w:pPr>
              <w:spacing w:line="260" w:lineRule="exact"/>
              <w:jc w:val="center"/>
              <w:rPr>
                <w:rFonts w:ascii="宋体" w:hAnsi="宋体"/>
                <w:szCs w:val="21"/>
              </w:rPr>
            </w:pPr>
            <w:r>
              <w:rPr>
                <w:rFonts w:hint="eastAsia" w:ascii="宋体" w:hAnsi="宋体"/>
                <w:szCs w:val="21"/>
              </w:rPr>
              <w:t>每周一次</w:t>
            </w:r>
          </w:p>
        </w:tc>
        <w:tc>
          <w:tcPr>
            <w:tcW w:w="1631" w:type="dxa"/>
            <w:noWrap w:val="0"/>
            <w:vAlign w:val="center"/>
          </w:tcPr>
          <w:p>
            <w:pPr>
              <w:spacing w:line="260" w:lineRule="exact"/>
              <w:ind w:firstLine="210" w:firstLineChars="100"/>
              <w:rPr>
                <w:rFonts w:ascii="宋体" w:hAnsi="宋体"/>
                <w:szCs w:val="21"/>
              </w:rPr>
            </w:pPr>
            <w:r>
              <w:rPr>
                <w:rFonts w:hint="eastAsia" w:ascii="宋体" w:hAnsi="宋体"/>
                <w:szCs w:val="21"/>
              </w:rPr>
              <w:t>风口四周墙壁不可有污迹，不可站在病人用椅上</w:t>
            </w:r>
          </w:p>
        </w:tc>
        <w:tc>
          <w:tcPr>
            <w:tcW w:w="1334" w:type="dxa"/>
            <w:noWrap w:val="0"/>
            <w:vAlign w:val="center"/>
          </w:tcPr>
          <w:p>
            <w:pPr>
              <w:spacing w:line="260" w:lineRule="exact"/>
              <w:ind w:firstLine="210" w:firstLineChars="100"/>
              <w:rPr>
                <w:rFonts w:ascii="宋体" w:hAnsi="宋体"/>
                <w:szCs w:val="21"/>
              </w:rPr>
            </w:pPr>
            <w:r>
              <w:rPr>
                <w:rFonts w:hint="eastAsia" w:ascii="宋体" w:hAnsi="宋体"/>
                <w:szCs w:val="21"/>
              </w:rPr>
              <w:t>抹布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82" w:type="dxa"/>
            <w:noWrap w:val="0"/>
            <w:vAlign w:val="center"/>
          </w:tcPr>
          <w:p>
            <w:pPr>
              <w:spacing w:line="260" w:lineRule="exact"/>
              <w:jc w:val="center"/>
              <w:rPr>
                <w:rFonts w:ascii="宋体" w:hAnsi="宋体"/>
                <w:szCs w:val="21"/>
              </w:rPr>
            </w:pPr>
            <w:r>
              <w:rPr>
                <w:rFonts w:hint="eastAsia" w:ascii="宋体" w:hAnsi="宋体"/>
                <w:szCs w:val="21"/>
              </w:rPr>
              <w:t>天花板</w:t>
            </w:r>
          </w:p>
        </w:tc>
        <w:tc>
          <w:tcPr>
            <w:tcW w:w="1766" w:type="dxa"/>
            <w:noWrap w:val="0"/>
            <w:vAlign w:val="center"/>
          </w:tcPr>
          <w:p>
            <w:pPr>
              <w:spacing w:line="260" w:lineRule="exact"/>
              <w:jc w:val="center"/>
              <w:rPr>
                <w:rFonts w:ascii="宋体" w:hAnsi="宋体"/>
                <w:szCs w:val="21"/>
              </w:rPr>
            </w:pPr>
            <w:r>
              <w:rPr>
                <w:rFonts w:hint="eastAsia" w:ascii="宋体" w:hAnsi="宋体"/>
                <w:szCs w:val="21"/>
              </w:rPr>
              <w:t>无斑迹、无吊灰、无蜘蛛网</w:t>
            </w:r>
          </w:p>
        </w:tc>
        <w:tc>
          <w:tcPr>
            <w:tcW w:w="2434" w:type="dxa"/>
            <w:noWrap w:val="0"/>
            <w:vAlign w:val="center"/>
          </w:tcPr>
          <w:p>
            <w:pPr>
              <w:numPr>
                <w:ilvl w:val="0"/>
                <w:numId w:val="94"/>
              </w:numPr>
              <w:spacing w:line="260" w:lineRule="exact"/>
              <w:jc w:val="left"/>
              <w:rPr>
                <w:rFonts w:ascii="宋体" w:hAnsi="宋体"/>
                <w:szCs w:val="21"/>
              </w:rPr>
            </w:pPr>
            <w:r>
              <w:rPr>
                <w:rFonts w:hint="eastAsia" w:ascii="宋体" w:hAnsi="宋体"/>
                <w:szCs w:val="21"/>
              </w:rPr>
              <w:t>蜘蛛网用鸡毛掸子清除干净</w:t>
            </w:r>
          </w:p>
          <w:p>
            <w:pPr>
              <w:numPr>
                <w:ilvl w:val="0"/>
                <w:numId w:val="94"/>
              </w:numPr>
              <w:spacing w:line="260" w:lineRule="exact"/>
              <w:jc w:val="left"/>
              <w:rPr>
                <w:rFonts w:ascii="宋体" w:hAnsi="宋体"/>
                <w:szCs w:val="21"/>
              </w:rPr>
            </w:pPr>
            <w:r>
              <w:rPr>
                <w:rFonts w:hint="eastAsia" w:ascii="宋体" w:hAnsi="宋体"/>
                <w:szCs w:val="21"/>
              </w:rPr>
              <w:t>用干净抹布擦净</w:t>
            </w:r>
          </w:p>
        </w:tc>
        <w:tc>
          <w:tcPr>
            <w:tcW w:w="1650" w:type="dxa"/>
            <w:noWrap w:val="0"/>
            <w:vAlign w:val="center"/>
          </w:tcPr>
          <w:p>
            <w:pPr>
              <w:spacing w:line="260" w:lineRule="exact"/>
              <w:jc w:val="center"/>
              <w:rPr>
                <w:rFonts w:ascii="宋体" w:hAnsi="宋体"/>
                <w:szCs w:val="21"/>
              </w:rPr>
            </w:pPr>
            <w:r>
              <w:rPr>
                <w:rFonts w:hint="eastAsia" w:ascii="宋体" w:hAnsi="宋体"/>
                <w:szCs w:val="21"/>
              </w:rPr>
              <w:t>每周一次</w:t>
            </w:r>
          </w:p>
        </w:tc>
        <w:tc>
          <w:tcPr>
            <w:tcW w:w="1631" w:type="dxa"/>
            <w:noWrap w:val="0"/>
            <w:vAlign w:val="center"/>
          </w:tcPr>
          <w:p>
            <w:pPr>
              <w:spacing w:line="260" w:lineRule="exact"/>
              <w:jc w:val="center"/>
              <w:rPr>
                <w:rFonts w:ascii="宋体" w:hAnsi="宋体"/>
                <w:szCs w:val="21"/>
              </w:rPr>
            </w:pPr>
            <w:r>
              <w:rPr>
                <w:rFonts w:hint="eastAsia" w:ascii="宋体" w:hAnsi="宋体"/>
                <w:szCs w:val="21"/>
              </w:rPr>
              <w:t>防止灰尘扬起</w:t>
            </w:r>
          </w:p>
        </w:tc>
        <w:tc>
          <w:tcPr>
            <w:tcW w:w="1334" w:type="dxa"/>
            <w:noWrap w:val="0"/>
            <w:vAlign w:val="center"/>
          </w:tcPr>
          <w:p>
            <w:pPr>
              <w:spacing w:line="260" w:lineRule="exact"/>
              <w:ind w:firstLine="210" w:firstLineChars="100"/>
              <w:rPr>
                <w:rFonts w:ascii="宋体" w:hAnsi="宋体"/>
                <w:szCs w:val="21"/>
              </w:rPr>
            </w:pPr>
            <w:r>
              <w:rPr>
                <w:rFonts w:hint="eastAsia" w:ascii="宋体" w:hAnsi="宋体"/>
                <w:szCs w:val="21"/>
              </w:rPr>
              <w:t>抹布、鸡毛掸子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82" w:type="dxa"/>
            <w:noWrap w:val="0"/>
            <w:vAlign w:val="center"/>
          </w:tcPr>
          <w:p>
            <w:pPr>
              <w:spacing w:line="260" w:lineRule="exact"/>
              <w:jc w:val="center"/>
              <w:rPr>
                <w:rFonts w:ascii="宋体" w:hAnsi="宋体"/>
                <w:szCs w:val="21"/>
              </w:rPr>
            </w:pPr>
            <w:r>
              <w:rPr>
                <w:rFonts w:hint="eastAsia" w:ascii="宋体" w:hAnsi="宋体"/>
                <w:szCs w:val="21"/>
              </w:rPr>
              <w:t>顶灯及罩</w:t>
            </w:r>
          </w:p>
        </w:tc>
        <w:tc>
          <w:tcPr>
            <w:tcW w:w="1766" w:type="dxa"/>
            <w:noWrap w:val="0"/>
            <w:vAlign w:val="center"/>
          </w:tcPr>
          <w:p>
            <w:pPr>
              <w:spacing w:line="260" w:lineRule="exact"/>
              <w:jc w:val="center"/>
              <w:rPr>
                <w:rFonts w:ascii="宋体" w:hAnsi="宋体"/>
                <w:szCs w:val="21"/>
              </w:rPr>
            </w:pPr>
            <w:r>
              <w:rPr>
                <w:rFonts w:hint="eastAsia" w:ascii="宋体" w:hAnsi="宋体"/>
                <w:szCs w:val="21"/>
              </w:rPr>
              <w:t>无灰尘</w:t>
            </w:r>
          </w:p>
        </w:tc>
        <w:tc>
          <w:tcPr>
            <w:tcW w:w="2434" w:type="dxa"/>
            <w:noWrap w:val="0"/>
            <w:vAlign w:val="center"/>
          </w:tcPr>
          <w:p>
            <w:pPr>
              <w:spacing w:line="260" w:lineRule="exact"/>
              <w:jc w:val="center"/>
              <w:rPr>
                <w:rFonts w:ascii="宋体" w:hAnsi="宋体"/>
                <w:szCs w:val="21"/>
              </w:rPr>
            </w:pPr>
            <w:r>
              <w:rPr>
                <w:rFonts w:hint="eastAsia" w:ascii="宋体" w:hAnsi="宋体"/>
                <w:szCs w:val="21"/>
              </w:rPr>
              <w:t>用抹布擦净</w:t>
            </w:r>
          </w:p>
        </w:tc>
        <w:tc>
          <w:tcPr>
            <w:tcW w:w="1650" w:type="dxa"/>
            <w:noWrap w:val="0"/>
            <w:vAlign w:val="center"/>
          </w:tcPr>
          <w:p>
            <w:pPr>
              <w:spacing w:line="260" w:lineRule="exact"/>
              <w:jc w:val="center"/>
              <w:rPr>
                <w:rFonts w:ascii="宋体" w:hAnsi="宋体"/>
                <w:szCs w:val="21"/>
              </w:rPr>
            </w:pPr>
            <w:r>
              <w:rPr>
                <w:rFonts w:hint="eastAsia" w:ascii="宋体" w:hAnsi="宋体"/>
                <w:szCs w:val="21"/>
              </w:rPr>
              <w:t>每周一次</w:t>
            </w:r>
          </w:p>
        </w:tc>
        <w:tc>
          <w:tcPr>
            <w:tcW w:w="1631" w:type="dxa"/>
            <w:noWrap w:val="0"/>
            <w:vAlign w:val="center"/>
          </w:tcPr>
          <w:p>
            <w:pPr>
              <w:spacing w:line="260" w:lineRule="exact"/>
              <w:ind w:firstLine="210" w:firstLineChars="100"/>
              <w:rPr>
                <w:rFonts w:ascii="宋体" w:hAnsi="宋体"/>
                <w:szCs w:val="21"/>
              </w:rPr>
            </w:pPr>
            <w:r>
              <w:rPr>
                <w:rFonts w:hint="eastAsia" w:ascii="宋体" w:hAnsi="宋体"/>
                <w:szCs w:val="21"/>
              </w:rPr>
              <w:t>擦时不要把灯罩周围墙壁碰有印迹</w:t>
            </w:r>
          </w:p>
        </w:tc>
        <w:tc>
          <w:tcPr>
            <w:tcW w:w="1334" w:type="dxa"/>
            <w:noWrap w:val="0"/>
            <w:vAlign w:val="center"/>
          </w:tcPr>
          <w:p>
            <w:pPr>
              <w:spacing w:line="260" w:lineRule="exact"/>
              <w:ind w:firstLine="210" w:firstLineChars="100"/>
              <w:rPr>
                <w:rFonts w:ascii="宋体" w:hAnsi="宋体"/>
                <w:szCs w:val="21"/>
              </w:rPr>
            </w:pPr>
            <w:r>
              <w:rPr>
                <w:rFonts w:hint="eastAsia" w:ascii="宋体" w:hAnsi="宋体"/>
                <w:szCs w:val="21"/>
              </w:rPr>
              <w:t>抹布（百洁布）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82" w:type="dxa"/>
            <w:noWrap w:val="0"/>
            <w:vAlign w:val="center"/>
          </w:tcPr>
          <w:p>
            <w:pPr>
              <w:spacing w:line="260" w:lineRule="exact"/>
              <w:jc w:val="center"/>
              <w:rPr>
                <w:rFonts w:ascii="宋体" w:hAnsi="宋体"/>
                <w:szCs w:val="21"/>
              </w:rPr>
            </w:pPr>
            <w:r>
              <w:rPr>
                <w:rFonts w:hint="eastAsia" w:ascii="宋体" w:hAnsi="宋体"/>
                <w:szCs w:val="21"/>
              </w:rPr>
              <w:t>卫生间空气</w:t>
            </w:r>
          </w:p>
        </w:tc>
        <w:tc>
          <w:tcPr>
            <w:tcW w:w="1766" w:type="dxa"/>
            <w:noWrap w:val="0"/>
            <w:vAlign w:val="center"/>
          </w:tcPr>
          <w:p>
            <w:pPr>
              <w:spacing w:line="260" w:lineRule="exact"/>
              <w:jc w:val="center"/>
              <w:rPr>
                <w:rFonts w:ascii="宋体" w:hAnsi="宋体"/>
                <w:szCs w:val="21"/>
              </w:rPr>
            </w:pPr>
            <w:r>
              <w:rPr>
                <w:rFonts w:hint="eastAsia" w:ascii="宋体" w:hAnsi="宋体"/>
                <w:szCs w:val="21"/>
              </w:rPr>
              <w:t>无异味、空气清新</w:t>
            </w:r>
          </w:p>
        </w:tc>
        <w:tc>
          <w:tcPr>
            <w:tcW w:w="2434" w:type="dxa"/>
            <w:noWrap w:val="0"/>
            <w:vAlign w:val="center"/>
          </w:tcPr>
          <w:p>
            <w:pPr>
              <w:spacing w:line="260" w:lineRule="exact"/>
              <w:jc w:val="center"/>
              <w:rPr>
                <w:rFonts w:ascii="宋体" w:hAnsi="宋体"/>
                <w:szCs w:val="21"/>
              </w:rPr>
            </w:pPr>
            <w:r>
              <w:rPr>
                <w:rFonts w:hint="eastAsia" w:ascii="宋体" w:hAnsi="宋体"/>
                <w:szCs w:val="21"/>
              </w:rPr>
              <w:t>酌情在洗手间内喷洒卫生间专用香水</w:t>
            </w:r>
          </w:p>
        </w:tc>
        <w:tc>
          <w:tcPr>
            <w:tcW w:w="1650" w:type="dxa"/>
            <w:noWrap w:val="0"/>
            <w:vAlign w:val="center"/>
          </w:tcPr>
          <w:p>
            <w:pPr>
              <w:spacing w:line="260" w:lineRule="exact"/>
              <w:jc w:val="center"/>
              <w:rPr>
                <w:rFonts w:ascii="宋体" w:hAnsi="宋体"/>
                <w:szCs w:val="21"/>
              </w:rPr>
            </w:pPr>
            <w:r>
              <w:rPr>
                <w:rFonts w:hint="eastAsia" w:ascii="宋体" w:hAnsi="宋体"/>
                <w:szCs w:val="21"/>
              </w:rPr>
              <w:t>必要时</w:t>
            </w:r>
          </w:p>
        </w:tc>
        <w:tc>
          <w:tcPr>
            <w:tcW w:w="1631" w:type="dxa"/>
            <w:noWrap w:val="0"/>
            <w:vAlign w:val="center"/>
          </w:tcPr>
          <w:p>
            <w:pPr>
              <w:spacing w:line="260" w:lineRule="exact"/>
              <w:ind w:firstLine="210" w:firstLineChars="100"/>
              <w:rPr>
                <w:rFonts w:ascii="宋体" w:hAnsi="宋体"/>
                <w:szCs w:val="21"/>
              </w:rPr>
            </w:pPr>
          </w:p>
        </w:tc>
        <w:tc>
          <w:tcPr>
            <w:tcW w:w="1334" w:type="dxa"/>
            <w:noWrap w:val="0"/>
            <w:vAlign w:val="center"/>
          </w:tcPr>
          <w:p>
            <w:pPr>
              <w:spacing w:line="260" w:lineRule="exact"/>
              <w:ind w:firstLine="210" w:firstLineChars="100"/>
              <w:rPr>
                <w:rFonts w:ascii="宋体" w:hAnsi="宋体"/>
                <w:szCs w:val="21"/>
              </w:rPr>
            </w:pPr>
            <w:r>
              <w:rPr>
                <w:rFonts w:hint="eastAsia" w:ascii="宋体" w:hAnsi="宋体"/>
                <w:szCs w:val="21"/>
              </w:rPr>
              <w:t>卫生间专用香水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1282" w:type="dxa"/>
            <w:noWrap w:val="0"/>
            <w:vAlign w:val="center"/>
          </w:tcPr>
          <w:p>
            <w:pPr>
              <w:spacing w:line="280" w:lineRule="exact"/>
              <w:jc w:val="center"/>
              <w:rPr>
                <w:rFonts w:ascii="宋体" w:hAnsi="宋体"/>
                <w:szCs w:val="21"/>
              </w:rPr>
            </w:pPr>
            <w:r>
              <w:rPr>
                <w:rFonts w:hint="eastAsia" w:ascii="宋体" w:hAnsi="宋体"/>
                <w:szCs w:val="21"/>
              </w:rPr>
              <w:t>玻璃窗、框、窗台</w:t>
            </w:r>
          </w:p>
        </w:tc>
        <w:tc>
          <w:tcPr>
            <w:tcW w:w="1766" w:type="dxa"/>
            <w:noWrap w:val="0"/>
            <w:vAlign w:val="center"/>
          </w:tcPr>
          <w:p>
            <w:pPr>
              <w:spacing w:line="280" w:lineRule="exact"/>
              <w:jc w:val="center"/>
              <w:rPr>
                <w:rFonts w:ascii="宋体" w:hAnsi="宋体"/>
                <w:szCs w:val="21"/>
              </w:rPr>
            </w:pPr>
            <w:r>
              <w:rPr>
                <w:rFonts w:hint="eastAsia" w:ascii="宋体" w:hAnsi="宋体"/>
                <w:szCs w:val="21"/>
              </w:rPr>
              <w:t>窗框无灰尘、玻璃明亮无污迹</w:t>
            </w:r>
          </w:p>
        </w:tc>
        <w:tc>
          <w:tcPr>
            <w:tcW w:w="2434" w:type="dxa"/>
            <w:noWrap w:val="0"/>
            <w:vAlign w:val="center"/>
          </w:tcPr>
          <w:p>
            <w:pPr>
              <w:numPr>
                <w:ilvl w:val="0"/>
                <w:numId w:val="95"/>
              </w:numPr>
              <w:spacing w:line="280" w:lineRule="exact"/>
              <w:rPr>
                <w:rFonts w:ascii="宋体" w:hAnsi="宋体"/>
                <w:szCs w:val="21"/>
              </w:rPr>
            </w:pPr>
            <w:r>
              <w:rPr>
                <w:rFonts w:hint="eastAsia" w:ascii="宋体" w:hAnsi="宋体"/>
                <w:szCs w:val="21"/>
              </w:rPr>
              <w:t>涂水器蘸上清洁剂均匀涂于玻璃表面</w:t>
            </w:r>
          </w:p>
          <w:p>
            <w:pPr>
              <w:numPr>
                <w:ilvl w:val="0"/>
                <w:numId w:val="95"/>
              </w:numPr>
              <w:spacing w:line="280" w:lineRule="exact"/>
              <w:rPr>
                <w:rFonts w:ascii="宋体" w:hAnsi="宋体"/>
                <w:szCs w:val="21"/>
              </w:rPr>
            </w:pPr>
            <w:r>
              <w:rPr>
                <w:rFonts w:hint="eastAsia" w:ascii="宋体" w:hAnsi="宋体"/>
                <w:szCs w:val="21"/>
              </w:rPr>
              <w:t>刮水器刮除玻璃上污水</w:t>
            </w:r>
          </w:p>
          <w:p>
            <w:pPr>
              <w:numPr>
                <w:ilvl w:val="0"/>
                <w:numId w:val="95"/>
              </w:numPr>
              <w:spacing w:line="280" w:lineRule="exact"/>
              <w:rPr>
                <w:rFonts w:ascii="宋体" w:hAnsi="宋体"/>
                <w:szCs w:val="21"/>
              </w:rPr>
            </w:pPr>
            <w:r>
              <w:rPr>
                <w:rFonts w:hint="eastAsia" w:ascii="宋体" w:hAnsi="宋体"/>
                <w:szCs w:val="21"/>
              </w:rPr>
              <w:t>刮水器刮在玻璃上运行的起止处应是边框到对面边框</w:t>
            </w:r>
          </w:p>
          <w:p>
            <w:pPr>
              <w:numPr>
                <w:ilvl w:val="0"/>
                <w:numId w:val="95"/>
              </w:numPr>
              <w:spacing w:line="280" w:lineRule="exact"/>
              <w:rPr>
                <w:rFonts w:ascii="宋体" w:hAnsi="宋体"/>
                <w:szCs w:val="21"/>
              </w:rPr>
            </w:pPr>
            <w:r>
              <w:rPr>
                <w:rFonts w:hint="eastAsia" w:ascii="宋体" w:hAnsi="宋体"/>
                <w:szCs w:val="21"/>
              </w:rPr>
              <w:t>用力均匀，每刮一回用抹布将刮水器擦干，再行下一回</w:t>
            </w:r>
          </w:p>
          <w:p>
            <w:pPr>
              <w:numPr>
                <w:ilvl w:val="0"/>
                <w:numId w:val="95"/>
              </w:numPr>
              <w:spacing w:line="280" w:lineRule="exact"/>
              <w:rPr>
                <w:rFonts w:ascii="宋体" w:hAnsi="宋体"/>
                <w:szCs w:val="21"/>
              </w:rPr>
            </w:pPr>
            <w:r>
              <w:rPr>
                <w:rFonts w:hint="eastAsia" w:ascii="宋体" w:hAnsi="宋体"/>
                <w:szCs w:val="21"/>
              </w:rPr>
              <w:t>刮洗结束后，要用干净抹布将边框处水道擦去</w:t>
            </w:r>
          </w:p>
        </w:tc>
        <w:tc>
          <w:tcPr>
            <w:tcW w:w="1650" w:type="dxa"/>
            <w:noWrap w:val="0"/>
            <w:vAlign w:val="center"/>
          </w:tcPr>
          <w:p>
            <w:pPr>
              <w:numPr>
                <w:ilvl w:val="0"/>
                <w:numId w:val="96"/>
              </w:numPr>
              <w:spacing w:line="280" w:lineRule="exact"/>
              <w:rPr>
                <w:rFonts w:ascii="宋体" w:hAnsi="宋体"/>
                <w:szCs w:val="21"/>
              </w:rPr>
            </w:pPr>
            <w:r>
              <w:rPr>
                <w:rFonts w:hint="eastAsia" w:ascii="宋体" w:hAnsi="宋体"/>
                <w:szCs w:val="21"/>
              </w:rPr>
              <w:t>玻璃每周一次</w:t>
            </w:r>
          </w:p>
          <w:p>
            <w:pPr>
              <w:numPr>
                <w:ilvl w:val="0"/>
                <w:numId w:val="96"/>
              </w:numPr>
              <w:spacing w:line="280" w:lineRule="exact"/>
              <w:rPr>
                <w:rFonts w:ascii="宋体" w:hAnsi="宋体"/>
                <w:szCs w:val="21"/>
              </w:rPr>
            </w:pPr>
            <w:r>
              <w:rPr>
                <w:rFonts w:hint="eastAsia" w:ascii="宋体" w:hAnsi="宋体"/>
                <w:szCs w:val="21"/>
              </w:rPr>
              <w:t>窗框、台每天一次</w:t>
            </w:r>
          </w:p>
        </w:tc>
        <w:tc>
          <w:tcPr>
            <w:tcW w:w="1631" w:type="dxa"/>
            <w:noWrap w:val="0"/>
            <w:vAlign w:val="center"/>
          </w:tcPr>
          <w:p>
            <w:pPr>
              <w:spacing w:line="260" w:lineRule="exact"/>
              <w:ind w:firstLine="210" w:firstLineChars="100"/>
              <w:rPr>
                <w:rFonts w:ascii="宋体" w:hAnsi="宋体"/>
                <w:szCs w:val="21"/>
              </w:rPr>
            </w:pPr>
          </w:p>
        </w:tc>
        <w:tc>
          <w:tcPr>
            <w:tcW w:w="1334" w:type="dxa"/>
            <w:noWrap w:val="0"/>
            <w:vAlign w:val="center"/>
          </w:tcPr>
          <w:p>
            <w:pPr>
              <w:spacing w:line="260" w:lineRule="exact"/>
              <w:ind w:firstLine="210" w:firstLineChars="1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282" w:type="dxa"/>
            <w:noWrap w:val="0"/>
            <w:vAlign w:val="center"/>
          </w:tcPr>
          <w:p>
            <w:pPr>
              <w:spacing w:line="280" w:lineRule="exact"/>
              <w:jc w:val="center"/>
              <w:rPr>
                <w:rFonts w:ascii="宋体" w:hAnsi="宋体"/>
                <w:szCs w:val="21"/>
              </w:rPr>
            </w:pPr>
            <w:r>
              <w:rPr>
                <w:rFonts w:hint="eastAsia" w:ascii="宋体" w:hAnsi="宋体"/>
                <w:szCs w:val="21"/>
              </w:rPr>
              <w:t>便池隔板</w:t>
            </w:r>
          </w:p>
        </w:tc>
        <w:tc>
          <w:tcPr>
            <w:tcW w:w="1766" w:type="dxa"/>
            <w:noWrap w:val="0"/>
            <w:vAlign w:val="center"/>
          </w:tcPr>
          <w:p>
            <w:pPr>
              <w:spacing w:line="280" w:lineRule="exact"/>
              <w:jc w:val="center"/>
              <w:rPr>
                <w:rFonts w:ascii="宋体" w:hAnsi="宋体"/>
                <w:szCs w:val="21"/>
              </w:rPr>
            </w:pPr>
            <w:r>
              <w:rPr>
                <w:rFonts w:hint="eastAsia" w:ascii="宋体" w:hAnsi="宋体"/>
                <w:szCs w:val="21"/>
              </w:rPr>
              <w:t>无灰尘、污迹、水迹、鞋印</w:t>
            </w:r>
          </w:p>
        </w:tc>
        <w:tc>
          <w:tcPr>
            <w:tcW w:w="2434" w:type="dxa"/>
            <w:noWrap w:val="0"/>
            <w:vAlign w:val="center"/>
          </w:tcPr>
          <w:p>
            <w:pPr>
              <w:numPr>
                <w:ilvl w:val="0"/>
                <w:numId w:val="97"/>
              </w:numPr>
              <w:spacing w:line="280" w:lineRule="exact"/>
              <w:rPr>
                <w:rFonts w:ascii="宋体" w:hAnsi="宋体"/>
                <w:szCs w:val="21"/>
              </w:rPr>
            </w:pPr>
            <w:r>
              <w:rPr>
                <w:rFonts w:hint="eastAsia" w:ascii="宋体" w:hAnsi="宋体"/>
                <w:szCs w:val="21"/>
              </w:rPr>
              <w:t>用抹布抹净灰尘</w:t>
            </w:r>
          </w:p>
          <w:p>
            <w:pPr>
              <w:numPr>
                <w:ilvl w:val="0"/>
                <w:numId w:val="97"/>
              </w:numPr>
              <w:spacing w:line="280" w:lineRule="exact"/>
              <w:rPr>
                <w:rFonts w:ascii="宋体" w:hAnsi="宋体"/>
                <w:szCs w:val="21"/>
              </w:rPr>
            </w:pPr>
            <w:r>
              <w:rPr>
                <w:rFonts w:hint="eastAsia" w:ascii="宋体" w:hAnsi="宋体"/>
                <w:szCs w:val="21"/>
              </w:rPr>
              <w:t>用抹布蘸清洁剂擦拭</w:t>
            </w:r>
          </w:p>
          <w:p>
            <w:pPr>
              <w:numPr>
                <w:ilvl w:val="0"/>
                <w:numId w:val="97"/>
              </w:numPr>
              <w:spacing w:line="280" w:lineRule="exact"/>
              <w:rPr>
                <w:rFonts w:ascii="宋体" w:hAnsi="宋体"/>
                <w:szCs w:val="21"/>
              </w:rPr>
            </w:pPr>
            <w:r>
              <w:rPr>
                <w:rFonts w:hint="eastAsia" w:ascii="宋体" w:hAnsi="宋体"/>
                <w:szCs w:val="21"/>
              </w:rPr>
              <w:t>用干抹布抹净</w:t>
            </w:r>
          </w:p>
        </w:tc>
        <w:tc>
          <w:tcPr>
            <w:tcW w:w="1650" w:type="dxa"/>
            <w:noWrap w:val="0"/>
            <w:vAlign w:val="center"/>
          </w:tcPr>
          <w:p>
            <w:pPr>
              <w:numPr>
                <w:ilvl w:val="0"/>
                <w:numId w:val="98"/>
              </w:numPr>
              <w:spacing w:line="280" w:lineRule="exact"/>
              <w:rPr>
                <w:rFonts w:ascii="宋体" w:hAnsi="宋体"/>
                <w:szCs w:val="21"/>
              </w:rPr>
            </w:pPr>
            <w:r>
              <w:rPr>
                <w:rFonts w:hint="eastAsia" w:ascii="宋体" w:hAnsi="宋体"/>
                <w:szCs w:val="21"/>
              </w:rPr>
              <w:t>每天二次</w:t>
            </w:r>
          </w:p>
          <w:p>
            <w:pPr>
              <w:numPr>
                <w:ilvl w:val="0"/>
                <w:numId w:val="98"/>
              </w:numPr>
              <w:spacing w:line="280" w:lineRule="exact"/>
              <w:rPr>
                <w:rFonts w:ascii="宋体" w:hAnsi="宋体"/>
                <w:szCs w:val="21"/>
              </w:rPr>
            </w:pPr>
            <w:r>
              <w:rPr>
                <w:rFonts w:hint="eastAsia" w:ascii="宋体" w:hAnsi="宋体"/>
                <w:szCs w:val="21"/>
              </w:rPr>
              <w:t>随脏随擦</w:t>
            </w:r>
          </w:p>
        </w:tc>
        <w:tc>
          <w:tcPr>
            <w:tcW w:w="1631" w:type="dxa"/>
            <w:noWrap w:val="0"/>
            <w:vAlign w:val="center"/>
          </w:tcPr>
          <w:p>
            <w:pPr>
              <w:spacing w:line="260" w:lineRule="exact"/>
              <w:ind w:firstLine="210" w:firstLineChars="100"/>
              <w:rPr>
                <w:rFonts w:ascii="宋体" w:hAnsi="宋体"/>
                <w:szCs w:val="21"/>
              </w:rPr>
            </w:pPr>
          </w:p>
        </w:tc>
        <w:tc>
          <w:tcPr>
            <w:tcW w:w="1334" w:type="dxa"/>
            <w:noWrap w:val="0"/>
            <w:vAlign w:val="center"/>
          </w:tcPr>
          <w:p>
            <w:pPr>
              <w:spacing w:line="280" w:lineRule="exact"/>
              <w:rPr>
                <w:rFonts w:ascii="宋体" w:hAnsi="宋体"/>
                <w:szCs w:val="21"/>
              </w:rPr>
            </w:pPr>
          </w:p>
        </w:tc>
      </w:tr>
    </w:tbl>
    <w:p>
      <w:pPr>
        <w:spacing w:before="100" w:beforeAutospacing="1" w:line="360" w:lineRule="auto"/>
        <w:ind w:firstLine="161" w:firstLineChars="67"/>
        <w:rPr>
          <w:rFonts w:ascii="宋体" w:hAnsi="宋体"/>
          <w:b/>
          <w:sz w:val="24"/>
        </w:rPr>
      </w:pPr>
      <w:r>
        <w:rPr>
          <w:rFonts w:hint="eastAsia" w:ascii="宋体" w:hAnsi="宋体"/>
          <w:b/>
          <w:sz w:val="24"/>
        </w:rPr>
        <w:t>（4）外环境日常保洁项目要求</w:t>
      </w:r>
    </w:p>
    <w:tbl>
      <w:tblPr>
        <w:tblStyle w:val="7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771"/>
        <w:gridCol w:w="2441"/>
        <w:gridCol w:w="1762"/>
        <w:gridCol w:w="1528"/>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8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项目</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标准</w:t>
            </w:r>
          </w:p>
          <w:p>
            <w:pPr>
              <w:spacing w:line="260" w:lineRule="exact"/>
              <w:jc w:val="center"/>
              <w:rPr>
                <w:rFonts w:ascii="宋体" w:hAnsi="宋体"/>
                <w:b/>
                <w:szCs w:val="21"/>
              </w:rPr>
            </w:pPr>
            <w:r>
              <w:rPr>
                <w:rFonts w:hint="eastAsia" w:ascii="宋体" w:hAnsi="宋体"/>
                <w:b/>
                <w:szCs w:val="21"/>
              </w:rPr>
              <w:t>（质量要求）</w:t>
            </w:r>
          </w:p>
        </w:tc>
        <w:tc>
          <w:tcPr>
            <w:tcW w:w="244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程序</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right="-466" w:rightChars="-222"/>
              <w:jc w:val="center"/>
              <w:rPr>
                <w:rFonts w:ascii="宋体" w:hAnsi="宋体"/>
                <w:b/>
                <w:szCs w:val="21"/>
              </w:rPr>
            </w:pPr>
            <w:r>
              <w:rPr>
                <w:rFonts w:hint="eastAsia" w:ascii="宋体" w:hAnsi="宋体"/>
                <w:b/>
                <w:szCs w:val="21"/>
              </w:rPr>
              <w:t>频次</w:t>
            </w:r>
          </w:p>
        </w:tc>
        <w:tc>
          <w:tcPr>
            <w:tcW w:w="152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注意事项</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工具</w:t>
            </w:r>
          </w:p>
          <w:p>
            <w:pPr>
              <w:spacing w:line="260" w:lineRule="exact"/>
              <w:jc w:val="center"/>
              <w:rPr>
                <w:rFonts w:ascii="宋体" w:hAnsi="宋体"/>
                <w:b/>
                <w:szCs w:val="21"/>
              </w:rPr>
            </w:pPr>
            <w:r>
              <w:rPr>
                <w:rFonts w:hint="eastAsia" w:ascii="宋体" w:hAnsi="宋体"/>
                <w:b/>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trPr>
        <w:tc>
          <w:tcPr>
            <w:tcW w:w="128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主干道地面、台阶</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无瓜果皮、纸屑、枯叶、烟头、呕吐物、污物等</w:t>
            </w:r>
          </w:p>
        </w:tc>
        <w:tc>
          <w:tcPr>
            <w:tcW w:w="2441" w:type="dxa"/>
            <w:tcBorders>
              <w:top w:val="single" w:color="auto" w:sz="4" w:space="0"/>
              <w:left w:val="single" w:color="auto" w:sz="4" w:space="0"/>
              <w:bottom w:val="single" w:color="auto" w:sz="4" w:space="0"/>
              <w:right w:val="single" w:color="auto" w:sz="4" w:space="0"/>
            </w:tcBorders>
            <w:noWrap w:val="0"/>
            <w:vAlign w:val="center"/>
          </w:tcPr>
          <w:p>
            <w:pPr>
              <w:numPr>
                <w:ilvl w:val="0"/>
                <w:numId w:val="99"/>
              </w:numPr>
              <w:spacing w:line="260" w:lineRule="exact"/>
              <w:rPr>
                <w:rFonts w:ascii="宋体" w:hAnsi="宋体"/>
                <w:szCs w:val="21"/>
              </w:rPr>
            </w:pPr>
            <w:r>
              <w:rPr>
                <w:rFonts w:hint="eastAsia" w:ascii="宋体" w:hAnsi="宋体"/>
                <w:szCs w:val="21"/>
              </w:rPr>
              <w:t>晴天时先均匀洒水，再用大扫帚清扫</w:t>
            </w:r>
          </w:p>
          <w:p>
            <w:pPr>
              <w:numPr>
                <w:ilvl w:val="0"/>
                <w:numId w:val="99"/>
              </w:numPr>
              <w:spacing w:line="260" w:lineRule="exact"/>
              <w:rPr>
                <w:rFonts w:ascii="宋体" w:hAnsi="宋体"/>
                <w:szCs w:val="21"/>
              </w:rPr>
            </w:pPr>
            <w:r>
              <w:rPr>
                <w:rFonts w:hint="eastAsia" w:ascii="宋体" w:hAnsi="宋体"/>
                <w:szCs w:val="21"/>
              </w:rPr>
              <w:t>对污物、呕吐物及时清理干净</w:t>
            </w:r>
          </w:p>
          <w:p>
            <w:pPr>
              <w:numPr>
                <w:ilvl w:val="0"/>
                <w:numId w:val="99"/>
              </w:numPr>
              <w:spacing w:line="260" w:lineRule="exact"/>
              <w:rPr>
                <w:rFonts w:ascii="宋体" w:hAnsi="宋体"/>
                <w:szCs w:val="21"/>
              </w:rPr>
            </w:pPr>
            <w:r>
              <w:rPr>
                <w:rFonts w:hint="eastAsia" w:ascii="宋体" w:hAnsi="宋体"/>
                <w:szCs w:val="21"/>
              </w:rPr>
              <w:t>装入簸箕倒入垃圾桶</w:t>
            </w:r>
          </w:p>
          <w:p>
            <w:pPr>
              <w:numPr>
                <w:ilvl w:val="0"/>
                <w:numId w:val="99"/>
              </w:numPr>
              <w:spacing w:line="260" w:lineRule="exact"/>
              <w:rPr>
                <w:rFonts w:ascii="宋体" w:hAnsi="宋体"/>
                <w:szCs w:val="21"/>
              </w:rPr>
            </w:pPr>
            <w:r>
              <w:rPr>
                <w:rFonts w:hint="eastAsia" w:ascii="宋体" w:hAnsi="宋体"/>
                <w:szCs w:val="21"/>
              </w:rPr>
              <w:t>台阶用拧干水的拖把拖净</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numPr>
                <w:ilvl w:val="0"/>
                <w:numId w:val="100"/>
              </w:numPr>
              <w:rPr>
                <w:rFonts w:ascii="宋体" w:hAnsi="宋体"/>
                <w:szCs w:val="21"/>
              </w:rPr>
            </w:pPr>
            <w:r>
              <w:rPr>
                <w:rFonts w:hint="eastAsia" w:ascii="宋体" w:hAnsi="宋体"/>
                <w:szCs w:val="21"/>
              </w:rPr>
              <w:t>每天二次（大扫）</w:t>
            </w:r>
          </w:p>
          <w:p>
            <w:pPr>
              <w:numPr>
                <w:ilvl w:val="0"/>
                <w:numId w:val="100"/>
              </w:numPr>
              <w:rPr>
                <w:rFonts w:ascii="宋体" w:hAnsi="宋体"/>
                <w:szCs w:val="21"/>
              </w:rPr>
            </w:pPr>
            <w:r>
              <w:rPr>
                <w:rFonts w:hint="eastAsia" w:ascii="宋体" w:hAnsi="宋体"/>
                <w:szCs w:val="21"/>
              </w:rPr>
              <w:t>巡回保洁维护每小时一次</w:t>
            </w:r>
          </w:p>
          <w:p>
            <w:pPr>
              <w:numPr>
                <w:ilvl w:val="0"/>
                <w:numId w:val="100"/>
              </w:numPr>
              <w:rPr>
                <w:rFonts w:ascii="宋体" w:hAnsi="宋体"/>
                <w:szCs w:val="21"/>
              </w:rPr>
            </w:pPr>
            <w:r>
              <w:rPr>
                <w:rFonts w:hint="eastAsia" w:ascii="宋体" w:hAnsi="宋体"/>
                <w:szCs w:val="21"/>
              </w:rPr>
              <w:t>随脏随扫</w:t>
            </w:r>
          </w:p>
        </w:tc>
        <w:tc>
          <w:tcPr>
            <w:tcW w:w="1528"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r>
              <w:rPr>
                <w:rFonts w:hint="eastAsia" w:ascii="宋体" w:hAnsi="宋体"/>
                <w:szCs w:val="21"/>
              </w:rPr>
              <w:t>避免扬尘、触碰行人、地面湿滑</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洒水器、大小扫帚、簸箕、拖把、桶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28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窨井盖</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无晃动，表面无痕迹、污迹，下水孔无阻塞、破损</w:t>
            </w:r>
          </w:p>
        </w:tc>
        <w:tc>
          <w:tcPr>
            <w:tcW w:w="244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用蘸有清洁剂的刷子刷洗</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每天一次</w:t>
            </w:r>
          </w:p>
        </w:tc>
        <w:tc>
          <w:tcPr>
            <w:tcW w:w="1528"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r>
              <w:rPr>
                <w:rFonts w:hint="eastAsia" w:ascii="宋体" w:hAnsi="宋体"/>
                <w:szCs w:val="21"/>
              </w:rPr>
              <w:t>发现缺失、破损、晃动应立即报修，避免行人发生意外，周边无积水</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清洁剂、刷子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28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绿化带、花坛</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无灰尘、枯枝败叶、杂物</w:t>
            </w:r>
          </w:p>
        </w:tc>
        <w:tc>
          <w:tcPr>
            <w:tcW w:w="2441" w:type="dxa"/>
            <w:tcBorders>
              <w:top w:val="single" w:color="auto" w:sz="4" w:space="0"/>
              <w:left w:val="single" w:color="auto" w:sz="4" w:space="0"/>
              <w:bottom w:val="single" w:color="auto" w:sz="4" w:space="0"/>
              <w:right w:val="single" w:color="auto" w:sz="4" w:space="0"/>
            </w:tcBorders>
            <w:noWrap w:val="0"/>
            <w:vAlign w:val="center"/>
          </w:tcPr>
          <w:p>
            <w:pPr>
              <w:numPr>
                <w:ilvl w:val="0"/>
                <w:numId w:val="101"/>
              </w:numPr>
              <w:spacing w:line="260" w:lineRule="exact"/>
              <w:rPr>
                <w:rFonts w:ascii="宋体" w:hAnsi="宋体"/>
                <w:szCs w:val="21"/>
              </w:rPr>
            </w:pPr>
            <w:r>
              <w:rPr>
                <w:rFonts w:hint="eastAsia" w:ascii="宋体" w:hAnsi="宋体"/>
                <w:szCs w:val="21"/>
              </w:rPr>
              <w:t>用抹布擦拭花坛周边框至洁净</w:t>
            </w:r>
          </w:p>
          <w:p>
            <w:pPr>
              <w:numPr>
                <w:ilvl w:val="0"/>
                <w:numId w:val="101"/>
              </w:numPr>
              <w:spacing w:line="260" w:lineRule="exact"/>
              <w:rPr>
                <w:rFonts w:ascii="宋体" w:hAnsi="宋体"/>
                <w:szCs w:val="21"/>
              </w:rPr>
            </w:pPr>
            <w:r>
              <w:rPr>
                <w:rFonts w:hint="eastAsia" w:ascii="宋体" w:hAnsi="宋体"/>
                <w:szCs w:val="21"/>
              </w:rPr>
              <w:t>捡去枯枝败叶，杂物装入垃圾袋内</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每天一次</w:t>
            </w:r>
          </w:p>
        </w:tc>
        <w:tc>
          <w:tcPr>
            <w:tcW w:w="152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28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路灯杆、罩</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无灰尘、污迹</w:t>
            </w:r>
          </w:p>
        </w:tc>
        <w:tc>
          <w:tcPr>
            <w:tcW w:w="244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用干净抹布擦拭干净</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每三天一次</w:t>
            </w:r>
          </w:p>
        </w:tc>
        <w:tc>
          <w:tcPr>
            <w:tcW w:w="1528"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r>
              <w:rPr>
                <w:rFonts w:hint="eastAsia" w:ascii="宋体" w:hAnsi="宋体"/>
                <w:szCs w:val="21"/>
              </w:rPr>
              <w:t>防止触电，避免损坏灯罩、高空坠落</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抹布（百洁布）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128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绿化带周边的休闲桌椅</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无灰尘、污迹、垃圾、水迹</w:t>
            </w:r>
          </w:p>
        </w:tc>
        <w:tc>
          <w:tcPr>
            <w:tcW w:w="2441" w:type="dxa"/>
            <w:tcBorders>
              <w:top w:val="single" w:color="auto" w:sz="4" w:space="0"/>
              <w:left w:val="single" w:color="auto" w:sz="4" w:space="0"/>
              <w:bottom w:val="single" w:color="auto" w:sz="4" w:space="0"/>
              <w:right w:val="single" w:color="auto" w:sz="4" w:space="0"/>
            </w:tcBorders>
            <w:noWrap w:val="0"/>
            <w:vAlign w:val="center"/>
          </w:tcPr>
          <w:p>
            <w:pPr>
              <w:numPr>
                <w:ilvl w:val="0"/>
                <w:numId w:val="102"/>
              </w:numPr>
              <w:spacing w:line="260" w:lineRule="exact"/>
              <w:rPr>
                <w:rFonts w:ascii="宋体" w:hAnsi="宋体"/>
                <w:szCs w:val="21"/>
              </w:rPr>
            </w:pPr>
            <w:r>
              <w:rPr>
                <w:rFonts w:hint="eastAsia" w:ascii="宋体" w:hAnsi="宋体"/>
                <w:szCs w:val="21"/>
              </w:rPr>
              <w:t>用干净抹布抹去灰尘</w:t>
            </w:r>
          </w:p>
          <w:p>
            <w:pPr>
              <w:numPr>
                <w:ilvl w:val="0"/>
                <w:numId w:val="102"/>
              </w:numPr>
              <w:spacing w:line="260" w:lineRule="exact"/>
              <w:rPr>
                <w:rFonts w:ascii="宋体" w:hAnsi="宋体"/>
                <w:szCs w:val="21"/>
              </w:rPr>
            </w:pPr>
            <w:r>
              <w:rPr>
                <w:rFonts w:hint="eastAsia" w:ascii="宋体" w:hAnsi="宋体"/>
                <w:szCs w:val="21"/>
              </w:rPr>
              <w:t>用清洁剂擦洗污迹，用干抹布擦净</w:t>
            </w:r>
          </w:p>
          <w:p>
            <w:pPr>
              <w:numPr>
                <w:ilvl w:val="0"/>
                <w:numId w:val="102"/>
              </w:numPr>
              <w:spacing w:line="260" w:lineRule="exact"/>
              <w:rPr>
                <w:rFonts w:ascii="宋体" w:hAnsi="宋体"/>
                <w:szCs w:val="21"/>
              </w:rPr>
            </w:pPr>
            <w:r>
              <w:rPr>
                <w:rFonts w:hint="eastAsia" w:ascii="宋体" w:hAnsi="宋体"/>
                <w:szCs w:val="21"/>
              </w:rPr>
              <w:t>清除垃圾，装入垃圾袋内，放进垃圾桶</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numPr>
                <w:ilvl w:val="0"/>
                <w:numId w:val="103"/>
              </w:numPr>
              <w:rPr>
                <w:rFonts w:ascii="宋体" w:hAnsi="宋体"/>
                <w:szCs w:val="21"/>
              </w:rPr>
            </w:pPr>
            <w:r>
              <w:rPr>
                <w:rFonts w:hint="eastAsia" w:ascii="宋体" w:hAnsi="宋体"/>
                <w:szCs w:val="21"/>
              </w:rPr>
              <w:t>每天三次</w:t>
            </w:r>
          </w:p>
          <w:p>
            <w:pPr>
              <w:numPr>
                <w:ilvl w:val="0"/>
                <w:numId w:val="103"/>
              </w:numPr>
              <w:rPr>
                <w:rFonts w:ascii="宋体" w:hAnsi="宋体"/>
                <w:szCs w:val="21"/>
              </w:rPr>
            </w:pPr>
            <w:r>
              <w:rPr>
                <w:rFonts w:hint="eastAsia" w:ascii="宋体" w:hAnsi="宋体"/>
                <w:szCs w:val="21"/>
              </w:rPr>
              <w:t>随脏随扫</w:t>
            </w:r>
          </w:p>
        </w:tc>
        <w:tc>
          <w:tcPr>
            <w:tcW w:w="152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抹布、清洁剂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128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垃圾桶</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无污迹、漫溢、异味</w:t>
            </w:r>
          </w:p>
        </w:tc>
        <w:tc>
          <w:tcPr>
            <w:tcW w:w="2441" w:type="dxa"/>
            <w:tcBorders>
              <w:top w:val="single" w:color="auto" w:sz="4" w:space="0"/>
              <w:left w:val="single" w:color="auto" w:sz="4" w:space="0"/>
              <w:bottom w:val="single" w:color="auto" w:sz="4" w:space="0"/>
              <w:right w:val="single" w:color="auto" w:sz="4" w:space="0"/>
            </w:tcBorders>
            <w:noWrap w:val="0"/>
            <w:vAlign w:val="center"/>
          </w:tcPr>
          <w:p>
            <w:pPr>
              <w:numPr>
                <w:ilvl w:val="0"/>
                <w:numId w:val="104"/>
              </w:numPr>
              <w:spacing w:line="260" w:lineRule="exact"/>
              <w:rPr>
                <w:rFonts w:ascii="宋体" w:hAnsi="宋体"/>
                <w:szCs w:val="21"/>
              </w:rPr>
            </w:pPr>
            <w:r>
              <w:rPr>
                <w:rFonts w:hint="eastAsia" w:ascii="宋体" w:hAnsi="宋体"/>
                <w:szCs w:val="21"/>
              </w:rPr>
              <w:t>将垃圾袋取出扎紧袋口，装入垃圾车内</w:t>
            </w:r>
          </w:p>
          <w:p>
            <w:pPr>
              <w:numPr>
                <w:ilvl w:val="0"/>
                <w:numId w:val="104"/>
              </w:numPr>
              <w:spacing w:line="260" w:lineRule="exact"/>
              <w:rPr>
                <w:rFonts w:ascii="宋体" w:hAnsi="宋体"/>
                <w:szCs w:val="21"/>
              </w:rPr>
            </w:pPr>
            <w:r>
              <w:rPr>
                <w:rFonts w:hint="eastAsia" w:ascii="宋体" w:hAnsi="宋体"/>
                <w:szCs w:val="21"/>
              </w:rPr>
              <w:t>用浸有清洁剂的抹布擦拭至干净</w:t>
            </w:r>
          </w:p>
          <w:p>
            <w:pPr>
              <w:numPr>
                <w:ilvl w:val="0"/>
                <w:numId w:val="104"/>
              </w:numPr>
              <w:spacing w:line="260" w:lineRule="exact"/>
              <w:rPr>
                <w:rFonts w:ascii="宋体" w:hAnsi="宋体"/>
                <w:szCs w:val="21"/>
              </w:rPr>
            </w:pPr>
            <w:r>
              <w:rPr>
                <w:rFonts w:hint="eastAsia" w:ascii="宋体" w:hAnsi="宋体"/>
                <w:szCs w:val="21"/>
              </w:rPr>
              <w:t>更换垃圾袋</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每天二次</w:t>
            </w:r>
          </w:p>
        </w:tc>
        <w:tc>
          <w:tcPr>
            <w:tcW w:w="1528"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r>
              <w:rPr>
                <w:rFonts w:hint="eastAsia" w:ascii="宋体" w:hAnsi="宋体"/>
                <w:szCs w:val="21"/>
              </w:rPr>
              <w:t>1.无污水滴漏</w:t>
            </w:r>
          </w:p>
          <w:p>
            <w:pPr>
              <w:ind w:firstLine="210" w:firstLineChars="100"/>
              <w:rPr>
                <w:rFonts w:ascii="宋体" w:hAnsi="宋体"/>
                <w:szCs w:val="21"/>
              </w:rPr>
            </w:pPr>
            <w:r>
              <w:rPr>
                <w:rFonts w:hint="eastAsia" w:ascii="宋体" w:hAnsi="宋体"/>
                <w:szCs w:val="21"/>
              </w:rPr>
              <w:t>2.不可漫溢，垃圾不得超过垃圾桶容量的3/4</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抹布、垃圾袋、清洁剂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8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宣传栏、框、面</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无灰尘、污迹、脱落</w:t>
            </w:r>
          </w:p>
        </w:tc>
        <w:tc>
          <w:tcPr>
            <w:tcW w:w="2441" w:type="dxa"/>
            <w:tcBorders>
              <w:top w:val="single" w:color="auto" w:sz="4" w:space="0"/>
              <w:left w:val="single" w:color="auto" w:sz="4" w:space="0"/>
              <w:bottom w:val="single" w:color="auto" w:sz="4" w:space="0"/>
              <w:right w:val="single" w:color="auto" w:sz="4" w:space="0"/>
            </w:tcBorders>
            <w:noWrap w:val="0"/>
            <w:vAlign w:val="center"/>
          </w:tcPr>
          <w:p>
            <w:pPr>
              <w:numPr>
                <w:ilvl w:val="0"/>
                <w:numId w:val="105"/>
              </w:numPr>
              <w:spacing w:line="260" w:lineRule="exact"/>
              <w:rPr>
                <w:rFonts w:ascii="宋体" w:hAnsi="宋体"/>
                <w:szCs w:val="21"/>
              </w:rPr>
            </w:pPr>
            <w:r>
              <w:rPr>
                <w:rFonts w:hint="eastAsia" w:ascii="宋体" w:hAnsi="宋体"/>
                <w:szCs w:val="21"/>
              </w:rPr>
              <w:t>用干净抹布擦拭至洁净</w:t>
            </w:r>
          </w:p>
          <w:p>
            <w:pPr>
              <w:numPr>
                <w:ilvl w:val="0"/>
                <w:numId w:val="105"/>
              </w:numPr>
              <w:spacing w:line="260" w:lineRule="exact"/>
              <w:rPr>
                <w:rFonts w:ascii="宋体" w:hAnsi="宋体"/>
                <w:szCs w:val="21"/>
              </w:rPr>
            </w:pPr>
            <w:r>
              <w:rPr>
                <w:rFonts w:hint="eastAsia" w:ascii="宋体" w:hAnsi="宋体"/>
                <w:szCs w:val="21"/>
              </w:rPr>
              <w:t>对脱落处妥善处理</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每天一次</w:t>
            </w:r>
          </w:p>
        </w:tc>
        <w:tc>
          <w:tcPr>
            <w:tcW w:w="1528"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r>
              <w:rPr>
                <w:rFonts w:hint="eastAsia" w:ascii="宋体" w:hAnsi="宋体"/>
                <w:szCs w:val="21"/>
              </w:rPr>
              <w:t>表面不可擦花</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抹布（百洁布）</w:t>
            </w:r>
          </w:p>
        </w:tc>
      </w:tr>
    </w:tbl>
    <w:p>
      <w:pPr>
        <w:spacing w:before="100" w:beforeAutospacing="1" w:line="360" w:lineRule="auto"/>
        <w:ind w:firstLine="161" w:firstLineChars="67"/>
        <w:rPr>
          <w:rFonts w:ascii="宋体" w:hAnsi="宋体"/>
          <w:b/>
          <w:sz w:val="24"/>
        </w:rPr>
      </w:pPr>
      <w:r>
        <w:rPr>
          <w:rFonts w:hint="eastAsia" w:ascii="宋体" w:hAnsi="宋体"/>
          <w:b/>
          <w:sz w:val="24"/>
        </w:rPr>
        <w:t>（5）电梯日常保洁项目要求</w:t>
      </w:r>
    </w:p>
    <w:tbl>
      <w:tblPr>
        <w:tblStyle w:val="7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754"/>
        <w:gridCol w:w="2418"/>
        <w:gridCol w:w="1789"/>
        <w:gridCol w:w="1487"/>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项目</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标准</w:t>
            </w:r>
          </w:p>
          <w:p>
            <w:pPr>
              <w:jc w:val="center"/>
              <w:rPr>
                <w:rFonts w:ascii="宋体" w:hAnsi="宋体"/>
                <w:b/>
                <w:szCs w:val="21"/>
              </w:rPr>
            </w:pPr>
            <w:r>
              <w:rPr>
                <w:rFonts w:hint="eastAsia" w:ascii="宋体" w:hAnsi="宋体"/>
                <w:b/>
                <w:szCs w:val="21"/>
              </w:rPr>
              <w:t>（质量要求）</w:t>
            </w:r>
          </w:p>
        </w:tc>
        <w:tc>
          <w:tcPr>
            <w:tcW w:w="2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程序</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频次</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注意事项</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工具</w:t>
            </w:r>
          </w:p>
          <w:p>
            <w:pPr>
              <w:jc w:val="center"/>
              <w:rPr>
                <w:rFonts w:ascii="宋体" w:hAnsi="宋体"/>
                <w:b/>
                <w:szCs w:val="21"/>
              </w:rPr>
            </w:pPr>
            <w:r>
              <w:rPr>
                <w:rFonts w:hint="eastAsia" w:ascii="宋体" w:hAnsi="宋体"/>
                <w:b/>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trPr>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内板壁（金属面板）</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无灰尘、斑迹、手印，干净、光亮</w:t>
            </w:r>
          </w:p>
        </w:tc>
        <w:tc>
          <w:tcPr>
            <w:tcW w:w="2418" w:type="dxa"/>
            <w:tcBorders>
              <w:top w:val="single" w:color="auto" w:sz="4" w:space="0"/>
              <w:left w:val="single" w:color="auto" w:sz="4" w:space="0"/>
              <w:bottom w:val="single" w:color="auto" w:sz="4" w:space="0"/>
              <w:right w:val="single" w:color="auto" w:sz="4" w:space="0"/>
            </w:tcBorders>
            <w:noWrap w:val="0"/>
            <w:vAlign w:val="center"/>
          </w:tcPr>
          <w:p>
            <w:pPr>
              <w:numPr>
                <w:ilvl w:val="0"/>
                <w:numId w:val="106"/>
              </w:numPr>
              <w:spacing w:line="280" w:lineRule="exact"/>
              <w:rPr>
                <w:rFonts w:ascii="宋体" w:hAnsi="宋体"/>
                <w:szCs w:val="21"/>
              </w:rPr>
            </w:pPr>
            <w:r>
              <w:rPr>
                <w:rFonts w:hint="eastAsia" w:ascii="宋体" w:hAnsi="宋体"/>
                <w:szCs w:val="21"/>
              </w:rPr>
              <w:t>用湿抹布将板壁上的浮灰彻底擦净</w:t>
            </w:r>
          </w:p>
          <w:p>
            <w:pPr>
              <w:numPr>
                <w:ilvl w:val="0"/>
                <w:numId w:val="106"/>
              </w:numPr>
              <w:spacing w:line="280" w:lineRule="exact"/>
              <w:rPr>
                <w:rFonts w:ascii="宋体" w:hAnsi="宋体"/>
                <w:szCs w:val="21"/>
              </w:rPr>
            </w:pPr>
            <w:r>
              <w:rPr>
                <w:rFonts w:hint="eastAsia" w:ascii="宋体" w:hAnsi="宋体"/>
                <w:szCs w:val="21"/>
              </w:rPr>
              <w:t>用百洁布蘸上正确稀释后的多功能清洁剂擦拭斑迹，再用抹布擦净</w:t>
            </w:r>
          </w:p>
          <w:p>
            <w:pPr>
              <w:numPr>
                <w:ilvl w:val="0"/>
                <w:numId w:val="106"/>
              </w:numPr>
              <w:spacing w:line="280" w:lineRule="exact"/>
              <w:rPr>
                <w:rFonts w:ascii="宋体" w:hAnsi="宋体"/>
                <w:szCs w:val="21"/>
              </w:rPr>
            </w:pPr>
            <w:r>
              <w:rPr>
                <w:rFonts w:hint="eastAsia" w:ascii="宋体" w:hAnsi="宋体"/>
                <w:szCs w:val="21"/>
              </w:rPr>
              <w:t>均匀地喷上家具蜡（或金属光亮剂），用抹布擦拭直到光亮</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每天一次</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r>
              <w:rPr>
                <w:rFonts w:hint="eastAsia" w:ascii="宋体" w:hAnsi="宋体"/>
                <w:szCs w:val="21"/>
              </w:rPr>
              <w:t>清洁时使用提示牌</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r>
              <w:rPr>
                <w:rFonts w:hint="eastAsia" w:ascii="宋体" w:hAnsi="宋体"/>
                <w:szCs w:val="21"/>
              </w:rPr>
              <w:t>抹布、多功能清洁剂、家具蜡、提示牌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地面</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无灰尘、斑迹、水迹、污物，干净</w:t>
            </w:r>
          </w:p>
        </w:tc>
        <w:tc>
          <w:tcPr>
            <w:tcW w:w="2418" w:type="dxa"/>
            <w:tcBorders>
              <w:top w:val="single" w:color="auto" w:sz="4" w:space="0"/>
              <w:left w:val="single" w:color="auto" w:sz="4" w:space="0"/>
              <w:bottom w:val="single" w:color="auto" w:sz="4" w:space="0"/>
              <w:right w:val="single" w:color="auto" w:sz="4" w:space="0"/>
            </w:tcBorders>
            <w:noWrap w:val="0"/>
            <w:vAlign w:val="center"/>
          </w:tcPr>
          <w:p>
            <w:pPr>
              <w:numPr>
                <w:ilvl w:val="0"/>
                <w:numId w:val="107"/>
              </w:numPr>
              <w:spacing w:line="280" w:lineRule="exact"/>
              <w:rPr>
                <w:rFonts w:ascii="宋体" w:hAnsi="宋体"/>
                <w:szCs w:val="21"/>
              </w:rPr>
            </w:pPr>
            <w:r>
              <w:rPr>
                <w:rFonts w:hint="eastAsia" w:ascii="宋体" w:hAnsi="宋体"/>
                <w:szCs w:val="21"/>
              </w:rPr>
              <w:t>用拖把将地面灰尘擦去</w:t>
            </w:r>
          </w:p>
          <w:p>
            <w:pPr>
              <w:numPr>
                <w:ilvl w:val="0"/>
                <w:numId w:val="107"/>
              </w:numPr>
              <w:spacing w:line="280" w:lineRule="exact"/>
              <w:rPr>
                <w:rFonts w:ascii="宋体" w:hAnsi="宋体"/>
                <w:szCs w:val="21"/>
              </w:rPr>
            </w:pPr>
            <w:r>
              <w:rPr>
                <w:rFonts w:hint="eastAsia" w:ascii="宋体" w:hAnsi="宋体"/>
                <w:szCs w:val="21"/>
              </w:rPr>
              <w:t>用抹布蘸清洁剂擦拭斑迹</w:t>
            </w:r>
          </w:p>
          <w:p>
            <w:pPr>
              <w:numPr>
                <w:ilvl w:val="0"/>
                <w:numId w:val="107"/>
              </w:numPr>
              <w:spacing w:line="280" w:lineRule="exact"/>
              <w:rPr>
                <w:rFonts w:ascii="宋体" w:hAnsi="宋体"/>
                <w:szCs w:val="21"/>
              </w:rPr>
            </w:pPr>
            <w:r>
              <w:rPr>
                <w:rFonts w:hint="eastAsia" w:ascii="宋体" w:hAnsi="宋体"/>
                <w:szCs w:val="21"/>
              </w:rPr>
              <w:t>用抹布蘸清洁剂擦拭门槽，去除槽内异物</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10" w:firstLineChars="100"/>
              <w:rPr>
                <w:rFonts w:ascii="宋体" w:hAnsi="宋体"/>
                <w:szCs w:val="21"/>
              </w:rPr>
            </w:pPr>
            <w:r>
              <w:rPr>
                <w:rFonts w:hint="eastAsia" w:ascii="宋体" w:hAnsi="宋体"/>
                <w:szCs w:val="21"/>
              </w:rPr>
              <w:t>每天三次，随脏随拖</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r>
              <w:rPr>
                <w:rFonts w:hint="eastAsia" w:ascii="宋体" w:hAnsi="宋体"/>
                <w:szCs w:val="21"/>
              </w:rPr>
              <w:t>早晨7:30前一次，中午12:00前清洁一次，傍晚17:30前清洁一次</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灯罩</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无灰尘、斑迹，干净</w:t>
            </w:r>
          </w:p>
        </w:tc>
        <w:tc>
          <w:tcPr>
            <w:tcW w:w="2418" w:type="dxa"/>
            <w:tcBorders>
              <w:top w:val="single" w:color="auto" w:sz="4" w:space="0"/>
              <w:left w:val="single" w:color="auto" w:sz="4" w:space="0"/>
              <w:bottom w:val="single" w:color="auto" w:sz="4" w:space="0"/>
              <w:right w:val="single" w:color="auto" w:sz="4" w:space="0"/>
            </w:tcBorders>
            <w:noWrap w:val="0"/>
            <w:vAlign w:val="center"/>
          </w:tcPr>
          <w:p>
            <w:pPr>
              <w:numPr>
                <w:ilvl w:val="0"/>
                <w:numId w:val="108"/>
              </w:numPr>
              <w:spacing w:line="280" w:lineRule="exact"/>
              <w:rPr>
                <w:rFonts w:ascii="宋体" w:hAnsi="宋体"/>
                <w:szCs w:val="21"/>
              </w:rPr>
            </w:pPr>
            <w:r>
              <w:rPr>
                <w:rFonts w:hint="eastAsia" w:ascii="宋体" w:hAnsi="宋体"/>
                <w:szCs w:val="21"/>
              </w:rPr>
              <w:t>用抹布将灯罩的灰尘去除</w:t>
            </w:r>
          </w:p>
          <w:p>
            <w:pPr>
              <w:numPr>
                <w:ilvl w:val="0"/>
                <w:numId w:val="108"/>
              </w:numPr>
              <w:spacing w:line="280" w:lineRule="exact"/>
              <w:rPr>
                <w:rFonts w:ascii="宋体" w:hAnsi="宋体"/>
                <w:szCs w:val="21"/>
              </w:rPr>
            </w:pPr>
            <w:r>
              <w:rPr>
                <w:rFonts w:hint="eastAsia" w:ascii="宋体" w:hAnsi="宋体"/>
                <w:szCs w:val="21"/>
              </w:rPr>
              <w:t>均匀地喷上金属光亮剂，用干抹布轻而快地擦拭</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每周一次</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r>
              <w:rPr>
                <w:rFonts w:hint="eastAsia" w:ascii="宋体" w:hAnsi="宋体"/>
                <w:szCs w:val="21"/>
              </w:rPr>
              <w:t>喷金属光亮剂每月一次</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指示按钮</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无灰尘、污迹，清晰无破损</w:t>
            </w:r>
          </w:p>
        </w:tc>
        <w:tc>
          <w:tcPr>
            <w:tcW w:w="2418" w:type="dxa"/>
            <w:tcBorders>
              <w:top w:val="single" w:color="auto" w:sz="4" w:space="0"/>
              <w:left w:val="single" w:color="auto" w:sz="4" w:space="0"/>
              <w:bottom w:val="single" w:color="auto" w:sz="4" w:space="0"/>
              <w:right w:val="single" w:color="auto" w:sz="4" w:space="0"/>
            </w:tcBorders>
            <w:noWrap w:val="0"/>
            <w:vAlign w:val="center"/>
          </w:tcPr>
          <w:p>
            <w:pPr>
              <w:numPr>
                <w:ilvl w:val="0"/>
                <w:numId w:val="109"/>
              </w:numPr>
              <w:spacing w:line="280" w:lineRule="exact"/>
              <w:rPr>
                <w:rFonts w:ascii="宋体" w:hAnsi="宋体"/>
                <w:szCs w:val="21"/>
              </w:rPr>
            </w:pPr>
            <w:r>
              <w:rPr>
                <w:rFonts w:hint="eastAsia" w:ascii="宋体" w:hAnsi="宋体"/>
                <w:szCs w:val="21"/>
              </w:rPr>
              <w:t>用抹布抹去浮灰</w:t>
            </w:r>
          </w:p>
          <w:p>
            <w:pPr>
              <w:numPr>
                <w:ilvl w:val="0"/>
                <w:numId w:val="109"/>
              </w:numPr>
              <w:spacing w:line="280" w:lineRule="exact"/>
              <w:rPr>
                <w:rFonts w:ascii="宋体" w:hAnsi="宋体"/>
                <w:szCs w:val="21"/>
              </w:rPr>
            </w:pPr>
            <w:r>
              <w:rPr>
                <w:rFonts w:hint="eastAsia" w:ascii="宋体" w:hAnsi="宋体"/>
                <w:szCs w:val="21"/>
              </w:rPr>
              <w:t>用抹布蘸清洁剂去除污迹</w:t>
            </w:r>
          </w:p>
          <w:p>
            <w:pPr>
              <w:numPr>
                <w:ilvl w:val="0"/>
                <w:numId w:val="109"/>
              </w:numPr>
              <w:spacing w:line="280" w:lineRule="exact"/>
              <w:rPr>
                <w:rFonts w:ascii="宋体" w:hAnsi="宋体"/>
                <w:szCs w:val="21"/>
              </w:rPr>
            </w:pPr>
            <w:r>
              <w:rPr>
                <w:rFonts w:hint="eastAsia" w:ascii="宋体" w:hAnsi="宋体"/>
                <w:szCs w:val="21"/>
              </w:rPr>
              <w:t>用干抹布拭净</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每天一次</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r>
              <w:rPr>
                <w:rFonts w:hint="eastAsia" w:ascii="宋体" w:hAnsi="宋体"/>
                <w:szCs w:val="21"/>
              </w:rPr>
              <w:t>按钮内不可进水</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门</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无灰尘、斑迹，干净明亮</w:t>
            </w:r>
          </w:p>
        </w:tc>
        <w:tc>
          <w:tcPr>
            <w:tcW w:w="2418" w:type="dxa"/>
            <w:tcBorders>
              <w:top w:val="single" w:color="auto" w:sz="4" w:space="0"/>
              <w:left w:val="single" w:color="auto" w:sz="4" w:space="0"/>
              <w:bottom w:val="single" w:color="auto" w:sz="4" w:space="0"/>
              <w:right w:val="single" w:color="auto" w:sz="4" w:space="0"/>
            </w:tcBorders>
            <w:noWrap w:val="0"/>
            <w:vAlign w:val="center"/>
          </w:tcPr>
          <w:p>
            <w:pPr>
              <w:numPr>
                <w:ilvl w:val="0"/>
                <w:numId w:val="110"/>
              </w:numPr>
              <w:spacing w:line="280" w:lineRule="exact"/>
              <w:rPr>
                <w:rFonts w:ascii="宋体" w:hAnsi="宋体"/>
                <w:szCs w:val="21"/>
              </w:rPr>
            </w:pPr>
            <w:r>
              <w:rPr>
                <w:rFonts w:hint="eastAsia" w:ascii="宋体" w:hAnsi="宋体"/>
                <w:szCs w:val="21"/>
              </w:rPr>
              <w:t>用抹布将电梯门的浮灰从上而下擦拭干净</w:t>
            </w:r>
          </w:p>
          <w:p>
            <w:pPr>
              <w:numPr>
                <w:ilvl w:val="0"/>
                <w:numId w:val="110"/>
              </w:numPr>
              <w:spacing w:line="280" w:lineRule="exact"/>
              <w:rPr>
                <w:rFonts w:ascii="宋体" w:hAnsi="宋体"/>
                <w:szCs w:val="21"/>
              </w:rPr>
            </w:pPr>
            <w:r>
              <w:rPr>
                <w:rFonts w:hint="eastAsia" w:ascii="宋体" w:hAnsi="宋体"/>
                <w:szCs w:val="21"/>
              </w:rPr>
              <w:t>均匀喷上金属光亮剂，用抹布擦拭直至光亮</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每天一次</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扶手</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无灰尘、斑迹，干净明亮</w:t>
            </w:r>
          </w:p>
        </w:tc>
        <w:tc>
          <w:tcPr>
            <w:tcW w:w="2418" w:type="dxa"/>
            <w:tcBorders>
              <w:top w:val="single" w:color="auto" w:sz="4" w:space="0"/>
              <w:left w:val="single" w:color="auto" w:sz="4" w:space="0"/>
              <w:bottom w:val="single" w:color="auto" w:sz="4" w:space="0"/>
              <w:right w:val="single" w:color="auto" w:sz="4" w:space="0"/>
            </w:tcBorders>
            <w:noWrap w:val="0"/>
            <w:vAlign w:val="center"/>
          </w:tcPr>
          <w:p>
            <w:pPr>
              <w:numPr>
                <w:ilvl w:val="0"/>
                <w:numId w:val="111"/>
              </w:numPr>
              <w:spacing w:line="280" w:lineRule="exact"/>
              <w:rPr>
                <w:rFonts w:ascii="宋体" w:hAnsi="宋体"/>
                <w:szCs w:val="21"/>
              </w:rPr>
            </w:pPr>
            <w:r>
              <w:rPr>
                <w:rFonts w:hint="eastAsia" w:ascii="宋体" w:hAnsi="宋体"/>
                <w:szCs w:val="21"/>
              </w:rPr>
              <w:t>用抹布将电梯门的浮灰从上而下擦拭干净</w:t>
            </w:r>
          </w:p>
          <w:p>
            <w:pPr>
              <w:numPr>
                <w:ilvl w:val="0"/>
                <w:numId w:val="111"/>
              </w:numPr>
              <w:spacing w:line="280" w:lineRule="exact"/>
              <w:rPr>
                <w:rFonts w:ascii="宋体" w:hAnsi="宋体"/>
                <w:szCs w:val="21"/>
              </w:rPr>
            </w:pPr>
            <w:r>
              <w:rPr>
                <w:rFonts w:hint="eastAsia" w:ascii="宋体" w:hAnsi="宋体"/>
                <w:szCs w:val="21"/>
              </w:rPr>
              <w:t>均匀喷上金属光亮剂，用抹布擦拭直至光亮</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每天一次</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换气扇及罩</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无灰尘，干净明亮</w:t>
            </w:r>
          </w:p>
        </w:tc>
        <w:tc>
          <w:tcPr>
            <w:tcW w:w="241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用干抹布擦拭换气口至洁净</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每天一次</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电话机</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清洁，无污迹、异味</w:t>
            </w:r>
          </w:p>
        </w:tc>
        <w:tc>
          <w:tcPr>
            <w:tcW w:w="2418" w:type="dxa"/>
            <w:tcBorders>
              <w:top w:val="single" w:color="auto" w:sz="4" w:space="0"/>
              <w:left w:val="single" w:color="auto" w:sz="4" w:space="0"/>
              <w:bottom w:val="single" w:color="auto" w:sz="4" w:space="0"/>
              <w:right w:val="single" w:color="auto" w:sz="4" w:space="0"/>
            </w:tcBorders>
            <w:noWrap w:val="0"/>
            <w:vAlign w:val="center"/>
          </w:tcPr>
          <w:p>
            <w:pPr>
              <w:numPr>
                <w:ilvl w:val="0"/>
                <w:numId w:val="112"/>
              </w:numPr>
              <w:spacing w:line="280" w:lineRule="exact"/>
              <w:rPr>
                <w:rFonts w:ascii="宋体" w:hAnsi="宋体"/>
                <w:szCs w:val="21"/>
              </w:rPr>
            </w:pPr>
            <w:r>
              <w:rPr>
                <w:rFonts w:hint="eastAsia" w:ascii="宋体" w:hAnsi="宋体"/>
                <w:szCs w:val="21"/>
              </w:rPr>
              <w:t>用抹布蘸牙膏擦拭污迹</w:t>
            </w:r>
          </w:p>
          <w:p>
            <w:pPr>
              <w:numPr>
                <w:ilvl w:val="0"/>
                <w:numId w:val="112"/>
              </w:numPr>
              <w:spacing w:line="280" w:lineRule="exact"/>
              <w:rPr>
                <w:rFonts w:ascii="宋体" w:hAnsi="宋体"/>
                <w:szCs w:val="21"/>
              </w:rPr>
            </w:pPr>
            <w:r>
              <w:rPr>
                <w:rFonts w:hint="eastAsia" w:ascii="宋体" w:hAnsi="宋体"/>
                <w:szCs w:val="21"/>
              </w:rPr>
              <w:t>用酒精棉球擦拭听话筒</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每天一次</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p>
        </w:tc>
      </w:tr>
    </w:tbl>
    <w:p>
      <w:pPr>
        <w:spacing w:before="100" w:beforeAutospacing="1" w:line="360" w:lineRule="auto"/>
        <w:ind w:firstLine="161" w:firstLineChars="67"/>
        <w:rPr>
          <w:rFonts w:ascii="宋体" w:hAnsi="宋体"/>
          <w:b/>
          <w:sz w:val="24"/>
        </w:rPr>
      </w:pPr>
      <w:r>
        <w:rPr>
          <w:rFonts w:hint="eastAsia" w:ascii="宋体" w:hAnsi="宋体"/>
          <w:b/>
          <w:sz w:val="24"/>
        </w:rPr>
        <w:t>3.3  医用器物日常保洁项目要求</w:t>
      </w:r>
    </w:p>
    <w:tbl>
      <w:tblPr>
        <w:tblStyle w:val="7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721"/>
        <w:gridCol w:w="2364"/>
        <w:gridCol w:w="1771"/>
        <w:gridCol w:w="1476"/>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项目</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right="252" w:rightChars="120"/>
              <w:jc w:val="center"/>
              <w:rPr>
                <w:rFonts w:ascii="宋体" w:hAnsi="宋体"/>
                <w:b/>
                <w:szCs w:val="21"/>
              </w:rPr>
            </w:pPr>
            <w:r>
              <w:rPr>
                <w:rFonts w:hint="eastAsia" w:ascii="宋体" w:hAnsi="宋体"/>
                <w:b/>
                <w:szCs w:val="21"/>
              </w:rPr>
              <w:t>标准</w:t>
            </w:r>
          </w:p>
          <w:p>
            <w:pPr>
              <w:spacing w:line="260" w:lineRule="exact"/>
              <w:ind w:right="252" w:rightChars="120"/>
              <w:jc w:val="center"/>
              <w:rPr>
                <w:rFonts w:ascii="宋体" w:hAnsi="宋体"/>
                <w:b/>
                <w:szCs w:val="21"/>
              </w:rPr>
            </w:pPr>
            <w:r>
              <w:rPr>
                <w:rFonts w:hint="eastAsia" w:ascii="宋体" w:hAnsi="宋体"/>
                <w:b/>
                <w:szCs w:val="21"/>
              </w:rPr>
              <w:t>（质量要求）</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程序</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频次</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注意事项</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工具</w:t>
            </w:r>
          </w:p>
          <w:p>
            <w:pPr>
              <w:spacing w:line="260" w:lineRule="exact"/>
              <w:jc w:val="center"/>
              <w:rPr>
                <w:rFonts w:ascii="宋体" w:hAnsi="宋体"/>
                <w:b/>
                <w:szCs w:val="21"/>
              </w:rPr>
            </w:pPr>
            <w:r>
              <w:rPr>
                <w:rFonts w:hint="eastAsia" w:ascii="宋体" w:hAnsi="宋体"/>
                <w:b/>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电开水炉</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表面无灰尘、污迹，洁净光亮</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用干净抹布擦拭至洁净</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每天一次</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r>
              <w:rPr>
                <w:rFonts w:hint="eastAsia" w:ascii="宋体" w:hAnsi="宋体"/>
                <w:szCs w:val="21"/>
              </w:rPr>
              <w:t>防止烫伤、触电</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氧气瓶、架</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无灰尘、污迹、漏气，标识清晰，分区存放，有“空”、 “满” 、“禁火”警示标识</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用干净抹布擦拭至洁净</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每天一次</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r>
              <w:rPr>
                <w:rFonts w:hint="eastAsia" w:ascii="宋体" w:hAnsi="宋体"/>
                <w:szCs w:val="21"/>
              </w:rPr>
              <w:t>抹布不可沾有油脂</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r>
              <w:rPr>
                <w:rFonts w:hint="eastAsia" w:ascii="宋体" w:hAnsi="宋体"/>
                <w:szCs w:val="21"/>
              </w:rPr>
              <w:t>抹布（百洁布）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医疗废弃物容器</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外表无污迹、洁净光亮，无异味，废弃物勿外露</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numPr>
                <w:ilvl w:val="0"/>
                <w:numId w:val="113"/>
              </w:numPr>
              <w:rPr>
                <w:rFonts w:ascii="宋体" w:hAnsi="宋体"/>
                <w:szCs w:val="21"/>
              </w:rPr>
            </w:pPr>
            <w:r>
              <w:rPr>
                <w:rFonts w:hint="eastAsia" w:ascii="宋体" w:hAnsi="宋体"/>
                <w:szCs w:val="21"/>
              </w:rPr>
              <w:t>戴手套取出垃圾袋，口扎紧放入保洁工作车内</w:t>
            </w:r>
          </w:p>
          <w:p>
            <w:pPr>
              <w:numPr>
                <w:ilvl w:val="0"/>
                <w:numId w:val="113"/>
              </w:numPr>
              <w:rPr>
                <w:rFonts w:ascii="宋体" w:hAnsi="宋体"/>
                <w:szCs w:val="21"/>
              </w:rPr>
            </w:pPr>
            <w:r>
              <w:rPr>
                <w:rFonts w:hint="eastAsia" w:ascii="宋体" w:hAnsi="宋体"/>
                <w:szCs w:val="21"/>
              </w:rPr>
              <w:t>用清洁剂刷洗</w:t>
            </w:r>
          </w:p>
          <w:p>
            <w:pPr>
              <w:numPr>
                <w:ilvl w:val="0"/>
                <w:numId w:val="113"/>
              </w:numPr>
              <w:rPr>
                <w:rFonts w:ascii="宋体" w:hAnsi="宋体"/>
                <w:szCs w:val="21"/>
              </w:rPr>
            </w:pPr>
            <w:r>
              <w:rPr>
                <w:rFonts w:hint="eastAsia" w:ascii="宋体" w:hAnsi="宋体"/>
                <w:szCs w:val="21"/>
              </w:rPr>
              <w:t>用干抹布擦干净</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numPr>
                <w:ilvl w:val="0"/>
                <w:numId w:val="114"/>
              </w:numPr>
              <w:rPr>
                <w:rFonts w:ascii="宋体" w:hAnsi="宋体"/>
                <w:szCs w:val="21"/>
              </w:rPr>
            </w:pPr>
            <w:r>
              <w:rPr>
                <w:rFonts w:hint="eastAsia" w:ascii="宋体" w:hAnsi="宋体"/>
                <w:szCs w:val="21"/>
              </w:rPr>
              <w:t>每天一次</w:t>
            </w:r>
          </w:p>
          <w:p>
            <w:pPr>
              <w:numPr>
                <w:ilvl w:val="0"/>
                <w:numId w:val="114"/>
              </w:numPr>
              <w:rPr>
                <w:rFonts w:ascii="宋体" w:hAnsi="宋体"/>
                <w:szCs w:val="21"/>
              </w:rPr>
            </w:pPr>
            <w:r>
              <w:rPr>
                <w:rFonts w:hint="eastAsia" w:ascii="宋体" w:hAnsi="宋体"/>
                <w:szCs w:val="21"/>
              </w:rPr>
              <w:t>特殊区域二次</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r>
              <w:rPr>
                <w:rFonts w:hint="eastAsia" w:ascii="宋体" w:hAnsi="宋体"/>
                <w:szCs w:val="21"/>
              </w:rPr>
              <w:t>处置时满足院感规定，周边墙壁不可有污迹、不可漫溢</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r>
              <w:rPr>
                <w:rFonts w:hint="eastAsia" w:ascii="宋体" w:hAnsi="宋体"/>
                <w:szCs w:val="21"/>
              </w:rPr>
              <w:t>手套、抹布、刷子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病历车</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无灰尘、污迹、水迹，光亮洁净</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numPr>
                <w:ilvl w:val="0"/>
                <w:numId w:val="115"/>
              </w:numPr>
              <w:spacing w:line="260" w:lineRule="exact"/>
              <w:rPr>
                <w:rFonts w:ascii="宋体" w:hAnsi="宋体"/>
                <w:szCs w:val="21"/>
              </w:rPr>
            </w:pPr>
            <w:r>
              <w:rPr>
                <w:rFonts w:hint="eastAsia" w:ascii="宋体" w:hAnsi="宋体"/>
                <w:szCs w:val="21"/>
              </w:rPr>
              <w:t>用拧干水分的干净抹布擦拭灰尘污迹至光亮</w:t>
            </w:r>
          </w:p>
          <w:p>
            <w:pPr>
              <w:numPr>
                <w:ilvl w:val="0"/>
                <w:numId w:val="115"/>
              </w:numPr>
              <w:spacing w:line="260" w:lineRule="exact"/>
              <w:rPr>
                <w:rFonts w:ascii="宋体" w:hAnsi="宋体"/>
                <w:szCs w:val="21"/>
              </w:rPr>
            </w:pPr>
            <w:r>
              <w:rPr>
                <w:rFonts w:hint="eastAsia" w:ascii="宋体" w:hAnsi="宋体"/>
                <w:szCs w:val="21"/>
              </w:rPr>
              <w:t>用牙刷剔除车轮上缠绕物</w:t>
            </w:r>
          </w:p>
          <w:p>
            <w:pPr>
              <w:numPr>
                <w:ilvl w:val="0"/>
                <w:numId w:val="115"/>
              </w:numPr>
              <w:spacing w:line="260" w:lineRule="exact"/>
              <w:rPr>
                <w:rFonts w:ascii="宋体" w:hAnsi="宋体"/>
                <w:szCs w:val="21"/>
              </w:rPr>
            </w:pPr>
            <w:r>
              <w:rPr>
                <w:rFonts w:hint="eastAsia" w:ascii="宋体" w:hAnsi="宋体"/>
                <w:szCs w:val="21"/>
              </w:rPr>
              <w:t>定期给车轮轴注矿物油</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numPr>
                <w:ilvl w:val="0"/>
                <w:numId w:val="116"/>
              </w:numPr>
              <w:tabs>
                <w:tab w:val="left" w:pos="360"/>
              </w:tabs>
              <w:rPr>
                <w:rFonts w:ascii="宋体" w:hAnsi="宋体"/>
                <w:szCs w:val="21"/>
              </w:rPr>
            </w:pPr>
            <w:r>
              <w:rPr>
                <w:rFonts w:hint="eastAsia" w:ascii="宋体" w:hAnsi="宋体"/>
                <w:szCs w:val="21"/>
              </w:rPr>
              <w:t>每天一次</w:t>
            </w:r>
          </w:p>
          <w:p>
            <w:pPr>
              <w:numPr>
                <w:ilvl w:val="0"/>
                <w:numId w:val="116"/>
              </w:numPr>
              <w:tabs>
                <w:tab w:val="left" w:pos="360"/>
              </w:tabs>
              <w:rPr>
                <w:rFonts w:ascii="宋体" w:hAnsi="宋体"/>
                <w:szCs w:val="21"/>
              </w:rPr>
            </w:pPr>
            <w:r>
              <w:rPr>
                <w:rFonts w:hint="eastAsia" w:ascii="宋体" w:hAnsi="宋体"/>
                <w:szCs w:val="21"/>
              </w:rPr>
              <w:t>每周彻底清洁一次</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r>
              <w:rPr>
                <w:rFonts w:hint="eastAsia" w:ascii="宋体" w:hAnsi="宋体"/>
                <w:szCs w:val="21"/>
              </w:rPr>
              <w:t>不可把病历淋湿或污染，对出现问题的及时报修</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r>
              <w:rPr>
                <w:rFonts w:hint="eastAsia" w:ascii="宋体" w:hAnsi="宋体"/>
                <w:szCs w:val="21"/>
              </w:rPr>
              <w:t>抹布（百洁布）、牙刷、清洁剂、矿物油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治疗车</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无灰尘、污迹、水迹，光亮洁净</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ind w:left="360" w:hanging="360"/>
              <w:jc w:val="center"/>
              <w:rPr>
                <w:rFonts w:ascii="宋体" w:hAnsi="宋体"/>
                <w:szCs w:val="21"/>
              </w:rPr>
            </w:pPr>
            <w:r>
              <w:rPr>
                <w:rFonts w:hint="eastAsia" w:ascii="宋体" w:hAnsi="宋体"/>
                <w:szCs w:val="21"/>
              </w:rPr>
              <w:t>同上</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numPr>
                <w:ilvl w:val="0"/>
                <w:numId w:val="117"/>
              </w:numPr>
              <w:tabs>
                <w:tab w:val="left" w:pos="360"/>
              </w:tabs>
              <w:rPr>
                <w:rFonts w:ascii="宋体" w:hAnsi="宋体"/>
                <w:szCs w:val="21"/>
              </w:rPr>
            </w:pPr>
            <w:r>
              <w:rPr>
                <w:rFonts w:hint="eastAsia" w:ascii="宋体" w:hAnsi="宋体"/>
                <w:szCs w:val="21"/>
              </w:rPr>
              <w:t>每天一次</w:t>
            </w:r>
          </w:p>
          <w:p>
            <w:pPr>
              <w:numPr>
                <w:ilvl w:val="0"/>
                <w:numId w:val="117"/>
              </w:numPr>
              <w:tabs>
                <w:tab w:val="left" w:pos="360"/>
              </w:tabs>
              <w:rPr>
                <w:rFonts w:ascii="宋体" w:hAnsi="宋体"/>
                <w:szCs w:val="21"/>
              </w:rPr>
            </w:pPr>
            <w:r>
              <w:rPr>
                <w:rFonts w:hint="eastAsia" w:ascii="宋体" w:hAnsi="宋体"/>
                <w:szCs w:val="21"/>
              </w:rPr>
              <w:t>每周彻底清</w:t>
            </w:r>
          </w:p>
          <w:p>
            <w:pPr>
              <w:tabs>
                <w:tab w:val="left" w:pos="360"/>
              </w:tabs>
              <w:ind w:left="420"/>
              <w:rPr>
                <w:rFonts w:ascii="宋体" w:hAnsi="宋体"/>
                <w:szCs w:val="21"/>
              </w:rPr>
            </w:pPr>
            <w:r>
              <w:rPr>
                <w:rFonts w:hint="eastAsia" w:ascii="宋体" w:hAnsi="宋体"/>
                <w:szCs w:val="21"/>
              </w:rPr>
              <w:t>洁一次</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r>
              <w:rPr>
                <w:rFonts w:hint="eastAsia" w:ascii="宋体" w:hAnsi="宋体"/>
                <w:szCs w:val="21"/>
              </w:rPr>
              <w:t>对出现问题的及时报修</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r>
              <w:rPr>
                <w:rFonts w:hint="eastAsia" w:ascii="宋体" w:hAnsi="宋体"/>
                <w:szCs w:val="21"/>
              </w:rPr>
              <w:t>抹布（百洁布）、牙刷、清洁剂、矿物油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护理车</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无灰尘、污迹、水迹，光亮洁净</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ind w:left="360" w:hanging="360"/>
              <w:jc w:val="center"/>
              <w:rPr>
                <w:rFonts w:ascii="宋体" w:hAnsi="宋体"/>
                <w:szCs w:val="21"/>
              </w:rPr>
            </w:pPr>
            <w:r>
              <w:rPr>
                <w:rFonts w:hint="eastAsia" w:ascii="宋体" w:hAnsi="宋体"/>
                <w:szCs w:val="21"/>
              </w:rPr>
              <w:t>同上</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numPr>
                <w:ilvl w:val="0"/>
                <w:numId w:val="118"/>
              </w:numPr>
              <w:tabs>
                <w:tab w:val="left" w:pos="360"/>
              </w:tabs>
              <w:rPr>
                <w:rFonts w:ascii="宋体" w:hAnsi="宋体"/>
                <w:szCs w:val="21"/>
              </w:rPr>
            </w:pPr>
            <w:r>
              <w:rPr>
                <w:rFonts w:hint="eastAsia" w:ascii="宋体" w:hAnsi="宋体"/>
                <w:szCs w:val="21"/>
              </w:rPr>
              <w:t>每天一次</w:t>
            </w:r>
          </w:p>
          <w:p>
            <w:pPr>
              <w:numPr>
                <w:ilvl w:val="0"/>
                <w:numId w:val="118"/>
              </w:numPr>
              <w:tabs>
                <w:tab w:val="left" w:pos="360"/>
              </w:tabs>
              <w:rPr>
                <w:rFonts w:ascii="宋体" w:hAnsi="宋体"/>
                <w:szCs w:val="21"/>
              </w:rPr>
            </w:pPr>
            <w:r>
              <w:rPr>
                <w:rFonts w:hint="eastAsia" w:ascii="宋体" w:hAnsi="宋体"/>
                <w:szCs w:val="21"/>
              </w:rPr>
              <w:t>每周彻底清洁一次</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r>
              <w:rPr>
                <w:rFonts w:hint="eastAsia" w:ascii="宋体" w:hAnsi="宋体"/>
                <w:szCs w:val="21"/>
              </w:rPr>
              <w:t>对出现问题的及时报修</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r>
              <w:rPr>
                <w:rFonts w:hint="eastAsia" w:ascii="宋体" w:hAnsi="宋体"/>
                <w:szCs w:val="21"/>
              </w:rPr>
              <w:t>抹布（百洁布）、牙刷、清洁剂、矿物油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发药车</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无灰尘、污迹，完好</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ind w:left="360" w:hanging="360"/>
              <w:jc w:val="center"/>
              <w:rPr>
                <w:rFonts w:ascii="宋体" w:hAnsi="宋体"/>
                <w:szCs w:val="21"/>
              </w:rPr>
            </w:pPr>
            <w:r>
              <w:rPr>
                <w:rFonts w:hint="eastAsia" w:ascii="宋体" w:hAnsi="宋体"/>
                <w:szCs w:val="21"/>
              </w:rPr>
              <w:t>同上</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numPr>
                <w:ilvl w:val="0"/>
                <w:numId w:val="119"/>
              </w:numPr>
              <w:tabs>
                <w:tab w:val="left" w:pos="360"/>
              </w:tabs>
              <w:rPr>
                <w:rFonts w:ascii="宋体" w:hAnsi="宋体"/>
                <w:szCs w:val="21"/>
              </w:rPr>
            </w:pPr>
            <w:r>
              <w:rPr>
                <w:rFonts w:hint="eastAsia" w:ascii="宋体" w:hAnsi="宋体"/>
                <w:szCs w:val="21"/>
              </w:rPr>
              <w:t>每天一次</w:t>
            </w:r>
          </w:p>
          <w:p>
            <w:pPr>
              <w:numPr>
                <w:ilvl w:val="0"/>
                <w:numId w:val="119"/>
              </w:numPr>
              <w:tabs>
                <w:tab w:val="left" w:pos="360"/>
              </w:tabs>
              <w:rPr>
                <w:rFonts w:ascii="宋体" w:hAnsi="宋体"/>
                <w:szCs w:val="21"/>
              </w:rPr>
            </w:pPr>
            <w:r>
              <w:rPr>
                <w:rFonts w:hint="eastAsia" w:ascii="宋体" w:hAnsi="宋体"/>
                <w:szCs w:val="21"/>
              </w:rPr>
              <w:t>每周彻底清洁一次</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r>
              <w:rPr>
                <w:rFonts w:hint="eastAsia" w:ascii="宋体" w:hAnsi="宋体"/>
                <w:szCs w:val="21"/>
              </w:rPr>
              <w:t>不可忽略抽屉内的卫生，对出现问题的及时报修</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szCs w:val="21"/>
              </w:rPr>
            </w:pPr>
            <w:r>
              <w:rPr>
                <w:rFonts w:hint="eastAsia" w:ascii="宋体" w:hAnsi="宋体"/>
                <w:szCs w:val="21"/>
              </w:rPr>
              <w:t>抹布（百洁布）、牙刷、清洁剂、矿物油</w:t>
            </w:r>
          </w:p>
        </w:tc>
      </w:tr>
    </w:tbl>
    <w:p>
      <w:pPr>
        <w:spacing w:before="100" w:beforeAutospacing="1" w:line="360" w:lineRule="auto"/>
        <w:ind w:firstLine="161" w:firstLineChars="67"/>
        <w:rPr>
          <w:rFonts w:ascii="宋体" w:hAnsi="宋体"/>
          <w:b/>
          <w:sz w:val="24"/>
        </w:rPr>
      </w:pPr>
      <w:r>
        <w:rPr>
          <w:rFonts w:hint="eastAsia" w:ascii="宋体" w:hAnsi="宋体"/>
          <w:b/>
          <w:sz w:val="24"/>
        </w:rPr>
        <w:t>3.4  行政区域日常保洁项目要求</w:t>
      </w:r>
    </w:p>
    <w:tbl>
      <w:tblPr>
        <w:tblStyle w:val="7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767"/>
        <w:gridCol w:w="2434"/>
        <w:gridCol w:w="1800"/>
        <w:gridCol w:w="1474"/>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项目</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标准</w:t>
            </w:r>
          </w:p>
          <w:p>
            <w:pPr>
              <w:spacing w:line="260" w:lineRule="exact"/>
              <w:jc w:val="center"/>
              <w:rPr>
                <w:rFonts w:ascii="宋体" w:hAnsi="宋体"/>
                <w:b/>
                <w:szCs w:val="21"/>
              </w:rPr>
            </w:pPr>
            <w:r>
              <w:rPr>
                <w:rFonts w:hint="eastAsia" w:ascii="宋体" w:hAnsi="宋体"/>
                <w:b/>
                <w:szCs w:val="21"/>
              </w:rPr>
              <w:t>（质量要求）</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程序</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频次</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注意事项</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工具</w:t>
            </w:r>
          </w:p>
          <w:p>
            <w:pPr>
              <w:spacing w:line="260" w:lineRule="exact"/>
              <w:jc w:val="center"/>
              <w:rPr>
                <w:rFonts w:ascii="宋体" w:hAnsi="宋体"/>
                <w:b/>
                <w:szCs w:val="21"/>
              </w:rPr>
            </w:pPr>
            <w:r>
              <w:rPr>
                <w:rFonts w:hint="eastAsia" w:ascii="宋体" w:hAnsi="宋体"/>
                <w:b/>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门、防火通道图</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无浮灰、手印、斑迹，光亮</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用抹布擦净门面、框、把手</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每周两次</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对出现问题的及时报修</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抹布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地面</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无灰尘、污迹、水迹，清洁、干净、无斑迹</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numPr>
                <w:ilvl w:val="0"/>
                <w:numId w:val="120"/>
              </w:numPr>
              <w:spacing w:line="260" w:lineRule="exact"/>
              <w:rPr>
                <w:rFonts w:ascii="宋体" w:hAnsi="宋体"/>
                <w:szCs w:val="21"/>
              </w:rPr>
            </w:pPr>
            <w:r>
              <w:rPr>
                <w:rFonts w:hint="eastAsia" w:ascii="宋体" w:hAnsi="宋体"/>
                <w:szCs w:val="21"/>
              </w:rPr>
              <w:t>用扫把清扫干净</w:t>
            </w:r>
          </w:p>
          <w:p>
            <w:pPr>
              <w:numPr>
                <w:ilvl w:val="0"/>
                <w:numId w:val="120"/>
              </w:numPr>
              <w:spacing w:line="260" w:lineRule="exact"/>
              <w:rPr>
                <w:rFonts w:ascii="宋体" w:hAnsi="宋体"/>
                <w:szCs w:val="21"/>
              </w:rPr>
            </w:pPr>
            <w:r>
              <w:rPr>
                <w:rFonts w:hint="eastAsia" w:ascii="宋体" w:hAnsi="宋体"/>
                <w:szCs w:val="21"/>
              </w:rPr>
              <w:t>用吸尘器吸尘</w:t>
            </w:r>
          </w:p>
          <w:p>
            <w:pPr>
              <w:numPr>
                <w:ilvl w:val="0"/>
                <w:numId w:val="120"/>
              </w:numPr>
              <w:spacing w:line="260" w:lineRule="exact"/>
              <w:rPr>
                <w:rFonts w:ascii="宋体" w:hAnsi="宋体"/>
                <w:szCs w:val="21"/>
              </w:rPr>
            </w:pPr>
            <w:r>
              <w:rPr>
                <w:rFonts w:hint="eastAsia" w:ascii="宋体" w:hAnsi="宋体"/>
                <w:szCs w:val="21"/>
              </w:rPr>
              <w:t>对黏附在地毯上的污物清扫干净</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numPr>
                <w:ilvl w:val="0"/>
                <w:numId w:val="121"/>
              </w:numPr>
              <w:spacing w:line="260" w:lineRule="exact"/>
              <w:rPr>
                <w:rFonts w:ascii="宋体" w:hAnsi="宋体"/>
                <w:szCs w:val="21"/>
              </w:rPr>
            </w:pPr>
            <w:r>
              <w:rPr>
                <w:rFonts w:hint="eastAsia" w:ascii="宋体" w:hAnsi="宋体"/>
                <w:szCs w:val="21"/>
              </w:rPr>
              <w:t>每天清扫一次</w:t>
            </w:r>
          </w:p>
          <w:p>
            <w:pPr>
              <w:numPr>
                <w:ilvl w:val="0"/>
                <w:numId w:val="121"/>
              </w:numPr>
              <w:spacing w:line="260" w:lineRule="exact"/>
              <w:rPr>
                <w:rFonts w:ascii="宋体" w:hAnsi="宋体"/>
                <w:szCs w:val="21"/>
              </w:rPr>
            </w:pPr>
            <w:r>
              <w:rPr>
                <w:rFonts w:hint="eastAsia" w:ascii="宋体" w:hAnsi="宋体"/>
                <w:szCs w:val="21"/>
              </w:rPr>
              <w:t>每周吸尘一次</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注意踢脚线卫生</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扫把、吸尘器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文件柜、储物柜等家具</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无灰尘、污迹，干净</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numPr>
                <w:ilvl w:val="0"/>
                <w:numId w:val="122"/>
              </w:numPr>
              <w:spacing w:line="260" w:lineRule="exact"/>
              <w:rPr>
                <w:rFonts w:ascii="宋体" w:hAnsi="宋体"/>
                <w:szCs w:val="21"/>
              </w:rPr>
            </w:pPr>
            <w:r>
              <w:rPr>
                <w:rFonts w:hint="eastAsia" w:ascii="宋体" w:hAnsi="宋体"/>
                <w:szCs w:val="21"/>
              </w:rPr>
              <w:t>用抹布擦拭表面</w:t>
            </w:r>
          </w:p>
          <w:p>
            <w:pPr>
              <w:numPr>
                <w:ilvl w:val="0"/>
                <w:numId w:val="122"/>
              </w:numPr>
              <w:spacing w:line="260" w:lineRule="exact"/>
              <w:rPr>
                <w:rFonts w:ascii="宋体" w:hAnsi="宋体"/>
                <w:szCs w:val="21"/>
              </w:rPr>
            </w:pPr>
            <w:r>
              <w:rPr>
                <w:rFonts w:hint="eastAsia" w:ascii="宋体" w:hAnsi="宋体"/>
                <w:szCs w:val="21"/>
              </w:rPr>
              <w:t>对污迹处用清洁剂擦拭</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每周一次</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家具不能擦花，清除残留在家具面上的清洁剂泡沫，除净并擦均匀</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抹布（百洁布）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办公桌</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无灰尘、污迹，干净</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numPr>
                <w:ilvl w:val="0"/>
                <w:numId w:val="123"/>
              </w:numPr>
              <w:spacing w:line="260" w:lineRule="exact"/>
              <w:rPr>
                <w:rFonts w:ascii="宋体" w:hAnsi="宋体"/>
                <w:szCs w:val="21"/>
              </w:rPr>
            </w:pPr>
            <w:r>
              <w:rPr>
                <w:rFonts w:hint="eastAsia" w:ascii="宋体" w:hAnsi="宋体"/>
                <w:szCs w:val="21"/>
              </w:rPr>
              <w:t>用抹布擦拭表面</w:t>
            </w:r>
          </w:p>
          <w:p>
            <w:pPr>
              <w:numPr>
                <w:ilvl w:val="0"/>
                <w:numId w:val="123"/>
              </w:numPr>
              <w:spacing w:line="260" w:lineRule="exact"/>
              <w:rPr>
                <w:rFonts w:ascii="宋体" w:hAnsi="宋体"/>
                <w:szCs w:val="21"/>
              </w:rPr>
            </w:pPr>
            <w:r>
              <w:rPr>
                <w:rFonts w:hint="eastAsia" w:ascii="宋体" w:hAnsi="宋体"/>
                <w:szCs w:val="21"/>
              </w:rPr>
              <w:t>对污迹处用清洁剂擦拭</w:t>
            </w:r>
            <w:r>
              <w:rPr>
                <w:rFonts w:ascii="宋体" w:hAnsi="宋体"/>
                <w:szCs w:val="21"/>
              </w:rPr>
              <w:t xml:space="preserve"> </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每天一次</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家具不能擦花，清除残留在家具面上的清洁剂泡沫，除净并擦均匀</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szCs w:val="21"/>
              </w:rPr>
            </w:pPr>
            <w:r>
              <w:rPr>
                <w:rFonts w:hint="eastAsia" w:ascii="宋体" w:hAnsi="宋体"/>
                <w:szCs w:val="21"/>
              </w:rPr>
              <w:t>抹布、清洁剂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开关、插座、空调调节器</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无灰尘、污迹，光亮、无破损</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numPr>
                <w:ilvl w:val="0"/>
                <w:numId w:val="124"/>
              </w:numPr>
              <w:spacing w:line="260" w:lineRule="exact"/>
              <w:rPr>
                <w:rFonts w:ascii="宋体" w:hAnsi="宋体"/>
                <w:szCs w:val="21"/>
              </w:rPr>
            </w:pPr>
            <w:r>
              <w:rPr>
                <w:rFonts w:hint="eastAsia" w:ascii="宋体" w:hAnsi="宋体"/>
                <w:szCs w:val="21"/>
              </w:rPr>
              <w:t>抹布抹浮灰</w:t>
            </w:r>
          </w:p>
          <w:p>
            <w:pPr>
              <w:numPr>
                <w:ilvl w:val="0"/>
                <w:numId w:val="124"/>
              </w:numPr>
              <w:spacing w:line="260" w:lineRule="exact"/>
              <w:rPr>
                <w:rFonts w:ascii="宋体" w:hAnsi="宋体"/>
                <w:szCs w:val="21"/>
              </w:rPr>
            </w:pPr>
            <w:r>
              <w:rPr>
                <w:rFonts w:hint="eastAsia" w:ascii="宋体" w:hAnsi="宋体"/>
                <w:szCs w:val="21"/>
              </w:rPr>
              <w:t>用抹布蘸清洁剂去除污迹</w:t>
            </w:r>
          </w:p>
          <w:p>
            <w:pPr>
              <w:numPr>
                <w:ilvl w:val="0"/>
                <w:numId w:val="124"/>
              </w:numPr>
              <w:spacing w:line="260" w:lineRule="exact"/>
              <w:rPr>
                <w:rFonts w:ascii="宋体" w:hAnsi="宋体"/>
                <w:szCs w:val="21"/>
              </w:rPr>
            </w:pPr>
            <w:r>
              <w:rPr>
                <w:rFonts w:hint="eastAsia" w:ascii="宋体" w:hAnsi="宋体"/>
                <w:szCs w:val="21"/>
              </w:rPr>
              <w:t>用干净抹布抹净</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每天一次</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szCs w:val="21"/>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抹布、清洁剂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窗户玻璃、窗框、窗台</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玻璃干净、明亮，无灰尘、污迹，窗框无破损，窗扣完好</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numPr>
                <w:ilvl w:val="0"/>
                <w:numId w:val="125"/>
              </w:numPr>
              <w:spacing w:line="260" w:lineRule="exact"/>
              <w:rPr>
                <w:rFonts w:ascii="宋体" w:hAnsi="宋体"/>
                <w:szCs w:val="21"/>
              </w:rPr>
            </w:pPr>
            <w:r>
              <w:rPr>
                <w:rFonts w:hint="eastAsia" w:ascii="宋体" w:hAnsi="宋体"/>
                <w:szCs w:val="21"/>
              </w:rPr>
              <w:t>用涂水器蘸上清洁剂均匀涂于玻璃表面</w:t>
            </w:r>
          </w:p>
          <w:p>
            <w:pPr>
              <w:numPr>
                <w:ilvl w:val="0"/>
                <w:numId w:val="125"/>
              </w:numPr>
              <w:spacing w:line="260" w:lineRule="exact"/>
              <w:rPr>
                <w:rFonts w:ascii="宋体" w:hAnsi="宋体"/>
                <w:szCs w:val="21"/>
              </w:rPr>
            </w:pPr>
            <w:r>
              <w:rPr>
                <w:rFonts w:hint="eastAsia" w:ascii="宋体" w:hAnsi="宋体"/>
                <w:szCs w:val="21"/>
              </w:rPr>
              <w:t>用刮水器刮除玻璃上污水</w:t>
            </w:r>
          </w:p>
          <w:p>
            <w:pPr>
              <w:numPr>
                <w:ilvl w:val="0"/>
                <w:numId w:val="125"/>
              </w:numPr>
              <w:spacing w:line="260" w:lineRule="exact"/>
              <w:rPr>
                <w:rFonts w:ascii="宋体" w:hAnsi="宋体"/>
                <w:szCs w:val="21"/>
              </w:rPr>
            </w:pPr>
            <w:r>
              <w:rPr>
                <w:rFonts w:hint="eastAsia" w:ascii="宋体" w:hAnsi="宋体"/>
                <w:szCs w:val="21"/>
              </w:rPr>
              <w:t>刮水器刮在玻璃上运行的起止处应是边框到对门边框</w:t>
            </w:r>
          </w:p>
          <w:p>
            <w:pPr>
              <w:numPr>
                <w:ilvl w:val="0"/>
                <w:numId w:val="125"/>
              </w:numPr>
              <w:spacing w:line="260" w:lineRule="exact"/>
              <w:rPr>
                <w:rFonts w:ascii="宋体" w:hAnsi="宋体"/>
                <w:szCs w:val="21"/>
              </w:rPr>
            </w:pPr>
            <w:r>
              <w:rPr>
                <w:rFonts w:hint="eastAsia" w:ascii="宋体" w:hAnsi="宋体"/>
                <w:szCs w:val="21"/>
              </w:rPr>
              <w:t>用力均匀，每刮一回用抹布将刮水器擦干，再行下一回</w:t>
            </w:r>
          </w:p>
          <w:p>
            <w:pPr>
              <w:numPr>
                <w:ilvl w:val="0"/>
                <w:numId w:val="125"/>
              </w:numPr>
              <w:spacing w:line="260" w:lineRule="exact"/>
              <w:rPr>
                <w:rFonts w:ascii="宋体" w:hAnsi="宋体"/>
                <w:szCs w:val="21"/>
              </w:rPr>
            </w:pPr>
            <w:r>
              <w:rPr>
                <w:rFonts w:hint="eastAsia" w:ascii="宋体" w:hAnsi="宋体"/>
                <w:szCs w:val="21"/>
              </w:rPr>
              <w:t>刮洗结束后，要用干净抹布将边框处水道擦去</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每两周一次</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1.污水不可滴落楼下</w:t>
            </w:r>
          </w:p>
          <w:p>
            <w:pPr>
              <w:spacing w:line="260" w:lineRule="exact"/>
              <w:ind w:firstLine="210" w:firstLineChars="100"/>
              <w:rPr>
                <w:rFonts w:ascii="宋体" w:hAnsi="宋体"/>
                <w:szCs w:val="21"/>
              </w:rPr>
            </w:pPr>
            <w:r>
              <w:rPr>
                <w:rFonts w:hint="eastAsia" w:ascii="宋体" w:hAnsi="宋体"/>
                <w:szCs w:val="21"/>
              </w:rPr>
              <w:t>2.高空作业必须系牢安全带，或用升降机、吊篮进行作业</w:t>
            </w:r>
          </w:p>
          <w:p>
            <w:pPr>
              <w:spacing w:line="260" w:lineRule="exact"/>
              <w:ind w:firstLine="210" w:firstLineChars="100"/>
              <w:rPr>
                <w:rFonts w:ascii="宋体" w:hAnsi="宋体"/>
                <w:szCs w:val="21"/>
              </w:rPr>
            </w:pPr>
            <w:r>
              <w:rPr>
                <w:rFonts w:hint="eastAsia" w:ascii="宋体" w:hAnsi="宋体"/>
                <w:szCs w:val="21"/>
              </w:rPr>
              <w:t>3.刮大风、下雨时勿作业</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抹布、清洁剂、刮水器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垃圾桶</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光亮、无污迹、无水迹，周边无垃圾</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numPr>
                <w:ilvl w:val="0"/>
                <w:numId w:val="126"/>
              </w:numPr>
              <w:spacing w:line="260" w:lineRule="exact"/>
              <w:rPr>
                <w:rFonts w:ascii="宋体" w:hAnsi="宋体"/>
                <w:szCs w:val="21"/>
              </w:rPr>
            </w:pPr>
            <w:r>
              <w:rPr>
                <w:rFonts w:hint="eastAsia" w:ascii="宋体" w:hAnsi="宋体"/>
                <w:szCs w:val="21"/>
              </w:rPr>
              <w:t>将垃圾袋取出，口扎紧丢入工作车垃圾桶内</w:t>
            </w:r>
          </w:p>
          <w:p>
            <w:pPr>
              <w:numPr>
                <w:ilvl w:val="0"/>
                <w:numId w:val="126"/>
              </w:numPr>
              <w:spacing w:line="260" w:lineRule="exact"/>
              <w:rPr>
                <w:rFonts w:ascii="宋体" w:hAnsi="宋体"/>
                <w:szCs w:val="21"/>
              </w:rPr>
            </w:pPr>
            <w:r>
              <w:rPr>
                <w:rFonts w:hint="eastAsia" w:ascii="宋体" w:hAnsi="宋体"/>
                <w:szCs w:val="21"/>
              </w:rPr>
              <w:t>用清洁剂刷洗垃圾桶内外</w:t>
            </w:r>
          </w:p>
          <w:p>
            <w:pPr>
              <w:numPr>
                <w:ilvl w:val="0"/>
                <w:numId w:val="126"/>
              </w:numPr>
              <w:spacing w:line="260" w:lineRule="exact"/>
              <w:rPr>
                <w:rFonts w:ascii="宋体" w:hAnsi="宋体"/>
                <w:szCs w:val="21"/>
              </w:rPr>
            </w:pPr>
            <w:r>
              <w:rPr>
                <w:rFonts w:hint="eastAsia" w:ascii="宋体" w:hAnsi="宋体"/>
                <w:szCs w:val="21"/>
              </w:rPr>
              <w:t>擦干、擦净</w:t>
            </w:r>
          </w:p>
          <w:p>
            <w:pPr>
              <w:numPr>
                <w:ilvl w:val="0"/>
                <w:numId w:val="126"/>
              </w:numPr>
              <w:spacing w:line="260" w:lineRule="exact"/>
              <w:rPr>
                <w:rFonts w:ascii="宋体" w:hAnsi="宋体"/>
                <w:szCs w:val="21"/>
              </w:rPr>
            </w:pPr>
            <w:r>
              <w:rPr>
                <w:rFonts w:hint="eastAsia" w:ascii="宋体" w:hAnsi="宋体"/>
                <w:szCs w:val="21"/>
              </w:rPr>
              <w:t>更换干净垃圾袋</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numPr>
                <w:ilvl w:val="0"/>
                <w:numId w:val="127"/>
              </w:numPr>
              <w:spacing w:line="260" w:lineRule="exact"/>
              <w:rPr>
                <w:rFonts w:ascii="宋体" w:hAnsi="宋体"/>
                <w:szCs w:val="21"/>
              </w:rPr>
            </w:pPr>
            <w:r>
              <w:rPr>
                <w:rFonts w:hint="eastAsia" w:ascii="宋体" w:hAnsi="宋体"/>
                <w:szCs w:val="21"/>
              </w:rPr>
              <w:t>每天上、下午各一次</w:t>
            </w:r>
          </w:p>
          <w:p>
            <w:pPr>
              <w:numPr>
                <w:ilvl w:val="0"/>
                <w:numId w:val="127"/>
              </w:numPr>
              <w:spacing w:line="260" w:lineRule="exact"/>
              <w:rPr>
                <w:rFonts w:ascii="宋体" w:hAnsi="宋体"/>
                <w:szCs w:val="21"/>
              </w:rPr>
            </w:pPr>
            <w:r>
              <w:rPr>
                <w:rFonts w:hint="eastAsia" w:ascii="宋体" w:hAnsi="宋体"/>
                <w:szCs w:val="21"/>
              </w:rPr>
              <w:t>随满随倒</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1.垃圾袋平整地套在垃圾桶上，与垃圾桶之间无缝隙，翻边约5厘米,不能漫溢（垃圾不得超过垃圾桶容量的3/4）。</w:t>
            </w:r>
          </w:p>
          <w:p>
            <w:pPr>
              <w:spacing w:line="260" w:lineRule="exact"/>
              <w:ind w:firstLine="210" w:firstLineChars="100"/>
              <w:rPr>
                <w:rFonts w:ascii="宋体" w:hAnsi="宋体"/>
                <w:szCs w:val="21"/>
              </w:rPr>
            </w:pPr>
            <w:r>
              <w:rPr>
                <w:rFonts w:hint="eastAsia" w:ascii="宋体" w:hAnsi="宋体"/>
                <w:szCs w:val="21"/>
              </w:rPr>
              <w:t>2.垃圾桶每月清洗一次</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清洁剂、百洁布、毛刷</w:t>
            </w:r>
          </w:p>
          <w:p>
            <w:pPr>
              <w:spacing w:line="260" w:lineRule="exact"/>
              <w:rPr>
                <w:rFonts w:ascii="宋体" w:hAnsi="宋体"/>
                <w:szCs w:val="21"/>
              </w:rPr>
            </w:pPr>
            <w:r>
              <w:rPr>
                <w:rFonts w:hint="eastAsia" w:ascii="宋体" w:hAnsi="宋体"/>
                <w:szCs w:val="21"/>
              </w:rPr>
              <w:t>抹布、手套、塑料袋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踢脚板</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无污物、斑迹，干净、光亮</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numPr>
                <w:ilvl w:val="0"/>
                <w:numId w:val="128"/>
              </w:numPr>
              <w:spacing w:line="260" w:lineRule="exact"/>
              <w:rPr>
                <w:rFonts w:ascii="宋体" w:hAnsi="宋体"/>
                <w:szCs w:val="21"/>
              </w:rPr>
            </w:pPr>
            <w:r>
              <w:rPr>
                <w:rFonts w:hint="eastAsia" w:ascii="宋体" w:hAnsi="宋体"/>
                <w:szCs w:val="21"/>
              </w:rPr>
              <w:t>用抹布裹着平口起子擦拭踢脚板沟缝内的污迹</w:t>
            </w:r>
          </w:p>
          <w:p>
            <w:pPr>
              <w:numPr>
                <w:ilvl w:val="0"/>
                <w:numId w:val="128"/>
              </w:numPr>
              <w:spacing w:line="260" w:lineRule="exact"/>
              <w:rPr>
                <w:rFonts w:ascii="宋体" w:hAnsi="宋体"/>
                <w:szCs w:val="21"/>
              </w:rPr>
            </w:pPr>
            <w:r>
              <w:rPr>
                <w:rFonts w:hint="eastAsia" w:ascii="宋体" w:hAnsi="宋体"/>
                <w:szCs w:val="21"/>
              </w:rPr>
              <w:t>抹净踢脚板表面</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每周一次</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szCs w:val="21"/>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抹布、平口起子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空调</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无冷凝水，清洁无灰尘</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numPr>
                <w:ilvl w:val="0"/>
                <w:numId w:val="129"/>
              </w:numPr>
              <w:spacing w:line="260" w:lineRule="exact"/>
              <w:rPr>
                <w:rFonts w:ascii="宋体" w:hAnsi="宋体"/>
                <w:szCs w:val="21"/>
              </w:rPr>
            </w:pPr>
            <w:r>
              <w:rPr>
                <w:rFonts w:hint="eastAsia" w:ascii="宋体" w:hAnsi="宋体"/>
                <w:szCs w:val="21"/>
              </w:rPr>
              <w:t>用干抹布抹净空调表面及风叶扇</w:t>
            </w:r>
          </w:p>
          <w:p>
            <w:pPr>
              <w:numPr>
                <w:ilvl w:val="0"/>
                <w:numId w:val="129"/>
              </w:numPr>
              <w:spacing w:line="260" w:lineRule="exact"/>
              <w:rPr>
                <w:rFonts w:ascii="宋体" w:hAnsi="宋体"/>
                <w:szCs w:val="21"/>
              </w:rPr>
            </w:pPr>
            <w:r>
              <w:rPr>
                <w:rFonts w:hint="eastAsia" w:ascii="宋体" w:hAnsi="宋体"/>
                <w:szCs w:val="21"/>
              </w:rPr>
              <w:t>清洗过滤网</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每两周一次</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1.应站在梯子或稳定性较好的支撑物上</w:t>
            </w:r>
          </w:p>
          <w:p>
            <w:pPr>
              <w:spacing w:line="260" w:lineRule="exact"/>
              <w:ind w:firstLine="210" w:firstLineChars="100"/>
              <w:rPr>
                <w:rFonts w:ascii="宋体" w:hAnsi="宋体"/>
                <w:szCs w:val="21"/>
              </w:rPr>
            </w:pPr>
            <w:r>
              <w:rPr>
                <w:rFonts w:hint="eastAsia" w:ascii="宋体" w:hAnsi="宋体"/>
                <w:szCs w:val="21"/>
              </w:rPr>
              <w:t>2.擦拭前拔下空调插头</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梯子、干净抹布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沙发（面、缝隙、脚）</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无灰尘、污物、斑迹、破损，干净、整洁</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numPr>
                <w:ilvl w:val="0"/>
                <w:numId w:val="130"/>
              </w:numPr>
              <w:rPr>
                <w:rFonts w:ascii="宋体" w:hAnsi="宋体"/>
                <w:szCs w:val="21"/>
              </w:rPr>
            </w:pPr>
            <w:r>
              <w:rPr>
                <w:rFonts w:hint="eastAsia" w:ascii="宋体" w:hAnsi="宋体"/>
                <w:szCs w:val="21"/>
              </w:rPr>
              <w:t>用吸尘器将沙发各部位彻底吸尘</w:t>
            </w:r>
          </w:p>
          <w:p>
            <w:pPr>
              <w:numPr>
                <w:ilvl w:val="0"/>
                <w:numId w:val="130"/>
              </w:numPr>
              <w:rPr>
                <w:rFonts w:ascii="宋体" w:hAnsi="宋体"/>
                <w:szCs w:val="21"/>
              </w:rPr>
            </w:pPr>
            <w:r>
              <w:rPr>
                <w:rFonts w:hint="eastAsia" w:ascii="宋体" w:hAnsi="宋体"/>
                <w:szCs w:val="21"/>
              </w:rPr>
              <w:t>针对不同的斑迹，用除油剂和正确配制的TR103,用毛刷刷除</w:t>
            </w:r>
          </w:p>
          <w:p>
            <w:pPr>
              <w:numPr>
                <w:ilvl w:val="0"/>
                <w:numId w:val="130"/>
              </w:numPr>
              <w:rPr>
                <w:rFonts w:ascii="宋体" w:hAnsi="宋体"/>
                <w:szCs w:val="21"/>
              </w:rPr>
            </w:pPr>
            <w:r>
              <w:rPr>
                <w:rFonts w:hint="eastAsia" w:ascii="宋体" w:hAnsi="宋体"/>
                <w:szCs w:val="21"/>
              </w:rPr>
              <w:t>对重污处（扶手、靠背、坐垫等易脏部位）进行刷洗</w:t>
            </w:r>
          </w:p>
          <w:p>
            <w:pPr>
              <w:numPr>
                <w:ilvl w:val="0"/>
                <w:numId w:val="130"/>
              </w:numPr>
              <w:rPr>
                <w:rFonts w:ascii="宋体" w:hAnsi="宋体"/>
                <w:szCs w:val="21"/>
              </w:rPr>
            </w:pPr>
            <w:r>
              <w:rPr>
                <w:rFonts w:hint="eastAsia" w:ascii="宋体" w:hAnsi="宋体"/>
                <w:szCs w:val="21"/>
              </w:rPr>
              <w:t>用干净抹布抹净</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每月一次</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对破损的沙发及时更换或报修</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清洁剂（TR103）、除油剂吸尘器、毛刷、抹布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电话机</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清洁，无污迹、异味</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numPr>
                <w:ilvl w:val="0"/>
                <w:numId w:val="131"/>
              </w:numPr>
              <w:rPr>
                <w:rFonts w:ascii="宋体" w:hAnsi="宋体"/>
                <w:szCs w:val="21"/>
              </w:rPr>
            </w:pPr>
            <w:r>
              <w:rPr>
                <w:rFonts w:hint="eastAsia" w:ascii="宋体" w:hAnsi="宋体"/>
                <w:szCs w:val="21"/>
              </w:rPr>
              <w:t>用抹布蘸牙膏擦拭污迹</w:t>
            </w:r>
          </w:p>
          <w:p>
            <w:pPr>
              <w:numPr>
                <w:ilvl w:val="0"/>
                <w:numId w:val="131"/>
              </w:numPr>
              <w:rPr>
                <w:rFonts w:ascii="宋体" w:hAnsi="宋体"/>
                <w:szCs w:val="21"/>
              </w:rPr>
            </w:pPr>
            <w:r>
              <w:rPr>
                <w:rFonts w:hint="eastAsia" w:ascii="宋体" w:hAnsi="宋体"/>
                <w:szCs w:val="21"/>
              </w:rPr>
              <w:t>用酒精棉球擦拭听话筒</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每2天1次</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清洁时按下电话按键</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szCs w:val="21"/>
              </w:rPr>
            </w:pPr>
            <w:r>
              <w:rPr>
                <w:rFonts w:hint="eastAsia" w:ascii="宋体" w:hAnsi="宋体"/>
                <w:szCs w:val="21"/>
              </w:rPr>
              <w:t>牙膏、抹布、酒精棉球</w:t>
            </w:r>
          </w:p>
        </w:tc>
      </w:tr>
    </w:tbl>
    <w:p>
      <w:pPr>
        <w:tabs>
          <w:tab w:val="left" w:pos="720"/>
        </w:tabs>
        <w:spacing w:before="120" w:beforeLines="50" w:line="360" w:lineRule="auto"/>
        <w:rPr>
          <w:rFonts w:hint="eastAsia" w:ascii="宋体" w:hAnsi="宋体"/>
          <w:b/>
          <w:sz w:val="24"/>
        </w:rPr>
      </w:pPr>
    </w:p>
    <w:p>
      <w:pPr>
        <w:widowControl/>
        <w:spacing w:after="120" w:afterLines="50"/>
        <w:jc w:val="center"/>
        <w:rPr>
          <w:rFonts w:ascii="宋体" w:hAnsi="宋体"/>
          <w:b/>
          <w:sz w:val="24"/>
        </w:rPr>
      </w:pPr>
      <w:r>
        <w:rPr>
          <w:rFonts w:hint="eastAsia" w:ascii="宋体" w:hAnsi="宋体"/>
          <w:b/>
          <w:sz w:val="24"/>
        </w:rPr>
        <w:t>（四）保洁服务质量要求及考核标准</w:t>
      </w:r>
    </w:p>
    <w:tbl>
      <w:tblPr>
        <w:tblStyle w:val="70"/>
        <w:tblW w:w="0" w:type="auto"/>
        <w:tblInd w:w="-568" w:type="dxa"/>
        <w:tblLayout w:type="fixed"/>
        <w:tblCellMar>
          <w:top w:w="0" w:type="dxa"/>
          <w:left w:w="0" w:type="dxa"/>
          <w:bottom w:w="0" w:type="dxa"/>
          <w:right w:w="0" w:type="dxa"/>
        </w:tblCellMar>
      </w:tblPr>
      <w:tblGrid>
        <w:gridCol w:w="2346"/>
        <w:gridCol w:w="6601"/>
        <w:gridCol w:w="1400"/>
      </w:tblGrid>
      <w:tr>
        <w:tblPrEx>
          <w:tblCellMar>
            <w:top w:w="0" w:type="dxa"/>
            <w:left w:w="0" w:type="dxa"/>
            <w:bottom w:w="0" w:type="dxa"/>
            <w:right w:w="0" w:type="dxa"/>
          </w:tblCellMar>
        </w:tblPrEx>
        <w:trPr>
          <w:trHeight w:val="402" w:hRule="atLeast"/>
        </w:trPr>
        <w:tc>
          <w:tcPr>
            <w:tcW w:w="234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b/>
                <w:szCs w:val="21"/>
              </w:rPr>
            </w:pPr>
            <w:r>
              <w:rPr>
                <w:rFonts w:hint="eastAsia" w:ascii="宋体" w:hAnsi="宋体"/>
                <w:b/>
                <w:szCs w:val="21"/>
              </w:rPr>
              <w:t>项目</w:t>
            </w:r>
          </w:p>
        </w:tc>
        <w:tc>
          <w:tcPr>
            <w:tcW w:w="660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b/>
                <w:szCs w:val="21"/>
              </w:rPr>
            </w:pPr>
            <w:r>
              <w:rPr>
                <w:rFonts w:hint="eastAsia" w:ascii="宋体" w:hAnsi="宋体"/>
                <w:b/>
                <w:szCs w:val="21"/>
              </w:rPr>
              <w:t>质量标准</w:t>
            </w:r>
          </w:p>
        </w:tc>
        <w:tc>
          <w:tcPr>
            <w:tcW w:w="1400" w:type="dxa"/>
            <w:tcBorders>
              <w:top w:val="single" w:color="auto" w:sz="4" w:space="0"/>
              <w:bottom w:val="single" w:color="auto" w:sz="4" w:space="0"/>
              <w:right w:val="single" w:color="auto" w:sz="4" w:space="0"/>
            </w:tcBorders>
            <w:noWrap w:val="0"/>
            <w:vAlign w:val="center"/>
          </w:tcPr>
          <w:p>
            <w:pPr>
              <w:widowControl/>
              <w:jc w:val="center"/>
              <w:rPr>
                <w:rFonts w:ascii="宋体" w:hAnsi="宋体"/>
                <w:b/>
                <w:szCs w:val="21"/>
              </w:rPr>
            </w:pPr>
            <w:r>
              <w:rPr>
                <w:rFonts w:hint="eastAsia" w:ascii="宋体" w:hAnsi="宋体"/>
                <w:b/>
                <w:szCs w:val="21"/>
              </w:rPr>
              <w:t>考核标准</w:t>
            </w:r>
          </w:p>
        </w:tc>
      </w:tr>
      <w:tr>
        <w:tblPrEx>
          <w:tblCellMar>
            <w:top w:w="0" w:type="dxa"/>
            <w:left w:w="0" w:type="dxa"/>
            <w:bottom w:w="0" w:type="dxa"/>
            <w:right w:w="0" w:type="dxa"/>
          </w:tblCellMar>
        </w:tblPrEx>
        <w:trPr>
          <w:trHeight w:val="349" w:hRule="atLeast"/>
        </w:trPr>
        <w:tc>
          <w:tcPr>
            <w:tcW w:w="234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r>
              <w:rPr>
                <w:rFonts w:hint="eastAsia" w:ascii="宋体" w:hAnsi="宋体"/>
                <w:szCs w:val="21"/>
              </w:rPr>
              <w:t>项目负责人</w:t>
            </w:r>
          </w:p>
          <w:p>
            <w:pPr>
              <w:widowControl/>
              <w:jc w:val="center"/>
              <w:rPr>
                <w:rFonts w:ascii="宋体" w:hAnsi="宋体"/>
                <w:szCs w:val="21"/>
              </w:rPr>
            </w:pPr>
            <w:r>
              <w:rPr>
                <w:rFonts w:hint="eastAsia" w:ascii="宋体" w:hAnsi="宋体"/>
                <w:szCs w:val="21"/>
              </w:rPr>
              <w:t>（10分）</w:t>
            </w:r>
          </w:p>
        </w:tc>
        <w:tc>
          <w:tcPr>
            <w:tcW w:w="660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numPr>
                <w:ilvl w:val="0"/>
                <w:numId w:val="132"/>
              </w:numPr>
              <w:jc w:val="left"/>
              <w:rPr>
                <w:rFonts w:ascii="宋体" w:hAnsi="宋体"/>
                <w:szCs w:val="21"/>
              </w:rPr>
            </w:pPr>
            <w:r>
              <w:rPr>
                <w:rFonts w:hint="eastAsia" w:ascii="宋体" w:hAnsi="宋体"/>
                <w:szCs w:val="21"/>
              </w:rPr>
              <w:t xml:space="preserve">熟练掌握各个区域环境人员编排等问题，并与区域负责人沟通处理各个事项；                                   </w:t>
            </w:r>
          </w:p>
          <w:p>
            <w:pPr>
              <w:widowControl/>
              <w:numPr>
                <w:ilvl w:val="0"/>
                <w:numId w:val="132"/>
              </w:numPr>
              <w:jc w:val="left"/>
              <w:rPr>
                <w:rFonts w:ascii="宋体" w:hAnsi="宋体"/>
                <w:szCs w:val="21"/>
              </w:rPr>
            </w:pPr>
            <w:r>
              <w:rPr>
                <w:rFonts w:hint="eastAsia" w:ascii="宋体" w:hAnsi="宋体"/>
                <w:szCs w:val="21"/>
              </w:rPr>
              <w:t xml:space="preserve">积极执行科室临时办的工作任务；                         </w:t>
            </w:r>
          </w:p>
          <w:p>
            <w:pPr>
              <w:widowControl/>
              <w:numPr>
                <w:ilvl w:val="0"/>
                <w:numId w:val="132"/>
              </w:numPr>
              <w:jc w:val="left"/>
              <w:rPr>
                <w:rFonts w:ascii="宋体" w:hAnsi="宋体"/>
                <w:szCs w:val="21"/>
              </w:rPr>
            </w:pPr>
            <w:r>
              <w:rPr>
                <w:rFonts w:hint="eastAsia" w:ascii="宋体" w:hAnsi="宋体"/>
                <w:szCs w:val="21"/>
              </w:rPr>
              <w:t xml:space="preserve">工作效率及工作质量是否满足科室或医院要求；                       </w:t>
            </w:r>
          </w:p>
          <w:p>
            <w:pPr>
              <w:widowControl/>
              <w:numPr>
                <w:ilvl w:val="0"/>
                <w:numId w:val="132"/>
              </w:numPr>
              <w:jc w:val="left"/>
              <w:rPr>
                <w:rFonts w:ascii="宋体" w:hAnsi="宋体"/>
                <w:szCs w:val="21"/>
              </w:rPr>
            </w:pPr>
            <w:r>
              <w:rPr>
                <w:rFonts w:hint="eastAsia" w:ascii="宋体" w:hAnsi="宋体"/>
                <w:szCs w:val="21"/>
              </w:rPr>
              <w:t xml:space="preserve">对各区域提出的问题，及时进行整改落实；                                                    </w:t>
            </w:r>
          </w:p>
          <w:p>
            <w:pPr>
              <w:widowControl/>
              <w:numPr>
                <w:ilvl w:val="0"/>
                <w:numId w:val="132"/>
              </w:numPr>
              <w:jc w:val="left"/>
              <w:rPr>
                <w:rFonts w:ascii="宋体" w:hAnsi="宋体"/>
                <w:szCs w:val="21"/>
              </w:rPr>
            </w:pPr>
            <w:r>
              <w:rPr>
                <w:rFonts w:hint="eastAsia" w:ascii="宋体" w:hAnsi="宋体"/>
                <w:szCs w:val="21"/>
              </w:rPr>
              <w:t>如发生突发性事件，应设法采取应急措施，制止事态的扩大，及时向医院管理部门报告。</w:t>
            </w:r>
          </w:p>
        </w:tc>
        <w:tc>
          <w:tcPr>
            <w:tcW w:w="1400"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一项不合格扣1分</w:t>
            </w:r>
          </w:p>
        </w:tc>
      </w:tr>
      <w:tr>
        <w:tblPrEx>
          <w:tblCellMar>
            <w:top w:w="0" w:type="dxa"/>
            <w:left w:w="0" w:type="dxa"/>
            <w:bottom w:w="0" w:type="dxa"/>
            <w:right w:w="0" w:type="dxa"/>
          </w:tblCellMar>
        </w:tblPrEx>
        <w:trPr>
          <w:trHeight w:val="1448" w:hRule="atLeast"/>
        </w:trPr>
        <w:tc>
          <w:tcPr>
            <w:tcW w:w="234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r>
              <w:rPr>
                <w:rFonts w:ascii="宋体" w:hAnsi="宋体"/>
                <w:szCs w:val="21"/>
              </w:rPr>
              <w:t>楼道梯级、</w:t>
            </w:r>
            <w:r>
              <w:rPr>
                <w:rFonts w:hint="eastAsia" w:ascii="宋体" w:hAnsi="宋体"/>
                <w:szCs w:val="21"/>
              </w:rPr>
              <w:t>停车棚</w:t>
            </w:r>
            <w:r>
              <w:rPr>
                <w:rFonts w:ascii="宋体" w:hAnsi="宋体"/>
                <w:szCs w:val="21"/>
              </w:rPr>
              <w:t>、阳台、</w:t>
            </w:r>
            <w:r>
              <w:rPr>
                <w:rFonts w:hint="eastAsia" w:ascii="宋体" w:hAnsi="宋体"/>
                <w:szCs w:val="21"/>
              </w:rPr>
              <w:t>地毯</w:t>
            </w:r>
            <w:r>
              <w:rPr>
                <w:rFonts w:ascii="宋体" w:hAnsi="宋体"/>
                <w:szCs w:val="21"/>
              </w:rPr>
              <w:t>地面、顶篷、边缘区域</w:t>
            </w:r>
            <w:r>
              <w:rPr>
                <w:rFonts w:hint="eastAsia" w:ascii="宋体" w:hAnsi="宋体"/>
                <w:szCs w:val="21"/>
              </w:rPr>
              <w:t>（10分）</w:t>
            </w:r>
          </w:p>
        </w:tc>
        <w:tc>
          <w:tcPr>
            <w:tcW w:w="660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numPr>
                <w:ilvl w:val="0"/>
                <w:numId w:val="133"/>
              </w:numPr>
              <w:jc w:val="left"/>
              <w:rPr>
                <w:rFonts w:ascii="宋体" w:hAnsi="宋体"/>
                <w:szCs w:val="21"/>
              </w:rPr>
            </w:pPr>
            <w:r>
              <w:rPr>
                <w:rFonts w:ascii="宋体" w:hAnsi="宋体"/>
                <w:szCs w:val="21"/>
              </w:rPr>
              <w:t>无垃圾杂物，无泥沙，无污渍，地毯无明显灰尘</w:t>
            </w:r>
            <w:r>
              <w:rPr>
                <w:rFonts w:hint="eastAsia" w:ascii="宋体" w:hAnsi="宋体"/>
                <w:szCs w:val="21"/>
              </w:rPr>
              <w:t>；</w:t>
            </w:r>
          </w:p>
          <w:p>
            <w:pPr>
              <w:widowControl/>
              <w:numPr>
                <w:ilvl w:val="0"/>
                <w:numId w:val="133"/>
              </w:numPr>
              <w:jc w:val="left"/>
              <w:rPr>
                <w:rFonts w:ascii="宋体" w:hAnsi="宋体"/>
                <w:szCs w:val="21"/>
              </w:rPr>
            </w:pPr>
            <w:r>
              <w:rPr>
                <w:rFonts w:ascii="宋体" w:hAnsi="宋体"/>
                <w:szCs w:val="21"/>
              </w:rPr>
              <w:t>每个单元梯级烟头等脏物不超过2个；</w:t>
            </w:r>
          </w:p>
          <w:p>
            <w:pPr>
              <w:widowControl/>
              <w:numPr>
                <w:ilvl w:val="0"/>
                <w:numId w:val="133"/>
              </w:numPr>
              <w:jc w:val="left"/>
              <w:rPr>
                <w:rFonts w:ascii="宋体" w:hAnsi="宋体"/>
                <w:szCs w:val="21"/>
              </w:rPr>
            </w:pPr>
            <w:r>
              <w:rPr>
                <w:rFonts w:hint="eastAsia" w:ascii="宋体" w:hAnsi="宋体"/>
                <w:szCs w:val="21"/>
              </w:rPr>
              <w:t>每</w:t>
            </w:r>
            <w:r>
              <w:rPr>
                <w:rFonts w:ascii="宋体" w:hAnsi="宋体"/>
                <w:szCs w:val="21"/>
              </w:rPr>
              <w:t>20平方米内杂物不超过2个</w:t>
            </w:r>
            <w:r>
              <w:rPr>
                <w:rFonts w:hint="eastAsia" w:ascii="宋体" w:hAnsi="宋体"/>
                <w:szCs w:val="21"/>
              </w:rPr>
              <w:t>；</w:t>
            </w:r>
          </w:p>
          <w:p>
            <w:pPr>
              <w:widowControl/>
              <w:numPr>
                <w:ilvl w:val="0"/>
                <w:numId w:val="133"/>
              </w:numPr>
              <w:jc w:val="left"/>
              <w:rPr>
                <w:rFonts w:ascii="宋体" w:hAnsi="宋体"/>
                <w:szCs w:val="21"/>
              </w:rPr>
            </w:pPr>
            <w:r>
              <w:rPr>
                <w:rFonts w:ascii="宋体" w:hAnsi="宋体"/>
                <w:szCs w:val="21"/>
              </w:rPr>
              <w:t>走廊每100平方米烟头等不超过</w:t>
            </w:r>
            <w:r>
              <w:rPr>
                <w:rFonts w:hint="eastAsia" w:ascii="宋体" w:hAnsi="宋体"/>
                <w:szCs w:val="21"/>
              </w:rPr>
              <w:t>5</w:t>
            </w:r>
            <w:r>
              <w:rPr>
                <w:rFonts w:ascii="宋体" w:hAnsi="宋体"/>
                <w:szCs w:val="21"/>
              </w:rPr>
              <w:t>个</w:t>
            </w:r>
            <w:r>
              <w:rPr>
                <w:rFonts w:hint="eastAsia" w:ascii="宋体" w:hAnsi="宋体"/>
                <w:szCs w:val="21"/>
              </w:rPr>
              <w:t>；</w:t>
            </w:r>
          </w:p>
          <w:p>
            <w:pPr>
              <w:widowControl/>
              <w:numPr>
                <w:ilvl w:val="0"/>
                <w:numId w:val="133"/>
              </w:numPr>
              <w:jc w:val="left"/>
              <w:rPr>
                <w:rFonts w:ascii="宋体" w:hAnsi="宋体"/>
                <w:szCs w:val="21"/>
              </w:rPr>
            </w:pPr>
            <w:r>
              <w:rPr>
                <w:rFonts w:ascii="宋体" w:hAnsi="宋体"/>
                <w:szCs w:val="21"/>
              </w:rPr>
              <w:t>绿化带、平台每5个平方米内烟头等不超过3个</w:t>
            </w:r>
            <w:r>
              <w:rPr>
                <w:rFonts w:hint="eastAsia" w:ascii="宋体" w:hAnsi="宋体"/>
                <w:szCs w:val="21"/>
              </w:rPr>
              <w:t>。</w:t>
            </w:r>
          </w:p>
        </w:tc>
        <w:tc>
          <w:tcPr>
            <w:tcW w:w="1400" w:type="dxa"/>
            <w:tcBorders>
              <w:top w:val="single" w:color="auto" w:sz="4" w:space="0"/>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一项不合格扣1分</w:t>
            </w:r>
          </w:p>
        </w:tc>
      </w:tr>
      <w:tr>
        <w:tblPrEx>
          <w:tblCellMar>
            <w:top w:w="0" w:type="dxa"/>
            <w:left w:w="0" w:type="dxa"/>
            <w:bottom w:w="0" w:type="dxa"/>
            <w:right w:w="0" w:type="dxa"/>
          </w:tblCellMar>
        </w:tblPrEx>
        <w:trPr>
          <w:trHeight w:val="1650" w:hRule="atLeast"/>
        </w:trPr>
        <w:tc>
          <w:tcPr>
            <w:tcW w:w="234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r>
              <w:rPr>
                <w:rFonts w:ascii="宋体" w:hAnsi="宋体"/>
                <w:szCs w:val="21"/>
              </w:rPr>
              <w:t>墙面、玻璃门窗、扶手、电子门、消防栓、管、电表箱、信报箱、宣传栏、开关面板</w:t>
            </w:r>
            <w:r>
              <w:rPr>
                <w:rFonts w:hint="eastAsia" w:ascii="宋体" w:hAnsi="宋体"/>
                <w:szCs w:val="21"/>
              </w:rPr>
              <w:t>（10分）</w:t>
            </w:r>
          </w:p>
        </w:tc>
        <w:tc>
          <w:tcPr>
            <w:tcW w:w="660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numPr>
                <w:ilvl w:val="0"/>
                <w:numId w:val="134"/>
              </w:numPr>
              <w:jc w:val="left"/>
              <w:rPr>
                <w:rFonts w:ascii="宋体" w:hAnsi="宋体"/>
                <w:szCs w:val="21"/>
              </w:rPr>
            </w:pPr>
            <w:r>
              <w:rPr>
                <w:rFonts w:ascii="宋体" w:hAnsi="宋体"/>
                <w:szCs w:val="21"/>
              </w:rPr>
              <w:t>无乱张贴，无蜘蛛网，无痰迹，</w:t>
            </w:r>
            <w:r>
              <w:rPr>
                <w:rFonts w:hint="eastAsia" w:ascii="宋体" w:hAnsi="宋体"/>
                <w:szCs w:val="21"/>
              </w:rPr>
              <w:t>无污迹，</w:t>
            </w:r>
            <w:r>
              <w:rPr>
                <w:rFonts w:ascii="宋体" w:hAnsi="宋体"/>
                <w:szCs w:val="21"/>
              </w:rPr>
              <w:t>无积尘</w:t>
            </w:r>
            <w:r>
              <w:rPr>
                <w:rFonts w:hint="eastAsia" w:ascii="宋体" w:hAnsi="宋体"/>
                <w:szCs w:val="21"/>
              </w:rPr>
              <w:t>；</w:t>
            </w:r>
          </w:p>
          <w:p>
            <w:pPr>
              <w:widowControl/>
              <w:numPr>
                <w:ilvl w:val="0"/>
                <w:numId w:val="134"/>
              </w:numPr>
              <w:jc w:val="left"/>
              <w:rPr>
                <w:rFonts w:ascii="宋体" w:hAnsi="宋体"/>
                <w:szCs w:val="21"/>
              </w:rPr>
            </w:pPr>
            <w:r>
              <w:rPr>
                <w:rFonts w:ascii="宋体" w:hAnsi="宋体"/>
                <w:szCs w:val="21"/>
              </w:rPr>
              <w:t>大理石、瓷片、喷涂墙面</w:t>
            </w:r>
            <w:r>
              <w:rPr>
                <w:rFonts w:hint="eastAsia" w:ascii="宋体" w:hAnsi="宋体"/>
                <w:szCs w:val="21"/>
              </w:rPr>
              <w:t>，</w:t>
            </w:r>
            <w:r>
              <w:rPr>
                <w:rFonts w:ascii="宋体" w:hAnsi="宋体"/>
                <w:szCs w:val="21"/>
              </w:rPr>
              <w:t>用纸巾擦拭50CM无明显灰尘</w:t>
            </w:r>
            <w:r>
              <w:rPr>
                <w:rFonts w:hint="eastAsia" w:ascii="宋体" w:hAnsi="宋体"/>
                <w:szCs w:val="21"/>
              </w:rPr>
              <w:t>；</w:t>
            </w:r>
          </w:p>
          <w:p>
            <w:pPr>
              <w:widowControl/>
              <w:numPr>
                <w:ilvl w:val="0"/>
                <w:numId w:val="134"/>
              </w:numPr>
              <w:jc w:val="left"/>
              <w:rPr>
                <w:rFonts w:ascii="宋体" w:hAnsi="宋体"/>
                <w:szCs w:val="21"/>
              </w:rPr>
            </w:pPr>
            <w:r>
              <w:rPr>
                <w:rFonts w:ascii="宋体" w:hAnsi="宋体"/>
                <w:szCs w:val="21"/>
              </w:rPr>
              <w:t>乳胶漆墙面无污迹，目视无明显灰尘</w:t>
            </w:r>
            <w:r>
              <w:rPr>
                <w:rFonts w:hint="eastAsia" w:ascii="宋体" w:hAnsi="宋体"/>
                <w:szCs w:val="21"/>
              </w:rPr>
              <w:t>；</w:t>
            </w:r>
          </w:p>
          <w:p>
            <w:pPr>
              <w:widowControl/>
              <w:numPr>
                <w:ilvl w:val="0"/>
                <w:numId w:val="134"/>
              </w:numPr>
              <w:jc w:val="left"/>
              <w:rPr>
                <w:rFonts w:ascii="宋体" w:hAnsi="宋体"/>
                <w:szCs w:val="21"/>
              </w:rPr>
            </w:pPr>
            <w:r>
              <w:rPr>
                <w:rFonts w:ascii="宋体" w:hAnsi="宋体"/>
                <w:szCs w:val="21"/>
              </w:rPr>
              <w:t>清刮后用纸巾擦拭无明显灰尘</w:t>
            </w:r>
            <w:r>
              <w:rPr>
                <w:rFonts w:hint="eastAsia" w:ascii="宋体" w:hAnsi="宋体"/>
                <w:szCs w:val="21"/>
              </w:rPr>
              <w:t>，</w:t>
            </w:r>
            <w:r>
              <w:rPr>
                <w:rFonts w:ascii="宋体" w:hAnsi="宋体"/>
                <w:szCs w:val="21"/>
              </w:rPr>
              <w:t>玻璃光亮</w:t>
            </w:r>
            <w:r>
              <w:rPr>
                <w:rFonts w:hint="eastAsia" w:ascii="宋体" w:hAnsi="宋体"/>
                <w:szCs w:val="21"/>
              </w:rPr>
              <w:t>，</w:t>
            </w:r>
            <w:r>
              <w:rPr>
                <w:rFonts w:ascii="宋体" w:hAnsi="宋体"/>
                <w:szCs w:val="21"/>
              </w:rPr>
              <w:t>门、窗槽无明显灰尘、污迹</w:t>
            </w:r>
            <w:r>
              <w:rPr>
                <w:rFonts w:hint="eastAsia" w:ascii="宋体" w:hAnsi="宋体"/>
                <w:szCs w:val="21"/>
              </w:rPr>
              <w:t>、</w:t>
            </w:r>
            <w:r>
              <w:rPr>
                <w:rFonts w:ascii="宋体" w:hAnsi="宋体"/>
                <w:szCs w:val="21"/>
              </w:rPr>
              <w:t>手印等。</w:t>
            </w:r>
          </w:p>
        </w:tc>
        <w:tc>
          <w:tcPr>
            <w:tcW w:w="1400"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一项不合格扣1分</w:t>
            </w:r>
          </w:p>
        </w:tc>
      </w:tr>
      <w:tr>
        <w:tblPrEx>
          <w:tblCellMar>
            <w:top w:w="0" w:type="dxa"/>
            <w:left w:w="0" w:type="dxa"/>
            <w:bottom w:w="0" w:type="dxa"/>
            <w:right w:w="0" w:type="dxa"/>
          </w:tblCellMar>
        </w:tblPrEx>
        <w:trPr>
          <w:trHeight w:val="765" w:hRule="atLeast"/>
        </w:trPr>
        <w:tc>
          <w:tcPr>
            <w:tcW w:w="234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r>
              <w:rPr>
                <w:rFonts w:ascii="宋体" w:hAnsi="宋体"/>
                <w:szCs w:val="21"/>
              </w:rPr>
              <w:t>电梯</w:t>
            </w:r>
          </w:p>
          <w:p>
            <w:pPr>
              <w:widowControl/>
              <w:jc w:val="center"/>
              <w:rPr>
                <w:rFonts w:ascii="宋体" w:hAnsi="宋体"/>
                <w:szCs w:val="21"/>
              </w:rPr>
            </w:pPr>
            <w:r>
              <w:rPr>
                <w:rFonts w:hint="eastAsia" w:ascii="宋体" w:hAnsi="宋体"/>
                <w:szCs w:val="21"/>
              </w:rPr>
              <w:t>（5分）</w:t>
            </w:r>
          </w:p>
        </w:tc>
        <w:tc>
          <w:tcPr>
            <w:tcW w:w="660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numPr>
                <w:ilvl w:val="0"/>
                <w:numId w:val="135"/>
              </w:numPr>
              <w:jc w:val="left"/>
              <w:rPr>
                <w:rFonts w:ascii="宋体" w:hAnsi="宋体"/>
                <w:szCs w:val="21"/>
              </w:rPr>
            </w:pPr>
            <w:r>
              <w:rPr>
                <w:rFonts w:ascii="宋体" w:hAnsi="宋体"/>
                <w:szCs w:val="21"/>
              </w:rPr>
              <w:t>地面、</w:t>
            </w:r>
            <w:r>
              <w:rPr>
                <w:rFonts w:hint="eastAsia" w:ascii="宋体" w:hAnsi="宋体"/>
                <w:szCs w:val="21"/>
              </w:rPr>
              <w:t>地毯</w:t>
            </w:r>
            <w:r>
              <w:rPr>
                <w:rFonts w:ascii="宋体" w:hAnsi="宋体"/>
                <w:szCs w:val="21"/>
              </w:rPr>
              <w:t>无污渍</w:t>
            </w:r>
            <w:r>
              <w:rPr>
                <w:rFonts w:hint="eastAsia" w:ascii="宋体" w:hAnsi="宋体"/>
                <w:szCs w:val="21"/>
              </w:rPr>
              <w:t>、</w:t>
            </w:r>
            <w:r>
              <w:rPr>
                <w:rFonts w:ascii="宋体" w:hAnsi="宋体"/>
                <w:szCs w:val="21"/>
              </w:rPr>
              <w:t>水渍</w:t>
            </w:r>
            <w:r>
              <w:rPr>
                <w:rFonts w:hint="eastAsia" w:ascii="宋体" w:hAnsi="宋体"/>
                <w:szCs w:val="21"/>
              </w:rPr>
              <w:t>、</w:t>
            </w:r>
            <w:r>
              <w:rPr>
                <w:rFonts w:ascii="宋体" w:hAnsi="宋体"/>
                <w:szCs w:val="21"/>
              </w:rPr>
              <w:t>垃圾；</w:t>
            </w:r>
          </w:p>
          <w:p>
            <w:pPr>
              <w:widowControl/>
              <w:numPr>
                <w:ilvl w:val="0"/>
                <w:numId w:val="135"/>
              </w:numPr>
              <w:jc w:val="left"/>
              <w:rPr>
                <w:rFonts w:ascii="宋体" w:hAnsi="宋体"/>
                <w:szCs w:val="21"/>
              </w:rPr>
            </w:pPr>
            <w:r>
              <w:rPr>
                <w:rFonts w:ascii="宋体" w:hAnsi="宋体"/>
                <w:szCs w:val="21"/>
              </w:rPr>
              <w:t>电梯壁面、电梯门无污渍、无手印、无灰尘</w:t>
            </w:r>
            <w:r>
              <w:rPr>
                <w:rFonts w:hint="eastAsia" w:ascii="宋体" w:hAnsi="宋体"/>
                <w:szCs w:val="21"/>
              </w:rPr>
              <w:t>。</w:t>
            </w:r>
          </w:p>
        </w:tc>
        <w:tc>
          <w:tcPr>
            <w:tcW w:w="1400"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一项不合格扣1分</w:t>
            </w:r>
          </w:p>
        </w:tc>
      </w:tr>
      <w:tr>
        <w:tblPrEx>
          <w:tblCellMar>
            <w:top w:w="0" w:type="dxa"/>
            <w:left w:w="0" w:type="dxa"/>
            <w:bottom w:w="0" w:type="dxa"/>
            <w:right w:w="0" w:type="dxa"/>
          </w:tblCellMar>
        </w:tblPrEx>
        <w:trPr>
          <w:trHeight w:val="180" w:hRule="atLeast"/>
        </w:trPr>
        <w:tc>
          <w:tcPr>
            <w:tcW w:w="234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r>
              <w:rPr>
                <w:rFonts w:ascii="宋体" w:hAnsi="宋体"/>
                <w:szCs w:val="21"/>
              </w:rPr>
              <w:t>卫生间</w:t>
            </w:r>
          </w:p>
          <w:p>
            <w:pPr>
              <w:widowControl/>
              <w:jc w:val="center"/>
              <w:rPr>
                <w:rFonts w:ascii="宋体" w:hAnsi="宋体"/>
                <w:szCs w:val="21"/>
              </w:rPr>
            </w:pPr>
            <w:r>
              <w:rPr>
                <w:rFonts w:hint="eastAsia" w:ascii="宋体" w:hAnsi="宋体"/>
                <w:szCs w:val="21"/>
              </w:rPr>
              <w:t>（10分）</w:t>
            </w:r>
          </w:p>
        </w:tc>
        <w:tc>
          <w:tcPr>
            <w:tcW w:w="660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numPr>
                <w:ilvl w:val="0"/>
                <w:numId w:val="136"/>
              </w:numPr>
              <w:jc w:val="left"/>
              <w:rPr>
                <w:rFonts w:ascii="宋体" w:hAnsi="宋体"/>
                <w:szCs w:val="21"/>
              </w:rPr>
            </w:pPr>
            <w:r>
              <w:rPr>
                <w:rFonts w:ascii="宋体" w:hAnsi="宋体"/>
                <w:szCs w:val="21"/>
              </w:rPr>
              <w:t>地面无积水、无污渍、无杂物</w:t>
            </w:r>
            <w:r>
              <w:rPr>
                <w:rFonts w:hint="eastAsia" w:ascii="宋体" w:hAnsi="宋体"/>
                <w:szCs w:val="21"/>
              </w:rPr>
              <w:t>;</w:t>
            </w:r>
          </w:p>
          <w:p>
            <w:pPr>
              <w:widowControl/>
              <w:numPr>
                <w:ilvl w:val="0"/>
                <w:numId w:val="136"/>
              </w:numPr>
              <w:jc w:val="left"/>
              <w:rPr>
                <w:rFonts w:ascii="宋体" w:hAnsi="宋体"/>
                <w:szCs w:val="21"/>
              </w:rPr>
            </w:pPr>
            <w:r>
              <w:rPr>
                <w:rFonts w:ascii="宋体" w:hAnsi="宋体"/>
                <w:szCs w:val="21"/>
              </w:rPr>
              <w:t>墙面瓷片、门、窗用纸巾擦拭无明显灰尘，便器无污渍；</w:t>
            </w:r>
          </w:p>
          <w:p>
            <w:pPr>
              <w:widowControl/>
              <w:numPr>
                <w:ilvl w:val="0"/>
                <w:numId w:val="136"/>
              </w:numPr>
              <w:jc w:val="left"/>
              <w:rPr>
                <w:rFonts w:ascii="宋体" w:hAnsi="宋体"/>
                <w:szCs w:val="21"/>
              </w:rPr>
            </w:pPr>
            <w:r>
              <w:rPr>
                <w:rFonts w:ascii="宋体" w:hAnsi="宋体"/>
                <w:szCs w:val="21"/>
              </w:rPr>
              <w:t>天花、灯具等目视无明显灰尘，玻璃、镜面无灰尘，无污渍。</w:t>
            </w:r>
          </w:p>
        </w:tc>
        <w:tc>
          <w:tcPr>
            <w:tcW w:w="1400"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一项不合格扣</w:t>
            </w:r>
          </w:p>
          <w:p>
            <w:pPr>
              <w:jc w:val="center"/>
              <w:rPr>
                <w:rFonts w:ascii="宋体" w:hAnsi="宋体"/>
                <w:szCs w:val="21"/>
              </w:rPr>
            </w:pPr>
            <w:r>
              <w:rPr>
                <w:rFonts w:hint="eastAsia" w:ascii="宋体" w:hAnsi="宋体"/>
                <w:szCs w:val="21"/>
              </w:rPr>
              <w:t>1分</w:t>
            </w:r>
          </w:p>
        </w:tc>
      </w:tr>
      <w:tr>
        <w:tblPrEx>
          <w:tblCellMar>
            <w:top w:w="0" w:type="dxa"/>
            <w:left w:w="0" w:type="dxa"/>
            <w:bottom w:w="0" w:type="dxa"/>
            <w:right w:w="0" w:type="dxa"/>
          </w:tblCellMar>
        </w:tblPrEx>
        <w:trPr>
          <w:trHeight w:val="180" w:hRule="atLeast"/>
        </w:trPr>
        <w:tc>
          <w:tcPr>
            <w:tcW w:w="234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r>
              <w:rPr>
                <w:rFonts w:hint="eastAsia" w:ascii="宋体" w:hAnsi="宋体"/>
                <w:szCs w:val="21"/>
              </w:rPr>
              <w:t>服务态度</w:t>
            </w:r>
          </w:p>
          <w:p>
            <w:pPr>
              <w:widowControl/>
              <w:jc w:val="center"/>
              <w:rPr>
                <w:rFonts w:ascii="宋体" w:hAnsi="宋体"/>
                <w:szCs w:val="21"/>
              </w:rPr>
            </w:pPr>
            <w:r>
              <w:rPr>
                <w:rFonts w:hint="eastAsia" w:ascii="宋体" w:hAnsi="宋体"/>
                <w:szCs w:val="21"/>
              </w:rPr>
              <w:t>（10分）</w:t>
            </w:r>
          </w:p>
        </w:tc>
        <w:tc>
          <w:tcPr>
            <w:tcW w:w="660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numPr>
                <w:ilvl w:val="0"/>
                <w:numId w:val="137"/>
              </w:numPr>
              <w:jc w:val="left"/>
              <w:rPr>
                <w:rFonts w:ascii="宋体" w:hAnsi="宋体"/>
                <w:szCs w:val="21"/>
              </w:rPr>
            </w:pPr>
            <w:r>
              <w:rPr>
                <w:rFonts w:ascii="宋体" w:hAnsi="宋体"/>
                <w:szCs w:val="21"/>
              </w:rPr>
              <w:t>热情主动，细心周到微笑服务，礼貌待人</w:t>
            </w:r>
            <w:r>
              <w:rPr>
                <w:rFonts w:hint="eastAsia" w:ascii="宋体" w:hAnsi="宋体"/>
                <w:szCs w:val="21"/>
              </w:rPr>
              <w:t>；</w:t>
            </w:r>
          </w:p>
          <w:p>
            <w:pPr>
              <w:widowControl/>
              <w:numPr>
                <w:ilvl w:val="0"/>
                <w:numId w:val="137"/>
              </w:numPr>
              <w:jc w:val="left"/>
              <w:rPr>
                <w:rFonts w:ascii="宋体" w:hAnsi="宋体"/>
                <w:szCs w:val="21"/>
              </w:rPr>
            </w:pPr>
            <w:r>
              <w:rPr>
                <w:rFonts w:hint="eastAsia" w:ascii="宋体" w:hAnsi="宋体"/>
                <w:szCs w:val="21"/>
              </w:rPr>
              <w:t>谦虚和悦地接受管理部门的评价，耐心倾听意见、咨询，与病人及家属或我院职工无争吵；</w:t>
            </w:r>
          </w:p>
          <w:p>
            <w:pPr>
              <w:widowControl/>
              <w:numPr>
                <w:ilvl w:val="0"/>
                <w:numId w:val="137"/>
              </w:numPr>
              <w:jc w:val="left"/>
              <w:rPr>
                <w:rFonts w:ascii="宋体" w:hAnsi="宋体"/>
                <w:szCs w:val="21"/>
              </w:rPr>
            </w:pPr>
            <w:r>
              <w:rPr>
                <w:rFonts w:ascii="宋体" w:hAnsi="宋体"/>
                <w:szCs w:val="21"/>
              </w:rPr>
              <w:t>工作责任心强，无失误；</w:t>
            </w:r>
          </w:p>
          <w:p>
            <w:pPr>
              <w:widowControl/>
              <w:numPr>
                <w:ilvl w:val="0"/>
                <w:numId w:val="137"/>
              </w:numPr>
              <w:jc w:val="left"/>
              <w:rPr>
                <w:rFonts w:ascii="宋体" w:hAnsi="宋体"/>
                <w:szCs w:val="21"/>
              </w:rPr>
            </w:pPr>
            <w:r>
              <w:rPr>
                <w:rFonts w:ascii="宋体" w:hAnsi="宋体"/>
                <w:szCs w:val="21"/>
              </w:rPr>
              <w:t>积极执行科室临时交给工作任务</w:t>
            </w:r>
            <w:r>
              <w:rPr>
                <w:rFonts w:hint="eastAsia" w:ascii="宋体" w:hAnsi="宋体"/>
                <w:szCs w:val="21"/>
              </w:rPr>
              <w:t>；</w:t>
            </w:r>
          </w:p>
          <w:p>
            <w:pPr>
              <w:widowControl/>
              <w:numPr>
                <w:ilvl w:val="0"/>
                <w:numId w:val="137"/>
              </w:numPr>
              <w:jc w:val="left"/>
              <w:rPr>
                <w:rFonts w:ascii="宋体" w:hAnsi="宋体"/>
                <w:szCs w:val="21"/>
              </w:rPr>
            </w:pPr>
            <w:r>
              <w:rPr>
                <w:rFonts w:ascii="宋体" w:hAnsi="宋体"/>
                <w:szCs w:val="21"/>
              </w:rPr>
              <w:t>有不良作为被</w:t>
            </w:r>
            <w:r>
              <w:rPr>
                <w:rFonts w:hint="eastAsia" w:ascii="宋体" w:hAnsi="宋体"/>
                <w:szCs w:val="21"/>
              </w:rPr>
              <w:t>病人及家属</w:t>
            </w:r>
            <w:r>
              <w:rPr>
                <w:rFonts w:ascii="宋体" w:hAnsi="宋体"/>
                <w:szCs w:val="21"/>
              </w:rPr>
              <w:t>或科室投诉属实的</w:t>
            </w:r>
            <w:r>
              <w:rPr>
                <w:rFonts w:hint="eastAsia" w:ascii="宋体" w:hAnsi="宋体"/>
                <w:szCs w:val="21"/>
              </w:rPr>
              <w:t>，酌情进行扣分。</w:t>
            </w:r>
          </w:p>
        </w:tc>
        <w:tc>
          <w:tcPr>
            <w:tcW w:w="1400"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一项不合格扣1分</w:t>
            </w:r>
          </w:p>
        </w:tc>
      </w:tr>
      <w:tr>
        <w:tblPrEx>
          <w:tblCellMar>
            <w:top w:w="0" w:type="dxa"/>
            <w:left w:w="0" w:type="dxa"/>
            <w:bottom w:w="0" w:type="dxa"/>
            <w:right w:w="0" w:type="dxa"/>
          </w:tblCellMar>
        </w:tblPrEx>
        <w:trPr>
          <w:trHeight w:val="180" w:hRule="atLeast"/>
        </w:trPr>
        <w:tc>
          <w:tcPr>
            <w:tcW w:w="234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r>
              <w:rPr>
                <w:rFonts w:ascii="宋体" w:hAnsi="宋体"/>
                <w:szCs w:val="21"/>
              </w:rPr>
              <w:t>劳动纪律</w:t>
            </w:r>
          </w:p>
          <w:p>
            <w:pPr>
              <w:widowControl/>
              <w:jc w:val="center"/>
              <w:rPr>
                <w:rFonts w:ascii="宋体" w:hAnsi="宋体"/>
                <w:szCs w:val="21"/>
              </w:rPr>
            </w:pPr>
            <w:r>
              <w:rPr>
                <w:rFonts w:hint="eastAsia" w:ascii="宋体" w:hAnsi="宋体"/>
                <w:szCs w:val="21"/>
              </w:rPr>
              <w:t>（10分）</w:t>
            </w:r>
          </w:p>
        </w:tc>
        <w:tc>
          <w:tcPr>
            <w:tcW w:w="660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numPr>
                <w:ilvl w:val="0"/>
                <w:numId w:val="138"/>
              </w:numPr>
              <w:jc w:val="left"/>
              <w:rPr>
                <w:rFonts w:ascii="宋体" w:hAnsi="宋体"/>
                <w:szCs w:val="21"/>
              </w:rPr>
            </w:pPr>
            <w:r>
              <w:rPr>
                <w:rFonts w:ascii="宋体" w:hAnsi="宋体"/>
                <w:szCs w:val="21"/>
              </w:rPr>
              <w:t>仪表符合规定</w:t>
            </w:r>
            <w:r>
              <w:rPr>
                <w:rFonts w:hint="eastAsia" w:ascii="宋体" w:hAnsi="宋体"/>
                <w:szCs w:val="21"/>
              </w:rPr>
              <w:t>，</w:t>
            </w:r>
            <w:r>
              <w:rPr>
                <w:rFonts w:ascii="宋体" w:hAnsi="宋体"/>
                <w:szCs w:val="21"/>
              </w:rPr>
              <w:t>按时到岗接班，不早退，不串岗，不脱岗；</w:t>
            </w:r>
          </w:p>
          <w:p>
            <w:pPr>
              <w:widowControl/>
              <w:numPr>
                <w:ilvl w:val="0"/>
                <w:numId w:val="138"/>
              </w:numPr>
              <w:jc w:val="left"/>
              <w:rPr>
                <w:rFonts w:ascii="宋体" w:hAnsi="宋体"/>
                <w:szCs w:val="21"/>
              </w:rPr>
            </w:pPr>
            <w:r>
              <w:rPr>
                <w:rFonts w:ascii="宋体" w:hAnsi="宋体"/>
                <w:szCs w:val="21"/>
              </w:rPr>
              <w:t>服从</w:t>
            </w:r>
            <w:r>
              <w:rPr>
                <w:rFonts w:hint="eastAsia" w:ascii="宋体" w:hAnsi="宋体"/>
                <w:szCs w:val="21"/>
              </w:rPr>
              <w:t>管理</w:t>
            </w:r>
            <w:r>
              <w:rPr>
                <w:rFonts w:ascii="宋体" w:hAnsi="宋体"/>
                <w:szCs w:val="21"/>
              </w:rPr>
              <w:t>部门的调配；</w:t>
            </w:r>
          </w:p>
          <w:p>
            <w:pPr>
              <w:widowControl/>
              <w:numPr>
                <w:ilvl w:val="0"/>
                <w:numId w:val="138"/>
              </w:numPr>
              <w:jc w:val="left"/>
              <w:rPr>
                <w:rFonts w:ascii="宋体" w:hAnsi="宋体"/>
                <w:szCs w:val="21"/>
              </w:rPr>
            </w:pPr>
            <w:r>
              <w:rPr>
                <w:rFonts w:ascii="宋体" w:hAnsi="宋体"/>
                <w:szCs w:val="21"/>
              </w:rPr>
              <w:t>严格遵守</w:t>
            </w:r>
            <w:r>
              <w:rPr>
                <w:rFonts w:hint="eastAsia" w:ascii="宋体" w:hAnsi="宋体"/>
                <w:szCs w:val="21"/>
              </w:rPr>
              <w:t>医院</w:t>
            </w:r>
            <w:r>
              <w:rPr>
                <w:rFonts w:ascii="宋体" w:hAnsi="宋体"/>
                <w:szCs w:val="21"/>
              </w:rPr>
              <w:t>各项规章制度和注意事项</w:t>
            </w:r>
            <w:r>
              <w:rPr>
                <w:rFonts w:hint="eastAsia" w:ascii="宋体" w:hAnsi="宋体"/>
                <w:szCs w:val="21"/>
              </w:rPr>
              <w:t>。</w:t>
            </w:r>
          </w:p>
        </w:tc>
        <w:tc>
          <w:tcPr>
            <w:tcW w:w="1400"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一项不合格扣1分</w:t>
            </w:r>
          </w:p>
        </w:tc>
      </w:tr>
      <w:tr>
        <w:tblPrEx>
          <w:tblCellMar>
            <w:top w:w="0" w:type="dxa"/>
            <w:left w:w="0" w:type="dxa"/>
            <w:bottom w:w="0" w:type="dxa"/>
            <w:right w:w="0" w:type="dxa"/>
          </w:tblCellMar>
        </w:tblPrEx>
        <w:trPr>
          <w:trHeight w:val="180" w:hRule="atLeast"/>
        </w:trPr>
        <w:tc>
          <w:tcPr>
            <w:tcW w:w="234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r>
              <w:rPr>
                <w:rFonts w:hint="eastAsia" w:ascii="宋体" w:hAnsi="宋体"/>
                <w:szCs w:val="21"/>
              </w:rPr>
              <w:t>垃圾桶</w:t>
            </w:r>
          </w:p>
          <w:p>
            <w:pPr>
              <w:widowControl/>
              <w:jc w:val="center"/>
              <w:rPr>
                <w:rFonts w:ascii="宋体" w:hAnsi="宋体"/>
                <w:szCs w:val="21"/>
              </w:rPr>
            </w:pPr>
            <w:r>
              <w:rPr>
                <w:rFonts w:hint="eastAsia" w:ascii="宋体" w:hAnsi="宋体"/>
                <w:szCs w:val="21"/>
              </w:rPr>
              <w:t>（10分）</w:t>
            </w:r>
          </w:p>
        </w:tc>
        <w:tc>
          <w:tcPr>
            <w:tcW w:w="660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numPr>
                <w:ilvl w:val="0"/>
                <w:numId w:val="139"/>
              </w:numPr>
              <w:jc w:val="left"/>
              <w:rPr>
                <w:rFonts w:ascii="宋体" w:hAnsi="宋体"/>
                <w:szCs w:val="21"/>
              </w:rPr>
            </w:pPr>
            <w:r>
              <w:rPr>
                <w:rFonts w:ascii="宋体" w:hAnsi="宋体"/>
                <w:szCs w:val="21"/>
              </w:rPr>
              <w:t>无过夜垃圾，无异味，桶身无污渍；</w:t>
            </w:r>
          </w:p>
          <w:p>
            <w:pPr>
              <w:widowControl/>
              <w:numPr>
                <w:ilvl w:val="0"/>
                <w:numId w:val="139"/>
              </w:numPr>
              <w:jc w:val="left"/>
              <w:rPr>
                <w:rFonts w:ascii="宋体" w:hAnsi="宋体"/>
                <w:szCs w:val="21"/>
              </w:rPr>
            </w:pPr>
            <w:r>
              <w:rPr>
                <w:rFonts w:hint="eastAsia" w:ascii="宋体" w:hAnsi="宋体"/>
                <w:szCs w:val="21"/>
              </w:rPr>
              <w:t>垃圾不得超过垃圾桶容量的3/4</w:t>
            </w:r>
            <w:r>
              <w:rPr>
                <w:rFonts w:ascii="宋体" w:hAnsi="宋体"/>
                <w:szCs w:val="21"/>
              </w:rPr>
              <w:t>。</w:t>
            </w:r>
          </w:p>
        </w:tc>
        <w:tc>
          <w:tcPr>
            <w:tcW w:w="1400"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一项不合格扣1分</w:t>
            </w:r>
          </w:p>
        </w:tc>
      </w:tr>
      <w:tr>
        <w:tblPrEx>
          <w:tblCellMar>
            <w:top w:w="0" w:type="dxa"/>
            <w:left w:w="0" w:type="dxa"/>
            <w:bottom w:w="0" w:type="dxa"/>
            <w:right w:w="0" w:type="dxa"/>
          </w:tblCellMar>
        </w:tblPrEx>
        <w:trPr>
          <w:trHeight w:val="646" w:hRule="atLeast"/>
        </w:trPr>
        <w:tc>
          <w:tcPr>
            <w:tcW w:w="234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r>
              <w:rPr>
                <w:rFonts w:ascii="宋体" w:hAnsi="宋体"/>
                <w:szCs w:val="21"/>
              </w:rPr>
              <w:t>尘推</w:t>
            </w:r>
            <w:r>
              <w:rPr>
                <w:rFonts w:hint="eastAsia" w:ascii="宋体" w:hAnsi="宋体"/>
                <w:szCs w:val="21"/>
              </w:rPr>
              <w:t>、</w:t>
            </w:r>
            <w:r>
              <w:rPr>
                <w:rFonts w:ascii="宋体" w:hAnsi="宋体"/>
                <w:szCs w:val="21"/>
              </w:rPr>
              <w:t>清洁推车</w:t>
            </w:r>
            <w:r>
              <w:rPr>
                <w:rFonts w:hint="eastAsia" w:ascii="宋体" w:hAnsi="宋体"/>
                <w:szCs w:val="21"/>
              </w:rPr>
              <w:t>、毛巾、拖把等</w:t>
            </w:r>
            <w:r>
              <w:rPr>
                <w:rFonts w:ascii="宋体" w:hAnsi="宋体"/>
                <w:szCs w:val="21"/>
              </w:rPr>
              <w:t>常用工具</w:t>
            </w:r>
          </w:p>
          <w:p>
            <w:pPr>
              <w:widowControl/>
              <w:jc w:val="center"/>
              <w:rPr>
                <w:rFonts w:ascii="宋体" w:hAnsi="宋体"/>
                <w:szCs w:val="21"/>
              </w:rPr>
            </w:pPr>
            <w:r>
              <w:rPr>
                <w:rFonts w:hint="eastAsia" w:ascii="宋体" w:hAnsi="宋体"/>
                <w:szCs w:val="21"/>
              </w:rPr>
              <w:t>（5分）</w:t>
            </w:r>
          </w:p>
        </w:tc>
        <w:tc>
          <w:tcPr>
            <w:tcW w:w="660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numPr>
                <w:ilvl w:val="0"/>
                <w:numId w:val="140"/>
              </w:numPr>
              <w:jc w:val="left"/>
              <w:rPr>
                <w:rFonts w:ascii="宋体" w:hAnsi="宋体"/>
                <w:szCs w:val="21"/>
              </w:rPr>
            </w:pPr>
            <w:r>
              <w:rPr>
                <w:rFonts w:hint="eastAsia" w:ascii="宋体" w:hAnsi="宋体"/>
                <w:szCs w:val="21"/>
              </w:rPr>
              <w:t>所有</w:t>
            </w:r>
            <w:r>
              <w:rPr>
                <w:rFonts w:ascii="宋体" w:hAnsi="宋体"/>
                <w:szCs w:val="21"/>
              </w:rPr>
              <w:t>用具干净、整齐；</w:t>
            </w:r>
          </w:p>
          <w:p>
            <w:pPr>
              <w:widowControl/>
              <w:numPr>
                <w:ilvl w:val="0"/>
                <w:numId w:val="140"/>
              </w:numPr>
              <w:jc w:val="left"/>
              <w:rPr>
                <w:rFonts w:ascii="宋体" w:hAnsi="宋体"/>
                <w:szCs w:val="21"/>
              </w:rPr>
            </w:pPr>
            <w:r>
              <w:rPr>
                <w:rFonts w:ascii="宋体" w:hAnsi="宋体"/>
                <w:szCs w:val="21"/>
              </w:rPr>
              <w:t>毛巾、</w:t>
            </w:r>
            <w:r>
              <w:rPr>
                <w:rFonts w:hint="eastAsia" w:ascii="宋体" w:hAnsi="宋体"/>
                <w:szCs w:val="21"/>
              </w:rPr>
              <w:t>拖把</w:t>
            </w:r>
            <w:r>
              <w:rPr>
                <w:rFonts w:ascii="宋体" w:hAnsi="宋体"/>
                <w:szCs w:val="21"/>
              </w:rPr>
              <w:t>无异味、</w:t>
            </w:r>
            <w:r>
              <w:rPr>
                <w:rFonts w:hint="eastAsia" w:ascii="宋体" w:hAnsi="宋体"/>
                <w:szCs w:val="21"/>
              </w:rPr>
              <w:t>无</w:t>
            </w:r>
            <w:r>
              <w:rPr>
                <w:rFonts w:ascii="宋体" w:hAnsi="宋体"/>
                <w:szCs w:val="21"/>
              </w:rPr>
              <w:t>发霉现象</w:t>
            </w:r>
            <w:r>
              <w:rPr>
                <w:rFonts w:hint="eastAsia" w:ascii="宋体" w:hAnsi="宋体"/>
                <w:szCs w:val="21"/>
              </w:rPr>
              <w:t>。</w:t>
            </w:r>
          </w:p>
        </w:tc>
        <w:tc>
          <w:tcPr>
            <w:tcW w:w="1400"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一项不合格扣0.5分</w:t>
            </w:r>
          </w:p>
        </w:tc>
      </w:tr>
      <w:tr>
        <w:tblPrEx>
          <w:tblCellMar>
            <w:top w:w="0" w:type="dxa"/>
            <w:left w:w="0" w:type="dxa"/>
            <w:bottom w:w="0" w:type="dxa"/>
            <w:right w:w="0" w:type="dxa"/>
          </w:tblCellMar>
        </w:tblPrEx>
        <w:trPr>
          <w:trHeight w:val="575" w:hRule="atLeast"/>
        </w:trPr>
        <w:tc>
          <w:tcPr>
            <w:tcW w:w="234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r>
              <w:rPr>
                <w:rFonts w:ascii="宋体" w:hAnsi="宋体"/>
                <w:szCs w:val="21"/>
              </w:rPr>
              <w:t>普通设备表面</w:t>
            </w:r>
            <w:r>
              <w:rPr>
                <w:rFonts w:hint="eastAsia" w:ascii="宋体" w:hAnsi="宋体"/>
                <w:szCs w:val="21"/>
              </w:rPr>
              <w:t>、空调表面</w:t>
            </w:r>
            <w:r>
              <w:rPr>
                <w:rFonts w:ascii="宋体" w:hAnsi="宋体"/>
                <w:szCs w:val="21"/>
              </w:rPr>
              <w:t>、</w:t>
            </w:r>
            <w:r>
              <w:rPr>
                <w:rFonts w:hint="eastAsia" w:ascii="宋体" w:hAnsi="宋体"/>
                <w:szCs w:val="21"/>
              </w:rPr>
              <w:t>空调过滤网等</w:t>
            </w:r>
            <w:r>
              <w:rPr>
                <w:rFonts w:ascii="宋体" w:hAnsi="宋体"/>
                <w:szCs w:val="21"/>
              </w:rPr>
              <w:t>机械设备</w:t>
            </w:r>
            <w:r>
              <w:rPr>
                <w:rFonts w:hint="eastAsia" w:ascii="宋体" w:hAnsi="宋体"/>
                <w:szCs w:val="21"/>
              </w:rPr>
              <w:t>（10分）</w:t>
            </w:r>
          </w:p>
        </w:tc>
        <w:tc>
          <w:tcPr>
            <w:tcW w:w="660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numPr>
                <w:ilvl w:val="0"/>
                <w:numId w:val="141"/>
              </w:numPr>
              <w:jc w:val="left"/>
              <w:rPr>
                <w:rFonts w:ascii="宋体" w:hAnsi="宋体"/>
                <w:szCs w:val="21"/>
              </w:rPr>
            </w:pPr>
            <w:r>
              <w:rPr>
                <w:rFonts w:ascii="宋体" w:hAnsi="宋体"/>
                <w:szCs w:val="21"/>
              </w:rPr>
              <w:t>表面无灰尘</w:t>
            </w:r>
            <w:r>
              <w:rPr>
                <w:rFonts w:hint="eastAsia" w:ascii="宋体" w:hAnsi="宋体"/>
                <w:szCs w:val="21"/>
              </w:rPr>
              <w:t>。</w:t>
            </w:r>
          </w:p>
        </w:tc>
        <w:tc>
          <w:tcPr>
            <w:tcW w:w="1400"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一项不合格扣0.5分</w:t>
            </w:r>
          </w:p>
        </w:tc>
      </w:tr>
      <w:tr>
        <w:tblPrEx>
          <w:tblCellMar>
            <w:top w:w="0" w:type="dxa"/>
            <w:left w:w="0" w:type="dxa"/>
            <w:bottom w:w="0" w:type="dxa"/>
            <w:right w:w="0" w:type="dxa"/>
          </w:tblCellMar>
        </w:tblPrEx>
        <w:trPr>
          <w:trHeight w:val="180" w:hRule="atLeast"/>
        </w:trPr>
        <w:tc>
          <w:tcPr>
            <w:tcW w:w="234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r>
              <w:rPr>
                <w:rFonts w:hint="eastAsia" w:ascii="宋体" w:hAnsi="宋体"/>
                <w:szCs w:val="21"/>
              </w:rPr>
              <w:t>各类家具、</w:t>
            </w:r>
            <w:r>
              <w:rPr>
                <w:rFonts w:ascii="宋体" w:hAnsi="宋体"/>
                <w:szCs w:val="21"/>
              </w:rPr>
              <w:t>物品</w:t>
            </w:r>
          </w:p>
          <w:p>
            <w:pPr>
              <w:widowControl/>
              <w:jc w:val="center"/>
              <w:rPr>
                <w:rFonts w:ascii="宋体" w:hAnsi="宋体"/>
                <w:szCs w:val="21"/>
              </w:rPr>
            </w:pPr>
            <w:r>
              <w:rPr>
                <w:rFonts w:hint="eastAsia" w:ascii="宋体" w:hAnsi="宋体"/>
                <w:szCs w:val="21"/>
              </w:rPr>
              <w:t>（5分）</w:t>
            </w:r>
          </w:p>
        </w:tc>
        <w:tc>
          <w:tcPr>
            <w:tcW w:w="660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numPr>
                <w:ilvl w:val="0"/>
                <w:numId w:val="142"/>
              </w:numPr>
              <w:jc w:val="left"/>
              <w:rPr>
                <w:rFonts w:ascii="宋体" w:hAnsi="宋体"/>
                <w:szCs w:val="21"/>
              </w:rPr>
            </w:pPr>
            <w:r>
              <w:rPr>
                <w:rFonts w:hint="eastAsia" w:ascii="宋体" w:hAnsi="宋体"/>
                <w:szCs w:val="21"/>
              </w:rPr>
              <w:t>物品</w:t>
            </w:r>
            <w:r>
              <w:rPr>
                <w:rFonts w:ascii="宋体" w:hAnsi="宋体"/>
                <w:szCs w:val="21"/>
              </w:rPr>
              <w:t>、</w:t>
            </w:r>
            <w:r>
              <w:rPr>
                <w:rFonts w:hint="eastAsia" w:ascii="宋体" w:hAnsi="宋体"/>
                <w:szCs w:val="21"/>
              </w:rPr>
              <w:t>家具</w:t>
            </w:r>
            <w:r>
              <w:rPr>
                <w:rFonts w:ascii="宋体" w:hAnsi="宋体"/>
                <w:szCs w:val="21"/>
              </w:rPr>
              <w:t>表里</w:t>
            </w:r>
            <w:r>
              <w:rPr>
                <w:rFonts w:hint="eastAsia" w:ascii="宋体" w:hAnsi="宋体"/>
                <w:szCs w:val="21"/>
              </w:rPr>
              <w:t>无灰尘</w:t>
            </w:r>
            <w:r>
              <w:rPr>
                <w:rFonts w:ascii="宋体" w:hAnsi="宋体"/>
                <w:szCs w:val="21"/>
              </w:rPr>
              <w:t>、无污渍</w:t>
            </w:r>
            <w:r>
              <w:rPr>
                <w:rFonts w:hint="eastAsia" w:ascii="宋体" w:hAnsi="宋体"/>
                <w:szCs w:val="21"/>
              </w:rPr>
              <w:t>、无水印。</w:t>
            </w:r>
          </w:p>
        </w:tc>
        <w:tc>
          <w:tcPr>
            <w:tcW w:w="1400"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一项不合格扣0.5分</w:t>
            </w:r>
          </w:p>
        </w:tc>
      </w:tr>
      <w:tr>
        <w:tblPrEx>
          <w:tblCellMar>
            <w:top w:w="0" w:type="dxa"/>
            <w:left w:w="0" w:type="dxa"/>
            <w:bottom w:w="0" w:type="dxa"/>
            <w:right w:w="0" w:type="dxa"/>
          </w:tblCellMar>
        </w:tblPrEx>
        <w:trPr>
          <w:trHeight w:val="180" w:hRule="atLeast"/>
        </w:trPr>
        <w:tc>
          <w:tcPr>
            <w:tcW w:w="234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r>
              <w:rPr>
                <w:rFonts w:hint="eastAsia" w:ascii="宋体" w:hAnsi="宋体"/>
                <w:szCs w:val="21"/>
              </w:rPr>
              <w:t>标本配送</w:t>
            </w:r>
          </w:p>
          <w:p>
            <w:pPr>
              <w:widowControl/>
              <w:jc w:val="center"/>
              <w:rPr>
                <w:rFonts w:ascii="宋体" w:hAnsi="宋体"/>
                <w:szCs w:val="21"/>
              </w:rPr>
            </w:pPr>
            <w:r>
              <w:rPr>
                <w:rFonts w:hint="eastAsia" w:ascii="宋体" w:hAnsi="宋体"/>
                <w:szCs w:val="21"/>
              </w:rPr>
              <w:t>（5分）</w:t>
            </w:r>
          </w:p>
        </w:tc>
        <w:tc>
          <w:tcPr>
            <w:tcW w:w="660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numPr>
                <w:ilvl w:val="0"/>
                <w:numId w:val="143"/>
              </w:numPr>
              <w:jc w:val="left"/>
              <w:rPr>
                <w:rFonts w:ascii="宋体" w:hAnsi="宋体"/>
                <w:szCs w:val="21"/>
              </w:rPr>
            </w:pPr>
            <w:r>
              <w:rPr>
                <w:rFonts w:hint="eastAsia" w:ascii="宋体" w:hAnsi="宋体"/>
                <w:szCs w:val="21"/>
              </w:rPr>
              <w:t>操作无失误,准确</w:t>
            </w:r>
            <w:r>
              <w:rPr>
                <w:rFonts w:ascii="宋体" w:hAnsi="宋体"/>
                <w:szCs w:val="21"/>
              </w:rPr>
              <w:t>、</w:t>
            </w:r>
            <w:r>
              <w:rPr>
                <w:rFonts w:hint="eastAsia" w:ascii="宋体" w:hAnsi="宋体"/>
                <w:szCs w:val="21"/>
              </w:rPr>
              <w:t>及时。</w:t>
            </w:r>
          </w:p>
        </w:tc>
        <w:tc>
          <w:tcPr>
            <w:tcW w:w="1400"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一项不合格扣0.5分</w:t>
            </w:r>
          </w:p>
        </w:tc>
      </w:tr>
      <w:tr>
        <w:tblPrEx>
          <w:tblCellMar>
            <w:top w:w="0" w:type="dxa"/>
            <w:left w:w="0" w:type="dxa"/>
            <w:bottom w:w="0" w:type="dxa"/>
            <w:right w:w="0" w:type="dxa"/>
          </w:tblCellMar>
        </w:tblPrEx>
        <w:trPr>
          <w:trHeight w:val="180" w:hRule="atLeast"/>
        </w:trPr>
        <w:tc>
          <w:tcPr>
            <w:tcW w:w="234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r>
              <w:rPr>
                <w:rFonts w:hint="eastAsia" w:ascii="宋体" w:hAnsi="宋体"/>
                <w:szCs w:val="21"/>
              </w:rPr>
              <w:t>投诉情况</w:t>
            </w:r>
          </w:p>
        </w:tc>
        <w:tc>
          <w:tcPr>
            <w:tcW w:w="660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numPr>
                <w:ilvl w:val="0"/>
                <w:numId w:val="144"/>
              </w:numPr>
              <w:ind w:hanging="840"/>
              <w:jc w:val="left"/>
              <w:rPr>
                <w:rFonts w:ascii="宋体" w:hAnsi="宋体"/>
                <w:szCs w:val="21"/>
              </w:rPr>
            </w:pPr>
            <w:r>
              <w:rPr>
                <w:rFonts w:ascii="宋体" w:hAnsi="宋体"/>
                <w:szCs w:val="21"/>
              </w:rPr>
              <w:t>有不良作为被</w:t>
            </w:r>
            <w:r>
              <w:rPr>
                <w:rFonts w:hint="eastAsia" w:ascii="宋体" w:hAnsi="宋体"/>
                <w:szCs w:val="21"/>
              </w:rPr>
              <w:t>病人及家属</w:t>
            </w:r>
            <w:r>
              <w:rPr>
                <w:rFonts w:ascii="宋体" w:hAnsi="宋体"/>
                <w:szCs w:val="21"/>
              </w:rPr>
              <w:t>或科室投诉属实的</w:t>
            </w:r>
            <w:r>
              <w:rPr>
                <w:rFonts w:hint="eastAsia" w:ascii="宋体" w:hAnsi="宋体"/>
                <w:szCs w:val="21"/>
              </w:rPr>
              <w:t>，</w:t>
            </w:r>
            <w:r>
              <w:rPr>
                <w:rFonts w:ascii="宋体" w:hAnsi="宋体"/>
                <w:szCs w:val="21"/>
              </w:rPr>
              <w:t>给</w:t>
            </w:r>
            <w:r>
              <w:rPr>
                <w:rFonts w:hint="eastAsia" w:ascii="宋体" w:hAnsi="宋体"/>
                <w:szCs w:val="21"/>
              </w:rPr>
              <w:t>医院</w:t>
            </w:r>
            <w:r>
              <w:rPr>
                <w:rFonts w:ascii="宋体" w:hAnsi="宋体"/>
                <w:szCs w:val="21"/>
              </w:rPr>
              <w:t>造成较大影响</w:t>
            </w:r>
          </w:p>
          <w:p>
            <w:pPr>
              <w:widowControl/>
              <w:ind w:firstLine="420" w:firstLineChars="200"/>
              <w:jc w:val="left"/>
              <w:rPr>
                <w:rFonts w:ascii="宋体" w:hAnsi="宋体"/>
                <w:szCs w:val="21"/>
              </w:rPr>
            </w:pPr>
            <w:r>
              <w:rPr>
                <w:rFonts w:ascii="宋体" w:hAnsi="宋体"/>
                <w:szCs w:val="21"/>
              </w:rPr>
              <w:t>的</w:t>
            </w:r>
            <w:r>
              <w:rPr>
                <w:rFonts w:hint="eastAsia" w:ascii="宋体" w:hAnsi="宋体"/>
                <w:szCs w:val="21"/>
              </w:rPr>
              <w:t>。</w:t>
            </w:r>
          </w:p>
        </w:tc>
        <w:tc>
          <w:tcPr>
            <w:tcW w:w="1400"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另</w:t>
            </w:r>
            <w:r>
              <w:rPr>
                <w:rFonts w:ascii="宋体" w:hAnsi="宋体"/>
                <w:szCs w:val="21"/>
              </w:rPr>
              <w:t>扣</w:t>
            </w:r>
            <w:r>
              <w:rPr>
                <w:rFonts w:hint="eastAsia" w:ascii="宋体" w:hAnsi="宋体"/>
                <w:szCs w:val="21"/>
              </w:rPr>
              <w:t>22</w:t>
            </w:r>
            <w:r>
              <w:rPr>
                <w:rFonts w:ascii="宋体" w:hAnsi="宋体"/>
                <w:szCs w:val="21"/>
              </w:rPr>
              <w:t>分</w:t>
            </w:r>
          </w:p>
        </w:tc>
      </w:tr>
    </w:tbl>
    <w:p>
      <w:pPr>
        <w:widowControl/>
        <w:tabs>
          <w:tab w:val="left" w:pos="142"/>
        </w:tabs>
        <w:jc w:val="left"/>
        <w:rPr>
          <w:rFonts w:ascii="宋体" w:hAnsi="宋体"/>
          <w:b/>
          <w:sz w:val="28"/>
        </w:rPr>
      </w:pPr>
    </w:p>
    <w:p>
      <w:pPr>
        <w:widowControl/>
        <w:tabs>
          <w:tab w:val="left" w:pos="142"/>
        </w:tabs>
        <w:jc w:val="left"/>
        <w:rPr>
          <w:rFonts w:ascii="宋体" w:hAnsi="宋体"/>
          <w:b/>
          <w:sz w:val="24"/>
        </w:rPr>
      </w:pPr>
      <w:r>
        <w:rPr>
          <w:rFonts w:hint="eastAsia" w:ascii="宋体" w:hAnsi="宋体"/>
          <w:b/>
          <w:sz w:val="28"/>
        </w:rPr>
        <w:t>二、配送服务需求</w:t>
      </w:r>
      <w:r>
        <w:rPr>
          <w:rFonts w:hint="eastAsia" w:ascii="宋体" w:hAnsi="宋体"/>
          <w:b/>
          <w:sz w:val="24"/>
        </w:rPr>
        <w:t>：</w:t>
      </w:r>
    </w:p>
    <w:p>
      <w:pPr>
        <w:spacing w:before="120" w:beforeLines="50" w:line="360" w:lineRule="auto"/>
        <w:ind w:firstLine="161" w:firstLineChars="67"/>
        <w:rPr>
          <w:rFonts w:ascii="宋体" w:hAnsi="宋体"/>
          <w:b/>
          <w:sz w:val="24"/>
        </w:rPr>
      </w:pPr>
      <w:r>
        <w:rPr>
          <w:rFonts w:hint="eastAsia" w:ascii="宋体" w:hAnsi="宋体"/>
          <w:b/>
          <w:sz w:val="24"/>
        </w:rPr>
        <w:t>（一）工作内容</w:t>
      </w:r>
    </w:p>
    <w:p>
      <w:pPr>
        <w:widowControl/>
        <w:numPr>
          <w:ilvl w:val="0"/>
          <w:numId w:val="145"/>
        </w:numPr>
        <w:tabs>
          <w:tab w:val="left" w:pos="426"/>
          <w:tab w:val="left" w:pos="567"/>
          <w:tab w:val="left" w:pos="993"/>
        </w:tabs>
        <w:spacing w:line="360" w:lineRule="auto"/>
        <w:ind w:firstLine="147"/>
        <w:jc w:val="left"/>
        <w:rPr>
          <w:rFonts w:ascii="宋体" w:hAnsi="宋体"/>
          <w:bCs/>
          <w:sz w:val="24"/>
        </w:rPr>
      </w:pPr>
      <w:r>
        <w:rPr>
          <w:rFonts w:hint="eastAsia" w:ascii="宋体" w:hAnsi="宋体"/>
          <w:bCs/>
          <w:sz w:val="24"/>
        </w:rPr>
        <w:t>杂物配送：根据科室要求，协助仓库货物上下架，将杂物配送至指定区域。</w:t>
      </w:r>
    </w:p>
    <w:p>
      <w:pPr>
        <w:widowControl/>
        <w:numPr>
          <w:ilvl w:val="0"/>
          <w:numId w:val="145"/>
        </w:numPr>
        <w:tabs>
          <w:tab w:val="left" w:pos="426"/>
          <w:tab w:val="left" w:pos="567"/>
          <w:tab w:val="left" w:pos="993"/>
        </w:tabs>
        <w:spacing w:line="360" w:lineRule="auto"/>
        <w:ind w:firstLine="147"/>
        <w:jc w:val="left"/>
        <w:rPr>
          <w:rFonts w:ascii="宋体" w:hAnsi="宋体"/>
          <w:bCs/>
          <w:sz w:val="24"/>
        </w:rPr>
      </w:pPr>
      <w:r>
        <w:rPr>
          <w:rFonts w:hint="eastAsia" w:ascii="宋体" w:hAnsi="宋体"/>
          <w:bCs/>
          <w:sz w:val="24"/>
        </w:rPr>
        <w:t>库房整理：根据科室需求，按分类有序整理货架。</w:t>
      </w:r>
    </w:p>
    <w:p>
      <w:pPr>
        <w:spacing w:line="360" w:lineRule="auto"/>
        <w:ind w:firstLine="161" w:firstLineChars="67"/>
        <w:rPr>
          <w:rFonts w:ascii="宋体" w:hAnsi="宋体"/>
          <w:b/>
          <w:sz w:val="24"/>
        </w:rPr>
      </w:pPr>
      <w:r>
        <w:rPr>
          <w:rFonts w:hint="eastAsia" w:ascii="宋体" w:hAnsi="宋体"/>
          <w:b/>
          <w:sz w:val="24"/>
        </w:rPr>
        <w:t>（二）工作要求</w:t>
      </w:r>
    </w:p>
    <w:p>
      <w:pPr>
        <w:widowControl/>
        <w:numPr>
          <w:ilvl w:val="1"/>
          <w:numId w:val="146"/>
        </w:numPr>
        <w:tabs>
          <w:tab w:val="left" w:pos="567"/>
          <w:tab w:val="left" w:pos="993"/>
          <w:tab w:val="left" w:pos="1134"/>
        </w:tabs>
        <w:spacing w:line="360" w:lineRule="auto"/>
        <w:ind w:hanging="273"/>
        <w:jc w:val="left"/>
        <w:rPr>
          <w:rFonts w:ascii="宋体" w:hAnsi="宋体"/>
          <w:bCs/>
          <w:sz w:val="24"/>
        </w:rPr>
      </w:pPr>
      <w:r>
        <w:rPr>
          <w:rFonts w:hint="eastAsia" w:ascii="宋体" w:hAnsi="宋体"/>
          <w:bCs/>
          <w:sz w:val="24"/>
        </w:rPr>
        <w:t>学历至少达到初中及以上水平</w:t>
      </w:r>
      <w:r>
        <w:rPr>
          <w:rFonts w:ascii="宋体" w:hAnsi="宋体"/>
          <w:bCs/>
          <w:sz w:val="24"/>
        </w:rPr>
        <w:t>；</w:t>
      </w:r>
    </w:p>
    <w:p>
      <w:pPr>
        <w:widowControl/>
        <w:numPr>
          <w:ilvl w:val="1"/>
          <w:numId w:val="146"/>
        </w:numPr>
        <w:tabs>
          <w:tab w:val="left" w:pos="567"/>
          <w:tab w:val="left" w:pos="993"/>
          <w:tab w:val="left" w:pos="1134"/>
        </w:tabs>
        <w:spacing w:line="360" w:lineRule="auto"/>
        <w:ind w:hanging="273"/>
        <w:jc w:val="left"/>
        <w:rPr>
          <w:rFonts w:ascii="宋体" w:hAnsi="宋体"/>
          <w:bCs/>
          <w:sz w:val="24"/>
        </w:rPr>
      </w:pPr>
      <w:r>
        <w:rPr>
          <w:rFonts w:ascii="宋体" w:hAnsi="宋体"/>
          <w:bCs/>
          <w:sz w:val="24"/>
        </w:rPr>
        <w:t>爱护</w:t>
      </w:r>
      <w:r>
        <w:rPr>
          <w:rFonts w:hint="eastAsia" w:ascii="宋体" w:hAnsi="宋体"/>
          <w:bCs/>
          <w:sz w:val="24"/>
        </w:rPr>
        <w:t>公共</w:t>
      </w:r>
      <w:r>
        <w:rPr>
          <w:rFonts w:ascii="宋体" w:hAnsi="宋体"/>
          <w:bCs/>
          <w:sz w:val="24"/>
        </w:rPr>
        <w:t>财产，听从</w:t>
      </w:r>
      <w:r>
        <w:rPr>
          <w:rFonts w:hint="eastAsia" w:ascii="宋体" w:hAnsi="宋体"/>
          <w:bCs/>
          <w:sz w:val="24"/>
        </w:rPr>
        <w:t>科室</w:t>
      </w:r>
      <w:r>
        <w:rPr>
          <w:rFonts w:ascii="宋体" w:hAnsi="宋体"/>
          <w:bCs/>
          <w:sz w:val="24"/>
        </w:rPr>
        <w:t xml:space="preserve">的工作安排； </w:t>
      </w:r>
    </w:p>
    <w:p>
      <w:pPr>
        <w:widowControl/>
        <w:numPr>
          <w:ilvl w:val="1"/>
          <w:numId w:val="146"/>
        </w:numPr>
        <w:tabs>
          <w:tab w:val="left" w:pos="567"/>
          <w:tab w:val="left" w:pos="993"/>
          <w:tab w:val="left" w:pos="1134"/>
        </w:tabs>
        <w:spacing w:line="360" w:lineRule="auto"/>
        <w:ind w:hanging="273"/>
        <w:jc w:val="left"/>
        <w:rPr>
          <w:rFonts w:ascii="宋体" w:hAnsi="宋体"/>
          <w:bCs/>
          <w:sz w:val="24"/>
        </w:rPr>
      </w:pPr>
      <w:r>
        <w:rPr>
          <w:rFonts w:ascii="宋体" w:hAnsi="宋体"/>
          <w:bCs/>
          <w:sz w:val="24"/>
        </w:rPr>
        <w:t>及时、到位地完成工作任务</w:t>
      </w:r>
      <w:r>
        <w:rPr>
          <w:rFonts w:hint="eastAsia" w:ascii="宋体" w:hAnsi="宋体"/>
          <w:bCs/>
          <w:sz w:val="24"/>
        </w:rPr>
        <w:t>。</w:t>
      </w:r>
    </w:p>
    <w:p>
      <w:pPr>
        <w:spacing w:line="360" w:lineRule="auto"/>
        <w:ind w:firstLine="161" w:firstLineChars="67"/>
        <w:rPr>
          <w:rFonts w:ascii="宋体" w:hAnsi="宋体"/>
          <w:b/>
          <w:sz w:val="24"/>
        </w:rPr>
      </w:pPr>
      <w:r>
        <w:rPr>
          <w:rFonts w:hint="eastAsia" w:ascii="宋体" w:hAnsi="宋体"/>
          <w:b/>
          <w:sz w:val="24"/>
        </w:rPr>
        <w:t>（三）配送员服务质量要求及考核标准</w:t>
      </w:r>
    </w:p>
    <w:tbl>
      <w:tblPr>
        <w:tblStyle w:val="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496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943" w:type="dxa"/>
            <w:noWrap w:val="0"/>
            <w:vAlign w:val="center"/>
          </w:tcPr>
          <w:p>
            <w:pPr>
              <w:spacing w:line="360" w:lineRule="auto"/>
              <w:jc w:val="center"/>
              <w:rPr>
                <w:rFonts w:ascii="宋体" w:hAnsi="宋体"/>
                <w:b/>
                <w:bCs/>
                <w:kern w:val="0"/>
                <w:szCs w:val="21"/>
              </w:rPr>
            </w:pPr>
            <w:r>
              <w:rPr>
                <w:rFonts w:hint="eastAsia" w:ascii="宋体" w:hAnsi="宋体"/>
                <w:b/>
                <w:bCs/>
                <w:kern w:val="0"/>
                <w:szCs w:val="21"/>
              </w:rPr>
              <w:t>考核指标</w:t>
            </w:r>
          </w:p>
        </w:tc>
        <w:tc>
          <w:tcPr>
            <w:tcW w:w="4962" w:type="dxa"/>
            <w:noWrap w:val="0"/>
            <w:vAlign w:val="center"/>
          </w:tcPr>
          <w:p>
            <w:pPr>
              <w:spacing w:line="360" w:lineRule="auto"/>
              <w:jc w:val="center"/>
              <w:rPr>
                <w:rFonts w:ascii="宋体" w:hAnsi="宋体"/>
                <w:b/>
                <w:bCs/>
                <w:kern w:val="0"/>
                <w:szCs w:val="21"/>
              </w:rPr>
            </w:pPr>
            <w:r>
              <w:rPr>
                <w:rFonts w:hint="eastAsia" w:ascii="宋体" w:hAnsi="宋体"/>
                <w:b/>
                <w:bCs/>
                <w:kern w:val="0"/>
                <w:szCs w:val="21"/>
              </w:rPr>
              <w:t>考核内容</w:t>
            </w:r>
          </w:p>
        </w:tc>
        <w:tc>
          <w:tcPr>
            <w:tcW w:w="1559" w:type="dxa"/>
            <w:noWrap w:val="0"/>
            <w:vAlign w:val="center"/>
          </w:tcPr>
          <w:p>
            <w:pPr>
              <w:spacing w:line="360" w:lineRule="auto"/>
              <w:jc w:val="center"/>
              <w:rPr>
                <w:rFonts w:ascii="宋体" w:hAnsi="宋体"/>
                <w:b/>
                <w:bCs/>
                <w:kern w:val="0"/>
                <w:szCs w:val="21"/>
              </w:rPr>
            </w:pPr>
            <w:r>
              <w:rPr>
                <w:rFonts w:hint="eastAsia" w:ascii="宋体" w:hAnsi="宋体"/>
                <w:b/>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vMerge w:val="restart"/>
            <w:noWrap w:val="0"/>
            <w:vAlign w:val="center"/>
          </w:tcPr>
          <w:p>
            <w:pPr>
              <w:widowControl/>
              <w:jc w:val="center"/>
              <w:rPr>
                <w:rFonts w:ascii="宋体" w:hAnsi="宋体"/>
                <w:szCs w:val="21"/>
              </w:rPr>
            </w:pPr>
            <w:r>
              <w:rPr>
                <w:rFonts w:hint="eastAsia" w:ascii="宋体" w:hAnsi="宋体"/>
                <w:szCs w:val="21"/>
              </w:rPr>
              <w:t>项目负责人</w:t>
            </w:r>
          </w:p>
        </w:tc>
        <w:tc>
          <w:tcPr>
            <w:tcW w:w="4962" w:type="dxa"/>
            <w:noWrap w:val="0"/>
            <w:vAlign w:val="center"/>
          </w:tcPr>
          <w:p>
            <w:pPr>
              <w:spacing w:line="340" w:lineRule="exact"/>
              <w:jc w:val="left"/>
              <w:rPr>
                <w:rFonts w:ascii="宋体" w:hAnsi="宋体"/>
                <w:szCs w:val="21"/>
              </w:rPr>
            </w:pPr>
            <w:r>
              <w:rPr>
                <w:rFonts w:hint="eastAsia" w:ascii="宋体" w:hAnsi="宋体"/>
                <w:szCs w:val="21"/>
              </w:rPr>
              <w:t xml:space="preserve">1.熟练掌握人员编排等问题，并与区域负责人沟通处理各个事项；                        </w:t>
            </w:r>
          </w:p>
        </w:tc>
        <w:tc>
          <w:tcPr>
            <w:tcW w:w="1559" w:type="dxa"/>
            <w:vMerge w:val="restart"/>
            <w:noWrap w:val="0"/>
            <w:vAlign w:val="center"/>
          </w:tcPr>
          <w:p>
            <w:pPr>
              <w:spacing w:line="360" w:lineRule="auto"/>
              <w:jc w:val="center"/>
              <w:rPr>
                <w:rFonts w:ascii="宋体" w:hAnsi="宋体"/>
                <w:b/>
                <w:bCs/>
                <w:kern w:val="0"/>
                <w:szCs w:val="21"/>
              </w:rPr>
            </w:pPr>
            <w:r>
              <w:rPr>
                <w:rFonts w:hint="eastAsia" w:ascii="宋体" w:hAnsi="宋体"/>
                <w:bCs/>
                <w:kern w:val="0"/>
                <w:sz w:val="24"/>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vMerge w:val="continue"/>
            <w:noWrap w:val="0"/>
            <w:vAlign w:val="center"/>
          </w:tcPr>
          <w:p>
            <w:pPr>
              <w:widowControl/>
              <w:jc w:val="center"/>
              <w:rPr>
                <w:rFonts w:ascii="宋体" w:hAnsi="宋体"/>
                <w:szCs w:val="21"/>
              </w:rPr>
            </w:pPr>
          </w:p>
        </w:tc>
        <w:tc>
          <w:tcPr>
            <w:tcW w:w="4962" w:type="dxa"/>
            <w:noWrap w:val="0"/>
            <w:vAlign w:val="center"/>
          </w:tcPr>
          <w:p>
            <w:pPr>
              <w:widowControl/>
              <w:spacing w:line="340" w:lineRule="exact"/>
              <w:jc w:val="left"/>
              <w:rPr>
                <w:rFonts w:ascii="宋体" w:hAnsi="宋体"/>
                <w:szCs w:val="21"/>
              </w:rPr>
            </w:pPr>
            <w:r>
              <w:rPr>
                <w:rFonts w:ascii="宋体" w:hAnsi="宋体"/>
                <w:szCs w:val="21"/>
              </w:rPr>
              <w:t>2.</w:t>
            </w:r>
            <w:r>
              <w:rPr>
                <w:rFonts w:hint="eastAsia" w:ascii="宋体" w:hAnsi="宋体"/>
                <w:szCs w:val="21"/>
              </w:rPr>
              <w:t xml:space="preserve">积极执行科室临时办的工作任务；          </w:t>
            </w:r>
          </w:p>
        </w:tc>
        <w:tc>
          <w:tcPr>
            <w:tcW w:w="1559" w:type="dxa"/>
            <w:vMerge w:val="continue"/>
            <w:noWrap w:val="0"/>
            <w:vAlign w:val="center"/>
          </w:tcPr>
          <w:p>
            <w:pPr>
              <w:spacing w:line="360" w:lineRule="auto"/>
              <w:jc w:val="center"/>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vMerge w:val="continue"/>
            <w:noWrap w:val="0"/>
            <w:vAlign w:val="center"/>
          </w:tcPr>
          <w:p>
            <w:pPr>
              <w:widowControl/>
              <w:jc w:val="center"/>
              <w:rPr>
                <w:rFonts w:ascii="宋体" w:hAnsi="宋体"/>
                <w:szCs w:val="21"/>
              </w:rPr>
            </w:pPr>
          </w:p>
        </w:tc>
        <w:tc>
          <w:tcPr>
            <w:tcW w:w="4962" w:type="dxa"/>
            <w:noWrap w:val="0"/>
            <w:vAlign w:val="center"/>
          </w:tcPr>
          <w:p>
            <w:pPr>
              <w:spacing w:line="340" w:lineRule="exact"/>
              <w:jc w:val="left"/>
              <w:rPr>
                <w:rFonts w:ascii="宋体" w:hAnsi="宋体"/>
                <w:szCs w:val="21"/>
              </w:rPr>
            </w:pPr>
            <w:r>
              <w:rPr>
                <w:rFonts w:ascii="宋体" w:hAnsi="宋体"/>
                <w:szCs w:val="21"/>
              </w:rPr>
              <w:t>3.</w:t>
            </w:r>
            <w:r>
              <w:rPr>
                <w:rFonts w:hint="eastAsia" w:ascii="宋体" w:hAnsi="宋体"/>
                <w:szCs w:val="21"/>
              </w:rPr>
              <w:t xml:space="preserve">工作效率及工作质量是否满足科室或医院要求；                       </w:t>
            </w:r>
          </w:p>
        </w:tc>
        <w:tc>
          <w:tcPr>
            <w:tcW w:w="1559" w:type="dxa"/>
            <w:vMerge w:val="continue"/>
            <w:noWrap w:val="0"/>
            <w:vAlign w:val="center"/>
          </w:tcPr>
          <w:p>
            <w:pPr>
              <w:spacing w:line="360" w:lineRule="auto"/>
              <w:jc w:val="center"/>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vMerge w:val="continue"/>
            <w:noWrap w:val="0"/>
            <w:vAlign w:val="center"/>
          </w:tcPr>
          <w:p>
            <w:pPr>
              <w:widowControl/>
              <w:jc w:val="center"/>
              <w:rPr>
                <w:rFonts w:ascii="宋体" w:hAnsi="宋体"/>
                <w:szCs w:val="21"/>
              </w:rPr>
            </w:pPr>
          </w:p>
        </w:tc>
        <w:tc>
          <w:tcPr>
            <w:tcW w:w="4962" w:type="dxa"/>
            <w:noWrap w:val="0"/>
            <w:vAlign w:val="center"/>
          </w:tcPr>
          <w:p>
            <w:pPr>
              <w:spacing w:line="340" w:lineRule="exact"/>
              <w:jc w:val="left"/>
              <w:rPr>
                <w:rFonts w:ascii="宋体" w:hAnsi="宋体"/>
                <w:szCs w:val="21"/>
              </w:rPr>
            </w:pPr>
            <w:r>
              <w:rPr>
                <w:rFonts w:ascii="宋体" w:hAnsi="宋体"/>
                <w:szCs w:val="21"/>
              </w:rPr>
              <w:t>4.</w:t>
            </w:r>
            <w:r>
              <w:rPr>
                <w:rFonts w:hint="eastAsia" w:ascii="宋体" w:hAnsi="宋体"/>
                <w:szCs w:val="21"/>
              </w:rPr>
              <w:t xml:space="preserve">对科室提出的问题，及时进行整改落实；  </w:t>
            </w:r>
          </w:p>
        </w:tc>
        <w:tc>
          <w:tcPr>
            <w:tcW w:w="1559" w:type="dxa"/>
            <w:vMerge w:val="continue"/>
            <w:noWrap w:val="0"/>
            <w:vAlign w:val="center"/>
          </w:tcPr>
          <w:p>
            <w:pPr>
              <w:spacing w:line="360" w:lineRule="auto"/>
              <w:jc w:val="center"/>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vMerge w:val="continue"/>
            <w:noWrap w:val="0"/>
            <w:vAlign w:val="center"/>
          </w:tcPr>
          <w:p>
            <w:pPr>
              <w:widowControl/>
              <w:jc w:val="center"/>
              <w:rPr>
                <w:rFonts w:ascii="宋体" w:hAnsi="宋体"/>
                <w:szCs w:val="21"/>
              </w:rPr>
            </w:pPr>
          </w:p>
        </w:tc>
        <w:tc>
          <w:tcPr>
            <w:tcW w:w="4962" w:type="dxa"/>
            <w:noWrap w:val="0"/>
            <w:vAlign w:val="center"/>
          </w:tcPr>
          <w:p>
            <w:pPr>
              <w:spacing w:line="340" w:lineRule="exact"/>
              <w:jc w:val="left"/>
              <w:rPr>
                <w:rFonts w:ascii="宋体" w:hAnsi="宋体"/>
                <w:szCs w:val="21"/>
              </w:rPr>
            </w:pPr>
            <w:r>
              <w:rPr>
                <w:rFonts w:ascii="宋体" w:hAnsi="宋体"/>
                <w:szCs w:val="21"/>
              </w:rPr>
              <w:t>5.</w:t>
            </w:r>
            <w:r>
              <w:rPr>
                <w:rFonts w:hint="eastAsia" w:ascii="宋体" w:hAnsi="宋体"/>
                <w:szCs w:val="21"/>
              </w:rPr>
              <w:t>如发生突发性事件，应设法采取应急措施，制止事态的扩大，及时向医院管理部门报告。</w:t>
            </w:r>
          </w:p>
        </w:tc>
        <w:tc>
          <w:tcPr>
            <w:tcW w:w="1559" w:type="dxa"/>
            <w:vMerge w:val="continue"/>
            <w:noWrap w:val="0"/>
            <w:vAlign w:val="center"/>
          </w:tcPr>
          <w:p>
            <w:pPr>
              <w:spacing w:line="360" w:lineRule="auto"/>
              <w:jc w:val="center"/>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vMerge w:val="restart"/>
            <w:noWrap w:val="0"/>
            <w:vAlign w:val="center"/>
          </w:tcPr>
          <w:p>
            <w:pPr>
              <w:spacing w:line="360" w:lineRule="auto"/>
              <w:jc w:val="center"/>
              <w:rPr>
                <w:rFonts w:ascii="宋体" w:hAnsi="宋体"/>
                <w:bCs/>
                <w:kern w:val="0"/>
                <w:sz w:val="24"/>
                <w:szCs w:val="21"/>
              </w:rPr>
            </w:pPr>
            <w:r>
              <w:rPr>
                <w:rFonts w:hint="eastAsia" w:ascii="宋体" w:hAnsi="宋体"/>
                <w:bCs/>
                <w:kern w:val="0"/>
                <w:sz w:val="24"/>
                <w:szCs w:val="21"/>
              </w:rPr>
              <w:t>工作质量</w:t>
            </w:r>
          </w:p>
        </w:tc>
        <w:tc>
          <w:tcPr>
            <w:tcW w:w="4962" w:type="dxa"/>
            <w:noWrap w:val="0"/>
            <w:vAlign w:val="center"/>
          </w:tcPr>
          <w:p>
            <w:pPr>
              <w:spacing w:line="340" w:lineRule="exact"/>
              <w:ind w:left="420"/>
              <w:rPr>
                <w:rFonts w:ascii="宋体" w:hAnsi="宋体"/>
                <w:bCs/>
                <w:kern w:val="0"/>
                <w:szCs w:val="21"/>
              </w:rPr>
            </w:pPr>
            <w:r>
              <w:rPr>
                <w:rFonts w:hint="eastAsia" w:ascii="宋体" w:hAnsi="宋体"/>
                <w:bCs/>
                <w:kern w:val="0"/>
                <w:szCs w:val="21"/>
              </w:rPr>
              <w:t>1.主动协助科室做好物品上下架、整理工作；</w:t>
            </w:r>
          </w:p>
        </w:tc>
        <w:tc>
          <w:tcPr>
            <w:tcW w:w="1559" w:type="dxa"/>
            <w:vMerge w:val="restart"/>
            <w:noWrap w:val="0"/>
            <w:vAlign w:val="center"/>
          </w:tcPr>
          <w:p>
            <w:pPr>
              <w:spacing w:line="360" w:lineRule="auto"/>
              <w:jc w:val="center"/>
              <w:rPr>
                <w:rFonts w:ascii="宋体" w:hAnsi="宋体"/>
                <w:bCs/>
                <w:kern w:val="0"/>
                <w:sz w:val="24"/>
                <w:szCs w:val="21"/>
              </w:rPr>
            </w:pPr>
            <w:r>
              <w:rPr>
                <w:rFonts w:hint="eastAsia" w:ascii="宋体" w:hAnsi="宋体"/>
                <w:bCs/>
                <w:kern w:val="0"/>
                <w:sz w:val="24"/>
                <w:szCs w:val="21"/>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vMerge w:val="continue"/>
            <w:noWrap w:val="0"/>
            <w:vAlign w:val="center"/>
          </w:tcPr>
          <w:p>
            <w:pPr>
              <w:spacing w:line="360" w:lineRule="auto"/>
              <w:jc w:val="center"/>
              <w:rPr>
                <w:rFonts w:ascii="宋体" w:hAnsi="宋体"/>
                <w:bCs/>
                <w:kern w:val="0"/>
                <w:sz w:val="24"/>
                <w:szCs w:val="21"/>
              </w:rPr>
            </w:pPr>
          </w:p>
        </w:tc>
        <w:tc>
          <w:tcPr>
            <w:tcW w:w="4962" w:type="dxa"/>
            <w:noWrap w:val="0"/>
            <w:vAlign w:val="center"/>
          </w:tcPr>
          <w:p>
            <w:pPr>
              <w:numPr>
                <w:ilvl w:val="0"/>
                <w:numId w:val="147"/>
              </w:numPr>
              <w:spacing w:line="340" w:lineRule="exact"/>
              <w:rPr>
                <w:rFonts w:ascii="宋体" w:hAnsi="宋体"/>
                <w:bCs/>
                <w:kern w:val="0"/>
                <w:szCs w:val="21"/>
              </w:rPr>
            </w:pPr>
            <w:r>
              <w:rPr>
                <w:rFonts w:hint="eastAsia" w:ascii="宋体" w:hAnsi="宋体"/>
                <w:bCs/>
                <w:kern w:val="0"/>
                <w:szCs w:val="21"/>
              </w:rPr>
              <w:t>2.根据科室要求仔细核对需要配送物品数量、类别，并根据要求送至指定地点；</w:t>
            </w:r>
          </w:p>
        </w:tc>
        <w:tc>
          <w:tcPr>
            <w:tcW w:w="1559" w:type="dxa"/>
            <w:vMerge w:val="continue"/>
            <w:noWrap w:val="0"/>
            <w:vAlign w:val="center"/>
          </w:tcPr>
          <w:p>
            <w:pPr>
              <w:spacing w:line="360" w:lineRule="auto"/>
              <w:jc w:val="center"/>
              <w:rPr>
                <w:rFonts w:ascii="宋体" w:hAnsi="宋体"/>
                <w:bCs/>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vMerge w:val="continue"/>
            <w:noWrap w:val="0"/>
            <w:vAlign w:val="center"/>
          </w:tcPr>
          <w:p>
            <w:pPr>
              <w:spacing w:line="360" w:lineRule="auto"/>
              <w:jc w:val="center"/>
              <w:rPr>
                <w:rFonts w:ascii="宋体" w:hAnsi="宋体"/>
                <w:bCs/>
                <w:kern w:val="0"/>
                <w:sz w:val="24"/>
                <w:szCs w:val="21"/>
              </w:rPr>
            </w:pPr>
          </w:p>
        </w:tc>
        <w:tc>
          <w:tcPr>
            <w:tcW w:w="4962" w:type="dxa"/>
            <w:noWrap w:val="0"/>
            <w:vAlign w:val="center"/>
          </w:tcPr>
          <w:p>
            <w:pPr>
              <w:numPr>
                <w:ilvl w:val="0"/>
                <w:numId w:val="147"/>
              </w:numPr>
              <w:spacing w:line="340" w:lineRule="exact"/>
              <w:rPr>
                <w:rFonts w:ascii="宋体" w:hAnsi="宋体"/>
                <w:bCs/>
                <w:kern w:val="0"/>
                <w:szCs w:val="21"/>
              </w:rPr>
            </w:pPr>
            <w:r>
              <w:rPr>
                <w:rFonts w:hint="eastAsia" w:ascii="宋体" w:hAnsi="宋体"/>
                <w:bCs/>
                <w:kern w:val="0"/>
                <w:szCs w:val="21"/>
              </w:rPr>
              <w:t>3.配送迅速、准确无误，无差错；</w:t>
            </w:r>
          </w:p>
        </w:tc>
        <w:tc>
          <w:tcPr>
            <w:tcW w:w="1559" w:type="dxa"/>
            <w:vMerge w:val="continue"/>
            <w:noWrap w:val="0"/>
            <w:vAlign w:val="center"/>
          </w:tcPr>
          <w:p>
            <w:pPr>
              <w:spacing w:line="360" w:lineRule="auto"/>
              <w:jc w:val="center"/>
              <w:rPr>
                <w:rFonts w:ascii="宋体" w:hAnsi="宋体"/>
                <w:bCs/>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vMerge w:val="continue"/>
            <w:noWrap w:val="0"/>
            <w:vAlign w:val="center"/>
          </w:tcPr>
          <w:p>
            <w:pPr>
              <w:spacing w:line="360" w:lineRule="auto"/>
              <w:jc w:val="center"/>
              <w:rPr>
                <w:rFonts w:ascii="宋体" w:hAnsi="宋体"/>
                <w:bCs/>
                <w:kern w:val="0"/>
                <w:sz w:val="24"/>
                <w:szCs w:val="21"/>
              </w:rPr>
            </w:pPr>
          </w:p>
        </w:tc>
        <w:tc>
          <w:tcPr>
            <w:tcW w:w="4962" w:type="dxa"/>
            <w:noWrap w:val="0"/>
            <w:vAlign w:val="center"/>
          </w:tcPr>
          <w:p>
            <w:pPr>
              <w:numPr>
                <w:ilvl w:val="0"/>
                <w:numId w:val="147"/>
              </w:numPr>
              <w:spacing w:line="340" w:lineRule="exact"/>
              <w:rPr>
                <w:rFonts w:ascii="宋体" w:hAnsi="宋体"/>
                <w:bCs/>
                <w:kern w:val="0"/>
                <w:szCs w:val="21"/>
              </w:rPr>
            </w:pPr>
            <w:r>
              <w:rPr>
                <w:rFonts w:hint="eastAsia" w:ascii="宋体" w:hAnsi="宋体"/>
                <w:bCs/>
                <w:kern w:val="0"/>
                <w:szCs w:val="21"/>
              </w:rPr>
              <w:t>4.根据配送要求，做好相应防护工作。</w:t>
            </w:r>
          </w:p>
        </w:tc>
        <w:tc>
          <w:tcPr>
            <w:tcW w:w="1559" w:type="dxa"/>
            <w:vMerge w:val="continue"/>
            <w:noWrap w:val="0"/>
            <w:vAlign w:val="center"/>
          </w:tcPr>
          <w:p>
            <w:pPr>
              <w:spacing w:line="360" w:lineRule="auto"/>
              <w:jc w:val="center"/>
              <w:rPr>
                <w:rFonts w:ascii="宋体" w:hAnsi="宋体"/>
                <w:bCs/>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vMerge w:val="restart"/>
            <w:noWrap w:val="0"/>
            <w:vAlign w:val="center"/>
          </w:tcPr>
          <w:p>
            <w:pPr>
              <w:spacing w:line="360" w:lineRule="auto"/>
              <w:jc w:val="center"/>
              <w:rPr>
                <w:rFonts w:ascii="宋体" w:hAnsi="宋体"/>
                <w:bCs/>
                <w:kern w:val="0"/>
                <w:sz w:val="24"/>
                <w:szCs w:val="21"/>
              </w:rPr>
            </w:pPr>
            <w:r>
              <w:rPr>
                <w:rFonts w:hint="eastAsia" w:ascii="宋体" w:hAnsi="宋体"/>
                <w:bCs/>
                <w:kern w:val="0"/>
                <w:sz w:val="24"/>
                <w:szCs w:val="21"/>
              </w:rPr>
              <w:t>服务态度</w:t>
            </w:r>
          </w:p>
        </w:tc>
        <w:tc>
          <w:tcPr>
            <w:tcW w:w="4962" w:type="dxa"/>
            <w:noWrap w:val="0"/>
            <w:vAlign w:val="center"/>
          </w:tcPr>
          <w:p>
            <w:pPr>
              <w:widowControl/>
              <w:spacing w:line="340" w:lineRule="exact"/>
              <w:jc w:val="left"/>
              <w:rPr>
                <w:rFonts w:ascii="宋体" w:hAnsi="宋体" w:cs="宋体"/>
                <w:kern w:val="0"/>
                <w:sz w:val="22"/>
              </w:rPr>
            </w:pPr>
            <w:r>
              <w:rPr>
                <w:rFonts w:hint="eastAsia" w:ascii="宋体" w:hAnsi="宋体" w:cs="宋体"/>
                <w:kern w:val="0"/>
                <w:sz w:val="22"/>
              </w:rPr>
              <w:t>1.优质服务、文明用语、规范操作；</w:t>
            </w:r>
          </w:p>
        </w:tc>
        <w:tc>
          <w:tcPr>
            <w:tcW w:w="1559" w:type="dxa"/>
            <w:vMerge w:val="restart"/>
            <w:noWrap w:val="0"/>
            <w:vAlign w:val="center"/>
          </w:tcPr>
          <w:p>
            <w:pPr>
              <w:spacing w:line="360" w:lineRule="auto"/>
              <w:jc w:val="center"/>
              <w:rPr>
                <w:rFonts w:ascii="宋体" w:hAnsi="宋体"/>
                <w:bCs/>
                <w:kern w:val="0"/>
                <w:sz w:val="24"/>
                <w:szCs w:val="21"/>
              </w:rPr>
            </w:pPr>
            <w:r>
              <w:rPr>
                <w:rFonts w:hint="eastAsia" w:ascii="宋体" w:hAnsi="宋体"/>
                <w:bCs/>
                <w:kern w:val="0"/>
                <w:sz w:val="24"/>
                <w:szCs w:val="21"/>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vMerge w:val="continue"/>
            <w:noWrap w:val="0"/>
            <w:vAlign w:val="center"/>
          </w:tcPr>
          <w:p>
            <w:pPr>
              <w:spacing w:line="360" w:lineRule="auto"/>
              <w:jc w:val="center"/>
              <w:rPr>
                <w:rFonts w:ascii="宋体" w:hAnsi="宋体"/>
                <w:bCs/>
                <w:kern w:val="0"/>
                <w:sz w:val="24"/>
                <w:szCs w:val="21"/>
              </w:rPr>
            </w:pPr>
          </w:p>
        </w:tc>
        <w:tc>
          <w:tcPr>
            <w:tcW w:w="4962" w:type="dxa"/>
            <w:noWrap w:val="0"/>
            <w:vAlign w:val="center"/>
          </w:tcPr>
          <w:p>
            <w:pPr>
              <w:widowControl/>
              <w:numPr>
                <w:ilvl w:val="0"/>
                <w:numId w:val="148"/>
              </w:numPr>
              <w:spacing w:line="340" w:lineRule="exact"/>
              <w:jc w:val="left"/>
              <w:rPr>
                <w:rFonts w:ascii="宋体" w:hAnsi="宋体" w:cs="宋体"/>
                <w:kern w:val="0"/>
                <w:sz w:val="22"/>
              </w:rPr>
            </w:pPr>
            <w:r>
              <w:rPr>
                <w:rFonts w:hint="eastAsia" w:ascii="宋体" w:hAnsi="宋体" w:cs="宋体"/>
                <w:kern w:val="0"/>
                <w:sz w:val="22"/>
              </w:rPr>
              <w:t>2.和同事、病人之间互相尊重，不能发生争执；</w:t>
            </w:r>
          </w:p>
        </w:tc>
        <w:tc>
          <w:tcPr>
            <w:tcW w:w="1559" w:type="dxa"/>
            <w:vMerge w:val="continue"/>
            <w:noWrap w:val="0"/>
            <w:vAlign w:val="center"/>
          </w:tcPr>
          <w:p>
            <w:pPr>
              <w:spacing w:line="360" w:lineRule="auto"/>
              <w:jc w:val="center"/>
              <w:rPr>
                <w:rFonts w:ascii="宋体" w:hAnsi="宋体"/>
                <w:bCs/>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vMerge w:val="continue"/>
            <w:noWrap w:val="0"/>
            <w:vAlign w:val="center"/>
          </w:tcPr>
          <w:p>
            <w:pPr>
              <w:spacing w:line="360" w:lineRule="auto"/>
              <w:jc w:val="center"/>
              <w:rPr>
                <w:rFonts w:ascii="宋体" w:hAnsi="宋体"/>
                <w:bCs/>
                <w:kern w:val="0"/>
                <w:sz w:val="24"/>
                <w:szCs w:val="21"/>
              </w:rPr>
            </w:pPr>
          </w:p>
        </w:tc>
        <w:tc>
          <w:tcPr>
            <w:tcW w:w="4962" w:type="dxa"/>
            <w:noWrap w:val="0"/>
            <w:vAlign w:val="center"/>
          </w:tcPr>
          <w:p>
            <w:pPr>
              <w:widowControl/>
              <w:numPr>
                <w:ilvl w:val="0"/>
                <w:numId w:val="148"/>
              </w:numPr>
              <w:spacing w:line="340" w:lineRule="exact"/>
              <w:jc w:val="left"/>
              <w:rPr>
                <w:rFonts w:ascii="宋体" w:hAnsi="宋体" w:cs="宋体"/>
                <w:kern w:val="0"/>
                <w:sz w:val="22"/>
              </w:rPr>
            </w:pPr>
            <w:r>
              <w:rPr>
                <w:rFonts w:hint="eastAsia" w:ascii="宋体" w:hAnsi="宋体" w:cs="宋体"/>
                <w:kern w:val="0"/>
                <w:sz w:val="22"/>
              </w:rPr>
              <w:t>3.服从管理部门的工作安排；</w:t>
            </w:r>
          </w:p>
        </w:tc>
        <w:tc>
          <w:tcPr>
            <w:tcW w:w="1559" w:type="dxa"/>
            <w:vMerge w:val="continue"/>
            <w:noWrap w:val="0"/>
            <w:vAlign w:val="center"/>
          </w:tcPr>
          <w:p>
            <w:pPr>
              <w:spacing w:line="360" w:lineRule="auto"/>
              <w:jc w:val="center"/>
              <w:rPr>
                <w:rFonts w:ascii="宋体" w:hAnsi="宋体"/>
                <w:bCs/>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vMerge w:val="continue"/>
            <w:noWrap w:val="0"/>
            <w:vAlign w:val="center"/>
          </w:tcPr>
          <w:p>
            <w:pPr>
              <w:spacing w:line="360" w:lineRule="auto"/>
              <w:jc w:val="center"/>
              <w:rPr>
                <w:rFonts w:ascii="宋体" w:hAnsi="宋体"/>
                <w:bCs/>
                <w:kern w:val="0"/>
                <w:sz w:val="24"/>
                <w:szCs w:val="21"/>
              </w:rPr>
            </w:pPr>
          </w:p>
        </w:tc>
        <w:tc>
          <w:tcPr>
            <w:tcW w:w="4962" w:type="dxa"/>
            <w:noWrap w:val="0"/>
            <w:vAlign w:val="center"/>
          </w:tcPr>
          <w:p>
            <w:pPr>
              <w:widowControl/>
              <w:numPr>
                <w:ilvl w:val="0"/>
                <w:numId w:val="148"/>
              </w:numPr>
              <w:spacing w:line="340" w:lineRule="exact"/>
              <w:jc w:val="left"/>
              <w:rPr>
                <w:rFonts w:ascii="宋体" w:hAnsi="宋体" w:cs="宋体"/>
                <w:kern w:val="0"/>
                <w:sz w:val="22"/>
              </w:rPr>
            </w:pPr>
            <w:r>
              <w:rPr>
                <w:rFonts w:hint="eastAsia" w:ascii="宋体" w:hAnsi="宋体" w:cs="宋体"/>
                <w:kern w:val="0"/>
                <w:sz w:val="22"/>
              </w:rPr>
              <w:t>4.杜绝“以公谋私”。</w:t>
            </w:r>
          </w:p>
        </w:tc>
        <w:tc>
          <w:tcPr>
            <w:tcW w:w="1559" w:type="dxa"/>
            <w:vMerge w:val="continue"/>
            <w:noWrap w:val="0"/>
            <w:vAlign w:val="center"/>
          </w:tcPr>
          <w:p>
            <w:pPr>
              <w:spacing w:line="360" w:lineRule="auto"/>
              <w:jc w:val="center"/>
              <w:rPr>
                <w:rFonts w:ascii="宋体" w:hAnsi="宋体"/>
                <w:bCs/>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vMerge w:val="continue"/>
            <w:noWrap w:val="0"/>
            <w:vAlign w:val="center"/>
          </w:tcPr>
          <w:p>
            <w:pPr>
              <w:spacing w:line="360" w:lineRule="auto"/>
              <w:jc w:val="center"/>
              <w:rPr>
                <w:rFonts w:ascii="宋体" w:hAnsi="宋体"/>
                <w:bCs/>
                <w:kern w:val="0"/>
                <w:sz w:val="24"/>
                <w:szCs w:val="21"/>
              </w:rPr>
            </w:pPr>
          </w:p>
        </w:tc>
        <w:tc>
          <w:tcPr>
            <w:tcW w:w="4962" w:type="dxa"/>
            <w:noWrap w:val="0"/>
            <w:vAlign w:val="center"/>
          </w:tcPr>
          <w:p>
            <w:pPr>
              <w:widowControl/>
              <w:numPr>
                <w:ilvl w:val="0"/>
                <w:numId w:val="148"/>
              </w:numPr>
              <w:spacing w:line="340" w:lineRule="exact"/>
              <w:jc w:val="left"/>
              <w:rPr>
                <w:rFonts w:ascii="宋体" w:hAnsi="宋体" w:cs="宋体"/>
                <w:kern w:val="0"/>
                <w:sz w:val="22"/>
              </w:rPr>
            </w:pPr>
            <w:r>
              <w:rPr>
                <w:rFonts w:hint="eastAsia" w:ascii="宋体" w:hAnsi="宋体"/>
                <w:szCs w:val="21"/>
              </w:rPr>
              <w:t>5.</w:t>
            </w:r>
            <w:r>
              <w:rPr>
                <w:rFonts w:ascii="宋体" w:hAnsi="宋体"/>
                <w:szCs w:val="21"/>
              </w:rPr>
              <w:t>有不良作为被</w:t>
            </w:r>
            <w:r>
              <w:rPr>
                <w:rFonts w:hint="eastAsia" w:ascii="宋体" w:hAnsi="宋体"/>
                <w:szCs w:val="21"/>
              </w:rPr>
              <w:t>病人及家属</w:t>
            </w:r>
            <w:r>
              <w:rPr>
                <w:rFonts w:ascii="宋体" w:hAnsi="宋体"/>
                <w:szCs w:val="21"/>
              </w:rPr>
              <w:t>或科室投诉属实的</w:t>
            </w:r>
            <w:r>
              <w:rPr>
                <w:rFonts w:hint="eastAsia" w:ascii="宋体" w:hAnsi="宋体"/>
                <w:szCs w:val="21"/>
              </w:rPr>
              <w:t>，</w:t>
            </w:r>
            <w:r>
              <w:rPr>
                <w:rFonts w:ascii="宋体" w:hAnsi="宋体"/>
                <w:szCs w:val="21"/>
              </w:rPr>
              <w:t>给</w:t>
            </w:r>
            <w:r>
              <w:rPr>
                <w:rFonts w:hint="eastAsia" w:ascii="宋体" w:hAnsi="宋体"/>
                <w:szCs w:val="21"/>
              </w:rPr>
              <w:t>医院</w:t>
            </w:r>
            <w:r>
              <w:rPr>
                <w:rFonts w:ascii="宋体" w:hAnsi="宋体"/>
                <w:szCs w:val="21"/>
              </w:rPr>
              <w:t>造成较大影响的，扣</w:t>
            </w:r>
            <w:r>
              <w:rPr>
                <w:rFonts w:hint="eastAsia" w:ascii="宋体" w:hAnsi="宋体"/>
                <w:szCs w:val="21"/>
              </w:rPr>
              <w:t>22</w:t>
            </w:r>
            <w:r>
              <w:rPr>
                <w:rFonts w:ascii="宋体" w:hAnsi="宋体"/>
                <w:szCs w:val="21"/>
              </w:rPr>
              <w:t>分</w:t>
            </w:r>
            <w:r>
              <w:rPr>
                <w:rFonts w:hint="eastAsia" w:ascii="宋体" w:hAnsi="宋体"/>
                <w:szCs w:val="21"/>
              </w:rPr>
              <w:t>。</w:t>
            </w:r>
          </w:p>
        </w:tc>
        <w:tc>
          <w:tcPr>
            <w:tcW w:w="1559" w:type="dxa"/>
            <w:vMerge w:val="continue"/>
            <w:noWrap w:val="0"/>
            <w:vAlign w:val="center"/>
          </w:tcPr>
          <w:p>
            <w:pPr>
              <w:spacing w:line="360" w:lineRule="auto"/>
              <w:jc w:val="center"/>
              <w:rPr>
                <w:rFonts w:ascii="宋体" w:hAnsi="宋体"/>
                <w:bCs/>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noWrap w:val="0"/>
            <w:vAlign w:val="center"/>
          </w:tcPr>
          <w:p>
            <w:pPr>
              <w:spacing w:line="360" w:lineRule="auto"/>
              <w:jc w:val="center"/>
              <w:rPr>
                <w:rFonts w:ascii="宋体" w:hAnsi="宋体"/>
                <w:bCs/>
                <w:kern w:val="0"/>
                <w:sz w:val="24"/>
                <w:szCs w:val="21"/>
              </w:rPr>
            </w:pPr>
            <w:r>
              <w:rPr>
                <w:rFonts w:hint="eastAsia" w:ascii="宋体" w:hAnsi="宋体"/>
                <w:bCs/>
                <w:kern w:val="0"/>
                <w:sz w:val="24"/>
                <w:szCs w:val="21"/>
              </w:rPr>
              <w:t>工具管理</w:t>
            </w:r>
          </w:p>
        </w:tc>
        <w:tc>
          <w:tcPr>
            <w:tcW w:w="4962" w:type="dxa"/>
            <w:noWrap w:val="0"/>
            <w:vAlign w:val="center"/>
          </w:tcPr>
          <w:p>
            <w:pPr>
              <w:widowControl/>
              <w:spacing w:line="340" w:lineRule="exact"/>
              <w:jc w:val="left"/>
              <w:rPr>
                <w:rFonts w:ascii="宋体" w:hAnsi="宋体" w:cs="宋体"/>
                <w:kern w:val="0"/>
                <w:sz w:val="22"/>
              </w:rPr>
            </w:pPr>
            <w:r>
              <w:rPr>
                <w:rFonts w:hint="eastAsia" w:ascii="宋体" w:hAnsi="宋体" w:cs="宋体"/>
                <w:kern w:val="0"/>
                <w:sz w:val="22"/>
              </w:rPr>
              <w:t>1.妥善保管配送工具。</w:t>
            </w:r>
          </w:p>
        </w:tc>
        <w:tc>
          <w:tcPr>
            <w:tcW w:w="1559" w:type="dxa"/>
            <w:noWrap w:val="0"/>
            <w:vAlign w:val="center"/>
          </w:tcPr>
          <w:p>
            <w:pPr>
              <w:spacing w:line="360" w:lineRule="auto"/>
              <w:jc w:val="center"/>
              <w:rPr>
                <w:rFonts w:ascii="宋体" w:hAnsi="宋体"/>
                <w:bCs/>
                <w:kern w:val="0"/>
                <w:sz w:val="24"/>
                <w:szCs w:val="21"/>
              </w:rPr>
            </w:pPr>
            <w:r>
              <w:rPr>
                <w:rFonts w:hint="eastAsia" w:ascii="宋体" w:hAnsi="宋体"/>
                <w:bCs/>
                <w:kern w:val="0"/>
                <w:sz w:val="24"/>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vMerge w:val="restart"/>
            <w:noWrap w:val="0"/>
            <w:vAlign w:val="center"/>
          </w:tcPr>
          <w:p>
            <w:pPr>
              <w:spacing w:line="360" w:lineRule="auto"/>
              <w:jc w:val="center"/>
              <w:rPr>
                <w:rFonts w:ascii="宋体" w:hAnsi="宋体"/>
                <w:bCs/>
                <w:kern w:val="0"/>
                <w:sz w:val="24"/>
                <w:szCs w:val="21"/>
              </w:rPr>
            </w:pPr>
            <w:r>
              <w:rPr>
                <w:rFonts w:hint="eastAsia" w:ascii="宋体" w:hAnsi="宋体"/>
                <w:bCs/>
                <w:kern w:val="0"/>
                <w:sz w:val="24"/>
                <w:szCs w:val="21"/>
              </w:rPr>
              <w:t>劳动纪律</w:t>
            </w:r>
          </w:p>
        </w:tc>
        <w:tc>
          <w:tcPr>
            <w:tcW w:w="4962" w:type="dxa"/>
            <w:noWrap w:val="0"/>
            <w:vAlign w:val="center"/>
          </w:tcPr>
          <w:p>
            <w:pPr>
              <w:widowControl/>
              <w:spacing w:line="340" w:lineRule="exact"/>
              <w:jc w:val="left"/>
              <w:rPr>
                <w:rFonts w:ascii="宋体" w:hAnsi="宋体" w:cs="宋体"/>
                <w:kern w:val="0"/>
                <w:sz w:val="22"/>
              </w:rPr>
            </w:pPr>
            <w:r>
              <w:rPr>
                <w:rFonts w:hint="eastAsia" w:ascii="宋体" w:hAnsi="宋体" w:cs="宋体"/>
                <w:kern w:val="0"/>
                <w:sz w:val="22"/>
              </w:rPr>
              <w:t>1.不迟到、早退；</w:t>
            </w:r>
          </w:p>
        </w:tc>
        <w:tc>
          <w:tcPr>
            <w:tcW w:w="1559" w:type="dxa"/>
            <w:vMerge w:val="restart"/>
            <w:noWrap w:val="0"/>
            <w:vAlign w:val="center"/>
          </w:tcPr>
          <w:p>
            <w:pPr>
              <w:spacing w:line="360" w:lineRule="auto"/>
              <w:jc w:val="center"/>
              <w:rPr>
                <w:rFonts w:ascii="宋体" w:hAnsi="宋体"/>
                <w:bCs/>
                <w:kern w:val="0"/>
                <w:sz w:val="24"/>
                <w:szCs w:val="21"/>
              </w:rPr>
            </w:pPr>
            <w:r>
              <w:rPr>
                <w:rFonts w:hint="eastAsia" w:ascii="宋体" w:hAnsi="宋体"/>
                <w:bCs/>
                <w:kern w:val="0"/>
                <w:sz w:val="24"/>
                <w:szCs w:val="21"/>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vMerge w:val="continue"/>
            <w:noWrap w:val="0"/>
            <w:vAlign w:val="center"/>
          </w:tcPr>
          <w:p>
            <w:pPr>
              <w:spacing w:line="360" w:lineRule="auto"/>
              <w:rPr>
                <w:rFonts w:ascii="宋体" w:hAnsi="宋体"/>
                <w:b/>
                <w:bCs/>
                <w:kern w:val="0"/>
                <w:szCs w:val="21"/>
              </w:rPr>
            </w:pPr>
          </w:p>
        </w:tc>
        <w:tc>
          <w:tcPr>
            <w:tcW w:w="4962" w:type="dxa"/>
            <w:noWrap w:val="0"/>
            <w:vAlign w:val="center"/>
          </w:tcPr>
          <w:p>
            <w:pPr>
              <w:widowControl/>
              <w:numPr>
                <w:ilvl w:val="0"/>
                <w:numId w:val="149"/>
              </w:numPr>
              <w:spacing w:line="340" w:lineRule="exact"/>
              <w:jc w:val="left"/>
              <w:rPr>
                <w:rFonts w:ascii="宋体" w:hAnsi="宋体" w:cs="宋体"/>
                <w:kern w:val="0"/>
                <w:sz w:val="22"/>
              </w:rPr>
            </w:pPr>
            <w:r>
              <w:rPr>
                <w:rFonts w:hint="eastAsia" w:ascii="宋体" w:hAnsi="宋体" w:cs="宋体"/>
                <w:kern w:val="0"/>
                <w:sz w:val="22"/>
              </w:rPr>
              <w:t>2.在规定时间、规定地点用餐；</w:t>
            </w:r>
          </w:p>
        </w:tc>
        <w:tc>
          <w:tcPr>
            <w:tcW w:w="1559" w:type="dxa"/>
            <w:vMerge w:val="continue"/>
            <w:noWrap w:val="0"/>
            <w:vAlign w:val="center"/>
          </w:tcPr>
          <w:p>
            <w:pPr>
              <w:spacing w:line="360" w:lineRule="auto"/>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vMerge w:val="continue"/>
            <w:noWrap w:val="0"/>
            <w:vAlign w:val="center"/>
          </w:tcPr>
          <w:p>
            <w:pPr>
              <w:spacing w:line="360" w:lineRule="auto"/>
              <w:rPr>
                <w:rFonts w:ascii="宋体" w:hAnsi="宋体"/>
                <w:b/>
                <w:bCs/>
                <w:kern w:val="0"/>
                <w:szCs w:val="21"/>
              </w:rPr>
            </w:pPr>
          </w:p>
        </w:tc>
        <w:tc>
          <w:tcPr>
            <w:tcW w:w="4962" w:type="dxa"/>
            <w:noWrap w:val="0"/>
            <w:vAlign w:val="center"/>
          </w:tcPr>
          <w:p>
            <w:pPr>
              <w:widowControl/>
              <w:numPr>
                <w:ilvl w:val="0"/>
                <w:numId w:val="149"/>
              </w:numPr>
              <w:spacing w:line="340" w:lineRule="exact"/>
              <w:jc w:val="left"/>
              <w:rPr>
                <w:rFonts w:ascii="宋体" w:hAnsi="宋体" w:cs="宋体"/>
                <w:kern w:val="0"/>
                <w:sz w:val="22"/>
              </w:rPr>
            </w:pPr>
            <w:r>
              <w:rPr>
                <w:rFonts w:hint="eastAsia" w:ascii="宋体" w:hAnsi="宋体" w:cs="宋体"/>
                <w:kern w:val="0"/>
                <w:sz w:val="22"/>
              </w:rPr>
              <w:t>3.无擅自离岗；</w:t>
            </w:r>
          </w:p>
        </w:tc>
        <w:tc>
          <w:tcPr>
            <w:tcW w:w="1559" w:type="dxa"/>
            <w:vMerge w:val="continue"/>
            <w:noWrap w:val="0"/>
            <w:vAlign w:val="center"/>
          </w:tcPr>
          <w:p>
            <w:pPr>
              <w:spacing w:line="360" w:lineRule="auto"/>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vMerge w:val="continue"/>
            <w:noWrap w:val="0"/>
            <w:vAlign w:val="center"/>
          </w:tcPr>
          <w:p>
            <w:pPr>
              <w:spacing w:line="360" w:lineRule="auto"/>
              <w:rPr>
                <w:rFonts w:ascii="宋体" w:hAnsi="宋体"/>
                <w:b/>
                <w:bCs/>
                <w:kern w:val="0"/>
                <w:szCs w:val="21"/>
              </w:rPr>
            </w:pPr>
          </w:p>
        </w:tc>
        <w:tc>
          <w:tcPr>
            <w:tcW w:w="4962" w:type="dxa"/>
            <w:noWrap w:val="0"/>
            <w:vAlign w:val="center"/>
          </w:tcPr>
          <w:p>
            <w:pPr>
              <w:widowControl/>
              <w:numPr>
                <w:ilvl w:val="0"/>
                <w:numId w:val="149"/>
              </w:numPr>
              <w:spacing w:line="340" w:lineRule="exact"/>
              <w:jc w:val="left"/>
              <w:rPr>
                <w:rFonts w:ascii="宋体" w:hAnsi="宋体" w:cs="宋体"/>
                <w:kern w:val="0"/>
                <w:sz w:val="22"/>
              </w:rPr>
            </w:pPr>
            <w:r>
              <w:rPr>
                <w:rFonts w:hint="eastAsia" w:ascii="宋体" w:hAnsi="宋体" w:cs="宋体"/>
                <w:kern w:val="0"/>
                <w:sz w:val="22"/>
              </w:rPr>
              <w:t>4.在岗期间不得兼职其他工作；</w:t>
            </w:r>
          </w:p>
        </w:tc>
        <w:tc>
          <w:tcPr>
            <w:tcW w:w="1559" w:type="dxa"/>
            <w:vMerge w:val="continue"/>
            <w:noWrap w:val="0"/>
            <w:vAlign w:val="center"/>
          </w:tcPr>
          <w:p>
            <w:pPr>
              <w:spacing w:line="360" w:lineRule="auto"/>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vMerge w:val="continue"/>
            <w:noWrap w:val="0"/>
            <w:vAlign w:val="center"/>
          </w:tcPr>
          <w:p>
            <w:pPr>
              <w:spacing w:line="360" w:lineRule="auto"/>
              <w:rPr>
                <w:rFonts w:ascii="宋体" w:hAnsi="宋体"/>
                <w:b/>
                <w:bCs/>
                <w:kern w:val="0"/>
                <w:szCs w:val="21"/>
              </w:rPr>
            </w:pPr>
          </w:p>
        </w:tc>
        <w:tc>
          <w:tcPr>
            <w:tcW w:w="4962" w:type="dxa"/>
            <w:noWrap w:val="0"/>
            <w:vAlign w:val="center"/>
          </w:tcPr>
          <w:p>
            <w:pPr>
              <w:widowControl/>
              <w:numPr>
                <w:ilvl w:val="0"/>
                <w:numId w:val="149"/>
              </w:numPr>
              <w:spacing w:line="340" w:lineRule="exact"/>
              <w:jc w:val="left"/>
              <w:rPr>
                <w:rFonts w:ascii="宋体" w:hAnsi="宋体" w:cs="宋体"/>
                <w:kern w:val="0"/>
                <w:sz w:val="22"/>
              </w:rPr>
            </w:pPr>
            <w:r>
              <w:rPr>
                <w:rFonts w:hint="eastAsia" w:ascii="宋体" w:hAnsi="宋体" w:cs="宋体"/>
                <w:kern w:val="0"/>
                <w:sz w:val="22"/>
              </w:rPr>
              <w:t>5.不得聚众聊天。</w:t>
            </w:r>
          </w:p>
        </w:tc>
        <w:tc>
          <w:tcPr>
            <w:tcW w:w="1559" w:type="dxa"/>
            <w:vMerge w:val="continue"/>
            <w:noWrap w:val="0"/>
            <w:vAlign w:val="center"/>
          </w:tcPr>
          <w:p>
            <w:pPr>
              <w:spacing w:line="360" w:lineRule="auto"/>
              <w:rPr>
                <w:rFonts w:ascii="宋体" w:hAnsi="宋体"/>
                <w:b/>
                <w:bCs/>
                <w:kern w:val="0"/>
                <w:szCs w:val="21"/>
              </w:rPr>
            </w:pPr>
          </w:p>
        </w:tc>
      </w:tr>
    </w:tbl>
    <w:p>
      <w:pPr>
        <w:snapToGrid w:val="0"/>
        <w:spacing w:line="360" w:lineRule="auto"/>
        <w:rPr>
          <w:bCs/>
          <w:sz w:val="24"/>
        </w:rPr>
      </w:pPr>
    </w:p>
    <w:p>
      <w:pPr>
        <w:widowControl/>
        <w:jc w:val="left"/>
        <w:rPr>
          <w:rFonts w:ascii="宋体" w:hAnsi="宋体"/>
          <w:b/>
          <w:sz w:val="24"/>
        </w:rPr>
      </w:pPr>
      <w:r>
        <w:rPr>
          <w:rFonts w:hint="eastAsia" w:ascii="宋体" w:hAnsi="宋体"/>
          <w:b/>
          <w:sz w:val="28"/>
        </w:rPr>
        <w:t>三、勤杂服务需求</w:t>
      </w:r>
      <w:r>
        <w:rPr>
          <w:rFonts w:hint="eastAsia" w:ascii="宋体" w:hAnsi="宋体"/>
          <w:b/>
          <w:sz w:val="24"/>
        </w:rPr>
        <w:t>：</w:t>
      </w:r>
    </w:p>
    <w:p>
      <w:pPr>
        <w:spacing w:before="360" w:beforeLines="150" w:line="360" w:lineRule="auto"/>
        <w:ind w:firstLine="188" w:firstLineChars="67"/>
        <w:jc w:val="center"/>
        <w:rPr>
          <w:rFonts w:ascii="宋体" w:hAnsi="宋体"/>
          <w:b/>
          <w:sz w:val="28"/>
        </w:rPr>
      </w:pPr>
      <w:r>
        <w:rPr>
          <w:rFonts w:hint="eastAsia" w:ascii="宋体" w:hAnsi="宋体"/>
          <w:b/>
          <w:sz w:val="28"/>
        </w:rPr>
        <w:t>（一）病区勤杂工</w:t>
      </w:r>
    </w:p>
    <w:p>
      <w:pPr>
        <w:spacing w:line="360" w:lineRule="auto"/>
        <w:ind w:firstLine="161" w:firstLineChars="67"/>
        <w:rPr>
          <w:rFonts w:ascii="宋体" w:hAnsi="宋体"/>
          <w:b/>
          <w:sz w:val="24"/>
        </w:rPr>
      </w:pPr>
      <w:r>
        <w:rPr>
          <w:rFonts w:hint="eastAsia" w:ascii="宋体" w:hAnsi="宋体"/>
          <w:b/>
          <w:sz w:val="24"/>
        </w:rPr>
        <w:t>1、工作内容</w:t>
      </w:r>
    </w:p>
    <w:p>
      <w:pPr>
        <w:widowControl/>
        <w:numPr>
          <w:ilvl w:val="1"/>
          <w:numId w:val="150"/>
        </w:numPr>
        <w:tabs>
          <w:tab w:val="left" w:pos="851"/>
          <w:tab w:val="left" w:pos="993"/>
          <w:tab w:val="left" w:pos="1134"/>
        </w:tabs>
        <w:spacing w:line="360" w:lineRule="auto"/>
        <w:ind w:hanging="131"/>
        <w:jc w:val="left"/>
        <w:rPr>
          <w:rFonts w:ascii="宋体" w:hAnsi="宋体"/>
          <w:bCs/>
          <w:sz w:val="24"/>
        </w:rPr>
      </w:pPr>
      <w:r>
        <w:rPr>
          <w:rFonts w:ascii="宋体" w:hAnsi="宋体"/>
          <w:bCs/>
          <w:sz w:val="24"/>
        </w:rPr>
        <w:t>协助护士刷床、负责病员的被服更换，清点病区污、净被服；</w:t>
      </w:r>
    </w:p>
    <w:p>
      <w:pPr>
        <w:widowControl/>
        <w:numPr>
          <w:ilvl w:val="1"/>
          <w:numId w:val="150"/>
        </w:numPr>
        <w:tabs>
          <w:tab w:val="left" w:pos="851"/>
          <w:tab w:val="left" w:pos="993"/>
          <w:tab w:val="left" w:pos="1134"/>
        </w:tabs>
        <w:spacing w:line="360" w:lineRule="auto"/>
        <w:ind w:hanging="131"/>
        <w:jc w:val="left"/>
        <w:rPr>
          <w:rFonts w:ascii="宋体" w:hAnsi="宋体"/>
          <w:bCs/>
          <w:sz w:val="24"/>
        </w:rPr>
      </w:pPr>
      <w:r>
        <w:rPr>
          <w:rFonts w:ascii="宋体" w:hAnsi="宋体"/>
          <w:bCs/>
          <w:sz w:val="24"/>
        </w:rPr>
        <w:t>入院病人的床单位准备、出院病人整理床单元并</w:t>
      </w:r>
      <w:r>
        <w:rPr>
          <w:rFonts w:hint="eastAsia" w:ascii="宋体" w:hAnsi="宋体"/>
          <w:bCs/>
          <w:sz w:val="24"/>
        </w:rPr>
        <w:t>进行床单元</w:t>
      </w:r>
      <w:r>
        <w:rPr>
          <w:rFonts w:ascii="宋体" w:hAnsi="宋体"/>
          <w:bCs/>
          <w:sz w:val="24"/>
        </w:rPr>
        <w:t>终</w:t>
      </w:r>
      <w:r>
        <w:rPr>
          <w:rFonts w:hint="eastAsia" w:ascii="宋体" w:hAnsi="宋体"/>
          <w:bCs/>
          <w:sz w:val="24"/>
        </w:rPr>
        <w:t>末</w:t>
      </w:r>
      <w:r>
        <w:rPr>
          <w:rFonts w:ascii="宋体" w:hAnsi="宋体"/>
          <w:bCs/>
          <w:sz w:val="24"/>
        </w:rPr>
        <w:t>消毒；</w:t>
      </w:r>
    </w:p>
    <w:p>
      <w:pPr>
        <w:widowControl/>
        <w:numPr>
          <w:ilvl w:val="1"/>
          <w:numId w:val="150"/>
        </w:numPr>
        <w:tabs>
          <w:tab w:val="left" w:pos="851"/>
          <w:tab w:val="left" w:pos="993"/>
          <w:tab w:val="left" w:pos="1134"/>
        </w:tabs>
        <w:spacing w:line="360" w:lineRule="auto"/>
        <w:ind w:hanging="131"/>
        <w:jc w:val="left"/>
        <w:rPr>
          <w:rFonts w:ascii="宋体" w:hAnsi="宋体"/>
          <w:bCs/>
          <w:sz w:val="24"/>
        </w:rPr>
      </w:pPr>
      <w:r>
        <w:rPr>
          <w:rFonts w:ascii="宋体" w:hAnsi="宋体"/>
          <w:bCs/>
          <w:sz w:val="24"/>
        </w:rPr>
        <w:t>分发病员服、手术服，剪指甲，送药盘及协助取药等；</w:t>
      </w:r>
    </w:p>
    <w:p>
      <w:pPr>
        <w:widowControl/>
        <w:numPr>
          <w:ilvl w:val="1"/>
          <w:numId w:val="150"/>
        </w:numPr>
        <w:tabs>
          <w:tab w:val="left" w:pos="851"/>
          <w:tab w:val="left" w:pos="993"/>
          <w:tab w:val="left" w:pos="1134"/>
        </w:tabs>
        <w:spacing w:line="360" w:lineRule="auto"/>
        <w:ind w:hanging="131"/>
        <w:jc w:val="left"/>
        <w:rPr>
          <w:rFonts w:ascii="宋体" w:hAnsi="宋体"/>
          <w:bCs/>
          <w:sz w:val="24"/>
        </w:rPr>
      </w:pPr>
      <w:r>
        <w:rPr>
          <w:rFonts w:ascii="宋体" w:hAnsi="宋体"/>
          <w:bCs/>
          <w:sz w:val="24"/>
        </w:rPr>
        <w:t>护士、医生值班室的床上用品更换</w:t>
      </w:r>
      <w:r>
        <w:rPr>
          <w:rFonts w:hint="eastAsia" w:ascii="宋体" w:hAnsi="宋体"/>
          <w:bCs/>
          <w:sz w:val="24"/>
        </w:rPr>
        <w:t>、清点</w:t>
      </w:r>
      <w:r>
        <w:rPr>
          <w:rFonts w:ascii="宋体" w:hAnsi="宋体"/>
          <w:bCs/>
          <w:sz w:val="24"/>
        </w:rPr>
        <w:t>；</w:t>
      </w:r>
    </w:p>
    <w:p>
      <w:pPr>
        <w:widowControl/>
        <w:numPr>
          <w:ilvl w:val="1"/>
          <w:numId w:val="150"/>
        </w:numPr>
        <w:tabs>
          <w:tab w:val="left" w:pos="851"/>
          <w:tab w:val="left" w:pos="993"/>
          <w:tab w:val="left" w:pos="1134"/>
        </w:tabs>
        <w:spacing w:line="360" w:lineRule="auto"/>
        <w:ind w:hanging="131"/>
        <w:jc w:val="left"/>
        <w:rPr>
          <w:rFonts w:ascii="宋体" w:hAnsi="宋体"/>
          <w:bCs/>
          <w:sz w:val="24"/>
        </w:rPr>
      </w:pPr>
      <w:r>
        <w:rPr>
          <w:rFonts w:ascii="宋体" w:hAnsi="宋体"/>
          <w:bCs/>
          <w:sz w:val="24"/>
        </w:rPr>
        <w:t>整理换药器械和需要与供应室更换的物品等；</w:t>
      </w:r>
    </w:p>
    <w:p>
      <w:pPr>
        <w:widowControl/>
        <w:numPr>
          <w:ilvl w:val="1"/>
          <w:numId w:val="150"/>
        </w:numPr>
        <w:tabs>
          <w:tab w:val="left" w:pos="851"/>
          <w:tab w:val="left" w:pos="993"/>
          <w:tab w:val="left" w:pos="1134"/>
        </w:tabs>
        <w:spacing w:line="360" w:lineRule="auto"/>
        <w:ind w:hanging="131"/>
        <w:jc w:val="left"/>
        <w:rPr>
          <w:rFonts w:ascii="宋体" w:hAnsi="宋体"/>
          <w:bCs/>
          <w:sz w:val="24"/>
        </w:rPr>
      </w:pPr>
      <w:r>
        <w:rPr>
          <w:rFonts w:ascii="宋体" w:hAnsi="宋体"/>
          <w:bCs/>
          <w:sz w:val="24"/>
        </w:rPr>
        <w:t>协助管理病人的物品或陪人；</w:t>
      </w:r>
    </w:p>
    <w:p>
      <w:pPr>
        <w:widowControl/>
        <w:numPr>
          <w:ilvl w:val="1"/>
          <w:numId w:val="150"/>
        </w:numPr>
        <w:tabs>
          <w:tab w:val="left" w:pos="851"/>
          <w:tab w:val="left" w:pos="993"/>
          <w:tab w:val="left" w:pos="1134"/>
        </w:tabs>
        <w:spacing w:line="360" w:lineRule="auto"/>
        <w:ind w:hanging="131"/>
        <w:jc w:val="left"/>
        <w:rPr>
          <w:rFonts w:ascii="宋体" w:hAnsi="宋体"/>
          <w:bCs/>
          <w:sz w:val="24"/>
        </w:rPr>
      </w:pPr>
      <w:r>
        <w:rPr>
          <w:rFonts w:ascii="宋体" w:hAnsi="宋体"/>
          <w:bCs/>
          <w:sz w:val="24"/>
        </w:rPr>
        <w:t>管理被服间的被服、开水间的开水及</w:t>
      </w:r>
      <w:r>
        <w:rPr>
          <w:rFonts w:hint="eastAsia" w:ascii="宋体" w:hAnsi="宋体"/>
          <w:bCs/>
          <w:sz w:val="24"/>
        </w:rPr>
        <w:t>病人家属陪护床的</w:t>
      </w:r>
      <w:r>
        <w:rPr>
          <w:rFonts w:ascii="宋体" w:hAnsi="宋体"/>
          <w:bCs/>
          <w:sz w:val="24"/>
        </w:rPr>
        <w:t>领发与登记；</w:t>
      </w:r>
    </w:p>
    <w:p>
      <w:pPr>
        <w:widowControl/>
        <w:numPr>
          <w:ilvl w:val="1"/>
          <w:numId w:val="150"/>
        </w:numPr>
        <w:tabs>
          <w:tab w:val="left" w:pos="851"/>
          <w:tab w:val="left" w:pos="993"/>
          <w:tab w:val="left" w:pos="1134"/>
        </w:tabs>
        <w:spacing w:line="360" w:lineRule="auto"/>
        <w:ind w:hanging="131"/>
        <w:jc w:val="left"/>
        <w:rPr>
          <w:rFonts w:ascii="宋体" w:hAnsi="宋体"/>
          <w:bCs/>
          <w:sz w:val="24"/>
        </w:rPr>
      </w:pPr>
      <w:r>
        <w:rPr>
          <w:rFonts w:hint="eastAsia" w:ascii="宋体" w:hAnsi="宋体"/>
          <w:bCs/>
          <w:sz w:val="24"/>
        </w:rPr>
        <w:t>负责清点和复核住院病人的订餐数量，并及时送达各个病房</w:t>
      </w:r>
      <w:r>
        <w:rPr>
          <w:rFonts w:ascii="宋体" w:hAnsi="宋体"/>
          <w:bCs/>
          <w:sz w:val="24"/>
        </w:rPr>
        <w:t>；</w:t>
      </w:r>
    </w:p>
    <w:p>
      <w:pPr>
        <w:widowControl/>
        <w:numPr>
          <w:ilvl w:val="1"/>
          <w:numId w:val="150"/>
        </w:numPr>
        <w:tabs>
          <w:tab w:val="left" w:pos="851"/>
          <w:tab w:val="left" w:pos="993"/>
          <w:tab w:val="left" w:pos="1134"/>
        </w:tabs>
        <w:spacing w:line="360" w:lineRule="auto"/>
        <w:ind w:hanging="131"/>
        <w:jc w:val="left"/>
        <w:rPr>
          <w:rFonts w:ascii="宋体" w:hAnsi="宋体"/>
          <w:bCs/>
          <w:sz w:val="24"/>
        </w:rPr>
      </w:pPr>
      <w:r>
        <w:rPr>
          <w:rFonts w:ascii="宋体" w:hAnsi="宋体"/>
          <w:bCs/>
          <w:sz w:val="24"/>
        </w:rPr>
        <w:t>协助拆送、安装各类隔帘布、椅套及</w:t>
      </w:r>
      <w:r>
        <w:rPr>
          <w:rFonts w:hint="eastAsia" w:ascii="宋体" w:hAnsi="宋体"/>
          <w:bCs/>
          <w:sz w:val="24"/>
        </w:rPr>
        <w:t>病房被服</w:t>
      </w:r>
      <w:r>
        <w:rPr>
          <w:rFonts w:ascii="宋体" w:hAnsi="宋体"/>
          <w:bCs/>
          <w:sz w:val="24"/>
        </w:rPr>
        <w:t>清点等，</w:t>
      </w:r>
      <w:r>
        <w:rPr>
          <w:rFonts w:hint="eastAsia" w:ascii="宋体" w:hAnsi="宋体"/>
          <w:bCs/>
          <w:sz w:val="24"/>
        </w:rPr>
        <w:t>晾</w:t>
      </w:r>
      <w:r>
        <w:rPr>
          <w:rFonts w:ascii="宋体" w:hAnsi="宋体"/>
          <w:bCs/>
          <w:sz w:val="24"/>
        </w:rPr>
        <w:t>晒</w:t>
      </w:r>
      <w:r>
        <w:rPr>
          <w:rFonts w:hint="eastAsia" w:ascii="宋体" w:hAnsi="宋体"/>
          <w:bCs/>
          <w:sz w:val="24"/>
        </w:rPr>
        <w:t>及整理</w:t>
      </w:r>
      <w:r>
        <w:rPr>
          <w:rFonts w:ascii="宋体" w:hAnsi="宋体"/>
          <w:bCs/>
          <w:sz w:val="24"/>
        </w:rPr>
        <w:t>换季被服等；</w:t>
      </w:r>
    </w:p>
    <w:p>
      <w:pPr>
        <w:widowControl/>
        <w:numPr>
          <w:ilvl w:val="1"/>
          <w:numId w:val="150"/>
        </w:numPr>
        <w:tabs>
          <w:tab w:val="left" w:pos="851"/>
          <w:tab w:val="left" w:pos="993"/>
          <w:tab w:val="left" w:pos="1134"/>
        </w:tabs>
        <w:spacing w:line="360" w:lineRule="auto"/>
        <w:ind w:hanging="131"/>
        <w:jc w:val="left"/>
        <w:rPr>
          <w:rFonts w:ascii="宋体" w:hAnsi="宋体"/>
          <w:bCs/>
          <w:sz w:val="24"/>
        </w:rPr>
      </w:pPr>
      <w:r>
        <w:rPr>
          <w:rFonts w:ascii="宋体" w:hAnsi="宋体"/>
          <w:bCs/>
          <w:sz w:val="24"/>
        </w:rPr>
        <w:t>协助病区管理非挂衣区的晾晒衣服；</w:t>
      </w:r>
    </w:p>
    <w:p>
      <w:pPr>
        <w:widowControl/>
        <w:numPr>
          <w:ilvl w:val="1"/>
          <w:numId w:val="150"/>
        </w:numPr>
        <w:tabs>
          <w:tab w:val="left" w:pos="851"/>
          <w:tab w:val="left" w:pos="993"/>
          <w:tab w:val="left" w:pos="1134"/>
        </w:tabs>
        <w:spacing w:line="360" w:lineRule="auto"/>
        <w:ind w:hanging="131"/>
        <w:jc w:val="left"/>
        <w:rPr>
          <w:rFonts w:ascii="宋体" w:hAnsi="宋体"/>
          <w:bCs/>
          <w:sz w:val="24"/>
        </w:rPr>
      </w:pPr>
      <w:r>
        <w:rPr>
          <w:rFonts w:ascii="宋体" w:hAnsi="宋体"/>
          <w:bCs/>
          <w:sz w:val="24"/>
        </w:rPr>
        <w:t>协助病房</w:t>
      </w:r>
      <w:r>
        <w:rPr>
          <w:rFonts w:hint="eastAsia" w:ascii="宋体" w:hAnsi="宋体"/>
          <w:bCs/>
          <w:sz w:val="24"/>
        </w:rPr>
        <w:t>完成</w:t>
      </w:r>
      <w:r>
        <w:rPr>
          <w:rFonts w:ascii="宋体" w:hAnsi="宋体"/>
          <w:bCs/>
          <w:sz w:val="24"/>
        </w:rPr>
        <w:t>紫外线消毒</w:t>
      </w:r>
      <w:r>
        <w:rPr>
          <w:rFonts w:hint="eastAsia" w:ascii="宋体" w:hAnsi="宋体"/>
          <w:bCs/>
          <w:sz w:val="24"/>
        </w:rPr>
        <w:t>，并进行每周一次病房大清洁</w:t>
      </w:r>
      <w:r>
        <w:rPr>
          <w:rFonts w:ascii="宋体" w:hAnsi="宋体"/>
          <w:bCs/>
          <w:sz w:val="24"/>
        </w:rPr>
        <w:t>；</w:t>
      </w:r>
    </w:p>
    <w:p>
      <w:pPr>
        <w:widowControl/>
        <w:numPr>
          <w:ilvl w:val="1"/>
          <w:numId w:val="150"/>
        </w:numPr>
        <w:tabs>
          <w:tab w:val="left" w:pos="851"/>
          <w:tab w:val="left" w:pos="993"/>
          <w:tab w:val="left" w:pos="1134"/>
        </w:tabs>
        <w:spacing w:line="360" w:lineRule="auto"/>
        <w:ind w:hanging="131"/>
        <w:jc w:val="left"/>
        <w:rPr>
          <w:rFonts w:ascii="宋体" w:hAnsi="宋体"/>
          <w:bCs/>
          <w:sz w:val="24"/>
        </w:rPr>
      </w:pPr>
      <w:r>
        <w:rPr>
          <w:rFonts w:ascii="宋体" w:hAnsi="宋体"/>
          <w:bCs/>
          <w:sz w:val="24"/>
        </w:rPr>
        <w:t>加床；</w:t>
      </w:r>
    </w:p>
    <w:p>
      <w:pPr>
        <w:widowControl/>
        <w:numPr>
          <w:ilvl w:val="1"/>
          <w:numId w:val="150"/>
        </w:numPr>
        <w:tabs>
          <w:tab w:val="left" w:pos="851"/>
          <w:tab w:val="left" w:pos="993"/>
          <w:tab w:val="left" w:pos="1134"/>
        </w:tabs>
        <w:spacing w:line="360" w:lineRule="auto"/>
        <w:ind w:hanging="131"/>
        <w:jc w:val="left"/>
        <w:rPr>
          <w:rFonts w:ascii="宋体" w:hAnsi="宋体"/>
          <w:bCs/>
          <w:sz w:val="24"/>
        </w:rPr>
      </w:pPr>
      <w:r>
        <w:rPr>
          <w:rFonts w:ascii="宋体" w:hAnsi="宋体"/>
          <w:bCs/>
          <w:sz w:val="24"/>
        </w:rPr>
        <w:t>冰箱内部整理及清洁；</w:t>
      </w:r>
    </w:p>
    <w:p>
      <w:pPr>
        <w:widowControl/>
        <w:numPr>
          <w:ilvl w:val="1"/>
          <w:numId w:val="150"/>
        </w:numPr>
        <w:tabs>
          <w:tab w:val="left" w:pos="851"/>
          <w:tab w:val="left" w:pos="993"/>
          <w:tab w:val="left" w:pos="1134"/>
        </w:tabs>
        <w:spacing w:line="360" w:lineRule="auto"/>
        <w:ind w:hanging="131"/>
        <w:jc w:val="left"/>
        <w:rPr>
          <w:rFonts w:ascii="宋体" w:hAnsi="宋体"/>
          <w:bCs/>
          <w:sz w:val="24"/>
        </w:rPr>
      </w:pPr>
      <w:r>
        <w:rPr>
          <w:rFonts w:ascii="宋体" w:hAnsi="宋体"/>
          <w:bCs/>
          <w:sz w:val="24"/>
        </w:rPr>
        <w:t>其它未包括但现在</w:t>
      </w:r>
      <w:r>
        <w:rPr>
          <w:rFonts w:hint="eastAsia" w:ascii="宋体" w:hAnsi="宋体"/>
          <w:bCs/>
          <w:sz w:val="24"/>
        </w:rPr>
        <w:t>勤杂</w:t>
      </w:r>
      <w:r>
        <w:rPr>
          <w:rFonts w:ascii="宋体" w:hAnsi="宋体"/>
          <w:bCs/>
          <w:sz w:val="24"/>
        </w:rPr>
        <w:t>工在做的工作内容或今后科室派生出来不属</w:t>
      </w:r>
      <w:r>
        <w:rPr>
          <w:rFonts w:hint="eastAsia" w:ascii="宋体" w:hAnsi="宋体"/>
          <w:bCs/>
          <w:sz w:val="24"/>
        </w:rPr>
        <w:t xml:space="preserve">  </w:t>
      </w:r>
    </w:p>
    <w:p>
      <w:pPr>
        <w:widowControl/>
        <w:tabs>
          <w:tab w:val="left" w:pos="851"/>
          <w:tab w:val="left" w:pos="993"/>
          <w:tab w:val="left" w:pos="1134"/>
        </w:tabs>
        <w:spacing w:line="360" w:lineRule="auto"/>
        <w:ind w:left="840" w:firstLine="360" w:firstLineChars="150"/>
        <w:jc w:val="left"/>
        <w:rPr>
          <w:rFonts w:ascii="宋体" w:hAnsi="宋体"/>
          <w:bCs/>
          <w:sz w:val="24"/>
        </w:rPr>
      </w:pPr>
      <w:r>
        <w:rPr>
          <w:rFonts w:ascii="宋体" w:hAnsi="宋体"/>
          <w:bCs/>
          <w:sz w:val="24"/>
        </w:rPr>
        <w:t>于医生、护士执业要求的后勤服务（此项请投标方充分考虑）。</w:t>
      </w:r>
    </w:p>
    <w:p>
      <w:pPr>
        <w:snapToGrid w:val="0"/>
        <w:spacing w:line="360" w:lineRule="auto"/>
        <w:ind w:firstLine="140" w:firstLineChars="58"/>
        <w:rPr>
          <w:b/>
          <w:sz w:val="24"/>
        </w:rPr>
      </w:pPr>
      <w:r>
        <w:rPr>
          <w:rFonts w:hint="eastAsia" w:ascii="宋体" w:hAnsi="宋体"/>
          <w:b/>
          <w:sz w:val="24"/>
        </w:rPr>
        <w:t>2、工作要求</w:t>
      </w:r>
    </w:p>
    <w:p>
      <w:pPr>
        <w:widowControl/>
        <w:numPr>
          <w:ilvl w:val="1"/>
          <w:numId w:val="151"/>
        </w:numPr>
        <w:tabs>
          <w:tab w:val="left" w:pos="567"/>
          <w:tab w:val="left" w:pos="851"/>
          <w:tab w:val="left" w:pos="993"/>
          <w:tab w:val="left" w:pos="1134"/>
        </w:tabs>
        <w:spacing w:line="360" w:lineRule="auto"/>
        <w:ind w:hanging="131"/>
        <w:jc w:val="left"/>
        <w:rPr>
          <w:rFonts w:ascii="宋体" w:hAnsi="宋体"/>
          <w:bCs/>
          <w:sz w:val="24"/>
        </w:rPr>
      </w:pPr>
      <w:r>
        <w:rPr>
          <w:rFonts w:hint="eastAsia" w:ascii="宋体" w:hAnsi="宋体"/>
          <w:bCs/>
          <w:sz w:val="24"/>
        </w:rPr>
        <w:t>学历至少达到初中及以上水平</w:t>
      </w:r>
      <w:r>
        <w:rPr>
          <w:rFonts w:ascii="宋体" w:hAnsi="宋体"/>
          <w:bCs/>
          <w:sz w:val="24"/>
        </w:rPr>
        <w:t>；</w:t>
      </w:r>
    </w:p>
    <w:p>
      <w:pPr>
        <w:widowControl/>
        <w:numPr>
          <w:ilvl w:val="1"/>
          <w:numId w:val="151"/>
        </w:numPr>
        <w:tabs>
          <w:tab w:val="left" w:pos="567"/>
          <w:tab w:val="left" w:pos="851"/>
          <w:tab w:val="left" w:pos="993"/>
          <w:tab w:val="left" w:pos="1134"/>
        </w:tabs>
        <w:spacing w:line="360" w:lineRule="auto"/>
        <w:ind w:hanging="131"/>
        <w:jc w:val="left"/>
        <w:rPr>
          <w:rFonts w:ascii="宋体" w:hAnsi="宋体"/>
          <w:bCs/>
          <w:sz w:val="24"/>
        </w:rPr>
      </w:pPr>
      <w:r>
        <w:rPr>
          <w:rFonts w:ascii="宋体" w:hAnsi="宋体"/>
          <w:bCs/>
          <w:sz w:val="24"/>
        </w:rPr>
        <w:t>操作熟练，符合消毒无菌技术及防止院内交叉感染的感管要求；</w:t>
      </w:r>
    </w:p>
    <w:p>
      <w:pPr>
        <w:widowControl/>
        <w:numPr>
          <w:ilvl w:val="1"/>
          <w:numId w:val="151"/>
        </w:numPr>
        <w:tabs>
          <w:tab w:val="left" w:pos="567"/>
          <w:tab w:val="left" w:pos="851"/>
          <w:tab w:val="left" w:pos="993"/>
          <w:tab w:val="left" w:pos="1134"/>
        </w:tabs>
        <w:spacing w:line="360" w:lineRule="auto"/>
        <w:ind w:hanging="131"/>
        <w:jc w:val="left"/>
        <w:rPr>
          <w:rFonts w:ascii="宋体" w:hAnsi="宋体"/>
          <w:bCs/>
          <w:sz w:val="24"/>
        </w:rPr>
      </w:pPr>
      <w:r>
        <w:rPr>
          <w:rFonts w:ascii="宋体" w:hAnsi="宋体"/>
          <w:bCs/>
          <w:sz w:val="24"/>
        </w:rPr>
        <w:t xml:space="preserve">爱护科室财产，听从护士长的工作安排及调派； </w:t>
      </w:r>
    </w:p>
    <w:p>
      <w:pPr>
        <w:widowControl/>
        <w:numPr>
          <w:ilvl w:val="1"/>
          <w:numId w:val="151"/>
        </w:numPr>
        <w:tabs>
          <w:tab w:val="left" w:pos="567"/>
          <w:tab w:val="left" w:pos="851"/>
          <w:tab w:val="left" w:pos="993"/>
          <w:tab w:val="left" w:pos="1134"/>
        </w:tabs>
        <w:spacing w:line="360" w:lineRule="auto"/>
        <w:ind w:hanging="131"/>
        <w:jc w:val="left"/>
        <w:rPr>
          <w:rFonts w:ascii="宋体" w:hAnsi="宋体"/>
          <w:bCs/>
          <w:sz w:val="24"/>
        </w:rPr>
      </w:pPr>
      <w:r>
        <w:rPr>
          <w:rFonts w:ascii="宋体" w:hAnsi="宋体"/>
          <w:bCs/>
          <w:sz w:val="24"/>
        </w:rPr>
        <w:t>人员要保证稳定，</w:t>
      </w:r>
      <w:r>
        <w:rPr>
          <w:rFonts w:hint="eastAsia" w:ascii="宋体" w:hAnsi="宋体"/>
          <w:bCs/>
          <w:sz w:val="24"/>
        </w:rPr>
        <w:t>不得随意调换；</w:t>
      </w:r>
      <w:r>
        <w:rPr>
          <w:rFonts w:ascii="宋体" w:hAnsi="宋体"/>
          <w:bCs/>
          <w:sz w:val="24"/>
        </w:rPr>
        <w:t>如</w:t>
      </w:r>
      <w:r>
        <w:rPr>
          <w:rFonts w:hint="eastAsia" w:ascii="宋体" w:hAnsi="宋体"/>
          <w:bCs/>
          <w:sz w:val="24"/>
        </w:rPr>
        <w:t>确需</w:t>
      </w:r>
      <w:r>
        <w:rPr>
          <w:rFonts w:ascii="宋体" w:hAnsi="宋体"/>
          <w:bCs/>
          <w:sz w:val="24"/>
        </w:rPr>
        <w:t>调换，必须</w:t>
      </w:r>
      <w:r>
        <w:rPr>
          <w:rFonts w:hint="eastAsia" w:ascii="宋体" w:hAnsi="宋体"/>
          <w:bCs/>
          <w:sz w:val="24"/>
        </w:rPr>
        <w:t>保证新调换的员工操作</w:t>
      </w:r>
      <w:r>
        <w:rPr>
          <w:rFonts w:ascii="宋体" w:hAnsi="宋体"/>
          <w:bCs/>
          <w:sz w:val="24"/>
        </w:rPr>
        <w:t>熟练，并经所在科室试用</w:t>
      </w:r>
      <w:r>
        <w:rPr>
          <w:rFonts w:hint="eastAsia" w:ascii="宋体" w:hAnsi="宋体"/>
          <w:bCs/>
          <w:sz w:val="24"/>
        </w:rPr>
        <w:t>且</w:t>
      </w:r>
      <w:r>
        <w:rPr>
          <w:rFonts w:ascii="宋体" w:hAnsi="宋体"/>
          <w:bCs/>
          <w:sz w:val="24"/>
        </w:rPr>
        <w:t>得到科室认可后才可进场</w:t>
      </w:r>
      <w:r>
        <w:rPr>
          <w:rFonts w:hint="eastAsia" w:ascii="宋体" w:hAnsi="宋体"/>
          <w:bCs/>
          <w:sz w:val="24"/>
        </w:rPr>
        <w:t xml:space="preserve">；  </w:t>
      </w:r>
    </w:p>
    <w:p>
      <w:pPr>
        <w:widowControl/>
        <w:numPr>
          <w:ilvl w:val="1"/>
          <w:numId w:val="151"/>
        </w:numPr>
        <w:tabs>
          <w:tab w:val="left" w:pos="567"/>
          <w:tab w:val="left" w:pos="851"/>
          <w:tab w:val="left" w:pos="993"/>
          <w:tab w:val="left" w:pos="1134"/>
        </w:tabs>
        <w:spacing w:line="360" w:lineRule="auto"/>
        <w:ind w:hanging="131"/>
        <w:jc w:val="left"/>
        <w:rPr>
          <w:rFonts w:ascii="宋体" w:hAnsi="宋体"/>
          <w:bCs/>
          <w:sz w:val="24"/>
        </w:rPr>
      </w:pPr>
      <w:r>
        <w:rPr>
          <w:rFonts w:ascii="宋体" w:hAnsi="宋体"/>
          <w:bCs/>
          <w:sz w:val="24"/>
        </w:rPr>
        <w:t>具有一定职业道德；</w:t>
      </w:r>
    </w:p>
    <w:p>
      <w:pPr>
        <w:widowControl/>
        <w:numPr>
          <w:ilvl w:val="1"/>
          <w:numId w:val="151"/>
        </w:numPr>
        <w:tabs>
          <w:tab w:val="left" w:pos="567"/>
          <w:tab w:val="left" w:pos="851"/>
          <w:tab w:val="left" w:pos="993"/>
          <w:tab w:val="left" w:pos="1134"/>
        </w:tabs>
        <w:spacing w:line="360" w:lineRule="auto"/>
        <w:ind w:hanging="131"/>
        <w:jc w:val="left"/>
        <w:rPr>
          <w:rFonts w:ascii="宋体" w:hAnsi="宋体"/>
          <w:bCs/>
          <w:sz w:val="24"/>
        </w:rPr>
      </w:pPr>
      <w:r>
        <w:rPr>
          <w:rFonts w:ascii="宋体" w:hAnsi="宋体"/>
          <w:bCs/>
          <w:sz w:val="24"/>
        </w:rPr>
        <w:t>尊重病人及保护病人的隐私；</w:t>
      </w:r>
    </w:p>
    <w:p>
      <w:pPr>
        <w:widowControl/>
        <w:numPr>
          <w:ilvl w:val="1"/>
          <w:numId w:val="151"/>
        </w:numPr>
        <w:tabs>
          <w:tab w:val="left" w:pos="567"/>
          <w:tab w:val="left" w:pos="851"/>
          <w:tab w:val="left" w:pos="993"/>
          <w:tab w:val="left" w:pos="1134"/>
        </w:tabs>
        <w:spacing w:line="360" w:lineRule="auto"/>
        <w:ind w:hanging="131"/>
        <w:jc w:val="left"/>
        <w:rPr>
          <w:rFonts w:ascii="宋体" w:hAnsi="宋体"/>
          <w:bCs/>
          <w:sz w:val="24"/>
        </w:rPr>
      </w:pPr>
      <w:r>
        <w:rPr>
          <w:rFonts w:ascii="宋体" w:hAnsi="宋体"/>
          <w:bCs/>
          <w:sz w:val="24"/>
        </w:rPr>
        <w:t>及时、到位地完成工作任务；</w:t>
      </w:r>
    </w:p>
    <w:p>
      <w:pPr>
        <w:widowControl/>
        <w:numPr>
          <w:ilvl w:val="1"/>
          <w:numId w:val="151"/>
        </w:numPr>
        <w:tabs>
          <w:tab w:val="left" w:pos="567"/>
          <w:tab w:val="left" w:pos="851"/>
          <w:tab w:val="left" w:pos="993"/>
          <w:tab w:val="left" w:pos="1134"/>
        </w:tabs>
        <w:spacing w:line="360" w:lineRule="auto"/>
        <w:ind w:hanging="131"/>
        <w:jc w:val="left"/>
        <w:rPr>
          <w:rFonts w:ascii="宋体" w:hAnsi="宋体"/>
          <w:bCs/>
          <w:sz w:val="24"/>
        </w:rPr>
      </w:pPr>
      <w:r>
        <w:rPr>
          <w:rFonts w:ascii="宋体" w:hAnsi="宋体"/>
          <w:bCs/>
          <w:sz w:val="24"/>
        </w:rPr>
        <w:t>认真保管医院的财物，包括被服等。</w:t>
      </w:r>
    </w:p>
    <w:p>
      <w:pPr>
        <w:spacing w:line="360" w:lineRule="auto"/>
        <w:rPr>
          <w:rFonts w:hint="eastAsia" w:ascii="宋体" w:hAnsi="宋体"/>
          <w:b/>
          <w:sz w:val="24"/>
        </w:rPr>
      </w:pPr>
    </w:p>
    <w:p>
      <w:pPr>
        <w:spacing w:line="360" w:lineRule="auto"/>
        <w:ind w:firstLine="161" w:firstLineChars="67"/>
        <w:rPr>
          <w:rFonts w:ascii="宋体" w:hAnsi="宋体"/>
          <w:b/>
          <w:sz w:val="24"/>
        </w:rPr>
      </w:pPr>
      <w:r>
        <w:rPr>
          <w:rFonts w:hint="eastAsia" w:ascii="宋体" w:hAnsi="宋体"/>
          <w:b/>
          <w:sz w:val="24"/>
        </w:rPr>
        <w:t>3、病区勤杂工服务质量要求及考核标准</w:t>
      </w:r>
    </w:p>
    <w:tbl>
      <w:tblPr>
        <w:tblStyle w:val="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637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4" w:type="dxa"/>
            <w:noWrap w:val="0"/>
            <w:vAlign w:val="center"/>
          </w:tcPr>
          <w:p>
            <w:pPr>
              <w:widowControl/>
              <w:jc w:val="center"/>
              <w:rPr>
                <w:rFonts w:ascii="宋体" w:hAnsi="宋体" w:cs="宋体"/>
                <w:b/>
                <w:kern w:val="0"/>
                <w:szCs w:val="21"/>
              </w:rPr>
            </w:pPr>
            <w:r>
              <w:rPr>
                <w:rFonts w:hint="eastAsia" w:ascii="宋体" w:hAnsi="宋体" w:cs="宋体"/>
                <w:b/>
                <w:kern w:val="0"/>
                <w:szCs w:val="21"/>
              </w:rPr>
              <w:t>考核指标</w:t>
            </w:r>
          </w:p>
        </w:tc>
        <w:tc>
          <w:tcPr>
            <w:tcW w:w="6377" w:type="dxa"/>
            <w:noWrap w:val="0"/>
            <w:vAlign w:val="center"/>
          </w:tcPr>
          <w:p>
            <w:pPr>
              <w:widowControl/>
              <w:jc w:val="center"/>
              <w:rPr>
                <w:rFonts w:ascii="宋体" w:hAnsi="宋体" w:cs="宋体"/>
                <w:b/>
                <w:kern w:val="0"/>
                <w:szCs w:val="21"/>
              </w:rPr>
            </w:pPr>
            <w:r>
              <w:rPr>
                <w:rFonts w:hint="eastAsia" w:ascii="宋体" w:hAnsi="宋体" w:cs="宋体"/>
                <w:b/>
                <w:kern w:val="0"/>
                <w:szCs w:val="21"/>
              </w:rPr>
              <w:t>考核内容</w:t>
            </w:r>
          </w:p>
        </w:tc>
        <w:tc>
          <w:tcPr>
            <w:tcW w:w="1417" w:type="dxa"/>
            <w:noWrap w:val="0"/>
            <w:vAlign w:val="center"/>
          </w:tcPr>
          <w:p>
            <w:pPr>
              <w:widowControl/>
              <w:jc w:val="center"/>
              <w:rPr>
                <w:rFonts w:ascii="宋体" w:hAnsi="宋体" w:cs="宋体"/>
                <w:b/>
                <w:kern w:val="0"/>
                <w:szCs w:val="21"/>
              </w:rPr>
            </w:pPr>
            <w:r>
              <w:rPr>
                <w:rFonts w:hint="eastAsia" w:ascii="宋体" w:hAnsi="宋体" w:cs="宋体"/>
                <w:b/>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项目</w:t>
            </w:r>
          </w:p>
          <w:p>
            <w:pPr>
              <w:widowControl/>
              <w:jc w:val="center"/>
              <w:rPr>
                <w:rFonts w:ascii="宋体" w:hAnsi="宋体" w:cs="宋体"/>
                <w:kern w:val="0"/>
                <w:szCs w:val="21"/>
              </w:rPr>
            </w:pPr>
            <w:r>
              <w:rPr>
                <w:rFonts w:hint="eastAsia" w:ascii="宋体" w:hAnsi="宋体" w:cs="宋体"/>
                <w:kern w:val="0"/>
                <w:szCs w:val="21"/>
              </w:rPr>
              <w:t>负责人</w:t>
            </w:r>
          </w:p>
        </w:tc>
        <w:tc>
          <w:tcPr>
            <w:tcW w:w="6377" w:type="dxa"/>
            <w:noWrap w:val="0"/>
            <w:vAlign w:val="center"/>
          </w:tcPr>
          <w:p>
            <w:pPr>
              <w:numPr>
                <w:ilvl w:val="0"/>
                <w:numId w:val="152"/>
              </w:numPr>
              <w:rPr>
                <w:rFonts w:ascii="宋体" w:hAnsi="宋体"/>
                <w:szCs w:val="21"/>
              </w:rPr>
            </w:pPr>
            <w:r>
              <w:rPr>
                <w:rFonts w:hint="eastAsia" w:ascii="宋体" w:hAnsi="宋体"/>
                <w:szCs w:val="21"/>
              </w:rPr>
              <w:t xml:space="preserve">熟练掌握人员编排等问题，并与区域负责人沟通处理各个事项；                        </w:t>
            </w:r>
          </w:p>
        </w:tc>
        <w:tc>
          <w:tcPr>
            <w:tcW w:w="1417"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Merge w:val="continue"/>
            <w:noWrap w:val="0"/>
            <w:vAlign w:val="center"/>
          </w:tcPr>
          <w:p>
            <w:pPr>
              <w:widowControl/>
              <w:jc w:val="center"/>
              <w:rPr>
                <w:rFonts w:ascii="宋体" w:hAnsi="宋体" w:cs="宋体"/>
                <w:b/>
                <w:kern w:val="0"/>
                <w:szCs w:val="21"/>
              </w:rPr>
            </w:pPr>
          </w:p>
        </w:tc>
        <w:tc>
          <w:tcPr>
            <w:tcW w:w="6377" w:type="dxa"/>
            <w:noWrap w:val="0"/>
            <w:vAlign w:val="center"/>
          </w:tcPr>
          <w:p>
            <w:pPr>
              <w:numPr>
                <w:ilvl w:val="0"/>
                <w:numId w:val="152"/>
              </w:numPr>
              <w:rPr>
                <w:rFonts w:ascii="宋体" w:hAnsi="宋体"/>
                <w:szCs w:val="21"/>
              </w:rPr>
            </w:pPr>
            <w:r>
              <w:rPr>
                <w:rFonts w:hint="eastAsia" w:ascii="宋体" w:hAnsi="宋体"/>
                <w:szCs w:val="21"/>
              </w:rPr>
              <w:t xml:space="preserve">积极执行科室临时办的工作任务；          </w:t>
            </w:r>
          </w:p>
        </w:tc>
        <w:tc>
          <w:tcPr>
            <w:tcW w:w="1417" w:type="dxa"/>
            <w:vMerge w:val="continue"/>
            <w:noWrap w:val="0"/>
            <w:vAlign w:val="center"/>
          </w:tcPr>
          <w:p>
            <w:pPr>
              <w:widowControl/>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Merge w:val="continue"/>
            <w:noWrap w:val="0"/>
            <w:vAlign w:val="center"/>
          </w:tcPr>
          <w:p>
            <w:pPr>
              <w:widowControl/>
              <w:jc w:val="center"/>
              <w:rPr>
                <w:rFonts w:ascii="宋体" w:hAnsi="宋体" w:cs="宋体"/>
                <w:b/>
                <w:kern w:val="0"/>
                <w:szCs w:val="21"/>
              </w:rPr>
            </w:pPr>
          </w:p>
        </w:tc>
        <w:tc>
          <w:tcPr>
            <w:tcW w:w="6377" w:type="dxa"/>
            <w:noWrap w:val="0"/>
            <w:vAlign w:val="center"/>
          </w:tcPr>
          <w:p>
            <w:pPr>
              <w:numPr>
                <w:ilvl w:val="0"/>
                <w:numId w:val="152"/>
              </w:numPr>
              <w:rPr>
                <w:rFonts w:ascii="宋体" w:hAnsi="宋体"/>
                <w:szCs w:val="21"/>
              </w:rPr>
            </w:pPr>
            <w:r>
              <w:rPr>
                <w:rFonts w:hint="eastAsia" w:ascii="宋体" w:hAnsi="宋体"/>
                <w:szCs w:val="21"/>
              </w:rPr>
              <w:t xml:space="preserve">工作效率及工作质量是否满足科室或医院要求；                       </w:t>
            </w:r>
          </w:p>
        </w:tc>
        <w:tc>
          <w:tcPr>
            <w:tcW w:w="1417" w:type="dxa"/>
            <w:vMerge w:val="continue"/>
            <w:noWrap w:val="0"/>
            <w:vAlign w:val="center"/>
          </w:tcPr>
          <w:p>
            <w:pPr>
              <w:widowControl/>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Merge w:val="continue"/>
            <w:noWrap w:val="0"/>
            <w:vAlign w:val="center"/>
          </w:tcPr>
          <w:p>
            <w:pPr>
              <w:widowControl/>
              <w:jc w:val="center"/>
              <w:rPr>
                <w:rFonts w:ascii="宋体" w:hAnsi="宋体" w:cs="宋体"/>
                <w:b/>
                <w:kern w:val="0"/>
                <w:szCs w:val="21"/>
              </w:rPr>
            </w:pPr>
          </w:p>
        </w:tc>
        <w:tc>
          <w:tcPr>
            <w:tcW w:w="6377" w:type="dxa"/>
            <w:noWrap w:val="0"/>
            <w:vAlign w:val="center"/>
          </w:tcPr>
          <w:p>
            <w:pPr>
              <w:numPr>
                <w:ilvl w:val="0"/>
                <w:numId w:val="152"/>
              </w:numPr>
              <w:rPr>
                <w:rFonts w:ascii="宋体" w:hAnsi="宋体"/>
                <w:szCs w:val="21"/>
              </w:rPr>
            </w:pPr>
            <w:r>
              <w:rPr>
                <w:rFonts w:hint="eastAsia" w:ascii="宋体" w:hAnsi="宋体"/>
                <w:szCs w:val="21"/>
              </w:rPr>
              <w:t xml:space="preserve">对科室提出的问题，及时进行整改落实；  </w:t>
            </w:r>
          </w:p>
        </w:tc>
        <w:tc>
          <w:tcPr>
            <w:tcW w:w="1417" w:type="dxa"/>
            <w:vMerge w:val="continue"/>
            <w:noWrap w:val="0"/>
            <w:vAlign w:val="center"/>
          </w:tcPr>
          <w:p>
            <w:pPr>
              <w:widowControl/>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Merge w:val="continue"/>
            <w:noWrap w:val="0"/>
            <w:vAlign w:val="center"/>
          </w:tcPr>
          <w:p>
            <w:pPr>
              <w:widowControl/>
              <w:jc w:val="center"/>
              <w:rPr>
                <w:rFonts w:ascii="宋体" w:hAnsi="宋体" w:cs="宋体"/>
                <w:b/>
                <w:kern w:val="0"/>
                <w:szCs w:val="21"/>
              </w:rPr>
            </w:pPr>
          </w:p>
        </w:tc>
        <w:tc>
          <w:tcPr>
            <w:tcW w:w="6377" w:type="dxa"/>
            <w:noWrap w:val="0"/>
            <w:vAlign w:val="center"/>
          </w:tcPr>
          <w:p>
            <w:pPr>
              <w:numPr>
                <w:ilvl w:val="0"/>
                <w:numId w:val="152"/>
              </w:numPr>
              <w:rPr>
                <w:rFonts w:ascii="宋体" w:hAnsi="宋体"/>
                <w:szCs w:val="21"/>
              </w:rPr>
            </w:pPr>
            <w:r>
              <w:rPr>
                <w:rFonts w:hint="eastAsia" w:ascii="宋体" w:hAnsi="宋体"/>
                <w:szCs w:val="21"/>
              </w:rPr>
              <w:t>如发生突发性事件，应设法采取应急措施，制止事态的扩大，及时向医院管理部门报告。</w:t>
            </w:r>
          </w:p>
        </w:tc>
        <w:tc>
          <w:tcPr>
            <w:tcW w:w="1417" w:type="dxa"/>
            <w:vMerge w:val="continue"/>
            <w:noWrap w:val="0"/>
            <w:vAlign w:val="center"/>
          </w:tcPr>
          <w:p>
            <w:pPr>
              <w:widowControl/>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工作质量</w:t>
            </w:r>
          </w:p>
        </w:tc>
        <w:tc>
          <w:tcPr>
            <w:tcW w:w="6377" w:type="dxa"/>
            <w:noWrap w:val="0"/>
            <w:vAlign w:val="center"/>
          </w:tcPr>
          <w:p>
            <w:pPr>
              <w:widowControl/>
              <w:numPr>
                <w:ilvl w:val="0"/>
                <w:numId w:val="153"/>
              </w:numPr>
              <w:jc w:val="left"/>
              <w:rPr>
                <w:rFonts w:ascii="宋体" w:hAnsi="宋体" w:cs="宋体"/>
                <w:kern w:val="0"/>
                <w:szCs w:val="21"/>
              </w:rPr>
            </w:pPr>
            <w:r>
              <w:rPr>
                <w:rFonts w:hint="eastAsia" w:ascii="宋体" w:hAnsi="宋体" w:cs="宋体"/>
                <w:kern w:val="0"/>
                <w:szCs w:val="21"/>
              </w:rPr>
              <w:t>送餐到病人床头，送水到床头柜，并协助病人进食、进水，清洗碗筷等；</w:t>
            </w:r>
          </w:p>
        </w:tc>
        <w:tc>
          <w:tcPr>
            <w:tcW w:w="1417"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Merge w:val="continue"/>
            <w:noWrap w:val="0"/>
            <w:vAlign w:val="center"/>
          </w:tcPr>
          <w:p>
            <w:pPr>
              <w:widowControl/>
              <w:jc w:val="left"/>
              <w:rPr>
                <w:rFonts w:ascii="宋体" w:hAnsi="宋体" w:cs="宋体"/>
                <w:kern w:val="0"/>
                <w:szCs w:val="21"/>
              </w:rPr>
            </w:pPr>
          </w:p>
        </w:tc>
        <w:tc>
          <w:tcPr>
            <w:tcW w:w="6377" w:type="dxa"/>
            <w:noWrap w:val="0"/>
            <w:vAlign w:val="center"/>
          </w:tcPr>
          <w:p>
            <w:pPr>
              <w:widowControl/>
              <w:numPr>
                <w:ilvl w:val="0"/>
                <w:numId w:val="153"/>
              </w:numPr>
              <w:jc w:val="left"/>
              <w:rPr>
                <w:rFonts w:ascii="宋体" w:hAnsi="宋体" w:cs="宋体"/>
                <w:kern w:val="0"/>
                <w:szCs w:val="21"/>
              </w:rPr>
            </w:pPr>
          </w:p>
        </w:tc>
        <w:tc>
          <w:tcPr>
            <w:tcW w:w="1417"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Merge w:val="continue"/>
            <w:noWrap w:val="0"/>
            <w:vAlign w:val="center"/>
          </w:tcPr>
          <w:p>
            <w:pPr>
              <w:widowControl/>
              <w:jc w:val="left"/>
              <w:rPr>
                <w:rFonts w:ascii="宋体" w:hAnsi="宋体" w:cs="宋体"/>
                <w:kern w:val="0"/>
                <w:szCs w:val="21"/>
              </w:rPr>
            </w:pPr>
          </w:p>
        </w:tc>
        <w:tc>
          <w:tcPr>
            <w:tcW w:w="6377" w:type="dxa"/>
            <w:noWrap w:val="0"/>
            <w:vAlign w:val="center"/>
          </w:tcPr>
          <w:p>
            <w:pPr>
              <w:widowControl/>
              <w:numPr>
                <w:ilvl w:val="0"/>
                <w:numId w:val="153"/>
              </w:numPr>
              <w:jc w:val="left"/>
              <w:rPr>
                <w:rFonts w:ascii="宋体" w:hAnsi="宋体" w:cs="宋体"/>
                <w:kern w:val="0"/>
                <w:szCs w:val="21"/>
              </w:rPr>
            </w:pPr>
            <w:r>
              <w:rPr>
                <w:rFonts w:hint="eastAsia" w:ascii="宋体" w:hAnsi="宋体" w:cs="宋体"/>
                <w:kern w:val="0"/>
                <w:szCs w:val="21"/>
              </w:rPr>
              <w:t>协助患者如厕；</w:t>
            </w:r>
          </w:p>
        </w:tc>
        <w:tc>
          <w:tcPr>
            <w:tcW w:w="1417"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Merge w:val="continue"/>
            <w:noWrap w:val="0"/>
            <w:vAlign w:val="center"/>
          </w:tcPr>
          <w:p>
            <w:pPr>
              <w:widowControl/>
              <w:jc w:val="left"/>
              <w:rPr>
                <w:rFonts w:ascii="宋体" w:hAnsi="宋体" w:cs="宋体"/>
                <w:kern w:val="0"/>
                <w:szCs w:val="21"/>
              </w:rPr>
            </w:pPr>
          </w:p>
        </w:tc>
        <w:tc>
          <w:tcPr>
            <w:tcW w:w="6377" w:type="dxa"/>
            <w:noWrap w:val="0"/>
            <w:vAlign w:val="center"/>
          </w:tcPr>
          <w:p>
            <w:pPr>
              <w:widowControl/>
              <w:numPr>
                <w:ilvl w:val="0"/>
                <w:numId w:val="153"/>
              </w:numPr>
              <w:jc w:val="left"/>
              <w:rPr>
                <w:rFonts w:ascii="宋体" w:hAnsi="宋体" w:cs="宋体"/>
                <w:kern w:val="0"/>
                <w:szCs w:val="21"/>
              </w:rPr>
            </w:pPr>
            <w:r>
              <w:rPr>
                <w:rFonts w:hint="eastAsia" w:ascii="宋体" w:hAnsi="宋体" w:cs="宋体"/>
                <w:kern w:val="0"/>
                <w:szCs w:val="21"/>
              </w:rPr>
              <w:t>在护士指导下完成擦浴、洗头，协助患者翻身；</w:t>
            </w:r>
          </w:p>
        </w:tc>
        <w:tc>
          <w:tcPr>
            <w:tcW w:w="1417"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Merge w:val="continue"/>
            <w:noWrap w:val="0"/>
            <w:vAlign w:val="center"/>
          </w:tcPr>
          <w:p>
            <w:pPr>
              <w:widowControl/>
              <w:jc w:val="left"/>
              <w:rPr>
                <w:rFonts w:ascii="宋体" w:hAnsi="宋体" w:cs="宋体"/>
                <w:kern w:val="0"/>
                <w:szCs w:val="21"/>
              </w:rPr>
            </w:pPr>
          </w:p>
        </w:tc>
        <w:tc>
          <w:tcPr>
            <w:tcW w:w="6377" w:type="dxa"/>
            <w:noWrap w:val="0"/>
            <w:vAlign w:val="center"/>
          </w:tcPr>
          <w:p>
            <w:pPr>
              <w:widowControl/>
              <w:numPr>
                <w:ilvl w:val="0"/>
                <w:numId w:val="153"/>
              </w:numPr>
              <w:jc w:val="left"/>
              <w:rPr>
                <w:rFonts w:ascii="宋体" w:hAnsi="宋体" w:cs="宋体"/>
                <w:kern w:val="0"/>
                <w:szCs w:val="21"/>
              </w:rPr>
            </w:pPr>
            <w:r>
              <w:rPr>
                <w:rFonts w:hint="eastAsia" w:ascii="宋体" w:hAnsi="宋体" w:cs="宋体"/>
                <w:kern w:val="0"/>
                <w:szCs w:val="21"/>
              </w:rPr>
              <w:t>在护士指导下完成出院病人的终末消毒处置工作；</w:t>
            </w:r>
          </w:p>
        </w:tc>
        <w:tc>
          <w:tcPr>
            <w:tcW w:w="1417"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Merge w:val="continue"/>
            <w:noWrap w:val="0"/>
            <w:vAlign w:val="center"/>
          </w:tcPr>
          <w:p>
            <w:pPr>
              <w:widowControl/>
              <w:jc w:val="left"/>
              <w:rPr>
                <w:rFonts w:ascii="宋体" w:hAnsi="宋体" w:cs="宋体"/>
                <w:kern w:val="0"/>
                <w:szCs w:val="21"/>
              </w:rPr>
            </w:pPr>
          </w:p>
        </w:tc>
        <w:tc>
          <w:tcPr>
            <w:tcW w:w="6377" w:type="dxa"/>
            <w:noWrap w:val="0"/>
            <w:vAlign w:val="center"/>
          </w:tcPr>
          <w:p>
            <w:pPr>
              <w:widowControl/>
              <w:numPr>
                <w:ilvl w:val="0"/>
                <w:numId w:val="153"/>
              </w:numPr>
              <w:jc w:val="left"/>
              <w:rPr>
                <w:rFonts w:ascii="宋体" w:hAnsi="宋体" w:cs="宋体"/>
                <w:kern w:val="0"/>
                <w:szCs w:val="21"/>
              </w:rPr>
            </w:pPr>
            <w:r>
              <w:rPr>
                <w:rFonts w:hint="eastAsia" w:ascii="宋体" w:hAnsi="宋体" w:cs="宋体"/>
                <w:kern w:val="0"/>
                <w:szCs w:val="21"/>
              </w:rPr>
              <w:t>负责病人床上用品更换、整理；</w:t>
            </w:r>
          </w:p>
        </w:tc>
        <w:tc>
          <w:tcPr>
            <w:tcW w:w="1417"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Merge w:val="continue"/>
            <w:noWrap w:val="0"/>
            <w:vAlign w:val="center"/>
          </w:tcPr>
          <w:p>
            <w:pPr>
              <w:widowControl/>
              <w:jc w:val="left"/>
              <w:rPr>
                <w:rFonts w:ascii="宋体" w:hAnsi="宋体" w:cs="宋体"/>
                <w:kern w:val="0"/>
                <w:szCs w:val="21"/>
              </w:rPr>
            </w:pPr>
          </w:p>
        </w:tc>
        <w:tc>
          <w:tcPr>
            <w:tcW w:w="6377" w:type="dxa"/>
            <w:noWrap w:val="0"/>
            <w:vAlign w:val="center"/>
          </w:tcPr>
          <w:p>
            <w:pPr>
              <w:widowControl/>
              <w:numPr>
                <w:ilvl w:val="0"/>
                <w:numId w:val="153"/>
              </w:numPr>
              <w:jc w:val="left"/>
              <w:rPr>
                <w:rFonts w:ascii="宋体" w:hAnsi="宋体" w:cs="宋体"/>
                <w:kern w:val="0"/>
                <w:szCs w:val="21"/>
              </w:rPr>
            </w:pPr>
            <w:r>
              <w:rPr>
                <w:rFonts w:hint="eastAsia" w:ascii="宋体" w:hAnsi="宋体" w:cs="宋体"/>
                <w:kern w:val="0"/>
                <w:szCs w:val="21"/>
              </w:rPr>
              <w:t>送检、陪检，协助患者完成各项检查；</w:t>
            </w:r>
          </w:p>
        </w:tc>
        <w:tc>
          <w:tcPr>
            <w:tcW w:w="1417"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Merge w:val="continue"/>
            <w:noWrap w:val="0"/>
            <w:vAlign w:val="center"/>
          </w:tcPr>
          <w:p>
            <w:pPr>
              <w:widowControl/>
              <w:jc w:val="left"/>
              <w:rPr>
                <w:rFonts w:ascii="宋体" w:hAnsi="宋体" w:cs="宋体"/>
                <w:kern w:val="0"/>
                <w:szCs w:val="21"/>
              </w:rPr>
            </w:pPr>
          </w:p>
        </w:tc>
        <w:tc>
          <w:tcPr>
            <w:tcW w:w="6377" w:type="dxa"/>
            <w:noWrap w:val="0"/>
            <w:vAlign w:val="center"/>
          </w:tcPr>
          <w:p>
            <w:pPr>
              <w:widowControl/>
              <w:numPr>
                <w:ilvl w:val="0"/>
                <w:numId w:val="153"/>
              </w:numPr>
              <w:jc w:val="left"/>
              <w:rPr>
                <w:rFonts w:ascii="宋体" w:hAnsi="宋体" w:cs="宋体"/>
                <w:kern w:val="0"/>
                <w:szCs w:val="21"/>
              </w:rPr>
            </w:pPr>
            <w:r>
              <w:rPr>
                <w:rFonts w:hint="eastAsia" w:ascii="宋体" w:hAnsi="宋体" w:cs="宋体"/>
                <w:kern w:val="0"/>
                <w:szCs w:val="21"/>
              </w:rPr>
              <w:t>经常巡视病房，加强病人的安全管理，及时满足患者所需。</w:t>
            </w:r>
          </w:p>
        </w:tc>
        <w:tc>
          <w:tcPr>
            <w:tcW w:w="1417"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设施管理</w:t>
            </w:r>
          </w:p>
        </w:tc>
        <w:tc>
          <w:tcPr>
            <w:tcW w:w="6377" w:type="dxa"/>
            <w:noWrap w:val="0"/>
            <w:vAlign w:val="center"/>
          </w:tcPr>
          <w:p>
            <w:pPr>
              <w:widowControl/>
              <w:numPr>
                <w:ilvl w:val="0"/>
                <w:numId w:val="154"/>
              </w:numPr>
              <w:jc w:val="left"/>
              <w:rPr>
                <w:rFonts w:ascii="宋体" w:hAnsi="宋体" w:cs="宋体"/>
                <w:kern w:val="0"/>
                <w:szCs w:val="21"/>
              </w:rPr>
            </w:pPr>
            <w:r>
              <w:rPr>
                <w:rFonts w:hint="eastAsia" w:ascii="宋体" w:hAnsi="宋体" w:cs="宋体"/>
                <w:kern w:val="0"/>
                <w:szCs w:val="21"/>
              </w:rPr>
              <w:t>负责公共区域照明灯及电扇的及时开关；参与病房的环境卫生设施等管理；</w:t>
            </w:r>
          </w:p>
        </w:tc>
        <w:tc>
          <w:tcPr>
            <w:tcW w:w="1417"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Merge w:val="continue"/>
            <w:noWrap w:val="0"/>
            <w:vAlign w:val="center"/>
          </w:tcPr>
          <w:p>
            <w:pPr>
              <w:widowControl/>
              <w:jc w:val="left"/>
              <w:rPr>
                <w:rFonts w:ascii="宋体" w:hAnsi="宋体" w:cs="宋体"/>
                <w:kern w:val="0"/>
                <w:szCs w:val="21"/>
              </w:rPr>
            </w:pPr>
          </w:p>
        </w:tc>
        <w:tc>
          <w:tcPr>
            <w:tcW w:w="6377" w:type="dxa"/>
            <w:noWrap w:val="0"/>
            <w:vAlign w:val="center"/>
          </w:tcPr>
          <w:p>
            <w:pPr>
              <w:widowControl/>
              <w:numPr>
                <w:ilvl w:val="0"/>
                <w:numId w:val="154"/>
              </w:numPr>
              <w:jc w:val="left"/>
              <w:rPr>
                <w:rFonts w:ascii="宋体" w:hAnsi="宋体" w:cs="宋体"/>
                <w:kern w:val="0"/>
                <w:szCs w:val="21"/>
              </w:rPr>
            </w:pPr>
            <w:r>
              <w:rPr>
                <w:rFonts w:hint="eastAsia" w:ascii="宋体" w:hAnsi="宋体" w:cs="宋体"/>
                <w:kern w:val="0"/>
                <w:szCs w:val="21"/>
              </w:rPr>
              <w:t>空调的温度符合标准（空调温度夏天不得低于25℃，冬天不得高于20℃）。</w:t>
            </w:r>
          </w:p>
        </w:tc>
        <w:tc>
          <w:tcPr>
            <w:tcW w:w="1417"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仪表要求</w:t>
            </w:r>
          </w:p>
        </w:tc>
        <w:tc>
          <w:tcPr>
            <w:tcW w:w="6377" w:type="dxa"/>
            <w:noWrap w:val="0"/>
            <w:vAlign w:val="center"/>
          </w:tcPr>
          <w:p>
            <w:pPr>
              <w:widowControl/>
              <w:numPr>
                <w:ilvl w:val="0"/>
                <w:numId w:val="155"/>
              </w:numPr>
              <w:jc w:val="left"/>
              <w:rPr>
                <w:rFonts w:ascii="宋体" w:hAnsi="宋体" w:cs="宋体"/>
                <w:kern w:val="0"/>
                <w:szCs w:val="21"/>
              </w:rPr>
            </w:pPr>
            <w:r>
              <w:rPr>
                <w:rFonts w:hint="eastAsia" w:ascii="宋体" w:hAnsi="宋体" w:cs="宋体"/>
                <w:kern w:val="0"/>
                <w:szCs w:val="21"/>
              </w:rPr>
              <w:t>统一穿着岗位制服；</w:t>
            </w:r>
          </w:p>
        </w:tc>
        <w:tc>
          <w:tcPr>
            <w:tcW w:w="1417"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Merge w:val="continue"/>
            <w:noWrap w:val="0"/>
            <w:vAlign w:val="center"/>
          </w:tcPr>
          <w:p>
            <w:pPr>
              <w:widowControl/>
              <w:jc w:val="left"/>
              <w:rPr>
                <w:rFonts w:ascii="宋体" w:hAnsi="宋体" w:cs="宋体"/>
                <w:kern w:val="0"/>
                <w:szCs w:val="21"/>
              </w:rPr>
            </w:pPr>
          </w:p>
        </w:tc>
        <w:tc>
          <w:tcPr>
            <w:tcW w:w="6377" w:type="dxa"/>
            <w:noWrap w:val="0"/>
            <w:vAlign w:val="center"/>
          </w:tcPr>
          <w:p>
            <w:pPr>
              <w:widowControl/>
              <w:numPr>
                <w:ilvl w:val="0"/>
                <w:numId w:val="155"/>
              </w:numPr>
              <w:jc w:val="left"/>
              <w:rPr>
                <w:rFonts w:ascii="宋体" w:hAnsi="宋体" w:cs="宋体"/>
                <w:kern w:val="0"/>
                <w:szCs w:val="21"/>
              </w:rPr>
            </w:pPr>
            <w:r>
              <w:rPr>
                <w:rFonts w:hint="eastAsia" w:ascii="宋体" w:hAnsi="宋体" w:cs="宋体"/>
                <w:kern w:val="0"/>
                <w:szCs w:val="21"/>
              </w:rPr>
              <w:t>统一配挂工作牌；</w:t>
            </w:r>
          </w:p>
        </w:tc>
        <w:tc>
          <w:tcPr>
            <w:tcW w:w="1417"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Merge w:val="continue"/>
            <w:noWrap w:val="0"/>
            <w:vAlign w:val="center"/>
          </w:tcPr>
          <w:p>
            <w:pPr>
              <w:widowControl/>
              <w:jc w:val="left"/>
              <w:rPr>
                <w:rFonts w:ascii="宋体" w:hAnsi="宋体" w:cs="宋体"/>
                <w:kern w:val="0"/>
                <w:szCs w:val="21"/>
              </w:rPr>
            </w:pPr>
          </w:p>
        </w:tc>
        <w:tc>
          <w:tcPr>
            <w:tcW w:w="6377" w:type="dxa"/>
            <w:noWrap w:val="0"/>
            <w:vAlign w:val="center"/>
          </w:tcPr>
          <w:p>
            <w:pPr>
              <w:widowControl/>
              <w:numPr>
                <w:ilvl w:val="0"/>
                <w:numId w:val="155"/>
              </w:numPr>
              <w:jc w:val="left"/>
              <w:rPr>
                <w:rFonts w:ascii="宋体" w:hAnsi="宋体" w:cs="宋体"/>
                <w:kern w:val="0"/>
                <w:szCs w:val="21"/>
              </w:rPr>
            </w:pPr>
            <w:r>
              <w:rPr>
                <w:rFonts w:hint="eastAsia" w:ascii="宋体" w:hAnsi="宋体" w:cs="宋体"/>
                <w:kern w:val="0"/>
                <w:szCs w:val="21"/>
              </w:rPr>
              <w:t>分发餐饮时带口罩、帽子；</w:t>
            </w:r>
          </w:p>
        </w:tc>
        <w:tc>
          <w:tcPr>
            <w:tcW w:w="1417"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Merge w:val="continue"/>
            <w:noWrap w:val="0"/>
            <w:vAlign w:val="center"/>
          </w:tcPr>
          <w:p>
            <w:pPr>
              <w:widowControl/>
              <w:jc w:val="left"/>
              <w:rPr>
                <w:rFonts w:ascii="宋体" w:hAnsi="宋体" w:cs="宋体"/>
                <w:kern w:val="0"/>
                <w:szCs w:val="21"/>
              </w:rPr>
            </w:pPr>
          </w:p>
        </w:tc>
        <w:tc>
          <w:tcPr>
            <w:tcW w:w="6377" w:type="dxa"/>
            <w:noWrap w:val="0"/>
            <w:vAlign w:val="center"/>
          </w:tcPr>
          <w:p>
            <w:pPr>
              <w:widowControl/>
              <w:numPr>
                <w:ilvl w:val="0"/>
                <w:numId w:val="155"/>
              </w:numPr>
              <w:jc w:val="left"/>
              <w:rPr>
                <w:rFonts w:ascii="宋体" w:hAnsi="宋体" w:cs="宋体"/>
                <w:kern w:val="0"/>
                <w:szCs w:val="21"/>
              </w:rPr>
            </w:pPr>
            <w:r>
              <w:rPr>
                <w:rFonts w:hint="eastAsia" w:ascii="宋体" w:hAnsi="宋体" w:cs="宋体"/>
                <w:kern w:val="0"/>
                <w:szCs w:val="21"/>
              </w:rPr>
              <w:t>不留长指甲、不佩戴首饰等物件。</w:t>
            </w:r>
          </w:p>
        </w:tc>
        <w:tc>
          <w:tcPr>
            <w:tcW w:w="1417"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劳动纪律</w:t>
            </w:r>
          </w:p>
        </w:tc>
        <w:tc>
          <w:tcPr>
            <w:tcW w:w="6377" w:type="dxa"/>
            <w:noWrap w:val="0"/>
            <w:vAlign w:val="center"/>
          </w:tcPr>
          <w:p>
            <w:pPr>
              <w:widowControl/>
              <w:numPr>
                <w:ilvl w:val="0"/>
                <w:numId w:val="156"/>
              </w:numPr>
              <w:jc w:val="left"/>
              <w:rPr>
                <w:rFonts w:ascii="宋体" w:hAnsi="宋体" w:cs="宋体"/>
                <w:kern w:val="0"/>
                <w:szCs w:val="21"/>
              </w:rPr>
            </w:pPr>
            <w:r>
              <w:rPr>
                <w:rFonts w:hint="eastAsia" w:ascii="宋体" w:hAnsi="宋体" w:cs="宋体"/>
                <w:kern w:val="0"/>
                <w:szCs w:val="21"/>
              </w:rPr>
              <w:t>不迟到、早退；</w:t>
            </w:r>
          </w:p>
        </w:tc>
        <w:tc>
          <w:tcPr>
            <w:tcW w:w="1417" w:type="dxa"/>
            <w:vMerge w:val="restart"/>
            <w:noWrap w:val="0"/>
            <w:vAlign w:val="center"/>
          </w:tcPr>
          <w:p>
            <w:pPr>
              <w:jc w:val="center"/>
              <w:rPr>
                <w:rFonts w:ascii="宋体" w:hAnsi="宋体" w:cs="宋体"/>
                <w:kern w:val="0"/>
                <w:szCs w:val="21"/>
              </w:rPr>
            </w:pPr>
            <w:r>
              <w:rPr>
                <w:rFonts w:hint="eastAsia" w:ascii="宋体" w:hAnsi="宋体" w:cs="宋体"/>
                <w:kern w:val="0"/>
                <w:szCs w:val="21"/>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Merge w:val="continue"/>
            <w:noWrap w:val="0"/>
            <w:vAlign w:val="center"/>
          </w:tcPr>
          <w:p>
            <w:pPr>
              <w:widowControl/>
              <w:jc w:val="left"/>
              <w:rPr>
                <w:rFonts w:ascii="宋体" w:hAnsi="宋体" w:cs="宋体"/>
                <w:kern w:val="0"/>
                <w:szCs w:val="21"/>
              </w:rPr>
            </w:pPr>
          </w:p>
        </w:tc>
        <w:tc>
          <w:tcPr>
            <w:tcW w:w="6377" w:type="dxa"/>
            <w:noWrap w:val="0"/>
            <w:vAlign w:val="center"/>
          </w:tcPr>
          <w:p>
            <w:pPr>
              <w:widowControl/>
              <w:numPr>
                <w:ilvl w:val="0"/>
                <w:numId w:val="156"/>
              </w:numPr>
              <w:jc w:val="left"/>
              <w:rPr>
                <w:rFonts w:ascii="宋体" w:hAnsi="宋体" w:cs="宋体"/>
                <w:kern w:val="0"/>
                <w:szCs w:val="21"/>
              </w:rPr>
            </w:pPr>
            <w:r>
              <w:rPr>
                <w:rFonts w:hint="eastAsia" w:ascii="宋体" w:hAnsi="宋体" w:cs="宋体"/>
                <w:kern w:val="0"/>
                <w:szCs w:val="21"/>
              </w:rPr>
              <w:t>在规定时间、规定地点用餐；</w:t>
            </w:r>
          </w:p>
        </w:tc>
        <w:tc>
          <w:tcPr>
            <w:tcW w:w="1417" w:type="dxa"/>
            <w:vMerge w:val="continue"/>
            <w:noWrap w:val="0"/>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Merge w:val="continue"/>
            <w:noWrap w:val="0"/>
            <w:vAlign w:val="center"/>
          </w:tcPr>
          <w:p>
            <w:pPr>
              <w:widowControl/>
              <w:jc w:val="left"/>
              <w:rPr>
                <w:rFonts w:ascii="宋体" w:hAnsi="宋体" w:cs="宋体"/>
                <w:kern w:val="0"/>
                <w:szCs w:val="21"/>
              </w:rPr>
            </w:pPr>
          </w:p>
        </w:tc>
        <w:tc>
          <w:tcPr>
            <w:tcW w:w="6377" w:type="dxa"/>
            <w:noWrap w:val="0"/>
            <w:vAlign w:val="center"/>
          </w:tcPr>
          <w:p>
            <w:pPr>
              <w:widowControl/>
              <w:numPr>
                <w:ilvl w:val="0"/>
                <w:numId w:val="156"/>
              </w:numPr>
              <w:jc w:val="left"/>
              <w:rPr>
                <w:rFonts w:ascii="宋体" w:hAnsi="宋体" w:cs="宋体"/>
                <w:kern w:val="0"/>
                <w:szCs w:val="21"/>
              </w:rPr>
            </w:pPr>
            <w:r>
              <w:rPr>
                <w:rFonts w:hint="eastAsia" w:ascii="宋体" w:hAnsi="宋体" w:cs="宋体"/>
                <w:kern w:val="0"/>
                <w:szCs w:val="21"/>
              </w:rPr>
              <w:t>无擅自离岗；</w:t>
            </w:r>
          </w:p>
        </w:tc>
        <w:tc>
          <w:tcPr>
            <w:tcW w:w="1417"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Merge w:val="continue"/>
            <w:noWrap w:val="0"/>
            <w:vAlign w:val="center"/>
          </w:tcPr>
          <w:p>
            <w:pPr>
              <w:widowControl/>
              <w:jc w:val="left"/>
              <w:rPr>
                <w:rFonts w:ascii="宋体" w:hAnsi="宋体" w:cs="宋体"/>
                <w:kern w:val="0"/>
                <w:szCs w:val="21"/>
              </w:rPr>
            </w:pPr>
          </w:p>
        </w:tc>
        <w:tc>
          <w:tcPr>
            <w:tcW w:w="6377" w:type="dxa"/>
            <w:noWrap w:val="0"/>
            <w:vAlign w:val="center"/>
          </w:tcPr>
          <w:p>
            <w:pPr>
              <w:widowControl/>
              <w:numPr>
                <w:ilvl w:val="0"/>
                <w:numId w:val="156"/>
              </w:numPr>
              <w:jc w:val="left"/>
              <w:rPr>
                <w:rFonts w:ascii="宋体" w:hAnsi="宋体" w:cs="宋体"/>
                <w:kern w:val="0"/>
                <w:szCs w:val="21"/>
              </w:rPr>
            </w:pPr>
            <w:r>
              <w:rPr>
                <w:rFonts w:hint="eastAsia" w:ascii="宋体" w:hAnsi="宋体" w:cs="宋体"/>
                <w:kern w:val="0"/>
                <w:szCs w:val="21"/>
              </w:rPr>
              <w:t>在岗期间不得兼职其他工作；</w:t>
            </w:r>
          </w:p>
        </w:tc>
        <w:tc>
          <w:tcPr>
            <w:tcW w:w="1417"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Merge w:val="continue"/>
            <w:noWrap w:val="0"/>
            <w:vAlign w:val="center"/>
          </w:tcPr>
          <w:p>
            <w:pPr>
              <w:widowControl/>
              <w:jc w:val="left"/>
              <w:rPr>
                <w:rFonts w:ascii="宋体" w:hAnsi="宋体" w:cs="宋体"/>
                <w:kern w:val="0"/>
                <w:szCs w:val="21"/>
              </w:rPr>
            </w:pPr>
          </w:p>
        </w:tc>
        <w:tc>
          <w:tcPr>
            <w:tcW w:w="6377" w:type="dxa"/>
            <w:noWrap w:val="0"/>
            <w:vAlign w:val="center"/>
          </w:tcPr>
          <w:p>
            <w:pPr>
              <w:widowControl/>
              <w:numPr>
                <w:ilvl w:val="0"/>
                <w:numId w:val="156"/>
              </w:numPr>
              <w:jc w:val="left"/>
              <w:rPr>
                <w:rFonts w:ascii="宋体" w:hAnsi="宋体" w:cs="宋体"/>
                <w:kern w:val="0"/>
                <w:szCs w:val="21"/>
              </w:rPr>
            </w:pPr>
            <w:r>
              <w:rPr>
                <w:rFonts w:hint="eastAsia" w:ascii="宋体" w:hAnsi="宋体" w:cs="宋体"/>
                <w:kern w:val="0"/>
                <w:szCs w:val="21"/>
              </w:rPr>
              <w:t>不得聚众聊天。</w:t>
            </w:r>
          </w:p>
        </w:tc>
        <w:tc>
          <w:tcPr>
            <w:tcW w:w="1417"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服务态度</w:t>
            </w:r>
          </w:p>
        </w:tc>
        <w:tc>
          <w:tcPr>
            <w:tcW w:w="6377" w:type="dxa"/>
            <w:noWrap w:val="0"/>
            <w:vAlign w:val="center"/>
          </w:tcPr>
          <w:p>
            <w:pPr>
              <w:widowControl/>
              <w:numPr>
                <w:ilvl w:val="0"/>
                <w:numId w:val="157"/>
              </w:numPr>
              <w:jc w:val="left"/>
              <w:rPr>
                <w:rFonts w:ascii="宋体" w:hAnsi="宋体" w:cs="宋体"/>
                <w:kern w:val="0"/>
                <w:szCs w:val="21"/>
              </w:rPr>
            </w:pPr>
            <w:r>
              <w:rPr>
                <w:rFonts w:hint="eastAsia" w:ascii="宋体" w:hAnsi="宋体" w:cs="宋体"/>
                <w:kern w:val="0"/>
                <w:szCs w:val="21"/>
              </w:rPr>
              <w:t>优质服务、文明用语、规范操作；</w:t>
            </w:r>
          </w:p>
        </w:tc>
        <w:tc>
          <w:tcPr>
            <w:tcW w:w="1417"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Merge w:val="continue"/>
            <w:noWrap w:val="0"/>
            <w:vAlign w:val="center"/>
          </w:tcPr>
          <w:p>
            <w:pPr>
              <w:widowControl/>
              <w:jc w:val="left"/>
              <w:rPr>
                <w:rFonts w:ascii="宋体" w:hAnsi="宋体" w:cs="宋体"/>
                <w:kern w:val="0"/>
                <w:szCs w:val="21"/>
              </w:rPr>
            </w:pPr>
          </w:p>
        </w:tc>
        <w:tc>
          <w:tcPr>
            <w:tcW w:w="6377" w:type="dxa"/>
            <w:noWrap w:val="0"/>
            <w:vAlign w:val="center"/>
          </w:tcPr>
          <w:p>
            <w:pPr>
              <w:widowControl/>
              <w:numPr>
                <w:ilvl w:val="0"/>
                <w:numId w:val="157"/>
              </w:numPr>
              <w:jc w:val="left"/>
              <w:rPr>
                <w:rFonts w:ascii="宋体" w:hAnsi="宋体" w:cs="宋体"/>
                <w:kern w:val="0"/>
                <w:szCs w:val="21"/>
              </w:rPr>
            </w:pPr>
            <w:r>
              <w:rPr>
                <w:rFonts w:hint="eastAsia" w:ascii="宋体" w:hAnsi="宋体" w:cs="宋体"/>
                <w:kern w:val="0"/>
                <w:szCs w:val="21"/>
              </w:rPr>
              <w:t>对待病人耐心、细心、热情周到；</w:t>
            </w:r>
          </w:p>
        </w:tc>
        <w:tc>
          <w:tcPr>
            <w:tcW w:w="1417"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Merge w:val="continue"/>
            <w:noWrap w:val="0"/>
            <w:vAlign w:val="center"/>
          </w:tcPr>
          <w:p>
            <w:pPr>
              <w:widowControl/>
              <w:jc w:val="left"/>
              <w:rPr>
                <w:rFonts w:ascii="宋体" w:hAnsi="宋体" w:cs="宋体"/>
                <w:kern w:val="0"/>
                <w:szCs w:val="21"/>
              </w:rPr>
            </w:pPr>
          </w:p>
        </w:tc>
        <w:tc>
          <w:tcPr>
            <w:tcW w:w="6377" w:type="dxa"/>
            <w:noWrap w:val="0"/>
            <w:vAlign w:val="center"/>
          </w:tcPr>
          <w:p>
            <w:pPr>
              <w:widowControl/>
              <w:numPr>
                <w:ilvl w:val="0"/>
                <w:numId w:val="157"/>
              </w:numPr>
              <w:jc w:val="left"/>
              <w:rPr>
                <w:rFonts w:ascii="宋体" w:hAnsi="宋体" w:cs="宋体"/>
                <w:kern w:val="0"/>
                <w:szCs w:val="21"/>
              </w:rPr>
            </w:pPr>
            <w:r>
              <w:rPr>
                <w:rFonts w:hint="eastAsia" w:ascii="宋体" w:hAnsi="宋体" w:cs="宋体"/>
                <w:kern w:val="0"/>
                <w:szCs w:val="21"/>
              </w:rPr>
              <w:t>不与病人及病人家属发生争执；</w:t>
            </w:r>
          </w:p>
        </w:tc>
        <w:tc>
          <w:tcPr>
            <w:tcW w:w="1417"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Merge w:val="continue"/>
            <w:noWrap w:val="0"/>
            <w:vAlign w:val="center"/>
          </w:tcPr>
          <w:p>
            <w:pPr>
              <w:widowControl/>
              <w:jc w:val="left"/>
              <w:rPr>
                <w:rFonts w:ascii="宋体" w:hAnsi="宋体" w:cs="宋体"/>
                <w:kern w:val="0"/>
                <w:szCs w:val="21"/>
              </w:rPr>
            </w:pPr>
          </w:p>
        </w:tc>
        <w:tc>
          <w:tcPr>
            <w:tcW w:w="6377" w:type="dxa"/>
            <w:noWrap w:val="0"/>
            <w:vAlign w:val="center"/>
          </w:tcPr>
          <w:p>
            <w:pPr>
              <w:widowControl/>
              <w:numPr>
                <w:ilvl w:val="0"/>
                <w:numId w:val="157"/>
              </w:numPr>
              <w:jc w:val="left"/>
              <w:rPr>
                <w:rFonts w:ascii="宋体" w:hAnsi="宋体" w:cs="宋体"/>
                <w:kern w:val="0"/>
                <w:szCs w:val="21"/>
              </w:rPr>
            </w:pPr>
            <w:r>
              <w:rPr>
                <w:rFonts w:hint="eastAsia" w:ascii="宋体" w:hAnsi="宋体" w:cs="宋体"/>
                <w:kern w:val="0"/>
                <w:szCs w:val="21"/>
              </w:rPr>
              <w:t>同事之间互相尊重不发生口角争执；</w:t>
            </w:r>
          </w:p>
        </w:tc>
        <w:tc>
          <w:tcPr>
            <w:tcW w:w="1417"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Merge w:val="continue"/>
            <w:noWrap w:val="0"/>
            <w:vAlign w:val="center"/>
          </w:tcPr>
          <w:p>
            <w:pPr>
              <w:widowControl/>
              <w:jc w:val="left"/>
              <w:rPr>
                <w:rFonts w:ascii="宋体" w:hAnsi="宋体" w:cs="宋体"/>
                <w:kern w:val="0"/>
                <w:szCs w:val="21"/>
              </w:rPr>
            </w:pPr>
          </w:p>
        </w:tc>
        <w:tc>
          <w:tcPr>
            <w:tcW w:w="6377" w:type="dxa"/>
            <w:noWrap w:val="0"/>
            <w:vAlign w:val="center"/>
          </w:tcPr>
          <w:p>
            <w:pPr>
              <w:widowControl/>
              <w:numPr>
                <w:ilvl w:val="0"/>
                <w:numId w:val="157"/>
              </w:numPr>
              <w:jc w:val="left"/>
              <w:rPr>
                <w:rFonts w:ascii="宋体" w:hAnsi="宋体" w:cs="宋体"/>
                <w:kern w:val="0"/>
                <w:szCs w:val="21"/>
              </w:rPr>
            </w:pPr>
            <w:r>
              <w:rPr>
                <w:rFonts w:hint="eastAsia" w:ascii="宋体" w:hAnsi="宋体" w:cs="宋体"/>
                <w:kern w:val="0"/>
                <w:szCs w:val="21"/>
              </w:rPr>
              <w:t>听从管理部门的工作安排；</w:t>
            </w:r>
          </w:p>
        </w:tc>
        <w:tc>
          <w:tcPr>
            <w:tcW w:w="1417"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Merge w:val="continue"/>
            <w:noWrap w:val="0"/>
            <w:vAlign w:val="center"/>
          </w:tcPr>
          <w:p>
            <w:pPr>
              <w:widowControl/>
              <w:jc w:val="left"/>
              <w:rPr>
                <w:rFonts w:ascii="宋体" w:hAnsi="宋体" w:cs="宋体"/>
                <w:kern w:val="0"/>
                <w:szCs w:val="21"/>
              </w:rPr>
            </w:pPr>
          </w:p>
        </w:tc>
        <w:tc>
          <w:tcPr>
            <w:tcW w:w="6377" w:type="dxa"/>
            <w:noWrap w:val="0"/>
            <w:vAlign w:val="center"/>
          </w:tcPr>
          <w:p>
            <w:pPr>
              <w:widowControl/>
              <w:numPr>
                <w:ilvl w:val="0"/>
                <w:numId w:val="157"/>
              </w:numPr>
              <w:jc w:val="left"/>
              <w:rPr>
                <w:rFonts w:ascii="宋体" w:hAnsi="宋体" w:cs="宋体"/>
                <w:kern w:val="0"/>
                <w:szCs w:val="21"/>
              </w:rPr>
            </w:pPr>
            <w:r>
              <w:rPr>
                <w:rFonts w:hint="eastAsia" w:ascii="宋体" w:hAnsi="宋体" w:cs="宋体"/>
                <w:kern w:val="0"/>
                <w:szCs w:val="21"/>
              </w:rPr>
              <w:t>服从所在区域的护士长及科主任管理</w:t>
            </w:r>
            <w:r>
              <w:rPr>
                <w:rFonts w:ascii="宋体" w:hAnsi="宋体" w:cs="宋体"/>
                <w:kern w:val="0"/>
                <w:szCs w:val="21"/>
              </w:rPr>
              <w:t>；</w:t>
            </w:r>
          </w:p>
        </w:tc>
        <w:tc>
          <w:tcPr>
            <w:tcW w:w="1417"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Merge w:val="continue"/>
            <w:noWrap w:val="0"/>
            <w:vAlign w:val="center"/>
          </w:tcPr>
          <w:p>
            <w:pPr>
              <w:widowControl/>
              <w:jc w:val="left"/>
              <w:rPr>
                <w:rFonts w:ascii="宋体" w:hAnsi="宋体" w:cs="宋体"/>
                <w:kern w:val="0"/>
                <w:szCs w:val="21"/>
              </w:rPr>
            </w:pPr>
          </w:p>
        </w:tc>
        <w:tc>
          <w:tcPr>
            <w:tcW w:w="6377" w:type="dxa"/>
            <w:noWrap w:val="0"/>
            <w:vAlign w:val="center"/>
          </w:tcPr>
          <w:p>
            <w:pPr>
              <w:widowControl/>
              <w:numPr>
                <w:ilvl w:val="0"/>
                <w:numId w:val="157"/>
              </w:numPr>
              <w:jc w:val="left"/>
              <w:rPr>
                <w:rFonts w:ascii="宋体" w:hAnsi="宋体" w:cs="宋体"/>
                <w:kern w:val="0"/>
                <w:szCs w:val="21"/>
              </w:rPr>
            </w:pPr>
            <w:r>
              <w:rPr>
                <w:rFonts w:ascii="宋体" w:hAnsi="宋体"/>
                <w:szCs w:val="21"/>
              </w:rPr>
              <w:t>有不良作为被</w:t>
            </w:r>
            <w:r>
              <w:rPr>
                <w:rFonts w:hint="eastAsia" w:ascii="宋体" w:hAnsi="宋体"/>
                <w:szCs w:val="21"/>
              </w:rPr>
              <w:t>病人及家属</w:t>
            </w:r>
            <w:r>
              <w:rPr>
                <w:rFonts w:ascii="宋体" w:hAnsi="宋体"/>
                <w:szCs w:val="21"/>
              </w:rPr>
              <w:t>或科室投诉属实的</w:t>
            </w:r>
            <w:r>
              <w:rPr>
                <w:rFonts w:hint="eastAsia" w:ascii="宋体" w:hAnsi="宋体"/>
                <w:szCs w:val="21"/>
              </w:rPr>
              <w:t>，</w:t>
            </w:r>
            <w:r>
              <w:rPr>
                <w:rFonts w:ascii="宋体" w:hAnsi="宋体"/>
                <w:szCs w:val="21"/>
              </w:rPr>
              <w:t>给</w:t>
            </w:r>
            <w:r>
              <w:rPr>
                <w:rFonts w:hint="eastAsia" w:ascii="宋体" w:hAnsi="宋体"/>
                <w:szCs w:val="21"/>
              </w:rPr>
              <w:t>医院</w:t>
            </w:r>
            <w:r>
              <w:rPr>
                <w:rFonts w:ascii="宋体" w:hAnsi="宋体"/>
                <w:szCs w:val="21"/>
              </w:rPr>
              <w:t>造成较大影响的，扣</w:t>
            </w:r>
            <w:r>
              <w:rPr>
                <w:rFonts w:hint="eastAsia" w:ascii="宋体" w:hAnsi="宋体"/>
                <w:szCs w:val="21"/>
              </w:rPr>
              <w:t>22</w:t>
            </w:r>
            <w:r>
              <w:rPr>
                <w:rFonts w:ascii="宋体" w:hAnsi="宋体"/>
                <w:szCs w:val="21"/>
              </w:rPr>
              <w:t>分</w:t>
            </w:r>
            <w:r>
              <w:rPr>
                <w:rFonts w:hint="eastAsia" w:ascii="宋体" w:hAnsi="宋体"/>
                <w:szCs w:val="21"/>
              </w:rPr>
              <w:t>。</w:t>
            </w:r>
          </w:p>
        </w:tc>
        <w:tc>
          <w:tcPr>
            <w:tcW w:w="1417"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有无私自变卖医院物资</w:t>
            </w:r>
          </w:p>
        </w:tc>
        <w:tc>
          <w:tcPr>
            <w:tcW w:w="6377" w:type="dxa"/>
            <w:noWrap w:val="0"/>
            <w:vAlign w:val="center"/>
          </w:tcPr>
          <w:p>
            <w:pPr>
              <w:widowControl/>
              <w:numPr>
                <w:ilvl w:val="0"/>
                <w:numId w:val="158"/>
              </w:numPr>
              <w:jc w:val="left"/>
              <w:rPr>
                <w:rFonts w:ascii="宋体" w:hAnsi="宋体" w:cs="宋体"/>
                <w:kern w:val="0"/>
                <w:szCs w:val="21"/>
              </w:rPr>
            </w:pPr>
            <w:r>
              <w:rPr>
                <w:rFonts w:hint="eastAsia" w:ascii="宋体" w:hAnsi="宋体" w:cs="宋体"/>
                <w:kern w:val="0"/>
                <w:szCs w:val="21"/>
              </w:rPr>
              <w:t>医疗垃圾等；</w:t>
            </w:r>
          </w:p>
        </w:tc>
        <w:tc>
          <w:tcPr>
            <w:tcW w:w="1417"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4" w:type="dxa"/>
            <w:vMerge w:val="continue"/>
            <w:noWrap w:val="0"/>
            <w:vAlign w:val="center"/>
          </w:tcPr>
          <w:p>
            <w:pPr>
              <w:widowControl/>
              <w:jc w:val="left"/>
              <w:rPr>
                <w:rFonts w:ascii="宋体" w:hAnsi="宋体" w:cs="宋体"/>
                <w:kern w:val="0"/>
                <w:szCs w:val="21"/>
              </w:rPr>
            </w:pPr>
          </w:p>
        </w:tc>
        <w:tc>
          <w:tcPr>
            <w:tcW w:w="6377" w:type="dxa"/>
            <w:noWrap w:val="0"/>
            <w:vAlign w:val="center"/>
          </w:tcPr>
          <w:p>
            <w:pPr>
              <w:widowControl/>
              <w:numPr>
                <w:ilvl w:val="0"/>
                <w:numId w:val="158"/>
              </w:numPr>
              <w:jc w:val="left"/>
              <w:rPr>
                <w:rFonts w:ascii="宋体" w:hAnsi="宋体" w:cs="宋体"/>
                <w:kern w:val="0"/>
                <w:szCs w:val="21"/>
              </w:rPr>
            </w:pPr>
            <w:r>
              <w:rPr>
                <w:rFonts w:hint="eastAsia" w:ascii="宋体" w:hAnsi="宋体" w:cs="宋体"/>
                <w:kern w:val="0"/>
                <w:szCs w:val="21"/>
              </w:rPr>
              <w:t>其他物资、材料、物品等。</w:t>
            </w:r>
          </w:p>
        </w:tc>
        <w:tc>
          <w:tcPr>
            <w:tcW w:w="1417" w:type="dxa"/>
            <w:vMerge w:val="continue"/>
            <w:noWrap w:val="0"/>
            <w:vAlign w:val="center"/>
          </w:tcPr>
          <w:p>
            <w:pPr>
              <w:widowControl/>
              <w:jc w:val="left"/>
              <w:rPr>
                <w:rFonts w:ascii="宋体" w:hAnsi="宋体" w:cs="宋体"/>
                <w:kern w:val="0"/>
                <w:szCs w:val="21"/>
              </w:rPr>
            </w:pPr>
          </w:p>
        </w:tc>
      </w:tr>
    </w:tbl>
    <w:p>
      <w:pPr>
        <w:spacing w:before="360" w:beforeLines="150" w:line="360" w:lineRule="auto"/>
        <w:ind w:firstLine="188" w:firstLineChars="67"/>
        <w:jc w:val="center"/>
        <w:rPr>
          <w:rFonts w:ascii="宋体" w:hAnsi="宋体"/>
          <w:b/>
          <w:sz w:val="28"/>
        </w:rPr>
      </w:pPr>
      <w:r>
        <w:rPr>
          <w:rFonts w:hint="eastAsia" w:ascii="宋体" w:hAnsi="宋体"/>
          <w:b/>
          <w:sz w:val="28"/>
        </w:rPr>
        <w:t>（二）手术中心勤杂工</w:t>
      </w:r>
    </w:p>
    <w:p>
      <w:pPr>
        <w:spacing w:line="360" w:lineRule="auto"/>
        <w:ind w:firstLine="161" w:firstLineChars="67"/>
        <w:rPr>
          <w:rFonts w:ascii="宋体" w:hAnsi="宋体"/>
          <w:b/>
          <w:sz w:val="24"/>
        </w:rPr>
      </w:pPr>
      <w:r>
        <w:rPr>
          <w:rFonts w:hint="eastAsia" w:ascii="宋体" w:hAnsi="宋体"/>
          <w:b/>
          <w:sz w:val="24"/>
        </w:rPr>
        <w:t>1、工作内容</w:t>
      </w:r>
    </w:p>
    <w:p>
      <w:pPr>
        <w:widowControl/>
        <w:numPr>
          <w:ilvl w:val="0"/>
          <w:numId w:val="159"/>
        </w:numPr>
        <w:tabs>
          <w:tab w:val="left" w:pos="993"/>
          <w:tab w:val="left" w:pos="1134"/>
        </w:tabs>
        <w:spacing w:line="360" w:lineRule="auto"/>
        <w:ind w:left="1134" w:hanging="714"/>
        <w:jc w:val="left"/>
        <w:rPr>
          <w:rFonts w:ascii="宋体" w:hAnsi="宋体"/>
          <w:bCs/>
          <w:sz w:val="24"/>
        </w:rPr>
      </w:pPr>
      <w:r>
        <w:rPr>
          <w:rFonts w:hint="eastAsia" w:ascii="宋体" w:hAnsi="宋体"/>
          <w:bCs/>
          <w:sz w:val="24"/>
        </w:rPr>
        <w:t>用轮椅或平车接、送手术病人。术前从手术室门口接到手术间，术后从手术间送回病房（分手术室内、外不同勤杂工）。</w:t>
      </w:r>
    </w:p>
    <w:p>
      <w:pPr>
        <w:widowControl/>
        <w:numPr>
          <w:ilvl w:val="0"/>
          <w:numId w:val="159"/>
        </w:numPr>
        <w:tabs>
          <w:tab w:val="left" w:pos="993"/>
          <w:tab w:val="left" w:pos="1134"/>
        </w:tabs>
        <w:spacing w:line="360" w:lineRule="auto"/>
        <w:ind w:left="1134" w:hanging="714"/>
        <w:jc w:val="left"/>
        <w:rPr>
          <w:rFonts w:ascii="宋体" w:hAnsi="宋体"/>
          <w:bCs/>
          <w:sz w:val="24"/>
        </w:rPr>
      </w:pPr>
      <w:r>
        <w:rPr>
          <w:rFonts w:hint="eastAsia" w:ascii="宋体" w:hAnsi="宋体"/>
          <w:bCs/>
          <w:sz w:val="24"/>
        </w:rPr>
        <w:t>环境清洁卫生工作，包括每天早晚例行的物表及地面卫生清洁（手术间及各辅助房间与区域）；手术接台中的整理、清洁及手术结束后的终末清洁打扫、每周一次手术间及各区域的大清洁（包括天花板、墙壁及设备脚轮等）。</w:t>
      </w:r>
    </w:p>
    <w:p>
      <w:pPr>
        <w:widowControl/>
        <w:numPr>
          <w:ilvl w:val="0"/>
          <w:numId w:val="159"/>
        </w:numPr>
        <w:tabs>
          <w:tab w:val="left" w:pos="993"/>
          <w:tab w:val="left" w:pos="1134"/>
        </w:tabs>
        <w:spacing w:line="360" w:lineRule="auto"/>
        <w:jc w:val="left"/>
        <w:rPr>
          <w:rFonts w:ascii="宋体" w:hAnsi="宋体"/>
          <w:bCs/>
          <w:sz w:val="24"/>
        </w:rPr>
      </w:pPr>
      <w:r>
        <w:rPr>
          <w:rFonts w:hint="eastAsia" w:ascii="宋体" w:hAnsi="宋体"/>
          <w:bCs/>
          <w:sz w:val="24"/>
        </w:rPr>
        <w:t>清洗医护的工作鞋（拖鞋）。</w:t>
      </w:r>
    </w:p>
    <w:p>
      <w:pPr>
        <w:widowControl/>
        <w:numPr>
          <w:ilvl w:val="0"/>
          <w:numId w:val="159"/>
        </w:numPr>
        <w:tabs>
          <w:tab w:val="left" w:pos="993"/>
          <w:tab w:val="left" w:pos="1134"/>
        </w:tabs>
        <w:spacing w:line="360" w:lineRule="auto"/>
        <w:ind w:left="1134" w:hanging="714"/>
        <w:jc w:val="left"/>
        <w:rPr>
          <w:rFonts w:ascii="宋体" w:hAnsi="宋体"/>
          <w:bCs/>
          <w:sz w:val="24"/>
        </w:rPr>
      </w:pPr>
      <w:r>
        <w:rPr>
          <w:rFonts w:hint="eastAsia" w:ascii="宋体" w:hAnsi="宋体"/>
          <w:bCs/>
          <w:sz w:val="24"/>
        </w:rPr>
        <w:t>布类管理，包括工作服、手术衣及手术铺巾。下送用过的布类到洗衣房；接收并整理清洁的衣物和手术床单，保证备用。</w:t>
      </w:r>
    </w:p>
    <w:p>
      <w:pPr>
        <w:widowControl/>
        <w:numPr>
          <w:ilvl w:val="0"/>
          <w:numId w:val="159"/>
        </w:numPr>
        <w:tabs>
          <w:tab w:val="left" w:pos="993"/>
          <w:tab w:val="left" w:pos="1134"/>
        </w:tabs>
        <w:spacing w:line="360" w:lineRule="auto"/>
        <w:ind w:left="1134" w:hanging="714"/>
        <w:jc w:val="left"/>
        <w:rPr>
          <w:rFonts w:ascii="宋体" w:hAnsi="宋体"/>
          <w:bCs/>
          <w:sz w:val="24"/>
        </w:rPr>
      </w:pPr>
      <w:r>
        <w:rPr>
          <w:rFonts w:hint="eastAsia" w:ascii="宋体" w:hAnsi="宋体"/>
          <w:bCs/>
          <w:sz w:val="24"/>
        </w:rPr>
        <w:t>门口管理。员工通道：管理人员进出登记，发放工作服、口罩帽子及更衣柜钥匙；病人通道：入室与离室病人管理，核对交接核查表、病人身份与相应的手术间等。</w:t>
      </w:r>
    </w:p>
    <w:p>
      <w:pPr>
        <w:widowControl/>
        <w:numPr>
          <w:ilvl w:val="0"/>
          <w:numId w:val="159"/>
        </w:numPr>
        <w:tabs>
          <w:tab w:val="left" w:pos="993"/>
          <w:tab w:val="left" w:pos="1134"/>
        </w:tabs>
        <w:spacing w:line="360" w:lineRule="auto"/>
        <w:jc w:val="left"/>
        <w:rPr>
          <w:rFonts w:ascii="宋体" w:hAnsi="宋体"/>
          <w:bCs/>
          <w:sz w:val="24"/>
        </w:rPr>
      </w:pPr>
      <w:r>
        <w:rPr>
          <w:rFonts w:hint="eastAsia" w:ascii="宋体" w:hAnsi="宋体"/>
          <w:bCs/>
          <w:sz w:val="24"/>
        </w:rPr>
        <w:t>协助领取药品、耗材。送手术标本等，移动、搬运仪器设备、气瓶等。</w:t>
      </w:r>
    </w:p>
    <w:p>
      <w:pPr>
        <w:widowControl/>
        <w:numPr>
          <w:ilvl w:val="0"/>
          <w:numId w:val="159"/>
        </w:numPr>
        <w:tabs>
          <w:tab w:val="left" w:pos="993"/>
          <w:tab w:val="left" w:pos="1134"/>
        </w:tabs>
        <w:spacing w:line="360" w:lineRule="auto"/>
        <w:jc w:val="left"/>
        <w:rPr>
          <w:rFonts w:ascii="宋体" w:hAnsi="宋体"/>
          <w:bCs/>
          <w:sz w:val="24"/>
        </w:rPr>
      </w:pPr>
      <w:r>
        <w:rPr>
          <w:rFonts w:hint="eastAsia" w:ascii="宋体" w:hAnsi="宋体"/>
          <w:bCs/>
          <w:sz w:val="24"/>
        </w:rPr>
        <w:t>手术中心餐厅管理，清点员工订餐的盒饭，餐厅清洁等。</w:t>
      </w:r>
    </w:p>
    <w:p>
      <w:pPr>
        <w:widowControl/>
        <w:numPr>
          <w:ilvl w:val="0"/>
          <w:numId w:val="159"/>
        </w:numPr>
        <w:tabs>
          <w:tab w:val="left" w:pos="993"/>
          <w:tab w:val="left" w:pos="1134"/>
        </w:tabs>
        <w:spacing w:line="360" w:lineRule="auto"/>
        <w:jc w:val="left"/>
        <w:rPr>
          <w:rFonts w:ascii="宋体" w:hAnsi="宋体"/>
          <w:bCs/>
          <w:sz w:val="24"/>
        </w:rPr>
      </w:pPr>
      <w:r>
        <w:rPr>
          <w:rFonts w:hint="eastAsia" w:ascii="宋体" w:hAnsi="宋体"/>
          <w:bCs/>
          <w:sz w:val="24"/>
        </w:rPr>
        <w:t xml:space="preserve">值班室清洁，更换床单被套等。 </w:t>
      </w:r>
    </w:p>
    <w:p>
      <w:pPr>
        <w:widowControl/>
        <w:numPr>
          <w:ilvl w:val="0"/>
          <w:numId w:val="159"/>
        </w:numPr>
        <w:tabs>
          <w:tab w:val="left" w:pos="993"/>
          <w:tab w:val="left" w:pos="1134"/>
        </w:tabs>
        <w:spacing w:line="360" w:lineRule="auto"/>
        <w:ind w:left="1134" w:hanging="714"/>
        <w:jc w:val="left"/>
        <w:rPr>
          <w:rFonts w:ascii="宋体" w:hAnsi="宋体"/>
          <w:bCs/>
          <w:sz w:val="24"/>
        </w:rPr>
      </w:pPr>
      <w:r>
        <w:rPr>
          <w:rFonts w:hint="eastAsia" w:ascii="宋体" w:hAnsi="宋体"/>
          <w:bCs/>
          <w:sz w:val="24"/>
        </w:rPr>
        <w:t>其它未包括但现在勤杂工在做的工作内容或今后科室派生出来不属于医生、护士执业要求的后勤服务。</w:t>
      </w:r>
    </w:p>
    <w:p>
      <w:pPr>
        <w:snapToGrid w:val="0"/>
        <w:spacing w:line="360" w:lineRule="auto"/>
        <w:ind w:firstLine="140" w:firstLineChars="58"/>
        <w:rPr>
          <w:b/>
          <w:sz w:val="24"/>
        </w:rPr>
      </w:pPr>
      <w:r>
        <w:rPr>
          <w:rFonts w:hint="eastAsia" w:ascii="宋体" w:hAnsi="宋体"/>
          <w:b/>
          <w:sz w:val="24"/>
        </w:rPr>
        <w:t>2、工作要求</w:t>
      </w:r>
    </w:p>
    <w:p>
      <w:pPr>
        <w:widowControl/>
        <w:numPr>
          <w:ilvl w:val="0"/>
          <w:numId w:val="160"/>
        </w:numPr>
        <w:tabs>
          <w:tab w:val="left" w:pos="567"/>
          <w:tab w:val="left" w:pos="851"/>
          <w:tab w:val="left" w:pos="993"/>
          <w:tab w:val="left" w:pos="1134"/>
          <w:tab w:val="left" w:pos="1276"/>
        </w:tabs>
        <w:spacing w:line="360" w:lineRule="auto"/>
        <w:ind w:hanging="131"/>
        <w:jc w:val="left"/>
        <w:rPr>
          <w:rFonts w:ascii="宋体" w:hAnsi="宋体"/>
          <w:bCs/>
          <w:sz w:val="24"/>
        </w:rPr>
      </w:pPr>
      <w:r>
        <w:rPr>
          <w:rFonts w:hint="eastAsia" w:ascii="宋体" w:hAnsi="宋体"/>
          <w:bCs/>
          <w:sz w:val="24"/>
        </w:rPr>
        <w:t>学历至少达到初中及以上水平</w:t>
      </w:r>
      <w:r>
        <w:rPr>
          <w:rFonts w:ascii="宋体" w:hAnsi="宋体"/>
          <w:bCs/>
          <w:sz w:val="24"/>
        </w:rPr>
        <w:t>；</w:t>
      </w:r>
    </w:p>
    <w:p>
      <w:pPr>
        <w:widowControl/>
        <w:numPr>
          <w:ilvl w:val="0"/>
          <w:numId w:val="160"/>
        </w:numPr>
        <w:tabs>
          <w:tab w:val="left" w:pos="567"/>
          <w:tab w:val="left" w:pos="851"/>
          <w:tab w:val="left" w:pos="993"/>
          <w:tab w:val="left" w:pos="1134"/>
        </w:tabs>
        <w:spacing w:line="360" w:lineRule="auto"/>
        <w:ind w:hanging="131"/>
        <w:jc w:val="left"/>
        <w:rPr>
          <w:rFonts w:ascii="宋体" w:hAnsi="宋体"/>
          <w:bCs/>
          <w:sz w:val="24"/>
        </w:rPr>
      </w:pPr>
      <w:r>
        <w:rPr>
          <w:rFonts w:ascii="宋体" w:hAnsi="宋体"/>
          <w:bCs/>
          <w:sz w:val="24"/>
        </w:rPr>
        <w:t>操作熟练，符合消毒无菌技术及防止院内交叉感染的感管要求；</w:t>
      </w:r>
    </w:p>
    <w:p>
      <w:pPr>
        <w:widowControl/>
        <w:numPr>
          <w:ilvl w:val="0"/>
          <w:numId w:val="160"/>
        </w:numPr>
        <w:tabs>
          <w:tab w:val="left" w:pos="567"/>
          <w:tab w:val="left" w:pos="851"/>
          <w:tab w:val="left" w:pos="993"/>
          <w:tab w:val="left" w:pos="1134"/>
        </w:tabs>
        <w:spacing w:line="360" w:lineRule="auto"/>
        <w:ind w:hanging="131"/>
        <w:jc w:val="left"/>
        <w:rPr>
          <w:rFonts w:ascii="宋体" w:hAnsi="宋体"/>
          <w:bCs/>
          <w:sz w:val="24"/>
        </w:rPr>
      </w:pPr>
      <w:r>
        <w:rPr>
          <w:rFonts w:ascii="宋体" w:hAnsi="宋体"/>
          <w:bCs/>
          <w:sz w:val="24"/>
        </w:rPr>
        <w:t xml:space="preserve">爱护科室财产，听从护士长的工作安排及调派； </w:t>
      </w:r>
    </w:p>
    <w:p>
      <w:pPr>
        <w:widowControl/>
        <w:numPr>
          <w:ilvl w:val="0"/>
          <w:numId w:val="160"/>
        </w:numPr>
        <w:tabs>
          <w:tab w:val="left" w:pos="567"/>
          <w:tab w:val="left" w:pos="851"/>
          <w:tab w:val="left" w:pos="993"/>
          <w:tab w:val="left" w:pos="1134"/>
        </w:tabs>
        <w:spacing w:line="360" w:lineRule="auto"/>
        <w:ind w:hanging="131"/>
        <w:jc w:val="left"/>
        <w:rPr>
          <w:rFonts w:ascii="宋体" w:hAnsi="宋体"/>
          <w:bCs/>
          <w:sz w:val="24"/>
        </w:rPr>
      </w:pPr>
      <w:r>
        <w:rPr>
          <w:rFonts w:ascii="宋体" w:hAnsi="宋体"/>
          <w:bCs/>
          <w:sz w:val="24"/>
        </w:rPr>
        <w:t>人员要保证稳定，</w:t>
      </w:r>
      <w:r>
        <w:rPr>
          <w:rFonts w:hint="eastAsia" w:ascii="宋体" w:hAnsi="宋体"/>
          <w:bCs/>
          <w:sz w:val="24"/>
        </w:rPr>
        <w:t>不得随意调换；</w:t>
      </w:r>
      <w:r>
        <w:rPr>
          <w:rFonts w:ascii="宋体" w:hAnsi="宋体"/>
          <w:bCs/>
          <w:sz w:val="24"/>
        </w:rPr>
        <w:t>如</w:t>
      </w:r>
      <w:r>
        <w:rPr>
          <w:rFonts w:hint="eastAsia" w:ascii="宋体" w:hAnsi="宋体"/>
          <w:bCs/>
          <w:sz w:val="24"/>
        </w:rPr>
        <w:t>确需</w:t>
      </w:r>
      <w:r>
        <w:rPr>
          <w:rFonts w:ascii="宋体" w:hAnsi="宋体"/>
          <w:bCs/>
          <w:sz w:val="24"/>
        </w:rPr>
        <w:t>调换，必须</w:t>
      </w:r>
      <w:r>
        <w:rPr>
          <w:rFonts w:hint="eastAsia" w:ascii="宋体" w:hAnsi="宋体"/>
          <w:bCs/>
          <w:sz w:val="24"/>
        </w:rPr>
        <w:t xml:space="preserve">保证新调换的员  </w:t>
      </w:r>
    </w:p>
    <w:p>
      <w:pPr>
        <w:widowControl/>
        <w:tabs>
          <w:tab w:val="left" w:pos="567"/>
          <w:tab w:val="left" w:pos="851"/>
          <w:tab w:val="left" w:pos="1134"/>
        </w:tabs>
        <w:spacing w:line="360" w:lineRule="auto"/>
        <w:ind w:left="840" w:firstLine="240" w:firstLineChars="100"/>
        <w:jc w:val="left"/>
        <w:rPr>
          <w:rFonts w:ascii="宋体" w:hAnsi="宋体"/>
          <w:bCs/>
          <w:sz w:val="24"/>
        </w:rPr>
      </w:pPr>
      <w:r>
        <w:rPr>
          <w:rFonts w:hint="eastAsia" w:ascii="宋体" w:hAnsi="宋体"/>
          <w:bCs/>
          <w:sz w:val="24"/>
        </w:rPr>
        <w:t>工操作</w:t>
      </w:r>
      <w:r>
        <w:rPr>
          <w:rFonts w:ascii="宋体" w:hAnsi="宋体"/>
          <w:bCs/>
          <w:sz w:val="24"/>
        </w:rPr>
        <w:t>熟练，并经所在科室试用</w:t>
      </w:r>
      <w:r>
        <w:rPr>
          <w:rFonts w:hint="eastAsia" w:ascii="宋体" w:hAnsi="宋体"/>
          <w:bCs/>
          <w:sz w:val="24"/>
        </w:rPr>
        <w:t>且</w:t>
      </w:r>
      <w:r>
        <w:rPr>
          <w:rFonts w:ascii="宋体" w:hAnsi="宋体"/>
          <w:bCs/>
          <w:sz w:val="24"/>
        </w:rPr>
        <w:t>得到科室认可后才可进场；</w:t>
      </w:r>
    </w:p>
    <w:p>
      <w:pPr>
        <w:widowControl/>
        <w:numPr>
          <w:ilvl w:val="0"/>
          <w:numId w:val="160"/>
        </w:numPr>
        <w:tabs>
          <w:tab w:val="left" w:pos="567"/>
          <w:tab w:val="left" w:pos="851"/>
          <w:tab w:val="left" w:pos="993"/>
          <w:tab w:val="left" w:pos="1134"/>
        </w:tabs>
        <w:spacing w:line="360" w:lineRule="auto"/>
        <w:ind w:hanging="131"/>
        <w:jc w:val="left"/>
        <w:rPr>
          <w:rFonts w:ascii="宋体" w:hAnsi="宋体"/>
          <w:bCs/>
          <w:sz w:val="24"/>
        </w:rPr>
      </w:pPr>
      <w:r>
        <w:rPr>
          <w:rFonts w:ascii="宋体" w:hAnsi="宋体"/>
          <w:bCs/>
          <w:sz w:val="24"/>
        </w:rPr>
        <w:t>具有一定职业道德；</w:t>
      </w:r>
    </w:p>
    <w:p>
      <w:pPr>
        <w:widowControl/>
        <w:numPr>
          <w:ilvl w:val="0"/>
          <w:numId w:val="160"/>
        </w:numPr>
        <w:tabs>
          <w:tab w:val="left" w:pos="567"/>
          <w:tab w:val="left" w:pos="851"/>
          <w:tab w:val="left" w:pos="993"/>
          <w:tab w:val="left" w:pos="1134"/>
        </w:tabs>
        <w:spacing w:line="360" w:lineRule="auto"/>
        <w:ind w:hanging="131"/>
        <w:jc w:val="left"/>
        <w:rPr>
          <w:rFonts w:ascii="宋体" w:hAnsi="宋体"/>
          <w:bCs/>
          <w:sz w:val="24"/>
        </w:rPr>
      </w:pPr>
      <w:r>
        <w:rPr>
          <w:rFonts w:ascii="宋体" w:hAnsi="宋体"/>
          <w:bCs/>
          <w:sz w:val="24"/>
        </w:rPr>
        <w:t>尊重病人及保护病人的隐私；</w:t>
      </w:r>
    </w:p>
    <w:p>
      <w:pPr>
        <w:widowControl/>
        <w:numPr>
          <w:ilvl w:val="0"/>
          <w:numId w:val="160"/>
        </w:numPr>
        <w:tabs>
          <w:tab w:val="left" w:pos="567"/>
          <w:tab w:val="left" w:pos="851"/>
          <w:tab w:val="left" w:pos="993"/>
          <w:tab w:val="left" w:pos="1134"/>
        </w:tabs>
        <w:spacing w:line="360" w:lineRule="auto"/>
        <w:ind w:hanging="131"/>
        <w:jc w:val="left"/>
        <w:rPr>
          <w:rFonts w:ascii="宋体" w:hAnsi="宋体"/>
          <w:bCs/>
          <w:sz w:val="24"/>
        </w:rPr>
      </w:pPr>
      <w:r>
        <w:rPr>
          <w:rFonts w:ascii="宋体" w:hAnsi="宋体"/>
          <w:bCs/>
          <w:sz w:val="24"/>
        </w:rPr>
        <w:t>及时、到位地完成工作任务；</w:t>
      </w:r>
    </w:p>
    <w:p>
      <w:pPr>
        <w:widowControl/>
        <w:numPr>
          <w:ilvl w:val="0"/>
          <w:numId w:val="160"/>
        </w:numPr>
        <w:tabs>
          <w:tab w:val="left" w:pos="567"/>
          <w:tab w:val="left" w:pos="851"/>
          <w:tab w:val="left" w:pos="993"/>
          <w:tab w:val="left" w:pos="1134"/>
        </w:tabs>
        <w:spacing w:line="360" w:lineRule="auto"/>
        <w:ind w:hanging="131"/>
        <w:jc w:val="left"/>
        <w:rPr>
          <w:rFonts w:ascii="宋体" w:hAnsi="宋体"/>
          <w:bCs/>
          <w:sz w:val="24"/>
        </w:rPr>
      </w:pPr>
      <w:r>
        <w:rPr>
          <w:rFonts w:ascii="宋体" w:hAnsi="宋体"/>
          <w:bCs/>
          <w:sz w:val="24"/>
        </w:rPr>
        <w:t>认真保管医院的财物，包括被服等。</w:t>
      </w:r>
    </w:p>
    <w:p>
      <w:pPr>
        <w:spacing w:line="360" w:lineRule="auto"/>
        <w:ind w:firstLine="161" w:firstLineChars="67"/>
        <w:rPr>
          <w:rFonts w:ascii="宋体" w:hAnsi="宋体"/>
          <w:b/>
          <w:sz w:val="24"/>
        </w:rPr>
      </w:pPr>
      <w:r>
        <w:rPr>
          <w:rFonts w:hint="eastAsia" w:ascii="宋体" w:hAnsi="宋体"/>
          <w:b/>
          <w:sz w:val="24"/>
        </w:rPr>
        <w:t>3、手术中心勤杂工服务质量要求及考核标准</w:t>
      </w:r>
    </w:p>
    <w:tbl>
      <w:tblPr>
        <w:tblStyle w:val="70"/>
        <w:tblW w:w="0" w:type="auto"/>
        <w:tblInd w:w="-568" w:type="dxa"/>
        <w:tblLayout w:type="fixed"/>
        <w:tblCellMar>
          <w:top w:w="0" w:type="dxa"/>
          <w:left w:w="0" w:type="dxa"/>
          <w:bottom w:w="0" w:type="dxa"/>
          <w:right w:w="0" w:type="dxa"/>
        </w:tblCellMar>
      </w:tblPr>
      <w:tblGrid>
        <w:gridCol w:w="2251"/>
        <w:gridCol w:w="6554"/>
        <w:gridCol w:w="1391"/>
      </w:tblGrid>
      <w:tr>
        <w:tblPrEx>
          <w:tblCellMar>
            <w:top w:w="0" w:type="dxa"/>
            <w:left w:w="0" w:type="dxa"/>
            <w:bottom w:w="0" w:type="dxa"/>
            <w:right w:w="0" w:type="dxa"/>
          </w:tblCellMar>
        </w:tblPrEx>
        <w:trPr>
          <w:trHeight w:val="584" w:hRule="atLeast"/>
        </w:trPr>
        <w:tc>
          <w:tcPr>
            <w:tcW w:w="22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b/>
                <w:szCs w:val="21"/>
              </w:rPr>
            </w:pPr>
            <w:r>
              <w:rPr>
                <w:rFonts w:hint="eastAsia" w:ascii="宋体" w:hAnsi="宋体"/>
                <w:b/>
                <w:szCs w:val="21"/>
              </w:rPr>
              <w:t>考核指标</w:t>
            </w: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b/>
                <w:szCs w:val="21"/>
              </w:rPr>
            </w:pPr>
            <w:r>
              <w:rPr>
                <w:rFonts w:hint="eastAsia" w:ascii="宋体" w:hAnsi="宋体"/>
                <w:b/>
                <w:szCs w:val="21"/>
              </w:rPr>
              <w:t>考核内容</w:t>
            </w:r>
          </w:p>
        </w:tc>
        <w:tc>
          <w:tcPr>
            <w:tcW w:w="1391" w:type="dxa"/>
            <w:tcBorders>
              <w:top w:val="single" w:color="auto" w:sz="4" w:space="0"/>
              <w:bottom w:val="single" w:color="auto" w:sz="4" w:space="0"/>
              <w:right w:val="single" w:color="auto" w:sz="4" w:space="0"/>
            </w:tcBorders>
            <w:noWrap w:val="0"/>
            <w:vAlign w:val="center"/>
          </w:tcPr>
          <w:p>
            <w:pPr>
              <w:widowControl/>
              <w:jc w:val="center"/>
              <w:rPr>
                <w:rFonts w:ascii="宋体" w:hAnsi="宋体"/>
                <w:b/>
                <w:szCs w:val="21"/>
              </w:rPr>
            </w:pPr>
            <w:r>
              <w:rPr>
                <w:rFonts w:hint="eastAsia" w:ascii="宋体" w:hAnsi="宋体"/>
                <w:b/>
                <w:szCs w:val="21"/>
              </w:rPr>
              <w:t>分值</w:t>
            </w:r>
          </w:p>
        </w:tc>
      </w:tr>
      <w:tr>
        <w:tblPrEx>
          <w:tblCellMar>
            <w:top w:w="0" w:type="dxa"/>
            <w:left w:w="0" w:type="dxa"/>
            <w:bottom w:w="0" w:type="dxa"/>
            <w:right w:w="0" w:type="dxa"/>
          </w:tblCellMar>
        </w:tblPrEx>
        <w:trPr>
          <w:trHeight w:val="397" w:hRule="atLeast"/>
        </w:trPr>
        <w:tc>
          <w:tcPr>
            <w:tcW w:w="2251"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r>
              <w:rPr>
                <w:rFonts w:hint="eastAsia" w:ascii="宋体" w:hAnsi="宋体"/>
                <w:szCs w:val="21"/>
              </w:rPr>
              <w:t>项目负责人</w:t>
            </w:r>
          </w:p>
          <w:p>
            <w:pPr>
              <w:widowControl/>
              <w:jc w:val="center"/>
              <w:rPr>
                <w:rFonts w:ascii="宋体" w:hAnsi="宋体"/>
                <w:szCs w:val="21"/>
              </w:rPr>
            </w:pP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numPr>
                <w:ilvl w:val="0"/>
                <w:numId w:val="161"/>
              </w:numPr>
              <w:rPr>
                <w:rFonts w:ascii="宋体" w:hAnsi="宋体"/>
                <w:szCs w:val="21"/>
              </w:rPr>
            </w:pPr>
            <w:r>
              <w:rPr>
                <w:rFonts w:hint="eastAsia" w:ascii="宋体" w:hAnsi="宋体"/>
                <w:szCs w:val="21"/>
              </w:rPr>
              <w:t>熟练掌握各个岗位人员编排等问题，积极做好与区域负责人的沟通工作；</w:t>
            </w:r>
          </w:p>
        </w:tc>
        <w:tc>
          <w:tcPr>
            <w:tcW w:w="1391" w:type="dxa"/>
            <w:vMerge w:val="restart"/>
            <w:tcBorders>
              <w:top w:val="single" w:color="auto" w:sz="4" w:space="0"/>
              <w:right w:val="single" w:color="auto" w:sz="4" w:space="0"/>
            </w:tcBorders>
            <w:noWrap w:val="0"/>
            <w:vAlign w:val="center"/>
          </w:tcPr>
          <w:p>
            <w:pPr>
              <w:widowControl/>
              <w:jc w:val="center"/>
              <w:rPr>
                <w:rFonts w:ascii="宋体" w:hAnsi="宋体"/>
                <w:b/>
                <w:szCs w:val="21"/>
              </w:rPr>
            </w:pPr>
            <w:r>
              <w:rPr>
                <w:rFonts w:hint="eastAsia" w:ascii="宋体" w:hAnsi="宋体"/>
                <w:szCs w:val="21"/>
              </w:rPr>
              <w:t>0-10分</w:t>
            </w:r>
          </w:p>
        </w:tc>
      </w:tr>
      <w:tr>
        <w:tblPrEx>
          <w:tblCellMar>
            <w:top w:w="0" w:type="dxa"/>
            <w:left w:w="0" w:type="dxa"/>
            <w:bottom w:w="0" w:type="dxa"/>
            <w:right w:w="0" w:type="dxa"/>
          </w:tblCellMar>
        </w:tblPrEx>
        <w:trPr>
          <w:trHeight w:val="397" w:hRule="atLeast"/>
        </w:trPr>
        <w:tc>
          <w:tcPr>
            <w:tcW w:w="2251" w:type="dxa"/>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numPr>
                <w:ilvl w:val="0"/>
                <w:numId w:val="161"/>
              </w:numPr>
              <w:rPr>
                <w:rFonts w:ascii="宋体" w:hAnsi="宋体"/>
                <w:szCs w:val="21"/>
              </w:rPr>
            </w:pPr>
            <w:r>
              <w:rPr>
                <w:rFonts w:hint="eastAsia" w:ascii="宋体" w:hAnsi="宋体"/>
                <w:szCs w:val="21"/>
              </w:rPr>
              <w:t>及时落实科室提出的整改意见；</w:t>
            </w:r>
          </w:p>
        </w:tc>
        <w:tc>
          <w:tcPr>
            <w:tcW w:w="1391" w:type="dxa"/>
            <w:vMerge w:val="continue"/>
            <w:tcBorders>
              <w:right w:val="single" w:color="auto" w:sz="4" w:space="0"/>
            </w:tcBorders>
            <w:noWrap w:val="0"/>
            <w:vAlign w:val="center"/>
          </w:tcPr>
          <w:p>
            <w:pPr>
              <w:widowControl/>
              <w:jc w:val="center"/>
              <w:rPr>
                <w:rFonts w:ascii="宋体" w:hAnsi="宋体"/>
                <w:szCs w:val="21"/>
              </w:rPr>
            </w:pPr>
          </w:p>
        </w:tc>
      </w:tr>
      <w:tr>
        <w:tblPrEx>
          <w:tblCellMar>
            <w:top w:w="0" w:type="dxa"/>
            <w:left w:w="0" w:type="dxa"/>
            <w:bottom w:w="0" w:type="dxa"/>
            <w:right w:w="0" w:type="dxa"/>
          </w:tblCellMar>
        </w:tblPrEx>
        <w:trPr>
          <w:trHeight w:val="397" w:hRule="atLeast"/>
        </w:trPr>
        <w:tc>
          <w:tcPr>
            <w:tcW w:w="2251" w:type="dxa"/>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numPr>
                <w:ilvl w:val="0"/>
                <w:numId w:val="161"/>
              </w:numPr>
              <w:rPr>
                <w:rFonts w:ascii="宋体" w:hAnsi="宋体"/>
                <w:szCs w:val="21"/>
              </w:rPr>
            </w:pPr>
            <w:r>
              <w:rPr>
                <w:rFonts w:hint="eastAsia" w:ascii="宋体" w:hAnsi="宋体"/>
                <w:szCs w:val="21"/>
              </w:rPr>
              <w:t>积极执行科室临时交办的工作任务；</w:t>
            </w:r>
          </w:p>
        </w:tc>
        <w:tc>
          <w:tcPr>
            <w:tcW w:w="1391" w:type="dxa"/>
            <w:vMerge w:val="continue"/>
            <w:tcBorders>
              <w:right w:val="single" w:color="auto" w:sz="4" w:space="0"/>
            </w:tcBorders>
            <w:noWrap w:val="0"/>
            <w:vAlign w:val="center"/>
          </w:tcPr>
          <w:p>
            <w:pPr>
              <w:widowControl/>
              <w:jc w:val="center"/>
              <w:rPr>
                <w:rFonts w:ascii="宋体" w:hAnsi="宋体"/>
                <w:szCs w:val="21"/>
              </w:rPr>
            </w:pPr>
          </w:p>
        </w:tc>
      </w:tr>
      <w:tr>
        <w:tblPrEx>
          <w:tblCellMar>
            <w:top w:w="0" w:type="dxa"/>
            <w:left w:w="0" w:type="dxa"/>
            <w:bottom w:w="0" w:type="dxa"/>
            <w:right w:w="0" w:type="dxa"/>
          </w:tblCellMar>
        </w:tblPrEx>
        <w:trPr>
          <w:trHeight w:val="397" w:hRule="atLeast"/>
        </w:trPr>
        <w:tc>
          <w:tcPr>
            <w:tcW w:w="2251" w:type="dxa"/>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numPr>
                <w:ilvl w:val="0"/>
                <w:numId w:val="161"/>
              </w:numPr>
              <w:rPr>
                <w:rFonts w:ascii="宋体" w:hAnsi="宋体"/>
                <w:szCs w:val="21"/>
              </w:rPr>
            </w:pPr>
            <w:r>
              <w:rPr>
                <w:rFonts w:hint="eastAsia" w:ascii="宋体" w:hAnsi="宋体"/>
                <w:szCs w:val="21"/>
              </w:rPr>
              <w:t>负责手术室的环境卫生检查工作，确保物品摆放整齐有序、环境卫生干净整洁、设施设备状况良好，及时做好巡视检查记录；</w:t>
            </w:r>
          </w:p>
        </w:tc>
        <w:tc>
          <w:tcPr>
            <w:tcW w:w="1391" w:type="dxa"/>
            <w:vMerge w:val="continue"/>
            <w:tcBorders>
              <w:right w:val="single" w:color="auto" w:sz="4" w:space="0"/>
            </w:tcBorders>
            <w:noWrap w:val="0"/>
            <w:vAlign w:val="center"/>
          </w:tcPr>
          <w:p>
            <w:pPr>
              <w:widowControl/>
              <w:jc w:val="center"/>
              <w:rPr>
                <w:rFonts w:ascii="宋体" w:hAnsi="宋体"/>
                <w:szCs w:val="21"/>
              </w:rPr>
            </w:pPr>
          </w:p>
        </w:tc>
      </w:tr>
      <w:tr>
        <w:tblPrEx>
          <w:tblCellMar>
            <w:top w:w="0" w:type="dxa"/>
            <w:left w:w="0" w:type="dxa"/>
            <w:bottom w:w="0" w:type="dxa"/>
            <w:right w:w="0" w:type="dxa"/>
          </w:tblCellMar>
        </w:tblPrEx>
        <w:trPr>
          <w:trHeight w:val="397" w:hRule="atLeast"/>
        </w:trPr>
        <w:tc>
          <w:tcPr>
            <w:tcW w:w="2251"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numPr>
                <w:ilvl w:val="0"/>
                <w:numId w:val="161"/>
              </w:numPr>
              <w:rPr>
                <w:rFonts w:ascii="宋体" w:hAnsi="宋体"/>
                <w:szCs w:val="21"/>
              </w:rPr>
            </w:pPr>
            <w:r>
              <w:rPr>
                <w:rFonts w:hint="eastAsia" w:ascii="宋体" w:hAnsi="宋体"/>
                <w:szCs w:val="21"/>
              </w:rPr>
              <w:t>如发生突发性事件，应设法采取应急措施，制止事态的扩大，及时向医院管理部门报告。</w:t>
            </w:r>
          </w:p>
        </w:tc>
        <w:tc>
          <w:tcPr>
            <w:tcW w:w="1391" w:type="dxa"/>
            <w:vMerge w:val="continue"/>
            <w:tcBorders>
              <w:bottom w:val="single" w:color="auto" w:sz="4" w:space="0"/>
              <w:right w:val="single" w:color="auto" w:sz="4" w:space="0"/>
            </w:tcBorders>
            <w:noWrap w:val="0"/>
            <w:vAlign w:val="center"/>
          </w:tcPr>
          <w:p>
            <w:pPr>
              <w:widowControl/>
              <w:jc w:val="center"/>
              <w:rPr>
                <w:rFonts w:ascii="宋体" w:hAnsi="宋体"/>
                <w:szCs w:val="21"/>
              </w:rPr>
            </w:pPr>
          </w:p>
        </w:tc>
      </w:tr>
      <w:tr>
        <w:tblPrEx>
          <w:tblCellMar>
            <w:top w:w="0" w:type="dxa"/>
            <w:left w:w="0" w:type="dxa"/>
            <w:bottom w:w="0" w:type="dxa"/>
            <w:right w:w="0" w:type="dxa"/>
          </w:tblCellMar>
        </w:tblPrEx>
        <w:trPr>
          <w:trHeight w:val="397" w:hRule="atLeast"/>
        </w:trPr>
        <w:tc>
          <w:tcPr>
            <w:tcW w:w="2251"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r>
              <w:rPr>
                <w:rFonts w:ascii="宋体" w:hAnsi="宋体"/>
                <w:szCs w:val="21"/>
              </w:rPr>
              <w:t>墙面、玻璃门窗、扶手、电子门、消防栓、管</w:t>
            </w:r>
            <w:r>
              <w:rPr>
                <w:rFonts w:hint="eastAsia" w:ascii="宋体" w:hAnsi="宋体"/>
                <w:szCs w:val="21"/>
              </w:rPr>
              <w:t>、家具</w:t>
            </w:r>
          </w:p>
        </w:tc>
        <w:tc>
          <w:tcPr>
            <w:tcW w:w="655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numPr>
                <w:ilvl w:val="0"/>
                <w:numId w:val="162"/>
              </w:numPr>
              <w:rPr>
                <w:rFonts w:ascii="宋体" w:hAnsi="宋体"/>
                <w:szCs w:val="21"/>
              </w:rPr>
            </w:pPr>
            <w:r>
              <w:rPr>
                <w:rFonts w:hint="eastAsia" w:ascii="宋体" w:hAnsi="宋体"/>
                <w:szCs w:val="21"/>
              </w:rPr>
              <w:t>地面无污迹，</w:t>
            </w:r>
            <w:r>
              <w:rPr>
                <w:rFonts w:ascii="宋体" w:hAnsi="宋体"/>
                <w:szCs w:val="21"/>
              </w:rPr>
              <w:t>无</w:t>
            </w:r>
            <w:r>
              <w:rPr>
                <w:rFonts w:hint="eastAsia" w:ascii="宋体" w:hAnsi="宋体"/>
                <w:szCs w:val="21"/>
              </w:rPr>
              <w:t>灰尘；</w:t>
            </w:r>
          </w:p>
        </w:tc>
        <w:tc>
          <w:tcPr>
            <w:tcW w:w="1391" w:type="dxa"/>
            <w:vMerge w:val="restart"/>
            <w:tcBorders>
              <w:top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0-5分</w:t>
            </w:r>
          </w:p>
        </w:tc>
      </w:tr>
      <w:tr>
        <w:tblPrEx>
          <w:tblCellMar>
            <w:top w:w="0" w:type="dxa"/>
            <w:left w:w="0" w:type="dxa"/>
            <w:bottom w:w="0" w:type="dxa"/>
            <w:right w:w="0" w:type="dxa"/>
          </w:tblCellMar>
        </w:tblPrEx>
        <w:trPr>
          <w:trHeight w:val="397" w:hRule="atLeast"/>
        </w:trPr>
        <w:tc>
          <w:tcPr>
            <w:tcW w:w="2251" w:type="dxa"/>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p>
        </w:tc>
        <w:tc>
          <w:tcPr>
            <w:tcW w:w="655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numPr>
                <w:ilvl w:val="0"/>
                <w:numId w:val="162"/>
              </w:numPr>
              <w:rPr>
                <w:rFonts w:ascii="宋体" w:hAnsi="宋体"/>
                <w:szCs w:val="21"/>
              </w:rPr>
            </w:pPr>
            <w:r>
              <w:rPr>
                <w:rFonts w:hint="eastAsia" w:ascii="宋体" w:hAnsi="宋体"/>
                <w:szCs w:val="21"/>
              </w:rPr>
              <w:t>手术室物表无污迹，无灰尘；</w:t>
            </w:r>
          </w:p>
        </w:tc>
        <w:tc>
          <w:tcPr>
            <w:tcW w:w="1391" w:type="dxa"/>
            <w:vMerge w:val="continue"/>
            <w:tcBorders>
              <w:right w:val="single" w:color="auto"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trHeight w:val="397" w:hRule="atLeast"/>
        </w:trPr>
        <w:tc>
          <w:tcPr>
            <w:tcW w:w="2251" w:type="dxa"/>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p>
        </w:tc>
        <w:tc>
          <w:tcPr>
            <w:tcW w:w="655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numPr>
                <w:ilvl w:val="0"/>
                <w:numId w:val="162"/>
              </w:numPr>
              <w:rPr>
                <w:rFonts w:ascii="宋体" w:hAnsi="宋体"/>
                <w:szCs w:val="21"/>
              </w:rPr>
            </w:pPr>
            <w:r>
              <w:rPr>
                <w:rFonts w:hint="eastAsia" w:ascii="宋体" w:hAnsi="宋体"/>
                <w:szCs w:val="21"/>
              </w:rPr>
              <w:t>电子门上无手印；</w:t>
            </w:r>
          </w:p>
        </w:tc>
        <w:tc>
          <w:tcPr>
            <w:tcW w:w="1391" w:type="dxa"/>
            <w:vMerge w:val="continue"/>
            <w:tcBorders>
              <w:right w:val="single" w:color="auto"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trHeight w:val="397" w:hRule="atLeast"/>
        </w:trPr>
        <w:tc>
          <w:tcPr>
            <w:tcW w:w="2251" w:type="dxa"/>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p>
        </w:tc>
        <w:tc>
          <w:tcPr>
            <w:tcW w:w="655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numPr>
                <w:ilvl w:val="0"/>
                <w:numId w:val="162"/>
              </w:numPr>
              <w:rPr>
                <w:rFonts w:ascii="宋体" w:hAnsi="宋体"/>
                <w:szCs w:val="21"/>
              </w:rPr>
            </w:pPr>
            <w:r>
              <w:rPr>
                <w:rFonts w:hint="eastAsia" w:ascii="宋体" w:hAnsi="宋体"/>
                <w:szCs w:val="21"/>
              </w:rPr>
              <w:t>玻璃门窗光亮，无手印；</w:t>
            </w:r>
          </w:p>
        </w:tc>
        <w:tc>
          <w:tcPr>
            <w:tcW w:w="1391" w:type="dxa"/>
            <w:vMerge w:val="continue"/>
            <w:tcBorders>
              <w:right w:val="single" w:color="auto"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trHeight w:val="397" w:hRule="atLeast"/>
        </w:trPr>
        <w:tc>
          <w:tcPr>
            <w:tcW w:w="2251" w:type="dxa"/>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p>
        </w:tc>
        <w:tc>
          <w:tcPr>
            <w:tcW w:w="655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numPr>
                <w:ilvl w:val="0"/>
                <w:numId w:val="162"/>
              </w:numPr>
              <w:rPr>
                <w:rFonts w:ascii="宋体" w:hAnsi="宋体"/>
                <w:szCs w:val="21"/>
              </w:rPr>
            </w:pPr>
            <w:r>
              <w:rPr>
                <w:rFonts w:hint="eastAsia" w:ascii="宋体" w:hAnsi="宋体"/>
                <w:szCs w:val="21"/>
              </w:rPr>
              <w:t>门、窗槽无灰尘、污迹；</w:t>
            </w:r>
          </w:p>
        </w:tc>
        <w:tc>
          <w:tcPr>
            <w:tcW w:w="1391" w:type="dxa"/>
            <w:vMerge w:val="continue"/>
            <w:tcBorders>
              <w:right w:val="single" w:color="auto"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trHeight w:val="397" w:hRule="atLeast"/>
        </w:trPr>
        <w:tc>
          <w:tcPr>
            <w:tcW w:w="2251"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p>
        </w:tc>
        <w:tc>
          <w:tcPr>
            <w:tcW w:w="655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numPr>
                <w:ilvl w:val="0"/>
                <w:numId w:val="162"/>
              </w:numPr>
              <w:rPr>
                <w:rFonts w:ascii="宋体" w:hAnsi="宋体"/>
                <w:szCs w:val="21"/>
              </w:rPr>
            </w:pPr>
            <w:r>
              <w:rPr>
                <w:rFonts w:hint="eastAsia" w:ascii="宋体" w:hAnsi="宋体"/>
                <w:szCs w:val="21"/>
              </w:rPr>
              <w:t>家具</w:t>
            </w:r>
            <w:r>
              <w:rPr>
                <w:rFonts w:ascii="宋体" w:hAnsi="宋体"/>
                <w:szCs w:val="21"/>
              </w:rPr>
              <w:t>表里</w:t>
            </w:r>
            <w:r>
              <w:rPr>
                <w:rFonts w:hint="eastAsia" w:ascii="宋体" w:hAnsi="宋体"/>
                <w:szCs w:val="21"/>
              </w:rPr>
              <w:t>无灰尘</w:t>
            </w:r>
            <w:r>
              <w:rPr>
                <w:rFonts w:ascii="宋体" w:hAnsi="宋体"/>
                <w:szCs w:val="21"/>
              </w:rPr>
              <w:t>、无污渍</w:t>
            </w:r>
            <w:r>
              <w:rPr>
                <w:rFonts w:hint="eastAsia" w:ascii="宋体" w:hAnsi="宋体"/>
                <w:szCs w:val="21"/>
              </w:rPr>
              <w:t>、无水印。</w:t>
            </w:r>
          </w:p>
        </w:tc>
        <w:tc>
          <w:tcPr>
            <w:tcW w:w="1391" w:type="dxa"/>
            <w:vMerge w:val="continue"/>
            <w:tcBorders>
              <w:bottom w:val="single" w:color="auto" w:sz="4" w:space="0"/>
              <w:right w:val="single" w:color="auto"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trHeight w:val="397" w:hRule="atLeast"/>
        </w:trPr>
        <w:tc>
          <w:tcPr>
            <w:tcW w:w="2251"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r>
              <w:rPr>
                <w:rFonts w:hint="eastAsia" w:ascii="宋体" w:hAnsi="宋体"/>
                <w:szCs w:val="21"/>
              </w:rPr>
              <w:t>工作鞋（拖鞋）</w:t>
            </w: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numPr>
                <w:ilvl w:val="0"/>
                <w:numId w:val="163"/>
              </w:numPr>
              <w:rPr>
                <w:rFonts w:ascii="宋体" w:hAnsi="宋体"/>
                <w:szCs w:val="21"/>
              </w:rPr>
            </w:pPr>
            <w:r>
              <w:rPr>
                <w:rFonts w:hint="eastAsia" w:ascii="宋体" w:hAnsi="宋体"/>
                <w:szCs w:val="21"/>
              </w:rPr>
              <w:t>洗涤流程符合院感要求；</w:t>
            </w:r>
          </w:p>
        </w:tc>
        <w:tc>
          <w:tcPr>
            <w:tcW w:w="1391" w:type="dxa"/>
            <w:vMerge w:val="restart"/>
            <w:tcBorders>
              <w:top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0-5分</w:t>
            </w:r>
          </w:p>
        </w:tc>
      </w:tr>
      <w:tr>
        <w:tblPrEx>
          <w:tblCellMar>
            <w:top w:w="0" w:type="dxa"/>
            <w:left w:w="0" w:type="dxa"/>
            <w:bottom w:w="0" w:type="dxa"/>
            <w:right w:w="0" w:type="dxa"/>
          </w:tblCellMar>
        </w:tblPrEx>
        <w:trPr>
          <w:trHeight w:val="397" w:hRule="atLeast"/>
        </w:trPr>
        <w:tc>
          <w:tcPr>
            <w:tcW w:w="2251" w:type="dxa"/>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numPr>
                <w:ilvl w:val="0"/>
                <w:numId w:val="163"/>
              </w:numPr>
              <w:rPr>
                <w:rFonts w:ascii="宋体" w:hAnsi="宋体"/>
                <w:szCs w:val="21"/>
              </w:rPr>
            </w:pPr>
            <w:r>
              <w:rPr>
                <w:rFonts w:hint="eastAsia" w:ascii="宋体" w:hAnsi="宋体"/>
                <w:szCs w:val="21"/>
              </w:rPr>
              <w:t>工作鞋面、鞋底干净，无积灰；</w:t>
            </w:r>
          </w:p>
        </w:tc>
        <w:tc>
          <w:tcPr>
            <w:tcW w:w="1391" w:type="dxa"/>
            <w:vMerge w:val="continue"/>
            <w:tcBorders>
              <w:right w:val="single" w:color="auto"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trHeight w:val="397" w:hRule="atLeast"/>
        </w:trPr>
        <w:tc>
          <w:tcPr>
            <w:tcW w:w="2251"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numPr>
                <w:ilvl w:val="0"/>
                <w:numId w:val="163"/>
              </w:numPr>
              <w:rPr>
                <w:rFonts w:ascii="宋体" w:hAnsi="宋体"/>
                <w:szCs w:val="21"/>
              </w:rPr>
            </w:pPr>
            <w:r>
              <w:rPr>
                <w:rFonts w:hint="eastAsia" w:ascii="宋体" w:hAnsi="宋体"/>
                <w:szCs w:val="21"/>
              </w:rPr>
              <w:t>按同类、同尺码整理存放。</w:t>
            </w:r>
          </w:p>
        </w:tc>
        <w:tc>
          <w:tcPr>
            <w:tcW w:w="1391" w:type="dxa"/>
            <w:vMerge w:val="continue"/>
            <w:tcBorders>
              <w:bottom w:val="single" w:color="auto" w:sz="4" w:space="0"/>
              <w:right w:val="single" w:color="auto"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trHeight w:val="397" w:hRule="atLeast"/>
        </w:trPr>
        <w:tc>
          <w:tcPr>
            <w:tcW w:w="22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r>
              <w:rPr>
                <w:rFonts w:ascii="宋体" w:hAnsi="宋体"/>
                <w:szCs w:val="21"/>
              </w:rPr>
              <w:t>天花板、天棚</w:t>
            </w:r>
            <w:r>
              <w:rPr>
                <w:rFonts w:hint="eastAsia" w:ascii="宋体" w:hAnsi="宋体"/>
                <w:szCs w:val="21"/>
              </w:rPr>
              <w:t>、</w:t>
            </w:r>
            <w:r>
              <w:rPr>
                <w:rFonts w:ascii="宋体" w:hAnsi="宋体"/>
                <w:szCs w:val="21"/>
              </w:rPr>
              <w:t>楼道灯</w:t>
            </w:r>
            <w:r>
              <w:rPr>
                <w:rFonts w:hint="eastAsia" w:ascii="宋体" w:hAnsi="宋体"/>
                <w:szCs w:val="21"/>
              </w:rPr>
              <w:t>、</w:t>
            </w:r>
            <w:r>
              <w:rPr>
                <w:rFonts w:ascii="宋体" w:hAnsi="宋体"/>
                <w:szCs w:val="21"/>
              </w:rPr>
              <w:t>灯罩、烟感、吹风口</w:t>
            </w:r>
            <w:r>
              <w:rPr>
                <w:rFonts w:hint="eastAsia" w:ascii="宋体" w:hAnsi="宋体"/>
                <w:szCs w:val="21"/>
              </w:rPr>
              <w:t>、</w:t>
            </w:r>
            <w:r>
              <w:rPr>
                <w:rFonts w:ascii="宋体" w:hAnsi="宋体"/>
                <w:szCs w:val="21"/>
              </w:rPr>
              <w:t>指示灯</w:t>
            </w:r>
          </w:p>
        </w:tc>
        <w:tc>
          <w:tcPr>
            <w:tcW w:w="655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numPr>
                <w:ilvl w:val="0"/>
                <w:numId w:val="164"/>
              </w:numPr>
              <w:rPr>
                <w:rFonts w:ascii="宋体" w:hAnsi="宋体"/>
                <w:szCs w:val="21"/>
              </w:rPr>
            </w:pPr>
            <w:r>
              <w:rPr>
                <w:rFonts w:ascii="宋体" w:hAnsi="宋体"/>
                <w:szCs w:val="21"/>
              </w:rPr>
              <w:t>无蜘蛛网，无明显灰尘，无污渍</w:t>
            </w:r>
            <w:r>
              <w:rPr>
                <w:rFonts w:hint="eastAsia" w:ascii="宋体" w:hAnsi="宋体"/>
                <w:szCs w:val="21"/>
              </w:rPr>
              <w:t>，无飞蛾，</w:t>
            </w:r>
            <w:r>
              <w:rPr>
                <w:rFonts w:ascii="宋体" w:hAnsi="宋体"/>
                <w:szCs w:val="21"/>
              </w:rPr>
              <w:t>灯罩内</w:t>
            </w:r>
            <w:r>
              <w:rPr>
                <w:rFonts w:hint="eastAsia" w:ascii="宋体" w:hAnsi="宋体"/>
                <w:szCs w:val="21"/>
              </w:rPr>
              <w:t>无</w:t>
            </w:r>
            <w:r>
              <w:rPr>
                <w:rFonts w:ascii="宋体" w:hAnsi="宋体"/>
                <w:szCs w:val="21"/>
              </w:rPr>
              <w:t>虫尸</w:t>
            </w:r>
            <w:r>
              <w:rPr>
                <w:rFonts w:hint="eastAsia" w:ascii="宋体" w:hAnsi="宋体"/>
                <w:szCs w:val="21"/>
              </w:rPr>
              <w:t>。</w:t>
            </w:r>
          </w:p>
        </w:tc>
        <w:tc>
          <w:tcPr>
            <w:tcW w:w="1391"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0-5分</w:t>
            </w:r>
          </w:p>
        </w:tc>
      </w:tr>
      <w:tr>
        <w:tblPrEx>
          <w:tblCellMar>
            <w:top w:w="0" w:type="dxa"/>
            <w:left w:w="0" w:type="dxa"/>
            <w:bottom w:w="0" w:type="dxa"/>
            <w:right w:w="0" w:type="dxa"/>
          </w:tblCellMar>
        </w:tblPrEx>
        <w:trPr>
          <w:trHeight w:val="397" w:hRule="atLeast"/>
        </w:trPr>
        <w:tc>
          <w:tcPr>
            <w:tcW w:w="2251"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r>
              <w:rPr>
                <w:rFonts w:hint="eastAsia" w:ascii="宋体" w:hAnsi="宋体"/>
                <w:szCs w:val="21"/>
              </w:rPr>
              <w:t>轮椅、平车等接送工具</w:t>
            </w: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numPr>
                <w:ilvl w:val="0"/>
                <w:numId w:val="165"/>
              </w:numPr>
              <w:rPr>
                <w:rFonts w:ascii="宋体" w:hAnsi="宋体"/>
                <w:szCs w:val="21"/>
              </w:rPr>
            </w:pPr>
            <w:r>
              <w:rPr>
                <w:rFonts w:hint="eastAsia" w:ascii="宋体" w:hAnsi="宋体"/>
                <w:szCs w:val="21"/>
              </w:rPr>
              <w:t>表面无污渍、无灰尘；</w:t>
            </w:r>
          </w:p>
        </w:tc>
        <w:tc>
          <w:tcPr>
            <w:tcW w:w="1391" w:type="dxa"/>
            <w:vMerge w:val="restart"/>
            <w:tcBorders>
              <w:top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0-5分</w:t>
            </w:r>
          </w:p>
        </w:tc>
      </w:tr>
      <w:tr>
        <w:tblPrEx>
          <w:tblCellMar>
            <w:top w:w="0" w:type="dxa"/>
            <w:left w:w="0" w:type="dxa"/>
            <w:bottom w:w="0" w:type="dxa"/>
            <w:right w:w="0" w:type="dxa"/>
          </w:tblCellMar>
        </w:tblPrEx>
        <w:trPr>
          <w:trHeight w:val="397" w:hRule="atLeast"/>
        </w:trPr>
        <w:tc>
          <w:tcPr>
            <w:tcW w:w="2251" w:type="dxa"/>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numPr>
                <w:ilvl w:val="0"/>
                <w:numId w:val="165"/>
              </w:numPr>
              <w:rPr>
                <w:rFonts w:ascii="宋体" w:hAnsi="宋体"/>
                <w:szCs w:val="21"/>
              </w:rPr>
            </w:pPr>
            <w:r>
              <w:rPr>
                <w:rFonts w:hint="eastAsia" w:ascii="宋体" w:hAnsi="宋体"/>
                <w:szCs w:val="21"/>
              </w:rPr>
              <w:t>金属面光亮，无手印；</w:t>
            </w:r>
          </w:p>
        </w:tc>
        <w:tc>
          <w:tcPr>
            <w:tcW w:w="1391" w:type="dxa"/>
            <w:vMerge w:val="continue"/>
            <w:tcBorders>
              <w:right w:val="single" w:color="auto"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trHeight w:val="397" w:hRule="atLeast"/>
        </w:trPr>
        <w:tc>
          <w:tcPr>
            <w:tcW w:w="2251"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numPr>
                <w:ilvl w:val="0"/>
                <w:numId w:val="165"/>
              </w:numPr>
              <w:rPr>
                <w:rFonts w:ascii="宋体" w:hAnsi="宋体"/>
                <w:szCs w:val="21"/>
              </w:rPr>
            </w:pPr>
            <w:r>
              <w:rPr>
                <w:rFonts w:hint="eastAsia" w:ascii="宋体" w:hAnsi="宋体"/>
                <w:szCs w:val="21"/>
              </w:rPr>
              <w:t>轮子无明显灰尘。</w:t>
            </w:r>
          </w:p>
        </w:tc>
        <w:tc>
          <w:tcPr>
            <w:tcW w:w="1391" w:type="dxa"/>
            <w:vMerge w:val="continue"/>
            <w:tcBorders>
              <w:bottom w:val="single" w:color="auto" w:sz="4" w:space="0"/>
              <w:right w:val="single" w:color="auto"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trHeight w:val="397" w:hRule="atLeast"/>
        </w:trPr>
        <w:tc>
          <w:tcPr>
            <w:tcW w:w="2251"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r>
              <w:rPr>
                <w:rFonts w:ascii="宋体" w:hAnsi="宋体"/>
                <w:szCs w:val="21"/>
              </w:rPr>
              <w:t>卫生间</w:t>
            </w: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numPr>
                <w:ilvl w:val="0"/>
                <w:numId w:val="166"/>
              </w:numPr>
              <w:rPr>
                <w:rFonts w:ascii="宋体" w:hAnsi="宋体"/>
                <w:szCs w:val="21"/>
              </w:rPr>
            </w:pPr>
            <w:r>
              <w:rPr>
                <w:rFonts w:hint="eastAsia" w:ascii="宋体" w:hAnsi="宋体"/>
                <w:szCs w:val="21"/>
              </w:rPr>
              <w:t>地面无积水、无污渍、无杂物，墙面瓷片、门、窗用纸巾擦拭无明显灰尘，便器无污渍；</w:t>
            </w:r>
          </w:p>
        </w:tc>
        <w:tc>
          <w:tcPr>
            <w:tcW w:w="1391" w:type="dxa"/>
            <w:vMerge w:val="restart"/>
            <w:tcBorders>
              <w:top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0-5分</w:t>
            </w:r>
          </w:p>
        </w:tc>
      </w:tr>
      <w:tr>
        <w:tblPrEx>
          <w:tblCellMar>
            <w:top w:w="0" w:type="dxa"/>
            <w:left w:w="0" w:type="dxa"/>
            <w:bottom w:w="0" w:type="dxa"/>
            <w:right w:w="0" w:type="dxa"/>
          </w:tblCellMar>
        </w:tblPrEx>
        <w:trPr>
          <w:trHeight w:val="397" w:hRule="atLeast"/>
        </w:trPr>
        <w:tc>
          <w:tcPr>
            <w:tcW w:w="2251"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numPr>
                <w:ilvl w:val="0"/>
                <w:numId w:val="166"/>
              </w:numPr>
              <w:rPr>
                <w:rFonts w:ascii="宋体" w:hAnsi="宋体"/>
                <w:szCs w:val="21"/>
              </w:rPr>
            </w:pPr>
            <w:r>
              <w:rPr>
                <w:rFonts w:hint="eastAsia" w:ascii="宋体" w:hAnsi="宋体"/>
                <w:szCs w:val="21"/>
              </w:rPr>
              <w:t>天花、灯具等目视无明显灰尘，玻璃、镜面无灰尘，无污渍。</w:t>
            </w:r>
          </w:p>
        </w:tc>
        <w:tc>
          <w:tcPr>
            <w:tcW w:w="1391" w:type="dxa"/>
            <w:vMerge w:val="continue"/>
            <w:tcBorders>
              <w:bottom w:val="single" w:color="auto" w:sz="4" w:space="0"/>
              <w:right w:val="single" w:color="auto"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trHeight w:val="397" w:hRule="atLeast"/>
        </w:trPr>
        <w:tc>
          <w:tcPr>
            <w:tcW w:w="2251"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r>
              <w:rPr>
                <w:rFonts w:hint="eastAsia" w:ascii="宋体" w:hAnsi="宋体"/>
                <w:szCs w:val="21"/>
              </w:rPr>
              <w:t>垃圾桶</w:t>
            </w: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numPr>
                <w:ilvl w:val="0"/>
                <w:numId w:val="167"/>
              </w:numPr>
              <w:rPr>
                <w:rFonts w:ascii="宋体" w:hAnsi="宋体"/>
                <w:szCs w:val="21"/>
              </w:rPr>
            </w:pPr>
            <w:r>
              <w:rPr>
                <w:rFonts w:hint="eastAsia" w:ascii="宋体" w:hAnsi="宋体"/>
                <w:szCs w:val="21"/>
              </w:rPr>
              <w:t>无过夜垃圾，无异味，桶身无污渍；</w:t>
            </w:r>
          </w:p>
        </w:tc>
        <w:tc>
          <w:tcPr>
            <w:tcW w:w="1391" w:type="dxa"/>
            <w:vMerge w:val="restart"/>
            <w:tcBorders>
              <w:top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0-5分</w:t>
            </w:r>
          </w:p>
        </w:tc>
      </w:tr>
      <w:tr>
        <w:tblPrEx>
          <w:tblCellMar>
            <w:top w:w="0" w:type="dxa"/>
            <w:left w:w="0" w:type="dxa"/>
            <w:bottom w:w="0" w:type="dxa"/>
            <w:right w:w="0" w:type="dxa"/>
          </w:tblCellMar>
        </w:tblPrEx>
        <w:trPr>
          <w:trHeight w:val="397" w:hRule="atLeast"/>
        </w:trPr>
        <w:tc>
          <w:tcPr>
            <w:tcW w:w="2251"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numPr>
                <w:ilvl w:val="0"/>
                <w:numId w:val="167"/>
              </w:numPr>
              <w:rPr>
                <w:rFonts w:ascii="宋体" w:hAnsi="宋体"/>
                <w:szCs w:val="21"/>
              </w:rPr>
            </w:pPr>
            <w:r>
              <w:rPr>
                <w:rFonts w:hint="eastAsia" w:ascii="宋体" w:hAnsi="宋体"/>
                <w:szCs w:val="21"/>
              </w:rPr>
              <w:t>垃圾不得超过垃圾桶容量的3/4。</w:t>
            </w:r>
          </w:p>
        </w:tc>
        <w:tc>
          <w:tcPr>
            <w:tcW w:w="1391" w:type="dxa"/>
            <w:vMerge w:val="continue"/>
            <w:tcBorders>
              <w:bottom w:val="single" w:color="auto" w:sz="4" w:space="0"/>
              <w:right w:val="single" w:color="auto"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trHeight w:val="397" w:hRule="atLeast"/>
        </w:trPr>
        <w:tc>
          <w:tcPr>
            <w:tcW w:w="2251"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r>
              <w:rPr>
                <w:rFonts w:hint="eastAsia" w:ascii="宋体" w:hAnsi="宋体"/>
                <w:szCs w:val="21"/>
              </w:rPr>
              <w:t>被服收送</w:t>
            </w: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numPr>
                <w:ilvl w:val="0"/>
                <w:numId w:val="168"/>
              </w:numPr>
              <w:rPr>
                <w:rFonts w:ascii="宋体" w:hAnsi="宋体"/>
                <w:szCs w:val="21"/>
              </w:rPr>
            </w:pPr>
            <w:r>
              <w:rPr>
                <w:rFonts w:hint="eastAsia" w:ascii="宋体" w:hAnsi="宋体"/>
                <w:szCs w:val="21"/>
              </w:rPr>
              <w:t>根据院感要求，收送手术室内被服；</w:t>
            </w:r>
          </w:p>
        </w:tc>
        <w:tc>
          <w:tcPr>
            <w:tcW w:w="1391" w:type="dxa"/>
            <w:vMerge w:val="restart"/>
            <w:tcBorders>
              <w:top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0-5分</w:t>
            </w:r>
          </w:p>
        </w:tc>
      </w:tr>
      <w:tr>
        <w:tblPrEx>
          <w:tblCellMar>
            <w:top w:w="0" w:type="dxa"/>
            <w:left w:w="0" w:type="dxa"/>
            <w:bottom w:w="0" w:type="dxa"/>
            <w:right w:w="0" w:type="dxa"/>
          </w:tblCellMar>
        </w:tblPrEx>
        <w:trPr>
          <w:trHeight w:val="397" w:hRule="atLeast"/>
        </w:trPr>
        <w:tc>
          <w:tcPr>
            <w:tcW w:w="2251"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numPr>
                <w:ilvl w:val="0"/>
                <w:numId w:val="168"/>
              </w:numPr>
              <w:rPr>
                <w:rFonts w:ascii="宋体" w:hAnsi="宋体"/>
                <w:szCs w:val="21"/>
              </w:rPr>
            </w:pPr>
            <w:r>
              <w:rPr>
                <w:rFonts w:hint="eastAsia" w:ascii="宋体" w:hAnsi="宋体"/>
                <w:szCs w:val="21"/>
              </w:rPr>
              <w:t>收脏车存放的污染物不得超过收脏车的1/3。</w:t>
            </w:r>
          </w:p>
        </w:tc>
        <w:tc>
          <w:tcPr>
            <w:tcW w:w="1391" w:type="dxa"/>
            <w:vMerge w:val="continue"/>
            <w:tcBorders>
              <w:bottom w:val="single" w:color="auto" w:sz="4" w:space="0"/>
              <w:right w:val="single" w:color="auto"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trHeight w:val="454" w:hRule="atLeast"/>
        </w:trPr>
        <w:tc>
          <w:tcPr>
            <w:tcW w:w="2251"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r>
              <w:rPr>
                <w:rFonts w:hint="eastAsia" w:ascii="宋体" w:hAnsi="宋体"/>
                <w:szCs w:val="21"/>
              </w:rPr>
              <w:t>人员进出管理</w:t>
            </w: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numPr>
                <w:ilvl w:val="0"/>
                <w:numId w:val="169"/>
              </w:numPr>
              <w:rPr>
                <w:rFonts w:ascii="宋体" w:hAnsi="宋体"/>
                <w:szCs w:val="21"/>
              </w:rPr>
            </w:pPr>
            <w:r>
              <w:rPr>
                <w:rFonts w:hint="eastAsia" w:ascii="宋体" w:hAnsi="宋体"/>
                <w:szCs w:val="21"/>
              </w:rPr>
              <w:t>员工通道根据手术室要求进行人员登记管理，发放工作服、口罩帽子及更衣柜钥匙；</w:t>
            </w:r>
          </w:p>
        </w:tc>
        <w:tc>
          <w:tcPr>
            <w:tcW w:w="1391" w:type="dxa"/>
            <w:vMerge w:val="restart"/>
            <w:tcBorders>
              <w:top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0-10分</w:t>
            </w:r>
          </w:p>
        </w:tc>
      </w:tr>
      <w:tr>
        <w:tblPrEx>
          <w:tblCellMar>
            <w:top w:w="0" w:type="dxa"/>
            <w:left w:w="0" w:type="dxa"/>
            <w:bottom w:w="0" w:type="dxa"/>
            <w:right w:w="0" w:type="dxa"/>
          </w:tblCellMar>
        </w:tblPrEx>
        <w:trPr>
          <w:trHeight w:val="454" w:hRule="atLeast"/>
        </w:trPr>
        <w:tc>
          <w:tcPr>
            <w:tcW w:w="2251"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numPr>
                <w:ilvl w:val="0"/>
                <w:numId w:val="169"/>
              </w:numPr>
              <w:rPr>
                <w:rFonts w:ascii="宋体" w:hAnsi="宋体"/>
                <w:szCs w:val="21"/>
              </w:rPr>
            </w:pPr>
            <w:r>
              <w:rPr>
                <w:rFonts w:hint="eastAsia" w:ascii="宋体" w:hAnsi="宋体"/>
                <w:szCs w:val="21"/>
              </w:rPr>
              <w:t>病人通道根据手术室时间安排进行病人入离室管理，核对交接核查表、身份与对应的手术间。</w:t>
            </w:r>
          </w:p>
        </w:tc>
        <w:tc>
          <w:tcPr>
            <w:tcW w:w="1391" w:type="dxa"/>
            <w:vMerge w:val="continue"/>
            <w:tcBorders>
              <w:bottom w:val="single" w:color="auto" w:sz="4" w:space="0"/>
              <w:right w:val="single" w:color="auto"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trHeight w:val="397" w:hRule="atLeast"/>
        </w:trPr>
        <w:tc>
          <w:tcPr>
            <w:tcW w:w="2251"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r>
              <w:rPr>
                <w:rFonts w:hint="eastAsia" w:ascii="宋体" w:hAnsi="宋体"/>
                <w:szCs w:val="21"/>
              </w:rPr>
              <w:t>病人运送</w:t>
            </w: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numPr>
                <w:ilvl w:val="0"/>
                <w:numId w:val="170"/>
              </w:numPr>
              <w:jc w:val="left"/>
              <w:rPr>
                <w:rFonts w:ascii="宋体" w:hAnsi="宋体"/>
                <w:szCs w:val="21"/>
              </w:rPr>
            </w:pPr>
            <w:r>
              <w:rPr>
                <w:rFonts w:hint="eastAsia" w:ascii="宋体" w:hAnsi="宋体"/>
                <w:szCs w:val="21"/>
              </w:rPr>
              <w:t>运送时，做好病人的安全防护措施；</w:t>
            </w:r>
          </w:p>
          <w:p>
            <w:pPr>
              <w:numPr>
                <w:ilvl w:val="0"/>
                <w:numId w:val="170"/>
              </w:numPr>
              <w:jc w:val="left"/>
              <w:rPr>
                <w:rFonts w:ascii="宋体" w:hAnsi="宋体"/>
                <w:szCs w:val="21"/>
              </w:rPr>
            </w:pPr>
            <w:r>
              <w:rPr>
                <w:rFonts w:hint="eastAsia" w:ascii="宋体" w:hAnsi="宋体"/>
                <w:szCs w:val="21"/>
              </w:rPr>
              <w:t>根据病人的手术麻醉情况，按照医生的指导选择恰当的运送方式；</w:t>
            </w:r>
          </w:p>
        </w:tc>
        <w:tc>
          <w:tcPr>
            <w:tcW w:w="1391" w:type="dxa"/>
            <w:vMerge w:val="restart"/>
            <w:tcBorders>
              <w:top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0-5分</w:t>
            </w:r>
          </w:p>
        </w:tc>
      </w:tr>
      <w:tr>
        <w:tblPrEx>
          <w:tblCellMar>
            <w:top w:w="0" w:type="dxa"/>
            <w:left w:w="0" w:type="dxa"/>
            <w:bottom w:w="0" w:type="dxa"/>
            <w:right w:w="0" w:type="dxa"/>
          </w:tblCellMar>
        </w:tblPrEx>
        <w:trPr>
          <w:trHeight w:val="397" w:hRule="atLeast"/>
        </w:trPr>
        <w:tc>
          <w:tcPr>
            <w:tcW w:w="2251"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numPr>
                <w:ilvl w:val="0"/>
                <w:numId w:val="170"/>
              </w:numPr>
              <w:jc w:val="left"/>
              <w:rPr>
                <w:rFonts w:ascii="宋体" w:hAnsi="宋体"/>
                <w:szCs w:val="21"/>
              </w:rPr>
            </w:pPr>
            <w:r>
              <w:rPr>
                <w:rFonts w:hint="eastAsia" w:ascii="宋体" w:hAnsi="宋体"/>
                <w:szCs w:val="21"/>
              </w:rPr>
              <w:t>运送途中遇到坡度缓慢运行，优先考虑病人的舒适度。</w:t>
            </w:r>
          </w:p>
        </w:tc>
        <w:tc>
          <w:tcPr>
            <w:tcW w:w="1391" w:type="dxa"/>
            <w:vMerge w:val="continue"/>
            <w:tcBorders>
              <w:bottom w:val="single" w:color="auto" w:sz="4" w:space="0"/>
              <w:right w:val="single" w:color="auto"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trHeight w:val="397" w:hRule="atLeast"/>
        </w:trPr>
        <w:tc>
          <w:tcPr>
            <w:tcW w:w="2251"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r>
              <w:rPr>
                <w:rFonts w:hint="eastAsia" w:ascii="宋体" w:hAnsi="宋体"/>
                <w:szCs w:val="21"/>
              </w:rPr>
              <w:t>布草管理</w:t>
            </w: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numPr>
                <w:ilvl w:val="0"/>
                <w:numId w:val="171"/>
              </w:numPr>
              <w:rPr>
                <w:rFonts w:ascii="宋体" w:hAnsi="宋体"/>
                <w:szCs w:val="21"/>
              </w:rPr>
            </w:pPr>
            <w:r>
              <w:rPr>
                <w:rFonts w:hint="eastAsia" w:ascii="宋体" w:hAnsi="宋体"/>
                <w:szCs w:val="21"/>
              </w:rPr>
              <w:t>根据院感要求，感染布草与污染布草分开管理；</w:t>
            </w:r>
          </w:p>
        </w:tc>
        <w:tc>
          <w:tcPr>
            <w:tcW w:w="1391" w:type="dxa"/>
            <w:vMerge w:val="restart"/>
            <w:tcBorders>
              <w:top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0-5分</w:t>
            </w:r>
          </w:p>
        </w:tc>
      </w:tr>
      <w:tr>
        <w:tblPrEx>
          <w:tblCellMar>
            <w:top w:w="0" w:type="dxa"/>
            <w:left w:w="0" w:type="dxa"/>
            <w:bottom w:w="0" w:type="dxa"/>
            <w:right w:w="0" w:type="dxa"/>
          </w:tblCellMar>
        </w:tblPrEx>
        <w:trPr>
          <w:trHeight w:val="397" w:hRule="atLeast"/>
        </w:trPr>
        <w:tc>
          <w:tcPr>
            <w:tcW w:w="2251"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numPr>
                <w:ilvl w:val="0"/>
                <w:numId w:val="171"/>
              </w:numPr>
              <w:rPr>
                <w:rFonts w:ascii="宋体" w:hAnsi="宋体"/>
                <w:szCs w:val="21"/>
              </w:rPr>
            </w:pPr>
            <w:r>
              <w:rPr>
                <w:rFonts w:hint="eastAsia" w:ascii="宋体" w:hAnsi="宋体"/>
                <w:szCs w:val="21"/>
              </w:rPr>
              <w:t>根据收送一致原则，领用洁净布草、被服等。</w:t>
            </w:r>
          </w:p>
        </w:tc>
        <w:tc>
          <w:tcPr>
            <w:tcW w:w="1391" w:type="dxa"/>
            <w:vMerge w:val="continue"/>
            <w:tcBorders>
              <w:bottom w:val="single" w:color="auto" w:sz="4" w:space="0"/>
              <w:right w:val="single" w:color="auto"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trHeight w:val="397" w:hRule="atLeast"/>
        </w:trPr>
        <w:tc>
          <w:tcPr>
            <w:tcW w:w="2251"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r>
              <w:rPr>
                <w:rFonts w:hint="eastAsia" w:ascii="宋体" w:hAnsi="宋体"/>
                <w:szCs w:val="21"/>
              </w:rPr>
              <w:t>服务态度</w:t>
            </w: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numPr>
                <w:ilvl w:val="0"/>
                <w:numId w:val="172"/>
              </w:numPr>
              <w:rPr>
                <w:rFonts w:ascii="宋体" w:hAnsi="宋体"/>
                <w:szCs w:val="21"/>
              </w:rPr>
            </w:pPr>
            <w:r>
              <w:rPr>
                <w:rFonts w:hint="eastAsia" w:ascii="宋体" w:hAnsi="宋体"/>
                <w:szCs w:val="21"/>
              </w:rPr>
              <w:t>热情主动，细心周到，微笑服务，礼貌待人；</w:t>
            </w:r>
          </w:p>
        </w:tc>
        <w:tc>
          <w:tcPr>
            <w:tcW w:w="1391" w:type="dxa"/>
            <w:vMerge w:val="restart"/>
            <w:tcBorders>
              <w:top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0-10分</w:t>
            </w:r>
          </w:p>
        </w:tc>
      </w:tr>
      <w:tr>
        <w:tblPrEx>
          <w:tblCellMar>
            <w:top w:w="0" w:type="dxa"/>
            <w:left w:w="0" w:type="dxa"/>
            <w:bottom w:w="0" w:type="dxa"/>
            <w:right w:w="0" w:type="dxa"/>
          </w:tblCellMar>
        </w:tblPrEx>
        <w:trPr>
          <w:trHeight w:val="397" w:hRule="atLeast"/>
        </w:trPr>
        <w:tc>
          <w:tcPr>
            <w:tcW w:w="2251" w:type="dxa"/>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numPr>
                <w:ilvl w:val="0"/>
                <w:numId w:val="172"/>
              </w:numPr>
              <w:rPr>
                <w:rFonts w:ascii="宋体" w:hAnsi="宋体"/>
                <w:szCs w:val="21"/>
              </w:rPr>
            </w:pPr>
            <w:r>
              <w:rPr>
                <w:rFonts w:hint="eastAsia" w:ascii="宋体" w:hAnsi="宋体"/>
                <w:szCs w:val="21"/>
              </w:rPr>
              <w:t>谦虚和悦地接受管理部门的评价，耐心倾听意见、咨询，与病人及家属或我院职工无争吵；</w:t>
            </w:r>
          </w:p>
        </w:tc>
        <w:tc>
          <w:tcPr>
            <w:tcW w:w="1391" w:type="dxa"/>
            <w:vMerge w:val="continue"/>
            <w:tcBorders>
              <w:right w:val="single" w:color="auto"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trHeight w:val="397" w:hRule="atLeast"/>
        </w:trPr>
        <w:tc>
          <w:tcPr>
            <w:tcW w:w="2251" w:type="dxa"/>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numPr>
                <w:ilvl w:val="0"/>
                <w:numId w:val="172"/>
              </w:numPr>
              <w:rPr>
                <w:rFonts w:ascii="宋体" w:hAnsi="宋体"/>
                <w:szCs w:val="21"/>
              </w:rPr>
            </w:pPr>
            <w:r>
              <w:rPr>
                <w:rFonts w:hint="eastAsia" w:ascii="宋体" w:hAnsi="宋体"/>
                <w:szCs w:val="21"/>
              </w:rPr>
              <w:t>工作责任心强，无失误；</w:t>
            </w:r>
          </w:p>
        </w:tc>
        <w:tc>
          <w:tcPr>
            <w:tcW w:w="1391" w:type="dxa"/>
            <w:vMerge w:val="continue"/>
            <w:tcBorders>
              <w:right w:val="single" w:color="auto"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trHeight w:val="397" w:hRule="atLeast"/>
        </w:trPr>
        <w:tc>
          <w:tcPr>
            <w:tcW w:w="2251" w:type="dxa"/>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numPr>
                <w:ilvl w:val="0"/>
                <w:numId w:val="172"/>
              </w:numPr>
              <w:rPr>
                <w:rFonts w:ascii="宋体" w:hAnsi="宋体"/>
                <w:szCs w:val="21"/>
              </w:rPr>
            </w:pPr>
            <w:r>
              <w:rPr>
                <w:rFonts w:hint="eastAsia" w:ascii="宋体" w:hAnsi="宋体"/>
                <w:szCs w:val="21"/>
              </w:rPr>
              <w:t>手术换台期间，整理迅速、不推拖；</w:t>
            </w:r>
          </w:p>
        </w:tc>
        <w:tc>
          <w:tcPr>
            <w:tcW w:w="1391" w:type="dxa"/>
            <w:vMerge w:val="continue"/>
            <w:tcBorders>
              <w:right w:val="single" w:color="auto"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trHeight w:val="397" w:hRule="atLeast"/>
        </w:trPr>
        <w:tc>
          <w:tcPr>
            <w:tcW w:w="2251" w:type="dxa"/>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numPr>
                <w:ilvl w:val="0"/>
                <w:numId w:val="172"/>
              </w:numPr>
              <w:rPr>
                <w:rFonts w:ascii="宋体" w:hAnsi="宋体"/>
                <w:szCs w:val="21"/>
              </w:rPr>
            </w:pPr>
            <w:r>
              <w:rPr>
                <w:rFonts w:ascii="宋体" w:hAnsi="宋体"/>
                <w:szCs w:val="21"/>
              </w:rPr>
              <w:t>积极执行科室临时交给工作任务</w:t>
            </w:r>
            <w:r>
              <w:rPr>
                <w:rFonts w:hint="eastAsia" w:ascii="宋体" w:hAnsi="宋体"/>
                <w:szCs w:val="21"/>
              </w:rPr>
              <w:t>；</w:t>
            </w:r>
          </w:p>
        </w:tc>
        <w:tc>
          <w:tcPr>
            <w:tcW w:w="1391" w:type="dxa"/>
            <w:vMerge w:val="continue"/>
            <w:tcBorders>
              <w:right w:val="single" w:color="auto"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trHeight w:val="397" w:hRule="atLeast"/>
        </w:trPr>
        <w:tc>
          <w:tcPr>
            <w:tcW w:w="2251" w:type="dxa"/>
            <w:tcBorders>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numPr>
                <w:ilvl w:val="0"/>
                <w:numId w:val="172"/>
              </w:numPr>
              <w:rPr>
                <w:rFonts w:ascii="宋体" w:hAnsi="宋体"/>
                <w:szCs w:val="21"/>
              </w:rPr>
            </w:pPr>
            <w:r>
              <w:rPr>
                <w:rFonts w:ascii="宋体" w:hAnsi="宋体"/>
                <w:szCs w:val="21"/>
              </w:rPr>
              <w:t>有不良作为被</w:t>
            </w:r>
            <w:r>
              <w:rPr>
                <w:rFonts w:hint="eastAsia" w:ascii="宋体" w:hAnsi="宋体"/>
                <w:szCs w:val="21"/>
              </w:rPr>
              <w:t>病人及家属</w:t>
            </w:r>
            <w:r>
              <w:rPr>
                <w:rFonts w:ascii="宋体" w:hAnsi="宋体"/>
                <w:szCs w:val="21"/>
              </w:rPr>
              <w:t>或科室投诉属实的</w:t>
            </w:r>
            <w:r>
              <w:rPr>
                <w:rFonts w:hint="eastAsia" w:ascii="宋体" w:hAnsi="宋体"/>
                <w:szCs w:val="21"/>
              </w:rPr>
              <w:t>，酌情进行扣分。</w:t>
            </w:r>
          </w:p>
        </w:tc>
        <w:tc>
          <w:tcPr>
            <w:tcW w:w="1391" w:type="dxa"/>
            <w:tcBorders>
              <w:right w:val="single" w:color="auto"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trHeight w:val="397" w:hRule="atLeast"/>
        </w:trPr>
        <w:tc>
          <w:tcPr>
            <w:tcW w:w="2251"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r>
              <w:rPr>
                <w:rFonts w:ascii="宋体" w:hAnsi="宋体"/>
                <w:szCs w:val="21"/>
              </w:rPr>
              <w:t>劳动纪律</w:t>
            </w: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numPr>
                <w:ilvl w:val="0"/>
                <w:numId w:val="173"/>
              </w:numPr>
              <w:rPr>
                <w:rFonts w:ascii="宋体" w:hAnsi="宋体"/>
                <w:szCs w:val="21"/>
              </w:rPr>
            </w:pPr>
            <w:r>
              <w:rPr>
                <w:rFonts w:hint="eastAsia" w:ascii="宋体" w:hAnsi="宋体"/>
                <w:szCs w:val="21"/>
              </w:rPr>
              <w:t>仪表符合规定；</w:t>
            </w:r>
          </w:p>
        </w:tc>
        <w:tc>
          <w:tcPr>
            <w:tcW w:w="1391" w:type="dxa"/>
            <w:vMerge w:val="restart"/>
            <w:tcBorders>
              <w:top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0-10分</w:t>
            </w:r>
          </w:p>
        </w:tc>
      </w:tr>
      <w:tr>
        <w:tblPrEx>
          <w:tblCellMar>
            <w:top w:w="0" w:type="dxa"/>
            <w:left w:w="0" w:type="dxa"/>
            <w:bottom w:w="0" w:type="dxa"/>
            <w:right w:w="0" w:type="dxa"/>
          </w:tblCellMar>
        </w:tblPrEx>
        <w:trPr>
          <w:trHeight w:val="397" w:hRule="atLeast"/>
        </w:trPr>
        <w:tc>
          <w:tcPr>
            <w:tcW w:w="2251" w:type="dxa"/>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numPr>
                <w:ilvl w:val="0"/>
                <w:numId w:val="173"/>
              </w:numPr>
              <w:rPr>
                <w:rFonts w:ascii="宋体" w:hAnsi="宋体"/>
                <w:szCs w:val="21"/>
              </w:rPr>
            </w:pPr>
            <w:r>
              <w:rPr>
                <w:rFonts w:hint="eastAsia" w:ascii="宋体" w:hAnsi="宋体"/>
                <w:szCs w:val="21"/>
              </w:rPr>
              <w:t>按时到岗接班，不早退，不串岗，不脱岗；</w:t>
            </w:r>
          </w:p>
        </w:tc>
        <w:tc>
          <w:tcPr>
            <w:tcW w:w="1391" w:type="dxa"/>
            <w:vMerge w:val="continue"/>
            <w:tcBorders>
              <w:right w:val="single" w:color="auto"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trHeight w:val="397" w:hRule="atLeast"/>
        </w:trPr>
        <w:tc>
          <w:tcPr>
            <w:tcW w:w="2251" w:type="dxa"/>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numPr>
                <w:ilvl w:val="0"/>
                <w:numId w:val="173"/>
              </w:numPr>
              <w:rPr>
                <w:rFonts w:ascii="宋体" w:hAnsi="宋体"/>
                <w:szCs w:val="21"/>
              </w:rPr>
            </w:pPr>
            <w:r>
              <w:rPr>
                <w:rFonts w:hint="eastAsia" w:ascii="宋体" w:hAnsi="宋体"/>
                <w:szCs w:val="21"/>
              </w:rPr>
              <w:t>服从管理部门的调配；</w:t>
            </w:r>
          </w:p>
        </w:tc>
        <w:tc>
          <w:tcPr>
            <w:tcW w:w="1391" w:type="dxa"/>
            <w:vMerge w:val="continue"/>
            <w:tcBorders>
              <w:right w:val="single" w:color="auto"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trHeight w:val="397" w:hRule="atLeast"/>
        </w:trPr>
        <w:tc>
          <w:tcPr>
            <w:tcW w:w="2251" w:type="dxa"/>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p>
        </w:tc>
        <w:tc>
          <w:tcPr>
            <w:tcW w:w="655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numPr>
                <w:ilvl w:val="0"/>
                <w:numId w:val="173"/>
              </w:numPr>
              <w:rPr>
                <w:rFonts w:ascii="宋体" w:hAnsi="宋体"/>
                <w:szCs w:val="21"/>
              </w:rPr>
            </w:pPr>
            <w:r>
              <w:rPr>
                <w:rFonts w:hint="eastAsia" w:ascii="宋体" w:hAnsi="宋体"/>
                <w:szCs w:val="21"/>
              </w:rPr>
              <w:t>严格遵守医院的各项规章制度和注意事项。</w:t>
            </w:r>
          </w:p>
        </w:tc>
        <w:tc>
          <w:tcPr>
            <w:tcW w:w="1391" w:type="dxa"/>
            <w:vMerge w:val="continue"/>
            <w:tcBorders>
              <w:right w:val="single" w:color="auto"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trHeight w:val="397" w:hRule="atLeast"/>
        </w:trPr>
        <w:tc>
          <w:tcPr>
            <w:tcW w:w="2251"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r>
              <w:rPr>
                <w:rFonts w:ascii="宋体" w:hAnsi="宋体"/>
                <w:szCs w:val="21"/>
              </w:rPr>
              <w:t>尘推</w:t>
            </w:r>
            <w:r>
              <w:rPr>
                <w:rFonts w:hint="eastAsia" w:ascii="宋体" w:hAnsi="宋体"/>
                <w:szCs w:val="21"/>
              </w:rPr>
              <w:t>、</w:t>
            </w:r>
            <w:r>
              <w:rPr>
                <w:rFonts w:ascii="宋体" w:hAnsi="宋体"/>
                <w:szCs w:val="21"/>
              </w:rPr>
              <w:t>清洁推车</w:t>
            </w:r>
            <w:r>
              <w:rPr>
                <w:rFonts w:hint="eastAsia" w:ascii="宋体" w:hAnsi="宋体"/>
                <w:szCs w:val="21"/>
              </w:rPr>
              <w:t>、毛巾、拖把等</w:t>
            </w:r>
            <w:r>
              <w:rPr>
                <w:rFonts w:ascii="宋体" w:hAnsi="宋体"/>
                <w:szCs w:val="21"/>
              </w:rPr>
              <w:t>常用工具</w:t>
            </w:r>
          </w:p>
        </w:tc>
        <w:tc>
          <w:tcPr>
            <w:tcW w:w="655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numPr>
                <w:ilvl w:val="0"/>
                <w:numId w:val="174"/>
              </w:numPr>
              <w:rPr>
                <w:rFonts w:ascii="宋体" w:hAnsi="宋体"/>
                <w:szCs w:val="21"/>
              </w:rPr>
            </w:pPr>
            <w:r>
              <w:rPr>
                <w:rFonts w:hint="eastAsia" w:ascii="宋体" w:hAnsi="宋体"/>
                <w:szCs w:val="21"/>
              </w:rPr>
              <w:t>所有用具干净、整齐；</w:t>
            </w:r>
          </w:p>
        </w:tc>
        <w:tc>
          <w:tcPr>
            <w:tcW w:w="1391" w:type="dxa"/>
            <w:vMerge w:val="restart"/>
            <w:tcBorders>
              <w:top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0-5分</w:t>
            </w:r>
          </w:p>
        </w:tc>
      </w:tr>
      <w:tr>
        <w:tblPrEx>
          <w:tblCellMar>
            <w:top w:w="0" w:type="dxa"/>
            <w:left w:w="0" w:type="dxa"/>
            <w:bottom w:w="0" w:type="dxa"/>
            <w:right w:w="0" w:type="dxa"/>
          </w:tblCellMar>
        </w:tblPrEx>
        <w:trPr>
          <w:trHeight w:val="397" w:hRule="atLeast"/>
        </w:trPr>
        <w:tc>
          <w:tcPr>
            <w:tcW w:w="2251"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p>
        </w:tc>
        <w:tc>
          <w:tcPr>
            <w:tcW w:w="655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numPr>
                <w:ilvl w:val="0"/>
                <w:numId w:val="174"/>
              </w:numPr>
              <w:rPr>
                <w:rFonts w:ascii="宋体" w:hAnsi="宋体"/>
                <w:szCs w:val="21"/>
              </w:rPr>
            </w:pPr>
            <w:r>
              <w:rPr>
                <w:rFonts w:hint="eastAsia" w:ascii="宋体" w:hAnsi="宋体"/>
                <w:szCs w:val="21"/>
              </w:rPr>
              <w:t>毛巾、拖把无异味、无发霉现象。</w:t>
            </w:r>
          </w:p>
        </w:tc>
        <w:tc>
          <w:tcPr>
            <w:tcW w:w="1391" w:type="dxa"/>
            <w:vMerge w:val="continue"/>
            <w:tcBorders>
              <w:bottom w:val="single" w:color="auto" w:sz="4" w:space="0"/>
              <w:right w:val="single" w:color="auto"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trHeight w:val="397" w:hRule="atLeast"/>
        </w:trPr>
        <w:tc>
          <w:tcPr>
            <w:tcW w:w="22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r>
              <w:rPr>
                <w:rFonts w:ascii="宋体" w:hAnsi="宋体"/>
                <w:szCs w:val="21"/>
              </w:rPr>
              <w:t>普通设备表面</w:t>
            </w:r>
            <w:r>
              <w:rPr>
                <w:rFonts w:hint="eastAsia" w:ascii="宋体" w:hAnsi="宋体"/>
                <w:szCs w:val="21"/>
              </w:rPr>
              <w:t>、空调表面</w:t>
            </w:r>
            <w:r>
              <w:rPr>
                <w:rFonts w:ascii="宋体" w:hAnsi="宋体"/>
                <w:szCs w:val="21"/>
              </w:rPr>
              <w:t>、</w:t>
            </w:r>
            <w:r>
              <w:rPr>
                <w:rFonts w:hint="eastAsia" w:ascii="宋体" w:hAnsi="宋体"/>
                <w:szCs w:val="21"/>
              </w:rPr>
              <w:t>空调过滤网等</w:t>
            </w:r>
            <w:r>
              <w:rPr>
                <w:rFonts w:ascii="宋体" w:hAnsi="宋体"/>
                <w:szCs w:val="21"/>
              </w:rPr>
              <w:t>机械设备</w:t>
            </w:r>
          </w:p>
        </w:tc>
        <w:tc>
          <w:tcPr>
            <w:tcW w:w="655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numPr>
                <w:ilvl w:val="0"/>
                <w:numId w:val="175"/>
              </w:numPr>
              <w:rPr>
                <w:rFonts w:ascii="宋体" w:hAnsi="宋体"/>
                <w:szCs w:val="21"/>
              </w:rPr>
            </w:pPr>
            <w:r>
              <w:rPr>
                <w:rFonts w:hint="eastAsia" w:ascii="宋体" w:hAnsi="宋体"/>
                <w:szCs w:val="21"/>
              </w:rPr>
              <w:t>表面无灰尘。</w:t>
            </w:r>
          </w:p>
        </w:tc>
        <w:tc>
          <w:tcPr>
            <w:tcW w:w="1391"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0-5分</w:t>
            </w:r>
          </w:p>
        </w:tc>
      </w:tr>
      <w:tr>
        <w:tblPrEx>
          <w:tblCellMar>
            <w:top w:w="0" w:type="dxa"/>
            <w:left w:w="0" w:type="dxa"/>
            <w:bottom w:w="0" w:type="dxa"/>
            <w:right w:w="0" w:type="dxa"/>
          </w:tblCellMar>
        </w:tblPrEx>
        <w:trPr>
          <w:trHeight w:val="397" w:hRule="atLeast"/>
        </w:trPr>
        <w:tc>
          <w:tcPr>
            <w:tcW w:w="22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r>
              <w:rPr>
                <w:rFonts w:hint="eastAsia" w:ascii="宋体" w:hAnsi="宋体"/>
                <w:szCs w:val="21"/>
              </w:rPr>
              <w:t>订餐管理</w:t>
            </w:r>
          </w:p>
        </w:tc>
        <w:tc>
          <w:tcPr>
            <w:tcW w:w="655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numPr>
                <w:ilvl w:val="0"/>
                <w:numId w:val="176"/>
              </w:numPr>
              <w:rPr>
                <w:rFonts w:ascii="宋体" w:hAnsi="宋体"/>
                <w:szCs w:val="21"/>
              </w:rPr>
            </w:pPr>
            <w:r>
              <w:rPr>
                <w:rFonts w:hint="eastAsia" w:ascii="宋体" w:hAnsi="宋体"/>
                <w:szCs w:val="21"/>
              </w:rPr>
              <w:t>清点、复核订餐数量，准确失误。</w:t>
            </w:r>
          </w:p>
        </w:tc>
        <w:tc>
          <w:tcPr>
            <w:tcW w:w="1391"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0-5分</w:t>
            </w:r>
          </w:p>
        </w:tc>
      </w:tr>
      <w:tr>
        <w:tblPrEx>
          <w:tblCellMar>
            <w:top w:w="0" w:type="dxa"/>
            <w:left w:w="0" w:type="dxa"/>
            <w:bottom w:w="0" w:type="dxa"/>
            <w:right w:w="0" w:type="dxa"/>
          </w:tblCellMar>
        </w:tblPrEx>
        <w:trPr>
          <w:trHeight w:val="397" w:hRule="atLeast"/>
        </w:trPr>
        <w:tc>
          <w:tcPr>
            <w:tcW w:w="22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szCs w:val="21"/>
              </w:rPr>
            </w:pPr>
            <w:r>
              <w:rPr>
                <w:rFonts w:hint="eastAsia" w:ascii="宋体" w:hAnsi="宋体"/>
                <w:szCs w:val="21"/>
              </w:rPr>
              <w:t>投诉情况</w:t>
            </w:r>
          </w:p>
        </w:tc>
        <w:tc>
          <w:tcPr>
            <w:tcW w:w="655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numPr>
                <w:ilvl w:val="0"/>
                <w:numId w:val="177"/>
              </w:numPr>
              <w:rPr>
                <w:rFonts w:ascii="宋体" w:hAnsi="宋体"/>
                <w:szCs w:val="21"/>
              </w:rPr>
            </w:pPr>
            <w:r>
              <w:rPr>
                <w:rFonts w:hint="eastAsia" w:ascii="宋体" w:hAnsi="宋体"/>
                <w:szCs w:val="21"/>
              </w:rPr>
              <w:t>因</w:t>
            </w:r>
            <w:r>
              <w:rPr>
                <w:rFonts w:ascii="宋体" w:hAnsi="宋体"/>
                <w:szCs w:val="21"/>
              </w:rPr>
              <w:t>不良作为被</w:t>
            </w:r>
            <w:r>
              <w:rPr>
                <w:rFonts w:hint="eastAsia" w:ascii="宋体" w:hAnsi="宋体"/>
                <w:szCs w:val="21"/>
              </w:rPr>
              <w:t>病人及家属</w:t>
            </w:r>
            <w:r>
              <w:rPr>
                <w:rFonts w:ascii="宋体" w:hAnsi="宋体"/>
                <w:szCs w:val="21"/>
              </w:rPr>
              <w:t>或科室投诉属实的</w:t>
            </w:r>
            <w:r>
              <w:rPr>
                <w:rFonts w:hint="eastAsia" w:ascii="宋体" w:hAnsi="宋体"/>
                <w:szCs w:val="21"/>
              </w:rPr>
              <w:t>，</w:t>
            </w:r>
            <w:r>
              <w:rPr>
                <w:rFonts w:ascii="宋体" w:hAnsi="宋体"/>
                <w:szCs w:val="21"/>
              </w:rPr>
              <w:t>给</w:t>
            </w:r>
            <w:r>
              <w:rPr>
                <w:rFonts w:hint="eastAsia" w:ascii="宋体" w:hAnsi="宋体"/>
                <w:szCs w:val="21"/>
              </w:rPr>
              <w:t>医院</w:t>
            </w:r>
            <w:r>
              <w:rPr>
                <w:rFonts w:ascii="宋体" w:hAnsi="宋体"/>
                <w:szCs w:val="21"/>
              </w:rPr>
              <w:t>造成较大影响的</w:t>
            </w:r>
            <w:r>
              <w:rPr>
                <w:rFonts w:hint="eastAsia" w:ascii="宋体" w:hAnsi="宋体"/>
                <w:szCs w:val="21"/>
              </w:rPr>
              <w:t>。</w:t>
            </w:r>
          </w:p>
        </w:tc>
        <w:tc>
          <w:tcPr>
            <w:tcW w:w="1391" w:type="dxa"/>
            <w:tcBorders>
              <w:top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另</w:t>
            </w:r>
            <w:r>
              <w:rPr>
                <w:rFonts w:ascii="宋体" w:hAnsi="宋体"/>
                <w:szCs w:val="21"/>
              </w:rPr>
              <w:t>扣</w:t>
            </w:r>
            <w:r>
              <w:rPr>
                <w:rFonts w:hint="eastAsia" w:ascii="宋体" w:hAnsi="宋体"/>
                <w:szCs w:val="21"/>
              </w:rPr>
              <w:t>22</w:t>
            </w:r>
            <w:r>
              <w:rPr>
                <w:rFonts w:ascii="宋体" w:hAnsi="宋体"/>
                <w:szCs w:val="21"/>
              </w:rPr>
              <w:t>分</w:t>
            </w:r>
          </w:p>
        </w:tc>
      </w:tr>
    </w:tbl>
    <w:p>
      <w:pPr>
        <w:tabs>
          <w:tab w:val="left" w:pos="567"/>
        </w:tabs>
        <w:spacing w:before="360" w:beforeLines="150" w:line="360" w:lineRule="auto"/>
        <w:ind w:firstLine="188" w:firstLineChars="67"/>
        <w:jc w:val="center"/>
        <w:rPr>
          <w:rFonts w:ascii="宋体" w:hAnsi="宋体"/>
          <w:b/>
          <w:sz w:val="28"/>
        </w:rPr>
      </w:pPr>
      <w:r>
        <w:rPr>
          <w:rFonts w:hint="eastAsia" w:ascii="宋体" w:hAnsi="宋体"/>
          <w:b/>
          <w:sz w:val="28"/>
        </w:rPr>
        <w:t>（三）消毒供应室勤杂工</w:t>
      </w:r>
    </w:p>
    <w:p>
      <w:pPr>
        <w:spacing w:line="360" w:lineRule="auto"/>
        <w:ind w:firstLine="161" w:firstLineChars="67"/>
        <w:rPr>
          <w:rFonts w:ascii="宋体" w:hAnsi="宋体"/>
          <w:b/>
          <w:sz w:val="24"/>
        </w:rPr>
      </w:pPr>
      <w:r>
        <w:rPr>
          <w:rFonts w:hint="eastAsia" w:ascii="宋体" w:hAnsi="宋体"/>
          <w:b/>
          <w:sz w:val="24"/>
        </w:rPr>
        <w:t>1、工作内容</w:t>
      </w:r>
    </w:p>
    <w:p>
      <w:pPr>
        <w:widowControl/>
        <w:numPr>
          <w:ilvl w:val="0"/>
          <w:numId w:val="178"/>
        </w:numPr>
        <w:tabs>
          <w:tab w:val="left" w:pos="567"/>
          <w:tab w:val="left" w:pos="851"/>
          <w:tab w:val="left" w:pos="993"/>
          <w:tab w:val="left" w:pos="1134"/>
        </w:tabs>
        <w:spacing w:line="360" w:lineRule="auto"/>
        <w:ind w:hanging="131"/>
        <w:jc w:val="left"/>
        <w:rPr>
          <w:rFonts w:ascii="宋体" w:hAnsi="宋体"/>
          <w:bCs/>
          <w:sz w:val="24"/>
        </w:rPr>
      </w:pPr>
      <w:r>
        <w:rPr>
          <w:rFonts w:hint="eastAsia" w:ascii="宋体" w:hAnsi="宋体"/>
          <w:bCs/>
          <w:sz w:val="24"/>
        </w:rPr>
        <w:t>消毒员</w:t>
      </w:r>
    </w:p>
    <w:p>
      <w:pPr>
        <w:widowControl/>
        <w:numPr>
          <w:ilvl w:val="0"/>
          <w:numId w:val="179"/>
        </w:numPr>
        <w:spacing w:line="360" w:lineRule="auto"/>
        <w:ind w:firstLine="11"/>
        <w:jc w:val="left"/>
        <w:rPr>
          <w:rFonts w:ascii="宋体" w:hAnsi="宋体" w:cs="宋体"/>
          <w:kern w:val="0"/>
          <w:sz w:val="24"/>
        </w:rPr>
      </w:pPr>
      <w:r>
        <w:rPr>
          <w:rFonts w:hint="eastAsia" w:ascii="宋体" w:hAnsi="宋体" w:cs="宋体"/>
          <w:kern w:val="0"/>
          <w:sz w:val="24"/>
        </w:rPr>
        <w:t>在护士长领导及本科主管护师、护师、护士指导下进行工作。</w:t>
      </w:r>
    </w:p>
    <w:p>
      <w:pPr>
        <w:widowControl/>
        <w:numPr>
          <w:ilvl w:val="0"/>
          <w:numId w:val="179"/>
        </w:numPr>
        <w:spacing w:line="360" w:lineRule="auto"/>
        <w:ind w:firstLine="11"/>
        <w:jc w:val="left"/>
        <w:rPr>
          <w:rFonts w:ascii="宋体" w:hAnsi="宋体" w:cs="宋体"/>
          <w:kern w:val="0"/>
          <w:sz w:val="24"/>
        </w:rPr>
      </w:pPr>
      <w:r>
        <w:rPr>
          <w:rFonts w:hint="eastAsia" w:ascii="宋体" w:hAnsi="宋体" w:cs="宋体"/>
          <w:kern w:val="0"/>
          <w:sz w:val="24"/>
        </w:rPr>
        <w:t>严格执行</w:t>
      </w:r>
      <w:r>
        <w:rPr>
          <w:rFonts w:ascii="宋体" w:hAnsi="宋体" w:cs="宋体"/>
          <w:kern w:val="0"/>
          <w:sz w:val="24"/>
        </w:rPr>
        <w:t xml:space="preserve"> “CSSD</w:t>
      </w:r>
      <w:r>
        <w:rPr>
          <w:rFonts w:hint="eastAsia" w:ascii="宋体" w:hAnsi="宋体" w:cs="宋体"/>
          <w:kern w:val="0"/>
          <w:sz w:val="24"/>
        </w:rPr>
        <w:t>医院感染管理制度</w:t>
      </w:r>
      <w:r>
        <w:rPr>
          <w:rFonts w:ascii="宋体" w:hAnsi="宋体" w:cs="宋体"/>
          <w:kern w:val="0"/>
          <w:sz w:val="24"/>
        </w:rPr>
        <w:t>”</w:t>
      </w:r>
      <w:r>
        <w:rPr>
          <w:rFonts w:hint="eastAsia" w:ascii="宋体" w:hAnsi="宋体" w:cs="宋体"/>
          <w:kern w:val="0"/>
          <w:sz w:val="24"/>
        </w:rPr>
        <w:t>、</w:t>
      </w:r>
      <w:r>
        <w:rPr>
          <w:rFonts w:ascii="宋体" w:hAnsi="宋体" w:cs="宋体"/>
          <w:kern w:val="0"/>
          <w:sz w:val="24"/>
        </w:rPr>
        <w:t>“</w:t>
      </w:r>
      <w:r>
        <w:rPr>
          <w:rFonts w:hint="eastAsia" w:ascii="宋体" w:hAnsi="宋体" w:cs="宋体"/>
          <w:kern w:val="0"/>
          <w:sz w:val="24"/>
        </w:rPr>
        <w:t>消毒隔离制度</w:t>
      </w:r>
      <w:r>
        <w:rPr>
          <w:rFonts w:ascii="宋体" w:hAnsi="宋体" w:cs="宋体"/>
          <w:kern w:val="0"/>
          <w:sz w:val="24"/>
        </w:rPr>
        <w:t>”</w:t>
      </w:r>
      <w:r>
        <w:rPr>
          <w:rFonts w:hint="eastAsia" w:ascii="宋体" w:hAnsi="宋体" w:cs="宋体"/>
          <w:kern w:val="0"/>
          <w:sz w:val="24"/>
        </w:rPr>
        <w:t>和</w:t>
      </w:r>
      <w:r>
        <w:rPr>
          <w:rFonts w:ascii="宋体" w:hAnsi="宋体" w:cs="宋体"/>
          <w:kern w:val="0"/>
          <w:sz w:val="24"/>
        </w:rPr>
        <w:t>“</w:t>
      </w:r>
      <w:r>
        <w:rPr>
          <w:rFonts w:hint="eastAsia" w:ascii="宋体" w:hAnsi="宋体" w:cs="宋体"/>
          <w:kern w:val="0"/>
          <w:sz w:val="24"/>
        </w:rPr>
        <w:t xml:space="preserve">灭菌 </w:t>
      </w:r>
    </w:p>
    <w:p>
      <w:pPr>
        <w:widowControl/>
        <w:spacing w:line="360" w:lineRule="auto"/>
        <w:ind w:left="851" w:firstLine="360" w:firstLineChars="150"/>
        <w:jc w:val="left"/>
        <w:rPr>
          <w:rFonts w:ascii="宋体" w:hAnsi="宋体" w:cs="宋体"/>
          <w:kern w:val="0"/>
          <w:sz w:val="24"/>
        </w:rPr>
      </w:pPr>
      <w:r>
        <w:rPr>
          <w:rFonts w:hint="eastAsia" w:ascii="宋体" w:hAnsi="宋体" w:cs="宋体"/>
          <w:kern w:val="0"/>
          <w:sz w:val="24"/>
        </w:rPr>
        <w:t>区工作制度</w:t>
      </w:r>
      <w:r>
        <w:rPr>
          <w:rFonts w:ascii="宋体" w:hAnsi="宋体" w:cs="宋体"/>
          <w:kern w:val="0"/>
          <w:sz w:val="24"/>
        </w:rPr>
        <w:t>”</w:t>
      </w:r>
      <w:r>
        <w:rPr>
          <w:rFonts w:hint="eastAsia" w:ascii="宋体" w:hAnsi="宋体" w:cs="宋体"/>
          <w:kern w:val="0"/>
          <w:sz w:val="24"/>
        </w:rPr>
        <w:t>。</w:t>
      </w:r>
      <w:r>
        <w:rPr>
          <w:rFonts w:ascii="宋体" w:hAnsi="宋体" w:cs="宋体"/>
          <w:kern w:val="0"/>
          <w:sz w:val="24"/>
        </w:rPr>
        <w:t xml:space="preserve"> </w:t>
      </w:r>
    </w:p>
    <w:p>
      <w:pPr>
        <w:widowControl/>
        <w:numPr>
          <w:ilvl w:val="0"/>
          <w:numId w:val="179"/>
        </w:numPr>
        <w:spacing w:line="360" w:lineRule="auto"/>
        <w:ind w:firstLine="11"/>
        <w:jc w:val="left"/>
        <w:rPr>
          <w:rFonts w:ascii="宋体" w:hAnsi="宋体" w:cs="宋体"/>
          <w:kern w:val="0"/>
          <w:sz w:val="24"/>
        </w:rPr>
      </w:pPr>
      <w:r>
        <w:rPr>
          <w:rFonts w:hint="eastAsia" w:ascii="宋体" w:hAnsi="宋体" w:cs="宋体"/>
          <w:kern w:val="0"/>
          <w:sz w:val="24"/>
        </w:rPr>
        <w:t>严格执行各项规章制度、技术操作规程、工作流程，完成各类医疗</w:t>
      </w:r>
    </w:p>
    <w:p>
      <w:pPr>
        <w:widowControl/>
        <w:spacing w:line="360" w:lineRule="auto"/>
        <w:ind w:left="851" w:firstLine="360" w:firstLineChars="150"/>
        <w:jc w:val="left"/>
        <w:rPr>
          <w:rFonts w:ascii="宋体" w:hAnsi="宋体" w:cs="宋体"/>
          <w:kern w:val="0"/>
          <w:sz w:val="24"/>
        </w:rPr>
      </w:pPr>
      <w:r>
        <w:rPr>
          <w:rFonts w:hint="eastAsia" w:ascii="宋体" w:hAnsi="宋体" w:cs="宋体"/>
          <w:kern w:val="0"/>
          <w:sz w:val="24"/>
        </w:rPr>
        <w:t>器械的灭菌工作，灭菌合格率</w:t>
      </w:r>
      <w:r>
        <w:rPr>
          <w:rFonts w:ascii="宋体" w:hAnsi="宋体" w:cs="宋体"/>
          <w:kern w:val="0"/>
          <w:sz w:val="24"/>
        </w:rPr>
        <w:t>100</w:t>
      </w:r>
      <w:r>
        <w:rPr>
          <w:rFonts w:hint="eastAsia" w:ascii="宋体" w:hAnsi="宋体" w:cs="宋体"/>
          <w:kern w:val="0"/>
          <w:sz w:val="24"/>
        </w:rPr>
        <w:t>％。</w:t>
      </w:r>
    </w:p>
    <w:p>
      <w:pPr>
        <w:widowControl/>
        <w:numPr>
          <w:ilvl w:val="0"/>
          <w:numId w:val="179"/>
        </w:numPr>
        <w:spacing w:line="360" w:lineRule="auto"/>
        <w:ind w:firstLine="11"/>
        <w:jc w:val="left"/>
        <w:rPr>
          <w:rFonts w:ascii="宋体" w:hAnsi="宋体" w:cs="宋体"/>
          <w:kern w:val="0"/>
          <w:sz w:val="24"/>
        </w:rPr>
      </w:pPr>
      <w:r>
        <w:rPr>
          <w:rFonts w:hint="eastAsia" w:ascii="宋体" w:hAnsi="宋体" w:cs="宋体"/>
          <w:kern w:val="0"/>
          <w:sz w:val="24"/>
        </w:rPr>
        <w:t>已灭菌物品和未灭菌物品应严格分开，定点放置，不得混放。</w:t>
      </w:r>
    </w:p>
    <w:p>
      <w:pPr>
        <w:widowControl/>
        <w:numPr>
          <w:ilvl w:val="0"/>
          <w:numId w:val="179"/>
        </w:numPr>
        <w:spacing w:line="360" w:lineRule="auto"/>
        <w:ind w:firstLine="11"/>
        <w:jc w:val="left"/>
        <w:rPr>
          <w:rFonts w:ascii="宋体" w:hAnsi="宋体" w:cs="宋体"/>
          <w:kern w:val="0"/>
          <w:sz w:val="24"/>
        </w:rPr>
      </w:pPr>
      <w:r>
        <w:rPr>
          <w:rFonts w:hint="eastAsia" w:ascii="宋体" w:hAnsi="宋体" w:cs="宋体"/>
          <w:kern w:val="0"/>
          <w:sz w:val="24"/>
        </w:rPr>
        <w:t>每日灭菌前后要注意对压力蒸汽灭菌器进行认真检查，清洁保养维</w:t>
      </w:r>
    </w:p>
    <w:p>
      <w:pPr>
        <w:widowControl/>
        <w:spacing w:line="360" w:lineRule="auto"/>
        <w:ind w:left="851" w:firstLine="360" w:firstLineChars="150"/>
        <w:jc w:val="left"/>
        <w:rPr>
          <w:rFonts w:ascii="宋体" w:hAnsi="宋体" w:cs="宋体"/>
          <w:kern w:val="0"/>
          <w:sz w:val="24"/>
        </w:rPr>
      </w:pPr>
      <w:r>
        <w:rPr>
          <w:rFonts w:hint="eastAsia" w:ascii="宋体" w:hAnsi="宋体" w:cs="宋体"/>
          <w:kern w:val="0"/>
          <w:sz w:val="24"/>
        </w:rPr>
        <w:t>护，做好灭菌前的准备工作。</w:t>
      </w:r>
    </w:p>
    <w:p>
      <w:pPr>
        <w:widowControl/>
        <w:numPr>
          <w:ilvl w:val="0"/>
          <w:numId w:val="179"/>
        </w:numPr>
        <w:spacing w:line="360" w:lineRule="auto"/>
        <w:ind w:firstLine="11"/>
        <w:jc w:val="left"/>
        <w:rPr>
          <w:rFonts w:ascii="宋体" w:hAnsi="宋体" w:cs="宋体"/>
          <w:kern w:val="0"/>
          <w:sz w:val="24"/>
        </w:rPr>
      </w:pPr>
      <w:r>
        <w:rPr>
          <w:rFonts w:hint="eastAsia" w:ascii="宋体" w:hAnsi="宋体" w:cs="宋体"/>
          <w:kern w:val="0"/>
          <w:sz w:val="24"/>
        </w:rPr>
        <w:t>严格按《消毒技术规范》要求进行装放物品，有筛孔的容器灭菌前</w:t>
      </w:r>
    </w:p>
    <w:p>
      <w:pPr>
        <w:widowControl/>
        <w:spacing w:line="360" w:lineRule="auto"/>
        <w:ind w:left="851" w:firstLine="360" w:firstLineChars="150"/>
        <w:jc w:val="left"/>
        <w:rPr>
          <w:rFonts w:ascii="宋体" w:hAnsi="宋体" w:cs="宋体"/>
          <w:kern w:val="0"/>
          <w:sz w:val="24"/>
        </w:rPr>
      </w:pPr>
      <w:r>
        <w:rPr>
          <w:rFonts w:hint="eastAsia" w:ascii="宋体" w:hAnsi="宋体" w:cs="宋体"/>
          <w:kern w:val="0"/>
          <w:sz w:val="24"/>
        </w:rPr>
        <w:t>应打开，灭菌结束立即关闭；装量不宜过多、过紧，预真空压力蒸汽</w:t>
      </w:r>
    </w:p>
    <w:p>
      <w:pPr>
        <w:widowControl/>
        <w:spacing w:line="360" w:lineRule="auto"/>
        <w:ind w:left="851" w:firstLine="360" w:firstLineChars="150"/>
        <w:jc w:val="left"/>
        <w:rPr>
          <w:rFonts w:ascii="宋体" w:hAnsi="宋体" w:cs="宋体"/>
          <w:kern w:val="0"/>
          <w:sz w:val="24"/>
        </w:rPr>
      </w:pPr>
      <w:r>
        <w:rPr>
          <w:rFonts w:hint="eastAsia" w:ascii="宋体" w:hAnsi="宋体" w:cs="宋体"/>
          <w:kern w:val="0"/>
          <w:sz w:val="24"/>
        </w:rPr>
        <w:t>灭菌器≤</w:t>
      </w:r>
      <w:r>
        <w:rPr>
          <w:rFonts w:ascii="宋体" w:hAnsi="宋体" w:cs="宋体"/>
          <w:kern w:val="0"/>
          <w:sz w:val="24"/>
        </w:rPr>
        <w:t>90</w:t>
      </w:r>
      <w:r>
        <w:rPr>
          <w:rFonts w:hint="eastAsia" w:ascii="宋体" w:hAnsi="宋体" w:cs="宋体"/>
          <w:kern w:val="0"/>
          <w:sz w:val="24"/>
        </w:rPr>
        <w:t>％，大包、敷料类放上层，中包放中层，小包及金属类放</w:t>
      </w:r>
    </w:p>
    <w:p>
      <w:pPr>
        <w:widowControl/>
        <w:spacing w:line="360" w:lineRule="auto"/>
        <w:ind w:left="851" w:firstLine="360" w:firstLineChars="150"/>
        <w:jc w:val="left"/>
        <w:rPr>
          <w:rFonts w:ascii="宋体" w:hAnsi="宋体" w:cs="宋体"/>
          <w:kern w:val="0"/>
          <w:sz w:val="24"/>
        </w:rPr>
      </w:pPr>
      <w:r>
        <w:rPr>
          <w:rFonts w:hint="eastAsia" w:ascii="宋体" w:hAnsi="宋体" w:cs="宋体"/>
          <w:kern w:val="0"/>
          <w:sz w:val="24"/>
        </w:rPr>
        <w:t>下层。</w:t>
      </w:r>
    </w:p>
    <w:p>
      <w:pPr>
        <w:widowControl/>
        <w:numPr>
          <w:ilvl w:val="0"/>
          <w:numId w:val="179"/>
        </w:numPr>
        <w:spacing w:line="360" w:lineRule="auto"/>
        <w:ind w:firstLine="11"/>
        <w:jc w:val="left"/>
        <w:rPr>
          <w:rFonts w:ascii="宋体" w:hAnsi="宋体" w:cs="宋体"/>
          <w:kern w:val="0"/>
          <w:sz w:val="24"/>
        </w:rPr>
      </w:pPr>
      <w:r>
        <w:rPr>
          <w:rFonts w:hint="eastAsia" w:ascii="宋体" w:hAnsi="宋体" w:cs="宋体"/>
          <w:kern w:val="0"/>
          <w:sz w:val="24"/>
        </w:rPr>
        <w:t>熟练掌握灭菌器性能要求，认真观察灭菌器运转情况，及时发现故</w:t>
      </w:r>
    </w:p>
    <w:p>
      <w:pPr>
        <w:widowControl/>
        <w:spacing w:line="360" w:lineRule="auto"/>
        <w:ind w:left="851" w:firstLine="360" w:firstLineChars="150"/>
        <w:jc w:val="left"/>
        <w:rPr>
          <w:rFonts w:ascii="宋体" w:hAnsi="宋体" w:cs="宋体"/>
          <w:kern w:val="0"/>
          <w:sz w:val="24"/>
        </w:rPr>
      </w:pPr>
      <w:r>
        <w:rPr>
          <w:rFonts w:hint="eastAsia" w:ascii="宋体" w:hAnsi="宋体" w:cs="宋体"/>
          <w:kern w:val="0"/>
          <w:sz w:val="24"/>
        </w:rPr>
        <w:t>障，不得擅离职守。</w:t>
      </w:r>
    </w:p>
    <w:p>
      <w:pPr>
        <w:widowControl/>
        <w:numPr>
          <w:ilvl w:val="0"/>
          <w:numId w:val="179"/>
        </w:numPr>
        <w:spacing w:line="360" w:lineRule="auto"/>
        <w:ind w:left="851" w:firstLine="0"/>
        <w:jc w:val="left"/>
        <w:rPr>
          <w:rFonts w:ascii="宋体" w:hAnsi="宋体" w:cs="宋体"/>
          <w:kern w:val="0"/>
          <w:sz w:val="24"/>
        </w:rPr>
      </w:pPr>
      <w:r>
        <w:rPr>
          <w:rFonts w:hint="eastAsia" w:ascii="宋体" w:hAnsi="宋体" w:cs="宋体"/>
          <w:kern w:val="0"/>
          <w:sz w:val="24"/>
        </w:rPr>
        <w:t>每锅压力蒸汽灭菌完成时，与监测护士共同认真核对灭菌后化学指</w:t>
      </w:r>
    </w:p>
    <w:p>
      <w:pPr>
        <w:widowControl/>
        <w:spacing w:line="360" w:lineRule="auto"/>
        <w:ind w:left="851" w:firstLine="360" w:firstLineChars="150"/>
        <w:jc w:val="left"/>
        <w:rPr>
          <w:rFonts w:ascii="宋体" w:hAnsi="宋体" w:cs="宋体"/>
          <w:kern w:val="0"/>
          <w:sz w:val="24"/>
        </w:rPr>
      </w:pPr>
      <w:r>
        <w:rPr>
          <w:rFonts w:hint="eastAsia" w:ascii="宋体" w:hAnsi="宋体" w:cs="宋体"/>
          <w:kern w:val="0"/>
          <w:sz w:val="24"/>
        </w:rPr>
        <w:t>示剂变色情况，并将查对结果记录备案，签名。如发现化学指示剂变</w:t>
      </w:r>
    </w:p>
    <w:p>
      <w:pPr>
        <w:widowControl/>
        <w:spacing w:line="360" w:lineRule="auto"/>
        <w:ind w:left="851" w:firstLine="360" w:firstLineChars="150"/>
        <w:jc w:val="left"/>
        <w:rPr>
          <w:rFonts w:ascii="宋体" w:hAnsi="宋体" w:cs="宋体"/>
          <w:kern w:val="0"/>
          <w:sz w:val="24"/>
        </w:rPr>
      </w:pPr>
      <w:r>
        <w:rPr>
          <w:rFonts w:hint="eastAsia" w:ascii="宋体" w:hAnsi="宋体" w:cs="宋体"/>
          <w:kern w:val="0"/>
          <w:sz w:val="24"/>
        </w:rPr>
        <w:t>色没有达到标准黑色，应立即查找原因，物品重新灭菌不得发放。</w:t>
      </w:r>
    </w:p>
    <w:p>
      <w:pPr>
        <w:widowControl/>
        <w:numPr>
          <w:ilvl w:val="0"/>
          <w:numId w:val="179"/>
        </w:numPr>
        <w:spacing w:line="360" w:lineRule="auto"/>
        <w:ind w:left="851" w:firstLine="0"/>
        <w:jc w:val="left"/>
        <w:rPr>
          <w:rFonts w:ascii="宋体" w:hAnsi="宋体" w:cs="宋体"/>
          <w:kern w:val="0"/>
          <w:sz w:val="24"/>
        </w:rPr>
      </w:pPr>
      <w:r>
        <w:rPr>
          <w:rFonts w:hint="eastAsia" w:ascii="宋体" w:hAnsi="宋体" w:cs="宋体"/>
          <w:kern w:val="0"/>
          <w:sz w:val="24"/>
        </w:rPr>
        <w:t>负责做好灭菌效果监测工作：包括每晨第一锅做</w:t>
      </w:r>
      <w:r>
        <w:rPr>
          <w:rFonts w:ascii="宋体" w:hAnsi="宋体" w:cs="宋体"/>
          <w:kern w:val="0"/>
          <w:sz w:val="24"/>
        </w:rPr>
        <w:t>B-D</w:t>
      </w:r>
      <w:r>
        <w:rPr>
          <w:rFonts w:hint="eastAsia" w:ascii="宋体" w:hAnsi="宋体" w:cs="宋体"/>
          <w:kern w:val="0"/>
          <w:sz w:val="24"/>
        </w:rPr>
        <w:t>试验，每锅均</w:t>
      </w:r>
    </w:p>
    <w:p>
      <w:pPr>
        <w:widowControl/>
        <w:spacing w:line="360" w:lineRule="auto"/>
        <w:ind w:left="851" w:firstLine="360" w:firstLineChars="150"/>
        <w:jc w:val="left"/>
        <w:rPr>
          <w:rFonts w:ascii="宋体" w:hAnsi="宋体" w:cs="宋体"/>
          <w:kern w:val="0"/>
          <w:sz w:val="24"/>
        </w:rPr>
      </w:pPr>
      <w:r>
        <w:rPr>
          <w:rFonts w:hint="eastAsia" w:ascii="宋体" w:hAnsi="宋体" w:cs="宋体"/>
          <w:kern w:val="0"/>
          <w:sz w:val="24"/>
        </w:rPr>
        <w:t>有物理监测、每包化学监测、每周一次生物指示剂监测，每锅次批量</w:t>
      </w:r>
    </w:p>
    <w:p>
      <w:pPr>
        <w:widowControl/>
        <w:spacing w:line="360" w:lineRule="auto"/>
        <w:ind w:left="851" w:firstLine="360" w:firstLineChars="150"/>
        <w:jc w:val="left"/>
        <w:rPr>
          <w:rFonts w:ascii="宋体" w:hAnsi="宋体" w:cs="宋体"/>
          <w:kern w:val="0"/>
          <w:sz w:val="24"/>
        </w:rPr>
      </w:pPr>
      <w:r>
        <w:rPr>
          <w:rFonts w:hint="eastAsia" w:ascii="宋体" w:hAnsi="宋体" w:cs="宋体"/>
          <w:kern w:val="0"/>
          <w:sz w:val="24"/>
        </w:rPr>
        <w:t>化学监测并记录保留监测结果备案。</w:t>
      </w:r>
    </w:p>
    <w:p>
      <w:pPr>
        <w:widowControl/>
        <w:numPr>
          <w:ilvl w:val="0"/>
          <w:numId w:val="179"/>
        </w:numPr>
        <w:tabs>
          <w:tab w:val="left" w:pos="1276"/>
        </w:tabs>
        <w:spacing w:line="360" w:lineRule="auto"/>
        <w:ind w:firstLine="0"/>
        <w:jc w:val="left"/>
        <w:rPr>
          <w:rFonts w:ascii="宋体" w:hAnsi="宋体" w:cs="宋体"/>
          <w:kern w:val="0"/>
          <w:sz w:val="24"/>
        </w:rPr>
      </w:pPr>
      <w:r>
        <w:rPr>
          <w:rFonts w:hint="eastAsia" w:ascii="宋体" w:hAnsi="宋体" w:cs="宋体"/>
          <w:kern w:val="0"/>
          <w:sz w:val="24"/>
        </w:rPr>
        <w:t xml:space="preserve"> 掌握停水、停电、停蒸汽、遇冷空气团等应急情况的处理。</w:t>
      </w:r>
    </w:p>
    <w:p>
      <w:pPr>
        <w:widowControl/>
        <w:numPr>
          <w:ilvl w:val="0"/>
          <w:numId w:val="179"/>
        </w:numPr>
        <w:spacing w:line="360" w:lineRule="auto"/>
        <w:ind w:left="851" w:firstLine="0"/>
        <w:jc w:val="left"/>
        <w:rPr>
          <w:rFonts w:ascii="宋体" w:hAnsi="宋体" w:cs="宋体"/>
          <w:kern w:val="0"/>
          <w:sz w:val="24"/>
        </w:rPr>
      </w:pPr>
      <w:r>
        <w:rPr>
          <w:rFonts w:hint="eastAsia" w:ascii="宋体" w:hAnsi="宋体" w:cs="宋体"/>
          <w:kern w:val="0"/>
          <w:sz w:val="24"/>
        </w:rPr>
        <w:t xml:space="preserve"> 维护环境清洁整齐及安全，每日灭菌前擦拭灭菌器内外及搁架，清</w:t>
      </w:r>
    </w:p>
    <w:p>
      <w:pPr>
        <w:widowControl/>
        <w:spacing w:line="360" w:lineRule="auto"/>
        <w:ind w:left="851" w:firstLine="480" w:firstLineChars="200"/>
        <w:jc w:val="left"/>
        <w:rPr>
          <w:rFonts w:ascii="宋体" w:hAnsi="宋体" w:cs="宋体"/>
          <w:kern w:val="0"/>
          <w:sz w:val="24"/>
        </w:rPr>
      </w:pPr>
      <w:r>
        <w:rPr>
          <w:rFonts w:hint="eastAsia" w:ascii="宋体" w:hAnsi="宋体" w:cs="宋体"/>
          <w:kern w:val="0"/>
          <w:sz w:val="24"/>
        </w:rPr>
        <w:t>洗过滤网，检查安全阀。</w:t>
      </w:r>
    </w:p>
    <w:p>
      <w:pPr>
        <w:widowControl/>
        <w:numPr>
          <w:ilvl w:val="0"/>
          <w:numId w:val="179"/>
        </w:numPr>
        <w:spacing w:line="360" w:lineRule="auto"/>
        <w:ind w:firstLine="0"/>
        <w:jc w:val="left"/>
        <w:rPr>
          <w:rFonts w:ascii="宋体" w:hAnsi="宋体" w:cs="宋体"/>
          <w:kern w:val="0"/>
          <w:sz w:val="24"/>
        </w:rPr>
      </w:pPr>
      <w:r>
        <w:rPr>
          <w:rFonts w:hint="eastAsia" w:ascii="宋体" w:hAnsi="宋体" w:cs="宋体"/>
          <w:kern w:val="0"/>
          <w:sz w:val="24"/>
        </w:rPr>
        <w:t xml:space="preserve"> 认真做好灭菌后的安全检查，灭菌结束关闭水源、电源、气源。</w:t>
      </w:r>
    </w:p>
    <w:p>
      <w:pPr>
        <w:widowControl/>
        <w:numPr>
          <w:ilvl w:val="0"/>
          <w:numId w:val="178"/>
        </w:numPr>
        <w:tabs>
          <w:tab w:val="left" w:pos="567"/>
          <w:tab w:val="left" w:pos="851"/>
          <w:tab w:val="left" w:pos="993"/>
          <w:tab w:val="left" w:pos="1134"/>
        </w:tabs>
        <w:spacing w:before="100" w:beforeAutospacing="1" w:line="360" w:lineRule="auto"/>
        <w:ind w:left="839" w:hanging="130"/>
        <w:jc w:val="left"/>
        <w:rPr>
          <w:rFonts w:ascii="宋体" w:hAnsi="宋体"/>
          <w:bCs/>
          <w:sz w:val="24"/>
        </w:rPr>
      </w:pPr>
      <w:r>
        <w:rPr>
          <w:rFonts w:hint="eastAsia" w:ascii="宋体" w:hAnsi="宋体"/>
          <w:bCs/>
          <w:sz w:val="24"/>
        </w:rPr>
        <w:t>物品下收、下送组</w:t>
      </w:r>
    </w:p>
    <w:p>
      <w:pPr>
        <w:widowControl/>
        <w:numPr>
          <w:ilvl w:val="0"/>
          <w:numId w:val="180"/>
        </w:numPr>
        <w:spacing w:line="360" w:lineRule="auto"/>
        <w:ind w:firstLine="11"/>
        <w:jc w:val="left"/>
        <w:rPr>
          <w:rFonts w:ascii="宋体" w:hAnsi="宋体" w:cs="宋体"/>
          <w:kern w:val="0"/>
          <w:sz w:val="24"/>
        </w:rPr>
      </w:pPr>
      <w:r>
        <w:rPr>
          <w:rFonts w:hint="eastAsia" w:ascii="宋体" w:hAnsi="宋体" w:cs="宋体"/>
          <w:kern w:val="0"/>
          <w:sz w:val="24"/>
        </w:rPr>
        <w:t>遵守科室规章制度，按时上下班，不得随意请假。</w:t>
      </w:r>
    </w:p>
    <w:p>
      <w:pPr>
        <w:widowControl/>
        <w:numPr>
          <w:ilvl w:val="0"/>
          <w:numId w:val="180"/>
        </w:numPr>
        <w:spacing w:line="360" w:lineRule="auto"/>
        <w:ind w:firstLine="11"/>
        <w:jc w:val="left"/>
        <w:rPr>
          <w:rFonts w:ascii="宋体" w:hAnsi="宋体" w:cs="宋体"/>
          <w:kern w:val="0"/>
          <w:sz w:val="24"/>
        </w:rPr>
      </w:pPr>
      <w:r>
        <w:rPr>
          <w:rFonts w:hint="eastAsia" w:ascii="宋体" w:hAnsi="宋体" w:cs="宋体"/>
          <w:kern w:val="0"/>
          <w:sz w:val="24"/>
        </w:rPr>
        <w:t>负责全院可重复使用物品的回收清点、分类工作。</w:t>
      </w:r>
    </w:p>
    <w:p>
      <w:pPr>
        <w:widowControl/>
        <w:numPr>
          <w:ilvl w:val="0"/>
          <w:numId w:val="180"/>
        </w:numPr>
        <w:spacing w:line="360" w:lineRule="auto"/>
        <w:ind w:firstLine="11"/>
        <w:jc w:val="left"/>
        <w:rPr>
          <w:rFonts w:ascii="宋体" w:hAnsi="宋体" w:cs="宋体"/>
          <w:kern w:val="0"/>
          <w:sz w:val="24"/>
        </w:rPr>
      </w:pPr>
      <w:r>
        <w:rPr>
          <w:rFonts w:hint="eastAsia" w:ascii="宋体" w:hAnsi="宋体" w:cs="宋体"/>
          <w:kern w:val="0"/>
          <w:sz w:val="24"/>
        </w:rPr>
        <w:t>严格执行个人防护和消毒隔离制度，以及严格执行手卫生管理制度。</w:t>
      </w:r>
    </w:p>
    <w:p>
      <w:pPr>
        <w:widowControl/>
        <w:numPr>
          <w:ilvl w:val="0"/>
          <w:numId w:val="180"/>
        </w:numPr>
        <w:spacing w:line="360" w:lineRule="auto"/>
        <w:ind w:firstLine="11"/>
        <w:jc w:val="left"/>
        <w:rPr>
          <w:rFonts w:ascii="宋体" w:hAnsi="宋体" w:cs="宋体"/>
          <w:kern w:val="0"/>
          <w:sz w:val="24"/>
        </w:rPr>
      </w:pPr>
      <w:r>
        <w:rPr>
          <w:rFonts w:hint="eastAsia" w:ascii="宋体" w:hAnsi="宋体" w:cs="宋体"/>
          <w:kern w:val="0"/>
          <w:sz w:val="24"/>
        </w:rPr>
        <w:t>负责特殊污染物品的回收登记与消毒处理。</w:t>
      </w:r>
    </w:p>
    <w:p>
      <w:pPr>
        <w:widowControl/>
        <w:numPr>
          <w:ilvl w:val="0"/>
          <w:numId w:val="180"/>
        </w:numPr>
        <w:spacing w:line="360" w:lineRule="auto"/>
        <w:ind w:firstLine="11"/>
        <w:jc w:val="left"/>
        <w:rPr>
          <w:rFonts w:ascii="宋体" w:hAnsi="宋体" w:cs="宋体"/>
          <w:kern w:val="0"/>
          <w:sz w:val="24"/>
        </w:rPr>
      </w:pPr>
      <w:r>
        <w:rPr>
          <w:rFonts w:hint="eastAsia" w:ascii="宋体" w:hAnsi="宋体" w:cs="宋体"/>
          <w:kern w:val="0"/>
          <w:sz w:val="24"/>
        </w:rPr>
        <w:t>按要求做好各类医疗废物的分类处理工作，预防交叉污染。</w:t>
      </w:r>
    </w:p>
    <w:p>
      <w:pPr>
        <w:widowControl/>
        <w:numPr>
          <w:ilvl w:val="0"/>
          <w:numId w:val="180"/>
        </w:numPr>
        <w:spacing w:line="360" w:lineRule="auto"/>
        <w:ind w:firstLine="11"/>
        <w:jc w:val="left"/>
        <w:rPr>
          <w:rFonts w:ascii="宋体" w:hAnsi="宋体" w:cs="宋体"/>
          <w:kern w:val="0"/>
          <w:sz w:val="24"/>
        </w:rPr>
      </w:pPr>
      <w:r>
        <w:rPr>
          <w:rFonts w:hint="eastAsia" w:ascii="宋体" w:hAnsi="宋体" w:cs="宋体"/>
          <w:kern w:val="0"/>
          <w:sz w:val="24"/>
        </w:rPr>
        <w:t>负责回收台面、车辆与清洗工具的清洗消毒处理并保持整洁。</w:t>
      </w:r>
    </w:p>
    <w:p>
      <w:pPr>
        <w:widowControl/>
        <w:numPr>
          <w:ilvl w:val="0"/>
          <w:numId w:val="180"/>
        </w:numPr>
        <w:spacing w:line="360" w:lineRule="auto"/>
        <w:ind w:firstLine="11"/>
        <w:jc w:val="left"/>
        <w:rPr>
          <w:rFonts w:ascii="宋体" w:hAnsi="宋体" w:cs="宋体"/>
          <w:kern w:val="0"/>
          <w:sz w:val="24"/>
        </w:rPr>
      </w:pPr>
      <w:r>
        <w:rPr>
          <w:rFonts w:hint="eastAsia" w:ascii="宋体" w:hAnsi="宋体" w:cs="宋体"/>
          <w:kern w:val="0"/>
          <w:sz w:val="24"/>
        </w:rPr>
        <w:t>需完成科室清洁卫生工作。</w:t>
      </w:r>
    </w:p>
    <w:p>
      <w:pPr>
        <w:widowControl/>
        <w:numPr>
          <w:ilvl w:val="0"/>
          <w:numId w:val="180"/>
        </w:numPr>
        <w:spacing w:line="360" w:lineRule="auto"/>
        <w:ind w:firstLine="11"/>
        <w:jc w:val="left"/>
        <w:rPr>
          <w:rFonts w:ascii="宋体" w:hAnsi="宋体" w:cs="宋体"/>
          <w:kern w:val="0"/>
          <w:sz w:val="24"/>
        </w:rPr>
      </w:pPr>
      <w:r>
        <w:rPr>
          <w:rFonts w:hint="eastAsia" w:ascii="宋体" w:hAnsi="宋体" w:cs="宋体"/>
          <w:kern w:val="0"/>
          <w:sz w:val="24"/>
        </w:rPr>
        <w:t>保持所管区域的清洁卫生符合要求。</w:t>
      </w:r>
    </w:p>
    <w:p>
      <w:pPr>
        <w:widowControl/>
        <w:numPr>
          <w:ilvl w:val="0"/>
          <w:numId w:val="180"/>
        </w:numPr>
        <w:spacing w:line="360" w:lineRule="auto"/>
        <w:ind w:firstLine="11"/>
        <w:jc w:val="left"/>
        <w:rPr>
          <w:rFonts w:ascii="宋体" w:hAnsi="宋体" w:cs="宋体"/>
          <w:kern w:val="0"/>
          <w:sz w:val="24"/>
        </w:rPr>
      </w:pPr>
      <w:r>
        <w:rPr>
          <w:rFonts w:hint="eastAsia" w:ascii="宋体" w:hAnsi="宋体" w:cs="宋体"/>
          <w:kern w:val="0"/>
          <w:sz w:val="24"/>
        </w:rPr>
        <w:t>服从科室安排，及时完成所分配的各项工作。</w:t>
      </w:r>
    </w:p>
    <w:p>
      <w:pPr>
        <w:widowControl/>
        <w:numPr>
          <w:ilvl w:val="0"/>
          <w:numId w:val="180"/>
        </w:numPr>
        <w:spacing w:line="360" w:lineRule="auto"/>
        <w:ind w:firstLine="11"/>
        <w:jc w:val="left"/>
        <w:rPr>
          <w:rFonts w:ascii="宋体" w:hAnsi="宋体" w:cs="宋体"/>
          <w:kern w:val="0"/>
          <w:sz w:val="24"/>
        </w:rPr>
      </w:pPr>
      <w:r>
        <w:rPr>
          <w:rFonts w:hint="eastAsia" w:ascii="宋体" w:hAnsi="宋体" w:cs="宋体"/>
          <w:kern w:val="0"/>
          <w:sz w:val="24"/>
        </w:rPr>
        <w:t>爱护科内各种物品，严禁违规使用和损坏。</w:t>
      </w:r>
    </w:p>
    <w:p>
      <w:pPr>
        <w:widowControl/>
        <w:numPr>
          <w:ilvl w:val="0"/>
          <w:numId w:val="178"/>
        </w:numPr>
        <w:tabs>
          <w:tab w:val="left" w:pos="567"/>
          <w:tab w:val="left" w:pos="851"/>
          <w:tab w:val="left" w:pos="993"/>
          <w:tab w:val="left" w:pos="1134"/>
        </w:tabs>
        <w:spacing w:before="100" w:beforeAutospacing="1" w:line="360" w:lineRule="auto"/>
        <w:ind w:left="839" w:hanging="130"/>
        <w:jc w:val="left"/>
        <w:rPr>
          <w:rFonts w:ascii="宋体" w:hAnsi="宋体"/>
          <w:bCs/>
          <w:sz w:val="24"/>
        </w:rPr>
      </w:pPr>
      <w:r>
        <w:rPr>
          <w:rFonts w:hint="eastAsia" w:ascii="宋体" w:hAnsi="宋体"/>
          <w:bCs/>
          <w:sz w:val="24"/>
        </w:rPr>
        <w:t>清洗组</w:t>
      </w:r>
    </w:p>
    <w:p>
      <w:pPr>
        <w:widowControl/>
        <w:numPr>
          <w:ilvl w:val="0"/>
          <w:numId w:val="181"/>
        </w:numPr>
        <w:spacing w:line="360" w:lineRule="auto"/>
        <w:ind w:firstLine="11"/>
        <w:jc w:val="left"/>
        <w:rPr>
          <w:rFonts w:ascii="宋体" w:hAnsi="宋体" w:cs="宋体"/>
          <w:kern w:val="0"/>
          <w:sz w:val="24"/>
        </w:rPr>
      </w:pPr>
      <w:r>
        <w:rPr>
          <w:rFonts w:hint="eastAsia" w:ascii="宋体" w:hAnsi="宋体" w:cs="宋体"/>
          <w:kern w:val="0"/>
          <w:sz w:val="24"/>
        </w:rPr>
        <w:t>遵守科室规章制度，按时上下班，不得随意请假。</w:t>
      </w:r>
    </w:p>
    <w:p>
      <w:pPr>
        <w:widowControl/>
        <w:numPr>
          <w:ilvl w:val="0"/>
          <w:numId w:val="181"/>
        </w:numPr>
        <w:spacing w:line="360" w:lineRule="auto"/>
        <w:ind w:firstLine="11"/>
        <w:jc w:val="left"/>
        <w:rPr>
          <w:rFonts w:ascii="宋体" w:hAnsi="宋体" w:cs="宋体"/>
          <w:kern w:val="0"/>
          <w:sz w:val="24"/>
        </w:rPr>
      </w:pPr>
      <w:r>
        <w:rPr>
          <w:rFonts w:hint="eastAsia" w:ascii="宋体" w:hAnsi="宋体" w:cs="宋体"/>
          <w:kern w:val="0"/>
          <w:sz w:val="24"/>
        </w:rPr>
        <w:t>在护士的指导下工作，负责各类可重复使用物品的清洗工作，熟悉</w:t>
      </w:r>
    </w:p>
    <w:p>
      <w:pPr>
        <w:widowControl/>
        <w:spacing w:line="360" w:lineRule="auto"/>
        <w:ind w:left="851" w:firstLine="360" w:firstLineChars="150"/>
        <w:jc w:val="left"/>
        <w:rPr>
          <w:rFonts w:ascii="宋体" w:hAnsi="宋体" w:cs="宋体"/>
          <w:kern w:val="0"/>
          <w:sz w:val="24"/>
        </w:rPr>
      </w:pPr>
      <w:r>
        <w:rPr>
          <w:rFonts w:hint="eastAsia" w:ascii="宋体" w:hAnsi="宋体" w:cs="宋体"/>
          <w:kern w:val="0"/>
          <w:sz w:val="24"/>
        </w:rPr>
        <w:t>各类物品的清洗流程，遵守清洗消毒器及超声清洗机的操作规程及使</w:t>
      </w:r>
    </w:p>
    <w:p>
      <w:pPr>
        <w:widowControl/>
        <w:spacing w:line="360" w:lineRule="auto"/>
        <w:ind w:left="851" w:firstLine="360" w:firstLineChars="150"/>
        <w:jc w:val="left"/>
        <w:rPr>
          <w:rFonts w:ascii="宋体" w:hAnsi="宋体" w:cs="宋体"/>
          <w:kern w:val="0"/>
          <w:sz w:val="24"/>
        </w:rPr>
      </w:pPr>
      <w:r>
        <w:rPr>
          <w:rFonts w:hint="eastAsia" w:ascii="宋体" w:hAnsi="宋体" w:cs="宋体"/>
          <w:kern w:val="0"/>
          <w:sz w:val="24"/>
        </w:rPr>
        <w:t>用注意事项，做好各种清洗设备的日常维护与保养。</w:t>
      </w:r>
    </w:p>
    <w:p>
      <w:pPr>
        <w:widowControl/>
        <w:numPr>
          <w:ilvl w:val="0"/>
          <w:numId w:val="181"/>
        </w:numPr>
        <w:spacing w:line="360" w:lineRule="auto"/>
        <w:ind w:firstLine="11"/>
        <w:jc w:val="left"/>
        <w:rPr>
          <w:rFonts w:ascii="宋体" w:hAnsi="宋体" w:cs="宋体"/>
          <w:kern w:val="0"/>
          <w:sz w:val="24"/>
        </w:rPr>
      </w:pPr>
      <w:r>
        <w:rPr>
          <w:rFonts w:hint="eastAsia" w:ascii="宋体" w:hAnsi="宋体" w:cs="宋体"/>
          <w:kern w:val="0"/>
          <w:sz w:val="24"/>
        </w:rPr>
        <w:t>根据物品性质及污染程度选择合适的清洗方式和流程，避免器械损</w:t>
      </w:r>
    </w:p>
    <w:p>
      <w:pPr>
        <w:widowControl/>
        <w:spacing w:line="360" w:lineRule="auto"/>
        <w:ind w:left="851" w:firstLine="360" w:firstLineChars="150"/>
        <w:jc w:val="left"/>
        <w:rPr>
          <w:rFonts w:ascii="宋体" w:hAnsi="宋体" w:cs="宋体"/>
          <w:kern w:val="0"/>
          <w:sz w:val="24"/>
        </w:rPr>
      </w:pPr>
      <w:r>
        <w:rPr>
          <w:rFonts w:hint="eastAsia" w:ascii="宋体" w:hAnsi="宋体" w:cs="宋体"/>
          <w:kern w:val="0"/>
          <w:sz w:val="24"/>
        </w:rPr>
        <w:t>坏和确保清洗质量。</w:t>
      </w:r>
    </w:p>
    <w:p>
      <w:pPr>
        <w:widowControl/>
        <w:numPr>
          <w:ilvl w:val="0"/>
          <w:numId w:val="181"/>
        </w:numPr>
        <w:spacing w:line="360" w:lineRule="auto"/>
        <w:ind w:firstLine="11"/>
        <w:jc w:val="left"/>
        <w:rPr>
          <w:rFonts w:ascii="宋体" w:hAnsi="宋体" w:cs="宋体"/>
          <w:kern w:val="0"/>
          <w:sz w:val="24"/>
        </w:rPr>
      </w:pPr>
      <w:r>
        <w:rPr>
          <w:rFonts w:hint="eastAsia" w:ascii="宋体" w:hAnsi="宋体" w:cs="宋体"/>
          <w:kern w:val="0"/>
          <w:sz w:val="24"/>
        </w:rPr>
        <w:t>熟练掌握消毒液、清洗液、润滑液、除锈剂的配制方法并保持其有</w:t>
      </w:r>
    </w:p>
    <w:p>
      <w:pPr>
        <w:widowControl/>
        <w:spacing w:line="360" w:lineRule="auto"/>
        <w:ind w:left="851" w:firstLine="360" w:firstLineChars="150"/>
        <w:jc w:val="left"/>
        <w:rPr>
          <w:rFonts w:ascii="宋体" w:hAnsi="宋体" w:cs="宋体"/>
          <w:kern w:val="0"/>
          <w:sz w:val="24"/>
        </w:rPr>
      </w:pPr>
      <w:r>
        <w:rPr>
          <w:rFonts w:hint="eastAsia" w:ascii="宋体" w:hAnsi="宋体" w:cs="宋体"/>
          <w:kern w:val="0"/>
          <w:sz w:val="24"/>
        </w:rPr>
        <w:t>效浓度。</w:t>
      </w:r>
    </w:p>
    <w:p>
      <w:pPr>
        <w:widowControl/>
        <w:numPr>
          <w:ilvl w:val="0"/>
          <w:numId w:val="181"/>
        </w:numPr>
        <w:spacing w:line="360" w:lineRule="auto"/>
        <w:ind w:firstLine="11"/>
        <w:jc w:val="left"/>
        <w:rPr>
          <w:rFonts w:ascii="宋体" w:hAnsi="宋体" w:cs="宋体"/>
          <w:kern w:val="0"/>
          <w:sz w:val="24"/>
        </w:rPr>
      </w:pPr>
      <w:r>
        <w:rPr>
          <w:rFonts w:hint="eastAsia" w:ascii="宋体" w:hAnsi="宋体" w:cs="宋体"/>
          <w:kern w:val="0"/>
          <w:sz w:val="24"/>
        </w:rPr>
        <w:t>严格执行个人防护和消毒隔离制度，防止交叉污染，避免针刺伤。</w:t>
      </w:r>
    </w:p>
    <w:p>
      <w:pPr>
        <w:widowControl/>
        <w:numPr>
          <w:ilvl w:val="0"/>
          <w:numId w:val="181"/>
        </w:numPr>
        <w:spacing w:line="360" w:lineRule="auto"/>
        <w:ind w:firstLine="11"/>
        <w:jc w:val="left"/>
        <w:rPr>
          <w:rFonts w:ascii="宋体" w:hAnsi="宋体" w:cs="宋体"/>
          <w:kern w:val="0"/>
          <w:sz w:val="24"/>
        </w:rPr>
      </w:pPr>
      <w:r>
        <w:rPr>
          <w:rFonts w:hint="eastAsia" w:ascii="宋体" w:hAnsi="宋体" w:cs="宋体"/>
          <w:kern w:val="0"/>
          <w:sz w:val="24"/>
        </w:rPr>
        <w:t>保持去污区清洁、整齐，需完成科室清洁卫生工作。</w:t>
      </w:r>
    </w:p>
    <w:p>
      <w:pPr>
        <w:widowControl/>
        <w:numPr>
          <w:ilvl w:val="0"/>
          <w:numId w:val="181"/>
        </w:numPr>
        <w:spacing w:line="360" w:lineRule="auto"/>
        <w:ind w:firstLine="11"/>
        <w:jc w:val="left"/>
        <w:rPr>
          <w:rFonts w:ascii="宋体" w:hAnsi="宋体" w:cs="宋体"/>
          <w:kern w:val="0"/>
          <w:sz w:val="24"/>
        </w:rPr>
      </w:pPr>
      <w:r>
        <w:rPr>
          <w:rFonts w:hint="eastAsia" w:ascii="宋体" w:hAnsi="宋体" w:cs="宋体"/>
          <w:kern w:val="0"/>
          <w:sz w:val="24"/>
        </w:rPr>
        <w:t>保持所管区域的清洁卫生符合要求。</w:t>
      </w:r>
    </w:p>
    <w:p>
      <w:pPr>
        <w:widowControl/>
        <w:numPr>
          <w:ilvl w:val="0"/>
          <w:numId w:val="181"/>
        </w:numPr>
        <w:spacing w:line="360" w:lineRule="auto"/>
        <w:ind w:firstLine="11"/>
        <w:jc w:val="left"/>
        <w:rPr>
          <w:rFonts w:ascii="宋体" w:hAnsi="宋体" w:cs="宋体"/>
          <w:kern w:val="0"/>
          <w:sz w:val="24"/>
        </w:rPr>
      </w:pPr>
      <w:r>
        <w:rPr>
          <w:rFonts w:hint="eastAsia" w:ascii="宋体" w:hAnsi="宋体" w:cs="宋体"/>
          <w:kern w:val="0"/>
          <w:sz w:val="24"/>
        </w:rPr>
        <w:t>服从科室安排，及时完成所分配的各项工作。</w:t>
      </w:r>
    </w:p>
    <w:p>
      <w:pPr>
        <w:widowControl/>
        <w:numPr>
          <w:ilvl w:val="0"/>
          <w:numId w:val="181"/>
        </w:numPr>
        <w:spacing w:line="360" w:lineRule="auto"/>
        <w:ind w:firstLine="11"/>
        <w:jc w:val="left"/>
        <w:rPr>
          <w:rFonts w:ascii="宋体" w:hAnsi="宋体" w:cs="宋体"/>
          <w:kern w:val="0"/>
          <w:sz w:val="24"/>
        </w:rPr>
      </w:pPr>
      <w:r>
        <w:rPr>
          <w:rFonts w:hint="eastAsia" w:ascii="宋体" w:hAnsi="宋体" w:cs="宋体"/>
          <w:kern w:val="0"/>
          <w:sz w:val="24"/>
        </w:rPr>
        <w:t>爱护科内各种物品，严禁违规使用和损坏。</w:t>
      </w:r>
    </w:p>
    <w:p>
      <w:pPr>
        <w:widowControl/>
        <w:numPr>
          <w:ilvl w:val="0"/>
          <w:numId w:val="178"/>
        </w:numPr>
        <w:tabs>
          <w:tab w:val="left" w:pos="567"/>
          <w:tab w:val="left" w:pos="851"/>
          <w:tab w:val="left" w:pos="993"/>
          <w:tab w:val="left" w:pos="1134"/>
        </w:tabs>
        <w:spacing w:before="100" w:beforeAutospacing="1" w:line="360" w:lineRule="auto"/>
        <w:ind w:left="839" w:hanging="130"/>
        <w:jc w:val="left"/>
        <w:rPr>
          <w:rFonts w:ascii="宋体" w:hAnsi="宋体"/>
          <w:bCs/>
          <w:sz w:val="24"/>
        </w:rPr>
      </w:pPr>
      <w:r>
        <w:rPr>
          <w:rFonts w:hint="eastAsia" w:ascii="宋体" w:hAnsi="宋体"/>
          <w:bCs/>
          <w:sz w:val="24"/>
        </w:rPr>
        <w:t>包布整理及包装组</w:t>
      </w:r>
    </w:p>
    <w:p>
      <w:pPr>
        <w:widowControl/>
        <w:numPr>
          <w:ilvl w:val="0"/>
          <w:numId w:val="182"/>
        </w:numPr>
        <w:spacing w:line="360" w:lineRule="auto"/>
        <w:ind w:firstLine="11"/>
        <w:jc w:val="left"/>
        <w:rPr>
          <w:rFonts w:ascii="宋体" w:hAnsi="宋体" w:cs="宋体"/>
          <w:kern w:val="0"/>
          <w:sz w:val="24"/>
        </w:rPr>
      </w:pPr>
      <w:r>
        <w:rPr>
          <w:rFonts w:hint="eastAsia" w:ascii="宋体" w:hAnsi="宋体" w:cs="宋体"/>
          <w:kern w:val="0"/>
          <w:sz w:val="24"/>
        </w:rPr>
        <w:t>遵守科室规章制度，按时上下班，不得随意请假。</w:t>
      </w:r>
    </w:p>
    <w:p>
      <w:pPr>
        <w:widowControl/>
        <w:numPr>
          <w:ilvl w:val="0"/>
          <w:numId w:val="182"/>
        </w:numPr>
        <w:spacing w:line="360" w:lineRule="auto"/>
        <w:ind w:firstLine="11"/>
        <w:jc w:val="left"/>
        <w:rPr>
          <w:rFonts w:ascii="宋体" w:hAnsi="宋体" w:cs="宋体"/>
          <w:kern w:val="0"/>
          <w:sz w:val="24"/>
        </w:rPr>
      </w:pPr>
      <w:r>
        <w:rPr>
          <w:rFonts w:hint="eastAsia" w:ascii="宋体" w:hAnsi="宋体" w:cs="宋体"/>
          <w:kern w:val="0"/>
          <w:sz w:val="24"/>
        </w:rPr>
        <w:t>在护士的指导下工作，保持检查包装区环境清洁、整齐，各类物品</w:t>
      </w:r>
    </w:p>
    <w:p>
      <w:pPr>
        <w:widowControl/>
        <w:spacing w:line="360" w:lineRule="auto"/>
        <w:ind w:left="851" w:firstLine="360" w:firstLineChars="150"/>
        <w:jc w:val="left"/>
        <w:rPr>
          <w:rFonts w:ascii="宋体" w:hAnsi="宋体" w:cs="宋体"/>
          <w:kern w:val="0"/>
          <w:sz w:val="24"/>
        </w:rPr>
      </w:pPr>
      <w:r>
        <w:rPr>
          <w:rFonts w:hint="eastAsia" w:ascii="宋体" w:hAnsi="宋体" w:cs="宋体"/>
          <w:kern w:val="0"/>
          <w:sz w:val="24"/>
        </w:rPr>
        <w:t>放置规范化。</w:t>
      </w:r>
    </w:p>
    <w:p>
      <w:pPr>
        <w:widowControl/>
        <w:numPr>
          <w:ilvl w:val="0"/>
          <w:numId w:val="182"/>
        </w:numPr>
        <w:spacing w:line="360" w:lineRule="auto"/>
        <w:ind w:firstLine="11"/>
        <w:jc w:val="left"/>
        <w:rPr>
          <w:rFonts w:ascii="宋体" w:hAnsi="宋体" w:cs="宋体"/>
          <w:kern w:val="0"/>
          <w:sz w:val="24"/>
        </w:rPr>
      </w:pPr>
      <w:r>
        <w:rPr>
          <w:rFonts w:hint="eastAsia" w:ascii="宋体" w:hAnsi="宋体" w:cs="宋体"/>
          <w:kern w:val="0"/>
          <w:sz w:val="24"/>
        </w:rPr>
        <w:t>严格执行查对制度，掌握各种器械包的用途，熟悉包内器械的数目、</w:t>
      </w:r>
    </w:p>
    <w:p>
      <w:pPr>
        <w:widowControl/>
        <w:spacing w:line="360" w:lineRule="auto"/>
        <w:ind w:left="851" w:firstLine="360" w:firstLineChars="150"/>
        <w:jc w:val="left"/>
        <w:rPr>
          <w:rFonts w:ascii="宋体" w:hAnsi="宋体" w:cs="宋体"/>
          <w:kern w:val="0"/>
          <w:sz w:val="24"/>
        </w:rPr>
      </w:pPr>
      <w:r>
        <w:rPr>
          <w:rFonts w:hint="eastAsia" w:ascii="宋体" w:hAnsi="宋体" w:cs="宋体"/>
          <w:kern w:val="0"/>
          <w:sz w:val="24"/>
        </w:rPr>
        <w:t>规格及包装注意事项，按质量标准完成各类物品包的包装。</w:t>
      </w:r>
    </w:p>
    <w:p>
      <w:pPr>
        <w:widowControl/>
        <w:numPr>
          <w:ilvl w:val="0"/>
          <w:numId w:val="182"/>
        </w:numPr>
        <w:spacing w:line="360" w:lineRule="auto"/>
        <w:ind w:firstLine="11"/>
        <w:jc w:val="left"/>
        <w:rPr>
          <w:rFonts w:ascii="宋体" w:hAnsi="宋体" w:cs="宋体"/>
          <w:kern w:val="0"/>
          <w:sz w:val="24"/>
        </w:rPr>
      </w:pPr>
      <w:r>
        <w:rPr>
          <w:rFonts w:hint="eastAsia" w:ascii="宋体" w:hAnsi="宋体" w:cs="宋体"/>
          <w:kern w:val="0"/>
          <w:sz w:val="24"/>
        </w:rPr>
        <w:t>物品包装大小、重量、松紧度符合要求。包装材料无破损、中央无</w:t>
      </w:r>
    </w:p>
    <w:p>
      <w:pPr>
        <w:widowControl/>
        <w:spacing w:line="360" w:lineRule="auto"/>
        <w:ind w:left="851" w:firstLine="360" w:firstLineChars="150"/>
        <w:jc w:val="left"/>
        <w:rPr>
          <w:rFonts w:ascii="宋体" w:hAnsi="宋体" w:cs="宋体"/>
          <w:kern w:val="0"/>
          <w:sz w:val="24"/>
        </w:rPr>
      </w:pPr>
      <w:r>
        <w:rPr>
          <w:rFonts w:hint="eastAsia" w:ascii="宋体" w:hAnsi="宋体" w:cs="宋体"/>
          <w:kern w:val="0"/>
          <w:sz w:val="24"/>
        </w:rPr>
        <w:t>缝线。包外物品包标签填写正确、完整。</w:t>
      </w:r>
    </w:p>
    <w:p>
      <w:pPr>
        <w:widowControl/>
        <w:numPr>
          <w:ilvl w:val="0"/>
          <w:numId w:val="182"/>
        </w:numPr>
        <w:spacing w:line="360" w:lineRule="auto"/>
        <w:ind w:firstLine="11"/>
        <w:jc w:val="left"/>
        <w:rPr>
          <w:rFonts w:ascii="宋体" w:hAnsi="宋体" w:cs="宋体"/>
          <w:kern w:val="0"/>
          <w:sz w:val="24"/>
        </w:rPr>
      </w:pPr>
      <w:r>
        <w:rPr>
          <w:rFonts w:hint="eastAsia" w:ascii="宋体" w:hAnsi="宋体" w:cs="宋体"/>
          <w:kern w:val="0"/>
          <w:sz w:val="24"/>
        </w:rPr>
        <w:t>及时补充包布，放置整齐，摆放有序。</w:t>
      </w:r>
    </w:p>
    <w:p>
      <w:pPr>
        <w:widowControl/>
        <w:numPr>
          <w:ilvl w:val="0"/>
          <w:numId w:val="182"/>
        </w:numPr>
        <w:spacing w:line="360" w:lineRule="auto"/>
        <w:ind w:firstLine="11"/>
        <w:jc w:val="left"/>
        <w:rPr>
          <w:rFonts w:ascii="宋体" w:hAnsi="宋体" w:cs="宋体"/>
          <w:kern w:val="0"/>
          <w:sz w:val="24"/>
        </w:rPr>
      </w:pPr>
      <w:r>
        <w:rPr>
          <w:rFonts w:hint="eastAsia" w:ascii="宋体" w:hAnsi="宋体" w:cs="宋体"/>
          <w:kern w:val="0"/>
          <w:sz w:val="24"/>
        </w:rPr>
        <w:t>参与科室清洁卫生工作，保持所管区域的清洁卫生符合要求。</w:t>
      </w:r>
    </w:p>
    <w:p>
      <w:pPr>
        <w:widowControl/>
        <w:numPr>
          <w:ilvl w:val="0"/>
          <w:numId w:val="182"/>
        </w:numPr>
        <w:spacing w:line="360" w:lineRule="auto"/>
        <w:ind w:firstLine="11"/>
        <w:jc w:val="left"/>
        <w:rPr>
          <w:rFonts w:ascii="宋体" w:hAnsi="宋体" w:cs="宋体"/>
          <w:kern w:val="0"/>
          <w:sz w:val="24"/>
        </w:rPr>
      </w:pPr>
      <w:r>
        <w:rPr>
          <w:rFonts w:hint="eastAsia" w:ascii="宋体" w:hAnsi="宋体" w:cs="宋体"/>
          <w:kern w:val="0"/>
          <w:sz w:val="24"/>
        </w:rPr>
        <w:t>服从科室安排，及时完成所分配的各项工作。</w:t>
      </w:r>
    </w:p>
    <w:p>
      <w:pPr>
        <w:widowControl/>
        <w:numPr>
          <w:ilvl w:val="0"/>
          <w:numId w:val="182"/>
        </w:numPr>
        <w:spacing w:line="360" w:lineRule="auto"/>
        <w:ind w:firstLine="11"/>
        <w:jc w:val="left"/>
        <w:rPr>
          <w:rFonts w:ascii="宋体" w:hAnsi="宋体" w:cs="宋体"/>
          <w:kern w:val="0"/>
          <w:sz w:val="24"/>
        </w:rPr>
      </w:pPr>
      <w:r>
        <w:rPr>
          <w:rFonts w:hint="eastAsia" w:ascii="宋体" w:hAnsi="宋体" w:cs="宋体"/>
          <w:kern w:val="0"/>
          <w:sz w:val="24"/>
        </w:rPr>
        <w:t>爱护科内各种物品，严禁违规使用和损坏。</w:t>
      </w:r>
    </w:p>
    <w:p>
      <w:pPr>
        <w:snapToGrid w:val="0"/>
        <w:spacing w:line="360" w:lineRule="auto"/>
        <w:ind w:firstLine="140" w:firstLineChars="58"/>
        <w:rPr>
          <w:b/>
          <w:sz w:val="24"/>
        </w:rPr>
      </w:pPr>
      <w:r>
        <w:rPr>
          <w:rFonts w:hint="eastAsia" w:ascii="宋体" w:hAnsi="宋体"/>
          <w:b/>
          <w:sz w:val="24"/>
        </w:rPr>
        <w:t>2、工作要求</w:t>
      </w:r>
    </w:p>
    <w:p>
      <w:pPr>
        <w:widowControl/>
        <w:numPr>
          <w:ilvl w:val="0"/>
          <w:numId w:val="183"/>
        </w:numPr>
        <w:tabs>
          <w:tab w:val="left" w:pos="567"/>
          <w:tab w:val="left" w:pos="851"/>
          <w:tab w:val="left" w:pos="993"/>
          <w:tab w:val="left" w:pos="1134"/>
        </w:tabs>
        <w:spacing w:line="360" w:lineRule="auto"/>
        <w:ind w:hanging="131"/>
        <w:jc w:val="left"/>
        <w:rPr>
          <w:rFonts w:ascii="宋体" w:hAnsi="宋体"/>
          <w:bCs/>
          <w:sz w:val="24"/>
        </w:rPr>
      </w:pPr>
      <w:r>
        <w:rPr>
          <w:rFonts w:hint="eastAsia" w:ascii="宋体" w:hAnsi="宋体"/>
          <w:bCs/>
          <w:sz w:val="24"/>
        </w:rPr>
        <w:t>学历至少达到初中及以上水平</w:t>
      </w:r>
      <w:r>
        <w:rPr>
          <w:rFonts w:ascii="宋体" w:hAnsi="宋体"/>
          <w:bCs/>
          <w:sz w:val="24"/>
        </w:rPr>
        <w:t>；</w:t>
      </w:r>
    </w:p>
    <w:p>
      <w:pPr>
        <w:widowControl/>
        <w:numPr>
          <w:ilvl w:val="0"/>
          <w:numId w:val="183"/>
        </w:numPr>
        <w:tabs>
          <w:tab w:val="left" w:pos="567"/>
          <w:tab w:val="left" w:pos="851"/>
          <w:tab w:val="left" w:pos="993"/>
          <w:tab w:val="left" w:pos="1134"/>
        </w:tabs>
        <w:spacing w:line="360" w:lineRule="auto"/>
        <w:ind w:hanging="131"/>
        <w:jc w:val="left"/>
        <w:rPr>
          <w:rFonts w:ascii="宋体" w:hAnsi="宋体"/>
          <w:bCs/>
          <w:sz w:val="24"/>
        </w:rPr>
      </w:pPr>
      <w:r>
        <w:rPr>
          <w:rFonts w:ascii="宋体" w:hAnsi="宋体"/>
          <w:bCs/>
          <w:sz w:val="24"/>
        </w:rPr>
        <w:t>操作熟练，符合消毒无菌技术及防止院内交叉感染的感管要求；</w:t>
      </w:r>
    </w:p>
    <w:p>
      <w:pPr>
        <w:widowControl/>
        <w:numPr>
          <w:ilvl w:val="0"/>
          <w:numId w:val="183"/>
        </w:numPr>
        <w:tabs>
          <w:tab w:val="left" w:pos="567"/>
          <w:tab w:val="left" w:pos="851"/>
          <w:tab w:val="left" w:pos="993"/>
          <w:tab w:val="left" w:pos="1134"/>
        </w:tabs>
        <w:spacing w:line="360" w:lineRule="auto"/>
        <w:ind w:hanging="131"/>
        <w:jc w:val="left"/>
        <w:rPr>
          <w:rFonts w:ascii="宋体" w:hAnsi="宋体"/>
          <w:bCs/>
          <w:sz w:val="24"/>
        </w:rPr>
      </w:pPr>
      <w:r>
        <w:rPr>
          <w:rFonts w:ascii="宋体" w:hAnsi="宋体"/>
          <w:bCs/>
          <w:sz w:val="24"/>
        </w:rPr>
        <w:t xml:space="preserve">爱护科室财产，听从护士长的工作安排及调派； </w:t>
      </w:r>
    </w:p>
    <w:p>
      <w:pPr>
        <w:widowControl/>
        <w:numPr>
          <w:ilvl w:val="0"/>
          <w:numId w:val="183"/>
        </w:numPr>
        <w:tabs>
          <w:tab w:val="left" w:pos="567"/>
          <w:tab w:val="left" w:pos="851"/>
          <w:tab w:val="left" w:pos="993"/>
          <w:tab w:val="left" w:pos="1134"/>
        </w:tabs>
        <w:spacing w:line="360" w:lineRule="auto"/>
        <w:ind w:hanging="131"/>
        <w:jc w:val="left"/>
        <w:rPr>
          <w:rFonts w:ascii="宋体" w:hAnsi="宋体"/>
          <w:bCs/>
          <w:sz w:val="24"/>
        </w:rPr>
      </w:pPr>
      <w:r>
        <w:rPr>
          <w:rFonts w:ascii="宋体" w:hAnsi="宋体"/>
          <w:bCs/>
          <w:sz w:val="24"/>
        </w:rPr>
        <w:t>人员要保证稳定，</w:t>
      </w:r>
      <w:r>
        <w:rPr>
          <w:rFonts w:hint="eastAsia" w:ascii="宋体" w:hAnsi="宋体"/>
          <w:bCs/>
          <w:sz w:val="24"/>
        </w:rPr>
        <w:t>不得随意调换；</w:t>
      </w:r>
      <w:r>
        <w:rPr>
          <w:rFonts w:ascii="宋体" w:hAnsi="宋体"/>
          <w:bCs/>
          <w:sz w:val="24"/>
        </w:rPr>
        <w:t>如</w:t>
      </w:r>
      <w:r>
        <w:rPr>
          <w:rFonts w:hint="eastAsia" w:ascii="宋体" w:hAnsi="宋体"/>
          <w:bCs/>
          <w:sz w:val="24"/>
        </w:rPr>
        <w:t>确需</w:t>
      </w:r>
      <w:r>
        <w:rPr>
          <w:rFonts w:ascii="宋体" w:hAnsi="宋体"/>
          <w:bCs/>
          <w:sz w:val="24"/>
        </w:rPr>
        <w:t>调换，必须</w:t>
      </w:r>
      <w:r>
        <w:rPr>
          <w:rFonts w:hint="eastAsia" w:ascii="宋体" w:hAnsi="宋体"/>
          <w:bCs/>
          <w:sz w:val="24"/>
        </w:rPr>
        <w:t xml:space="preserve">保证新调换的员 </w:t>
      </w:r>
    </w:p>
    <w:p>
      <w:pPr>
        <w:widowControl/>
        <w:tabs>
          <w:tab w:val="left" w:pos="567"/>
          <w:tab w:val="left" w:pos="851"/>
          <w:tab w:val="left" w:pos="993"/>
          <w:tab w:val="left" w:pos="1134"/>
        </w:tabs>
        <w:spacing w:line="360" w:lineRule="auto"/>
        <w:ind w:left="840" w:firstLine="240" w:firstLineChars="100"/>
        <w:jc w:val="left"/>
        <w:rPr>
          <w:rFonts w:ascii="宋体" w:hAnsi="宋体"/>
          <w:bCs/>
          <w:sz w:val="24"/>
        </w:rPr>
      </w:pPr>
      <w:r>
        <w:rPr>
          <w:rFonts w:hint="eastAsia" w:ascii="宋体" w:hAnsi="宋体"/>
          <w:bCs/>
          <w:sz w:val="24"/>
        </w:rPr>
        <w:t>工操作</w:t>
      </w:r>
      <w:r>
        <w:rPr>
          <w:rFonts w:ascii="宋体" w:hAnsi="宋体"/>
          <w:bCs/>
          <w:sz w:val="24"/>
        </w:rPr>
        <w:t>熟练，并经所在科室试用</w:t>
      </w:r>
      <w:r>
        <w:rPr>
          <w:rFonts w:hint="eastAsia" w:ascii="宋体" w:hAnsi="宋体"/>
          <w:bCs/>
          <w:sz w:val="24"/>
        </w:rPr>
        <w:t>且</w:t>
      </w:r>
      <w:r>
        <w:rPr>
          <w:rFonts w:ascii="宋体" w:hAnsi="宋体"/>
          <w:bCs/>
          <w:sz w:val="24"/>
        </w:rPr>
        <w:t>得到科室认可后才可进场；</w:t>
      </w:r>
    </w:p>
    <w:p>
      <w:pPr>
        <w:widowControl/>
        <w:numPr>
          <w:ilvl w:val="0"/>
          <w:numId w:val="183"/>
        </w:numPr>
        <w:tabs>
          <w:tab w:val="left" w:pos="567"/>
          <w:tab w:val="left" w:pos="851"/>
          <w:tab w:val="left" w:pos="993"/>
          <w:tab w:val="left" w:pos="1134"/>
        </w:tabs>
        <w:spacing w:line="360" w:lineRule="auto"/>
        <w:ind w:hanging="131"/>
        <w:jc w:val="left"/>
        <w:rPr>
          <w:rFonts w:ascii="宋体" w:hAnsi="宋体"/>
          <w:bCs/>
          <w:sz w:val="24"/>
        </w:rPr>
      </w:pPr>
      <w:r>
        <w:rPr>
          <w:rFonts w:ascii="宋体" w:hAnsi="宋体"/>
          <w:bCs/>
          <w:sz w:val="24"/>
        </w:rPr>
        <w:t>具有一定职业道德；</w:t>
      </w:r>
    </w:p>
    <w:p>
      <w:pPr>
        <w:widowControl/>
        <w:numPr>
          <w:ilvl w:val="0"/>
          <w:numId w:val="183"/>
        </w:numPr>
        <w:tabs>
          <w:tab w:val="left" w:pos="567"/>
          <w:tab w:val="left" w:pos="851"/>
          <w:tab w:val="left" w:pos="993"/>
          <w:tab w:val="left" w:pos="1134"/>
        </w:tabs>
        <w:spacing w:line="360" w:lineRule="auto"/>
        <w:ind w:hanging="131"/>
        <w:jc w:val="left"/>
        <w:rPr>
          <w:rFonts w:ascii="宋体" w:hAnsi="宋体"/>
          <w:bCs/>
          <w:sz w:val="24"/>
        </w:rPr>
      </w:pPr>
      <w:r>
        <w:rPr>
          <w:rFonts w:ascii="宋体" w:hAnsi="宋体"/>
          <w:bCs/>
          <w:sz w:val="24"/>
        </w:rPr>
        <w:t>及时、到位地完成工作任务；</w:t>
      </w:r>
    </w:p>
    <w:p>
      <w:pPr>
        <w:widowControl/>
        <w:numPr>
          <w:ilvl w:val="0"/>
          <w:numId w:val="183"/>
        </w:numPr>
        <w:tabs>
          <w:tab w:val="left" w:pos="567"/>
          <w:tab w:val="left" w:pos="851"/>
          <w:tab w:val="left" w:pos="993"/>
          <w:tab w:val="left" w:pos="1134"/>
        </w:tabs>
        <w:spacing w:line="360" w:lineRule="auto"/>
        <w:ind w:hanging="131"/>
        <w:jc w:val="left"/>
        <w:rPr>
          <w:rFonts w:ascii="宋体" w:hAnsi="宋体"/>
          <w:bCs/>
          <w:sz w:val="24"/>
        </w:rPr>
      </w:pPr>
      <w:r>
        <w:rPr>
          <w:rFonts w:ascii="宋体" w:hAnsi="宋体"/>
          <w:bCs/>
          <w:sz w:val="24"/>
        </w:rPr>
        <w:t>认真保管医院的财物，包括</w:t>
      </w:r>
      <w:r>
        <w:rPr>
          <w:rFonts w:hint="eastAsia" w:ascii="宋体" w:hAnsi="宋体"/>
          <w:bCs/>
          <w:sz w:val="24"/>
        </w:rPr>
        <w:t>包布、器械</w:t>
      </w:r>
      <w:r>
        <w:rPr>
          <w:rFonts w:ascii="宋体" w:hAnsi="宋体"/>
          <w:bCs/>
          <w:sz w:val="24"/>
        </w:rPr>
        <w:t>等。</w:t>
      </w:r>
    </w:p>
    <w:p>
      <w:pPr>
        <w:spacing w:after="120" w:afterLines="50" w:line="360" w:lineRule="auto"/>
        <w:ind w:firstLine="161" w:firstLineChars="67"/>
        <w:rPr>
          <w:rFonts w:ascii="宋体" w:hAnsi="宋体"/>
          <w:b/>
          <w:sz w:val="24"/>
        </w:rPr>
      </w:pPr>
      <w:r>
        <w:rPr>
          <w:rFonts w:hint="eastAsia" w:ascii="宋体" w:hAnsi="宋体"/>
          <w:b/>
          <w:sz w:val="24"/>
        </w:rPr>
        <w:t>3、消毒供应室勤杂工服务质量要求及考核标准</w:t>
      </w:r>
    </w:p>
    <w:tbl>
      <w:tblPr>
        <w:tblStyle w:val="70"/>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6095"/>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4" w:hRule="atLeast"/>
          <w:jc w:val="center"/>
        </w:trPr>
        <w:tc>
          <w:tcPr>
            <w:tcW w:w="1508" w:type="dxa"/>
            <w:vMerge w:val="restart"/>
            <w:noWrap w:val="0"/>
            <w:vAlign w:val="center"/>
          </w:tcPr>
          <w:p>
            <w:pPr>
              <w:widowControl/>
              <w:jc w:val="center"/>
              <w:rPr>
                <w:rFonts w:ascii="宋体" w:hAnsi="宋体" w:cs="宋体"/>
                <w:b/>
                <w:bCs/>
                <w:kern w:val="0"/>
                <w:szCs w:val="21"/>
              </w:rPr>
            </w:pPr>
            <w:r>
              <w:rPr>
                <w:rFonts w:hint="eastAsia" w:ascii="宋体" w:hAnsi="宋体" w:cs="宋体"/>
                <w:b/>
                <w:bCs/>
                <w:kern w:val="0"/>
                <w:szCs w:val="21"/>
              </w:rPr>
              <w:t>考核指标</w:t>
            </w:r>
          </w:p>
        </w:tc>
        <w:tc>
          <w:tcPr>
            <w:tcW w:w="6095" w:type="dxa"/>
            <w:vMerge w:val="restart"/>
            <w:noWrap w:val="0"/>
            <w:vAlign w:val="center"/>
          </w:tcPr>
          <w:p>
            <w:pPr>
              <w:widowControl/>
              <w:jc w:val="center"/>
              <w:rPr>
                <w:rFonts w:ascii="宋体" w:hAnsi="宋体" w:cs="宋体"/>
                <w:b/>
                <w:bCs/>
                <w:kern w:val="0"/>
                <w:szCs w:val="21"/>
              </w:rPr>
            </w:pPr>
            <w:r>
              <w:rPr>
                <w:rFonts w:hint="eastAsia" w:ascii="宋体" w:hAnsi="宋体" w:cs="宋体"/>
                <w:b/>
                <w:bCs/>
                <w:kern w:val="0"/>
                <w:szCs w:val="21"/>
              </w:rPr>
              <w:t>考核内容</w:t>
            </w:r>
          </w:p>
        </w:tc>
        <w:tc>
          <w:tcPr>
            <w:tcW w:w="1386" w:type="dxa"/>
            <w:vMerge w:val="restart"/>
            <w:noWrap w:val="0"/>
            <w:vAlign w:val="center"/>
          </w:tcPr>
          <w:p>
            <w:pPr>
              <w:widowControl/>
              <w:jc w:val="center"/>
              <w:rPr>
                <w:rFonts w:ascii="宋体" w:hAnsi="宋体" w:cs="宋体"/>
                <w:b/>
                <w:bCs/>
                <w:kern w:val="0"/>
                <w:szCs w:val="21"/>
              </w:rPr>
            </w:pPr>
            <w:r>
              <w:rPr>
                <w:rFonts w:hint="eastAsia" w:ascii="宋体" w:hAnsi="宋体" w:cs="宋体"/>
                <w:b/>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2" w:hRule="atLeast"/>
          <w:jc w:val="center"/>
        </w:trPr>
        <w:tc>
          <w:tcPr>
            <w:tcW w:w="1508" w:type="dxa"/>
            <w:vMerge w:val="continue"/>
            <w:noWrap w:val="0"/>
            <w:vAlign w:val="center"/>
          </w:tcPr>
          <w:p>
            <w:pPr>
              <w:widowControl/>
              <w:jc w:val="left"/>
              <w:rPr>
                <w:rFonts w:ascii="宋体" w:hAnsi="宋体" w:cs="宋体"/>
                <w:b/>
                <w:bCs/>
                <w:kern w:val="0"/>
                <w:szCs w:val="21"/>
              </w:rPr>
            </w:pPr>
          </w:p>
        </w:tc>
        <w:tc>
          <w:tcPr>
            <w:tcW w:w="6095" w:type="dxa"/>
            <w:vMerge w:val="continue"/>
            <w:noWrap w:val="0"/>
            <w:vAlign w:val="center"/>
          </w:tcPr>
          <w:p>
            <w:pPr>
              <w:widowControl/>
              <w:jc w:val="left"/>
              <w:rPr>
                <w:rFonts w:ascii="宋体" w:hAnsi="宋体" w:cs="宋体"/>
                <w:b/>
                <w:bCs/>
                <w:kern w:val="0"/>
                <w:szCs w:val="21"/>
              </w:rPr>
            </w:pPr>
          </w:p>
        </w:tc>
        <w:tc>
          <w:tcPr>
            <w:tcW w:w="1386" w:type="dxa"/>
            <w:vMerge w:val="continue"/>
            <w:noWrap w:val="0"/>
            <w:vAlign w:val="center"/>
          </w:tcPr>
          <w:p>
            <w:pPr>
              <w:widowControl/>
              <w:jc w:val="left"/>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508" w:type="dxa"/>
            <w:vMerge w:val="restart"/>
            <w:noWrap w:val="0"/>
            <w:vAlign w:val="center"/>
          </w:tcPr>
          <w:p>
            <w:pPr>
              <w:widowControl/>
              <w:jc w:val="center"/>
              <w:rPr>
                <w:rFonts w:ascii="宋体" w:hAnsi="宋体" w:cs="宋体"/>
                <w:bCs/>
                <w:kern w:val="0"/>
                <w:szCs w:val="21"/>
              </w:rPr>
            </w:pPr>
            <w:r>
              <w:rPr>
                <w:rFonts w:hint="eastAsia" w:ascii="宋体" w:hAnsi="宋体" w:cs="宋体"/>
                <w:bCs/>
                <w:kern w:val="0"/>
                <w:szCs w:val="21"/>
              </w:rPr>
              <w:t>项目</w:t>
            </w:r>
          </w:p>
          <w:p>
            <w:pPr>
              <w:widowControl/>
              <w:jc w:val="center"/>
              <w:rPr>
                <w:rFonts w:ascii="宋体" w:hAnsi="宋体" w:cs="宋体"/>
                <w:bCs/>
                <w:kern w:val="0"/>
                <w:szCs w:val="21"/>
              </w:rPr>
            </w:pPr>
            <w:r>
              <w:rPr>
                <w:rFonts w:hint="eastAsia" w:ascii="宋体" w:hAnsi="宋体" w:cs="宋体"/>
                <w:bCs/>
                <w:kern w:val="0"/>
                <w:szCs w:val="21"/>
              </w:rPr>
              <w:t>负责人</w:t>
            </w:r>
          </w:p>
        </w:tc>
        <w:tc>
          <w:tcPr>
            <w:tcW w:w="6095" w:type="dxa"/>
            <w:noWrap w:val="0"/>
            <w:vAlign w:val="center"/>
          </w:tcPr>
          <w:p>
            <w:pPr>
              <w:numPr>
                <w:ilvl w:val="0"/>
                <w:numId w:val="184"/>
              </w:numPr>
              <w:rPr>
                <w:rFonts w:ascii="宋体" w:hAnsi="宋体"/>
                <w:szCs w:val="21"/>
              </w:rPr>
            </w:pPr>
            <w:r>
              <w:rPr>
                <w:rFonts w:hint="eastAsia" w:ascii="宋体" w:hAnsi="宋体"/>
                <w:szCs w:val="21"/>
              </w:rPr>
              <w:t>熟练掌握各个岗位人员编排等问题，积极做好与区域负责人的沟通工作；</w:t>
            </w:r>
          </w:p>
        </w:tc>
        <w:tc>
          <w:tcPr>
            <w:tcW w:w="1386" w:type="dxa"/>
            <w:vMerge w:val="restart"/>
            <w:noWrap w:val="0"/>
            <w:vAlign w:val="center"/>
          </w:tcPr>
          <w:p>
            <w:pPr>
              <w:widowControl/>
              <w:jc w:val="center"/>
              <w:rPr>
                <w:rFonts w:ascii="宋体" w:hAnsi="宋体" w:cs="宋体"/>
                <w:bCs/>
                <w:kern w:val="0"/>
                <w:szCs w:val="21"/>
              </w:rPr>
            </w:pPr>
            <w:r>
              <w:rPr>
                <w:rFonts w:hint="eastAsia" w:ascii="宋体" w:hAnsi="宋体" w:cs="宋体"/>
                <w:bCs/>
                <w:kern w:val="0"/>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508" w:type="dxa"/>
            <w:vMerge w:val="continue"/>
            <w:noWrap w:val="0"/>
            <w:vAlign w:val="center"/>
          </w:tcPr>
          <w:p>
            <w:pPr>
              <w:widowControl/>
              <w:jc w:val="left"/>
              <w:rPr>
                <w:rFonts w:ascii="宋体" w:hAnsi="宋体" w:cs="宋体"/>
                <w:b/>
                <w:bCs/>
                <w:kern w:val="0"/>
                <w:szCs w:val="21"/>
              </w:rPr>
            </w:pPr>
          </w:p>
        </w:tc>
        <w:tc>
          <w:tcPr>
            <w:tcW w:w="6095" w:type="dxa"/>
            <w:noWrap w:val="0"/>
            <w:vAlign w:val="center"/>
          </w:tcPr>
          <w:p>
            <w:pPr>
              <w:numPr>
                <w:ilvl w:val="0"/>
                <w:numId w:val="184"/>
              </w:numPr>
              <w:rPr>
                <w:rFonts w:ascii="宋体" w:hAnsi="宋体"/>
                <w:szCs w:val="21"/>
              </w:rPr>
            </w:pPr>
            <w:r>
              <w:rPr>
                <w:rFonts w:hint="eastAsia" w:ascii="宋体" w:hAnsi="宋体"/>
                <w:szCs w:val="21"/>
              </w:rPr>
              <w:t>及时落实科室提出的整改意见；</w:t>
            </w:r>
          </w:p>
        </w:tc>
        <w:tc>
          <w:tcPr>
            <w:tcW w:w="1386" w:type="dxa"/>
            <w:vMerge w:val="continue"/>
            <w:noWrap w:val="0"/>
            <w:vAlign w:val="center"/>
          </w:tcPr>
          <w:p>
            <w:pPr>
              <w:widowControl/>
              <w:jc w:val="left"/>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508" w:type="dxa"/>
            <w:vMerge w:val="continue"/>
            <w:noWrap w:val="0"/>
            <w:vAlign w:val="center"/>
          </w:tcPr>
          <w:p>
            <w:pPr>
              <w:widowControl/>
              <w:jc w:val="left"/>
              <w:rPr>
                <w:rFonts w:ascii="宋体" w:hAnsi="宋体" w:cs="宋体"/>
                <w:b/>
                <w:bCs/>
                <w:kern w:val="0"/>
                <w:szCs w:val="21"/>
              </w:rPr>
            </w:pPr>
          </w:p>
        </w:tc>
        <w:tc>
          <w:tcPr>
            <w:tcW w:w="6095" w:type="dxa"/>
            <w:noWrap w:val="0"/>
            <w:vAlign w:val="center"/>
          </w:tcPr>
          <w:p>
            <w:pPr>
              <w:numPr>
                <w:ilvl w:val="0"/>
                <w:numId w:val="184"/>
              </w:numPr>
              <w:rPr>
                <w:rFonts w:ascii="宋体" w:hAnsi="宋体"/>
                <w:szCs w:val="21"/>
              </w:rPr>
            </w:pPr>
            <w:r>
              <w:rPr>
                <w:rFonts w:hint="eastAsia" w:ascii="宋体" w:hAnsi="宋体"/>
                <w:szCs w:val="21"/>
              </w:rPr>
              <w:t>积极执行科室临时交办的工作任务；</w:t>
            </w:r>
          </w:p>
        </w:tc>
        <w:tc>
          <w:tcPr>
            <w:tcW w:w="1386" w:type="dxa"/>
            <w:vMerge w:val="continue"/>
            <w:noWrap w:val="0"/>
            <w:vAlign w:val="center"/>
          </w:tcPr>
          <w:p>
            <w:pPr>
              <w:widowControl/>
              <w:jc w:val="left"/>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508" w:type="dxa"/>
            <w:vMerge w:val="continue"/>
            <w:noWrap w:val="0"/>
            <w:vAlign w:val="center"/>
          </w:tcPr>
          <w:p>
            <w:pPr>
              <w:widowControl/>
              <w:jc w:val="left"/>
              <w:rPr>
                <w:rFonts w:ascii="宋体" w:hAnsi="宋体" w:cs="宋体"/>
                <w:b/>
                <w:bCs/>
                <w:kern w:val="0"/>
                <w:szCs w:val="21"/>
              </w:rPr>
            </w:pPr>
          </w:p>
        </w:tc>
        <w:tc>
          <w:tcPr>
            <w:tcW w:w="6095" w:type="dxa"/>
            <w:noWrap w:val="0"/>
            <w:vAlign w:val="center"/>
          </w:tcPr>
          <w:p>
            <w:pPr>
              <w:numPr>
                <w:ilvl w:val="0"/>
                <w:numId w:val="184"/>
              </w:numPr>
              <w:rPr>
                <w:rFonts w:ascii="宋体" w:hAnsi="宋体"/>
                <w:szCs w:val="21"/>
              </w:rPr>
            </w:pPr>
            <w:r>
              <w:rPr>
                <w:rFonts w:hint="eastAsia" w:ascii="宋体" w:hAnsi="宋体"/>
                <w:szCs w:val="21"/>
              </w:rPr>
              <w:t>负责各个区域的环境卫生检查工作，确保物品摆放整齐有序、环境卫生干净整洁、设施设备状况良好，及时做好巡视检查记录；</w:t>
            </w:r>
          </w:p>
        </w:tc>
        <w:tc>
          <w:tcPr>
            <w:tcW w:w="1386" w:type="dxa"/>
            <w:vMerge w:val="continue"/>
            <w:noWrap w:val="0"/>
            <w:vAlign w:val="center"/>
          </w:tcPr>
          <w:p>
            <w:pPr>
              <w:widowControl/>
              <w:jc w:val="left"/>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508" w:type="dxa"/>
            <w:vMerge w:val="continue"/>
            <w:noWrap w:val="0"/>
            <w:vAlign w:val="center"/>
          </w:tcPr>
          <w:p>
            <w:pPr>
              <w:widowControl/>
              <w:jc w:val="left"/>
              <w:rPr>
                <w:rFonts w:ascii="宋体" w:hAnsi="宋体" w:cs="宋体"/>
                <w:b/>
                <w:bCs/>
                <w:kern w:val="0"/>
                <w:szCs w:val="21"/>
              </w:rPr>
            </w:pPr>
          </w:p>
        </w:tc>
        <w:tc>
          <w:tcPr>
            <w:tcW w:w="6095" w:type="dxa"/>
            <w:noWrap w:val="0"/>
            <w:vAlign w:val="center"/>
          </w:tcPr>
          <w:p>
            <w:pPr>
              <w:widowControl/>
              <w:numPr>
                <w:ilvl w:val="0"/>
                <w:numId w:val="184"/>
              </w:numPr>
              <w:jc w:val="left"/>
              <w:rPr>
                <w:rFonts w:ascii="宋体" w:hAnsi="宋体" w:cs="宋体"/>
                <w:bCs/>
                <w:kern w:val="0"/>
                <w:szCs w:val="21"/>
              </w:rPr>
            </w:pPr>
            <w:r>
              <w:rPr>
                <w:rFonts w:hint="eastAsia" w:ascii="宋体" w:hAnsi="宋体"/>
                <w:szCs w:val="21"/>
              </w:rPr>
              <w:t>如发生突发性事件，应设法采取应急措施，制止事态的扩大，及时向医院管理部门报告。</w:t>
            </w:r>
          </w:p>
        </w:tc>
        <w:tc>
          <w:tcPr>
            <w:tcW w:w="1386" w:type="dxa"/>
            <w:vMerge w:val="continue"/>
            <w:noWrap w:val="0"/>
            <w:vAlign w:val="center"/>
          </w:tcPr>
          <w:p>
            <w:pPr>
              <w:widowControl/>
              <w:jc w:val="left"/>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150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工作</w:t>
            </w:r>
          </w:p>
          <w:p>
            <w:pPr>
              <w:widowControl/>
              <w:jc w:val="center"/>
              <w:rPr>
                <w:rFonts w:ascii="宋体" w:hAnsi="宋体" w:cs="宋体"/>
                <w:kern w:val="0"/>
                <w:szCs w:val="21"/>
              </w:rPr>
            </w:pPr>
            <w:r>
              <w:rPr>
                <w:rFonts w:hint="eastAsia" w:ascii="宋体" w:hAnsi="宋体" w:cs="宋体"/>
                <w:kern w:val="0"/>
                <w:szCs w:val="21"/>
              </w:rPr>
              <w:t>质量</w:t>
            </w:r>
          </w:p>
        </w:tc>
        <w:tc>
          <w:tcPr>
            <w:tcW w:w="6095" w:type="dxa"/>
            <w:noWrap w:val="0"/>
            <w:vAlign w:val="center"/>
          </w:tcPr>
          <w:p>
            <w:pPr>
              <w:widowControl/>
              <w:numPr>
                <w:ilvl w:val="0"/>
                <w:numId w:val="185"/>
              </w:numPr>
              <w:jc w:val="left"/>
              <w:rPr>
                <w:rFonts w:ascii="宋体" w:hAnsi="宋体" w:cs="宋体"/>
                <w:kern w:val="0"/>
                <w:szCs w:val="21"/>
              </w:rPr>
            </w:pPr>
            <w:r>
              <w:rPr>
                <w:rFonts w:hint="eastAsia" w:ascii="宋体" w:hAnsi="宋体" w:cs="宋体"/>
                <w:kern w:val="0"/>
                <w:szCs w:val="21"/>
              </w:rPr>
              <w:t>按要求完成分配的工作任务；</w:t>
            </w:r>
          </w:p>
        </w:tc>
        <w:tc>
          <w:tcPr>
            <w:tcW w:w="1386"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1508" w:type="dxa"/>
            <w:vMerge w:val="continue"/>
            <w:noWrap w:val="0"/>
            <w:vAlign w:val="center"/>
          </w:tcPr>
          <w:p>
            <w:pPr>
              <w:widowControl/>
              <w:jc w:val="left"/>
              <w:rPr>
                <w:rFonts w:ascii="宋体" w:hAnsi="宋体" w:cs="宋体"/>
                <w:kern w:val="0"/>
                <w:szCs w:val="21"/>
              </w:rPr>
            </w:pPr>
          </w:p>
        </w:tc>
        <w:tc>
          <w:tcPr>
            <w:tcW w:w="6095" w:type="dxa"/>
            <w:noWrap w:val="0"/>
            <w:vAlign w:val="center"/>
          </w:tcPr>
          <w:p>
            <w:pPr>
              <w:widowControl/>
              <w:numPr>
                <w:ilvl w:val="0"/>
                <w:numId w:val="185"/>
              </w:numPr>
              <w:jc w:val="left"/>
              <w:rPr>
                <w:rFonts w:ascii="宋体" w:hAnsi="宋体" w:cs="宋体"/>
                <w:kern w:val="0"/>
                <w:szCs w:val="21"/>
              </w:rPr>
            </w:pPr>
            <w:r>
              <w:rPr>
                <w:rFonts w:hint="eastAsia" w:ascii="宋体" w:hAnsi="宋体" w:cs="宋体"/>
                <w:kern w:val="0"/>
                <w:szCs w:val="21"/>
              </w:rPr>
              <w:t>接触无菌物品，按要求消毒双手；</w:t>
            </w:r>
          </w:p>
        </w:tc>
        <w:tc>
          <w:tcPr>
            <w:tcW w:w="1386"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1508" w:type="dxa"/>
            <w:vMerge w:val="continue"/>
            <w:noWrap w:val="0"/>
            <w:vAlign w:val="center"/>
          </w:tcPr>
          <w:p>
            <w:pPr>
              <w:widowControl/>
              <w:jc w:val="left"/>
              <w:rPr>
                <w:rFonts w:ascii="宋体" w:hAnsi="宋体" w:cs="宋体"/>
                <w:kern w:val="0"/>
                <w:szCs w:val="21"/>
              </w:rPr>
            </w:pPr>
          </w:p>
        </w:tc>
        <w:tc>
          <w:tcPr>
            <w:tcW w:w="6095" w:type="dxa"/>
            <w:noWrap w:val="0"/>
            <w:vAlign w:val="center"/>
          </w:tcPr>
          <w:p>
            <w:pPr>
              <w:widowControl/>
              <w:numPr>
                <w:ilvl w:val="0"/>
                <w:numId w:val="185"/>
              </w:numPr>
              <w:jc w:val="left"/>
              <w:rPr>
                <w:rFonts w:ascii="宋体" w:hAnsi="宋体" w:cs="宋体"/>
                <w:kern w:val="0"/>
                <w:szCs w:val="21"/>
              </w:rPr>
            </w:pPr>
            <w:r>
              <w:rPr>
                <w:rFonts w:hint="eastAsia" w:ascii="宋体" w:hAnsi="宋体" w:cs="宋体"/>
                <w:kern w:val="0"/>
                <w:szCs w:val="21"/>
              </w:rPr>
              <w:t>能主动积极参与装锅工作；</w:t>
            </w:r>
          </w:p>
        </w:tc>
        <w:tc>
          <w:tcPr>
            <w:tcW w:w="1386"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1508" w:type="dxa"/>
            <w:vMerge w:val="continue"/>
            <w:noWrap w:val="0"/>
            <w:vAlign w:val="center"/>
          </w:tcPr>
          <w:p>
            <w:pPr>
              <w:widowControl/>
              <w:jc w:val="left"/>
              <w:rPr>
                <w:rFonts w:ascii="宋体" w:hAnsi="宋体" w:cs="宋体"/>
                <w:kern w:val="0"/>
                <w:szCs w:val="21"/>
              </w:rPr>
            </w:pPr>
          </w:p>
        </w:tc>
        <w:tc>
          <w:tcPr>
            <w:tcW w:w="6095" w:type="dxa"/>
            <w:noWrap w:val="0"/>
            <w:vAlign w:val="center"/>
          </w:tcPr>
          <w:p>
            <w:pPr>
              <w:widowControl/>
              <w:numPr>
                <w:ilvl w:val="0"/>
                <w:numId w:val="185"/>
              </w:numPr>
              <w:jc w:val="left"/>
              <w:rPr>
                <w:rFonts w:ascii="宋体" w:hAnsi="宋体" w:cs="宋体"/>
                <w:kern w:val="0"/>
                <w:szCs w:val="21"/>
              </w:rPr>
            </w:pPr>
            <w:r>
              <w:rPr>
                <w:rFonts w:hint="eastAsia" w:ascii="宋体" w:hAnsi="宋体" w:cs="宋体"/>
                <w:kern w:val="0"/>
                <w:szCs w:val="21"/>
              </w:rPr>
              <w:t>及时整理包布和洞巾；</w:t>
            </w:r>
          </w:p>
        </w:tc>
        <w:tc>
          <w:tcPr>
            <w:tcW w:w="1386"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1508" w:type="dxa"/>
            <w:vMerge w:val="continue"/>
            <w:noWrap w:val="0"/>
            <w:vAlign w:val="center"/>
          </w:tcPr>
          <w:p>
            <w:pPr>
              <w:widowControl/>
              <w:jc w:val="left"/>
              <w:rPr>
                <w:rFonts w:ascii="宋体" w:hAnsi="宋体" w:cs="宋体"/>
                <w:kern w:val="0"/>
                <w:szCs w:val="21"/>
              </w:rPr>
            </w:pPr>
          </w:p>
        </w:tc>
        <w:tc>
          <w:tcPr>
            <w:tcW w:w="6095" w:type="dxa"/>
            <w:noWrap w:val="0"/>
            <w:vAlign w:val="center"/>
          </w:tcPr>
          <w:p>
            <w:pPr>
              <w:widowControl/>
              <w:numPr>
                <w:ilvl w:val="0"/>
                <w:numId w:val="185"/>
              </w:numPr>
              <w:jc w:val="left"/>
              <w:rPr>
                <w:rFonts w:ascii="宋体" w:hAnsi="宋体" w:cs="宋体"/>
                <w:kern w:val="0"/>
                <w:szCs w:val="21"/>
              </w:rPr>
            </w:pPr>
            <w:r>
              <w:rPr>
                <w:rFonts w:hint="eastAsia" w:ascii="宋体" w:hAnsi="宋体" w:cs="宋体"/>
                <w:kern w:val="0"/>
                <w:szCs w:val="21"/>
              </w:rPr>
              <w:t>能处理简单的仪器故障；</w:t>
            </w:r>
          </w:p>
        </w:tc>
        <w:tc>
          <w:tcPr>
            <w:tcW w:w="1386"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1508" w:type="dxa"/>
            <w:vMerge w:val="continue"/>
            <w:noWrap w:val="0"/>
            <w:vAlign w:val="center"/>
          </w:tcPr>
          <w:p>
            <w:pPr>
              <w:widowControl/>
              <w:jc w:val="left"/>
              <w:rPr>
                <w:rFonts w:ascii="宋体" w:hAnsi="宋体" w:cs="宋体"/>
                <w:kern w:val="0"/>
                <w:szCs w:val="21"/>
              </w:rPr>
            </w:pPr>
          </w:p>
        </w:tc>
        <w:tc>
          <w:tcPr>
            <w:tcW w:w="6095" w:type="dxa"/>
            <w:noWrap w:val="0"/>
            <w:vAlign w:val="center"/>
          </w:tcPr>
          <w:p>
            <w:pPr>
              <w:widowControl/>
              <w:numPr>
                <w:ilvl w:val="0"/>
                <w:numId w:val="185"/>
              </w:numPr>
              <w:jc w:val="left"/>
              <w:rPr>
                <w:rFonts w:ascii="宋体" w:hAnsi="宋体" w:cs="宋体"/>
                <w:kern w:val="0"/>
                <w:szCs w:val="21"/>
              </w:rPr>
            </w:pPr>
            <w:r>
              <w:rPr>
                <w:rFonts w:hint="eastAsia" w:ascii="宋体" w:hAnsi="宋体" w:cs="宋体"/>
                <w:kern w:val="0"/>
                <w:szCs w:val="21"/>
              </w:rPr>
              <w:t>按要求及时清洗器械，保证干净无污；</w:t>
            </w:r>
          </w:p>
        </w:tc>
        <w:tc>
          <w:tcPr>
            <w:tcW w:w="1386"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1508" w:type="dxa"/>
            <w:vMerge w:val="continue"/>
            <w:noWrap w:val="0"/>
            <w:vAlign w:val="center"/>
          </w:tcPr>
          <w:p>
            <w:pPr>
              <w:widowControl/>
              <w:jc w:val="left"/>
              <w:rPr>
                <w:rFonts w:ascii="宋体" w:hAnsi="宋体" w:cs="宋体"/>
                <w:kern w:val="0"/>
                <w:szCs w:val="21"/>
              </w:rPr>
            </w:pPr>
          </w:p>
        </w:tc>
        <w:tc>
          <w:tcPr>
            <w:tcW w:w="6095" w:type="dxa"/>
            <w:noWrap w:val="0"/>
            <w:vAlign w:val="center"/>
          </w:tcPr>
          <w:p>
            <w:pPr>
              <w:widowControl/>
              <w:numPr>
                <w:ilvl w:val="0"/>
                <w:numId w:val="185"/>
              </w:numPr>
              <w:jc w:val="left"/>
              <w:rPr>
                <w:rFonts w:ascii="宋体" w:hAnsi="宋体" w:cs="宋体"/>
                <w:kern w:val="0"/>
                <w:szCs w:val="21"/>
              </w:rPr>
            </w:pPr>
            <w:r>
              <w:rPr>
                <w:rFonts w:hint="eastAsia" w:ascii="宋体" w:hAnsi="宋体" w:cs="宋体"/>
                <w:kern w:val="0"/>
                <w:szCs w:val="21"/>
              </w:rPr>
              <w:t>按要求完成卫生包干区的清洁工作、倾倒仪器积水。</w:t>
            </w:r>
          </w:p>
        </w:tc>
        <w:tc>
          <w:tcPr>
            <w:tcW w:w="1386"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50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设施管理</w:t>
            </w:r>
          </w:p>
        </w:tc>
        <w:tc>
          <w:tcPr>
            <w:tcW w:w="6095" w:type="dxa"/>
            <w:noWrap w:val="0"/>
            <w:vAlign w:val="center"/>
          </w:tcPr>
          <w:p>
            <w:pPr>
              <w:widowControl/>
              <w:numPr>
                <w:ilvl w:val="0"/>
                <w:numId w:val="186"/>
              </w:numPr>
              <w:jc w:val="left"/>
              <w:rPr>
                <w:rFonts w:ascii="宋体" w:hAnsi="宋体"/>
                <w:kern w:val="0"/>
                <w:szCs w:val="21"/>
              </w:rPr>
            </w:pPr>
            <w:r>
              <w:rPr>
                <w:rFonts w:hint="eastAsia" w:ascii="宋体" w:hAnsi="宋体"/>
                <w:kern w:val="0"/>
                <w:szCs w:val="21"/>
              </w:rPr>
              <w:t>负责公共区域照明灯及电扇的及时开关；参与科室的环境卫生设施等管理；</w:t>
            </w:r>
          </w:p>
        </w:tc>
        <w:tc>
          <w:tcPr>
            <w:tcW w:w="1386" w:type="dxa"/>
            <w:vMerge w:val="restart"/>
            <w:noWrap w:val="0"/>
            <w:vAlign w:val="center"/>
          </w:tcPr>
          <w:p>
            <w:pPr>
              <w:widowControl/>
              <w:jc w:val="center"/>
              <w:rPr>
                <w:rFonts w:ascii="宋体" w:hAnsi="宋体" w:cs="宋体"/>
                <w:kern w:val="0"/>
                <w:szCs w:val="21"/>
              </w:rPr>
            </w:pPr>
            <w:r>
              <w:rPr>
                <w:rFonts w:ascii="宋体" w:hAnsi="宋体"/>
                <w:kern w:val="0"/>
                <w:szCs w:val="21"/>
              </w:rPr>
              <w:t>0-5</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508" w:type="dxa"/>
            <w:vMerge w:val="continue"/>
            <w:noWrap w:val="0"/>
            <w:vAlign w:val="center"/>
          </w:tcPr>
          <w:p>
            <w:pPr>
              <w:widowControl/>
              <w:jc w:val="left"/>
              <w:rPr>
                <w:rFonts w:ascii="宋体" w:hAnsi="宋体" w:cs="宋体"/>
                <w:kern w:val="0"/>
                <w:szCs w:val="21"/>
              </w:rPr>
            </w:pPr>
          </w:p>
        </w:tc>
        <w:tc>
          <w:tcPr>
            <w:tcW w:w="6095" w:type="dxa"/>
            <w:noWrap w:val="0"/>
            <w:vAlign w:val="center"/>
          </w:tcPr>
          <w:p>
            <w:pPr>
              <w:widowControl/>
              <w:numPr>
                <w:ilvl w:val="0"/>
                <w:numId w:val="186"/>
              </w:numPr>
              <w:jc w:val="left"/>
              <w:rPr>
                <w:rFonts w:ascii="宋体" w:hAnsi="宋体"/>
                <w:kern w:val="0"/>
                <w:szCs w:val="21"/>
              </w:rPr>
            </w:pPr>
            <w:r>
              <w:rPr>
                <w:rFonts w:hint="eastAsia" w:ascii="宋体" w:hAnsi="宋体"/>
                <w:kern w:val="0"/>
                <w:szCs w:val="21"/>
              </w:rPr>
              <w:t>空调的温度符合标准（空调温度夏天不得低于</w:t>
            </w:r>
            <w:r>
              <w:rPr>
                <w:rFonts w:ascii="宋体" w:hAnsi="宋体"/>
                <w:kern w:val="0"/>
                <w:szCs w:val="21"/>
              </w:rPr>
              <w:t>25</w:t>
            </w:r>
            <w:r>
              <w:rPr>
                <w:rFonts w:hint="eastAsia" w:ascii="宋体" w:hAnsi="宋体"/>
                <w:kern w:val="0"/>
                <w:szCs w:val="21"/>
              </w:rPr>
              <w:t>℃，冬天不得高于20℃）。</w:t>
            </w:r>
          </w:p>
        </w:tc>
        <w:tc>
          <w:tcPr>
            <w:tcW w:w="1386"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50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仪表要求</w:t>
            </w:r>
          </w:p>
        </w:tc>
        <w:tc>
          <w:tcPr>
            <w:tcW w:w="6095" w:type="dxa"/>
            <w:noWrap w:val="0"/>
            <w:vAlign w:val="center"/>
          </w:tcPr>
          <w:p>
            <w:pPr>
              <w:widowControl/>
              <w:numPr>
                <w:ilvl w:val="0"/>
                <w:numId w:val="187"/>
              </w:numPr>
              <w:jc w:val="left"/>
              <w:rPr>
                <w:rFonts w:ascii="宋体" w:hAnsi="宋体" w:cs="宋体"/>
                <w:kern w:val="0"/>
                <w:szCs w:val="21"/>
              </w:rPr>
            </w:pPr>
            <w:r>
              <w:rPr>
                <w:rFonts w:hint="eastAsia" w:ascii="宋体" w:hAnsi="宋体" w:cs="宋体"/>
                <w:kern w:val="0"/>
                <w:szCs w:val="21"/>
              </w:rPr>
              <w:t>统一穿着岗位服装、鞋子；</w:t>
            </w:r>
          </w:p>
        </w:tc>
        <w:tc>
          <w:tcPr>
            <w:tcW w:w="1386"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508" w:type="dxa"/>
            <w:vMerge w:val="continue"/>
            <w:noWrap w:val="0"/>
            <w:vAlign w:val="center"/>
          </w:tcPr>
          <w:p>
            <w:pPr>
              <w:widowControl/>
              <w:jc w:val="left"/>
              <w:rPr>
                <w:rFonts w:ascii="宋体" w:hAnsi="宋体" w:cs="宋体"/>
                <w:kern w:val="0"/>
                <w:szCs w:val="21"/>
              </w:rPr>
            </w:pPr>
          </w:p>
        </w:tc>
        <w:tc>
          <w:tcPr>
            <w:tcW w:w="6095" w:type="dxa"/>
            <w:noWrap w:val="0"/>
            <w:vAlign w:val="center"/>
          </w:tcPr>
          <w:p>
            <w:pPr>
              <w:widowControl/>
              <w:numPr>
                <w:ilvl w:val="0"/>
                <w:numId w:val="187"/>
              </w:numPr>
              <w:jc w:val="left"/>
              <w:rPr>
                <w:rFonts w:ascii="宋体" w:hAnsi="宋体" w:cs="宋体"/>
                <w:kern w:val="0"/>
                <w:szCs w:val="21"/>
              </w:rPr>
            </w:pPr>
            <w:r>
              <w:rPr>
                <w:rFonts w:hint="eastAsia" w:ascii="宋体" w:hAnsi="宋体" w:cs="宋体"/>
                <w:kern w:val="0"/>
                <w:szCs w:val="21"/>
              </w:rPr>
              <w:t>统一配挂工作牌；</w:t>
            </w:r>
          </w:p>
        </w:tc>
        <w:tc>
          <w:tcPr>
            <w:tcW w:w="1386"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508" w:type="dxa"/>
            <w:vMerge w:val="continue"/>
            <w:noWrap w:val="0"/>
            <w:vAlign w:val="center"/>
          </w:tcPr>
          <w:p>
            <w:pPr>
              <w:widowControl/>
              <w:jc w:val="left"/>
              <w:rPr>
                <w:rFonts w:ascii="宋体" w:hAnsi="宋体" w:cs="宋体"/>
                <w:kern w:val="0"/>
                <w:szCs w:val="21"/>
              </w:rPr>
            </w:pPr>
          </w:p>
        </w:tc>
        <w:tc>
          <w:tcPr>
            <w:tcW w:w="6095" w:type="dxa"/>
            <w:noWrap w:val="0"/>
            <w:vAlign w:val="center"/>
          </w:tcPr>
          <w:p>
            <w:pPr>
              <w:widowControl/>
              <w:numPr>
                <w:ilvl w:val="0"/>
                <w:numId w:val="187"/>
              </w:numPr>
              <w:jc w:val="left"/>
              <w:rPr>
                <w:rFonts w:ascii="宋体" w:hAnsi="宋体" w:cs="宋体"/>
                <w:kern w:val="0"/>
                <w:szCs w:val="21"/>
              </w:rPr>
            </w:pPr>
            <w:r>
              <w:rPr>
                <w:rFonts w:hint="eastAsia" w:ascii="宋体" w:hAnsi="宋体" w:cs="宋体"/>
                <w:kern w:val="0"/>
                <w:szCs w:val="21"/>
              </w:rPr>
              <w:t>不留长指甲、不佩戴首饰等物件。</w:t>
            </w:r>
          </w:p>
        </w:tc>
        <w:tc>
          <w:tcPr>
            <w:tcW w:w="1386"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50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劳动纪律</w:t>
            </w:r>
          </w:p>
        </w:tc>
        <w:tc>
          <w:tcPr>
            <w:tcW w:w="6095" w:type="dxa"/>
            <w:noWrap w:val="0"/>
            <w:vAlign w:val="center"/>
          </w:tcPr>
          <w:p>
            <w:pPr>
              <w:widowControl/>
              <w:numPr>
                <w:ilvl w:val="0"/>
                <w:numId w:val="188"/>
              </w:numPr>
              <w:jc w:val="left"/>
              <w:rPr>
                <w:rFonts w:ascii="宋体" w:hAnsi="宋体" w:cs="宋体"/>
                <w:kern w:val="0"/>
                <w:szCs w:val="21"/>
              </w:rPr>
            </w:pPr>
            <w:r>
              <w:rPr>
                <w:rFonts w:hint="eastAsia" w:ascii="宋体" w:hAnsi="宋体" w:cs="宋体"/>
                <w:kern w:val="0"/>
                <w:szCs w:val="21"/>
              </w:rPr>
              <w:t>不迟到、早退；</w:t>
            </w:r>
          </w:p>
        </w:tc>
        <w:tc>
          <w:tcPr>
            <w:tcW w:w="1386"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508" w:type="dxa"/>
            <w:vMerge w:val="continue"/>
            <w:noWrap w:val="0"/>
            <w:vAlign w:val="center"/>
          </w:tcPr>
          <w:p>
            <w:pPr>
              <w:widowControl/>
              <w:jc w:val="left"/>
              <w:rPr>
                <w:rFonts w:ascii="宋体" w:hAnsi="宋体" w:cs="宋体"/>
                <w:kern w:val="0"/>
                <w:szCs w:val="21"/>
              </w:rPr>
            </w:pPr>
          </w:p>
        </w:tc>
        <w:tc>
          <w:tcPr>
            <w:tcW w:w="6095" w:type="dxa"/>
            <w:noWrap w:val="0"/>
            <w:vAlign w:val="center"/>
          </w:tcPr>
          <w:p>
            <w:pPr>
              <w:widowControl/>
              <w:numPr>
                <w:ilvl w:val="0"/>
                <w:numId w:val="188"/>
              </w:numPr>
              <w:jc w:val="left"/>
              <w:rPr>
                <w:rFonts w:ascii="宋体" w:hAnsi="宋体" w:cs="宋体"/>
                <w:kern w:val="0"/>
                <w:szCs w:val="21"/>
              </w:rPr>
            </w:pPr>
            <w:r>
              <w:rPr>
                <w:rFonts w:hint="eastAsia" w:ascii="宋体" w:hAnsi="宋体" w:cs="宋体"/>
                <w:kern w:val="0"/>
                <w:szCs w:val="21"/>
              </w:rPr>
              <w:t>在规定时间、规定地点用餐；</w:t>
            </w:r>
          </w:p>
        </w:tc>
        <w:tc>
          <w:tcPr>
            <w:tcW w:w="1386"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508" w:type="dxa"/>
            <w:vMerge w:val="continue"/>
            <w:noWrap w:val="0"/>
            <w:vAlign w:val="center"/>
          </w:tcPr>
          <w:p>
            <w:pPr>
              <w:widowControl/>
              <w:jc w:val="left"/>
              <w:rPr>
                <w:rFonts w:ascii="宋体" w:hAnsi="宋体" w:cs="宋体"/>
                <w:kern w:val="0"/>
                <w:szCs w:val="21"/>
              </w:rPr>
            </w:pPr>
          </w:p>
        </w:tc>
        <w:tc>
          <w:tcPr>
            <w:tcW w:w="6095" w:type="dxa"/>
            <w:noWrap w:val="0"/>
            <w:vAlign w:val="center"/>
          </w:tcPr>
          <w:p>
            <w:pPr>
              <w:widowControl/>
              <w:numPr>
                <w:ilvl w:val="0"/>
                <w:numId w:val="188"/>
              </w:numPr>
              <w:jc w:val="left"/>
              <w:rPr>
                <w:rFonts w:ascii="宋体" w:hAnsi="宋体" w:cs="宋体"/>
                <w:kern w:val="0"/>
                <w:szCs w:val="21"/>
              </w:rPr>
            </w:pPr>
            <w:r>
              <w:rPr>
                <w:rFonts w:hint="eastAsia" w:ascii="宋体" w:hAnsi="宋体" w:cs="宋体"/>
                <w:kern w:val="0"/>
                <w:szCs w:val="21"/>
              </w:rPr>
              <w:t>无擅自离岗；</w:t>
            </w:r>
          </w:p>
        </w:tc>
        <w:tc>
          <w:tcPr>
            <w:tcW w:w="1386"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508" w:type="dxa"/>
            <w:vMerge w:val="continue"/>
            <w:noWrap w:val="0"/>
            <w:vAlign w:val="center"/>
          </w:tcPr>
          <w:p>
            <w:pPr>
              <w:widowControl/>
              <w:jc w:val="left"/>
              <w:rPr>
                <w:rFonts w:ascii="宋体" w:hAnsi="宋体" w:cs="宋体"/>
                <w:kern w:val="0"/>
                <w:szCs w:val="21"/>
              </w:rPr>
            </w:pPr>
          </w:p>
        </w:tc>
        <w:tc>
          <w:tcPr>
            <w:tcW w:w="6095" w:type="dxa"/>
            <w:noWrap w:val="0"/>
            <w:vAlign w:val="center"/>
          </w:tcPr>
          <w:p>
            <w:pPr>
              <w:widowControl/>
              <w:numPr>
                <w:ilvl w:val="0"/>
                <w:numId w:val="188"/>
              </w:numPr>
              <w:jc w:val="left"/>
              <w:rPr>
                <w:rFonts w:ascii="宋体" w:hAnsi="宋体" w:cs="宋体"/>
                <w:kern w:val="0"/>
                <w:szCs w:val="21"/>
              </w:rPr>
            </w:pPr>
            <w:r>
              <w:rPr>
                <w:rFonts w:hint="eastAsia" w:ascii="宋体" w:hAnsi="宋体" w:cs="宋体"/>
                <w:kern w:val="0"/>
                <w:szCs w:val="21"/>
              </w:rPr>
              <w:t>在岗期间不得兼职其它工作；</w:t>
            </w:r>
          </w:p>
        </w:tc>
        <w:tc>
          <w:tcPr>
            <w:tcW w:w="1386"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508" w:type="dxa"/>
            <w:vMerge w:val="continue"/>
            <w:noWrap w:val="0"/>
            <w:vAlign w:val="center"/>
          </w:tcPr>
          <w:p>
            <w:pPr>
              <w:widowControl/>
              <w:jc w:val="left"/>
              <w:rPr>
                <w:rFonts w:ascii="宋体" w:hAnsi="宋体" w:cs="宋体"/>
                <w:kern w:val="0"/>
                <w:szCs w:val="21"/>
              </w:rPr>
            </w:pPr>
          </w:p>
        </w:tc>
        <w:tc>
          <w:tcPr>
            <w:tcW w:w="6095" w:type="dxa"/>
            <w:noWrap w:val="0"/>
            <w:vAlign w:val="center"/>
          </w:tcPr>
          <w:p>
            <w:pPr>
              <w:widowControl/>
              <w:numPr>
                <w:ilvl w:val="0"/>
                <w:numId w:val="188"/>
              </w:numPr>
              <w:jc w:val="left"/>
              <w:rPr>
                <w:rFonts w:ascii="宋体" w:hAnsi="宋体" w:cs="宋体"/>
                <w:kern w:val="0"/>
                <w:szCs w:val="21"/>
              </w:rPr>
            </w:pPr>
            <w:r>
              <w:rPr>
                <w:rFonts w:hint="eastAsia" w:ascii="宋体" w:hAnsi="宋体" w:cs="宋体"/>
                <w:kern w:val="0"/>
                <w:szCs w:val="21"/>
              </w:rPr>
              <w:t>不得聚众聊天。</w:t>
            </w:r>
          </w:p>
        </w:tc>
        <w:tc>
          <w:tcPr>
            <w:tcW w:w="1386"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50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服务态度</w:t>
            </w:r>
          </w:p>
        </w:tc>
        <w:tc>
          <w:tcPr>
            <w:tcW w:w="6095" w:type="dxa"/>
            <w:noWrap w:val="0"/>
            <w:vAlign w:val="center"/>
          </w:tcPr>
          <w:p>
            <w:pPr>
              <w:widowControl/>
              <w:numPr>
                <w:ilvl w:val="0"/>
                <w:numId w:val="189"/>
              </w:numPr>
              <w:jc w:val="left"/>
              <w:rPr>
                <w:rFonts w:ascii="宋体" w:hAnsi="宋体" w:cs="宋体"/>
                <w:kern w:val="0"/>
                <w:szCs w:val="21"/>
              </w:rPr>
            </w:pPr>
            <w:r>
              <w:rPr>
                <w:rFonts w:hint="eastAsia" w:ascii="宋体" w:hAnsi="宋体" w:cs="宋体"/>
                <w:kern w:val="0"/>
                <w:szCs w:val="21"/>
              </w:rPr>
              <w:t>优质服务、文明用语、规范操作；</w:t>
            </w:r>
          </w:p>
        </w:tc>
        <w:tc>
          <w:tcPr>
            <w:tcW w:w="1386"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508" w:type="dxa"/>
            <w:vMerge w:val="continue"/>
            <w:noWrap w:val="0"/>
            <w:vAlign w:val="center"/>
          </w:tcPr>
          <w:p>
            <w:pPr>
              <w:widowControl/>
              <w:jc w:val="left"/>
              <w:rPr>
                <w:rFonts w:ascii="宋体" w:hAnsi="宋体" w:cs="宋体"/>
                <w:kern w:val="0"/>
                <w:szCs w:val="21"/>
              </w:rPr>
            </w:pPr>
          </w:p>
        </w:tc>
        <w:tc>
          <w:tcPr>
            <w:tcW w:w="6095" w:type="dxa"/>
            <w:noWrap w:val="0"/>
            <w:vAlign w:val="center"/>
          </w:tcPr>
          <w:p>
            <w:pPr>
              <w:widowControl/>
              <w:numPr>
                <w:ilvl w:val="0"/>
                <w:numId w:val="189"/>
              </w:numPr>
              <w:jc w:val="left"/>
              <w:rPr>
                <w:rFonts w:ascii="宋体" w:hAnsi="宋体" w:cs="宋体"/>
                <w:kern w:val="0"/>
                <w:szCs w:val="21"/>
              </w:rPr>
            </w:pPr>
            <w:r>
              <w:rPr>
                <w:rFonts w:hint="eastAsia" w:ascii="宋体" w:hAnsi="宋体" w:cs="宋体"/>
                <w:kern w:val="0"/>
                <w:szCs w:val="21"/>
              </w:rPr>
              <w:t>按要求完成上级分配的任务；</w:t>
            </w:r>
          </w:p>
        </w:tc>
        <w:tc>
          <w:tcPr>
            <w:tcW w:w="1386"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508" w:type="dxa"/>
            <w:vMerge w:val="continue"/>
            <w:noWrap w:val="0"/>
            <w:vAlign w:val="center"/>
          </w:tcPr>
          <w:p>
            <w:pPr>
              <w:widowControl/>
              <w:jc w:val="left"/>
              <w:rPr>
                <w:rFonts w:ascii="宋体" w:hAnsi="宋体" w:cs="宋体"/>
                <w:kern w:val="0"/>
                <w:szCs w:val="21"/>
              </w:rPr>
            </w:pPr>
          </w:p>
        </w:tc>
        <w:tc>
          <w:tcPr>
            <w:tcW w:w="6095" w:type="dxa"/>
            <w:noWrap w:val="0"/>
            <w:vAlign w:val="center"/>
          </w:tcPr>
          <w:p>
            <w:pPr>
              <w:widowControl/>
              <w:numPr>
                <w:ilvl w:val="0"/>
                <w:numId w:val="189"/>
              </w:numPr>
              <w:jc w:val="left"/>
              <w:rPr>
                <w:rFonts w:ascii="宋体" w:hAnsi="宋体" w:cs="宋体"/>
                <w:kern w:val="0"/>
                <w:szCs w:val="21"/>
              </w:rPr>
            </w:pPr>
            <w:r>
              <w:rPr>
                <w:rFonts w:hint="eastAsia" w:ascii="宋体" w:hAnsi="宋体" w:cs="宋体"/>
                <w:kern w:val="0"/>
                <w:szCs w:val="21"/>
              </w:rPr>
              <w:t>同事之间互相尊重不发生口角争执。</w:t>
            </w:r>
          </w:p>
        </w:tc>
        <w:tc>
          <w:tcPr>
            <w:tcW w:w="1386"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508" w:type="dxa"/>
            <w:vMerge w:val="continue"/>
            <w:noWrap w:val="0"/>
            <w:vAlign w:val="center"/>
          </w:tcPr>
          <w:p>
            <w:pPr>
              <w:widowControl/>
              <w:jc w:val="left"/>
              <w:rPr>
                <w:rFonts w:ascii="宋体" w:hAnsi="宋体" w:cs="宋体"/>
                <w:kern w:val="0"/>
                <w:szCs w:val="21"/>
              </w:rPr>
            </w:pPr>
          </w:p>
        </w:tc>
        <w:tc>
          <w:tcPr>
            <w:tcW w:w="6095" w:type="dxa"/>
            <w:noWrap w:val="0"/>
            <w:vAlign w:val="center"/>
          </w:tcPr>
          <w:p>
            <w:pPr>
              <w:widowControl/>
              <w:numPr>
                <w:ilvl w:val="0"/>
                <w:numId w:val="189"/>
              </w:numPr>
              <w:jc w:val="left"/>
              <w:rPr>
                <w:rFonts w:ascii="宋体" w:hAnsi="宋体" w:cs="宋体"/>
                <w:kern w:val="0"/>
                <w:szCs w:val="21"/>
              </w:rPr>
            </w:pPr>
            <w:r>
              <w:rPr>
                <w:rFonts w:ascii="宋体" w:hAnsi="宋体"/>
                <w:szCs w:val="21"/>
              </w:rPr>
              <w:t>有不良作为被</w:t>
            </w:r>
            <w:r>
              <w:rPr>
                <w:rFonts w:hint="eastAsia" w:ascii="宋体" w:hAnsi="宋体"/>
                <w:szCs w:val="21"/>
              </w:rPr>
              <w:t>病人及家属</w:t>
            </w:r>
            <w:r>
              <w:rPr>
                <w:rFonts w:ascii="宋体" w:hAnsi="宋体"/>
                <w:szCs w:val="21"/>
              </w:rPr>
              <w:t>或科室投诉属实的</w:t>
            </w:r>
            <w:r>
              <w:rPr>
                <w:rFonts w:hint="eastAsia" w:ascii="宋体" w:hAnsi="宋体"/>
                <w:szCs w:val="21"/>
              </w:rPr>
              <w:t>，酌情进行扣分。</w:t>
            </w:r>
          </w:p>
        </w:tc>
        <w:tc>
          <w:tcPr>
            <w:tcW w:w="1386"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50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服从管理</w:t>
            </w:r>
          </w:p>
        </w:tc>
        <w:tc>
          <w:tcPr>
            <w:tcW w:w="6095" w:type="dxa"/>
            <w:noWrap w:val="0"/>
            <w:vAlign w:val="center"/>
          </w:tcPr>
          <w:p>
            <w:pPr>
              <w:widowControl/>
              <w:numPr>
                <w:ilvl w:val="0"/>
                <w:numId w:val="190"/>
              </w:numPr>
              <w:jc w:val="left"/>
              <w:rPr>
                <w:rFonts w:ascii="宋体" w:hAnsi="宋体"/>
                <w:kern w:val="0"/>
                <w:szCs w:val="21"/>
              </w:rPr>
            </w:pPr>
            <w:r>
              <w:rPr>
                <w:rFonts w:hint="eastAsia" w:ascii="宋体" w:hAnsi="宋体"/>
                <w:kern w:val="0"/>
                <w:szCs w:val="21"/>
              </w:rPr>
              <w:t>听从管理部门的工作安排；</w:t>
            </w:r>
          </w:p>
        </w:tc>
        <w:tc>
          <w:tcPr>
            <w:tcW w:w="1386" w:type="dxa"/>
            <w:vMerge w:val="restart"/>
            <w:noWrap w:val="0"/>
            <w:vAlign w:val="center"/>
          </w:tcPr>
          <w:p>
            <w:pPr>
              <w:widowControl/>
              <w:jc w:val="center"/>
              <w:rPr>
                <w:rFonts w:ascii="宋体" w:hAnsi="宋体" w:cs="宋体"/>
                <w:kern w:val="0"/>
                <w:szCs w:val="21"/>
              </w:rPr>
            </w:pPr>
            <w:r>
              <w:rPr>
                <w:rFonts w:ascii="宋体" w:hAnsi="宋体"/>
                <w:kern w:val="0"/>
                <w:szCs w:val="21"/>
              </w:rPr>
              <w:t>0-</w:t>
            </w:r>
            <w:r>
              <w:rPr>
                <w:rFonts w:hint="eastAsia" w:ascii="宋体" w:hAnsi="宋体"/>
                <w:kern w:val="0"/>
                <w:szCs w:val="21"/>
              </w:rPr>
              <w:t>10</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508" w:type="dxa"/>
            <w:vMerge w:val="continue"/>
            <w:noWrap w:val="0"/>
            <w:vAlign w:val="center"/>
          </w:tcPr>
          <w:p>
            <w:pPr>
              <w:widowControl/>
              <w:jc w:val="left"/>
              <w:rPr>
                <w:rFonts w:ascii="宋体" w:hAnsi="宋体" w:cs="宋体"/>
                <w:kern w:val="0"/>
                <w:szCs w:val="21"/>
              </w:rPr>
            </w:pPr>
          </w:p>
        </w:tc>
        <w:tc>
          <w:tcPr>
            <w:tcW w:w="6095" w:type="dxa"/>
            <w:noWrap w:val="0"/>
            <w:vAlign w:val="center"/>
          </w:tcPr>
          <w:p>
            <w:pPr>
              <w:widowControl/>
              <w:numPr>
                <w:ilvl w:val="0"/>
                <w:numId w:val="190"/>
              </w:numPr>
              <w:jc w:val="left"/>
              <w:rPr>
                <w:rFonts w:ascii="宋体" w:hAnsi="宋体" w:cs="宋体"/>
                <w:kern w:val="0"/>
                <w:szCs w:val="21"/>
              </w:rPr>
            </w:pPr>
            <w:r>
              <w:rPr>
                <w:rFonts w:hint="eastAsia" w:ascii="宋体" w:hAnsi="宋体" w:cs="宋体"/>
                <w:kern w:val="0"/>
                <w:szCs w:val="21"/>
              </w:rPr>
              <w:t>服从所在区域的护士长及科主任管理。</w:t>
            </w:r>
          </w:p>
        </w:tc>
        <w:tc>
          <w:tcPr>
            <w:tcW w:w="1386" w:type="dxa"/>
            <w:vMerge w:val="continue"/>
            <w:noWrap w:val="0"/>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508"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有无私自变卖医院物资</w:t>
            </w:r>
          </w:p>
        </w:tc>
        <w:tc>
          <w:tcPr>
            <w:tcW w:w="6095" w:type="dxa"/>
            <w:noWrap w:val="0"/>
            <w:vAlign w:val="center"/>
          </w:tcPr>
          <w:p>
            <w:pPr>
              <w:widowControl/>
              <w:numPr>
                <w:ilvl w:val="0"/>
                <w:numId w:val="191"/>
              </w:numPr>
              <w:jc w:val="left"/>
              <w:rPr>
                <w:rFonts w:ascii="宋体" w:hAnsi="宋体" w:cs="宋体"/>
                <w:kern w:val="0"/>
                <w:szCs w:val="21"/>
              </w:rPr>
            </w:pPr>
            <w:r>
              <w:rPr>
                <w:rFonts w:hint="eastAsia" w:ascii="宋体" w:hAnsi="宋体" w:cs="宋体"/>
                <w:kern w:val="0"/>
                <w:szCs w:val="21"/>
              </w:rPr>
              <w:t>医疗垃圾等；</w:t>
            </w:r>
          </w:p>
        </w:tc>
        <w:tc>
          <w:tcPr>
            <w:tcW w:w="1386" w:type="dxa"/>
            <w:vMerge w:val="restart"/>
            <w:noWrap w:val="0"/>
            <w:vAlign w:val="center"/>
          </w:tcPr>
          <w:p>
            <w:pPr>
              <w:widowControl/>
              <w:jc w:val="center"/>
              <w:rPr>
                <w:rFonts w:ascii="宋体" w:hAnsi="宋体" w:cs="宋体"/>
                <w:kern w:val="0"/>
                <w:szCs w:val="21"/>
              </w:rPr>
            </w:pPr>
            <w:r>
              <w:rPr>
                <w:rFonts w:ascii="宋体" w:hAnsi="宋体"/>
                <w:kern w:val="0"/>
                <w:szCs w:val="21"/>
              </w:rPr>
              <w:t>0-</w:t>
            </w:r>
            <w:r>
              <w:rPr>
                <w:rFonts w:hint="eastAsia" w:ascii="宋体" w:hAnsi="宋体"/>
                <w:kern w:val="0"/>
                <w:szCs w:val="21"/>
              </w:rPr>
              <w:t>1</w:t>
            </w:r>
            <w:r>
              <w:rPr>
                <w:rFonts w:ascii="宋体" w:hAnsi="宋体"/>
                <w:kern w:val="0"/>
                <w:szCs w:val="21"/>
              </w:rPr>
              <w:t>0</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508" w:type="dxa"/>
            <w:vMerge w:val="continue"/>
            <w:noWrap w:val="0"/>
            <w:vAlign w:val="center"/>
          </w:tcPr>
          <w:p>
            <w:pPr>
              <w:widowControl/>
              <w:jc w:val="left"/>
              <w:rPr>
                <w:rFonts w:ascii="宋体" w:hAnsi="宋体" w:cs="宋体"/>
                <w:kern w:val="0"/>
                <w:szCs w:val="21"/>
              </w:rPr>
            </w:pPr>
          </w:p>
        </w:tc>
        <w:tc>
          <w:tcPr>
            <w:tcW w:w="6095" w:type="dxa"/>
            <w:noWrap w:val="0"/>
            <w:vAlign w:val="center"/>
          </w:tcPr>
          <w:p>
            <w:pPr>
              <w:widowControl/>
              <w:numPr>
                <w:ilvl w:val="0"/>
                <w:numId w:val="191"/>
              </w:numPr>
              <w:jc w:val="left"/>
              <w:rPr>
                <w:rFonts w:ascii="宋体" w:hAnsi="宋体" w:cs="宋体"/>
                <w:kern w:val="0"/>
                <w:szCs w:val="21"/>
              </w:rPr>
            </w:pPr>
            <w:r>
              <w:rPr>
                <w:rFonts w:hint="eastAsia" w:ascii="宋体" w:hAnsi="宋体" w:cs="宋体"/>
                <w:kern w:val="0"/>
                <w:szCs w:val="21"/>
              </w:rPr>
              <w:t>其他物资、材料、物品等。</w:t>
            </w:r>
          </w:p>
        </w:tc>
        <w:tc>
          <w:tcPr>
            <w:tcW w:w="1386" w:type="dxa"/>
            <w:vMerge w:val="continue"/>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1" w:hRule="atLeast"/>
          <w:jc w:val="center"/>
        </w:trPr>
        <w:tc>
          <w:tcPr>
            <w:tcW w:w="1508" w:type="dxa"/>
            <w:noWrap w:val="0"/>
            <w:vAlign w:val="center"/>
          </w:tcPr>
          <w:p>
            <w:pPr>
              <w:widowControl/>
              <w:jc w:val="center"/>
              <w:rPr>
                <w:rFonts w:ascii="宋体" w:hAnsi="宋体" w:cs="宋体"/>
                <w:kern w:val="0"/>
                <w:szCs w:val="21"/>
              </w:rPr>
            </w:pPr>
            <w:r>
              <w:rPr>
                <w:rFonts w:hint="eastAsia" w:ascii="宋体" w:hAnsi="宋体" w:cs="宋体"/>
                <w:kern w:val="0"/>
                <w:szCs w:val="21"/>
              </w:rPr>
              <w:t>投诉情况</w:t>
            </w:r>
          </w:p>
        </w:tc>
        <w:tc>
          <w:tcPr>
            <w:tcW w:w="6095" w:type="dxa"/>
            <w:noWrap w:val="0"/>
            <w:vAlign w:val="center"/>
          </w:tcPr>
          <w:p>
            <w:pPr>
              <w:widowControl/>
              <w:numPr>
                <w:ilvl w:val="0"/>
                <w:numId w:val="192"/>
              </w:numPr>
              <w:jc w:val="left"/>
              <w:rPr>
                <w:rFonts w:ascii="宋体" w:hAnsi="宋体" w:cs="宋体"/>
                <w:kern w:val="0"/>
                <w:szCs w:val="21"/>
              </w:rPr>
            </w:pPr>
            <w:r>
              <w:rPr>
                <w:rFonts w:hint="eastAsia" w:ascii="宋体" w:hAnsi="宋体"/>
                <w:szCs w:val="21"/>
              </w:rPr>
              <w:t>因</w:t>
            </w:r>
            <w:r>
              <w:rPr>
                <w:rFonts w:ascii="宋体" w:hAnsi="宋体"/>
                <w:szCs w:val="21"/>
              </w:rPr>
              <w:t>不良作为被</w:t>
            </w:r>
            <w:r>
              <w:rPr>
                <w:rFonts w:hint="eastAsia" w:ascii="宋体" w:hAnsi="宋体"/>
                <w:szCs w:val="21"/>
              </w:rPr>
              <w:t>病人及家属</w:t>
            </w:r>
            <w:r>
              <w:rPr>
                <w:rFonts w:ascii="宋体" w:hAnsi="宋体"/>
                <w:szCs w:val="21"/>
              </w:rPr>
              <w:t>或科室投诉属实的</w:t>
            </w:r>
            <w:r>
              <w:rPr>
                <w:rFonts w:hint="eastAsia" w:ascii="宋体" w:hAnsi="宋体"/>
                <w:szCs w:val="21"/>
              </w:rPr>
              <w:t>，</w:t>
            </w:r>
            <w:r>
              <w:rPr>
                <w:rFonts w:ascii="宋体" w:hAnsi="宋体"/>
                <w:szCs w:val="21"/>
              </w:rPr>
              <w:t>给</w:t>
            </w:r>
            <w:r>
              <w:rPr>
                <w:rFonts w:hint="eastAsia" w:ascii="宋体" w:hAnsi="宋体"/>
                <w:szCs w:val="21"/>
              </w:rPr>
              <w:t>医院</w:t>
            </w:r>
            <w:r>
              <w:rPr>
                <w:rFonts w:ascii="宋体" w:hAnsi="宋体"/>
                <w:szCs w:val="21"/>
              </w:rPr>
              <w:t>造成较大影响的</w:t>
            </w:r>
            <w:r>
              <w:rPr>
                <w:rFonts w:hint="eastAsia" w:ascii="宋体" w:hAnsi="宋体"/>
                <w:szCs w:val="21"/>
              </w:rPr>
              <w:t>。</w:t>
            </w:r>
          </w:p>
        </w:tc>
        <w:tc>
          <w:tcPr>
            <w:tcW w:w="1386" w:type="dxa"/>
            <w:noWrap w:val="0"/>
            <w:vAlign w:val="center"/>
          </w:tcPr>
          <w:p>
            <w:pPr>
              <w:widowControl/>
              <w:jc w:val="center"/>
              <w:rPr>
                <w:rFonts w:ascii="宋体" w:hAnsi="宋体" w:cs="宋体"/>
                <w:kern w:val="0"/>
                <w:szCs w:val="21"/>
              </w:rPr>
            </w:pPr>
            <w:r>
              <w:rPr>
                <w:rFonts w:hint="eastAsia" w:ascii="宋体" w:hAnsi="宋体"/>
                <w:szCs w:val="21"/>
              </w:rPr>
              <w:t>另</w:t>
            </w:r>
            <w:r>
              <w:rPr>
                <w:rFonts w:ascii="宋体" w:hAnsi="宋体"/>
                <w:szCs w:val="21"/>
              </w:rPr>
              <w:t>扣</w:t>
            </w:r>
            <w:r>
              <w:rPr>
                <w:rFonts w:hint="eastAsia" w:ascii="宋体" w:hAnsi="宋体"/>
                <w:szCs w:val="21"/>
              </w:rPr>
              <w:t>22</w:t>
            </w:r>
            <w:r>
              <w:rPr>
                <w:rFonts w:ascii="宋体" w:hAnsi="宋体"/>
                <w:szCs w:val="21"/>
              </w:rPr>
              <w:t>分</w:t>
            </w:r>
          </w:p>
        </w:tc>
      </w:tr>
    </w:tbl>
    <w:p>
      <w:pPr>
        <w:spacing w:before="360" w:beforeLines="150" w:line="360" w:lineRule="auto"/>
        <w:ind w:firstLine="188" w:firstLineChars="67"/>
        <w:rPr>
          <w:rFonts w:ascii="宋体" w:hAnsi="宋体"/>
          <w:b/>
          <w:sz w:val="28"/>
        </w:rPr>
      </w:pPr>
      <w:r>
        <w:rPr>
          <w:rFonts w:hint="eastAsia" w:ascii="宋体" w:hAnsi="宋体"/>
          <w:b/>
          <w:sz w:val="28"/>
        </w:rPr>
        <w:t>四、被服服务（洗衣房）要求</w:t>
      </w:r>
    </w:p>
    <w:p>
      <w:pPr>
        <w:spacing w:line="360" w:lineRule="auto"/>
        <w:ind w:firstLine="161" w:firstLineChars="67"/>
        <w:rPr>
          <w:rFonts w:ascii="宋体" w:hAnsi="宋体"/>
          <w:b/>
          <w:sz w:val="24"/>
        </w:rPr>
      </w:pPr>
      <w:r>
        <w:rPr>
          <w:rFonts w:hint="eastAsia" w:ascii="宋体" w:hAnsi="宋体"/>
          <w:b/>
          <w:sz w:val="24"/>
        </w:rPr>
        <w:t>1、工作内容</w:t>
      </w:r>
    </w:p>
    <w:p>
      <w:pPr>
        <w:widowControl/>
        <w:numPr>
          <w:ilvl w:val="1"/>
          <w:numId w:val="193"/>
        </w:numPr>
        <w:tabs>
          <w:tab w:val="left" w:pos="851"/>
          <w:tab w:val="left" w:pos="993"/>
          <w:tab w:val="left" w:pos="1134"/>
        </w:tabs>
        <w:spacing w:line="360" w:lineRule="auto"/>
        <w:jc w:val="left"/>
        <w:rPr>
          <w:rFonts w:ascii="宋体" w:hAnsi="宋体"/>
          <w:bCs/>
          <w:sz w:val="24"/>
        </w:rPr>
      </w:pPr>
      <w:r>
        <w:rPr>
          <w:rFonts w:hint="eastAsia" w:ascii="宋体" w:hAnsi="宋体"/>
          <w:bCs/>
          <w:sz w:val="24"/>
        </w:rPr>
        <w:t>负责污染被服的收集、数量统计、装袋；</w:t>
      </w:r>
    </w:p>
    <w:p>
      <w:pPr>
        <w:widowControl/>
        <w:numPr>
          <w:ilvl w:val="1"/>
          <w:numId w:val="193"/>
        </w:numPr>
        <w:tabs>
          <w:tab w:val="left" w:pos="851"/>
          <w:tab w:val="left" w:pos="993"/>
          <w:tab w:val="left" w:pos="1134"/>
        </w:tabs>
        <w:spacing w:line="360" w:lineRule="auto"/>
        <w:jc w:val="left"/>
        <w:rPr>
          <w:rFonts w:ascii="宋体" w:hAnsi="宋体"/>
          <w:bCs/>
          <w:sz w:val="24"/>
        </w:rPr>
      </w:pPr>
      <w:r>
        <w:rPr>
          <w:rFonts w:hint="eastAsia" w:ascii="宋体" w:hAnsi="宋体"/>
          <w:bCs/>
          <w:sz w:val="24"/>
        </w:rPr>
        <w:t>负责污染被服与感染被服分开装袋管理；</w:t>
      </w:r>
    </w:p>
    <w:p>
      <w:pPr>
        <w:widowControl/>
        <w:numPr>
          <w:ilvl w:val="1"/>
          <w:numId w:val="193"/>
        </w:numPr>
        <w:tabs>
          <w:tab w:val="left" w:pos="851"/>
          <w:tab w:val="left" w:pos="993"/>
          <w:tab w:val="left" w:pos="1134"/>
        </w:tabs>
        <w:spacing w:line="360" w:lineRule="auto"/>
        <w:jc w:val="left"/>
        <w:rPr>
          <w:rFonts w:ascii="宋体" w:hAnsi="宋体"/>
          <w:bCs/>
          <w:sz w:val="24"/>
        </w:rPr>
      </w:pPr>
      <w:r>
        <w:rPr>
          <w:rFonts w:hint="eastAsia" w:ascii="宋体" w:hAnsi="宋体"/>
          <w:bCs/>
          <w:sz w:val="24"/>
        </w:rPr>
        <w:t>负责洁净被服整理、上架；</w:t>
      </w:r>
    </w:p>
    <w:p>
      <w:pPr>
        <w:widowControl/>
        <w:numPr>
          <w:ilvl w:val="1"/>
          <w:numId w:val="193"/>
        </w:numPr>
        <w:tabs>
          <w:tab w:val="left" w:pos="851"/>
          <w:tab w:val="left" w:pos="993"/>
          <w:tab w:val="left" w:pos="1134"/>
        </w:tabs>
        <w:spacing w:line="360" w:lineRule="auto"/>
        <w:jc w:val="left"/>
        <w:rPr>
          <w:rFonts w:ascii="宋体" w:hAnsi="宋体"/>
          <w:bCs/>
          <w:sz w:val="24"/>
        </w:rPr>
      </w:pPr>
      <w:r>
        <w:rPr>
          <w:rFonts w:hint="eastAsia" w:ascii="宋体" w:hAnsi="宋体"/>
          <w:bCs/>
          <w:sz w:val="24"/>
        </w:rPr>
        <w:t>负责洁净工作服、被服下送至使用科室；</w:t>
      </w:r>
    </w:p>
    <w:p>
      <w:pPr>
        <w:widowControl/>
        <w:numPr>
          <w:ilvl w:val="1"/>
          <w:numId w:val="193"/>
        </w:numPr>
        <w:tabs>
          <w:tab w:val="left" w:pos="851"/>
          <w:tab w:val="left" w:pos="993"/>
          <w:tab w:val="left" w:pos="1134"/>
        </w:tabs>
        <w:spacing w:line="360" w:lineRule="auto"/>
        <w:jc w:val="left"/>
        <w:rPr>
          <w:rFonts w:ascii="宋体" w:hAnsi="宋体"/>
          <w:bCs/>
          <w:sz w:val="24"/>
        </w:rPr>
      </w:pPr>
      <w:r>
        <w:rPr>
          <w:rFonts w:hint="eastAsia" w:ascii="宋体" w:hAnsi="宋体"/>
          <w:bCs/>
          <w:sz w:val="24"/>
        </w:rPr>
        <w:t>负责污染区域、洁净区域的卫生保洁工作；</w:t>
      </w:r>
    </w:p>
    <w:p>
      <w:pPr>
        <w:widowControl/>
        <w:numPr>
          <w:ilvl w:val="1"/>
          <w:numId w:val="193"/>
        </w:numPr>
        <w:tabs>
          <w:tab w:val="left" w:pos="851"/>
          <w:tab w:val="left" w:pos="993"/>
          <w:tab w:val="left" w:pos="1134"/>
        </w:tabs>
        <w:spacing w:line="360" w:lineRule="auto"/>
        <w:jc w:val="left"/>
        <w:rPr>
          <w:rFonts w:ascii="宋体" w:hAnsi="宋体"/>
          <w:bCs/>
          <w:sz w:val="24"/>
        </w:rPr>
      </w:pPr>
      <w:r>
        <w:rPr>
          <w:rFonts w:hint="eastAsia" w:ascii="宋体" w:hAnsi="宋体"/>
          <w:bCs/>
          <w:sz w:val="24"/>
        </w:rPr>
        <w:t>所有工作必须符合医院的感管要求。</w:t>
      </w:r>
    </w:p>
    <w:p>
      <w:pPr>
        <w:spacing w:line="360" w:lineRule="auto"/>
        <w:ind w:firstLine="161" w:firstLineChars="67"/>
        <w:rPr>
          <w:rFonts w:ascii="宋体" w:hAnsi="宋体"/>
          <w:b/>
          <w:sz w:val="24"/>
        </w:rPr>
      </w:pPr>
      <w:r>
        <w:rPr>
          <w:rFonts w:hint="eastAsia" w:ascii="宋体" w:hAnsi="宋体"/>
          <w:b/>
          <w:sz w:val="24"/>
        </w:rPr>
        <w:t>2、工作要求</w:t>
      </w:r>
    </w:p>
    <w:p>
      <w:pPr>
        <w:widowControl/>
        <w:numPr>
          <w:ilvl w:val="0"/>
          <w:numId w:val="194"/>
        </w:numPr>
        <w:tabs>
          <w:tab w:val="left" w:pos="993"/>
          <w:tab w:val="left" w:pos="1134"/>
        </w:tabs>
        <w:spacing w:line="360" w:lineRule="auto"/>
        <w:jc w:val="left"/>
        <w:rPr>
          <w:rFonts w:ascii="宋体" w:hAnsi="宋体"/>
          <w:bCs/>
          <w:sz w:val="24"/>
        </w:rPr>
      </w:pPr>
      <w:r>
        <w:rPr>
          <w:rFonts w:hint="eastAsia" w:ascii="宋体" w:hAnsi="宋体"/>
          <w:bCs/>
          <w:sz w:val="24"/>
        </w:rPr>
        <w:t>学历至少达到初中及以上水平</w:t>
      </w:r>
      <w:r>
        <w:rPr>
          <w:rFonts w:ascii="宋体" w:hAnsi="宋体"/>
          <w:bCs/>
          <w:sz w:val="24"/>
        </w:rPr>
        <w:t>；</w:t>
      </w:r>
    </w:p>
    <w:p>
      <w:pPr>
        <w:widowControl/>
        <w:numPr>
          <w:ilvl w:val="0"/>
          <w:numId w:val="194"/>
        </w:numPr>
        <w:tabs>
          <w:tab w:val="left" w:pos="993"/>
          <w:tab w:val="left" w:pos="1134"/>
          <w:tab w:val="left" w:pos="1276"/>
        </w:tabs>
        <w:spacing w:line="360" w:lineRule="auto"/>
        <w:jc w:val="left"/>
        <w:rPr>
          <w:rFonts w:ascii="宋体" w:hAnsi="宋体"/>
          <w:bCs/>
          <w:sz w:val="24"/>
        </w:rPr>
      </w:pPr>
      <w:r>
        <w:rPr>
          <w:rFonts w:hint="eastAsia" w:ascii="宋体" w:hAnsi="宋体"/>
          <w:bCs/>
          <w:sz w:val="24"/>
        </w:rPr>
        <w:t>工作期间做好个人防护工作；</w:t>
      </w:r>
    </w:p>
    <w:p>
      <w:pPr>
        <w:widowControl/>
        <w:numPr>
          <w:ilvl w:val="0"/>
          <w:numId w:val="194"/>
        </w:numPr>
        <w:tabs>
          <w:tab w:val="left" w:pos="993"/>
          <w:tab w:val="left" w:pos="1134"/>
        </w:tabs>
        <w:spacing w:line="360" w:lineRule="auto"/>
        <w:jc w:val="left"/>
        <w:rPr>
          <w:rFonts w:ascii="宋体" w:hAnsi="宋体"/>
          <w:bCs/>
          <w:sz w:val="24"/>
        </w:rPr>
      </w:pPr>
      <w:r>
        <w:rPr>
          <w:rFonts w:ascii="宋体" w:hAnsi="宋体"/>
          <w:bCs/>
          <w:sz w:val="24"/>
        </w:rPr>
        <w:t>操作熟练，</w:t>
      </w:r>
      <w:r>
        <w:rPr>
          <w:rFonts w:hint="eastAsia" w:ascii="宋体" w:hAnsi="宋体"/>
          <w:bCs/>
          <w:sz w:val="24"/>
        </w:rPr>
        <w:t>熟悉</w:t>
      </w:r>
      <w:r>
        <w:rPr>
          <w:rFonts w:ascii="宋体" w:hAnsi="宋体"/>
          <w:bCs/>
          <w:sz w:val="24"/>
        </w:rPr>
        <w:t>交叉感染的感管要求</w:t>
      </w:r>
      <w:r>
        <w:rPr>
          <w:rFonts w:hint="eastAsia" w:ascii="宋体" w:hAnsi="宋体"/>
          <w:bCs/>
          <w:sz w:val="24"/>
        </w:rPr>
        <w:t>并按要求操作</w:t>
      </w:r>
      <w:r>
        <w:rPr>
          <w:rFonts w:ascii="宋体" w:hAnsi="宋体"/>
          <w:bCs/>
          <w:sz w:val="24"/>
        </w:rPr>
        <w:t>；</w:t>
      </w:r>
    </w:p>
    <w:p>
      <w:pPr>
        <w:widowControl/>
        <w:numPr>
          <w:ilvl w:val="0"/>
          <w:numId w:val="194"/>
        </w:numPr>
        <w:tabs>
          <w:tab w:val="left" w:pos="993"/>
          <w:tab w:val="left" w:pos="1134"/>
        </w:tabs>
        <w:spacing w:line="360" w:lineRule="auto"/>
        <w:jc w:val="left"/>
        <w:rPr>
          <w:rFonts w:ascii="宋体" w:hAnsi="宋体"/>
          <w:bCs/>
          <w:sz w:val="24"/>
        </w:rPr>
      </w:pPr>
      <w:r>
        <w:rPr>
          <w:rFonts w:ascii="宋体" w:hAnsi="宋体"/>
          <w:bCs/>
          <w:sz w:val="24"/>
        </w:rPr>
        <w:t>爱护科室财产，听从</w:t>
      </w:r>
      <w:r>
        <w:rPr>
          <w:rFonts w:hint="eastAsia" w:ascii="宋体" w:hAnsi="宋体"/>
          <w:bCs/>
          <w:sz w:val="24"/>
        </w:rPr>
        <w:t>科室</w:t>
      </w:r>
      <w:r>
        <w:rPr>
          <w:rFonts w:ascii="宋体" w:hAnsi="宋体"/>
          <w:bCs/>
          <w:sz w:val="24"/>
        </w:rPr>
        <w:t>的工作安排；</w:t>
      </w:r>
    </w:p>
    <w:p>
      <w:pPr>
        <w:widowControl/>
        <w:numPr>
          <w:ilvl w:val="0"/>
          <w:numId w:val="194"/>
        </w:numPr>
        <w:tabs>
          <w:tab w:val="left" w:pos="993"/>
          <w:tab w:val="left" w:pos="1134"/>
        </w:tabs>
        <w:spacing w:line="360" w:lineRule="auto"/>
        <w:jc w:val="left"/>
        <w:rPr>
          <w:rFonts w:ascii="宋体" w:hAnsi="宋体"/>
          <w:bCs/>
          <w:sz w:val="24"/>
        </w:rPr>
      </w:pPr>
      <w:r>
        <w:rPr>
          <w:rFonts w:ascii="宋体" w:hAnsi="宋体"/>
          <w:bCs/>
          <w:sz w:val="24"/>
        </w:rPr>
        <w:t>人员要保证稳定，</w:t>
      </w:r>
      <w:r>
        <w:rPr>
          <w:rFonts w:hint="eastAsia" w:ascii="宋体" w:hAnsi="宋体"/>
          <w:bCs/>
          <w:sz w:val="24"/>
        </w:rPr>
        <w:t>不得随意调换；</w:t>
      </w:r>
      <w:r>
        <w:rPr>
          <w:rFonts w:ascii="宋体" w:hAnsi="宋体"/>
          <w:bCs/>
          <w:sz w:val="24"/>
        </w:rPr>
        <w:t>如</w:t>
      </w:r>
      <w:r>
        <w:rPr>
          <w:rFonts w:hint="eastAsia" w:ascii="宋体" w:hAnsi="宋体"/>
          <w:bCs/>
          <w:sz w:val="24"/>
        </w:rPr>
        <w:t>确需</w:t>
      </w:r>
      <w:r>
        <w:rPr>
          <w:rFonts w:ascii="宋体" w:hAnsi="宋体"/>
          <w:bCs/>
          <w:sz w:val="24"/>
        </w:rPr>
        <w:t>调换，必须</w:t>
      </w:r>
      <w:r>
        <w:rPr>
          <w:rFonts w:hint="eastAsia" w:ascii="宋体" w:hAnsi="宋体"/>
          <w:bCs/>
          <w:sz w:val="24"/>
        </w:rPr>
        <w:t>保证新调换的员工操作</w:t>
      </w:r>
      <w:r>
        <w:rPr>
          <w:rFonts w:ascii="宋体" w:hAnsi="宋体"/>
          <w:bCs/>
          <w:sz w:val="24"/>
        </w:rPr>
        <w:t>熟练，并经所在科室试用</w:t>
      </w:r>
      <w:r>
        <w:rPr>
          <w:rFonts w:hint="eastAsia" w:ascii="宋体" w:hAnsi="宋体"/>
          <w:bCs/>
          <w:sz w:val="24"/>
        </w:rPr>
        <w:t>且</w:t>
      </w:r>
      <w:r>
        <w:rPr>
          <w:rFonts w:ascii="宋体" w:hAnsi="宋体"/>
          <w:bCs/>
          <w:sz w:val="24"/>
        </w:rPr>
        <w:t>得到科室认可后才可进场</w:t>
      </w:r>
      <w:r>
        <w:rPr>
          <w:rFonts w:hint="eastAsia" w:ascii="宋体" w:hAnsi="宋体"/>
          <w:bCs/>
          <w:sz w:val="24"/>
        </w:rPr>
        <w:t>；</w:t>
      </w:r>
    </w:p>
    <w:p>
      <w:pPr>
        <w:widowControl/>
        <w:numPr>
          <w:ilvl w:val="0"/>
          <w:numId w:val="194"/>
        </w:numPr>
        <w:tabs>
          <w:tab w:val="left" w:pos="993"/>
          <w:tab w:val="left" w:pos="1134"/>
        </w:tabs>
        <w:spacing w:line="360" w:lineRule="auto"/>
        <w:jc w:val="left"/>
        <w:rPr>
          <w:rFonts w:ascii="宋体" w:hAnsi="宋体"/>
          <w:bCs/>
          <w:sz w:val="24"/>
        </w:rPr>
      </w:pPr>
      <w:r>
        <w:rPr>
          <w:rFonts w:ascii="宋体" w:hAnsi="宋体"/>
          <w:bCs/>
          <w:sz w:val="24"/>
        </w:rPr>
        <w:t>具有一定职业道德；</w:t>
      </w:r>
    </w:p>
    <w:p>
      <w:pPr>
        <w:widowControl/>
        <w:numPr>
          <w:ilvl w:val="0"/>
          <w:numId w:val="194"/>
        </w:numPr>
        <w:tabs>
          <w:tab w:val="left" w:pos="993"/>
          <w:tab w:val="left" w:pos="1134"/>
        </w:tabs>
        <w:spacing w:line="360" w:lineRule="auto"/>
        <w:jc w:val="left"/>
        <w:rPr>
          <w:rFonts w:ascii="宋体" w:hAnsi="宋体"/>
          <w:bCs/>
          <w:sz w:val="24"/>
        </w:rPr>
      </w:pPr>
      <w:r>
        <w:rPr>
          <w:rFonts w:ascii="宋体" w:hAnsi="宋体"/>
          <w:bCs/>
          <w:sz w:val="24"/>
        </w:rPr>
        <w:t>及时、到位地完成工作任务；</w:t>
      </w:r>
    </w:p>
    <w:p>
      <w:pPr>
        <w:widowControl/>
        <w:numPr>
          <w:ilvl w:val="0"/>
          <w:numId w:val="194"/>
        </w:numPr>
        <w:tabs>
          <w:tab w:val="left" w:pos="993"/>
          <w:tab w:val="left" w:pos="1134"/>
        </w:tabs>
        <w:spacing w:line="360" w:lineRule="auto"/>
        <w:jc w:val="left"/>
        <w:rPr>
          <w:rFonts w:ascii="宋体" w:hAnsi="宋体"/>
          <w:bCs/>
          <w:sz w:val="24"/>
        </w:rPr>
      </w:pPr>
      <w:r>
        <w:rPr>
          <w:rFonts w:ascii="宋体" w:hAnsi="宋体"/>
          <w:bCs/>
          <w:sz w:val="24"/>
        </w:rPr>
        <w:t>认真保管</w:t>
      </w:r>
      <w:r>
        <w:rPr>
          <w:rFonts w:hint="eastAsia" w:ascii="宋体" w:hAnsi="宋体"/>
          <w:bCs/>
          <w:sz w:val="24"/>
        </w:rPr>
        <w:t>各类</w:t>
      </w:r>
      <w:r>
        <w:rPr>
          <w:rFonts w:ascii="宋体" w:hAnsi="宋体"/>
          <w:bCs/>
          <w:sz w:val="24"/>
        </w:rPr>
        <w:t>被服等财物。</w:t>
      </w:r>
    </w:p>
    <w:p>
      <w:pPr>
        <w:spacing w:line="360" w:lineRule="auto"/>
        <w:ind w:firstLine="161" w:firstLineChars="67"/>
        <w:rPr>
          <w:rFonts w:ascii="宋体" w:hAnsi="宋体"/>
          <w:b/>
          <w:sz w:val="24"/>
        </w:rPr>
      </w:pPr>
      <w:r>
        <w:rPr>
          <w:rFonts w:hint="eastAsia" w:ascii="宋体" w:hAnsi="宋体"/>
          <w:b/>
          <w:sz w:val="24"/>
        </w:rPr>
        <w:t>3、洗衣房勤杂工服务质量要求及考核标准</w:t>
      </w:r>
    </w:p>
    <w:tbl>
      <w:tblPr>
        <w:tblStyle w:val="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5670"/>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235" w:type="dxa"/>
            <w:noWrap w:val="0"/>
            <w:vAlign w:val="center"/>
          </w:tcPr>
          <w:p>
            <w:pPr>
              <w:spacing w:line="360" w:lineRule="auto"/>
              <w:jc w:val="center"/>
              <w:rPr>
                <w:rFonts w:ascii="宋体" w:hAnsi="宋体"/>
                <w:b/>
                <w:bCs/>
                <w:kern w:val="0"/>
                <w:szCs w:val="21"/>
              </w:rPr>
            </w:pPr>
            <w:r>
              <w:rPr>
                <w:rFonts w:hint="eastAsia" w:ascii="宋体" w:hAnsi="宋体"/>
                <w:b/>
                <w:bCs/>
                <w:kern w:val="0"/>
                <w:szCs w:val="21"/>
              </w:rPr>
              <w:t>考核指标</w:t>
            </w:r>
          </w:p>
        </w:tc>
        <w:tc>
          <w:tcPr>
            <w:tcW w:w="5670" w:type="dxa"/>
            <w:noWrap w:val="0"/>
            <w:vAlign w:val="center"/>
          </w:tcPr>
          <w:p>
            <w:pPr>
              <w:spacing w:line="360" w:lineRule="auto"/>
              <w:jc w:val="center"/>
              <w:rPr>
                <w:rFonts w:ascii="宋体" w:hAnsi="宋体"/>
                <w:b/>
                <w:bCs/>
                <w:kern w:val="0"/>
                <w:szCs w:val="21"/>
              </w:rPr>
            </w:pPr>
            <w:r>
              <w:rPr>
                <w:rFonts w:hint="eastAsia" w:ascii="宋体" w:hAnsi="宋体"/>
                <w:b/>
                <w:bCs/>
                <w:kern w:val="0"/>
                <w:szCs w:val="21"/>
              </w:rPr>
              <w:t>考核内容</w:t>
            </w:r>
          </w:p>
        </w:tc>
        <w:tc>
          <w:tcPr>
            <w:tcW w:w="1714" w:type="dxa"/>
            <w:noWrap w:val="0"/>
            <w:vAlign w:val="center"/>
          </w:tcPr>
          <w:p>
            <w:pPr>
              <w:spacing w:line="360" w:lineRule="auto"/>
              <w:jc w:val="center"/>
              <w:rPr>
                <w:rFonts w:ascii="宋体" w:hAnsi="宋体"/>
                <w:b/>
                <w:bCs/>
                <w:kern w:val="0"/>
                <w:szCs w:val="21"/>
              </w:rPr>
            </w:pPr>
            <w:r>
              <w:rPr>
                <w:rFonts w:hint="eastAsia" w:ascii="宋体" w:hAnsi="宋体"/>
                <w:b/>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restart"/>
            <w:noWrap w:val="0"/>
            <w:vAlign w:val="center"/>
          </w:tcPr>
          <w:p>
            <w:pPr>
              <w:spacing w:line="360" w:lineRule="auto"/>
              <w:jc w:val="center"/>
              <w:rPr>
                <w:rFonts w:ascii="宋体" w:hAnsi="宋体"/>
                <w:bCs/>
                <w:kern w:val="0"/>
                <w:szCs w:val="21"/>
              </w:rPr>
            </w:pPr>
            <w:r>
              <w:rPr>
                <w:rFonts w:hint="eastAsia" w:ascii="宋体" w:hAnsi="宋体"/>
                <w:bCs/>
                <w:kern w:val="0"/>
                <w:szCs w:val="21"/>
              </w:rPr>
              <w:t>项目负责人</w:t>
            </w:r>
          </w:p>
        </w:tc>
        <w:tc>
          <w:tcPr>
            <w:tcW w:w="5670" w:type="dxa"/>
            <w:noWrap w:val="0"/>
            <w:vAlign w:val="center"/>
          </w:tcPr>
          <w:p>
            <w:pPr>
              <w:numPr>
                <w:ilvl w:val="0"/>
                <w:numId w:val="195"/>
              </w:numPr>
              <w:rPr>
                <w:rFonts w:ascii="宋体" w:hAnsi="宋体"/>
                <w:szCs w:val="21"/>
              </w:rPr>
            </w:pPr>
            <w:r>
              <w:rPr>
                <w:rFonts w:hint="eastAsia" w:ascii="宋体" w:hAnsi="宋体"/>
                <w:szCs w:val="21"/>
              </w:rPr>
              <w:t xml:space="preserve">熟练掌握人员编排等问题，并与区域负责人沟通处理各个事项；                        </w:t>
            </w:r>
          </w:p>
        </w:tc>
        <w:tc>
          <w:tcPr>
            <w:tcW w:w="1714" w:type="dxa"/>
            <w:vMerge w:val="restart"/>
            <w:noWrap w:val="0"/>
            <w:vAlign w:val="center"/>
          </w:tcPr>
          <w:p>
            <w:pPr>
              <w:spacing w:line="360" w:lineRule="auto"/>
              <w:jc w:val="center"/>
              <w:rPr>
                <w:rFonts w:ascii="宋体" w:hAnsi="宋体"/>
                <w:bCs/>
                <w:kern w:val="0"/>
                <w:szCs w:val="21"/>
              </w:rPr>
            </w:pPr>
            <w:r>
              <w:rPr>
                <w:rFonts w:hint="eastAsia" w:ascii="宋体" w:hAnsi="宋体"/>
                <w:bCs/>
                <w:kern w:val="0"/>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continue"/>
            <w:noWrap w:val="0"/>
            <w:vAlign w:val="center"/>
          </w:tcPr>
          <w:p>
            <w:pPr>
              <w:spacing w:line="360" w:lineRule="auto"/>
              <w:jc w:val="center"/>
              <w:rPr>
                <w:rFonts w:ascii="宋体" w:hAnsi="宋体"/>
                <w:b/>
                <w:bCs/>
                <w:kern w:val="0"/>
                <w:szCs w:val="21"/>
              </w:rPr>
            </w:pPr>
          </w:p>
        </w:tc>
        <w:tc>
          <w:tcPr>
            <w:tcW w:w="5670" w:type="dxa"/>
            <w:noWrap w:val="0"/>
            <w:vAlign w:val="center"/>
          </w:tcPr>
          <w:p>
            <w:pPr>
              <w:numPr>
                <w:ilvl w:val="0"/>
                <w:numId w:val="195"/>
              </w:numPr>
              <w:rPr>
                <w:rFonts w:ascii="宋体" w:hAnsi="宋体"/>
                <w:szCs w:val="21"/>
              </w:rPr>
            </w:pPr>
            <w:r>
              <w:rPr>
                <w:rFonts w:hint="eastAsia" w:ascii="宋体" w:hAnsi="宋体"/>
                <w:szCs w:val="21"/>
              </w:rPr>
              <w:t xml:space="preserve">积极执行科室临时办的工作任务；          </w:t>
            </w:r>
          </w:p>
        </w:tc>
        <w:tc>
          <w:tcPr>
            <w:tcW w:w="1714" w:type="dxa"/>
            <w:vMerge w:val="continue"/>
            <w:noWrap w:val="0"/>
            <w:vAlign w:val="center"/>
          </w:tcPr>
          <w:p>
            <w:pPr>
              <w:spacing w:line="360" w:lineRule="auto"/>
              <w:jc w:val="center"/>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continue"/>
            <w:noWrap w:val="0"/>
            <w:vAlign w:val="center"/>
          </w:tcPr>
          <w:p>
            <w:pPr>
              <w:spacing w:line="360" w:lineRule="auto"/>
              <w:jc w:val="center"/>
              <w:rPr>
                <w:rFonts w:ascii="宋体" w:hAnsi="宋体"/>
                <w:b/>
                <w:bCs/>
                <w:kern w:val="0"/>
                <w:szCs w:val="21"/>
              </w:rPr>
            </w:pPr>
          </w:p>
        </w:tc>
        <w:tc>
          <w:tcPr>
            <w:tcW w:w="5670" w:type="dxa"/>
            <w:noWrap w:val="0"/>
            <w:vAlign w:val="center"/>
          </w:tcPr>
          <w:p>
            <w:pPr>
              <w:numPr>
                <w:ilvl w:val="0"/>
                <w:numId w:val="195"/>
              </w:numPr>
              <w:rPr>
                <w:rFonts w:ascii="宋体" w:hAnsi="宋体"/>
                <w:szCs w:val="21"/>
              </w:rPr>
            </w:pPr>
            <w:r>
              <w:rPr>
                <w:rFonts w:hint="eastAsia" w:ascii="宋体" w:hAnsi="宋体"/>
                <w:szCs w:val="21"/>
              </w:rPr>
              <w:t xml:space="preserve">工作效率及工作质量是否满足科室或医院要求；                       </w:t>
            </w:r>
          </w:p>
        </w:tc>
        <w:tc>
          <w:tcPr>
            <w:tcW w:w="1714" w:type="dxa"/>
            <w:vMerge w:val="continue"/>
            <w:noWrap w:val="0"/>
            <w:vAlign w:val="center"/>
          </w:tcPr>
          <w:p>
            <w:pPr>
              <w:spacing w:line="360" w:lineRule="auto"/>
              <w:jc w:val="center"/>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continue"/>
            <w:noWrap w:val="0"/>
            <w:vAlign w:val="center"/>
          </w:tcPr>
          <w:p>
            <w:pPr>
              <w:spacing w:line="360" w:lineRule="auto"/>
              <w:jc w:val="center"/>
              <w:rPr>
                <w:rFonts w:ascii="宋体" w:hAnsi="宋体"/>
                <w:b/>
                <w:bCs/>
                <w:kern w:val="0"/>
                <w:szCs w:val="21"/>
              </w:rPr>
            </w:pPr>
          </w:p>
        </w:tc>
        <w:tc>
          <w:tcPr>
            <w:tcW w:w="5670" w:type="dxa"/>
            <w:noWrap w:val="0"/>
            <w:vAlign w:val="center"/>
          </w:tcPr>
          <w:p>
            <w:pPr>
              <w:numPr>
                <w:ilvl w:val="0"/>
                <w:numId w:val="195"/>
              </w:numPr>
              <w:rPr>
                <w:rFonts w:ascii="宋体" w:hAnsi="宋体"/>
                <w:szCs w:val="21"/>
              </w:rPr>
            </w:pPr>
            <w:r>
              <w:rPr>
                <w:rFonts w:hint="eastAsia" w:ascii="宋体" w:hAnsi="宋体"/>
                <w:szCs w:val="21"/>
              </w:rPr>
              <w:t xml:space="preserve">对科室提出的问题，及时进行整改落实；  </w:t>
            </w:r>
          </w:p>
        </w:tc>
        <w:tc>
          <w:tcPr>
            <w:tcW w:w="1714" w:type="dxa"/>
            <w:vMerge w:val="continue"/>
            <w:noWrap w:val="0"/>
            <w:vAlign w:val="center"/>
          </w:tcPr>
          <w:p>
            <w:pPr>
              <w:spacing w:line="360" w:lineRule="auto"/>
              <w:jc w:val="center"/>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continue"/>
            <w:noWrap w:val="0"/>
            <w:vAlign w:val="center"/>
          </w:tcPr>
          <w:p>
            <w:pPr>
              <w:spacing w:line="360" w:lineRule="auto"/>
              <w:jc w:val="center"/>
              <w:rPr>
                <w:rFonts w:ascii="宋体" w:hAnsi="宋体"/>
                <w:b/>
                <w:bCs/>
                <w:kern w:val="0"/>
                <w:szCs w:val="21"/>
              </w:rPr>
            </w:pPr>
          </w:p>
        </w:tc>
        <w:tc>
          <w:tcPr>
            <w:tcW w:w="5670" w:type="dxa"/>
            <w:noWrap w:val="0"/>
            <w:vAlign w:val="center"/>
          </w:tcPr>
          <w:p>
            <w:pPr>
              <w:numPr>
                <w:ilvl w:val="0"/>
                <w:numId w:val="195"/>
              </w:numPr>
              <w:rPr>
                <w:rFonts w:ascii="宋体" w:hAnsi="宋体"/>
                <w:szCs w:val="21"/>
              </w:rPr>
            </w:pPr>
            <w:r>
              <w:rPr>
                <w:rFonts w:hint="eastAsia" w:ascii="宋体" w:hAnsi="宋体"/>
                <w:szCs w:val="21"/>
              </w:rPr>
              <w:t>如发生突发性事件，应设法采取应急措施，制止事态的扩大，及时向医院管理部门报告。</w:t>
            </w:r>
          </w:p>
        </w:tc>
        <w:tc>
          <w:tcPr>
            <w:tcW w:w="1714" w:type="dxa"/>
            <w:vMerge w:val="continue"/>
            <w:noWrap w:val="0"/>
            <w:vAlign w:val="center"/>
          </w:tcPr>
          <w:p>
            <w:pPr>
              <w:spacing w:line="360" w:lineRule="auto"/>
              <w:jc w:val="center"/>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restart"/>
            <w:noWrap w:val="0"/>
            <w:vAlign w:val="center"/>
          </w:tcPr>
          <w:p>
            <w:pPr>
              <w:spacing w:line="360" w:lineRule="auto"/>
              <w:jc w:val="center"/>
              <w:rPr>
                <w:rFonts w:ascii="宋体" w:hAnsi="宋体"/>
                <w:bCs/>
                <w:kern w:val="0"/>
                <w:szCs w:val="21"/>
              </w:rPr>
            </w:pPr>
            <w:r>
              <w:rPr>
                <w:rFonts w:hint="eastAsia" w:ascii="宋体" w:hAnsi="宋体"/>
                <w:bCs/>
                <w:kern w:val="0"/>
                <w:szCs w:val="21"/>
              </w:rPr>
              <w:t>工作质量</w:t>
            </w:r>
          </w:p>
        </w:tc>
        <w:tc>
          <w:tcPr>
            <w:tcW w:w="5670" w:type="dxa"/>
            <w:noWrap w:val="0"/>
            <w:vAlign w:val="center"/>
          </w:tcPr>
          <w:p>
            <w:pPr>
              <w:numPr>
                <w:ilvl w:val="0"/>
                <w:numId w:val="196"/>
              </w:numPr>
              <w:spacing w:line="360" w:lineRule="auto"/>
              <w:rPr>
                <w:rFonts w:ascii="宋体" w:hAnsi="宋体"/>
                <w:bCs/>
                <w:kern w:val="0"/>
                <w:szCs w:val="21"/>
              </w:rPr>
            </w:pPr>
            <w:r>
              <w:rPr>
                <w:rFonts w:hint="eastAsia" w:ascii="宋体" w:hAnsi="宋体"/>
                <w:bCs/>
                <w:kern w:val="0"/>
                <w:szCs w:val="21"/>
              </w:rPr>
              <w:t>积极、主动做好污染衣物装袋工作；</w:t>
            </w:r>
          </w:p>
        </w:tc>
        <w:tc>
          <w:tcPr>
            <w:tcW w:w="1714" w:type="dxa"/>
            <w:vMerge w:val="restart"/>
            <w:noWrap w:val="0"/>
            <w:vAlign w:val="center"/>
          </w:tcPr>
          <w:p>
            <w:pPr>
              <w:spacing w:line="360" w:lineRule="auto"/>
              <w:jc w:val="center"/>
              <w:rPr>
                <w:rFonts w:ascii="宋体" w:hAnsi="宋体"/>
                <w:bCs/>
                <w:kern w:val="0"/>
                <w:szCs w:val="21"/>
              </w:rPr>
            </w:pPr>
            <w:r>
              <w:rPr>
                <w:rFonts w:hint="eastAsia" w:ascii="宋体" w:hAnsi="宋体"/>
                <w:bCs/>
                <w:kern w:val="0"/>
                <w:szCs w:val="21"/>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continue"/>
            <w:noWrap w:val="0"/>
            <w:vAlign w:val="center"/>
          </w:tcPr>
          <w:p>
            <w:pPr>
              <w:spacing w:line="360" w:lineRule="auto"/>
              <w:jc w:val="center"/>
              <w:rPr>
                <w:rFonts w:ascii="宋体" w:hAnsi="宋体"/>
                <w:bCs/>
                <w:kern w:val="0"/>
                <w:szCs w:val="21"/>
              </w:rPr>
            </w:pPr>
          </w:p>
        </w:tc>
        <w:tc>
          <w:tcPr>
            <w:tcW w:w="5670" w:type="dxa"/>
            <w:noWrap w:val="0"/>
            <w:vAlign w:val="center"/>
          </w:tcPr>
          <w:p>
            <w:pPr>
              <w:numPr>
                <w:ilvl w:val="0"/>
                <w:numId w:val="196"/>
              </w:numPr>
              <w:spacing w:line="360" w:lineRule="auto"/>
              <w:rPr>
                <w:rFonts w:ascii="宋体" w:hAnsi="宋体"/>
                <w:bCs/>
                <w:kern w:val="0"/>
                <w:szCs w:val="21"/>
              </w:rPr>
            </w:pPr>
            <w:r>
              <w:rPr>
                <w:rFonts w:hint="eastAsia" w:ascii="宋体" w:hAnsi="宋体"/>
                <w:bCs/>
                <w:kern w:val="0"/>
                <w:szCs w:val="21"/>
              </w:rPr>
              <w:t>污染物和感染物分区域装袋存放；</w:t>
            </w:r>
          </w:p>
        </w:tc>
        <w:tc>
          <w:tcPr>
            <w:tcW w:w="1714" w:type="dxa"/>
            <w:vMerge w:val="continue"/>
            <w:noWrap w:val="0"/>
            <w:vAlign w:val="center"/>
          </w:tcPr>
          <w:p>
            <w:pPr>
              <w:spacing w:line="360" w:lineRule="auto"/>
              <w:jc w:val="cente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continue"/>
            <w:noWrap w:val="0"/>
            <w:vAlign w:val="center"/>
          </w:tcPr>
          <w:p>
            <w:pPr>
              <w:spacing w:line="360" w:lineRule="auto"/>
              <w:jc w:val="center"/>
              <w:rPr>
                <w:rFonts w:ascii="宋体" w:hAnsi="宋体"/>
                <w:bCs/>
                <w:kern w:val="0"/>
                <w:szCs w:val="21"/>
              </w:rPr>
            </w:pPr>
          </w:p>
        </w:tc>
        <w:tc>
          <w:tcPr>
            <w:tcW w:w="5670" w:type="dxa"/>
            <w:noWrap w:val="0"/>
            <w:vAlign w:val="center"/>
          </w:tcPr>
          <w:p>
            <w:pPr>
              <w:numPr>
                <w:ilvl w:val="0"/>
                <w:numId w:val="196"/>
              </w:numPr>
              <w:spacing w:line="360" w:lineRule="auto"/>
              <w:rPr>
                <w:rFonts w:ascii="宋体" w:hAnsi="宋体"/>
                <w:bCs/>
                <w:kern w:val="0"/>
                <w:szCs w:val="21"/>
              </w:rPr>
            </w:pPr>
            <w:r>
              <w:rPr>
                <w:rFonts w:hint="eastAsia" w:ascii="宋体" w:hAnsi="宋体"/>
                <w:bCs/>
                <w:kern w:val="0"/>
                <w:szCs w:val="21"/>
              </w:rPr>
              <w:t>主动协助科室做好物品上下架、整理工作；</w:t>
            </w:r>
          </w:p>
        </w:tc>
        <w:tc>
          <w:tcPr>
            <w:tcW w:w="1714" w:type="dxa"/>
            <w:vMerge w:val="continue"/>
            <w:noWrap w:val="0"/>
            <w:vAlign w:val="center"/>
          </w:tcPr>
          <w:p>
            <w:pPr>
              <w:spacing w:line="360" w:lineRule="auto"/>
              <w:jc w:val="cente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continue"/>
            <w:noWrap w:val="0"/>
            <w:vAlign w:val="center"/>
          </w:tcPr>
          <w:p>
            <w:pPr>
              <w:spacing w:line="360" w:lineRule="auto"/>
              <w:jc w:val="center"/>
              <w:rPr>
                <w:rFonts w:ascii="宋体" w:hAnsi="宋体"/>
                <w:bCs/>
                <w:kern w:val="0"/>
                <w:szCs w:val="21"/>
              </w:rPr>
            </w:pPr>
          </w:p>
        </w:tc>
        <w:tc>
          <w:tcPr>
            <w:tcW w:w="5670" w:type="dxa"/>
            <w:noWrap w:val="0"/>
            <w:vAlign w:val="center"/>
          </w:tcPr>
          <w:p>
            <w:pPr>
              <w:numPr>
                <w:ilvl w:val="0"/>
                <w:numId w:val="196"/>
              </w:numPr>
              <w:spacing w:line="360" w:lineRule="auto"/>
              <w:rPr>
                <w:rFonts w:ascii="宋体" w:hAnsi="宋体"/>
                <w:bCs/>
                <w:kern w:val="0"/>
                <w:szCs w:val="21"/>
              </w:rPr>
            </w:pPr>
            <w:r>
              <w:rPr>
                <w:rFonts w:hint="eastAsia" w:ascii="宋体" w:hAnsi="宋体"/>
                <w:bCs/>
                <w:kern w:val="0"/>
                <w:szCs w:val="21"/>
              </w:rPr>
              <w:t>污染物区域和存放区域洁净无灰尘；</w:t>
            </w:r>
          </w:p>
        </w:tc>
        <w:tc>
          <w:tcPr>
            <w:tcW w:w="1714" w:type="dxa"/>
            <w:vMerge w:val="continue"/>
            <w:noWrap w:val="0"/>
            <w:vAlign w:val="center"/>
          </w:tcPr>
          <w:p>
            <w:pPr>
              <w:spacing w:line="360" w:lineRule="auto"/>
              <w:jc w:val="cente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continue"/>
            <w:noWrap w:val="0"/>
            <w:vAlign w:val="center"/>
          </w:tcPr>
          <w:p>
            <w:pPr>
              <w:spacing w:line="360" w:lineRule="auto"/>
              <w:jc w:val="center"/>
              <w:rPr>
                <w:rFonts w:ascii="宋体" w:hAnsi="宋体"/>
                <w:bCs/>
                <w:kern w:val="0"/>
                <w:szCs w:val="21"/>
              </w:rPr>
            </w:pPr>
          </w:p>
        </w:tc>
        <w:tc>
          <w:tcPr>
            <w:tcW w:w="5670" w:type="dxa"/>
            <w:noWrap w:val="0"/>
            <w:vAlign w:val="center"/>
          </w:tcPr>
          <w:p>
            <w:pPr>
              <w:numPr>
                <w:ilvl w:val="0"/>
                <w:numId w:val="196"/>
              </w:numPr>
              <w:spacing w:line="360" w:lineRule="auto"/>
              <w:rPr>
                <w:rFonts w:ascii="宋体" w:hAnsi="宋体"/>
                <w:bCs/>
                <w:kern w:val="0"/>
                <w:szCs w:val="21"/>
              </w:rPr>
            </w:pPr>
            <w:r>
              <w:rPr>
                <w:rFonts w:hint="eastAsia" w:ascii="宋体" w:hAnsi="宋体"/>
                <w:bCs/>
                <w:kern w:val="0"/>
                <w:szCs w:val="21"/>
              </w:rPr>
              <w:t>熟练掌握院感知识，按要求操作；</w:t>
            </w:r>
          </w:p>
        </w:tc>
        <w:tc>
          <w:tcPr>
            <w:tcW w:w="1714" w:type="dxa"/>
            <w:vMerge w:val="continue"/>
            <w:noWrap w:val="0"/>
            <w:vAlign w:val="center"/>
          </w:tcPr>
          <w:p>
            <w:pPr>
              <w:spacing w:line="360" w:lineRule="auto"/>
              <w:jc w:val="cente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continue"/>
            <w:noWrap w:val="0"/>
            <w:vAlign w:val="center"/>
          </w:tcPr>
          <w:p>
            <w:pPr>
              <w:spacing w:line="360" w:lineRule="auto"/>
              <w:jc w:val="center"/>
              <w:rPr>
                <w:rFonts w:ascii="宋体" w:hAnsi="宋体"/>
                <w:bCs/>
                <w:kern w:val="0"/>
                <w:szCs w:val="21"/>
              </w:rPr>
            </w:pPr>
          </w:p>
        </w:tc>
        <w:tc>
          <w:tcPr>
            <w:tcW w:w="5670" w:type="dxa"/>
            <w:noWrap w:val="0"/>
            <w:vAlign w:val="center"/>
          </w:tcPr>
          <w:p>
            <w:pPr>
              <w:numPr>
                <w:ilvl w:val="0"/>
                <w:numId w:val="196"/>
              </w:numPr>
              <w:spacing w:line="360" w:lineRule="auto"/>
              <w:rPr>
                <w:rFonts w:ascii="宋体" w:hAnsi="宋体"/>
                <w:bCs/>
                <w:kern w:val="0"/>
                <w:szCs w:val="21"/>
              </w:rPr>
            </w:pPr>
            <w:r>
              <w:rPr>
                <w:rFonts w:hint="eastAsia" w:ascii="宋体" w:hAnsi="宋体"/>
                <w:bCs/>
                <w:kern w:val="0"/>
                <w:szCs w:val="21"/>
              </w:rPr>
              <w:t>个人防护工作符合院感要求。</w:t>
            </w:r>
          </w:p>
        </w:tc>
        <w:tc>
          <w:tcPr>
            <w:tcW w:w="1714" w:type="dxa"/>
            <w:vMerge w:val="continue"/>
            <w:noWrap w:val="0"/>
            <w:vAlign w:val="center"/>
          </w:tcPr>
          <w:p>
            <w:pPr>
              <w:spacing w:line="360" w:lineRule="auto"/>
              <w:jc w:val="cente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restart"/>
            <w:noWrap w:val="0"/>
            <w:vAlign w:val="center"/>
          </w:tcPr>
          <w:p>
            <w:pPr>
              <w:spacing w:line="360" w:lineRule="auto"/>
              <w:jc w:val="center"/>
              <w:rPr>
                <w:rFonts w:ascii="宋体" w:hAnsi="宋体"/>
                <w:bCs/>
                <w:kern w:val="0"/>
                <w:szCs w:val="21"/>
              </w:rPr>
            </w:pPr>
            <w:r>
              <w:rPr>
                <w:rFonts w:hint="eastAsia" w:ascii="宋体" w:hAnsi="宋体"/>
                <w:bCs/>
                <w:kern w:val="0"/>
                <w:szCs w:val="21"/>
              </w:rPr>
              <w:t>服务态度</w:t>
            </w:r>
          </w:p>
        </w:tc>
        <w:tc>
          <w:tcPr>
            <w:tcW w:w="5670" w:type="dxa"/>
            <w:noWrap w:val="0"/>
            <w:vAlign w:val="center"/>
          </w:tcPr>
          <w:p>
            <w:pPr>
              <w:widowControl/>
              <w:numPr>
                <w:ilvl w:val="0"/>
                <w:numId w:val="197"/>
              </w:numPr>
              <w:jc w:val="left"/>
              <w:rPr>
                <w:rFonts w:ascii="宋体" w:hAnsi="宋体" w:cs="宋体"/>
                <w:kern w:val="0"/>
                <w:szCs w:val="21"/>
              </w:rPr>
            </w:pPr>
            <w:r>
              <w:rPr>
                <w:rFonts w:hint="eastAsia" w:ascii="宋体" w:hAnsi="宋体" w:cs="宋体"/>
                <w:kern w:val="0"/>
                <w:szCs w:val="21"/>
              </w:rPr>
              <w:t>优质服务、文明用语、规范操作；</w:t>
            </w:r>
          </w:p>
        </w:tc>
        <w:tc>
          <w:tcPr>
            <w:tcW w:w="1714" w:type="dxa"/>
            <w:vMerge w:val="restart"/>
            <w:noWrap w:val="0"/>
            <w:vAlign w:val="center"/>
          </w:tcPr>
          <w:p>
            <w:pPr>
              <w:spacing w:line="360" w:lineRule="auto"/>
              <w:jc w:val="center"/>
              <w:rPr>
                <w:rFonts w:ascii="宋体" w:hAnsi="宋体"/>
                <w:bCs/>
                <w:kern w:val="0"/>
                <w:szCs w:val="21"/>
              </w:rPr>
            </w:pPr>
            <w:r>
              <w:rPr>
                <w:rFonts w:hint="eastAsia" w:ascii="宋体" w:hAnsi="宋体"/>
                <w:bCs/>
                <w:kern w:val="0"/>
                <w:szCs w:val="21"/>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continue"/>
            <w:noWrap w:val="0"/>
            <w:vAlign w:val="center"/>
          </w:tcPr>
          <w:p>
            <w:pPr>
              <w:spacing w:line="360" w:lineRule="auto"/>
              <w:jc w:val="center"/>
              <w:rPr>
                <w:rFonts w:ascii="宋体" w:hAnsi="宋体"/>
                <w:b/>
                <w:bCs/>
                <w:kern w:val="0"/>
                <w:szCs w:val="21"/>
              </w:rPr>
            </w:pPr>
          </w:p>
        </w:tc>
        <w:tc>
          <w:tcPr>
            <w:tcW w:w="5670" w:type="dxa"/>
            <w:noWrap w:val="0"/>
            <w:vAlign w:val="center"/>
          </w:tcPr>
          <w:p>
            <w:pPr>
              <w:widowControl/>
              <w:numPr>
                <w:ilvl w:val="0"/>
                <w:numId w:val="197"/>
              </w:numPr>
              <w:jc w:val="left"/>
              <w:rPr>
                <w:rFonts w:ascii="宋体" w:hAnsi="宋体" w:cs="宋体"/>
                <w:kern w:val="0"/>
                <w:szCs w:val="21"/>
              </w:rPr>
            </w:pPr>
            <w:r>
              <w:rPr>
                <w:rFonts w:hint="eastAsia" w:ascii="宋体" w:hAnsi="宋体" w:cs="宋体"/>
                <w:kern w:val="0"/>
                <w:szCs w:val="21"/>
              </w:rPr>
              <w:t>和同事、病人之间互相尊重，不能发生争执；</w:t>
            </w:r>
          </w:p>
        </w:tc>
        <w:tc>
          <w:tcPr>
            <w:tcW w:w="1714" w:type="dxa"/>
            <w:vMerge w:val="continue"/>
            <w:noWrap w:val="0"/>
            <w:vAlign w:val="center"/>
          </w:tcPr>
          <w:p>
            <w:pPr>
              <w:spacing w:line="360" w:lineRule="auto"/>
              <w:jc w:val="cente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continue"/>
            <w:noWrap w:val="0"/>
            <w:vAlign w:val="center"/>
          </w:tcPr>
          <w:p>
            <w:pPr>
              <w:spacing w:line="360" w:lineRule="auto"/>
              <w:jc w:val="center"/>
              <w:rPr>
                <w:rFonts w:ascii="宋体" w:hAnsi="宋体"/>
                <w:b/>
                <w:bCs/>
                <w:kern w:val="0"/>
                <w:szCs w:val="21"/>
              </w:rPr>
            </w:pPr>
          </w:p>
        </w:tc>
        <w:tc>
          <w:tcPr>
            <w:tcW w:w="5670" w:type="dxa"/>
            <w:noWrap w:val="0"/>
            <w:vAlign w:val="center"/>
          </w:tcPr>
          <w:p>
            <w:pPr>
              <w:widowControl/>
              <w:numPr>
                <w:ilvl w:val="0"/>
                <w:numId w:val="96"/>
              </w:numPr>
              <w:jc w:val="left"/>
              <w:rPr>
                <w:rFonts w:ascii="宋体" w:hAnsi="宋体" w:cs="宋体"/>
                <w:kern w:val="0"/>
                <w:szCs w:val="21"/>
              </w:rPr>
            </w:pPr>
            <w:r>
              <w:rPr>
                <w:rFonts w:hint="eastAsia" w:ascii="宋体" w:hAnsi="宋体" w:cs="宋体"/>
                <w:kern w:val="0"/>
                <w:szCs w:val="21"/>
              </w:rPr>
              <w:t>服从管理部门的工作安排；</w:t>
            </w:r>
          </w:p>
        </w:tc>
        <w:tc>
          <w:tcPr>
            <w:tcW w:w="1714" w:type="dxa"/>
            <w:vMerge w:val="continue"/>
            <w:noWrap w:val="0"/>
            <w:vAlign w:val="center"/>
          </w:tcPr>
          <w:p>
            <w:pPr>
              <w:spacing w:line="360" w:lineRule="auto"/>
              <w:jc w:val="cente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continue"/>
            <w:noWrap w:val="0"/>
            <w:vAlign w:val="center"/>
          </w:tcPr>
          <w:p>
            <w:pPr>
              <w:spacing w:line="360" w:lineRule="auto"/>
              <w:jc w:val="center"/>
              <w:rPr>
                <w:rFonts w:ascii="宋体" w:hAnsi="宋体"/>
                <w:b/>
                <w:bCs/>
                <w:kern w:val="0"/>
                <w:szCs w:val="21"/>
              </w:rPr>
            </w:pPr>
          </w:p>
        </w:tc>
        <w:tc>
          <w:tcPr>
            <w:tcW w:w="5670" w:type="dxa"/>
            <w:noWrap w:val="0"/>
            <w:vAlign w:val="center"/>
          </w:tcPr>
          <w:p>
            <w:pPr>
              <w:widowControl/>
              <w:numPr>
                <w:ilvl w:val="0"/>
                <w:numId w:val="96"/>
              </w:numPr>
              <w:jc w:val="left"/>
              <w:rPr>
                <w:rFonts w:ascii="宋体" w:hAnsi="宋体" w:cs="宋体"/>
                <w:kern w:val="0"/>
                <w:szCs w:val="21"/>
              </w:rPr>
            </w:pPr>
            <w:r>
              <w:rPr>
                <w:rFonts w:hint="eastAsia" w:ascii="宋体" w:hAnsi="宋体" w:cs="宋体"/>
                <w:kern w:val="0"/>
                <w:szCs w:val="21"/>
              </w:rPr>
              <w:t>杜绝“以公谋私”。</w:t>
            </w:r>
          </w:p>
        </w:tc>
        <w:tc>
          <w:tcPr>
            <w:tcW w:w="1714" w:type="dxa"/>
            <w:vMerge w:val="continue"/>
            <w:noWrap w:val="0"/>
            <w:vAlign w:val="center"/>
          </w:tcPr>
          <w:p>
            <w:pPr>
              <w:spacing w:line="360" w:lineRule="auto"/>
              <w:jc w:val="cente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continue"/>
            <w:noWrap w:val="0"/>
            <w:vAlign w:val="center"/>
          </w:tcPr>
          <w:p>
            <w:pPr>
              <w:spacing w:line="360" w:lineRule="auto"/>
              <w:jc w:val="center"/>
              <w:rPr>
                <w:rFonts w:ascii="宋体" w:hAnsi="宋体"/>
                <w:b/>
                <w:bCs/>
                <w:kern w:val="0"/>
                <w:szCs w:val="21"/>
              </w:rPr>
            </w:pPr>
          </w:p>
        </w:tc>
        <w:tc>
          <w:tcPr>
            <w:tcW w:w="5670" w:type="dxa"/>
            <w:noWrap w:val="0"/>
            <w:vAlign w:val="center"/>
          </w:tcPr>
          <w:p>
            <w:pPr>
              <w:widowControl/>
              <w:numPr>
                <w:ilvl w:val="0"/>
                <w:numId w:val="96"/>
              </w:numPr>
              <w:jc w:val="left"/>
              <w:rPr>
                <w:rFonts w:ascii="宋体" w:hAnsi="宋体" w:cs="宋体"/>
                <w:kern w:val="0"/>
                <w:szCs w:val="21"/>
              </w:rPr>
            </w:pPr>
            <w:r>
              <w:rPr>
                <w:rFonts w:ascii="宋体" w:hAnsi="宋体"/>
                <w:szCs w:val="21"/>
              </w:rPr>
              <w:t>有不良作为被</w:t>
            </w:r>
            <w:r>
              <w:rPr>
                <w:rFonts w:hint="eastAsia" w:ascii="宋体" w:hAnsi="宋体"/>
                <w:szCs w:val="21"/>
              </w:rPr>
              <w:t>病人及家属</w:t>
            </w:r>
            <w:r>
              <w:rPr>
                <w:rFonts w:ascii="宋体" w:hAnsi="宋体"/>
                <w:szCs w:val="21"/>
              </w:rPr>
              <w:t>或科室投诉属实的</w:t>
            </w:r>
            <w:r>
              <w:rPr>
                <w:rFonts w:hint="eastAsia" w:ascii="宋体" w:hAnsi="宋体"/>
                <w:szCs w:val="21"/>
              </w:rPr>
              <w:t>，</w:t>
            </w:r>
            <w:r>
              <w:rPr>
                <w:rFonts w:ascii="宋体" w:hAnsi="宋体"/>
                <w:szCs w:val="21"/>
              </w:rPr>
              <w:t>给</w:t>
            </w:r>
            <w:r>
              <w:rPr>
                <w:rFonts w:hint="eastAsia" w:ascii="宋体" w:hAnsi="宋体"/>
                <w:szCs w:val="21"/>
              </w:rPr>
              <w:t>医院</w:t>
            </w:r>
            <w:r>
              <w:rPr>
                <w:rFonts w:ascii="宋体" w:hAnsi="宋体"/>
                <w:szCs w:val="21"/>
              </w:rPr>
              <w:t>造成较大影响的，扣</w:t>
            </w:r>
            <w:r>
              <w:rPr>
                <w:rFonts w:hint="eastAsia" w:ascii="宋体" w:hAnsi="宋体"/>
                <w:szCs w:val="21"/>
              </w:rPr>
              <w:t>22</w:t>
            </w:r>
            <w:r>
              <w:rPr>
                <w:rFonts w:ascii="宋体" w:hAnsi="宋体"/>
                <w:szCs w:val="21"/>
              </w:rPr>
              <w:t>分</w:t>
            </w:r>
            <w:r>
              <w:rPr>
                <w:rFonts w:hint="eastAsia" w:ascii="宋体" w:hAnsi="宋体"/>
                <w:szCs w:val="21"/>
              </w:rPr>
              <w:t>。</w:t>
            </w:r>
          </w:p>
        </w:tc>
        <w:tc>
          <w:tcPr>
            <w:tcW w:w="1714" w:type="dxa"/>
            <w:vMerge w:val="continue"/>
            <w:noWrap w:val="0"/>
            <w:vAlign w:val="center"/>
          </w:tcPr>
          <w:p>
            <w:pPr>
              <w:spacing w:line="360" w:lineRule="auto"/>
              <w:jc w:val="cente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noWrap w:val="0"/>
            <w:vAlign w:val="center"/>
          </w:tcPr>
          <w:p>
            <w:pPr>
              <w:spacing w:line="360" w:lineRule="auto"/>
              <w:jc w:val="center"/>
              <w:rPr>
                <w:rFonts w:ascii="宋体" w:hAnsi="宋体"/>
                <w:bCs/>
                <w:kern w:val="0"/>
                <w:szCs w:val="21"/>
              </w:rPr>
            </w:pPr>
            <w:r>
              <w:rPr>
                <w:rFonts w:hint="eastAsia" w:ascii="宋体" w:hAnsi="宋体"/>
                <w:bCs/>
                <w:kern w:val="0"/>
                <w:szCs w:val="21"/>
              </w:rPr>
              <w:t>工具管理</w:t>
            </w:r>
          </w:p>
        </w:tc>
        <w:tc>
          <w:tcPr>
            <w:tcW w:w="5670" w:type="dxa"/>
            <w:noWrap w:val="0"/>
            <w:vAlign w:val="center"/>
          </w:tcPr>
          <w:p>
            <w:pPr>
              <w:widowControl/>
              <w:numPr>
                <w:ilvl w:val="1"/>
                <w:numId w:val="96"/>
              </w:numPr>
              <w:jc w:val="left"/>
              <w:rPr>
                <w:rFonts w:ascii="宋体" w:hAnsi="宋体" w:cs="宋体"/>
                <w:kern w:val="0"/>
                <w:szCs w:val="21"/>
              </w:rPr>
            </w:pPr>
            <w:r>
              <w:rPr>
                <w:rFonts w:hint="eastAsia" w:ascii="宋体" w:hAnsi="宋体" w:cs="宋体"/>
                <w:kern w:val="0"/>
                <w:szCs w:val="21"/>
              </w:rPr>
              <w:t>妥善保管配送、储存等各类工具。</w:t>
            </w:r>
          </w:p>
        </w:tc>
        <w:tc>
          <w:tcPr>
            <w:tcW w:w="1714" w:type="dxa"/>
            <w:noWrap w:val="0"/>
            <w:vAlign w:val="center"/>
          </w:tcPr>
          <w:p>
            <w:pPr>
              <w:spacing w:line="360" w:lineRule="auto"/>
              <w:jc w:val="center"/>
              <w:rPr>
                <w:rFonts w:ascii="宋体" w:hAnsi="宋体"/>
                <w:bCs/>
                <w:kern w:val="0"/>
                <w:szCs w:val="21"/>
              </w:rPr>
            </w:pPr>
            <w:r>
              <w:rPr>
                <w:rFonts w:hint="eastAsia" w:ascii="宋体" w:hAnsi="宋体"/>
                <w:bCs/>
                <w:kern w:val="0"/>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restart"/>
            <w:noWrap w:val="0"/>
            <w:vAlign w:val="center"/>
          </w:tcPr>
          <w:p>
            <w:pPr>
              <w:spacing w:line="360" w:lineRule="auto"/>
              <w:jc w:val="center"/>
              <w:rPr>
                <w:rFonts w:ascii="宋体" w:hAnsi="宋体"/>
                <w:bCs/>
                <w:kern w:val="0"/>
                <w:szCs w:val="21"/>
              </w:rPr>
            </w:pPr>
            <w:r>
              <w:rPr>
                <w:rFonts w:hint="eastAsia" w:ascii="宋体" w:hAnsi="宋体"/>
                <w:bCs/>
                <w:kern w:val="0"/>
                <w:szCs w:val="21"/>
              </w:rPr>
              <w:t>卫生保洁</w:t>
            </w:r>
          </w:p>
        </w:tc>
        <w:tc>
          <w:tcPr>
            <w:tcW w:w="5670" w:type="dxa"/>
            <w:noWrap w:val="0"/>
            <w:vAlign w:val="center"/>
          </w:tcPr>
          <w:p>
            <w:pPr>
              <w:numPr>
                <w:ilvl w:val="0"/>
                <w:numId w:val="198"/>
              </w:numPr>
              <w:jc w:val="left"/>
              <w:rPr>
                <w:rFonts w:ascii="宋体" w:hAnsi="宋体" w:cs="宋体"/>
                <w:kern w:val="0"/>
                <w:szCs w:val="21"/>
              </w:rPr>
            </w:pPr>
            <w:r>
              <w:rPr>
                <w:rFonts w:hint="eastAsia" w:ascii="宋体" w:hAnsi="宋体" w:cs="宋体"/>
                <w:kern w:val="0"/>
                <w:szCs w:val="21"/>
              </w:rPr>
              <w:t>地面无污迹，无灰尘；</w:t>
            </w:r>
          </w:p>
        </w:tc>
        <w:tc>
          <w:tcPr>
            <w:tcW w:w="1714" w:type="dxa"/>
            <w:vMerge w:val="restart"/>
            <w:noWrap w:val="0"/>
            <w:vAlign w:val="center"/>
          </w:tcPr>
          <w:p>
            <w:pPr>
              <w:spacing w:line="360" w:lineRule="auto"/>
              <w:jc w:val="center"/>
              <w:rPr>
                <w:rFonts w:ascii="宋体" w:hAnsi="宋体"/>
                <w:bCs/>
                <w:kern w:val="0"/>
                <w:szCs w:val="21"/>
              </w:rPr>
            </w:pPr>
            <w:r>
              <w:rPr>
                <w:rFonts w:hint="eastAsia" w:ascii="宋体" w:hAnsi="宋体"/>
                <w:bCs/>
                <w:kern w:val="0"/>
                <w:szCs w:val="21"/>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continue"/>
            <w:noWrap w:val="0"/>
            <w:vAlign w:val="center"/>
          </w:tcPr>
          <w:p>
            <w:pPr>
              <w:spacing w:line="360" w:lineRule="auto"/>
              <w:jc w:val="center"/>
              <w:rPr>
                <w:rFonts w:ascii="宋体" w:hAnsi="宋体"/>
                <w:b/>
                <w:bCs/>
                <w:kern w:val="0"/>
                <w:szCs w:val="21"/>
              </w:rPr>
            </w:pPr>
          </w:p>
        </w:tc>
        <w:tc>
          <w:tcPr>
            <w:tcW w:w="5670" w:type="dxa"/>
            <w:noWrap w:val="0"/>
            <w:vAlign w:val="center"/>
          </w:tcPr>
          <w:p>
            <w:pPr>
              <w:numPr>
                <w:ilvl w:val="0"/>
                <w:numId w:val="198"/>
              </w:numPr>
              <w:jc w:val="left"/>
              <w:rPr>
                <w:rFonts w:ascii="宋体" w:hAnsi="宋体" w:cs="宋体"/>
                <w:kern w:val="0"/>
                <w:szCs w:val="21"/>
              </w:rPr>
            </w:pPr>
            <w:r>
              <w:rPr>
                <w:rFonts w:hint="eastAsia" w:ascii="宋体" w:hAnsi="宋体" w:cs="宋体"/>
                <w:kern w:val="0"/>
                <w:szCs w:val="21"/>
              </w:rPr>
              <w:t>玻璃门窗光亮，无手印；</w:t>
            </w:r>
          </w:p>
        </w:tc>
        <w:tc>
          <w:tcPr>
            <w:tcW w:w="1714" w:type="dxa"/>
            <w:vMerge w:val="continue"/>
            <w:noWrap w:val="0"/>
            <w:vAlign w:val="center"/>
          </w:tcPr>
          <w:p>
            <w:pPr>
              <w:spacing w:line="360" w:lineRule="auto"/>
              <w:jc w:val="cente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continue"/>
            <w:noWrap w:val="0"/>
            <w:vAlign w:val="center"/>
          </w:tcPr>
          <w:p>
            <w:pPr>
              <w:spacing w:line="360" w:lineRule="auto"/>
              <w:jc w:val="center"/>
              <w:rPr>
                <w:rFonts w:ascii="宋体" w:hAnsi="宋体"/>
                <w:b/>
                <w:bCs/>
                <w:kern w:val="0"/>
                <w:szCs w:val="21"/>
              </w:rPr>
            </w:pPr>
          </w:p>
        </w:tc>
        <w:tc>
          <w:tcPr>
            <w:tcW w:w="5670" w:type="dxa"/>
            <w:noWrap w:val="0"/>
            <w:vAlign w:val="center"/>
          </w:tcPr>
          <w:p>
            <w:pPr>
              <w:numPr>
                <w:ilvl w:val="0"/>
                <w:numId w:val="198"/>
              </w:numPr>
              <w:jc w:val="left"/>
              <w:rPr>
                <w:rFonts w:ascii="宋体" w:hAnsi="宋体" w:cs="宋体"/>
                <w:kern w:val="0"/>
                <w:szCs w:val="21"/>
              </w:rPr>
            </w:pPr>
            <w:r>
              <w:rPr>
                <w:rFonts w:hint="eastAsia" w:ascii="宋体" w:hAnsi="宋体" w:cs="宋体"/>
                <w:kern w:val="0"/>
                <w:szCs w:val="21"/>
              </w:rPr>
              <w:t>门、窗槽无灰尘、污迹；</w:t>
            </w:r>
          </w:p>
        </w:tc>
        <w:tc>
          <w:tcPr>
            <w:tcW w:w="1714" w:type="dxa"/>
            <w:vMerge w:val="continue"/>
            <w:noWrap w:val="0"/>
            <w:vAlign w:val="center"/>
          </w:tcPr>
          <w:p>
            <w:pPr>
              <w:spacing w:line="360" w:lineRule="auto"/>
              <w:jc w:val="cente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continue"/>
            <w:noWrap w:val="0"/>
            <w:vAlign w:val="center"/>
          </w:tcPr>
          <w:p>
            <w:pPr>
              <w:spacing w:line="360" w:lineRule="auto"/>
              <w:jc w:val="center"/>
              <w:rPr>
                <w:rFonts w:ascii="宋体" w:hAnsi="宋体"/>
                <w:b/>
                <w:bCs/>
                <w:kern w:val="0"/>
                <w:szCs w:val="21"/>
              </w:rPr>
            </w:pPr>
          </w:p>
        </w:tc>
        <w:tc>
          <w:tcPr>
            <w:tcW w:w="5670" w:type="dxa"/>
            <w:noWrap w:val="0"/>
            <w:vAlign w:val="center"/>
          </w:tcPr>
          <w:p>
            <w:pPr>
              <w:numPr>
                <w:ilvl w:val="0"/>
                <w:numId w:val="198"/>
              </w:numPr>
              <w:jc w:val="left"/>
              <w:rPr>
                <w:rFonts w:ascii="宋体" w:hAnsi="宋体" w:cs="宋体"/>
                <w:kern w:val="0"/>
                <w:szCs w:val="21"/>
              </w:rPr>
            </w:pPr>
            <w:r>
              <w:rPr>
                <w:rFonts w:hint="eastAsia" w:ascii="宋体" w:hAnsi="宋体" w:cs="宋体"/>
                <w:kern w:val="0"/>
                <w:szCs w:val="21"/>
              </w:rPr>
              <w:t>物品物表无灰尘、无污渍、无水印；</w:t>
            </w:r>
          </w:p>
        </w:tc>
        <w:tc>
          <w:tcPr>
            <w:tcW w:w="1714" w:type="dxa"/>
            <w:vMerge w:val="continue"/>
            <w:noWrap w:val="0"/>
            <w:vAlign w:val="center"/>
          </w:tcPr>
          <w:p>
            <w:pPr>
              <w:spacing w:line="360" w:lineRule="auto"/>
              <w:jc w:val="cente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continue"/>
            <w:noWrap w:val="0"/>
            <w:vAlign w:val="center"/>
          </w:tcPr>
          <w:p>
            <w:pPr>
              <w:spacing w:line="360" w:lineRule="auto"/>
              <w:jc w:val="center"/>
              <w:rPr>
                <w:rFonts w:ascii="宋体" w:hAnsi="宋体"/>
                <w:b/>
                <w:bCs/>
                <w:kern w:val="0"/>
                <w:szCs w:val="21"/>
              </w:rPr>
            </w:pPr>
          </w:p>
        </w:tc>
        <w:tc>
          <w:tcPr>
            <w:tcW w:w="5670" w:type="dxa"/>
            <w:noWrap w:val="0"/>
            <w:vAlign w:val="center"/>
          </w:tcPr>
          <w:p>
            <w:pPr>
              <w:numPr>
                <w:ilvl w:val="0"/>
                <w:numId w:val="198"/>
              </w:numPr>
              <w:jc w:val="left"/>
              <w:rPr>
                <w:rFonts w:ascii="宋体" w:hAnsi="宋体" w:cs="宋体"/>
                <w:kern w:val="0"/>
                <w:szCs w:val="21"/>
              </w:rPr>
            </w:pPr>
            <w:r>
              <w:rPr>
                <w:rFonts w:hint="eastAsia" w:ascii="宋体" w:hAnsi="宋体"/>
                <w:szCs w:val="21"/>
              </w:rPr>
              <w:t>天花板</w:t>
            </w:r>
            <w:r>
              <w:rPr>
                <w:rFonts w:ascii="宋体" w:hAnsi="宋体"/>
                <w:szCs w:val="21"/>
              </w:rPr>
              <w:t>无蜘蛛网，无明显</w:t>
            </w:r>
            <w:r>
              <w:rPr>
                <w:rFonts w:hint="eastAsia" w:ascii="宋体" w:hAnsi="宋体"/>
                <w:szCs w:val="21"/>
              </w:rPr>
              <w:t>棉絮。</w:t>
            </w:r>
          </w:p>
        </w:tc>
        <w:tc>
          <w:tcPr>
            <w:tcW w:w="1714" w:type="dxa"/>
            <w:vMerge w:val="continue"/>
            <w:noWrap w:val="0"/>
            <w:vAlign w:val="center"/>
          </w:tcPr>
          <w:p>
            <w:pPr>
              <w:spacing w:line="360" w:lineRule="auto"/>
              <w:jc w:val="cente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restart"/>
            <w:noWrap w:val="0"/>
            <w:vAlign w:val="center"/>
          </w:tcPr>
          <w:p>
            <w:pPr>
              <w:spacing w:line="360" w:lineRule="auto"/>
              <w:jc w:val="center"/>
              <w:rPr>
                <w:rFonts w:ascii="宋体" w:hAnsi="宋体"/>
                <w:bCs/>
                <w:kern w:val="0"/>
                <w:szCs w:val="21"/>
              </w:rPr>
            </w:pPr>
            <w:r>
              <w:rPr>
                <w:rFonts w:hint="eastAsia" w:ascii="宋体" w:hAnsi="宋体"/>
                <w:bCs/>
                <w:kern w:val="0"/>
                <w:szCs w:val="21"/>
              </w:rPr>
              <w:t>劳动纪律</w:t>
            </w:r>
          </w:p>
        </w:tc>
        <w:tc>
          <w:tcPr>
            <w:tcW w:w="5670" w:type="dxa"/>
            <w:noWrap w:val="0"/>
            <w:vAlign w:val="center"/>
          </w:tcPr>
          <w:p>
            <w:pPr>
              <w:widowControl/>
              <w:numPr>
                <w:ilvl w:val="0"/>
                <w:numId w:val="199"/>
              </w:numPr>
              <w:jc w:val="left"/>
              <w:rPr>
                <w:rFonts w:ascii="宋体" w:hAnsi="宋体" w:cs="宋体"/>
                <w:kern w:val="0"/>
                <w:szCs w:val="21"/>
              </w:rPr>
            </w:pPr>
            <w:r>
              <w:rPr>
                <w:rFonts w:hint="eastAsia" w:ascii="宋体" w:hAnsi="宋体" w:cs="宋体"/>
                <w:kern w:val="0"/>
                <w:szCs w:val="21"/>
              </w:rPr>
              <w:t>不迟到、早退；</w:t>
            </w:r>
          </w:p>
        </w:tc>
        <w:tc>
          <w:tcPr>
            <w:tcW w:w="1714" w:type="dxa"/>
            <w:vMerge w:val="restart"/>
            <w:noWrap w:val="0"/>
            <w:vAlign w:val="center"/>
          </w:tcPr>
          <w:p>
            <w:pPr>
              <w:spacing w:line="360" w:lineRule="auto"/>
              <w:jc w:val="center"/>
              <w:rPr>
                <w:rFonts w:ascii="宋体" w:hAnsi="宋体"/>
                <w:bCs/>
                <w:kern w:val="0"/>
                <w:szCs w:val="21"/>
              </w:rPr>
            </w:pPr>
            <w:r>
              <w:rPr>
                <w:rFonts w:hint="eastAsia" w:ascii="宋体" w:hAnsi="宋体"/>
                <w:bCs/>
                <w:kern w:val="0"/>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continue"/>
            <w:noWrap w:val="0"/>
            <w:vAlign w:val="center"/>
          </w:tcPr>
          <w:p>
            <w:pPr>
              <w:spacing w:line="360" w:lineRule="auto"/>
              <w:rPr>
                <w:rFonts w:ascii="宋体" w:hAnsi="宋体"/>
                <w:b/>
                <w:bCs/>
                <w:kern w:val="0"/>
                <w:szCs w:val="21"/>
              </w:rPr>
            </w:pPr>
          </w:p>
        </w:tc>
        <w:tc>
          <w:tcPr>
            <w:tcW w:w="5670" w:type="dxa"/>
            <w:noWrap w:val="0"/>
            <w:vAlign w:val="center"/>
          </w:tcPr>
          <w:p>
            <w:pPr>
              <w:widowControl/>
              <w:numPr>
                <w:ilvl w:val="0"/>
                <w:numId w:val="199"/>
              </w:numPr>
              <w:jc w:val="left"/>
              <w:rPr>
                <w:rFonts w:ascii="宋体" w:hAnsi="宋体" w:cs="宋体"/>
                <w:kern w:val="0"/>
                <w:szCs w:val="21"/>
              </w:rPr>
            </w:pPr>
            <w:r>
              <w:rPr>
                <w:rFonts w:hint="eastAsia" w:ascii="宋体" w:hAnsi="宋体" w:cs="宋体"/>
                <w:kern w:val="0"/>
                <w:szCs w:val="21"/>
              </w:rPr>
              <w:t>在规定时间、规定地点用餐；</w:t>
            </w:r>
          </w:p>
        </w:tc>
        <w:tc>
          <w:tcPr>
            <w:tcW w:w="1714" w:type="dxa"/>
            <w:vMerge w:val="continue"/>
            <w:noWrap w:val="0"/>
            <w:vAlign w:val="center"/>
          </w:tcPr>
          <w:p>
            <w:pPr>
              <w:spacing w:line="360" w:lineRule="auto"/>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continue"/>
            <w:noWrap w:val="0"/>
            <w:vAlign w:val="center"/>
          </w:tcPr>
          <w:p>
            <w:pPr>
              <w:spacing w:line="360" w:lineRule="auto"/>
              <w:rPr>
                <w:rFonts w:ascii="宋体" w:hAnsi="宋体"/>
                <w:b/>
                <w:bCs/>
                <w:kern w:val="0"/>
                <w:szCs w:val="21"/>
              </w:rPr>
            </w:pPr>
          </w:p>
        </w:tc>
        <w:tc>
          <w:tcPr>
            <w:tcW w:w="5670" w:type="dxa"/>
            <w:noWrap w:val="0"/>
            <w:vAlign w:val="center"/>
          </w:tcPr>
          <w:p>
            <w:pPr>
              <w:widowControl/>
              <w:numPr>
                <w:ilvl w:val="0"/>
                <w:numId w:val="199"/>
              </w:numPr>
              <w:jc w:val="left"/>
              <w:rPr>
                <w:rFonts w:ascii="宋体" w:hAnsi="宋体" w:cs="宋体"/>
                <w:kern w:val="0"/>
                <w:szCs w:val="21"/>
              </w:rPr>
            </w:pPr>
            <w:r>
              <w:rPr>
                <w:rFonts w:hint="eastAsia" w:ascii="宋体" w:hAnsi="宋体" w:cs="宋体"/>
                <w:kern w:val="0"/>
                <w:szCs w:val="21"/>
              </w:rPr>
              <w:t>无擅自离岗；</w:t>
            </w:r>
          </w:p>
        </w:tc>
        <w:tc>
          <w:tcPr>
            <w:tcW w:w="1714" w:type="dxa"/>
            <w:vMerge w:val="continue"/>
            <w:noWrap w:val="0"/>
            <w:vAlign w:val="center"/>
          </w:tcPr>
          <w:p>
            <w:pPr>
              <w:spacing w:line="360" w:lineRule="auto"/>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continue"/>
            <w:noWrap w:val="0"/>
            <w:vAlign w:val="center"/>
          </w:tcPr>
          <w:p>
            <w:pPr>
              <w:spacing w:line="360" w:lineRule="auto"/>
              <w:rPr>
                <w:rFonts w:ascii="宋体" w:hAnsi="宋体"/>
                <w:b/>
                <w:bCs/>
                <w:kern w:val="0"/>
                <w:szCs w:val="21"/>
              </w:rPr>
            </w:pPr>
          </w:p>
        </w:tc>
        <w:tc>
          <w:tcPr>
            <w:tcW w:w="5670" w:type="dxa"/>
            <w:noWrap w:val="0"/>
            <w:vAlign w:val="center"/>
          </w:tcPr>
          <w:p>
            <w:pPr>
              <w:widowControl/>
              <w:numPr>
                <w:ilvl w:val="0"/>
                <w:numId w:val="199"/>
              </w:numPr>
              <w:jc w:val="left"/>
              <w:rPr>
                <w:rFonts w:ascii="宋体" w:hAnsi="宋体" w:cs="宋体"/>
                <w:kern w:val="0"/>
                <w:szCs w:val="21"/>
              </w:rPr>
            </w:pPr>
            <w:r>
              <w:rPr>
                <w:rFonts w:hint="eastAsia" w:ascii="宋体" w:hAnsi="宋体" w:cs="宋体"/>
                <w:kern w:val="0"/>
                <w:szCs w:val="21"/>
              </w:rPr>
              <w:t>在岗期间不得兼职其他工作；</w:t>
            </w:r>
          </w:p>
        </w:tc>
        <w:tc>
          <w:tcPr>
            <w:tcW w:w="1714" w:type="dxa"/>
            <w:vMerge w:val="continue"/>
            <w:noWrap w:val="0"/>
            <w:vAlign w:val="center"/>
          </w:tcPr>
          <w:p>
            <w:pPr>
              <w:spacing w:line="360" w:lineRule="auto"/>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35" w:type="dxa"/>
            <w:vMerge w:val="continue"/>
            <w:noWrap w:val="0"/>
            <w:vAlign w:val="center"/>
          </w:tcPr>
          <w:p>
            <w:pPr>
              <w:spacing w:line="360" w:lineRule="auto"/>
              <w:rPr>
                <w:rFonts w:ascii="宋体" w:hAnsi="宋体"/>
                <w:b/>
                <w:bCs/>
                <w:kern w:val="0"/>
                <w:szCs w:val="21"/>
              </w:rPr>
            </w:pPr>
          </w:p>
        </w:tc>
        <w:tc>
          <w:tcPr>
            <w:tcW w:w="5670" w:type="dxa"/>
            <w:noWrap w:val="0"/>
            <w:vAlign w:val="center"/>
          </w:tcPr>
          <w:p>
            <w:pPr>
              <w:widowControl/>
              <w:numPr>
                <w:ilvl w:val="0"/>
                <w:numId w:val="199"/>
              </w:numPr>
              <w:jc w:val="left"/>
              <w:rPr>
                <w:rFonts w:ascii="宋体" w:hAnsi="宋体" w:cs="宋体"/>
                <w:kern w:val="0"/>
                <w:szCs w:val="21"/>
              </w:rPr>
            </w:pPr>
            <w:r>
              <w:rPr>
                <w:rFonts w:hint="eastAsia" w:ascii="宋体" w:hAnsi="宋体" w:cs="宋体"/>
                <w:kern w:val="0"/>
                <w:szCs w:val="21"/>
              </w:rPr>
              <w:t>不得聚众聊天。</w:t>
            </w:r>
          </w:p>
        </w:tc>
        <w:tc>
          <w:tcPr>
            <w:tcW w:w="1714" w:type="dxa"/>
            <w:vMerge w:val="continue"/>
            <w:noWrap w:val="0"/>
            <w:vAlign w:val="center"/>
          </w:tcPr>
          <w:p>
            <w:pPr>
              <w:spacing w:line="360" w:lineRule="auto"/>
              <w:rPr>
                <w:rFonts w:ascii="宋体" w:hAnsi="宋体"/>
                <w:b/>
                <w:bCs/>
                <w:kern w:val="0"/>
                <w:szCs w:val="21"/>
              </w:rPr>
            </w:pPr>
          </w:p>
        </w:tc>
      </w:tr>
    </w:tbl>
    <w:p>
      <w:pPr>
        <w:widowControl/>
        <w:jc w:val="left"/>
        <w:rPr>
          <w:rFonts w:hint="eastAsia"/>
        </w:rPr>
      </w:pPr>
    </w:p>
    <w:p>
      <w:pPr>
        <w:widowControl/>
        <w:jc w:val="left"/>
        <w:rPr>
          <w:rFonts w:ascii="宋体" w:hAnsi="宋体"/>
          <w:b/>
          <w:bCs/>
          <w:sz w:val="24"/>
        </w:rPr>
      </w:pPr>
      <w:r>
        <w:rPr>
          <w:rFonts w:hint="eastAsia" w:ascii="宋体" w:hAnsi="宋体"/>
          <w:b/>
          <w:bCs/>
          <w:sz w:val="28"/>
        </w:rPr>
        <w:t>五、月度绩效考核奖罚标准</w:t>
      </w:r>
    </w:p>
    <w:p>
      <w:pPr>
        <w:spacing w:before="240" w:beforeLines="100" w:line="360" w:lineRule="auto"/>
        <w:ind w:firstLine="480" w:firstLineChars="200"/>
        <w:rPr>
          <w:rFonts w:ascii="宋体" w:hAnsi="宋体"/>
          <w:bCs/>
          <w:sz w:val="24"/>
        </w:rPr>
      </w:pPr>
      <w:r>
        <w:rPr>
          <w:rFonts w:hint="eastAsia"/>
          <w:sz w:val="24"/>
        </w:rPr>
        <w:t>招标人组织各相关科室参与卫生保洁、配送、勤杂等各岗位的打分，汇总</w:t>
      </w:r>
      <w:r>
        <w:rPr>
          <w:rFonts w:hint="eastAsia" w:ascii="宋体" w:hAnsi="宋体"/>
          <w:bCs/>
          <w:sz w:val="24"/>
        </w:rPr>
        <w:t>平均值作为中标人月度绩效考核得分，中标人</w:t>
      </w:r>
      <w:r>
        <w:rPr>
          <w:sz w:val="24"/>
        </w:rPr>
        <w:t>年</w:t>
      </w:r>
      <w:r>
        <w:rPr>
          <w:rFonts w:hint="eastAsia"/>
          <w:sz w:val="24"/>
        </w:rPr>
        <w:t>度绩效考核</w:t>
      </w:r>
      <w:r>
        <w:rPr>
          <w:sz w:val="24"/>
        </w:rPr>
        <w:t>得分为各月</w:t>
      </w:r>
      <w:r>
        <w:rPr>
          <w:rFonts w:hint="eastAsia"/>
          <w:sz w:val="24"/>
        </w:rPr>
        <w:t>考核</w:t>
      </w:r>
      <w:r>
        <w:rPr>
          <w:sz w:val="24"/>
        </w:rPr>
        <w:t>得分的平均值。</w:t>
      </w:r>
    </w:p>
    <w:p>
      <w:pPr>
        <w:widowControl/>
        <w:spacing w:before="100" w:beforeAutospacing="1"/>
        <w:jc w:val="left"/>
        <w:rPr>
          <w:rFonts w:ascii="宋体" w:hAnsi="宋体"/>
          <w:b/>
          <w:bCs/>
          <w:sz w:val="24"/>
        </w:rPr>
      </w:pPr>
      <w:r>
        <w:rPr>
          <w:rFonts w:hint="eastAsia" w:ascii="宋体" w:hAnsi="宋体"/>
          <w:b/>
          <w:sz w:val="24"/>
        </w:rPr>
        <w:t>1、</w:t>
      </w:r>
      <w:r>
        <w:rPr>
          <w:rFonts w:hint="eastAsia" w:ascii="宋体" w:hAnsi="宋体"/>
          <w:b/>
          <w:bCs/>
          <w:sz w:val="24"/>
        </w:rPr>
        <w:t>处罚方法</w:t>
      </w:r>
    </w:p>
    <w:tbl>
      <w:tblPr>
        <w:tblStyle w:val="7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1"/>
        <w:gridCol w:w="4735"/>
        <w:gridCol w:w="30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4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bCs/>
                <w:sz w:val="24"/>
              </w:rPr>
            </w:pPr>
            <w:r>
              <w:rPr>
                <w:rFonts w:hint="eastAsia" w:ascii="宋体" w:hAnsi="宋体"/>
                <w:b/>
                <w:bCs/>
                <w:sz w:val="24"/>
              </w:rPr>
              <w:t>序号</w:t>
            </w:r>
          </w:p>
        </w:tc>
        <w:tc>
          <w:tcPr>
            <w:tcW w:w="4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bCs/>
                <w:sz w:val="24"/>
              </w:rPr>
            </w:pPr>
            <w:r>
              <w:rPr>
                <w:rFonts w:hint="eastAsia" w:ascii="宋体" w:hAnsi="宋体"/>
                <w:b/>
                <w:bCs/>
                <w:sz w:val="24"/>
              </w:rPr>
              <w:t>月度评分</w:t>
            </w:r>
          </w:p>
        </w:tc>
        <w:tc>
          <w:tcPr>
            <w:tcW w:w="30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bCs/>
                <w:sz w:val="24"/>
              </w:rPr>
            </w:pPr>
            <w:r>
              <w:rPr>
                <w:rFonts w:hint="eastAsia" w:ascii="宋体" w:hAnsi="宋体"/>
                <w:b/>
                <w:bCs/>
                <w:sz w:val="24"/>
              </w:rPr>
              <w:t>扣款标准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4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hint="eastAsia" w:ascii="宋体" w:hAnsi="宋体"/>
                <w:sz w:val="24"/>
              </w:rPr>
              <w:t xml:space="preserve">1 </w:t>
            </w:r>
          </w:p>
        </w:tc>
        <w:tc>
          <w:tcPr>
            <w:tcW w:w="4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hint="eastAsia" w:ascii="宋体" w:hAnsi="宋体"/>
                <w:sz w:val="24"/>
              </w:rPr>
              <w:t>89分（含）以上</w:t>
            </w:r>
          </w:p>
        </w:tc>
        <w:tc>
          <w:tcPr>
            <w:tcW w:w="30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r>
              <w:rPr>
                <w:rFonts w:hint="eastAsia" w:ascii="宋体" w:hAnsi="宋体"/>
                <w:sz w:val="24"/>
              </w:rPr>
              <w:t>支付全部月度合同金额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4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hint="eastAsia" w:ascii="宋体" w:hAnsi="宋体"/>
                <w:sz w:val="24"/>
              </w:rPr>
              <w:t xml:space="preserve">2 </w:t>
            </w:r>
          </w:p>
        </w:tc>
        <w:tc>
          <w:tcPr>
            <w:tcW w:w="4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hint="eastAsia" w:ascii="宋体" w:hAnsi="宋体"/>
                <w:sz w:val="24"/>
              </w:rPr>
              <w:t>89分以下，84分（含）以上</w:t>
            </w:r>
          </w:p>
        </w:tc>
        <w:tc>
          <w:tcPr>
            <w:tcW w:w="30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r>
              <w:rPr>
                <w:rFonts w:hint="eastAsia" w:ascii="宋体" w:hAnsi="宋体"/>
                <w:sz w:val="24"/>
              </w:rPr>
              <w:t>扣款为月度合同金额2.5%；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4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hint="eastAsia" w:ascii="宋体" w:hAnsi="宋体"/>
                <w:sz w:val="24"/>
              </w:rPr>
              <w:t xml:space="preserve">3 </w:t>
            </w:r>
          </w:p>
        </w:tc>
        <w:tc>
          <w:tcPr>
            <w:tcW w:w="4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hint="eastAsia" w:ascii="宋体" w:hAnsi="宋体"/>
                <w:sz w:val="24"/>
              </w:rPr>
              <w:t>84分以下，79分（含）以上</w:t>
            </w:r>
          </w:p>
        </w:tc>
        <w:tc>
          <w:tcPr>
            <w:tcW w:w="30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r>
              <w:rPr>
                <w:rFonts w:hint="eastAsia" w:ascii="宋体" w:hAnsi="宋体"/>
                <w:sz w:val="24"/>
              </w:rPr>
              <w:t>扣款为月度合同金额5%；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4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hint="eastAsia" w:ascii="宋体" w:hAnsi="宋体"/>
                <w:sz w:val="24"/>
              </w:rPr>
              <w:t xml:space="preserve">4 </w:t>
            </w:r>
          </w:p>
        </w:tc>
        <w:tc>
          <w:tcPr>
            <w:tcW w:w="4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hint="eastAsia" w:ascii="宋体" w:hAnsi="宋体"/>
                <w:sz w:val="24"/>
              </w:rPr>
              <w:t>79分以下</w:t>
            </w:r>
          </w:p>
        </w:tc>
        <w:tc>
          <w:tcPr>
            <w:tcW w:w="30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r>
              <w:rPr>
                <w:rFonts w:hint="eastAsia" w:ascii="宋体" w:hAnsi="宋体"/>
                <w:sz w:val="24"/>
              </w:rPr>
              <w:t>扣款为月度合同金额10%；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4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hint="eastAsia" w:ascii="宋体" w:hAnsi="宋体"/>
                <w:sz w:val="24"/>
              </w:rPr>
              <w:t>5</w:t>
            </w:r>
          </w:p>
        </w:tc>
        <w:tc>
          <w:tcPr>
            <w:tcW w:w="4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hint="eastAsia" w:ascii="宋体" w:hAnsi="宋体"/>
                <w:sz w:val="24"/>
              </w:rPr>
              <w:t>服务期限内有5次低于89分</w:t>
            </w:r>
          </w:p>
        </w:tc>
        <w:tc>
          <w:tcPr>
            <w:tcW w:w="30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r>
              <w:rPr>
                <w:rFonts w:hint="eastAsia" w:ascii="宋体" w:hAnsi="宋体"/>
                <w:sz w:val="24"/>
              </w:rPr>
              <w:t>没收全部履约保证金,并终止合同；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4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hint="eastAsia" w:ascii="宋体" w:hAnsi="宋体"/>
                <w:sz w:val="24"/>
              </w:rPr>
              <w:t>6</w:t>
            </w:r>
            <w:r>
              <w:rPr>
                <w:rFonts w:ascii="宋体" w:hAnsi="宋体"/>
                <w:sz w:val="24"/>
              </w:rPr>
              <w:t xml:space="preserve"> </w:t>
            </w:r>
          </w:p>
        </w:tc>
        <w:tc>
          <w:tcPr>
            <w:tcW w:w="4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hint="eastAsia" w:ascii="宋体" w:hAnsi="宋体"/>
                <w:sz w:val="24"/>
              </w:rPr>
              <w:t>服务期限内有2次低于79分</w:t>
            </w:r>
          </w:p>
        </w:tc>
        <w:tc>
          <w:tcPr>
            <w:tcW w:w="30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r>
              <w:rPr>
                <w:rFonts w:hint="eastAsia" w:ascii="宋体" w:hAnsi="宋体"/>
                <w:sz w:val="24"/>
              </w:rPr>
              <w:t>没收全部履约保证金,并终止合同；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14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hint="eastAsia" w:ascii="宋体" w:hAnsi="宋体"/>
                <w:sz w:val="24"/>
              </w:rPr>
              <w:t>备注</w:t>
            </w:r>
          </w:p>
        </w:tc>
        <w:tc>
          <w:tcPr>
            <w:tcW w:w="30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r>
              <w:rPr>
                <w:rFonts w:hint="eastAsia" w:ascii="宋体" w:hAnsi="宋体"/>
                <w:sz w:val="24"/>
              </w:rPr>
              <w:t>以上评分标准按照百分制进行，每月初恢复百分制。</w:t>
            </w:r>
          </w:p>
        </w:tc>
      </w:tr>
    </w:tbl>
    <w:p>
      <w:pPr>
        <w:widowControl/>
        <w:spacing w:before="100" w:beforeAutospacing="1"/>
        <w:jc w:val="left"/>
        <w:rPr>
          <w:rFonts w:ascii="宋体" w:hAnsi="宋体"/>
          <w:b/>
          <w:sz w:val="24"/>
        </w:rPr>
      </w:pPr>
      <w:r>
        <w:rPr>
          <w:rFonts w:hint="eastAsia" w:ascii="宋体" w:hAnsi="宋体"/>
          <w:b/>
          <w:sz w:val="24"/>
        </w:rPr>
        <w:t>2、奖励方法</w:t>
      </w:r>
    </w:p>
    <w:tbl>
      <w:tblPr>
        <w:tblStyle w:val="7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13"/>
        <w:gridCol w:w="3678"/>
        <w:gridCol w:w="311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2413" w:type="dxa"/>
            <w:noWrap w:val="0"/>
            <w:vAlign w:val="center"/>
          </w:tcPr>
          <w:p>
            <w:pPr>
              <w:widowControl/>
              <w:jc w:val="center"/>
              <w:rPr>
                <w:rFonts w:ascii="宋体" w:hAnsi="宋体"/>
                <w:b/>
                <w:sz w:val="24"/>
              </w:rPr>
            </w:pPr>
            <w:r>
              <w:rPr>
                <w:rFonts w:ascii="宋体" w:hAnsi="宋体"/>
                <w:b/>
                <w:sz w:val="24"/>
              </w:rPr>
              <w:t>得  分</w:t>
            </w:r>
          </w:p>
        </w:tc>
        <w:tc>
          <w:tcPr>
            <w:tcW w:w="3678" w:type="dxa"/>
            <w:noWrap w:val="0"/>
            <w:vAlign w:val="center"/>
          </w:tcPr>
          <w:p>
            <w:pPr>
              <w:widowControl/>
              <w:jc w:val="center"/>
              <w:rPr>
                <w:rFonts w:ascii="宋体" w:hAnsi="宋体"/>
                <w:b/>
                <w:sz w:val="24"/>
              </w:rPr>
            </w:pPr>
            <w:r>
              <w:rPr>
                <w:rFonts w:ascii="宋体" w:hAnsi="宋体"/>
                <w:b/>
                <w:sz w:val="24"/>
              </w:rPr>
              <w:t>奖励标准</w:t>
            </w:r>
          </w:p>
        </w:tc>
        <w:tc>
          <w:tcPr>
            <w:tcW w:w="3119" w:type="dxa"/>
            <w:noWrap w:val="0"/>
            <w:vAlign w:val="center"/>
          </w:tcPr>
          <w:p>
            <w:pPr>
              <w:widowControl/>
              <w:jc w:val="center"/>
              <w:rPr>
                <w:rFonts w:ascii="宋体" w:hAnsi="宋体"/>
                <w:b/>
                <w:sz w:val="24"/>
              </w:rPr>
            </w:pPr>
            <w:r>
              <w:rPr>
                <w:rFonts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2413" w:type="dxa"/>
            <w:noWrap w:val="0"/>
            <w:vAlign w:val="center"/>
          </w:tcPr>
          <w:p>
            <w:pPr>
              <w:widowControl/>
              <w:jc w:val="center"/>
              <w:rPr>
                <w:rFonts w:ascii="宋体" w:hAnsi="宋体"/>
                <w:sz w:val="24"/>
              </w:rPr>
            </w:pPr>
            <w:r>
              <w:rPr>
                <w:rFonts w:ascii="宋体" w:hAnsi="宋体"/>
                <w:sz w:val="24"/>
              </w:rPr>
              <w:t>≥95分</w:t>
            </w:r>
          </w:p>
        </w:tc>
        <w:tc>
          <w:tcPr>
            <w:tcW w:w="3678" w:type="dxa"/>
            <w:noWrap w:val="0"/>
            <w:vAlign w:val="center"/>
          </w:tcPr>
          <w:p>
            <w:pPr>
              <w:widowControl/>
              <w:jc w:val="center"/>
              <w:rPr>
                <w:rFonts w:ascii="宋体" w:hAnsi="宋体"/>
                <w:sz w:val="24"/>
              </w:rPr>
            </w:pPr>
            <w:r>
              <w:rPr>
                <w:rFonts w:ascii="宋体" w:hAnsi="宋体"/>
                <w:sz w:val="24"/>
              </w:rPr>
              <w:t>增加</w:t>
            </w:r>
            <w:r>
              <w:rPr>
                <w:rFonts w:hint="eastAsia" w:ascii="宋体" w:hAnsi="宋体"/>
                <w:sz w:val="24"/>
              </w:rPr>
              <w:t>1000</w:t>
            </w:r>
            <w:r>
              <w:rPr>
                <w:rFonts w:ascii="宋体" w:hAnsi="宋体"/>
                <w:sz w:val="24"/>
              </w:rPr>
              <w:t>元/当月</w:t>
            </w:r>
          </w:p>
        </w:tc>
        <w:tc>
          <w:tcPr>
            <w:tcW w:w="3119" w:type="dxa"/>
            <w:vMerge w:val="restart"/>
            <w:noWrap w:val="0"/>
            <w:vAlign w:val="center"/>
          </w:tcPr>
          <w:p>
            <w:pPr>
              <w:widowControl/>
              <w:jc w:val="left"/>
              <w:rPr>
                <w:rFonts w:ascii="宋体" w:hAnsi="宋体"/>
                <w:sz w:val="24"/>
              </w:rPr>
            </w:pPr>
            <w:r>
              <w:rPr>
                <w:rFonts w:ascii="宋体" w:hAnsi="宋体"/>
                <w:sz w:val="24"/>
              </w:rPr>
              <w:t>当月最高奖励不超过</w:t>
            </w:r>
            <w:r>
              <w:rPr>
                <w:rFonts w:hint="eastAsia" w:ascii="宋体" w:hAnsi="宋体"/>
                <w:sz w:val="24"/>
              </w:rPr>
              <w:t>2</w:t>
            </w:r>
            <w:r>
              <w:rPr>
                <w:rFonts w:ascii="宋体" w:hAnsi="宋体"/>
                <w:sz w:val="24"/>
              </w:rPr>
              <w:t>000元人民币。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trPr>
        <w:tc>
          <w:tcPr>
            <w:tcW w:w="2413" w:type="dxa"/>
            <w:noWrap w:val="0"/>
            <w:vAlign w:val="center"/>
          </w:tcPr>
          <w:p>
            <w:pPr>
              <w:widowControl/>
              <w:jc w:val="center"/>
              <w:rPr>
                <w:rFonts w:ascii="宋体" w:hAnsi="宋体"/>
                <w:sz w:val="24"/>
              </w:rPr>
            </w:pPr>
            <w:r>
              <w:rPr>
                <w:rFonts w:ascii="宋体" w:hAnsi="宋体"/>
                <w:sz w:val="24"/>
              </w:rPr>
              <w:t>连续2个月≥95分</w:t>
            </w:r>
          </w:p>
        </w:tc>
        <w:tc>
          <w:tcPr>
            <w:tcW w:w="3678" w:type="dxa"/>
            <w:noWrap w:val="0"/>
            <w:vAlign w:val="center"/>
          </w:tcPr>
          <w:p>
            <w:pPr>
              <w:widowControl/>
              <w:jc w:val="center"/>
              <w:rPr>
                <w:rFonts w:ascii="宋体" w:hAnsi="宋体"/>
                <w:sz w:val="24"/>
              </w:rPr>
            </w:pPr>
            <w:r>
              <w:rPr>
                <w:rFonts w:ascii="宋体" w:hAnsi="宋体"/>
                <w:sz w:val="24"/>
              </w:rPr>
              <w:t>增加1</w:t>
            </w:r>
            <w:r>
              <w:rPr>
                <w:rFonts w:hint="eastAsia" w:ascii="宋体" w:hAnsi="宋体"/>
                <w:sz w:val="24"/>
              </w:rPr>
              <w:t>5</w:t>
            </w:r>
            <w:r>
              <w:rPr>
                <w:rFonts w:ascii="宋体" w:hAnsi="宋体"/>
                <w:sz w:val="24"/>
              </w:rPr>
              <w:t>00元/当月</w:t>
            </w:r>
          </w:p>
        </w:tc>
        <w:tc>
          <w:tcPr>
            <w:tcW w:w="3119" w:type="dxa"/>
            <w:vMerge w:val="continue"/>
            <w:noWrap w:val="0"/>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5" w:hRule="atLeast"/>
        </w:trPr>
        <w:tc>
          <w:tcPr>
            <w:tcW w:w="2413" w:type="dxa"/>
            <w:noWrap w:val="0"/>
            <w:vAlign w:val="center"/>
          </w:tcPr>
          <w:p>
            <w:pPr>
              <w:widowControl/>
              <w:jc w:val="center"/>
              <w:rPr>
                <w:rFonts w:ascii="宋体" w:hAnsi="宋体"/>
                <w:sz w:val="24"/>
              </w:rPr>
            </w:pPr>
            <w:r>
              <w:rPr>
                <w:rFonts w:ascii="宋体" w:hAnsi="宋体"/>
                <w:sz w:val="24"/>
              </w:rPr>
              <w:t>连续3个月≥95分</w:t>
            </w:r>
          </w:p>
        </w:tc>
        <w:tc>
          <w:tcPr>
            <w:tcW w:w="3678" w:type="dxa"/>
            <w:noWrap w:val="0"/>
            <w:vAlign w:val="center"/>
          </w:tcPr>
          <w:p>
            <w:pPr>
              <w:widowControl/>
              <w:jc w:val="center"/>
              <w:rPr>
                <w:rFonts w:ascii="宋体" w:hAnsi="宋体"/>
                <w:sz w:val="24"/>
              </w:rPr>
            </w:pPr>
            <w:r>
              <w:rPr>
                <w:rFonts w:ascii="宋体" w:hAnsi="宋体"/>
                <w:sz w:val="24"/>
              </w:rPr>
              <w:t>增加</w:t>
            </w:r>
            <w:r>
              <w:rPr>
                <w:rFonts w:hint="eastAsia" w:ascii="宋体" w:hAnsi="宋体"/>
                <w:sz w:val="24"/>
              </w:rPr>
              <w:t>200</w:t>
            </w:r>
            <w:r>
              <w:rPr>
                <w:rFonts w:ascii="宋体" w:hAnsi="宋体"/>
                <w:sz w:val="24"/>
              </w:rPr>
              <w:t>0元/当月</w:t>
            </w:r>
          </w:p>
        </w:tc>
        <w:tc>
          <w:tcPr>
            <w:tcW w:w="3119" w:type="dxa"/>
            <w:vMerge w:val="continue"/>
            <w:noWrap w:val="0"/>
            <w:vAlign w:val="center"/>
          </w:tcPr>
          <w:p>
            <w:pPr>
              <w:widowControl/>
              <w:jc w:val="left"/>
              <w:rPr>
                <w:rFonts w:ascii="宋体" w:hAnsi="宋体"/>
                <w:sz w:val="24"/>
              </w:rPr>
            </w:pPr>
          </w:p>
        </w:tc>
      </w:tr>
    </w:tbl>
    <w:p>
      <w:pPr>
        <w:widowControl/>
        <w:spacing w:before="240" w:beforeLines="100" w:line="360" w:lineRule="auto"/>
        <w:jc w:val="left"/>
        <w:rPr>
          <w:rFonts w:ascii="宋体" w:hAnsi="宋体"/>
          <w:sz w:val="24"/>
        </w:rPr>
      </w:pPr>
      <w:r>
        <w:rPr>
          <w:rFonts w:hint="eastAsia" w:ascii="宋体" w:hAnsi="宋体"/>
          <w:sz w:val="24"/>
        </w:rPr>
        <w:t>3、招标人不定期按照招标文件中的各项考核标准对服务区域进行检查，发现不合格项进行扣分处理。中标人须在当日作出响应，完成招标人的要求。</w:t>
      </w:r>
    </w:p>
    <w:p>
      <w:pPr>
        <w:widowControl/>
        <w:spacing w:before="100" w:beforeAutospacing="1"/>
        <w:jc w:val="left"/>
        <w:rPr>
          <w:rFonts w:ascii="宋体" w:hAnsi="宋体"/>
          <w:b/>
          <w:sz w:val="24"/>
        </w:rPr>
      </w:pPr>
      <w:r>
        <w:rPr>
          <w:rFonts w:hint="eastAsia" w:ascii="宋体" w:hAnsi="宋体"/>
          <w:b/>
          <w:bCs/>
          <w:sz w:val="28"/>
        </w:rPr>
        <w:t>六、考勤说明</w:t>
      </w:r>
    </w:p>
    <w:p>
      <w:pPr>
        <w:spacing w:before="120" w:beforeLines="50" w:line="360" w:lineRule="auto"/>
        <w:ind w:firstLine="480" w:firstLineChars="200"/>
        <w:rPr>
          <w:rFonts w:hint="eastAsia" w:ascii="宋体" w:hAnsi="宋体"/>
          <w:b/>
          <w:sz w:val="28"/>
        </w:rPr>
      </w:pPr>
      <w:r>
        <w:rPr>
          <w:rFonts w:hint="eastAsia"/>
          <w:sz w:val="24"/>
        </w:rPr>
        <w:t>中标人在承包之日起5个工作日内向招标人提供工作人员名单，并在招标人指定科室录入员工指纹或面部扫描。上下班执行指纹或面部扫描考勤，招标人每月对中标人的考勤进行检查，按照《考勤标准》执行。</w:t>
      </w:r>
    </w:p>
    <w:p>
      <w:pPr>
        <w:widowControl/>
        <w:jc w:val="left"/>
        <w:rPr>
          <w:rFonts w:ascii="宋体" w:hAnsi="宋体"/>
          <w:b/>
          <w:sz w:val="28"/>
        </w:rPr>
      </w:pPr>
      <w:r>
        <w:rPr>
          <w:rFonts w:hint="eastAsia" w:ascii="宋体" w:hAnsi="宋体"/>
          <w:b/>
          <w:sz w:val="28"/>
        </w:rPr>
        <w:t>考勤标准</w:t>
      </w:r>
    </w:p>
    <w:tbl>
      <w:tblPr>
        <w:tblStyle w:val="7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5"/>
        <w:gridCol w:w="3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955" w:type="dxa"/>
            <w:noWrap w:val="0"/>
            <w:vAlign w:val="center"/>
          </w:tcPr>
          <w:p>
            <w:pPr>
              <w:widowControl/>
              <w:jc w:val="center"/>
              <w:rPr>
                <w:rFonts w:ascii="宋体" w:hAnsi="宋体"/>
                <w:b/>
                <w:sz w:val="24"/>
              </w:rPr>
            </w:pPr>
            <w:r>
              <w:rPr>
                <w:rFonts w:hint="eastAsia" w:ascii="宋体" w:hAnsi="宋体"/>
                <w:b/>
                <w:sz w:val="24"/>
              </w:rPr>
              <w:t>标准</w:t>
            </w:r>
          </w:p>
        </w:tc>
        <w:tc>
          <w:tcPr>
            <w:tcW w:w="3567" w:type="dxa"/>
            <w:noWrap w:val="0"/>
            <w:vAlign w:val="center"/>
          </w:tcPr>
          <w:p>
            <w:pPr>
              <w:widowControl/>
              <w:jc w:val="center"/>
              <w:rPr>
                <w:rFonts w:ascii="宋体" w:hAnsi="宋体"/>
                <w:b/>
                <w:sz w:val="24"/>
              </w:rPr>
            </w:pPr>
            <w:r>
              <w:rPr>
                <w:rFonts w:hint="eastAsia" w:ascii="宋体" w:hAnsi="宋体"/>
                <w:b/>
                <w:sz w:val="24"/>
              </w:rPr>
              <w:t>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55" w:type="dxa"/>
            <w:noWrap w:val="0"/>
            <w:vAlign w:val="center"/>
          </w:tcPr>
          <w:p>
            <w:pPr>
              <w:widowControl/>
              <w:jc w:val="center"/>
              <w:rPr>
                <w:rFonts w:ascii="宋体" w:hAnsi="宋体"/>
                <w:sz w:val="24"/>
              </w:rPr>
            </w:pPr>
            <w:r>
              <w:rPr>
                <w:rFonts w:hint="eastAsia" w:ascii="宋体" w:hAnsi="宋体"/>
                <w:sz w:val="24"/>
              </w:rPr>
              <w:t>迟到或早退5分钟之内（含5分钟）</w:t>
            </w:r>
          </w:p>
        </w:tc>
        <w:tc>
          <w:tcPr>
            <w:tcW w:w="3567" w:type="dxa"/>
            <w:noWrap w:val="0"/>
            <w:vAlign w:val="center"/>
          </w:tcPr>
          <w:p>
            <w:pPr>
              <w:widowControl/>
              <w:jc w:val="center"/>
              <w:rPr>
                <w:rFonts w:ascii="宋体" w:hAnsi="宋体"/>
                <w:sz w:val="24"/>
              </w:rPr>
            </w:pPr>
            <w:r>
              <w:rPr>
                <w:rFonts w:hint="eastAsia" w:ascii="宋体" w:hAnsi="宋体"/>
                <w:sz w:val="24"/>
              </w:rPr>
              <w:t>5元/人/次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55" w:type="dxa"/>
            <w:noWrap w:val="0"/>
            <w:vAlign w:val="center"/>
          </w:tcPr>
          <w:p>
            <w:pPr>
              <w:widowControl/>
              <w:jc w:val="center"/>
              <w:rPr>
                <w:rFonts w:ascii="宋体" w:hAnsi="宋体"/>
                <w:sz w:val="24"/>
              </w:rPr>
            </w:pPr>
            <w:r>
              <w:rPr>
                <w:rFonts w:hint="eastAsia" w:ascii="宋体" w:hAnsi="宋体"/>
                <w:sz w:val="24"/>
              </w:rPr>
              <w:t>迟到或早退5—30分钟（含30分钟）</w:t>
            </w:r>
          </w:p>
        </w:tc>
        <w:tc>
          <w:tcPr>
            <w:tcW w:w="3567" w:type="dxa"/>
            <w:noWrap w:val="0"/>
            <w:vAlign w:val="center"/>
          </w:tcPr>
          <w:p>
            <w:pPr>
              <w:widowControl/>
              <w:jc w:val="center"/>
              <w:rPr>
                <w:rFonts w:ascii="宋体" w:hAnsi="宋体"/>
                <w:sz w:val="24"/>
              </w:rPr>
            </w:pPr>
            <w:r>
              <w:rPr>
                <w:rFonts w:hint="eastAsia" w:ascii="宋体" w:hAnsi="宋体"/>
                <w:sz w:val="24"/>
              </w:rPr>
              <w:t>10元/人/次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55" w:type="dxa"/>
            <w:noWrap w:val="0"/>
            <w:vAlign w:val="center"/>
          </w:tcPr>
          <w:p>
            <w:pPr>
              <w:widowControl/>
              <w:jc w:val="center"/>
              <w:rPr>
                <w:rFonts w:ascii="宋体" w:hAnsi="宋体"/>
                <w:sz w:val="24"/>
              </w:rPr>
            </w:pPr>
            <w:r>
              <w:rPr>
                <w:rFonts w:hint="eastAsia" w:ascii="宋体" w:hAnsi="宋体"/>
                <w:sz w:val="24"/>
              </w:rPr>
              <w:t>迟到或早退30分钟以上</w:t>
            </w:r>
          </w:p>
        </w:tc>
        <w:tc>
          <w:tcPr>
            <w:tcW w:w="3567" w:type="dxa"/>
            <w:noWrap w:val="0"/>
            <w:vAlign w:val="center"/>
          </w:tcPr>
          <w:p>
            <w:pPr>
              <w:widowControl/>
              <w:jc w:val="center"/>
              <w:rPr>
                <w:rFonts w:ascii="宋体" w:hAnsi="宋体"/>
                <w:sz w:val="24"/>
              </w:rPr>
            </w:pPr>
            <w:r>
              <w:rPr>
                <w:rFonts w:hint="eastAsia" w:ascii="宋体" w:hAnsi="宋体"/>
                <w:sz w:val="24"/>
              </w:rPr>
              <w:t>视同缺岗，</w:t>
            </w:r>
          </w:p>
          <w:p>
            <w:pPr>
              <w:widowControl/>
              <w:jc w:val="center"/>
              <w:rPr>
                <w:rFonts w:ascii="宋体" w:hAnsi="宋体"/>
                <w:sz w:val="24"/>
              </w:rPr>
            </w:pPr>
            <w:r>
              <w:rPr>
                <w:rFonts w:hint="eastAsia" w:ascii="宋体" w:hAnsi="宋体"/>
                <w:sz w:val="24"/>
              </w:rPr>
              <w:t>200元/人/次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55" w:type="dxa"/>
            <w:noWrap w:val="0"/>
            <w:vAlign w:val="center"/>
          </w:tcPr>
          <w:p>
            <w:pPr>
              <w:widowControl/>
              <w:jc w:val="center"/>
              <w:rPr>
                <w:rFonts w:ascii="宋体" w:hAnsi="宋体"/>
                <w:sz w:val="24"/>
              </w:rPr>
            </w:pPr>
            <w:r>
              <w:rPr>
                <w:rFonts w:hint="eastAsia" w:ascii="宋体" w:hAnsi="宋体"/>
                <w:sz w:val="24"/>
              </w:rPr>
              <w:t>未打卡且未于当天及时说明理由者</w:t>
            </w:r>
          </w:p>
        </w:tc>
        <w:tc>
          <w:tcPr>
            <w:tcW w:w="3567" w:type="dxa"/>
            <w:noWrap w:val="0"/>
            <w:vAlign w:val="center"/>
          </w:tcPr>
          <w:p>
            <w:pPr>
              <w:widowControl/>
              <w:jc w:val="center"/>
              <w:rPr>
                <w:rFonts w:ascii="宋体" w:hAnsi="宋体"/>
                <w:sz w:val="24"/>
              </w:rPr>
            </w:pPr>
            <w:r>
              <w:rPr>
                <w:rFonts w:hint="eastAsia" w:ascii="宋体" w:hAnsi="宋体"/>
                <w:sz w:val="24"/>
              </w:rPr>
              <w:t>视同迟到，</w:t>
            </w:r>
          </w:p>
          <w:p>
            <w:pPr>
              <w:widowControl/>
              <w:jc w:val="center"/>
              <w:rPr>
                <w:rFonts w:ascii="宋体" w:hAnsi="宋体"/>
                <w:sz w:val="24"/>
              </w:rPr>
            </w:pPr>
            <w:r>
              <w:rPr>
                <w:rFonts w:hint="eastAsia" w:ascii="宋体" w:hAnsi="宋体"/>
                <w:sz w:val="24"/>
              </w:rPr>
              <w:t>5元/人/次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55" w:type="dxa"/>
            <w:noWrap w:val="0"/>
            <w:vAlign w:val="center"/>
          </w:tcPr>
          <w:p>
            <w:pPr>
              <w:widowControl/>
              <w:jc w:val="center"/>
              <w:rPr>
                <w:rFonts w:ascii="宋体" w:hAnsi="宋体"/>
                <w:sz w:val="24"/>
              </w:rPr>
            </w:pPr>
            <w:r>
              <w:rPr>
                <w:rFonts w:hint="eastAsia" w:ascii="宋体" w:hAnsi="宋体"/>
                <w:sz w:val="24"/>
              </w:rPr>
              <w:t>缺岗</w:t>
            </w:r>
          </w:p>
        </w:tc>
        <w:tc>
          <w:tcPr>
            <w:tcW w:w="3567" w:type="dxa"/>
            <w:noWrap w:val="0"/>
            <w:vAlign w:val="center"/>
          </w:tcPr>
          <w:p>
            <w:pPr>
              <w:widowControl/>
              <w:jc w:val="center"/>
              <w:rPr>
                <w:rFonts w:ascii="宋体" w:hAnsi="宋体"/>
                <w:sz w:val="24"/>
              </w:rPr>
            </w:pPr>
            <w:r>
              <w:rPr>
                <w:rFonts w:hint="eastAsia" w:ascii="宋体" w:hAnsi="宋体"/>
                <w:sz w:val="24"/>
              </w:rPr>
              <w:t>200元/人/次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55" w:type="dxa"/>
            <w:noWrap w:val="0"/>
            <w:vAlign w:val="center"/>
          </w:tcPr>
          <w:p>
            <w:pPr>
              <w:widowControl/>
              <w:jc w:val="center"/>
              <w:rPr>
                <w:rFonts w:ascii="宋体" w:hAnsi="宋体"/>
                <w:sz w:val="24"/>
              </w:rPr>
            </w:pPr>
            <w:r>
              <w:rPr>
                <w:rFonts w:hint="eastAsia" w:ascii="宋体" w:hAnsi="宋体"/>
                <w:sz w:val="24"/>
              </w:rPr>
              <w:t>当月迟到或早退累计5次及5次以上者</w:t>
            </w:r>
          </w:p>
        </w:tc>
        <w:tc>
          <w:tcPr>
            <w:tcW w:w="3567" w:type="dxa"/>
            <w:noWrap w:val="0"/>
            <w:vAlign w:val="center"/>
          </w:tcPr>
          <w:p>
            <w:pPr>
              <w:widowControl/>
              <w:jc w:val="center"/>
              <w:rPr>
                <w:rFonts w:ascii="宋体" w:hAnsi="宋体"/>
                <w:sz w:val="24"/>
              </w:rPr>
            </w:pPr>
            <w:r>
              <w:rPr>
                <w:rFonts w:hint="eastAsia" w:ascii="宋体" w:hAnsi="宋体"/>
                <w:sz w:val="24"/>
              </w:rPr>
              <w:t>除按照上述标准扣款外，</w:t>
            </w:r>
          </w:p>
          <w:p>
            <w:pPr>
              <w:widowControl/>
              <w:jc w:val="center"/>
              <w:rPr>
                <w:rFonts w:ascii="宋体" w:hAnsi="宋体"/>
                <w:sz w:val="24"/>
              </w:rPr>
            </w:pPr>
            <w:r>
              <w:rPr>
                <w:rFonts w:hint="eastAsia" w:ascii="宋体" w:hAnsi="宋体"/>
                <w:sz w:val="24"/>
              </w:rPr>
              <w:t>另扣除60元/人/月</w:t>
            </w:r>
          </w:p>
        </w:tc>
      </w:tr>
    </w:tbl>
    <w:p>
      <w:pPr>
        <w:widowControl/>
        <w:jc w:val="left"/>
        <w:rPr>
          <w:rFonts w:ascii="宋体" w:hAnsi="宋体"/>
          <w:b/>
          <w:sz w:val="24"/>
        </w:rPr>
      </w:pPr>
    </w:p>
    <w:p>
      <w:pPr>
        <w:widowControl/>
        <w:spacing w:before="240" w:beforeLines="100"/>
        <w:jc w:val="left"/>
        <w:rPr>
          <w:rFonts w:ascii="宋体" w:hAnsi="宋体"/>
          <w:b/>
          <w:sz w:val="28"/>
        </w:rPr>
      </w:pPr>
      <w:r>
        <w:rPr>
          <w:rFonts w:hint="eastAsia" w:ascii="宋体" w:hAnsi="宋体"/>
          <w:b/>
          <w:sz w:val="28"/>
        </w:rPr>
        <w:t>七、</w:t>
      </w:r>
      <w:r>
        <w:rPr>
          <w:rFonts w:ascii="宋体" w:hAnsi="宋体"/>
          <w:b/>
          <w:sz w:val="28"/>
        </w:rPr>
        <w:t>其他要求</w:t>
      </w:r>
    </w:p>
    <w:p>
      <w:pPr>
        <w:spacing w:before="240" w:beforeLines="100" w:line="460" w:lineRule="exact"/>
        <w:ind w:firstLine="480" w:firstLineChars="200"/>
        <w:jc w:val="left"/>
        <w:rPr>
          <w:rFonts w:ascii="宋体" w:hAnsi="宋体"/>
          <w:sz w:val="24"/>
        </w:rPr>
      </w:pPr>
      <w:r>
        <w:rPr>
          <w:rFonts w:hint="eastAsia" w:ascii="宋体" w:hAnsi="宋体"/>
          <w:sz w:val="24"/>
        </w:rPr>
        <w:t>1、各投标人须在对招标人工作目标要求、现场、周边环境在全面了解的情况下编制科学、合理、切实可行的组织实施计划以及具体的质量保证措施、工作程序。</w:t>
      </w:r>
    </w:p>
    <w:p>
      <w:pPr>
        <w:spacing w:line="460" w:lineRule="exact"/>
        <w:ind w:firstLine="480" w:firstLineChars="200"/>
        <w:jc w:val="left"/>
        <w:rPr>
          <w:rFonts w:ascii="宋体" w:hAnsi="宋体"/>
          <w:sz w:val="24"/>
        </w:rPr>
      </w:pPr>
      <w:r>
        <w:rPr>
          <w:rFonts w:hint="eastAsia" w:ascii="宋体" w:hAnsi="宋体"/>
          <w:sz w:val="24"/>
        </w:rPr>
        <w:t>2、投标人须按现代企业制度的要求运行，发挥自身优势，以热心、爱心、专心、贴心的服务，为招标人提供全方位、一体化的专业服务保障，确保正常运转。</w:t>
      </w:r>
    </w:p>
    <w:p>
      <w:pPr>
        <w:spacing w:line="460" w:lineRule="exact"/>
        <w:ind w:firstLine="480" w:firstLineChars="200"/>
        <w:jc w:val="left"/>
        <w:rPr>
          <w:rFonts w:ascii="宋体" w:hAnsi="宋体"/>
          <w:sz w:val="24"/>
        </w:rPr>
      </w:pPr>
      <w:r>
        <w:rPr>
          <w:rFonts w:hint="eastAsia" w:ascii="宋体" w:hAnsi="宋体"/>
          <w:sz w:val="24"/>
        </w:rPr>
        <w:t>3、中标人合同签订后，派工作人员进场，按实际进场人员数量、种类、服务内容结算费用；工作人员必须服从招标人的调动和指挥，积极配合招标人，搞好本职工作。</w:t>
      </w:r>
    </w:p>
    <w:p>
      <w:pPr>
        <w:spacing w:line="460" w:lineRule="exact"/>
        <w:ind w:firstLine="480" w:firstLineChars="200"/>
        <w:jc w:val="left"/>
        <w:rPr>
          <w:rFonts w:ascii="宋体" w:hAnsi="宋体"/>
          <w:sz w:val="24"/>
        </w:rPr>
      </w:pPr>
      <w:r>
        <w:rPr>
          <w:rFonts w:hint="eastAsia" w:ascii="宋体" w:hAnsi="宋体"/>
          <w:sz w:val="24"/>
        </w:rPr>
        <w:t>4、中标人须自行解决工作时所需的培训、住宿及服装，并能遵守招标人的行业形象要求及工作规范，保证文明工作。</w:t>
      </w:r>
    </w:p>
    <w:p>
      <w:pPr>
        <w:spacing w:line="460" w:lineRule="exact"/>
        <w:ind w:firstLine="480" w:firstLineChars="200"/>
        <w:jc w:val="left"/>
        <w:rPr>
          <w:rFonts w:ascii="宋体" w:hAnsi="宋体"/>
          <w:sz w:val="24"/>
        </w:rPr>
      </w:pPr>
      <w:r>
        <w:rPr>
          <w:rFonts w:hint="eastAsia" w:ascii="宋体" w:hAnsi="宋体"/>
          <w:sz w:val="24"/>
        </w:rPr>
        <w:t>5、如遇招标人重要检查、重要嘉宾参观以及其它重大会议和重要活动，中标人需积极配合招标人的工作安排和人员调度。</w:t>
      </w:r>
    </w:p>
    <w:p>
      <w:pPr>
        <w:tabs>
          <w:tab w:val="left" w:pos="1276"/>
        </w:tabs>
        <w:spacing w:line="460" w:lineRule="exact"/>
        <w:ind w:firstLine="480" w:firstLineChars="200"/>
        <w:jc w:val="left"/>
        <w:rPr>
          <w:rFonts w:ascii="宋体" w:hAnsi="宋体"/>
          <w:sz w:val="24"/>
        </w:rPr>
      </w:pPr>
      <w:r>
        <w:rPr>
          <w:rFonts w:hint="eastAsia" w:ascii="宋体" w:hAnsi="宋体"/>
          <w:sz w:val="24"/>
        </w:rPr>
        <w:t>6、中标人应按月向招标人提供所用人员的工资发放表、保险票据（复印件），各岗位人员名单及考勤表等；公司花名册及每月新增花名册须报所在辖区***备案。</w:t>
      </w:r>
    </w:p>
    <w:p>
      <w:pPr>
        <w:spacing w:line="460" w:lineRule="exact"/>
        <w:ind w:firstLine="480" w:firstLineChars="200"/>
        <w:jc w:val="left"/>
        <w:rPr>
          <w:rFonts w:ascii="宋体" w:hAnsi="宋体"/>
          <w:sz w:val="24"/>
        </w:rPr>
      </w:pPr>
      <w:r>
        <w:rPr>
          <w:rFonts w:hint="eastAsia" w:ascii="宋体" w:hAnsi="宋体"/>
          <w:sz w:val="24"/>
        </w:rPr>
        <w:t>7、中标人必须严格按照国家规定、双方签订合同及相关补充协议标准发放服务员工的工资，公司不得以任何理由克扣工人工资作为公司利润赚取。</w:t>
      </w:r>
    </w:p>
    <w:p>
      <w:pPr>
        <w:spacing w:line="460" w:lineRule="exact"/>
        <w:ind w:firstLine="480" w:firstLineChars="200"/>
        <w:jc w:val="left"/>
        <w:rPr>
          <w:rFonts w:ascii="宋体" w:hAnsi="宋体"/>
          <w:sz w:val="24"/>
        </w:rPr>
      </w:pPr>
      <w:r>
        <w:rPr>
          <w:rFonts w:hint="eastAsia" w:ascii="宋体" w:hAnsi="宋体"/>
          <w:sz w:val="24"/>
        </w:rPr>
        <w:t>8、中标人达不到招标人要求以及中标人的各项服务承诺，招标人有权要求其整改，扣款直至终止合同。</w:t>
      </w:r>
    </w:p>
    <w:p>
      <w:pPr>
        <w:spacing w:line="460" w:lineRule="exact"/>
        <w:ind w:firstLine="480" w:firstLineChars="200"/>
        <w:jc w:val="left"/>
        <w:rPr>
          <w:rFonts w:ascii="宋体" w:hAnsi="宋体"/>
          <w:sz w:val="24"/>
        </w:rPr>
      </w:pPr>
      <w:r>
        <w:rPr>
          <w:rFonts w:hint="eastAsia" w:ascii="宋体" w:hAnsi="宋体"/>
          <w:sz w:val="24"/>
        </w:rPr>
        <w:t>9、中标人的所有工作除应按中标人内部流程实施外，还应接受招标人或第三方的检查，做好相应记录备案。</w:t>
      </w:r>
    </w:p>
    <w:p>
      <w:pPr>
        <w:spacing w:line="460" w:lineRule="exact"/>
        <w:ind w:firstLine="480" w:firstLineChars="200"/>
        <w:jc w:val="left"/>
        <w:rPr>
          <w:rFonts w:ascii="宋体" w:hAnsi="宋体"/>
          <w:sz w:val="24"/>
        </w:rPr>
      </w:pPr>
      <w:r>
        <w:rPr>
          <w:rFonts w:hint="eastAsia" w:ascii="宋体" w:hAnsi="宋体"/>
          <w:sz w:val="24"/>
        </w:rPr>
        <w:t>10、中标人需制订各岗位工作流程及消防、抗台、安全等紧急预案，并切实培训到每个岗位人员。</w:t>
      </w:r>
    </w:p>
    <w:p>
      <w:pPr>
        <w:spacing w:line="460" w:lineRule="exact"/>
        <w:ind w:firstLine="480" w:firstLineChars="200"/>
        <w:jc w:val="left"/>
        <w:rPr>
          <w:rFonts w:ascii="宋体" w:hAnsi="宋体"/>
          <w:sz w:val="24"/>
        </w:rPr>
      </w:pPr>
      <w:r>
        <w:rPr>
          <w:rFonts w:hint="eastAsia" w:ascii="宋体" w:hAnsi="宋体"/>
          <w:sz w:val="24"/>
        </w:rPr>
        <w:t>11、中标人应制订详细的培训计划，每月至少开展一次相关人员礼仪、卫生知识、操作技能、消毒及感染控制等方面的培训，确保每个员工培训合格上岗，培训需邀请招标人管理人员出席并做好相应记录备案。</w:t>
      </w:r>
    </w:p>
    <w:p>
      <w:pPr>
        <w:spacing w:line="460" w:lineRule="exact"/>
        <w:ind w:firstLine="480" w:firstLineChars="200"/>
        <w:jc w:val="left"/>
        <w:rPr>
          <w:rFonts w:ascii="宋体" w:hAnsi="宋体"/>
          <w:sz w:val="24"/>
        </w:rPr>
      </w:pPr>
      <w:r>
        <w:rPr>
          <w:rFonts w:hint="eastAsia" w:ascii="宋体" w:hAnsi="宋体"/>
          <w:sz w:val="24"/>
        </w:rPr>
        <w:t>12、中标人要合法用工，并派用与招标人后勤服务相适应的工人。员工构成</w:t>
      </w:r>
      <w:r>
        <w:rPr>
          <w:rFonts w:ascii="宋体" w:hAnsi="宋体"/>
          <w:sz w:val="24"/>
        </w:rPr>
        <w:t>：</w:t>
      </w:r>
    </w:p>
    <w:p>
      <w:pPr>
        <w:numPr>
          <w:ilvl w:val="1"/>
          <w:numId w:val="200"/>
        </w:numPr>
        <w:tabs>
          <w:tab w:val="left" w:pos="1134"/>
        </w:tabs>
        <w:spacing w:line="460" w:lineRule="exact"/>
        <w:ind w:hanging="131"/>
        <w:rPr>
          <w:rFonts w:ascii="宋体" w:hAnsi="宋体"/>
          <w:sz w:val="24"/>
        </w:rPr>
      </w:pPr>
      <w:r>
        <w:rPr>
          <w:rFonts w:hint="eastAsia" w:ascii="宋体" w:hAnsi="宋体"/>
          <w:sz w:val="24"/>
        </w:rPr>
        <w:t>50岁以下至少要占80%；</w:t>
      </w:r>
    </w:p>
    <w:p>
      <w:pPr>
        <w:numPr>
          <w:ilvl w:val="1"/>
          <w:numId w:val="200"/>
        </w:numPr>
        <w:tabs>
          <w:tab w:val="left" w:pos="1134"/>
        </w:tabs>
        <w:spacing w:line="460" w:lineRule="exact"/>
        <w:ind w:hanging="131"/>
        <w:rPr>
          <w:rFonts w:ascii="宋体" w:hAnsi="宋体"/>
          <w:sz w:val="24"/>
        </w:rPr>
      </w:pPr>
      <w:r>
        <w:rPr>
          <w:rFonts w:ascii="宋体" w:hAnsi="宋体"/>
          <w:sz w:val="24"/>
        </w:rPr>
        <w:t>具有与工作相适应的文化</w:t>
      </w:r>
      <w:r>
        <w:rPr>
          <w:rFonts w:hint="eastAsia" w:ascii="宋体" w:hAnsi="宋体"/>
          <w:sz w:val="24"/>
        </w:rPr>
        <w:t>，一般在初中或以上；</w:t>
      </w:r>
    </w:p>
    <w:p>
      <w:pPr>
        <w:numPr>
          <w:ilvl w:val="1"/>
          <w:numId w:val="200"/>
        </w:numPr>
        <w:tabs>
          <w:tab w:val="left" w:pos="1134"/>
        </w:tabs>
        <w:spacing w:line="460" w:lineRule="exact"/>
        <w:ind w:hanging="131"/>
        <w:rPr>
          <w:rFonts w:ascii="宋体" w:hAnsi="宋体"/>
          <w:sz w:val="24"/>
        </w:rPr>
      </w:pPr>
      <w:r>
        <w:rPr>
          <w:rFonts w:ascii="宋体" w:hAnsi="宋体"/>
          <w:sz w:val="24"/>
        </w:rPr>
        <w:t>身体</w:t>
      </w:r>
      <w:r>
        <w:rPr>
          <w:rFonts w:hint="eastAsia" w:ascii="宋体" w:hAnsi="宋体"/>
          <w:sz w:val="24"/>
        </w:rPr>
        <w:t>与心理要</w:t>
      </w:r>
      <w:r>
        <w:rPr>
          <w:rFonts w:ascii="宋体" w:hAnsi="宋体"/>
          <w:sz w:val="24"/>
        </w:rPr>
        <w:t>健康</w:t>
      </w:r>
      <w:r>
        <w:rPr>
          <w:rFonts w:hint="eastAsia" w:ascii="宋体" w:hAnsi="宋体"/>
          <w:sz w:val="24"/>
        </w:rPr>
        <w:t>；</w:t>
      </w:r>
    </w:p>
    <w:p>
      <w:pPr>
        <w:numPr>
          <w:ilvl w:val="1"/>
          <w:numId w:val="200"/>
        </w:numPr>
        <w:tabs>
          <w:tab w:val="left" w:pos="1134"/>
        </w:tabs>
        <w:spacing w:line="460" w:lineRule="exact"/>
        <w:ind w:hanging="131"/>
        <w:rPr>
          <w:rFonts w:ascii="宋体" w:hAnsi="宋体"/>
          <w:sz w:val="24"/>
        </w:rPr>
      </w:pPr>
      <w:r>
        <w:rPr>
          <w:rFonts w:hint="eastAsia" w:ascii="宋体" w:hAnsi="宋体"/>
          <w:sz w:val="24"/>
        </w:rPr>
        <w:t>服务意识强，</w:t>
      </w:r>
      <w:r>
        <w:rPr>
          <w:rFonts w:ascii="宋体" w:hAnsi="宋体"/>
          <w:sz w:val="24"/>
        </w:rPr>
        <w:t>适合公共场所的服务要求</w:t>
      </w:r>
      <w:r>
        <w:rPr>
          <w:rFonts w:hint="eastAsia" w:ascii="宋体" w:hAnsi="宋体"/>
          <w:sz w:val="24"/>
        </w:rPr>
        <w:t>；</w:t>
      </w:r>
    </w:p>
    <w:p>
      <w:pPr>
        <w:numPr>
          <w:ilvl w:val="1"/>
          <w:numId w:val="200"/>
        </w:numPr>
        <w:tabs>
          <w:tab w:val="left" w:pos="1134"/>
        </w:tabs>
        <w:spacing w:line="460" w:lineRule="exact"/>
        <w:ind w:hanging="131"/>
        <w:rPr>
          <w:rFonts w:ascii="宋体" w:hAnsi="宋体"/>
          <w:sz w:val="24"/>
        </w:rPr>
      </w:pPr>
      <w:r>
        <w:rPr>
          <w:rFonts w:hint="eastAsia" w:ascii="宋体" w:hAnsi="宋体"/>
          <w:sz w:val="24"/>
        </w:rPr>
        <w:t>原则上员工辞工率控制</w:t>
      </w:r>
      <w:r>
        <w:rPr>
          <w:rFonts w:ascii="宋体" w:hAnsi="宋体"/>
          <w:sz w:val="24"/>
        </w:rPr>
        <w:t>每月</w:t>
      </w:r>
      <w:r>
        <w:rPr>
          <w:rFonts w:hint="eastAsia" w:ascii="宋体" w:hAnsi="宋体"/>
          <w:sz w:val="24"/>
        </w:rPr>
        <w:t>5</w:t>
      </w:r>
      <w:r>
        <w:rPr>
          <w:rFonts w:ascii="宋体" w:hAnsi="宋体"/>
          <w:sz w:val="24"/>
        </w:rPr>
        <w:t>%以内。</w:t>
      </w:r>
    </w:p>
    <w:p>
      <w:pPr>
        <w:tabs>
          <w:tab w:val="left" w:pos="1134"/>
        </w:tabs>
        <w:spacing w:line="460" w:lineRule="exact"/>
        <w:ind w:firstLine="480" w:firstLineChars="200"/>
        <w:rPr>
          <w:rFonts w:ascii="宋体" w:hAnsi="宋体"/>
          <w:sz w:val="24"/>
        </w:rPr>
      </w:pPr>
      <w:r>
        <w:rPr>
          <w:rFonts w:hint="eastAsia" w:ascii="宋体" w:hAnsi="宋体"/>
          <w:sz w:val="24"/>
        </w:rPr>
        <w:t>13、</w:t>
      </w:r>
      <w:r>
        <w:rPr>
          <w:rFonts w:ascii="宋体" w:hAnsi="宋体"/>
          <w:sz w:val="24"/>
        </w:rPr>
        <w:t>根据</w:t>
      </w:r>
      <w:r>
        <w:rPr>
          <w:rFonts w:hint="eastAsia" w:ascii="宋体" w:hAnsi="宋体"/>
          <w:sz w:val="24"/>
        </w:rPr>
        <w:t>招标人</w:t>
      </w:r>
      <w:r>
        <w:rPr>
          <w:rFonts w:ascii="宋体" w:hAnsi="宋体"/>
          <w:sz w:val="24"/>
        </w:rPr>
        <w:t>的要求，</w:t>
      </w:r>
      <w:r>
        <w:rPr>
          <w:rFonts w:hint="eastAsia" w:ascii="宋体" w:hAnsi="宋体"/>
          <w:sz w:val="24"/>
        </w:rPr>
        <w:t>中标人</w:t>
      </w:r>
      <w:r>
        <w:rPr>
          <w:rFonts w:ascii="宋体" w:hAnsi="宋体"/>
          <w:sz w:val="24"/>
        </w:rPr>
        <w:t>应为本项目承包区域内各项服务工作配备足够人员，且投入的</w:t>
      </w:r>
      <w:r>
        <w:rPr>
          <w:rFonts w:hint="eastAsia" w:ascii="宋体" w:hAnsi="宋体"/>
          <w:sz w:val="24"/>
        </w:rPr>
        <w:t>卫生保洁、配送、勤杂</w:t>
      </w:r>
      <w:r>
        <w:rPr>
          <w:rFonts w:ascii="宋体" w:hAnsi="宋体"/>
          <w:sz w:val="24"/>
        </w:rPr>
        <w:t>等人员</w:t>
      </w:r>
      <w:r>
        <w:rPr>
          <w:rFonts w:hint="eastAsia" w:ascii="宋体" w:hAnsi="宋体"/>
          <w:sz w:val="24"/>
        </w:rPr>
        <w:t>不得少于</w:t>
      </w:r>
      <w:r>
        <w:rPr>
          <w:rFonts w:hint="eastAsia" w:ascii="宋体" w:hAnsi="宋体"/>
          <w:b/>
          <w:sz w:val="24"/>
        </w:rPr>
        <w:t>28</w:t>
      </w:r>
      <w:r>
        <w:rPr>
          <w:rFonts w:ascii="宋体" w:hAnsi="宋体"/>
          <w:b/>
          <w:sz w:val="24"/>
        </w:rPr>
        <w:t>人</w:t>
      </w:r>
      <w:r>
        <w:rPr>
          <w:rFonts w:ascii="宋体" w:hAnsi="宋体"/>
          <w:sz w:val="24"/>
        </w:rPr>
        <w:t>（具体见 “</w:t>
      </w:r>
      <w:r>
        <w:rPr>
          <w:rFonts w:hint="eastAsia" w:ascii="宋体" w:hAnsi="宋体"/>
          <w:sz w:val="24"/>
        </w:rPr>
        <w:t>人员需求一览表</w:t>
      </w:r>
      <w:r>
        <w:rPr>
          <w:rFonts w:ascii="宋体" w:hAnsi="宋体"/>
          <w:sz w:val="24"/>
        </w:rPr>
        <w:t>”）</w:t>
      </w:r>
      <w:r>
        <w:rPr>
          <w:rFonts w:hint="eastAsia" w:ascii="宋体" w:hAnsi="宋体"/>
          <w:sz w:val="24"/>
        </w:rPr>
        <w:t>，</w:t>
      </w:r>
      <w:r>
        <w:rPr>
          <w:rFonts w:ascii="宋体" w:hAnsi="宋体"/>
          <w:sz w:val="24"/>
        </w:rPr>
        <w:t>否则可能导致其投标被拒绝。所聘人员必须符合劳动部门有关用工规定，并经</w:t>
      </w:r>
      <w:r>
        <w:rPr>
          <w:rFonts w:hint="eastAsia" w:ascii="宋体" w:hAnsi="宋体"/>
          <w:sz w:val="24"/>
        </w:rPr>
        <w:t>中标人</w:t>
      </w:r>
      <w:r>
        <w:rPr>
          <w:rFonts w:ascii="宋体" w:hAnsi="宋体"/>
          <w:sz w:val="24"/>
        </w:rPr>
        <w:t>相关考核合格后上岗，</w:t>
      </w:r>
      <w:r>
        <w:rPr>
          <w:rFonts w:hint="eastAsia" w:ascii="宋体" w:hAnsi="宋体"/>
          <w:sz w:val="24"/>
        </w:rPr>
        <w:t>招标人</w:t>
      </w:r>
      <w:r>
        <w:rPr>
          <w:rFonts w:ascii="宋体" w:hAnsi="宋体"/>
          <w:sz w:val="24"/>
        </w:rPr>
        <w:t>有权对此进行审核并提出整改意见。</w:t>
      </w:r>
    </w:p>
    <w:p>
      <w:pPr>
        <w:tabs>
          <w:tab w:val="left" w:pos="1134"/>
        </w:tabs>
        <w:spacing w:line="460" w:lineRule="exact"/>
        <w:ind w:firstLine="482" w:firstLineChars="200"/>
        <w:rPr>
          <w:rFonts w:hint="eastAsia" w:ascii="宋体" w:hAnsi="宋体"/>
          <w:b/>
          <w:sz w:val="24"/>
        </w:rPr>
      </w:pPr>
      <w:r>
        <w:rPr>
          <w:rFonts w:hint="eastAsia" w:ascii="宋体" w:hAnsi="宋体"/>
          <w:b/>
          <w:sz w:val="24"/>
        </w:rPr>
        <w:t>14、本项目要有足够的工作人员为招标人提供优质的服务，如因保洁、配送、勤杂人员离职所造成的人员缺漏情况，应保证在</w:t>
      </w:r>
      <w:r>
        <w:rPr>
          <w:rFonts w:ascii="宋体" w:hAnsi="宋体"/>
          <w:b/>
          <w:sz w:val="24"/>
        </w:rPr>
        <w:t>7</w:t>
      </w:r>
      <w:r>
        <w:rPr>
          <w:rFonts w:hint="eastAsia" w:ascii="宋体" w:hAnsi="宋体"/>
          <w:b/>
          <w:sz w:val="24"/>
        </w:rPr>
        <w:t>天内补齐，否则甲方按2</w:t>
      </w:r>
      <w:r>
        <w:rPr>
          <w:rFonts w:ascii="宋体" w:hAnsi="宋体"/>
          <w:b/>
          <w:sz w:val="24"/>
        </w:rPr>
        <w:t>00</w:t>
      </w:r>
      <w:r>
        <w:rPr>
          <w:rFonts w:hint="eastAsia" w:ascii="宋体" w:hAnsi="宋体"/>
          <w:b/>
          <w:sz w:val="24"/>
        </w:rPr>
        <w:t>元</w:t>
      </w:r>
      <w:r>
        <w:rPr>
          <w:rFonts w:ascii="宋体" w:hAnsi="宋体"/>
          <w:b/>
          <w:sz w:val="24"/>
        </w:rPr>
        <w:t>/</w:t>
      </w:r>
      <w:r>
        <w:rPr>
          <w:rFonts w:hint="eastAsia" w:ascii="宋体" w:hAnsi="宋体"/>
          <w:b/>
          <w:sz w:val="24"/>
        </w:rPr>
        <w:t>人</w:t>
      </w:r>
      <w:r>
        <w:rPr>
          <w:rFonts w:ascii="宋体" w:hAnsi="宋体"/>
          <w:b/>
          <w:sz w:val="24"/>
        </w:rPr>
        <w:t>/</w:t>
      </w:r>
      <w:r>
        <w:rPr>
          <w:rFonts w:hint="eastAsia" w:ascii="宋体" w:hAnsi="宋体"/>
          <w:b/>
          <w:sz w:val="24"/>
        </w:rPr>
        <w:t>天标准扣除。</w:t>
      </w:r>
    </w:p>
    <w:p>
      <w:pPr>
        <w:snapToGrid w:val="0"/>
        <w:spacing w:line="360" w:lineRule="auto"/>
        <w:ind w:firstLine="472" w:firstLineChars="196"/>
        <w:rPr>
          <w:b/>
          <w:sz w:val="24"/>
        </w:rPr>
      </w:pPr>
      <w:r>
        <w:rPr>
          <w:rFonts w:hint="eastAsia" w:ascii="宋体" w:hAnsi="宋体"/>
          <w:b/>
          <w:sz w:val="24"/>
        </w:rPr>
        <w:t>15、</w:t>
      </w:r>
      <w:r>
        <w:rPr>
          <w:rFonts w:hint="eastAsia"/>
          <w:b/>
          <w:sz w:val="24"/>
        </w:rPr>
        <w:t>为了激励员工，甲、乙双方共同参与管理，乙方应每月评选出数量不低于总人数（除管理人员外）</w:t>
      </w:r>
      <w:r>
        <w:rPr>
          <w:b/>
          <w:sz w:val="24"/>
        </w:rPr>
        <w:t>5%</w:t>
      </w:r>
      <w:r>
        <w:rPr>
          <w:rFonts w:hint="eastAsia"/>
          <w:b/>
          <w:sz w:val="24"/>
        </w:rPr>
        <w:t>的优秀员工并给予总额不低于</w:t>
      </w:r>
      <w:r>
        <w:rPr>
          <w:b/>
          <w:sz w:val="24"/>
        </w:rPr>
        <w:t>500</w:t>
      </w:r>
      <w:r>
        <w:rPr>
          <w:rFonts w:hint="eastAsia"/>
          <w:b/>
          <w:sz w:val="24"/>
        </w:rPr>
        <w:t>元的奖励，评选结果需征求甲方意见，并将奖励金额、优秀员工名单提交至甲方。</w:t>
      </w:r>
    </w:p>
    <w:p>
      <w:pPr>
        <w:tabs>
          <w:tab w:val="left" w:pos="1134"/>
        </w:tabs>
        <w:spacing w:line="460" w:lineRule="exact"/>
        <w:ind w:firstLine="482" w:firstLineChars="200"/>
        <w:rPr>
          <w:rFonts w:ascii="宋体" w:hAnsi="宋体"/>
          <w:b/>
          <w:sz w:val="24"/>
        </w:rPr>
      </w:pPr>
      <w:r>
        <w:rPr>
          <w:rFonts w:hint="eastAsia" w:ascii="宋体" w:hAnsi="宋体"/>
          <w:b/>
          <w:sz w:val="24"/>
        </w:rPr>
        <w:t>16、服务区域内的各类管道疏通工作须在1个小时内解决，中标人如无法处理须2小时内自行联系外部专业疏通公司到场解决，由此产生的一切费用由中标人承担。</w:t>
      </w:r>
    </w:p>
    <w:p>
      <w:pPr>
        <w:tabs>
          <w:tab w:val="left" w:pos="1134"/>
        </w:tabs>
        <w:spacing w:line="460" w:lineRule="exact"/>
        <w:ind w:firstLine="480" w:firstLineChars="200"/>
        <w:rPr>
          <w:rFonts w:ascii="宋体" w:hAnsi="宋体"/>
          <w:b/>
          <w:sz w:val="24"/>
        </w:rPr>
      </w:pPr>
      <w:r>
        <w:rPr>
          <w:rFonts w:hint="eastAsia" w:ascii="宋体" w:hAnsi="宋体"/>
          <w:sz w:val="24"/>
        </w:rPr>
        <w:t>17、生活垃圾袋、保洁用消毒药剂由中标人提供。医疗垃圾袋由招标人免费提供，中标人确保医疗垃圾袋使用于正确途径。</w:t>
      </w:r>
    </w:p>
    <w:p>
      <w:pPr>
        <w:tabs>
          <w:tab w:val="left" w:pos="1134"/>
        </w:tabs>
        <w:spacing w:line="460" w:lineRule="exact"/>
        <w:ind w:firstLine="482" w:firstLineChars="200"/>
        <w:rPr>
          <w:rFonts w:ascii="宋体" w:hAnsi="宋体"/>
          <w:b/>
          <w:sz w:val="24"/>
        </w:rPr>
      </w:pPr>
      <w:r>
        <w:rPr>
          <w:rFonts w:hint="eastAsia" w:ascii="宋体" w:hAnsi="宋体"/>
          <w:b/>
          <w:sz w:val="24"/>
        </w:rPr>
        <w:t>18、在服务区域内收集的饮料瓶、报纸、纸板、纸箱等物品由乙方负责统一管理、处理。乙方需向甲方支付200元/月的废品处理所得费，每半年缴纳一次。</w:t>
      </w:r>
    </w:p>
    <w:p>
      <w:pPr>
        <w:tabs>
          <w:tab w:val="left" w:pos="1134"/>
        </w:tabs>
        <w:spacing w:line="460" w:lineRule="exact"/>
        <w:ind w:firstLine="482" w:firstLineChars="200"/>
        <w:rPr>
          <w:rFonts w:ascii="宋体" w:hAnsi="宋体"/>
          <w:b/>
          <w:sz w:val="24"/>
        </w:rPr>
      </w:pPr>
      <w:r>
        <w:rPr>
          <w:rFonts w:hint="eastAsia" w:ascii="宋体" w:hAnsi="宋体"/>
          <w:b/>
          <w:sz w:val="24"/>
        </w:rPr>
        <w:t>19、各岗位的工作时间原则上按“人员需求一览表”执行，因招标人实际工作需要（如病人手术结束时间迟于下班时间或其他原因）造成的拖班或加班现象，不另计加班费，投标人应充分考虑在报价内。如招标人在投标文件涉及的工作时间之外开展新业务，需要投标人派员加班，加班时间超过半小时以上的经双方确认核实后加班费每小时18.5元来计算，法定节假日按每人每小时55.5元计算。</w:t>
      </w:r>
    </w:p>
    <w:p>
      <w:pPr>
        <w:tabs>
          <w:tab w:val="left" w:pos="1134"/>
        </w:tabs>
        <w:spacing w:line="460" w:lineRule="exact"/>
        <w:ind w:firstLine="480" w:firstLineChars="200"/>
        <w:rPr>
          <w:rFonts w:ascii="宋体" w:hAnsi="宋体"/>
          <w:b/>
          <w:sz w:val="24"/>
        </w:rPr>
      </w:pPr>
      <w:r>
        <w:rPr>
          <w:rFonts w:hint="eastAsia" w:ascii="宋体" w:hAnsi="宋体"/>
          <w:sz w:val="24"/>
        </w:rPr>
        <w:t>20、中标人</w:t>
      </w:r>
      <w:r>
        <w:rPr>
          <w:rFonts w:ascii="宋体" w:hAnsi="宋体"/>
          <w:sz w:val="24"/>
        </w:rPr>
        <w:t>不得以任何理由向</w:t>
      </w:r>
      <w:r>
        <w:rPr>
          <w:rFonts w:hint="eastAsia" w:ascii="宋体" w:hAnsi="宋体"/>
          <w:sz w:val="24"/>
        </w:rPr>
        <w:t>招标人</w:t>
      </w:r>
      <w:r>
        <w:rPr>
          <w:rFonts w:ascii="宋体" w:hAnsi="宋体"/>
          <w:sz w:val="24"/>
        </w:rPr>
        <w:t>工作人员支付小费或赠送实物，不得在承包区域住宿或从事非法活动或有损</w:t>
      </w:r>
      <w:r>
        <w:rPr>
          <w:rFonts w:hint="eastAsia" w:ascii="宋体" w:hAnsi="宋体"/>
          <w:sz w:val="24"/>
        </w:rPr>
        <w:t>招标人</w:t>
      </w:r>
      <w:r>
        <w:rPr>
          <w:rFonts w:ascii="宋体" w:hAnsi="宋体"/>
          <w:sz w:val="24"/>
        </w:rPr>
        <w:t>利益的活动。</w:t>
      </w:r>
    </w:p>
    <w:p>
      <w:pPr>
        <w:tabs>
          <w:tab w:val="left" w:pos="1134"/>
        </w:tabs>
        <w:spacing w:line="460" w:lineRule="exact"/>
        <w:ind w:firstLine="480" w:firstLineChars="200"/>
        <w:rPr>
          <w:rFonts w:ascii="宋体" w:hAnsi="宋体"/>
          <w:sz w:val="24"/>
        </w:rPr>
      </w:pPr>
      <w:r>
        <w:rPr>
          <w:rFonts w:hint="eastAsia" w:ascii="宋体" w:hAnsi="宋体"/>
          <w:sz w:val="24"/>
        </w:rPr>
        <w:t>21、</w:t>
      </w:r>
      <w:r>
        <w:rPr>
          <w:rFonts w:ascii="宋体" w:hAnsi="宋体"/>
          <w:sz w:val="24"/>
        </w:rPr>
        <w:t>承包区域的各项服务工作时间</w:t>
      </w:r>
      <w:r>
        <w:rPr>
          <w:rFonts w:hint="eastAsia" w:ascii="宋体" w:hAnsi="宋体"/>
          <w:sz w:val="24"/>
        </w:rPr>
        <w:t>(详见“人员需求一览表”)</w:t>
      </w:r>
      <w:r>
        <w:rPr>
          <w:rFonts w:ascii="宋体" w:hAnsi="宋体"/>
          <w:sz w:val="24"/>
        </w:rPr>
        <w:t>必须符合及满足</w:t>
      </w:r>
      <w:r>
        <w:rPr>
          <w:rFonts w:hint="eastAsia" w:ascii="宋体" w:hAnsi="宋体"/>
          <w:sz w:val="24"/>
        </w:rPr>
        <w:t>招标人</w:t>
      </w:r>
      <w:r>
        <w:rPr>
          <w:rFonts w:ascii="宋体" w:hAnsi="宋体"/>
          <w:sz w:val="24"/>
        </w:rPr>
        <w:t>的要求，包括</w:t>
      </w:r>
      <w:r>
        <w:rPr>
          <w:rFonts w:hint="eastAsia" w:ascii="宋体" w:hAnsi="宋体"/>
          <w:sz w:val="24"/>
        </w:rPr>
        <w:t>全年无休，招标人如有需要，可要求中标人调整工作时间直至全天二十四小时工作。如因服务范围内容变动需调整合同，由双方协商确定。</w:t>
      </w:r>
    </w:p>
    <w:p>
      <w:pPr>
        <w:tabs>
          <w:tab w:val="left" w:pos="1134"/>
        </w:tabs>
        <w:spacing w:line="460" w:lineRule="exact"/>
        <w:ind w:firstLine="480" w:firstLineChars="200"/>
        <w:rPr>
          <w:rFonts w:ascii="宋体" w:hAnsi="宋体"/>
          <w:b/>
          <w:sz w:val="24"/>
        </w:rPr>
      </w:pPr>
      <w:r>
        <w:rPr>
          <w:rFonts w:hint="eastAsia" w:ascii="宋体" w:hAnsi="宋体"/>
          <w:sz w:val="24"/>
        </w:rPr>
        <w:t>22、中标人</w:t>
      </w:r>
      <w:r>
        <w:rPr>
          <w:rFonts w:ascii="宋体" w:hAnsi="宋体"/>
          <w:sz w:val="24"/>
        </w:rPr>
        <w:t>员工发生</w:t>
      </w:r>
      <w:r>
        <w:rPr>
          <w:rFonts w:hint="eastAsia" w:ascii="宋体" w:hAnsi="宋体"/>
          <w:sz w:val="24"/>
        </w:rPr>
        <w:t>严重</w:t>
      </w:r>
      <w:r>
        <w:rPr>
          <w:rFonts w:ascii="宋体" w:hAnsi="宋体"/>
          <w:sz w:val="24"/>
        </w:rPr>
        <w:t>影响</w:t>
      </w:r>
      <w:r>
        <w:rPr>
          <w:rFonts w:hint="eastAsia" w:ascii="宋体" w:hAnsi="宋体"/>
          <w:sz w:val="24"/>
        </w:rPr>
        <w:t>招标人</w:t>
      </w:r>
      <w:r>
        <w:rPr>
          <w:rFonts w:ascii="宋体" w:hAnsi="宋体"/>
          <w:sz w:val="24"/>
        </w:rPr>
        <w:t>公众形象</w:t>
      </w:r>
      <w:r>
        <w:rPr>
          <w:rFonts w:hint="eastAsia" w:ascii="宋体" w:hAnsi="宋体"/>
          <w:sz w:val="24"/>
        </w:rPr>
        <w:t>的事件、</w:t>
      </w:r>
      <w:r>
        <w:rPr>
          <w:rFonts w:ascii="宋体" w:hAnsi="宋体"/>
          <w:sz w:val="24"/>
        </w:rPr>
        <w:t>部分与招标文件不符</w:t>
      </w:r>
      <w:r>
        <w:rPr>
          <w:rFonts w:hint="eastAsia" w:ascii="宋体" w:hAnsi="宋体"/>
          <w:sz w:val="24"/>
        </w:rPr>
        <w:t>的</w:t>
      </w:r>
      <w:r>
        <w:rPr>
          <w:rFonts w:ascii="宋体" w:hAnsi="宋体"/>
          <w:sz w:val="24"/>
        </w:rPr>
        <w:t>做法</w:t>
      </w:r>
      <w:r>
        <w:rPr>
          <w:rFonts w:hint="eastAsia" w:ascii="宋体" w:hAnsi="宋体"/>
          <w:sz w:val="24"/>
        </w:rPr>
        <w:t>的、</w:t>
      </w:r>
      <w:r>
        <w:rPr>
          <w:rFonts w:ascii="宋体" w:hAnsi="宋体"/>
          <w:sz w:val="24"/>
        </w:rPr>
        <w:t>不履行其投标文件的</w:t>
      </w:r>
      <w:r>
        <w:rPr>
          <w:rFonts w:hint="eastAsia" w:ascii="宋体" w:hAnsi="宋体"/>
          <w:sz w:val="24"/>
        </w:rPr>
        <w:t>，</w:t>
      </w:r>
      <w:r>
        <w:rPr>
          <w:rFonts w:ascii="宋体" w:hAnsi="宋体"/>
          <w:sz w:val="24"/>
        </w:rPr>
        <w:t>而由此产生的损失及消除影响产生的费用，由</w:t>
      </w:r>
      <w:r>
        <w:rPr>
          <w:rFonts w:hint="eastAsia" w:ascii="宋体" w:hAnsi="宋体"/>
          <w:sz w:val="24"/>
        </w:rPr>
        <w:t>中标人</w:t>
      </w:r>
      <w:r>
        <w:rPr>
          <w:rFonts w:ascii="宋体" w:hAnsi="宋体"/>
          <w:sz w:val="24"/>
        </w:rPr>
        <w:t>全部承担；根据事件的轻重，</w:t>
      </w:r>
      <w:r>
        <w:rPr>
          <w:rFonts w:hint="eastAsia" w:ascii="宋体" w:hAnsi="宋体"/>
          <w:sz w:val="24"/>
        </w:rPr>
        <w:t>招标人</w:t>
      </w:r>
      <w:r>
        <w:rPr>
          <w:rFonts w:ascii="宋体" w:hAnsi="宋体"/>
          <w:sz w:val="24"/>
        </w:rPr>
        <w:t>将保留扣除</w:t>
      </w:r>
      <w:r>
        <w:rPr>
          <w:rFonts w:hint="eastAsia" w:ascii="宋体" w:hAnsi="宋体"/>
          <w:sz w:val="24"/>
        </w:rPr>
        <w:t>中标人</w:t>
      </w:r>
      <w:r>
        <w:rPr>
          <w:rFonts w:ascii="宋体" w:hAnsi="宋体"/>
          <w:sz w:val="24"/>
        </w:rPr>
        <w:t>的当月合同款0.1%</w:t>
      </w:r>
      <w:r>
        <w:rPr>
          <w:rFonts w:hint="eastAsia" w:ascii="宋体" w:hAnsi="宋体"/>
          <w:sz w:val="24"/>
        </w:rPr>
        <w:t>-</w:t>
      </w:r>
      <w:r>
        <w:rPr>
          <w:rFonts w:ascii="宋体" w:hAnsi="宋体"/>
          <w:sz w:val="24"/>
        </w:rPr>
        <w:t>5%的权利。</w:t>
      </w:r>
    </w:p>
    <w:p>
      <w:pPr>
        <w:tabs>
          <w:tab w:val="left" w:pos="1134"/>
        </w:tabs>
        <w:spacing w:line="460" w:lineRule="exact"/>
        <w:ind w:firstLine="480" w:firstLineChars="200"/>
        <w:rPr>
          <w:rFonts w:ascii="宋体" w:hAnsi="宋体"/>
          <w:b/>
          <w:sz w:val="24"/>
        </w:rPr>
      </w:pPr>
      <w:r>
        <w:rPr>
          <w:rFonts w:hint="eastAsia" w:ascii="宋体" w:hAnsi="宋体"/>
          <w:sz w:val="24"/>
        </w:rPr>
        <w:t>23、</w:t>
      </w:r>
      <w:r>
        <w:rPr>
          <w:rFonts w:ascii="宋体" w:hAnsi="宋体"/>
          <w:sz w:val="24"/>
        </w:rPr>
        <w:t>合同</w:t>
      </w:r>
      <w:r>
        <w:rPr>
          <w:rFonts w:hint="eastAsia" w:ascii="宋体" w:hAnsi="宋体"/>
          <w:sz w:val="24"/>
        </w:rPr>
        <w:t>期内中标人</w:t>
      </w:r>
      <w:r>
        <w:rPr>
          <w:rFonts w:ascii="宋体" w:hAnsi="宋体"/>
          <w:sz w:val="24"/>
        </w:rPr>
        <w:t>有下列行为，</w:t>
      </w:r>
      <w:r>
        <w:rPr>
          <w:rFonts w:hint="eastAsia" w:ascii="宋体" w:hAnsi="宋体"/>
          <w:sz w:val="24"/>
        </w:rPr>
        <w:t>招标人</w:t>
      </w:r>
      <w:r>
        <w:rPr>
          <w:rFonts w:ascii="宋体" w:hAnsi="宋体"/>
          <w:sz w:val="24"/>
        </w:rPr>
        <w:t>有权提前中止合同，造成</w:t>
      </w:r>
      <w:r>
        <w:rPr>
          <w:rFonts w:hint="eastAsia" w:ascii="宋体" w:hAnsi="宋体"/>
          <w:sz w:val="24"/>
        </w:rPr>
        <w:t>的</w:t>
      </w:r>
      <w:r>
        <w:rPr>
          <w:rFonts w:ascii="宋体" w:hAnsi="宋体"/>
          <w:sz w:val="24"/>
        </w:rPr>
        <w:t>损失由</w:t>
      </w:r>
      <w:r>
        <w:rPr>
          <w:rFonts w:hint="eastAsia" w:ascii="宋体" w:hAnsi="宋体"/>
          <w:sz w:val="24"/>
        </w:rPr>
        <w:t>中标人</w:t>
      </w:r>
      <w:r>
        <w:rPr>
          <w:rFonts w:ascii="宋体" w:hAnsi="宋体"/>
          <w:sz w:val="24"/>
        </w:rPr>
        <w:t>承担：a.月度</w:t>
      </w:r>
      <w:r>
        <w:rPr>
          <w:rFonts w:hint="eastAsia" w:ascii="宋体" w:hAnsi="宋体"/>
          <w:sz w:val="24"/>
        </w:rPr>
        <w:t>绩效</w:t>
      </w:r>
      <w:r>
        <w:rPr>
          <w:rFonts w:ascii="宋体" w:hAnsi="宋体"/>
          <w:sz w:val="24"/>
        </w:rPr>
        <w:t>考核</w:t>
      </w:r>
      <w:r>
        <w:rPr>
          <w:rFonts w:hint="eastAsia" w:ascii="宋体" w:hAnsi="宋体"/>
          <w:sz w:val="24"/>
        </w:rPr>
        <w:t>中，一年内累计5次得分低于89分或2次低于79分的；</w:t>
      </w:r>
      <w:r>
        <w:rPr>
          <w:rFonts w:ascii="宋体" w:hAnsi="宋体"/>
          <w:sz w:val="24"/>
        </w:rPr>
        <w:t>b、严重影响</w:t>
      </w:r>
      <w:r>
        <w:rPr>
          <w:rFonts w:hint="eastAsia" w:ascii="宋体" w:hAnsi="宋体"/>
          <w:sz w:val="24"/>
        </w:rPr>
        <w:t>招标人</w:t>
      </w:r>
      <w:r>
        <w:rPr>
          <w:rFonts w:ascii="宋体" w:hAnsi="宋体"/>
          <w:sz w:val="24"/>
        </w:rPr>
        <w:t>有关科室的正常工作及医院形象</w:t>
      </w:r>
      <w:r>
        <w:rPr>
          <w:rFonts w:hint="eastAsia" w:ascii="宋体" w:hAnsi="宋体"/>
          <w:sz w:val="24"/>
        </w:rPr>
        <w:t>的</w:t>
      </w:r>
      <w:r>
        <w:rPr>
          <w:rFonts w:ascii="宋体" w:hAnsi="宋体"/>
          <w:sz w:val="24"/>
        </w:rPr>
        <w:t>；</w:t>
      </w:r>
      <w:r>
        <w:rPr>
          <w:rFonts w:hint="eastAsia" w:ascii="宋体" w:hAnsi="宋体"/>
          <w:sz w:val="24"/>
        </w:rPr>
        <w:t>C、与招标文件不符合的做法，或不履行其投标文件的承诺。中标人</w:t>
      </w:r>
      <w:r>
        <w:rPr>
          <w:rFonts w:ascii="宋体" w:hAnsi="宋体"/>
          <w:sz w:val="24"/>
        </w:rPr>
        <w:t>如要提前中止合同，需提前3个月，并征得</w:t>
      </w:r>
      <w:r>
        <w:rPr>
          <w:rFonts w:hint="eastAsia" w:ascii="宋体" w:hAnsi="宋体"/>
          <w:sz w:val="24"/>
        </w:rPr>
        <w:t>招标人</w:t>
      </w:r>
      <w:r>
        <w:rPr>
          <w:rFonts w:ascii="宋体" w:hAnsi="宋体"/>
          <w:sz w:val="24"/>
        </w:rPr>
        <w:t>同意，否则按合同执行</w:t>
      </w:r>
      <w:r>
        <w:rPr>
          <w:rFonts w:hint="eastAsia" w:ascii="宋体" w:hAnsi="宋体"/>
          <w:sz w:val="24"/>
        </w:rPr>
        <w:t>。</w:t>
      </w:r>
    </w:p>
    <w:p>
      <w:pPr>
        <w:tabs>
          <w:tab w:val="left" w:pos="1134"/>
        </w:tabs>
        <w:spacing w:line="460" w:lineRule="exact"/>
        <w:ind w:firstLine="480" w:firstLineChars="200"/>
        <w:rPr>
          <w:rFonts w:ascii="宋体" w:hAnsi="宋体"/>
          <w:b/>
          <w:sz w:val="24"/>
        </w:rPr>
      </w:pPr>
      <w:r>
        <w:rPr>
          <w:rFonts w:hint="eastAsia" w:ascii="宋体" w:hAnsi="宋体"/>
          <w:sz w:val="24"/>
        </w:rPr>
        <w:t>24、</w:t>
      </w:r>
      <w:r>
        <w:rPr>
          <w:rFonts w:ascii="宋体" w:hAnsi="宋体"/>
          <w:sz w:val="24"/>
        </w:rPr>
        <w:t>在服务期内</w:t>
      </w:r>
      <w:r>
        <w:rPr>
          <w:rFonts w:hint="eastAsia" w:ascii="宋体" w:hAnsi="宋体"/>
          <w:sz w:val="24"/>
        </w:rPr>
        <w:t>中标</w:t>
      </w:r>
      <w:r>
        <w:rPr>
          <w:rFonts w:ascii="宋体" w:hAnsi="宋体"/>
          <w:sz w:val="24"/>
        </w:rPr>
        <w:t>人遇到</w:t>
      </w:r>
      <w:r>
        <w:rPr>
          <w:rFonts w:hint="eastAsia" w:ascii="宋体" w:hAnsi="宋体"/>
          <w:sz w:val="24"/>
        </w:rPr>
        <w:t>招标人</w:t>
      </w:r>
      <w:r>
        <w:rPr>
          <w:rFonts w:ascii="宋体" w:hAnsi="宋体"/>
          <w:sz w:val="24"/>
        </w:rPr>
        <w:t>各类检查</w:t>
      </w:r>
      <w:r>
        <w:rPr>
          <w:rFonts w:hint="eastAsia" w:ascii="宋体" w:hAnsi="宋体"/>
          <w:sz w:val="24"/>
        </w:rPr>
        <w:t>及临时应急事件处理，如</w:t>
      </w:r>
      <w:r>
        <w:rPr>
          <w:rFonts w:ascii="宋体" w:hAnsi="宋体"/>
          <w:sz w:val="24"/>
        </w:rPr>
        <w:t>台风</w:t>
      </w:r>
      <w:r>
        <w:rPr>
          <w:rFonts w:hint="eastAsia" w:ascii="宋体" w:hAnsi="宋体"/>
          <w:sz w:val="24"/>
        </w:rPr>
        <w:t>、</w:t>
      </w:r>
      <w:r>
        <w:rPr>
          <w:rFonts w:ascii="宋体" w:hAnsi="宋体"/>
          <w:sz w:val="24"/>
        </w:rPr>
        <w:t>大雨</w:t>
      </w:r>
      <w:r>
        <w:rPr>
          <w:rFonts w:hint="eastAsia" w:ascii="宋体" w:hAnsi="宋体"/>
          <w:sz w:val="24"/>
        </w:rPr>
        <w:t>大水、消防、突发事件等</w:t>
      </w:r>
      <w:r>
        <w:rPr>
          <w:rFonts w:ascii="宋体" w:hAnsi="宋体"/>
          <w:sz w:val="24"/>
        </w:rPr>
        <w:t>，</w:t>
      </w:r>
      <w:r>
        <w:rPr>
          <w:rFonts w:hint="eastAsia" w:ascii="宋体" w:hAnsi="宋体"/>
          <w:sz w:val="24"/>
        </w:rPr>
        <w:t>中标</w:t>
      </w:r>
      <w:r>
        <w:rPr>
          <w:rFonts w:ascii="宋体" w:hAnsi="宋体"/>
          <w:sz w:val="24"/>
        </w:rPr>
        <w:t>人</w:t>
      </w:r>
      <w:r>
        <w:rPr>
          <w:rFonts w:hint="eastAsia" w:ascii="宋体" w:hAnsi="宋体"/>
          <w:sz w:val="24"/>
        </w:rPr>
        <w:t>应根据工作要求完成工作任务，其费用已包含在合同总价中。</w:t>
      </w:r>
    </w:p>
    <w:p>
      <w:pPr>
        <w:tabs>
          <w:tab w:val="left" w:pos="1134"/>
        </w:tabs>
        <w:spacing w:line="460" w:lineRule="exact"/>
        <w:ind w:firstLine="480" w:firstLineChars="200"/>
        <w:rPr>
          <w:rFonts w:ascii="宋体" w:hAnsi="宋体"/>
          <w:b/>
          <w:sz w:val="24"/>
        </w:rPr>
      </w:pPr>
      <w:r>
        <w:rPr>
          <w:rFonts w:hint="eastAsia" w:ascii="宋体" w:hAnsi="宋体"/>
          <w:sz w:val="24"/>
        </w:rPr>
        <w:t>25、中标</w:t>
      </w:r>
      <w:r>
        <w:rPr>
          <w:rFonts w:ascii="宋体" w:hAnsi="宋体"/>
          <w:sz w:val="24"/>
        </w:rPr>
        <w:t>人必须对员工发生的事故责任以及员工计生、身份、健康</w:t>
      </w:r>
      <w:r>
        <w:rPr>
          <w:rFonts w:hint="eastAsia" w:ascii="宋体" w:hAnsi="宋体"/>
          <w:sz w:val="24"/>
        </w:rPr>
        <w:t>、各类保险</w:t>
      </w:r>
      <w:r>
        <w:rPr>
          <w:rFonts w:ascii="宋体" w:hAnsi="宋体"/>
          <w:sz w:val="24"/>
        </w:rPr>
        <w:t>等承担责任；同时对员工在</w:t>
      </w:r>
      <w:r>
        <w:rPr>
          <w:rFonts w:hint="eastAsia" w:ascii="宋体" w:hAnsi="宋体"/>
          <w:sz w:val="24"/>
        </w:rPr>
        <w:t>医院</w:t>
      </w:r>
      <w:r>
        <w:rPr>
          <w:rFonts w:ascii="宋体" w:hAnsi="宋体"/>
          <w:sz w:val="24"/>
        </w:rPr>
        <w:t>做出不良行为给</w:t>
      </w:r>
      <w:r>
        <w:rPr>
          <w:rFonts w:hint="eastAsia" w:ascii="宋体" w:hAnsi="宋体"/>
          <w:sz w:val="24"/>
        </w:rPr>
        <w:t>招标人</w:t>
      </w:r>
      <w:r>
        <w:rPr>
          <w:rFonts w:ascii="宋体" w:hAnsi="宋体"/>
          <w:sz w:val="24"/>
        </w:rPr>
        <w:t>造成影响承担责任</w:t>
      </w:r>
      <w:r>
        <w:rPr>
          <w:rFonts w:hint="eastAsia" w:ascii="宋体" w:hAnsi="宋体"/>
          <w:sz w:val="24"/>
        </w:rPr>
        <w:t>。</w:t>
      </w:r>
    </w:p>
    <w:p>
      <w:pPr>
        <w:tabs>
          <w:tab w:val="left" w:pos="1134"/>
        </w:tabs>
        <w:spacing w:line="460" w:lineRule="exact"/>
        <w:ind w:firstLine="482" w:firstLineChars="200"/>
        <w:rPr>
          <w:rFonts w:ascii="宋体" w:hAnsi="宋体"/>
          <w:b/>
          <w:sz w:val="24"/>
        </w:rPr>
      </w:pPr>
      <w:r>
        <w:rPr>
          <w:rFonts w:hint="eastAsia" w:ascii="宋体" w:hAnsi="宋体"/>
          <w:b/>
          <w:sz w:val="24"/>
        </w:rPr>
        <w:t>26、中标人应做好各岗位工作人员的职业防护工作，为其配备个人防护用品或个人工作必需品。</w:t>
      </w:r>
    </w:p>
    <w:p>
      <w:pPr>
        <w:tabs>
          <w:tab w:val="left" w:pos="1134"/>
        </w:tabs>
        <w:spacing w:line="460" w:lineRule="exact"/>
        <w:ind w:firstLine="480" w:firstLineChars="200"/>
        <w:rPr>
          <w:rFonts w:ascii="宋体" w:hAnsi="宋体"/>
          <w:b/>
          <w:sz w:val="24"/>
        </w:rPr>
      </w:pPr>
      <w:r>
        <w:rPr>
          <w:rFonts w:hint="eastAsia" w:ascii="宋体" w:hAnsi="宋体"/>
          <w:sz w:val="24"/>
        </w:rPr>
        <w:t>27、中标人员工在工作中造成招标人仪器物品损坏、财产损失，患者、家属及自身人身伤害的，责任完全由中标人负责。</w:t>
      </w:r>
    </w:p>
    <w:p>
      <w:pPr>
        <w:tabs>
          <w:tab w:val="left" w:pos="1134"/>
        </w:tabs>
        <w:spacing w:line="460" w:lineRule="exact"/>
        <w:ind w:firstLine="480" w:firstLineChars="200"/>
        <w:rPr>
          <w:rFonts w:ascii="宋体" w:hAnsi="宋体"/>
          <w:b/>
          <w:sz w:val="24"/>
        </w:rPr>
      </w:pPr>
      <w:r>
        <w:rPr>
          <w:rFonts w:hint="eastAsia" w:ascii="宋体" w:hAnsi="宋体"/>
          <w:sz w:val="24"/>
        </w:rPr>
        <w:t>28、其它</w:t>
      </w:r>
    </w:p>
    <w:p>
      <w:pPr>
        <w:numPr>
          <w:ilvl w:val="1"/>
          <w:numId w:val="201"/>
        </w:numPr>
        <w:tabs>
          <w:tab w:val="left" w:pos="1134"/>
        </w:tabs>
        <w:spacing w:line="460" w:lineRule="exact"/>
        <w:ind w:hanging="131"/>
        <w:rPr>
          <w:rFonts w:ascii="宋体" w:hAnsi="宋体"/>
          <w:sz w:val="24"/>
        </w:rPr>
      </w:pPr>
      <w:r>
        <w:rPr>
          <w:rFonts w:hint="eastAsia" w:ascii="宋体" w:hAnsi="宋体"/>
          <w:sz w:val="24"/>
        </w:rPr>
        <w:t>中标人员工服装应统一、整洁，挂牌上岗，便于管理。</w:t>
      </w:r>
    </w:p>
    <w:p>
      <w:pPr>
        <w:numPr>
          <w:ilvl w:val="1"/>
          <w:numId w:val="201"/>
        </w:numPr>
        <w:tabs>
          <w:tab w:val="left" w:pos="1134"/>
        </w:tabs>
        <w:spacing w:line="460" w:lineRule="exact"/>
        <w:ind w:hanging="131"/>
        <w:rPr>
          <w:rFonts w:ascii="宋体" w:hAnsi="宋体"/>
          <w:sz w:val="24"/>
        </w:rPr>
      </w:pPr>
      <w:r>
        <w:rPr>
          <w:rFonts w:hint="eastAsia" w:ascii="宋体" w:hAnsi="宋体"/>
          <w:sz w:val="24"/>
        </w:rPr>
        <w:t>项目管理人员必须在该公司的较大物业服务项目中工作2年以上。</w:t>
      </w:r>
    </w:p>
    <w:p>
      <w:pPr>
        <w:numPr>
          <w:ilvl w:val="1"/>
          <w:numId w:val="201"/>
        </w:numPr>
        <w:tabs>
          <w:tab w:val="left" w:pos="1134"/>
        </w:tabs>
        <w:spacing w:line="460" w:lineRule="exact"/>
        <w:ind w:hanging="131"/>
        <w:rPr>
          <w:rFonts w:ascii="宋体" w:hAnsi="宋体"/>
          <w:sz w:val="24"/>
        </w:rPr>
      </w:pPr>
      <w:r>
        <w:rPr>
          <w:rFonts w:ascii="宋体" w:hAnsi="宋体"/>
          <w:sz w:val="24"/>
        </w:rPr>
        <w:t>协助管理责任区域内的消防或防盗。</w:t>
      </w:r>
    </w:p>
    <w:p>
      <w:pPr>
        <w:numPr>
          <w:ilvl w:val="1"/>
          <w:numId w:val="201"/>
        </w:numPr>
        <w:tabs>
          <w:tab w:val="left" w:pos="1134"/>
        </w:tabs>
        <w:spacing w:line="460" w:lineRule="exact"/>
        <w:ind w:hanging="131"/>
        <w:rPr>
          <w:rFonts w:ascii="宋体" w:hAnsi="宋体"/>
          <w:sz w:val="24"/>
        </w:rPr>
      </w:pPr>
      <w:r>
        <w:rPr>
          <w:rFonts w:hint="eastAsia" w:ascii="宋体" w:hAnsi="宋体"/>
          <w:sz w:val="24"/>
        </w:rPr>
        <w:t>协助</w:t>
      </w:r>
      <w:r>
        <w:rPr>
          <w:rFonts w:ascii="宋体" w:hAnsi="宋体"/>
          <w:sz w:val="24"/>
        </w:rPr>
        <w:t>管理</w:t>
      </w:r>
      <w:r>
        <w:rPr>
          <w:rFonts w:hint="eastAsia" w:ascii="宋体" w:hAnsi="宋体"/>
          <w:sz w:val="24"/>
        </w:rPr>
        <w:t>节水节电，有管理措施，如日常</w:t>
      </w:r>
      <w:r>
        <w:rPr>
          <w:rFonts w:ascii="宋体" w:hAnsi="宋体"/>
          <w:sz w:val="24"/>
        </w:rPr>
        <w:t>空调、电风扇、电灯、水龙头等开与关，以及在合理时间给房间通风</w:t>
      </w:r>
      <w:r>
        <w:rPr>
          <w:rFonts w:hint="eastAsia" w:ascii="宋体" w:hAnsi="宋体"/>
          <w:sz w:val="24"/>
        </w:rPr>
        <w:t>，并有巡查考核表，每月递交后勤部门</w:t>
      </w:r>
      <w:r>
        <w:rPr>
          <w:rFonts w:ascii="宋体" w:hAnsi="宋体"/>
          <w:sz w:val="24"/>
        </w:rPr>
        <w:t>。</w:t>
      </w:r>
    </w:p>
    <w:p>
      <w:pPr>
        <w:spacing w:line="460" w:lineRule="exact"/>
        <w:ind w:firstLine="480" w:firstLineChars="200"/>
        <w:rPr>
          <w:rFonts w:ascii="宋体" w:hAnsi="宋体"/>
          <w:sz w:val="24"/>
        </w:rPr>
      </w:pPr>
      <w:r>
        <w:rPr>
          <w:rFonts w:hint="eastAsia" w:ascii="宋体" w:hAnsi="宋体"/>
          <w:sz w:val="24"/>
        </w:rPr>
        <w:t>29、中标人</w:t>
      </w:r>
      <w:r>
        <w:rPr>
          <w:rFonts w:ascii="宋体" w:hAnsi="宋体"/>
          <w:sz w:val="24"/>
        </w:rPr>
        <w:t>不得利用</w:t>
      </w:r>
      <w:r>
        <w:rPr>
          <w:rFonts w:hint="eastAsia" w:ascii="宋体" w:hAnsi="宋体"/>
          <w:sz w:val="24"/>
        </w:rPr>
        <w:t>服务</w:t>
      </w:r>
      <w:r>
        <w:rPr>
          <w:rFonts w:ascii="宋体" w:hAnsi="宋体"/>
          <w:sz w:val="24"/>
        </w:rPr>
        <w:t>区域内的</w:t>
      </w:r>
      <w:r>
        <w:rPr>
          <w:rFonts w:hint="eastAsia" w:ascii="宋体" w:hAnsi="宋体"/>
          <w:sz w:val="24"/>
        </w:rPr>
        <w:t>招标人</w:t>
      </w:r>
      <w:r>
        <w:rPr>
          <w:rFonts w:ascii="宋体" w:hAnsi="宋体"/>
          <w:sz w:val="24"/>
        </w:rPr>
        <w:t>房产、物业、水电等资源从事经营活动</w:t>
      </w:r>
      <w:r>
        <w:rPr>
          <w:rFonts w:hint="eastAsia" w:ascii="宋体" w:hAnsi="宋体"/>
          <w:sz w:val="24"/>
        </w:rPr>
        <w:t>，不能改变其使用性质</w:t>
      </w:r>
      <w:r>
        <w:rPr>
          <w:rFonts w:ascii="宋体" w:hAnsi="宋体"/>
          <w:sz w:val="24"/>
        </w:rPr>
        <w:t>。</w:t>
      </w:r>
    </w:p>
    <w:p>
      <w:pPr>
        <w:spacing w:line="460" w:lineRule="exact"/>
        <w:ind w:firstLine="480" w:firstLineChars="200"/>
        <w:rPr>
          <w:rFonts w:ascii="宋体" w:hAnsi="宋体"/>
          <w:sz w:val="24"/>
        </w:rPr>
      </w:pPr>
      <w:r>
        <w:rPr>
          <w:rFonts w:hint="eastAsia" w:ascii="宋体" w:hAnsi="宋体"/>
          <w:sz w:val="24"/>
        </w:rPr>
        <w:t>30、投标人能承诺安全责任，在经营过程中所产生的一切人事劳资、人身伤害、火灾、物品失窃等，均由中标人独立承担全部责任。</w:t>
      </w:r>
    </w:p>
    <w:p>
      <w:pPr>
        <w:spacing w:line="460" w:lineRule="exact"/>
        <w:ind w:firstLine="480" w:firstLineChars="200"/>
        <w:rPr>
          <w:rFonts w:ascii="宋体" w:hAnsi="宋体"/>
          <w:sz w:val="24"/>
        </w:rPr>
      </w:pPr>
      <w:r>
        <w:rPr>
          <w:rFonts w:hint="eastAsia" w:ascii="宋体" w:hAnsi="宋体"/>
          <w:sz w:val="24"/>
        </w:rPr>
        <w:t>31、投标人应提供相应详细的各项服务人员岗位设置表。</w:t>
      </w:r>
    </w:p>
    <w:p/>
    <w:p/>
    <w:p>
      <w:pPr>
        <w:spacing w:before="120" w:beforeLines="50" w:after="120" w:afterLines="50"/>
        <w:outlineLvl w:val="1"/>
        <w:rPr>
          <w:sz w:val="30"/>
          <w:szCs w:val="30"/>
        </w:rPr>
      </w:pPr>
      <w:r>
        <w:rPr>
          <w:sz w:val="30"/>
          <w:szCs w:val="30"/>
        </w:rPr>
        <w:br w:type="page"/>
      </w:r>
      <w:bookmarkStart w:id="30" w:name="_Toc18854419"/>
      <w:r>
        <w:rPr>
          <w:rFonts w:hint="eastAsia"/>
          <w:sz w:val="30"/>
          <w:szCs w:val="30"/>
        </w:rPr>
        <w:t>二、保安服务要求</w:t>
      </w:r>
      <w:bookmarkEnd w:id="30"/>
    </w:p>
    <w:p>
      <w:pPr>
        <w:spacing w:before="100" w:beforeAutospacing="1" w:line="360" w:lineRule="auto"/>
        <w:rPr>
          <w:b/>
          <w:sz w:val="24"/>
        </w:rPr>
      </w:pPr>
      <w:r>
        <w:rPr>
          <w:rFonts w:hint="eastAsia"/>
          <w:b/>
          <w:sz w:val="24"/>
        </w:rPr>
        <w:t>1、保安</w:t>
      </w:r>
      <w:r>
        <w:rPr>
          <w:b/>
          <w:sz w:val="24"/>
        </w:rPr>
        <w:t>人员</w:t>
      </w:r>
      <w:r>
        <w:rPr>
          <w:rFonts w:hint="eastAsia"/>
          <w:b/>
          <w:sz w:val="24"/>
        </w:rPr>
        <w:t>具体要求：</w:t>
      </w:r>
    </w:p>
    <w:p>
      <w:pPr>
        <w:numPr>
          <w:ilvl w:val="0"/>
          <w:numId w:val="202"/>
        </w:numPr>
        <w:tabs>
          <w:tab w:val="left" w:pos="567"/>
          <w:tab w:val="left" w:pos="709"/>
        </w:tabs>
        <w:spacing w:line="360" w:lineRule="auto"/>
        <w:rPr>
          <w:sz w:val="24"/>
        </w:rPr>
      </w:pPr>
      <w:r>
        <w:rPr>
          <w:rFonts w:hint="eastAsia"/>
          <w:sz w:val="24"/>
        </w:rPr>
        <w:t>保安人员休息按国家现行规定的标准执行；按每人每天</w:t>
      </w:r>
      <w:r>
        <w:rPr>
          <w:sz w:val="24"/>
        </w:rPr>
        <w:t>8</w:t>
      </w:r>
      <w:r>
        <w:rPr>
          <w:rFonts w:hint="eastAsia"/>
          <w:sz w:val="24"/>
        </w:rPr>
        <w:t>小时工作制执行</w:t>
      </w:r>
      <w:r>
        <w:rPr>
          <w:sz w:val="24"/>
        </w:rPr>
        <w:t>24</w:t>
      </w:r>
      <w:r>
        <w:rPr>
          <w:rFonts w:hint="eastAsia"/>
          <w:sz w:val="24"/>
        </w:rPr>
        <w:t>小时排班。根据每天的实际情况必须服从后勤保障处排出相关班次，执行保安人员定岗、定位、定职。</w:t>
      </w:r>
    </w:p>
    <w:p>
      <w:pPr>
        <w:numPr>
          <w:ilvl w:val="0"/>
          <w:numId w:val="202"/>
        </w:numPr>
        <w:tabs>
          <w:tab w:val="left" w:pos="567"/>
          <w:tab w:val="left" w:pos="709"/>
        </w:tabs>
        <w:spacing w:line="360" w:lineRule="auto"/>
        <w:rPr>
          <w:sz w:val="24"/>
        </w:rPr>
      </w:pPr>
      <w:r>
        <w:rPr>
          <w:rFonts w:hint="eastAsia"/>
          <w:sz w:val="24"/>
        </w:rPr>
        <w:t>如有突发性行动，当班人员必须无条件完成任务；对招标人安排的一些临时性工作如：突发性医患纠纷、火灾、水灾、治安事件、重大会议及晚会等应无条件积极配合处理完成。</w:t>
      </w:r>
    </w:p>
    <w:p>
      <w:pPr>
        <w:numPr>
          <w:ilvl w:val="0"/>
          <w:numId w:val="202"/>
        </w:numPr>
        <w:tabs>
          <w:tab w:val="left" w:pos="567"/>
          <w:tab w:val="left" w:pos="709"/>
        </w:tabs>
        <w:spacing w:line="360" w:lineRule="auto"/>
        <w:rPr>
          <w:sz w:val="24"/>
        </w:rPr>
      </w:pPr>
      <w:r>
        <w:rPr>
          <w:rFonts w:hint="eastAsia"/>
          <w:sz w:val="24"/>
        </w:rPr>
        <w:t>投标人所提供的保安人员要经过严格政审，保证录用人员没有劳动教养和刑事犯罪记录，健康状况良好、无精神病史，学历初中以上，男性，身高</w:t>
      </w:r>
      <w:r>
        <w:rPr>
          <w:sz w:val="24"/>
        </w:rPr>
        <w:t>1.68cm</w:t>
      </w:r>
      <w:r>
        <w:rPr>
          <w:rFonts w:hint="eastAsia"/>
          <w:sz w:val="24"/>
        </w:rPr>
        <w:t>以上，五官端正，身材均匀，年龄</w:t>
      </w:r>
      <w:r>
        <w:rPr>
          <w:sz w:val="24"/>
        </w:rPr>
        <w:t>18</w:t>
      </w:r>
      <w:r>
        <w:rPr>
          <w:rFonts w:hint="eastAsia"/>
          <w:sz w:val="24"/>
        </w:rPr>
        <w:t>至</w:t>
      </w:r>
      <w:r>
        <w:rPr>
          <w:sz w:val="24"/>
        </w:rPr>
        <w:t>40</w:t>
      </w:r>
      <w:r>
        <w:rPr>
          <w:rFonts w:hint="eastAsia"/>
          <w:sz w:val="24"/>
        </w:rPr>
        <w:t>岁占</w:t>
      </w:r>
      <w:r>
        <w:rPr>
          <w:sz w:val="24"/>
        </w:rPr>
        <w:t>80%</w:t>
      </w:r>
      <w:r>
        <w:rPr>
          <w:rFonts w:hint="eastAsia"/>
          <w:sz w:val="24"/>
        </w:rPr>
        <w:t>，年龄</w:t>
      </w:r>
      <w:r>
        <w:rPr>
          <w:sz w:val="24"/>
        </w:rPr>
        <w:t>40</w:t>
      </w:r>
      <w:r>
        <w:rPr>
          <w:rFonts w:hint="eastAsia"/>
          <w:sz w:val="24"/>
        </w:rPr>
        <w:t>至</w:t>
      </w:r>
      <w:r>
        <w:rPr>
          <w:sz w:val="24"/>
        </w:rPr>
        <w:t>50</w:t>
      </w:r>
      <w:r>
        <w:rPr>
          <w:rFonts w:hint="eastAsia"/>
          <w:sz w:val="24"/>
        </w:rPr>
        <w:t>岁占</w:t>
      </w:r>
      <w:r>
        <w:rPr>
          <w:sz w:val="24"/>
        </w:rPr>
        <w:t>20%</w:t>
      </w:r>
      <w:r>
        <w:rPr>
          <w:rFonts w:hint="eastAsia"/>
          <w:sz w:val="24"/>
        </w:rPr>
        <w:t>或整个队伍平均年龄控制在</w:t>
      </w:r>
      <w:r>
        <w:rPr>
          <w:sz w:val="24"/>
        </w:rPr>
        <w:t>42</w:t>
      </w:r>
      <w:r>
        <w:rPr>
          <w:rFonts w:hint="eastAsia"/>
          <w:sz w:val="24"/>
        </w:rPr>
        <w:t>岁以下，</w:t>
      </w:r>
      <w:r>
        <w:rPr>
          <w:rFonts w:hint="eastAsia"/>
          <w:b/>
          <w:sz w:val="24"/>
        </w:rPr>
        <w:t>持证上岗（所有保安人员持保安证，消控监控岗位要同时具备保安证和消防上岗证）</w:t>
      </w:r>
      <w:r>
        <w:rPr>
          <w:rFonts w:hint="eastAsia"/>
          <w:sz w:val="24"/>
        </w:rPr>
        <w:t>，退役军人应优先录用，具备相关法律法规、安保、消防知识。</w:t>
      </w:r>
      <w:r>
        <w:rPr>
          <w:rFonts w:hint="eastAsia" w:ascii="宋体" w:hAnsi="宋体"/>
          <w:sz w:val="24"/>
        </w:rPr>
        <w:t>如确实因为招聘人员困难，新入职的个别保安无保安证的，安保过了一周试用期后，乙方必须安排其完成培训考证的报名，如甲方发现乙方拖延或没有安排无证保安参加培训考试，甲方有权不发放该保安的服务费，并责令其离院。如果保安连续</w:t>
      </w:r>
      <w:r>
        <w:rPr>
          <w:rFonts w:ascii="宋体" w:hAnsi="宋体"/>
          <w:sz w:val="24"/>
        </w:rPr>
        <w:t>3</w:t>
      </w:r>
      <w:r>
        <w:rPr>
          <w:rFonts w:hint="eastAsia" w:ascii="宋体" w:hAnsi="宋体"/>
          <w:sz w:val="24"/>
        </w:rPr>
        <w:t>次考试均不合格，乙方也应该辞退该员工。</w:t>
      </w:r>
    </w:p>
    <w:p>
      <w:pPr>
        <w:numPr>
          <w:ilvl w:val="0"/>
          <w:numId w:val="202"/>
        </w:numPr>
        <w:tabs>
          <w:tab w:val="left" w:pos="567"/>
          <w:tab w:val="left" w:pos="709"/>
        </w:tabs>
        <w:spacing w:line="360" w:lineRule="auto"/>
        <w:rPr>
          <w:sz w:val="24"/>
        </w:rPr>
      </w:pPr>
      <w:r>
        <w:rPr>
          <w:rFonts w:hint="eastAsia"/>
          <w:b/>
          <w:sz w:val="24"/>
        </w:rPr>
        <w:t>保安项目负责人必须具有保安员资格证书、消防上岗证，具有三年及以上保安管理经验。</w:t>
      </w:r>
      <w:r>
        <w:rPr>
          <w:rFonts w:hint="eastAsia" w:ascii="宋体" w:hAnsi="宋体"/>
          <w:sz w:val="24"/>
        </w:rPr>
        <w:t>乙方确定项目负责人人选后要向甲方备案，应确保其专职在医院上班，确保电话通讯畅通。甲方发现其不能胜任岗位工作的，甲方有权要求更换项目负责人。如在服务期内乙方的项目负责人未到岗，甲方有权截留相应金额的服务费，若在乙方项目负责人未到岗期间，造成甲方工作上的损失，由乙方负责，并扣罚履约保证金总额的</w:t>
      </w:r>
      <w:r>
        <w:rPr>
          <w:rFonts w:ascii="宋体" w:hAnsi="宋体"/>
          <w:sz w:val="24"/>
        </w:rPr>
        <w:t>10%</w:t>
      </w:r>
      <w:r>
        <w:rPr>
          <w:rFonts w:hint="eastAsia" w:ascii="宋体" w:hAnsi="宋体"/>
          <w:sz w:val="24"/>
        </w:rPr>
        <w:t>。</w:t>
      </w:r>
    </w:p>
    <w:p>
      <w:pPr>
        <w:spacing w:before="100" w:beforeAutospacing="1" w:line="360" w:lineRule="auto"/>
        <w:rPr>
          <w:b/>
          <w:sz w:val="24"/>
        </w:rPr>
      </w:pPr>
      <w:r>
        <w:rPr>
          <w:b/>
          <w:sz w:val="24"/>
        </w:rPr>
        <w:t>2</w:t>
      </w:r>
      <w:r>
        <w:rPr>
          <w:rFonts w:hint="eastAsia"/>
          <w:b/>
          <w:sz w:val="24"/>
        </w:rPr>
        <w:t>、保安岗位职责</w:t>
      </w:r>
    </w:p>
    <w:p>
      <w:pPr>
        <w:spacing w:line="360" w:lineRule="auto"/>
        <w:rPr>
          <w:kern w:val="0"/>
          <w:sz w:val="24"/>
        </w:rPr>
      </w:pPr>
      <w:r>
        <w:rPr>
          <w:b/>
          <w:sz w:val="24"/>
        </w:rPr>
        <w:t xml:space="preserve">2.1  </w:t>
      </w:r>
      <w:r>
        <w:rPr>
          <w:rFonts w:hint="eastAsia"/>
          <w:b/>
          <w:sz w:val="24"/>
        </w:rPr>
        <w:t>治安管理（含监控室管理）</w:t>
      </w:r>
    </w:p>
    <w:p>
      <w:pPr>
        <w:numPr>
          <w:ilvl w:val="0"/>
          <w:numId w:val="203"/>
        </w:numPr>
        <w:spacing w:line="360" w:lineRule="auto"/>
        <w:ind w:left="709" w:hanging="425"/>
        <w:rPr>
          <w:sz w:val="24"/>
        </w:rPr>
      </w:pPr>
      <w:r>
        <w:rPr>
          <w:rFonts w:hint="eastAsia"/>
          <w:sz w:val="24"/>
        </w:rPr>
        <w:t>能熟练操作监控系统，关注院内各区域动态，协助保卫处根据病人数量或者突发事件，及时调整保安力量。</w:t>
      </w:r>
    </w:p>
    <w:p>
      <w:pPr>
        <w:numPr>
          <w:ilvl w:val="0"/>
          <w:numId w:val="203"/>
        </w:numPr>
        <w:spacing w:line="360" w:lineRule="auto"/>
        <w:ind w:left="709" w:hanging="425"/>
        <w:rPr>
          <w:sz w:val="24"/>
        </w:rPr>
      </w:pPr>
      <w:r>
        <w:rPr>
          <w:rFonts w:hint="eastAsia"/>
          <w:sz w:val="24"/>
        </w:rPr>
        <w:t>医院在各诊室、病区护士站等安装有一套视频报警系统，当接到指令后，必须确保</w:t>
      </w:r>
      <w:r>
        <w:rPr>
          <w:sz w:val="24"/>
        </w:rPr>
        <w:t>2</w:t>
      </w:r>
      <w:r>
        <w:rPr>
          <w:rFonts w:hint="eastAsia"/>
          <w:sz w:val="24"/>
        </w:rPr>
        <w:t>名以上的保安在</w:t>
      </w:r>
      <w:r>
        <w:rPr>
          <w:b/>
          <w:sz w:val="24"/>
        </w:rPr>
        <w:t>3</w:t>
      </w:r>
      <w:r>
        <w:rPr>
          <w:rFonts w:hint="eastAsia"/>
          <w:b/>
          <w:sz w:val="24"/>
        </w:rPr>
        <w:t>分钟内</w:t>
      </w:r>
      <w:r>
        <w:rPr>
          <w:rFonts w:hint="eastAsia"/>
          <w:sz w:val="24"/>
        </w:rPr>
        <w:t>赶赴呼叫现场，及时控制事态，确保医护人员人身的绝对安全及医院财物不受破坏。</w:t>
      </w:r>
    </w:p>
    <w:p>
      <w:pPr>
        <w:numPr>
          <w:ilvl w:val="0"/>
          <w:numId w:val="203"/>
        </w:numPr>
        <w:spacing w:line="360" w:lineRule="auto"/>
        <w:ind w:left="709" w:hanging="425"/>
        <w:rPr>
          <w:sz w:val="24"/>
        </w:rPr>
      </w:pPr>
      <w:r>
        <w:rPr>
          <w:rFonts w:hint="eastAsia"/>
          <w:sz w:val="24"/>
        </w:rPr>
        <w:t>协助做好消控监控的值班记录和交接班记录。</w:t>
      </w:r>
    </w:p>
    <w:p>
      <w:pPr>
        <w:numPr>
          <w:ilvl w:val="0"/>
          <w:numId w:val="203"/>
        </w:numPr>
        <w:spacing w:line="360" w:lineRule="auto"/>
        <w:ind w:left="709" w:hanging="425"/>
        <w:rPr>
          <w:sz w:val="24"/>
        </w:rPr>
      </w:pPr>
      <w:r>
        <w:rPr>
          <w:rFonts w:hint="eastAsia"/>
          <w:sz w:val="24"/>
        </w:rPr>
        <w:t>熟悉各个监控位置，熟练回放监控录像，保持监控室卫生、干净、整洁、东西摆放整齐。</w:t>
      </w:r>
    </w:p>
    <w:p>
      <w:pPr>
        <w:numPr>
          <w:ilvl w:val="0"/>
          <w:numId w:val="203"/>
        </w:numPr>
        <w:spacing w:line="360" w:lineRule="auto"/>
        <w:ind w:left="709" w:hanging="425"/>
        <w:rPr>
          <w:sz w:val="24"/>
        </w:rPr>
      </w:pPr>
      <w:r>
        <w:rPr>
          <w:rFonts w:hint="eastAsia" w:ascii="宋体" w:hAnsi="宋体"/>
          <w:sz w:val="24"/>
        </w:rPr>
        <w:t>易燃易爆剧毒麻醉药品以及各类危险品的管理。制定《易燃易爆剧毒麻醉药品以及各类危险品的管理制度》，以及易燃易爆剧毒麻醉药品以及各类危险品进院时的运输路线，建立易燃易爆剧毒麻醉药品以及各类危险品的登记工作，并经常进行检查。</w:t>
      </w:r>
    </w:p>
    <w:p>
      <w:pPr>
        <w:numPr>
          <w:ilvl w:val="0"/>
          <w:numId w:val="203"/>
        </w:numPr>
        <w:spacing w:line="360" w:lineRule="auto"/>
        <w:ind w:left="709" w:hanging="425"/>
        <w:rPr>
          <w:sz w:val="24"/>
        </w:rPr>
      </w:pPr>
      <w:r>
        <w:rPr>
          <w:rFonts w:hint="eastAsia" w:ascii="宋体" w:hAnsi="宋体"/>
          <w:sz w:val="24"/>
        </w:rPr>
        <w:t>重点要害部位的管理。确定院区的重点要害部位，登记重点要害部位工作人员的情况，制定《重点要害部位的管理制度》，落实重点要害部位的防范措施（三防）。</w:t>
      </w:r>
    </w:p>
    <w:p>
      <w:pPr>
        <w:numPr>
          <w:ilvl w:val="0"/>
          <w:numId w:val="203"/>
        </w:numPr>
        <w:spacing w:line="360" w:lineRule="auto"/>
        <w:ind w:left="709" w:hanging="425"/>
        <w:rPr>
          <w:sz w:val="24"/>
        </w:rPr>
      </w:pPr>
      <w:r>
        <w:rPr>
          <w:rFonts w:hint="eastAsia" w:ascii="宋体" w:hAnsi="宋体"/>
          <w:sz w:val="24"/>
        </w:rPr>
        <w:t>及时有效制止各种突发事件和医疗纠纷。保证解决纠纷时有足够的人员和装备，竭力保证医务人员的尊严、保证人身不受侵犯。如出现人身伤害事件，一定要滞留住肇事人员。</w:t>
      </w:r>
    </w:p>
    <w:p>
      <w:pPr>
        <w:tabs>
          <w:tab w:val="left" w:pos="567"/>
          <w:tab w:val="left" w:pos="851"/>
        </w:tabs>
        <w:spacing w:line="360" w:lineRule="auto"/>
        <w:rPr>
          <w:b/>
          <w:kern w:val="0"/>
          <w:sz w:val="24"/>
        </w:rPr>
      </w:pPr>
      <w:r>
        <w:rPr>
          <w:b/>
          <w:kern w:val="0"/>
          <w:sz w:val="24"/>
        </w:rPr>
        <w:t xml:space="preserve">2.2  </w:t>
      </w:r>
      <w:r>
        <w:rPr>
          <w:rFonts w:hint="eastAsia"/>
          <w:b/>
          <w:kern w:val="0"/>
          <w:sz w:val="24"/>
        </w:rPr>
        <w:t>消防管理（含消控室管理）</w:t>
      </w:r>
    </w:p>
    <w:p>
      <w:pPr>
        <w:numPr>
          <w:ilvl w:val="0"/>
          <w:numId w:val="204"/>
        </w:numPr>
        <w:tabs>
          <w:tab w:val="left" w:pos="142"/>
        </w:tabs>
        <w:spacing w:line="360" w:lineRule="auto"/>
        <w:ind w:left="709"/>
        <w:rPr>
          <w:sz w:val="24"/>
        </w:rPr>
      </w:pPr>
      <w:r>
        <w:rPr>
          <w:rFonts w:hint="eastAsia"/>
          <w:sz w:val="24"/>
        </w:rPr>
        <w:t>建立完整的《消防管理制度》、《消防检查制度》、《消防日巡视制度》以及《灭火疏散应急预案》等台账，并落实、定期组织演练。</w:t>
      </w:r>
    </w:p>
    <w:p>
      <w:pPr>
        <w:numPr>
          <w:ilvl w:val="0"/>
          <w:numId w:val="204"/>
        </w:numPr>
        <w:tabs>
          <w:tab w:val="left" w:pos="142"/>
        </w:tabs>
        <w:spacing w:line="360" w:lineRule="auto"/>
        <w:ind w:left="709"/>
        <w:rPr>
          <w:sz w:val="24"/>
        </w:rPr>
      </w:pPr>
      <w:r>
        <w:rPr>
          <w:rFonts w:hint="eastAsia"/>
          <w:sz w:val="24"/>
        </w:rPr>
        <w:t>协助保卫处做好每月一次的消防安全大检查（灭火器是否完好有效，消防水带水枪是否齐全，消防栓是否有水，应急疏散通道是否畅通，安全疏散通道标志、安全出口标志、应急照明装置是否完好有效等）并作登记备档；有违反消防规定的，要及时通知整改，并监督整改过程。</w:t>
      </w:r>
    </w:p>
    <w:p>
      <w:pPr>
        <w:numPr>
          <w:ilvl w:val="0"/>
          <w:numId w:val="204"/>
        </w:numPr>
        <w:tabs>
          <w:tab w:val="left" w:pos="142"/>
        </w:tabs>
        <w:spacing w:line="360" w:lineRule="auto"/>
        <w:ind w:left="709"/>
        <w:rPr>
          <w:sz w:val="24"/>
        </w:rPr>
      </w:pPr>
      <w:r>
        <w:rPr>
          <w:rFonts w:hint="eastAsia"/>
          <w:sz w:val="24"/>
        </w:rPr>
        <w:t>协助保卫处监督消防维保公司做好每月一次消防设施设备的巡检和养护工作。</w:t>
      </w:r>
    </w:p>
    <w:p>
      <w:pPr>
        <w:numPr>
          <w:ilvl w:val="0"/>
          <w:numId w:val="204"/>
        </w:numPr>
        <w:tabs>
          <w:tab w:val="left" w:pos="142"/>
        </w:tabs>
        <w:spacing w:line="360" w:lineRule="auto"/>
        <w:ind w:left="709"/>
        <w:rPr>
          <w:sz w:val="24"/>
        </w:rPr>
      </w:pPr>
      <w:r>
        <w:rPr>
          <w:rFonts w:hint="eastAsia" w:ascii="宋体" w:hAnsi="宋体"/>
          <w:color w:val="000000"/>
          <w:sz w:val="24"/>
        </w:rPr>
        <w:t>按规定进行“消防四个能力建设”，要求每日进行巡查，查处违章用电、用火、用气情况；保持消防通道通畅；建立消防重点部门（配电房、氧气间等）的管理规范。</w:t>
      </w:r>
    </w:p>
    <w:p>
      <w:pPr>
        <w:numPr>
          <w:ilvl w:val="0"/>
          <w:numId w:val="204"/>
        </w:numPr>
        <w:tabs>
          <w:tab w:val="left" w:pos="142"/>
        </w:tabs>
        <w:spacing w:line="360" w:lineRule="auto"/>
        <w:ind w:left="709"/>
        <w:rPr>
          <w:sz w:val="24"/>
        </w:rPr>
      </w:pPr>
      <w:r>
        <w:rPr>
          <w:rFonts w:hint="eastAsia"/>
          <w:sz w:val="24"/>
        </w:rPr>
        <w:t>建立院区消防器材分布图，在每个病房张贴安全疏散示意图，并与各病区的消防责任人签订消防协议，以明确责任，共同管理。</w:t>
      </w:r>
    </w:p>
    <w:p>
      <w:pPr>
        <w:numPr>
          <w:ilvl w:val="0"/>
          <w:numId w:val="204"/>
        </w:numPr>
        <w:tabs>
          <w:tab w:val="left" w:pos="142"/>
        </w:tabs>
        <w:spacing w:line="360" w:lineRule="auto"/>
        <w:ind w:left="709"/>
        <w:rPr>
          <w:sz w:val="24"/>
        </w:rPr>
      </w:pPr>
      <w:r>
        <w:rPr>
          <w:rFonts w:hint="eastAsia"/>
          <w:sz w:val="24"/>
        </w:rPr>
        <w:t>认真做好消防安全宣传工作，所有保安均为义务消防队员，具有一定的消防业务素质。制定《义务消防队工作制度》和《义务消防队员职责》，并定期组织义务消防队员学习、训练及演练，建立档案。</w:t>
      </w:r>
    </w:p>
    <w:p>
      <w:pPr>
        <w:numPr>
          <w:ilvl w:val="0"/>
          <w:numId w:val="204"/>
        </w:numPr>
        <w:tabs>
          <w:tab w:val="left" w:pos="142"/>
        </w:tabs>
        <w:spacing w:line="360" w:lineRule="auto"/>
        <w:ind w:left="709"/>
        <w:rPr>
          <w:sz w:val="24"/>
        </w:rPr>
      </w:pPr>
      <w:r>
        <w:rPr>
          <w:rFonts w:hint="eastAsia"/>
          <w:sz w:val="24"/>
        </w:rPr>
        <w:t>能熟练操作火灾自动报警系统，熟悉使用消防器材，持消控证上岗。</w:t>
      </w:r>
    </w:p>
    <w:p>
      <w:pPr>
        <w:spacing w:before="100" w:beforeAutospacing="1" w:line="360" w:lineRule="auto"/>
        <w:rPr>
          <w:b/>
          <w:sz w:val="24"/>
        </w:rPr>
      </w:pPr>
      <w:r>
        <w:rPr>
          <w:b/>
          <w:sz w:val="24"/>
        </w:rPr>
        <w:t>2.3</w:t>
      </w:r>
      <w:r>
        <w:rPr>
          <w:rFonts w:hint="eastAsia"/>
          <w:b/>
          <w:sz w:val="24"/>
        </w:rPr>
        <w:t>普通保安：</w:t>
      </w:r>
    </w:p>
    <w:p>
      <w:pPr>
        <w:spacing w:line="360" w:lineRule="auto"/>
        <w:rPr>
          <w:kern w:val="0"/>
          <w:sz w:val="24"/>
        </w:rPr>
      </w:pPr>
      <w:r>
        <w:rPr>
          <w:kern w:val="0"/>
          <w:sz w:val="24"/>
        </w:rPr>
        <w:t>2.3.1</w:t>
      </w:r>
      <w:r>
        <w:rPr>
          <w:rFonts w:hint="eastAsia"/>
          <w:kern w:val="0"/>
          <w:sz w:val="24"/>
        </w:rPr>
        <w:t>治安：</w:t>
      </w:r>
    </w:p>
    <w:p>
      <w:pPr>
        <w:numPr>
          <w:ilvl w:val="0"/>
          <w:numId w:val="205"/>
        </w:numPr>
        <w:tabs>
          <w:tab w:val="left" w:pos="709"/>
        </w:tabs>
        <w:spacing w:line="360" w:lineRule="auto"/>
        <w:ind w:left="567" w:hanging="283"/>
        <w:rPr>
          <w:sz w:val="24"/>
        </w:rPr>
      </w:pPr>
      <w:r>
        <w:rPr>
          <w:rFonts w:hint="eastAsia"/>
          <w:sz w:val="24"/>
        </w:rPr>
        <w:t>维护窗口秩序，窗口</w:t>
      </w:r>
      <w:r>
        <w:rPr>
          <w:sz w:val="24"/>
        </w:rPr>
        <w:t>5</w:t>
      </w:r>
      <w:r>
        <w:rPr>
          <w:rFonts w:hint="eastAsia"/>
          <w:sz w:val="24"/>
        </w:rPr>
        <w:t>人以上就应该排队。</w:t>
      </w:r>
    </w:p>
    <w:p>
      <w:pPr>
        <w:numPr>
          <w:ilvl w:val="0"/>
          <w:numId w:val="205"/>
        </w:numPr>
        <w:tabs>
          <w:tab w:val="left" w:pos="709"/>
        </w:tabs>
        <w:spacing w:line="360" w:lineRule="auto"/>
        <w:ind w:left="567" w:hanging="283"/>
        <w:rPr>
          <w:sz w:val="24"/>
        </w:rPr>
      </w:pPr>
      <w:r>
        <w:rPr>
          <w:rFonts w:hint="eastAsia"/>
          <w:sz w:val="24"/>
        </w:rPr>
        <w:t>维护诊室的秩序，杜绝围观现象，保持良好的医疗秩序。</w:t>
      </w:r>
    </w:p>
    <w:p>
      <w:pPr>
        <w:numPr>
          <w:ilvl w:val="0"/>
          <w:numId w:val="205"/>
        </w:numPr>
        <w:tabs>
          <w:tab w:val="left" w:pos="709"/>
        </w:tabs>
        <w:spacing w:line="360" w:lineRule="auto"/>
        <w:ind w:left="567" w:hanging="283"/>
        <w:rPr>
          <w:sz w:val="24"/>
        </w:rPr>
      </w:pPr>
      <w:r>
        <w:rPr>
          <w:rFonts w:hint="eastAsia"/>
          <w:sz w:val="24"/>
        </w:rPr>
        <w:t>守卫各主要出入口及院内重点部门。</w:t>
      </w:r>
    </w:p>
    <w:p>
      <w:pPr>
        <w:numPr>
          <w:ilvl w:val="0"/>
          <w:numId w:val="205"/>
        </w:numPr>
        <w:tabs>
          <w:tab w:val="left" w:pos="709"/>
        </w:tabs>
        <w:spacing w:line="360" w:lineRule="auto"/>
        <w:ind w:left="567" w:hanging="283"/>
        <w:rPr>
          <w:sz w:val="24"/>
        </w:rPr>
      </w:pPr>
      <w:r>
        <w:rPr>
          <w:rFonts w:hint="eastAsia"/>
          <w:sz w:val="24"/>
        </w:rPr>
        <w:t>打击院内各类违法犯罪行为，熟悉各类突发事件（如火警、爆炸、投毒、</w:t>
      </w:r>
    </w:p>
    <w:p>
      <w:pPr>
        <w:tabs>
          <w:tab w:val="left" w:pos="709"/>
        </w:tabs>
        <w:spacing w:line="360" w:lineRule="auto"/>
        <w:ind w:left="567" w:firstLine="120" w:firstLineChars="50"/>
        <w:rPr>
          <w:sz w:val="24"/>
        </w:rPr>
      </w:pPr>
      <w:r>
        <w:rPr>
          <w:rFonts w:hint="eastAsia"/>
          <w:sz w:val="24"/>
        </w:rPr>
        <w:t>非法集会、盗窃、自然灾害等）的应急预案，能进行应急救援。</w:t>
      </w:r>
    </w:p>
    <w:p>
      <w:pPr>
        <w:numPr>
          <w:ilvl w:val="0"/>
          <w:numId w:val="205"/>
        </w:numPr>
        <w:tabs>
          <w:tab w:val="left" w:pos="709"/>
        </w:tabs>
        <w:spacing w:line="360" w:lineRule="auto"/>
        <w:ind w:left="567" w:hanging="283"/>
        <w:rPr>
          <w:sz w:val="24"/>
        </w:rPr>
      </w:pPr>
      <w:r>
        <w:rPr>
          <w:rFonts w:hint="eastAsia"/>
          <w:sz w:val="24"/>
        </w:rPr>
        <w:t>认真做好防盗防抢安全宣传工作，提醒病人及家属保管好自己的物品。</w:t>
      </w:r>
    </w:p>
    <w:p>
      <w:pPr>
        <w:numPr>
          <w:ilvl w:val="0"/>
          <w:numId w:val="205"/>
        </w:numPr>
        <w:tabs>
          <w:tab w:val="left" w:pos="709"/>
        </w:tabs>
        <w:spacing w:line="360" w:lineRule="auto"/>
        <w:ind w:left="567" w:hanging="283"/>
        <w:rPr>
          <w:sz w:val="24"/>
        </w:rPr>
      </w:pPr>
      <w:r>
        <w:rPr>
          <w:rFonts w:hint="eastAsia"/>
          <w:sz w:val="24"/>
        </w:rPr>
        <w:t>参加院内各类灾害的抢险救灾。</w:t>
      </w:r>
    </w:p>
    <w:p>
      <w:pPr>
        <w:numPr>
          <w:ilvl w:val="0"/>
          <w:numId w:val="205"/>
        </w:numPr>
        <w:tabs>
          <w:tab w:val="left" w:pos="709"/>
        </w:tabs>
        <w:spacing w:line="360" w:lineRule="auto"/>
        <w:ind w:left="567" w:hanging="283"/>
        <w:rPr>
          <w:sz w:val="24"/>
        </w:rPr>
      </w:pPr>
      <w:r>
        <w:rPr>
          <w:rFonts w:hint="eastAsia"/>
          <w:sz w:val="24"/>
        </w:rPr>
        <w:t>能熟练指导患者操作自助机。</w:t>
      </w:r>
    </w:p>
    <w:p>
      <w:pPr>
        <w:numPr>
          <w:ilvl w:val="0"/>
          <w:numId w:val="205"/>
        </w:numPr>
        <w:tabs>
          <w:tab w:val="left" w:pos="709"/>
        </w:tabs>
        <w:spacing w:line="360" w:lineRule="auto"/>
        <w:ind w:left="567" w:hanging="283"/>
        <w:rPr>
          <w:sz w:val="24"/>
        </w:rPr>
      </w:pPr>
      <w:r>
        <w:rPr>
          <w:rFonts w:hint="eastAsia"/>
          <w:sz w:val="24"/>
        </w:rPr>
        <w:t>做好控烟工作。</w:t>
      </w:r>
    </w:p>
    <w:p>
      <w:pPr>
        <w:tabs>
          <w:tab w:val="left" w:pos="709"/>
        </w:tabs>
        <w:spacing w:line="360" w:lineRule="auto"/>
        <w:rPr>
          <w:kern w:val="0"/>
          <w:sz w:val="24"/>
        </w:rPr>
      </w:pPr>
      <w:r>
        <w:rPr>
          <w:kern w:val="0"/>
          <w:sz w:val="24"/>
        </w:rPr>
        <w:t>2.3.2</w:t>
      </w:r>
      <w:r>
        <w:rPr>
          <w:rFonts w:hint="eastAsia"/>
          <w:kern w:val="0"/>
          <w:sz w:val="24"/>
        </w:rPr>
        <w:t>消防：</w:t>
      </w:r>
    </w:p>
    <w:p>
      <w:pPr>
        <w:numPr>
          <w:ilvl w:val="0"/>
          <w:numId w:val="206"/>
        </w:numPr>
        <w:spacing w:line="360" w:lineRule="auto"/>
        <w:ind w:left="709"/>
        <w:rPr>
          <w:sz w:val="24"/>
        </w:rPr>
      </w:pPr>
      <w:r>
        <w:rPr>
          <w:rFonts w:hint="eastAsia"/>
          <w:sz w:val="24"/>
        </w:rPr>
        <w:t>能排查并消除安全隐患。</w:t>
      </w:r>
    </w:p>
    <w:p>
      <w:pPr>
        <w:numPr>
          <w:ilvl w:val="0"/>
          <w:numId w:val="206"/>
        </w:numPr>
        <w:spacing w:line="360" w:lineRule="auto"/>
        <w:ind w:left="709"/>
        <w:rPr>
          <w:sz w:val="24"/>
        </w:rPr>
      </w:pPr>
      <w:r>
        <w:rPr>
          <w:rFonts w:hint="eastAsia"/>
          <w:sz w:val="24"/>
        </w:rPr>
        <w:t>能及时扑救院内各类火灾事故，尤其是初始火灾。</w:t>
      </w:r>
    </w:p>
    <w:p>
      <w:pPr>
        <w:numPr>
          <w:ilvl w:val="0"/>
          <w:numId w:val="206"/>
        </w:numPr>
        <w:spacing w:line="360" w:lineRule="auto"/>
        <w:ind w:left="709"/>
        <w:rPr>
          <w:sz w:val="24"/>
        </w:rPr>
      </w:pPr>
      <w:r>
        <w:rPr>
          <w:rFonts w:hint="eastAsia"/>
          <w:sz w:val="24"/>
        </w:rPr>
        <w:t>遇突发事件能及时有效的组织人员疏散逃生。</w:t>
      </w:r>
    </w:p>
    <w:p>
      <w:pPr>
        <w:tabs>
          <w:tab w:val="left" w:pos="709"/>
        </w:tabs>
        <w:spacing w:line="360" w:lineRule="auto"/>
        <w:rPr>
          <w:kern w:val="0"/>
          <w:sz w:val="24"/>
        </w:rPr>
      </w:pPr>
      <w:r>
        <w:rPr>
          <w:kern w:val="0"/>
          <w:sz w:val="24"/>
        </w:rPr>
        <w:t>2.3.3</w:t>
      </w:r>
      <w:r>
        <w:rPr>
          <w:rFonts w:hint="eastAsia"/>
          <w:kern w:val="0"/>
          <w:sz w:val="24"/>
        </w:rPr>
        <w:t>维护医疗秩序（下述情况出现第一时间制止，并确保医护人员不受到人身</w:t>
      </w:r>
    </w:p>
    <w:p>
      <w:pPr>
        <w:tabs>
          <w:tab w:val="left" w:pos="709"/>
        </w:tabs>
        <w:spacing w:line="360" w:lineRule="auto"/>
        <w:ind w:firstLine="720" w:firstLineChars="300"/>
        <w:rPr>
          <w:kern w:val="0"/>
          <w:sz w:val="24"/>
        </w:rPr>
      </w:pPr>
      <w:r>
        <w:rPr>
          <w:rFonts w:hint="eastAsia"/>
          <w:kern w:val="0"/>
          <w:sz w:val="24"/>
        </w:rPr>
        <w:t>攻击和伤害）：</w:t>
      </w:r>
    </w:p>
    <w:p>
      <w:pPr>
        <w:numPr>
          <w:ilvl w:val="1"/>
          <w:numId w:val="207"/>
        </w:numPr>
        <w:tabs>
          <w:tab w:val="left" w:pos="709"/>
        </w:tabs>
        <w:spacing w:line="360" w:lineRule="auto"/>
        <w:ind w:left="284" w:firstLine="39"/>
        <w:rPr>
          <w:sz w:val="24"/>
        </w:rPr>
      </w:pPr>
      <w:r>
        <w:rPr>
          <w:rFonts w:hint="eastAsia"/>
          <w:sz w:val="24"/>
        </w:rPr>
        <w:t>阻止焚烧纸钱、摆设灵堂、摆放花圈、违规停尸、聚众滋事的发生。</w:t>
      </w:r>
    </w:p>
    <w:p>
      <w:pPr>
        <w:numPr>
          <w:ilvl w:val="1"/>
          <w:numId w:val="207"/>
        </w:numPr>
        <w:tabs>
          <w:tab w:val="left" w:pos="709"/>
        </w:tabs>
        <w:spacing w:line="360" w:lineRule="auto"/>
        <w:ind w:left="284" w:firstLine="39"/>
        <w:rPr>
          <w:sz w:val="24"/>
        </w:rPr>
      </w:pPr>
      <w:r>
        <w:rPr>
          <w:rFonts w:hint="eastAsia"/>
          <w:sz w:val="24"/>
        </w:rPr>
        <w:t>阻止院内寻衅滋事的发生。</w:t>
      </w:r>
    </w:p>
    <w:p>
      <w:pPr>
        <w:numPr>
          <w:ilvl w:val="1"/>
          <w:numId w:val="207"/>
        </w:numPr>
        <w:tabs>
          <w:tab w:val="left" w:pos="709"/>
        </w:tabs>
        <w:spacing w:line="360" w:lineRule="auto"/>
        <w:ind w:left="284" w:firstLine="39"/>
        <w:rPr>
          <w:sz w:val="24"/>
        </w:rPr>
      </w:pPr>
      <w:r>
        <w:rPr>
          <w:rFonts w:hint="eastAsia"/>
          <w:sz w:val="24"/>
        </w:rPr>
        <w:t>阻止非法携带易燃、易爆危险物品和管制器具进入。</w:t>
      </w:r>
    </w:p>
    <w:p>
      <w:pPr>
        <w:numPr>
          <w:ilvl w:val="1"/>
          <w:numId w:val="207"/>
        </w:numPr>
        <w:tabs>
          <w:tab w:val="left" w:pos="709"/>
        </w:tabs>
        <w:spacing w:line="360" w:lineRule="auto"/>
        <w:ind w:left="284" w:firstLine="39"/>
        <w:rPr>
          <w:sz w:val="24"/>
        </w:rPr>
      </w:pPr>
      <w:r>
        <w:rPr>
          <w:rFonts w:hint="eastAsia"/>
          <w:sz w:val="24"/>
        </w:rPr>
        <w:t>阻止侮辱、威胁、恐吓、故意伤害医务人员或者非法限制医务人员人身自</w:t>
      </w:r>
    </w:p>
    <w:p>
      <w:pPr>
        <w:tabs>
          <w:tab w:val="left" w:pos="709"/>
        </w:tabs>
        <w:spacing w:line="360" w:lineRule="auto"/>
        <w:ind w:left="323" w:firstLine="360" w:firstLineChars="150"/>
        <w:rPr>
          <w:sz w:val="24"/>
        </w:rPr>
      </w:pPr>
      <w:r>
        <w:rPr>
          <w:rFonts w:hint="eastAsia"/>
          <w:sz w:val="24"/>
        </w:rPr>
        <w:t>由。</w:t>
      </w:r>
    </w:p>
    <w:p>
      <w:pPr>
        <w:numPr>
          <w:ilvl w:val="1"/>
          <w:numId w:val="207"/>
        </w:numPr>
        <w:tabs>
          <w:tab w:val="left" w:pos="709"/>
        </w:tabs>
        <w:spacing w:line="360" w:lineRule="auto"/>
        <w:ind w:left="284" w:firstLine="39"/>
        <w:rPr>
          <w:sz w:val="24"/>
        </w:rPr>
      </w:pPr>
      <w:r>
        <w:rPr>
          <w:rFonts w:hint="eastAsia"/>
          <w:sz w:val="24"/>
        </w:rPr>
        <w:t>阻止院内故意损毁或盗窃、抢夺公私财物。</w:t>
      </w:r>
    </w:p>
    <w:p>
      <w:pPr>
        <w:numPr>
          <w:ilvl w:val="1"/>
          <w:numId w:val="207"/>
        </w:numPr>
        <w:tabs>
          <w:tab w:val="left" w:pos="709"/>
        </w:tabs>
        <w:spacing w:line="360" w:lineRule="auto"/>
        <w:ind w:left="284" w:firstLine="39"/>
        <w:rPr>
          <w:sz w:val="24"/>
        </w:rPr>
      </w:pPr>
      <w:r>
        <w:rPr>
          <w:rFonts w:hint="eastAsia"/>
          <w:sz w:val="24"/>
        </w:rPr>
        <w:t>阻止倒卖医疗机构挂号凭证。</w:t>
      </w:r>
    </w:p>
    <w:p>
      <w:pPr>
        <w:tabs>
          <w:tab w:val="left" w:pos="851"/>
        </w:tabs>
        <w:spacing w:line="360" w:lineRule="auto"/>
        <w:rPr>
          <w:kern w:val="0"/>
          <w:sz w:val="24"/>
        </w:rPr>
      </w:pPr>
      <w:r>
        <w:rPr>
          <w:kern w:val="0"/>
          <w:sz w:val="24"/>
        </w:rPr>
        <w:t>2.3.4</w:t>
      </w:r>
      <w:r>
        <w:rPr>
          <w:rFonts w:hint="eastAsia"/>
          <w:kern w:val="0"/>
          <w:sz w:val="24"/>
        </w:rPr>
        <w:t>完成医院下达的各项临时性工作任务：</w:t>
      </w:r>
    </w:p>
    <w:p>
      <w:pPr>
        <w:numPr>
          <w:ilvl w:val="1"/>
          <w:numId w:val="208"/>
        </w:numPr>
        <w:tabs>
          <w:tab w:val="left" w:pos="567"/>
          <w:tab w:val="left" w:pos="709"/>
        </w:tabs>
        <w:spacing w:line="360" w:lineRule="auto"/>
        <w:ind w:left="142" w:firstLine="181"/>
        <w:rPr>
          <w:sz w:val="24"/>
        </w:rPr>
      </w:pPr>
      <w:r>
        <w:rPr>
          <w:rFonts w:hint="eastAsia"/>
          <w:sz w:val="24"/>
        </w:rPr>
        <w:t>上级检查、活动集会。</w:t>
      </w:r>
    </w:p>
    <w:p>
      <w:pPr>
        <w:numPr>
          <w:ilvl w:val="1"/>
          <w:numId w:val="208"/>
        </w:numPr>
        <w:tabs>
          <w:tab w:val="left" w:pos="567"/>
          <w:tab w:val="left" w:pos="709"/>
        </w:tabs>
        <w:spacing w:line="360" w:lineRule="auto"/>
        <w:ind w:left="142" w:firstLine="181"/>
        <w:rPr>
          <w:sz w:val="24"/>
        </w:rPr>
      </w:pPr>
      <w:r>
        <w:rPr>
          <w:rFonts w:hint="eastAsia"/>
          <w:sz w:val="24"/>
        </w:rPr>
        <w:t>现金押送、物品押运。</w:t>
      </w:r>
    </w:p>
    <w:p>
      <w:pPr>
        <w:numPr>
          <w:ilvl w:val="1"/>
          <w:numId w:val="208"/>
        </w:numPr>
        <w:tabs>
          <w:tab w:val="left" w:pos="567"/>
          <w:tab w:val="left" w:pos="709"/>
        </w:tabs>
        <w:spacing w:line="360" w:lineRule="auto"/>
        <w:ind w:left="142" w:firstLine="181"/>
        <w:rPr>
          <w:sz w:val="24"/>
        </w:rPr>
      </w:pPr>
      <w:r>
        <w:rPr>
          <w:rFonts w:hint="eastAsia"/>
          <w:sz w:val="24"/>
        </w:rPr>
        <w:t>其他临时性的工作任务。</w:t>
      </w:r>
    </w:p>
    <w:p>
      <w:pPr>
        <w:tabs>
          <w:tab w:val="left" w:pos="567"/>
          <w:tab w:val="left" w:pos="709"/>
        </w:tabs>
        <w:spacing w:before="100" w:beforeAutospacing="1" w:line="360" w:lineRule="auto"/>
        <w:rPr>
          <w:kern w:val="0"/>
          <w:sz w:val="24"/>
        </w:rPr>
      </w:pPr>
      <w:r>
        <w:rPr>
          <w:b/>
          <w:sz w:val="24"/>
        </w:rPr>
        <w:t>2.4</w:t>
      </w:r>
      <w:r>
        <w:rPr>
          <w:rFonts w:hint="eastAsia"/>
          <w:b/>
          <w:sz w:val="24"/>
        </w:rPr>
        <w:t>巡逻岗保安：</w:t>
      </w:r>
    </w:p>
    <w:p>
      <w:pPr>
        <w:numPr>
          <w:ilvl w:val="0"/>
          <w:numId w:val="209"/>
        </w:numPr>
        <w:spacing w:line="360" w:lineRule="auto"/>
        <w:ind w:left="709" w:hanging="425"/>
        <w:rPr>
          <w:sz w:val="24"/>
        </w:rPr>
      </w:pPr>
      <w:r>
        <w:rPr>
          <w:rFonts w:hint="eastAsia"/>
          <w:sz w:val="24"/>
        </w:rPr>
        <w:t>每天上午</w:t>
      </w:r>
      <w:r>
        <w:rPr>
          <w:sz w:val="24"/>
        </w:rPr>
        <w:t>8:30</w:t>
      </w:r>
      <w:r>
        <w:rPr>
          <w:rFonts w:hint="eastAsia"/>
          <w:sz w:val="24"/>
        </w:rPr>
        <w:t>至下午</w:t>
      </w:r>
      <w:r>
        <w:rPr>
          <w:sz w:val="24"/>
        </w:rPr>
        <w:t>4:30</w:t>
      </w:r>
      <w:r>
        <w:rPr>
          <w:rFonts w:hint="eastAsia"/>
          <w:sz w:val="24"/>
        </w:rPr>
        <w:t>不间断对全院武装巡逻（包括消防日巡查一次，有情况及时报告消控），遇纠纷、灾害事故等突发事件时另行安排，确保医院、病人及家属的财产不受损失。</w:t>
      </w:r>
    </w:p>
    <w:p>
      <w:pPr>
        <w:numPr>
          <w:ilvl w:val="0"/>
          <w:numId w:val="209"/>
        </w:numPr>
        <w:spacing w:line="360" w:lineRule="auto"/>
        <w:ind w:left="709" w:hanging="425"/>
        <w:rPr>
          <w:sz w:val="24"/>
        </w:rPr>
      </w:pPr>
      <w:r>
        <w:rPr>
          <w:rFonts w:hint="eastAsia"/>
          <w:sz w:val="24"/>
        </w:rPr>
        <w:t>全天在各重点部门机动巡回，制定《重点部门报警处置预案》，落实重点部门的防范措施（三防），每月对红外线报警系统进行检查，有院内报警第一时间到场，带头解决各类治安的突发案件。</w:t>
      </w:r>
    </w:p>
    <w:p>
      <w:pPr>
        <w:numPr>
          <w:ilvl w:val="0"/>
          <w:numId w:val="209"/>
        </w:numPr>
        <w:spacing w:line="360" w:lineRule="auto"/>
        <w:ind w:left="709" w:hanging="425"/>
        <w:rPr>
          <w:sz w:val="24"/>
        </w:rPr>
      </w:pPr>
      <w:r>
        <w:rPr>
          <w:rFonts w:hint="eastAsia"/>
          <w:sz w:val="24"/>
        </w:rPr>
        <w:t>乙方要成立处突应急小分队（特保力量），定期开展各种技能的培训，处置各种治安、消防突发事件的。</w:t>
      </w:r>
    </w:p>
    <w:p>
      <w:pPr>
        <w:spacing w:before="100" w:beforeAutospacing="1" w:line="360" w:lineRule="auto"/>
        <w:rPr>
          <w:b/>
          <w:sz w:val="24"/>
        </w:rPr>
      </w:pPr>
      <w:r>
        <w:rPr>
          <w:b/>
          <w:sz w:val="24"/>
        </w:rPr>
        <w:t>2.5</w:t>
      </w:r>
      <w:r>
        <w:rPr>
          <w:rFonts w:hint="eastAsia"/>
          <w:b/>
          <w:sz w:val="24"/>
        </w:rPr>
        <w:t>外围岗保安：</w:t>
      </w:r>
    </w:p>
    <w:p>
      <w:pPr>
        <w:numPr>
          <w:ilvl w:val="0"/>
          <w:numId w:val="210"/>
        </w:numPr>
        <w:tabs>
          <w:tab w:val="left" w:pos="426"/>
        </w:tabs>
        <w:spacing w:line="360" w:lineRule="auto"/>
        <w:ind w:left="709" w:hanging="425"/>
        <w:rPr>
          <w:sz w:val="24"/>
        </w:rPr>
      </w:pPr>
      <w:r>
        <w:rPr>
          <w:rFonts w:hint="eastAsia"/>
          <w:sz w:val="24"/>
        </w:rPr>
        <w:t>保障医院各通道（尤其是消防通道和急救通道）的畅通，严禁单位三包区域内的车辆乱停、乱靠等现象发生，维护进出口以及院内的正常交通秩序，对整个院区交通和车辆的管理（</w:t>
      </w:r>
      <w:r>
        <w:rPr>
          <w:rFonts w:hint="eastAsia"/>
          <w:color w:val="000000"/>
          <w:sz w:val="24"/>
        </w:rPr>
        <w:t>摩托车、</w:t>
      </w:r>
      <w:r>
        <w:rPr>
          <w:rFonts w:hint="eastAsia"/>
          <w:sz w:val="24"/>
        </w:rPr>
        <w:t>电瓶车、自行车）。</w:t>
      </w:r>
    </w:p>
    <w:p>
      <w:pPr>
        <w:numPr>
          <w:ilvl w:val="0"/>
          <w:numId w:val="210"/>
        </w:numPr>
        <w:tabs>
          <w:tab w:val="left" w:pos="426"/>
        </w:tabs>
        <w:spacing w:line="360" w:lineRule="auto"/>
        <w:ind w:left="709" w:hanging="425"/>
        <w:rPr>
          <w:sz w:val="24"/>
        </w:rPr>
      </w:pPr>
      <w:r>
        <w:rPr>
          <w:rFonts w:hint="eastAsia"/>
          <w:sz w:val="24"/>
        </w:rPr>
        <w:t>严厉打击出现在医院周边的医托、黄牛等。</w:t>
      </w:r>
    </w:p>
    <w:p>
      <w:pPr>
        <w:numPr>
          <w:ilvl w:val="0"/>
          <w:numId w:val="210"/>
        </w:numPr>
        <w:tabs>
          <w:tab w:val="left" w:pos="426"/>
        </w:tabs>
        <w:spacing w:line="360" w:lineRule="auto"/>
        <w:ind w:left="709" w:hanging="425"/>
        <w:rPr>
          <w:sz w:val="24"/>
        </w:rPr>
      </w:pPr>
      <w:r>
        <w:rPr>
          <w:rFonts w:hint="eastAsia"/>
          <w:sz w:val="24"/>
        </w:rPr>
        <w:t>认真管理好单位三包区域内秩序，清理大门外无证摊贩占道经营、制止乱贴广告等行为。</w:t>
      </w:r>
    </w:p>
    <w:p>
      <w:pPr>
        <w:numPr>
          <w:ilvl w:val="0"/>
          <w:numId w:val="210"/>
        </w:numPr>
        <w:tabs>
          <w:tab w:val="left" w:pos="426"/>
        </w:tabs>
        <w:spacing w:line="360" w:lineRule="auto"/>
        <w:ind w:left="709" w:hanging="425"/>
        <w:rPr>
          <w:sz w:val="24"/>
        </w:rPr>
      </w:pPr>
      <w:r>
        <w:rPr>
          <w:rFonts w:hint="eastAsia"/>
          <w:sz w:val="24"/>
        </w:rPr>
        <w:t>检查带出单位的相关物资，确保医院的物品不流失。</w:t>
      </w:r>
    </w:p>
    <w:p>
      <w:pPr>
        <w:spacing w:before="100" w:beforeAutospacing="1" w:line="360" w:lineRule="auto"/>
        <w:jc w:val="left"/>
        <w:rPr>
          <w:b/>
          <w:sz w:val="24"/>
        </w:rPr>
      </w:pPr>
      <w:r>
        <w:rPr>
          <w:b/>
          <w:sz w:val="24"/>
        </w:rPr>
        <w:t>3</w:t>
      </w:r>
      <w:r>
        <w:rPr>
          <w:rFonts w:hint="eastAsia"/>
          <w:b/>
          <w:sz w:val="24"/>
        </w:rPr>
        <w:t>、</w:t>
      </w:r>
      <w:r>
        <w:rPr>
          <w:rFonts w:hint="eastAsia"/>
          <w:kern w:val="0"/>
          <w:sz w:val="24"/>
        </w:rPr>
        <w:t>安防器械设施配备最低要求</w:t>
      </w:r>
    </w:p>
    <w:tbl>
      <w:tblPr>
        <w:tblStyle w:val="70"/>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3781"/>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518" w:type="dxa"/>
            <w:noWrap w:val="0"/>
            <w:vAlign w:val="center"/>
          </w:tcPr>
          <w:p>
            <w:pPr>
              <w:spacing w:before="100" w:beforeAutospacing="1" w:line="360" w:lineRule="auto"/>
              <w:rPr>
                <w:b/>
                <w:sz w:val="24"/>
              </w:rPr>
            </w:pPr>
            <w:r>
              <w:rPr>
                <w:rFonts w:hint="eastAsia"/>
                <w:b/>
                <w:sz w:val="24"/>
              </w:rPr>
              <w:t>中标人最低配备要求</w:t>
            </w:r>
          </w:p>
        </w:tc>
        <w:tc>
          <w:tcPr>
            <w:tcW w:w="3781" w:type="dxa"/>
            <w:noWrap w:val="0"/>
            <w:vAlign w:val="center"/>
          </w:tcPr>
          <w:p>
            <w:pPr>
              <w:spacing w:before="100" w:beforeAutospacing="1" w:line="360" w:lineRule="auto"/>
              <w:rPr>
                <w:sz w:val="24"/>
              </w:rPr>
            </w:pPr>
            <w:r>
              <w:rPr>
                <w:sz w:val="24"/>
              </w:rPr>
              <w:t>1</w:t>
            </w:r>
            <w:r>
              <w:rPr>
                <w:rFonts w:hint="eastAsia"/>
                <w:sz w:val="24"/>
              </w:rPr>
              <w:t>、各季统一的保安服装、领带、武装带、肩章、帽子、帽徽。</w:t>
            </w:r>
          </w:p>
          <w:p>
            <w:pPr>
              <w:spacing w:before="100" w:beforeAutospacing="1" w:line="360" w:lineRule="auto"/>
              <w:rPr>
                <w:sz w:val="24"/>
              </w:rPr>
            </w:pPr>
            <w:r>
              <w:rPr>
                <w:sz w:val="24"/>
              </w:rPr>
              <w:t>2</w:t>
            </w:r>
            <w:r>
              <w:rPr>
                <w:rFonts w:hint="eastAsia"/>
                <w:sz w:val="24"/>
              </w:rPr>
              <w:t>、对讲机、执法记录仪、头盔、警棍、防刺服、防刺手套、盾牌、钢叉、警用喷射器等安防器材。</w:t>
            </w:r>
          </w:p>
        </w:tc>
        <w:tc>
          <w:tcPr>
            <w:tcW w:w="3078" w:type="dxa"/>
            <w:noWrap w:val="0"/>
            <w:vAlign w:val="center"/>
          </w:tcPr>
          <w:p>
            <w:pPr>
              <w:spacing w:before="100" w:beforeAutospacing="1" w:line="360" w:lineRule="auto"/>
              <w:rPr>
                <w:b/>
                <w:sz w:val="24"/>
              </w:rPr>
            </w:pPr>
            <w:r>
              <w:rPr>
                <w:rFonts w:hint="eastAsia"/>
                <w:b/>
                <w:sz w:val="24"/>
              </w:rPr>
              <w:t>每个保安都必须配备全套安防设备一套，由中标人提供。</w:t>
            </w:r>
          </w:p>
        </w:tc>
      </w:tr>
    </w:tbl>
    <w:p>
      <w:pPr>
        <w:spacing w:before="100" w:beforeAutospacing="1" w:line="360" w:lineRule="auto"/>
        <w:jc w:val="left"/>
        <w:rPr>
          <w:b/>
          <w:sz w:val="24"/>
        </w:rPr>
      </w:pPr>
      <w:r>
        <w:rPr>
          <w:b/>
          <w:sz w:val="24"/>
        </w:rPr>
        <w:t>4</w:t>
      </w:r>
      <w:r>
        <w:rPr>
          <w:rFonts w:hint="eastAsia"/>
          <w:b/>
          <w:sz w:val="24"/>
        </w:rPr>
        <w:t>、保安管理要求</w:t>
      </w:r>
    </w:p>
    <w:p>
      <w:pPr>
        <w:numPr>
          <w:ilvl w:val="0"/>
          <w:numId w:val="211"/>
        </w:numPr>
        <w:tabs>
          <w:tab w:val="left" w:pos="426"/>
          <w:tab w:val="left" w:pos="709"/>
        </w:tabs>
        <w:spacing w:line="360" w:lineRule="auto"/>
        <w:ind w:left="-2" w:leftChars="-1" w:firstLine="283" w:firstLineChars="118"/>
        <w:rPr>
          <w:sz w:val="24"/>
        </w:rPr>
      </w:pPr>
      <w:r>
        <w:rPr>
          <w:rFonts w:hint="eastAsia"/>
          <w:sz w:val="24"/>
        </w:rPr>
        <w:t>中标人必须服从后勤</w:t>
      </w:r>
      <w:r>
        <w:rPr>
          <w:sz w:val="24"/>
        </w:rPr>
        <w:t>保障处</w:t>
      </w:r>
      <w:r>
        <w:rPr>
          <w:rFonts w:hint="eastAsia"/>
          <w:sz w:val="24"/>
        </w:rPr>
        <w:t>的调动和指挥，并根据要求的排班落实人员</w:t>
      </w:r>
    </w:p>
    <w:p>
      <w:pPr>
        <w:tabs>
          <w:tab w:val="left" w:pos="426"/>
          <w:tab w:val="left" w:pos="709"/>
        </w:tabs>
        <w:spacing w:line="360" w:lineRule="auto"/>
        <w:rPr>
          <w:sz w:val="24"/>
        </w:rPr>
      </w:pPr>
      <w:r>
        <w:rPr>
          <w:rFonts w:hint="eastAsia"/>
          <w:sz w:val="24"/>
        </w:rPr>
        <w:t>安排。</w:t>
      </w:r>
    </w:p>
    <w:p>
      <w:pPr>
        <w:numPr>
          <w:ilvl w:val="0"/>
          <w:numId w:val="211"/>
        </w:numPr>
        <w:tabs>
          <w:tab w:val="left" w:pos="426"/>
          <w:tab w:val="left" w:pos="709"/>
        </w:tabs>
        <w:spacing w:line="360" w:lineRule="auto"/>
        <w:ind w:left="-2" w:leftChars="-1" w:firstLine="283" w:firstLineChars="118"/>
        <w:rPr>
          <w:sz w:val="24"/>
        </w:rPr>
      </w:pPr>
      <w:r>
        <w:rPr>
          <w:rFonts w:hint="eastAsia"/>
          <w:sz w:val="24"/>
        </w:rPr>
        <w:t>中标人按《消防户籍化管理》落实消防管理措施，并承担发生火灾造成的</w:t>
      </w:r>
    </w:p>
    <w:p>
      <w:pPr>
        <w:tabs>
          <w:tab w:val="left" w:pos="426"/>
          <w:tab w:val="left" w:pos="709"/>
        </w:tabs>
        <w:spacing w:line="360" w:lineRule="auto"/>
        <w:rPr>
          <w:sz w:val="24"/>
        </w:rPr>
      </w:pPr>
      <w:r>
        <w:rPr>
          <w:rFonts w:hint="eastAsia"/>
          <w:sz w:val="24"/>
        </w:rPr>
        <w:t>一切后果。</w:t>
      </w:r>
    </w:p>
    <w:p>
      <w:pPr>
        <w:numPr>
          <w:ilvl w:val="0"/>
          <w:numId w:val="211"/>
        </w:numPr>
        <w:tabs>
          <w:tab w:val="left" w:pos="426"/>
          <w:tab w:val="left" w:pos="709"/>
        </w:tabs>
        <w:spacing w:line="360" w:lineRule="auto"/>
        <w:ind w:left="-2" w:leftChars="-1" w:firstLine="283" w:firstLineChars="118"/>
        <w:rPr>
          <w:sz w:val="24"/>
        </w:rPr>
      </w:pPr>
      <w:r>
        <w:rPr>
          <w:rFonts w:hint="eastAsia"/>
          <w:sz w:val="24"/>
        </w:rPr>
        <w:t>中标人应按招标人要求建立完善的管理规定及执行各项制度，包括保安纪</w:t>
      </w:r>
    </w:p>
    <w:p>
      <w:pPr>
        <w:tabs>
          <w:tab w:val="left" w:pos="426"/>
          <w:tab w:val="left" w:pos="709"/>
        </w:tabs>
        <w:spacing w:line="360" w:lineRule="auto"/>
        <w:rPr>
          <w:sz w:val="24"/>
        </w:rPr>
      </w:pPr>
      <w:r>
        <w:rPr>
          <w:rFonts w:hint="eastAsia"/>
          <w:sz w:val="24"/>
        </w:rPr>
        <w:t>律规定、消控监控室管理规定、消控监控室值班员交接班管理规定、消控监控室操作管理规定、门禁管理规定、对讲机使用管理规定、部门例会制度、请销假制度、教育培训制度、交接班制度、奖惩制度及各岗位相应职责等。</w:t>
      </w:r>
    </w:p>
    <w:p>
      <w:pPr>
        <w:numPr>
          <w:ilvl w:val="0"/>
          <w:numId w:val="211"/>
        </w:numPr>
        <w:tabs>
          <w:tab w:val="left" w:pos="426"/>
          <w:tab w:val="left" w:pos="709"/>
        </w:tabs>
        <w:spacing w:line="360" w:lineRule="auto"/>
        <w:ind w:left="-2" w:leftChars="-1" w:firstLine="283" w:firstLineChars="118"/>
        <w:rPr>
          <w:sz w:val="24"/>
        </w:rPr>
      </w:pPr>
      <w:r>
        <w:rPr>
          <w:rFonts w:hint="eastAsia"/>
          <w:sz w:val="24"/>
        </w:rPr>
        <w:t>中标人应根据服务管理条例实施管理，自行解决工作时所需的服装、日常</w:t>
      </w:r>
    </w:p>
    <w:p>
      <w:pPr>
        <w:tabs>
          <w:tab w:val="left" w:pos="426"/>
          <w:tab w:val="left" w:pos="709"/>
        </w:tabs>
        <w:spacing w:line="360" w:lineRule="auto"/>
        <w:rPr>
          <w:sz w:val="24"/>
        </w:rPr>
      </w:pPr>
      <w:r>
        <w:rPr>
          <w:rFonts w:hint="eastAsia"/>
          <w:sz w:val="24"/>
        </w:rPr>
        <w:t>工具、劳保用品及员工住宿，并能根据招标人的行业形象要求及规范，实行优质服务，优质管理，挂牌上岗，服装统一、整洁，文明执勤，礼貌待人，主动周到。</w:t>
      </w:r>
    </w:p>
    <w:p>
      <w:pPr>
        <w:numPr>
          <w:ilvl w:val="0"/>
          <w:numId w:val="211"/>
        </w:numPr>
        <w:tabs>
          <w:tab w:val="left" w:pos="426"/>
          <w:tab w:val="left" w:pos="709"/>
        </w:tabs>
        <w:spacing w:line="360" w:lineRule="auto"/>
        <w:ind w:left="-2" w:leftChars="-1" w:firstLine="283" w:firstLineChars="118"/>
        <w:rPr>
          <w:sz w:val="24"/>
        </w:rPr>
      </w:pPr>
      <w:r>
        <w:rPr>
          <w:rFonts w:hint="eastAsia"/>
          <w:sz w:val="24"/>
        </w:rPr>
        <w:t>保安人员须取得中华人民共和国公安部监制颁发的《保安员资格证书》，</w:t>
      </w:r>
    </w:p>
    <w:p>
      <w:pPr>
        <w:tabs>
          <w:tab w:val="left" w:pos="426"/>
          <w:tab w:val="left" w:pos="709"/>
        </w:tabs>
        <w:spacing w:line="360" w:lineRule="auto"/>
        <w:rPr>
          <w:sz w:val="24"/>
        </w:rPr>
      </w:pPr>
      <w:r>
        <w:rPr>
          <w:rFonts w:hint="eastAsia"/>
          <w:sz w:val="24"/>
        </w:rPr>
        <w:t>从事消控监控岗位的须同时取得国家《建（构）筑物消防员国家职业资格证书》（初级及以上）。</w:t>
      </w:r>
    </w:p>
    <w:p>
      <w:pPr>
        <w:numPr>
          <w:ilvl w:val="0"/>
          <w:numId w:val="211"/>
        </w:numPr>
        <w:tabs>
          <w:tab w:val="left" w:pos="426"/>
          <w:tab w:val="left" w:pos="709"/>
        </w:tabs>
        <w:spacing w:line="360" w:lineRule="auto"/>
        <w:ind w:left="-2" w:leftChars="-1" w:firstLine="283" w:firstLineChars="118"/>
        <w:rPr>
          <w:color w:val="000000"/>
          <w:sz w:val="24"/>
        </w:rPr>
      </w:pPr>
      <w:r>
        <w:rPr>
          <w:rFonts w:hint="eastAsia"/>
          <w:color w:val="000000"/>
          <w:sz w:val="24"/>
        </w:rPr>
        <w:t>中标单位要建立考核机制，实施奖励制度，激励员工的工作热情，对在治</w:t>
      </w:r>
    </w:p>
    <w:p>
      <w:pPr>
        <w:tabs>
          <w:tab w:val="left" w:pos="426"/>
          <w:tab w:val="left" w:pos="709"/>
        </w:tabs>
        <w:spacing w:line="360" w:lineRule="auto"/>
        <w:rPr>
          <w:color w:val="000000"/>
          <w:sz w:val="24"/>
        </w:rPr>
      </w:pPr>
      <w:r>
        <w:rPr>
          <w:rFonts w:hint="eastAsia"/>
          <w:color w:val="000000"/>
          <w:sz w:val="24"/>
        </w:rPr>
        <w:t>安和消防工作中有突出表现的员工给予奖励，每月开展“安保之星”的评比，并给予相应的物资奖励，该笔费用已含在本次招标报价内。同时，要设立末尾淘汰制，给工作达不到规定和服务质量要求的员工建立惩罚机制。</w:t>
      </w:r>
    </w:p>
    <w:p>
      <w:pPr>
        <w:numPr>
          <w:ilvl w:val="0"/>
          <w:numId w:val="211"/>
        </w:numPr>
        <w:tabs>
          <w:tab w:val="left" w:pos="426"/>
          <w:tab w:val="left" w:pos="709"/>
        </w:tabs>
        <w:spacing w:line="360" w:lineRule="auto"/>
        <w:ind w:left="-2" w:leftChars="-1" w:firstLine="283" w:firstLineChars="118"/>
        <w:rPr>
          <w:color w:val="000000"/>
          <w:sz w:val="24"/>
        </w:rPr>
      </w:pPr>
      <w:r>
        <w:rPr>
          <w:rFonts w:hint="eastAsia"/>
          <w:color w:val="000000"/>
          <w:sz w:val="24"/>
        </w:rPr>
        <w:t>中标单位要开展对员工的规范培训，新员工要尽快融入工作状态，掌握医</w:t>
      </w:r>
    </w:p>
    <w:p>
      <w:pPr>
        <w:tabs>
          <w:tab w:val="left" w:pos="426"/>
          <w:tab w:val="left" w:pos="709"/>
        </w:tabs>
        <w:spacing w:line="360" w:lineRule="auto"/>
        <w:rPr>
          <w:color w:val="000000"/>
          <w:sz w:val="24"/>
        </w:rPr>
      </w:pPr>
      <w:r>
        <w:rPr>
          <w:rFonts w:hint="eastAsia"/>
          <w:color w:val="000000"/>
          <w:sz w:val="24"/>
        </w:rPr>
        <w:t>院保卫处制定的安保人员工作能力提升计划表的内容，以及中标公司制定的应知应会。</w:t>
      </w:r>
    </w:p>
    <w:p>
      <w:pPr>
        <w:numPr>
          <w:ilvl w:val="0"/>
          <w:numId w:val="211"/>
        </w:numPr>
        <w:tabs>
          <w:tab w:val="left" w:pos="426"/>
          <w:tab w:val="left" w:pos="709"/>
        </w:tabs>
        <w:spacing w:line="360" w:lineRule="auto"/>
        <w:ind w:left="-2" w:leftChars="-1" w:firstLine="283" w:firstLineChars="118"/>
        <w:rPr>
          <w:sz w:val="24"/>
        </w:rPr>
      </w:pPr>
      <w:r>
        <w:rPr>
          <w:rFonts w:hint="eastAsia"/>
          <w:sz w:val="24"/>
        </w:rPr>
        <w:t>中标单位要制定年度半军事化训练工作计划，每周操练一次，提高安保人</w:t>
      </w:r>
    </w:p>
    <w:p>
      <w:pPr>
        <w:tabs>
          <w:tab w:val="left" w:pos="426"/>
          <w:tab w:val="left" w:pos="709"/>
        </w:tabs>
        <w:spacing w:line="360" w:lineRule="auto"/>
        <w:rPr>
          <w:sz w:val="24"/>
        </w:rPr>
      </w:pPr>
      <w:r>
        <w:rPr>
          <w:rFonts w:hint="eastAsia"/>
          <w:sz w:val="24"/>
        </w:rPr>
        <w:t>员的体能素质和纪律性。</w:t>
      </w:r>
    </w:p>
    <w:p>
      <w:pPr>
        <w:numPr>
          <w:ilvl w:val="0"/>
          <w:numId w:val="211"/>
        </w:numPr>
        <w:tabs>
          <w:tab w:val="left" w:pos="426"/>
          <w:tab w:val="left" w:pos="709"/>
        </w:tabs>
        <w:spacing w:line="360" w:lineRule="auto"/>
        <w:ind w:left="-2" w:leftChars="-1" w:firstLine="283" w:firstLineChars="118"/>
        <w:rPr>
          <w:sz w:val="24"/>
        </w:rPr>
      </w:pPr>
      <w:r>
        <w:rPr>
          <w:rFonts w:hint="eastAsia"/>
          <w:sz w:val="24"/>
        </w:rPr>
        <w:t>中标单位每月、每年要制定年度目标工作计划，包括消防、治安、训练、</w:t>
      </w:r>
    </w:p>
    <w:p>
      <w:pPr>
        <w:tabs>
          <w:tab w:val="left" w:pos="426"/>
          <w:tab w:val="left" w:pos="709"/>
        </w:tabs>
        <w:spacing w:line="360" w:lineRule="auto"/>
        <w:rPr>
          <w:sz w:val="24"/>
        </w:rPr>
      </w:pPr>
      <w:r>
        <w:rPr>
          <w:rFonts w:hint="eastAsia"/>
          <w:sz w:val="24"/>
        </w:rPr>
        <w:t>培训、考核等，有计划性地开展工作；每月要制定月工作简报，及时总结上月工作情况，对工作数据进行量化。</w:t>
      </w:r>
    </w:p>
    <w:p>
      <w:pPr>
        <w:numPr>
          <w:ilvl w:val="0"/>
          <w:numId w:val="211"/>
        </w:numPr>
        <w:tabs>
          <w:tab w:val="left" w:pos="426"/>
          <w:tab w:val="left" w:pos="709"/>
        </w:tabs>
        <w:spacing w:line="360" w:lineRule="auto"/>
        <w:ind w:left="-2" w:leftChars="-1" w:firstLine="283" w:firstLineChars="118"/>
        <w:rPr>
          <w:bCs/>
          <w:sz w:val="24"/>
        </w:rPr>
      </w:pPr>
      <w:r>
        <w:rPr>
          <w:rFonts w:hint="eastAsia"/>
          <w:bCs/>
          <w:sz w:val="24"/>
        </w:rPr>
        <w:t>中标单位要根据医院保卫处的要求，做好员工的档案资料建设与管理，包</w:t>
      </w:r>
    </w:p>
    <w:p>
      <w:pPr>
        <w:tabs>
          <w:tab w:val="left" w:pos="426"/>
          <w:tab w:val="left" w:pos="709"/>
        </w:tabs>
        <w:spacing w:line="360" w:lineRule="auto"/>
        <w:rPr>
          <w:bCs/>
          <w:sz w:val="24"/>
        </w:rPr>
      </w:pPr>
      <w:r>
        <w:rPr>
          <w:rFonts w:hint="eastAsia"/>
          <w:bCs/>
          <w:sz w:val="24"/>
        </w:rPr>
        <w:t>括政审材料、年龄、文化程度、职业背景、异动情况的统计。在招聘新队员，要做好新队员的信息采集，包括身份证扫描、个人免冠半身照等，资料信息由中标方指定专人，每月</w:t>
      </w:r>
      <w:r>
        <w:rPr>
          <w:bCs/>
          <w:sz w:val="24"/>
        </w:rPr>
        <w:t>15</w:t>
      </w:r>
      <w:r>
        <w:rPr>
          <w:rFonts w:hint="eastAsia"/>
          <w:bCs/>
          <w:sz w:val="24"/>
        </w:rPr>
        <w:t>日定期更新后，由公司发给保卫处负责人。</w:t>
      </w:r>
    </w:p>
    <w:p>
      <w:pPr>
        <w:numPr>
          <w:ilvl w:val="0"/>
          <w:numId w:val="211"/>
        </w:numPr>
        <w:tabs>
          <w:tab w:val="left" w:pos="426"/>
          <w:tab w:val="left" w:pos="709"/>
        </w:tabs>
        <w:spacing w:line="360" w:lineRule="auto"/>
        <w:ind w:left="-2" w:leftChars="-1" w:firstLine="283" w:firstLineChars="118"/>
        <w:rPr>
          <w:bCs/>
          <w:sz w:val="24"/>
        </w:rPr>
      </w:pPr>
      <w:r>
        <w:rPr>
          <w:rFonts w:hint="eastAsia"/>
          <w:bCs/>
          <w:sz w:val="24"/>
        </w:rPr>
        <w:t>安保人员新入职、离职、岗位有调整变动的，中标方要第一时间通报后勤保障处相关管理人员知晓，并说明原因。</w:t>
      </w:r>
    </w:p>
    <w:p>
      <w:pPr>
        <w:numPr>
          <w:ilvl w:val="0"/>
          <w:numId w:val="211"/>
        </w:numPr>
        <w:tabs>
          <w:tab w:val="left" w:pos="426"/>
          <w:tab w:val="left" w:pos="709"/>
        </w:tabs>
        <w:spacing w:line="360" w:lineRule="auto"/>
        <w:ind w:left="-2" w:leftChars="-1" w:firstLine="283" w:firstLineChars="118"/>
        <w:rPr>
          <w:b/>
          <w:bCs/>
          <w:sz w:val="24"/>
        </w:rPr>
      </w:pPr>
      <w:r>
        <w:rPr>
          <w:rFonts w:hint="eastAsia" w:ascii="宋体" w:hAnsi="宋体" w:cs="宋体"/>
          <w:sz w:val="24"/>
        </w:rPr>
        <w:t>中标方项目负责人每周一需向招标方汇报上周工作总结、整改情况、本周工作计划并附上书面资料。每月参加后勤保障处的工作会议，虚心接受会议提出的意见（招标方以书面形式通知中标方），并及时整改问题，如若有特殊情况，双方协商后再定；若整改不及时或未整改，甲方有权按当月绩效考核得分扣</w:t>
      </w:r>
      <w:r>
        <w:rPr>
          <w:rFonts w:ascii="宋体" w:hAnsi="宋体" w:cs="宋体"/>
          <w:sz w:val="24"/>
        </w:rPr>
        <w:t>10</w:t>
      </w:r>
      <w:r>
        <w:rPr>
          <w:rFonts w:hint="eastAsia" w:ascii="宋体" w:hAnsi="宋体" w:cs="宋体"/>
          <w:sz w:val="24"/>
        </w:rPr>
        <w:t>分。</w:t>
      </w:r>
    </w:p>
    <w:p>
      <w:pPr>
        <w:numPr>
          <w:ilvl w:val="0"/>
          <w:numId w:val="211"/>
        </w:numPr>
        <w:tabs>
          <w:tab w:val="left" w:pos="426"/>
          <w:tab w:val="left" w:pos="709"/>
        </w:tabs>
        <w:spacing w:line="360" w:lineRule="auto"/>
        <w:ind w:left="-2" w:leftChars="-1" w:firstLine="283" w:firstLineChars="118"/>
        <w:rPr>
          <w:rFonts w:ascii="宋体" w:cs="宋体"/>
          <w:sz w:val="24"/>
        </w:rPr>
      </w:pPr>
      <w:r>
        <w:rPr>
          <w:rFonts w:hint="eastAsia" w:ascii="宋体" w:hAnsi="宋体" w:cs="宋体"/>
          <w:sz w:val="24"/>
        </w:rPr>
        <w:t>法定节假日期间，中标方应保证项目负责人在岗，春节期间，招标方正常工作日起，中标方应保证</w:t>
      </w:r>
      <w:r>
        <w:rPr>
          <w:rFonts w:ascii="宋体" w:hAnsi="宋体" w:cs="宋体"/>
          <w:sz w:val="24"/>
        </w:rPr>
        <w:t>90%</w:t>
      </w:r>
      <w:r>
        <w:rPr>
          <w:rFonts w:hint="eastAsia" w:ascii="宋体" w:hAnsi="宋体" w:cs="宋体"/>
          <w:sz w:val="24"/>
        </w:rPr>
        <w:t>工作人员到岗。招标方的大型庆典、活动，中标方需无条件服从招标方的调度，若是正常工作时间以外的加班时间，招标方会支付加班费给中标方。</w:t>
      </w:r>
    </w:p>
    <w:p>
      <w:pPr>
        <w:tabs>
          <w:tab w:val="left" w:pos="426"/>
          <w:tab w:val="left" w:pos="709"/>
        </w:tabs>
        <w:spacing w:line="360" w:lineRule="auto"/>
        <w:rPr>
          <w:b/>
          <w:bCs/>
          <w:sz w:val="24"/>
        </w:rPr>
      </w:pPr>
      <w:r>
        <w:rPr>
          <w:rFonts w:hint="eastAsia" w:ascii="宋体" w:hAnsi="宋体"/>
          <w:color w:val="000000"/>
          <w:sz w:val="24"/>
        </w:rPr>
        <w:t>（</w:t>
      </w:r>
      <w:r>
        <w:rPr>
          <w:rFonts w:ascii="宋体" w:hAnsi="宋体"/>
          <w:color w:val="000000"/>
          <w:sz w:val="24"/>
        </w:rPr>
        <w:t>14</w:t>
      </w:r>
      <w:r>
        <w:rPr>
          <w:rFonts w:hint="eastAsia" w:ascii="宋体" w:hAnsi="宋体"/>
          <w:color w:val="000000"/>
          <w:sz w:val="24"/>
        </w:rPr>
        <w:t>）中标人的保安员不得向无关人员泄露监控画面并有义务保护病人隐私。必须严守单位机密，不得对外散播、传播本系统内部数据；不得利用系统内任何数据参加任何非法组织和发布任何反动言论。</w:t>
      </w:r>
    </w:p>
    <w:p>
      <w:pPr>
        <w:spacing w:before="100" w:beforeAutospacing="1" w:line="360" w:lineRule="auto"/>
        <w:jc w:val="left"/>
        <w:rPr>
          <w:b/>
          <w:sz w:val="24"/>
        </w:rPr>
      </w:pPr>
      <w:r>
        <w:rPr>
          <w:b/>
          <w:sz w:val="24"/>
        </w:rPr>
        <w:t>5</w:t>
      </w:r>
      <w:r>
        <w:rPr>
          <w:rFonts w:hint="eastAsia"/>
          <w:b/>
          <w:sz w:val="24"/>
        </w:rPr>
        <w:t>、保安服务质量考核标准</w:t>
      </w:r>
    </w:p>
    <w:tbl>
      <w:tblPr>
        <w:tblStyle w:val="70"/>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134"/>
        <w:gridCol w:w="5389"/>
        <w:gridCol w:w="70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noWrap w:val="0"/>
            <w:vAlign w:val="center"/>
          </w:tcPr>
          <w:p>
            <w:pPr>
              <w:widowControl/>
              <w:spacing w:line="360" w:lineRule="auto"/>
              <w:jc w:val="center"/>
              <w:rPr>
                <w:b/>
                <w:bCs/>
                <w:kern w:val="0"/>
                <w:sz w:val="24"/>
              </w:rPr>
            </w:pPr>
          </w:p>
        </w:tc>
        <w:tc>
          <w:tcPr>
            <w:tcW w:w="1134" w:type="dxa"/>
            <w:noWrap w:val="0"/>
            <w:vAlign w:val="center"/>
          </w:tcPr>
          <w:p>
            <w:pPr>
              <w:widowControl/>
              <w:spacing w:line="360" w:lineRule="auto"/>
              <w:jc w:val="center"/>
              <w:rPr>
                <w:b/>
                <w:bCs/>
                <w:kern w:val="0"/>
                <w:sz w:val="24"/>
              </w:rPr>
            </w:pPr>
            <w:r>
              <w:rPr>
                <w:rFonts w:hint="eastAsia"/>
                <w:b/>
                <w:bCs/>
                <w:kern w:val="0"/>
                <w:sz w:val="24"/>
              </w:rPr>
              <w:t>项目</w:t>
            </w:r>
          </w:p>
        </w:tc>
        <w:tc>
          <w:tcPr>
            <w:tcW w:w="5389" w:type="dxa"/>
            <w:noWrap w:val="0"/>
            <w:vAlign w:val="center"/>
          </w:tcPr>
          <w:p>
            <w:pPr>
              <w:widowControl/>
              <w:spacing w:line="360" w:lineRule="auto"/>
              <w:jc w:val="center"/>
              <w:rPr>
                <w:b/>
                <w:bCs/>
                <w:kern w:val="0"/>
                <w:sz w:val="24"/>
              </w:rPr>
            </w:pPr>
            <w:r>
              <w:rPr>
                <w:rFonts w:hint="eastAsia"/>
                <w:b/>
                <w:bCs/>
                <w:kern w:val="0"/>
                <w:sz w:val="24"/>
              </w:rPr>
              <w:t>内容</w:t>
            </w:r>
          </w:p>
        </w:tc>
        <w:tc>
          <w:tcPr>
            <w:tcW w:w="708" w:type="dxa"/>
            <w:noWrap w:val="0"/>
            <w:vAlign w:val="center"/>
          </w:tcPr>
          <w:p>
            <w:pPr>
              <w:widowControl/>
              <w:spacing w:line="360" w:lineRule="auto"/>
              <w:jc w:val="center"/>
              <w:rPr>
                <w:b/>
                <w:bCs/>
                <w:kern w:val="0"/>
                <w:sz w:val="24"/>
              </w:rPr>
            </w:pPr>
            <w:r>
              <w:rPr>
                <w:rFonts w:hint="eastAsia"/>
                <w:b/>
                <w:bCs/>
                <w:kern w:val="0"/>
                <w:sz w:val="24"/>
              </w:rPr>
              <w:t>扣分</w:t>
            </w:r>
          </w:p>
        </w:tc>
        <w:tc>
          <w:tcPr>
            <w:tcW w:w="1560" w:type="dxa"/>
            <w:noWrap w:val="0"/>
            <w:vAlign w:val="center"/>
          </w:tcPr>
          <w:p>
            <w:pPr>
              <w:widowControl/>
              <w:spacing w:line="360" w:lineRule="auto"/>
              <w:jc w:val="center"/>
              <w:rPr>
                <w:b/>
                <w:bCs/>
                <w:kern w:val="0"/>
                <w:sz w:val="24"/>
              </w:rPr>
            </w:pPr>
            <w:r>
              <w:rPr>
                <w:rFonts w:hint="eastAsia"/>
                <w:b/>
                <w:bCs/>
                <w:kern w:val="0"/>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restart"/>
            <w:noWrap w:val="0"/>
            <w:vAlign w:val="center"/>
          </w:tcPr>
          <w:p>
            <w:pPr>
              <w:widowControl/>
              <w:spacing w:line="360" w:lineRule="auto"/>
              <w:jc w:val="center"/>
              <w:rPr>
                <w:kern w:val="0"/>
                <w:sz w:val="24"/>
              </w:rPr>
            </w:pPr>
            <w:r>
              <w:rPr>
                <w:kern w:val="0"/>
                <w:sz w:val="24"/>
              </w:rPr>
              <w:t>1</w:t>
            </w:r>
          </w:p>
        </w:tc>
        <w:tc>
          <w:tcPr>
            <w:tcW w:w="1134" w:type="dxa"/>
            <w:vMerge w:val="restart"/>
            <w:noWrap w:val="0"/>
            <w:vAlign w:val="center"/>
          </w:tcPr>
          <w:p>
            <w:pPr>
              <w:widowControl/>
              <w:spacing w:line="360" w:lineRule="auto"/>
              <w:jc w:val="center"/>
              <w:rPr>
                <w:kern w:val="0"/>
                <w:sz w:val="24"/>
              </w:rPr>
            </w:pPr>
            <w:r>
              <w:rPr>
                <w:rFonts w:hint="eastAsia"/>
                <w:kern w:val="0"/>
                <w:sz w:val="24"/>
              </w:rPr>
              <w:t>项目负责人</w:t>
            </w:r>
          </w:p>
          <w:p>
            <w:pPr>
              <w:widowControl/>
              <w:spacing w:line="360" w:lineRule="auto"/>
              <w:jc w:val="center"/>
              <w:rPr>
                <w:kern w:val="0"/>
                <w:sz w:val="24"/>
              </w:rPr>
            </w:pPr>
            <w:r>
              <w:rPr>
                <w:rFonts w:hint="eastAsia"/>
                <w:kern w:val="0"/>
                <w:sz w:val="24"/>
              </w:rPr>
              <w:t>工作规范（</w:t>
            </w:r>
            <w:r>
              <w:rPr>
                <w:kern w:val="0"/>
                <w:sz w:val="24"/>
              </w:rPr>
              <w:t>10</w:t>
            </w:r>
            <w:r>
              <w:rPr>
                <w:rFonts w:hint="eastAsia"/>
                <w:kern w:val="0"/>
                <w:sz w:val="24"/>
              </w:rPr>
              <w:t>分）</w:t>
            </w: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1</w:t>
            </w:r>
            <w:r>
              <w:rPr>
                <w:rFonts w:hint="eastAsia"/>
                <w:kern w:val="0"/>
                <w:sz w:val="24"/>
              </w:rPr>
              <w:t>）检查、考核本班次保安人员的出勤、仪容仪表及工作态度，发现问题及时纠正。</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restart"/>
            <w:noWrap w:val="0"/>
            <w:vAlign w:val="center"/>
          </w:tcPr>
          <w:p>
            <w:pPr>
              <w:widowControl/>
              <w:spacing w:line="360" w:lineRule="auto"/>
              <w:jc w:val="left"/>
              <w:rPr>
                <w:kern w:val="0"/>
                <w:sz w:val="24"/>
              </w:rPr>
            </w:pPr>
            <w:r>
              <w:rPr>
                <w:rFonts w:hint="eastAsia"/>
                <w:kern w:val="0"/>
                <w:sz w:val="24"/>
              </w:rPr>
              <w:t>一处不符合扣</w:t>
            </w:r>
            <w:r>
              <w:rPr>
                <w:kern w:val="0"/>
                <w:sz w:val="24"/>
              </w:rPr>
              <w:t>1</w:t>
            </w:r>
            <w:r>
              <w:rPr>
                <w:rFonts w:hint="eastAsia"/>
                <w:kern w:val="0"/>
                <w:sz w:val="24"/>
              </w:rPr>
              <w:t>分；一处严重不符合扣</w:t>
            </w:r>
            <w:r>
              <w:rPr>
                <w:kern w:val="0"/>
                <w:sz w:val="24"/>
              </w:rPr>
              <w:t>2</w:t>
            </w:r>
            <w:r>
              <w:rPr>
                <w:rFonts w:hint="eastAsia"/>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2</w:t>
            </w:r>
            <w:r>
              <w:rPr>
                <w:rFonts w:hint="eastAsia"/>
                <w:kern w:val="0"/>
                <w:sz w:val="24"/>
              </w:rPr>
              <w:t>）负责工作场所的环境卫生检查，确保物品摆放整齐有序、环境卫生干净整洁、设施设备状况良好。</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3</w:t>
            </w:r>
            <w:r>
              <w:rPr>
                <w:rFonts w:hint="eastAsia"/>
                <w:kern w:val="0"/>
                <w:sz w:val="24"/>
              </w:rPr>
              <w:t>）如发现突发性事件及急性案件，应设法采取应急措施，制止事态的扩大，并注意保护现场，及时按程序向上级报告。</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4</w:t>
            </w:r>
            <w:r>
              <w:rPr>
                <w:rFonts w:hint="eastAsia"/>
                <w:kern w:val="0"/>
                <w:sz w:val="24"/>
              </w:rPr>
              <w:t>）每天巡视本班次保安行为形象的执行情况，发现保安有违反员工行为形象要求的现象，按违纪处理。</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5</w:t>
            </w:r>
            <w:r>
              <w:rPr>
                <w:rFonts w:hint="eastAsia"/>
                <w:kern w:val="0"/>
                <w:sz w:val="24"/>
              </w:rPr>
              <w:t>）在接班的半个小时内尽快熟悉当班人员、院内环境、安全情况。做好班次交接工作，对当天工作及发生的情况了解并进行汇总，记录在《保安当值及交接班记录表》，形成安全管理记录。</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6</w:t>
            </w:r>
            <w:r>
              <w:rPr>
                <w:rFonts w:hint="eastAsia"/>
                <w:kern w:val="0"/>
                <w:sz w:val="24"/>
              </w:rPr>
              <w:t>）负责做好保安人员用餐巡逻等轮转岗位时的协调工作。</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7</w:t>
            </w:r>
            <w:r>
              <w:rPr>
                <w:rFonts w:hint="eastAsia"/>
                <w:kern w:val="0"/>
                <w:sz w:val="24"/>
              </w:rPr>
              <w:t>）列队交接班。</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8</w:t>
            </w:r>
            <w:r>
              <w:rPr>
                <w:rFonts w:hint="eastAsia"/>
                <w:kern w:val="0"/>
                <w:sz w:val="24"/>
              </w:rPr>
              <w:t>）保持保安各岗位的通讯联系和协调工作。</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9</w:t>
            </w:r>
            <w:r>
              <w:rPr>
                <w:rFonts w:hint="eastAsia"/>
                <w:kern w:val="0"/>
                <w:sz w:val="24"/>
              </w:rPr>
              <w:t>）定期召开例会，传达医院相关精神，回顾总结，布置任务，开展培训等。</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spacing w:line="360" w:lineRule="auto"/>
              <w:jc w:val="left"/>
              <w:rPr>
                <w:kern w:val="0"/>
                <w:sz w:val="24"/>
              </w:rPr>
            </w:pPr>
            <w:r>
              <w:rPr>
                <w:rFonts w:hint="eastAsia"/>
                <w:kern w:val="0"/>
                <w:sz w:val="24"/>
              </w:rPr>
              <w:t>（</w:t>
            </w:r>
            <w:r>
              <w:rPr>
                <w:kern w:val="0"/>
                <w:sz w:val="24"/>
              </w:rPr>
              <w:t>10</w:t>
            </w:r>
            <w:r>
              <w:rPr>
                <w:rFonts w:hint="eastAsia"/>
                <w:kern w:val="0"/>
                <w:sz w:val="24"/>
              </w:rPr>
              <w:t>）示范和引领作用，最好表率，掌握应知应会和工作基本能力，如会使用</w:t>
            </w:r>
            <w:r>
              <w:rPr>
                <w:kern w:val="0"/>
                <w:sz w:val="24"/>
              </w:rPr>
              <w:t>This eye</w:t>
            </w:r>
            <w:r>
              <w:rPr>
                <w:rFonts w:hint="eastAsia"/>
                <w:kern w:val="0"/>
                <w:sz w:val="24"/>
              </w:rPr>
              <w:t>系统查医生排班、查全员科室电话号码、查个人联系方式；熟悉医院的楼层和布局等</w:t>
            </w:r>
          </w:p>
        </w:tc>
        <w:tc>
          <w:tcPr>
            <w:tcW w:w="708" w:type="dxa"/>
            <w:noWrap w:val="0"/>
            <w:vAlign w:val="center"/>
          </w:tcPr>
          <w:p>
            <w:pPr>
              <w:spacing w:line="360" w:lineRule="auto"/>
              <w:jc w:val="center"/>
              <w:rPr>
                <w:kern w:val="0"/>
                <w:sz w:val="24"/>
              </w:rPr>
            </w:pP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restart"/>
            <w:noWrap w:val="0"/>
            <w:vAlign w:val="center"/>
          </w:tcPr>
          <w:p>
            <w:pPr>
              <w:widowControl/>
              <w:spacing w:line="360" w:lineRule="auto"/>
              <w:jc w:val="center"/>
              <w:rPr>
                <w:kern w:val="0"/>
                <w:sz w:val="24"/>
              </w:rPr>
            </w:pPr>
            <w:r>
              <w:rPr>
                <w:kern w:val="0"/>
                <w:sz w:val="24"/>
              </w:rPr>
              <w:t>2</w:t>
            </w:r>
          </w:p>
        </w:tc>
        <w:tc>
          <w:tcPr>
            <w:tcW w:w="1134" w:type="dxa"/>
            <w:vMerge w:val="restart"/>
            <w:noWrap w:val="0"/>
            <w:vAlign w:val="center"/>
          </w:tcPr>
          <w:p>
            <w:pPr>
              <w:widowControl/>
              <w:spacing w:line="360" w:lineRule="auto"/>
              <w:jc w:val="center"/>
              <w:rPr>
                <w:kern w:val="0"/>
                <w:sz w:val="24"/>
              </w:rPr>
            </w:pPr>
            <w:r>
              <w:rPr>
                <w:rFonts w:hint="eastAsia"/>
                <w:kern w:val="0"/>
                <w:sz w:val="24"/>
              </w:rPr>
              <w:t>值班</w:t>
            </w:r>
          </w:p>
          <w:p>
            <w:pPr>
              <w:widowControl/>
              <w:spacing w:line="360" w:lineRule="auto"/>
              <w:jc w:val="center"/>
              <w:rPr>
                <w:kern w:val="0"/>
                <w:sz w:val="24"/>
              </w:rPr>
            </w:pPr>
            <w:r>
              <w:rPr>
                <w:rFonts w:hint="eastAsia"/>
                <w:kern w:val="0"/>
                <w:sz w:val="24"/>
              </w:rPr>
              <w:t>交接班（</w:t>
            </w:r>
            <w:r>
              <w:rPr>
                <w:kern w:val="0"/>
                <w:sz w:val="24"/>
              </w:rPr>
              <w:t>5</w:t>
            </w:r>
            <w:r>
              <w:rPr>
                <w:rFonts w:hint="eastAsia"/>
                <w:kern w:val="0"/>
                <w:sz w:val="24"/>
              </w:rPr>
              <w:t>分）</w:t>
            </w: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1</w:t>
            </w:r>
            <w:r>
              <w:rPr>
                <w:rFonts w:hint="eastAsia"/>
                <w:kern w:val="0"/>
                <w:sz w:val="24"/>
              </w:rPr>
              <w:t>）建立</w:t>
            </w:r>
            <w:r>
              <w:rPr>
                <w:kern w:val="0"/>
                <w:sz w:val="24"/>
              </w:rPr>
              <w:t>24h</w:t>
            </w:r>
            <w:r>
              <w:rPr>
                <w:rFonts w:hint="eastAsia"/>
                <w:kern w:val="0"/>
                <w:sz w:val="24"/>
              </w:rPr>
              <w:t>值班制度。</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restart"/>
            <w:noWrap w:val="0"/>
            <w:vAlign w:val="center"/>
          </w:tcPr>
          <w:p>
            <w:pPr>
              <w:widowControl/>
              <w:spacing w:line="360" w:lineRule="auto"/>
              <w:jc w:val="left"/>
              <w:rPr>
                <w:kern w:val="0"/>
                <w:sz w:val="24"/>
              </w:rPr>
            </w:pPr>
            <w:r>
              <w:rPr>
                <w:rFonts w:hint="eastAsia"/>
                <w:kern w:val="0"/>
                <w:sz w:val="24"/>
              </w:rPr>
              <w:t>一处不符合扣</w:t>
            </w:r>
            <w:r>
              <w:rPr>
                <w:kern w:val="0"/>
                <w:sz w:val="24"/>
              </w:rPr>
              <w:t>1</w:t>
            </w:r>
            <w:r>
              <w:rPr>
                <w:rFonts w:hint="eastAsia"/>
                <w:kern w:val="0"/>
                <w:sz w:val="24"/>
              </w:rPr>
              <w:t>分；一处严重不符合扣</w:t>
            </w:r>
            <w:r>
              <w:rPr>
                <w:kern w:val="0"/>
                <w:sz w:val="24"/>
              </w:rPr>
              <w:t>2</w:t>
            </w:r>
            <w:r>
              <w:rPr>
                <w:rFonts w:hint="eastAsia"/>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2</w:t>
            </w:r>
            <w:r>
              <w:rPr>
                <w:rFonts w:hint="eastAsia"/>
                <w:kern w:val="0"/>
                <w:sz w:val="24"/>
              </w:rPr>
              <w:t>）值班电话接听规范，按要求处理。</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3</w:t>
            </w:r>
            <w:r>
              <w:rPr>
                <w:rFonts w:hint="eastAsia"/>
                <w:kern w:val="0"/>
                <w:sz w:val="24"/>
              </w:rPr>
              <w:t>）值班记录准确详细，包括值岗工作情况交接、管理范围内物品状况交接、工具交接等。</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4</w:t>
            </w:r>
            <w:r>
              <w:rPr>
                <w:rFonts w:hint="eastAsia"/>
                <w:kern w:val="0"/>
                <w:sz w:val="24"/>
              </w:rPr>
              <w:t>）有交接班时间和内容要求，有交接班记录。</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5</w:t>
            </w:r>
            <w:r>
              <w:rPr>
                <w:rFonts w:hint="eastAsia"/>
                <w:kern w:val="0"/>
                <w:sz w:val="24"/>
              </w:rPr>
              <w:t>）带班员及各层级管理人员对在岗安全管理员工作表现进行监督检查，岗位巡查发现问题有留言。</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restart"/>
            <w:noWrap w:val="0"/>
            <w:vAlign w:val="center"/>
          </w:tcPr>
          <w:p>
            <w:pPr>
              <w:widowControl/>
              <w:spacing w:line="360" w:lineRule="auto"/>
              <w:jc w:val="center"/>
              <w:rPr>
                <w:kern w:val="0"/>
                <w:sz w:val="24"/>
              </w:rPr>
            </w:pPr>
            <w:r>
              <w:rPr>
                <w:kern w:val="0"/>
                <w:sz w:val="24"/>
              </w:rPr>
              <w:t>3</w:t>
            </w:r>
          </w:p>
        </w:tc>
        <w:tc>
          <w:tcPr>
            <w:tcW w:w="1134" w:type="dxa"/>
            <w:vMerge w:val="restart"/>
            <w:noWrap w:val="0"/>
            <w:vAlign w:val="center"/>
          </w:tcPr>
          <w:p>
            <w:pPr>
              <w:widowControl/>
              <w:spacing w:line="360" w:lineRule="auto"/>
              <w:jc w:val="center"/>
              <w:rPr>
                <w:kern w:val="0"/>
                <w:sz w:val="24"/>
              </w:rPr>
            </w:pPr>
            <w:r>
              <w:rPr>
                <w:rFonts w:hint="eastAsia"/>
                <w:kern w:val="0"/>
                <w:sz w:val="24"/>
              </w:rPr>
              <w:t>仪容</w:t>
            </w:r>
          </w:p>
          <w:p>
            <w:pPr>
              <w:widowControl/>
              <w:spacing w:line="360" w:lineRule="auto"/>
              <w:jc w:val="center"/>
              <w:rPr>
                <w:kern w:val="0"/>
                <w:sz w:val="24"/>
              </w:rPr>
            </w:pPr>
            <w:r>
              <w:rPr>
                <w:rFonts w:hint="eastAsia"/>
                <w:kern w:val="0"/>
                <w:sz w:val="24"/>
              </w:rPr>
              <w:t>仪表</w:t>
            </w:r>
          </w:p>
          <w:p>
            <w:pPr>
              <w:widowControl/>
              <w:spacing w:line="360" w:lineRule="auto"/>
              <w:jc w:val="center"/>
              <w:rPr>
                <w:kern w:val="0"/>
                <w:sz w:val="24"/>
              </w:rPr>
            </w:pPr>
            <w:r>
              <w:rPr>
                <w:rFonts w:hint="eastAsia"/>
                <w:kern w:val="0"/>
                <w:sz w:val="24"/>
              </w:rPr>
              <w:t>（</w:t>
            </w:r>
            <w:r>
              <w:rPr>
                <w:kern w:val="0"/>
                <w:sz w:val="24"/>
              </w:rPr>
              <w:t>5</w:t>
            </w:r>
            <w:r>
              <w:rPr>
                <w:rFonts w:hint="eastAsia"/>
                <w:kern w:val="0"/>
                <w:sz w:val="24"/>
              </w:rPr>
              <w:t>分）</w:t>
            </w: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1</w:t>
            </w:r>
            <w:r>
              <w:rPr>
                <w:rFonts w:hint="eastAsia"/>
                <w:kern w:val="0"/>
                <w:sz w:val="24"/>
              </w:rPr>
              <w:t>）按《着装规范》要求着装，挂牌上岗，文明执勤。</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restart"/>
            <w:noWrap w:val="0"/>
            <w:vAlign w:val="center"/>
          </w:tcPr>
          <w:p>
            <w:pPr>
              <w:widowControl/>
              <w:spacing w:line="360" w:lineRule="auto"/>
              <w:jc w:val="left"/>
              <w:rPr>
                <w:kern w:val="0"/>
                <w:sz w:val="24"/>
              </w:rPr>
            </w:pPr>
            <w:r>
              <w:rPr>
                <w:rFonts w:hint="eastAsia"/>
                <w:kern w:val="0"/>
                <w:sz w:val="24"/>
              </w:rPr>
              <w:t>一处不符合扣</w:t>
            </w:r>
            <w:r>
              <w:rPr>
                <w:kern w:val="0"/>
                <w:sz w:val="24"/>
              </w:rPr>
              <w:t>1</w:t>
            </w:r>
            <w:r>
              <w:rPr>
                <w:rFonts w:hint="eastAsia"/>
                <w:kern w:val="0"/>
                <w:sz w:val="24"/>
              </w:rPr>
              <w:t>分；一处严重不符合扣</w:t>
            </w:r>
            <w:r>
              <w:rPr>
                <w:kern w:val="0"/>
                <w:sz w:val="24"/>
              </w:rPr>
              <w:t>2</w:t>
            </w:r>
            <w:r>
              <w:rPr>
                <w:rFonts w:hint="eastAsia"/>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2</w:t>
            </w:r>
            <w:r>
              <w:rPr>
                <w:rFonts w:hint="eastAsia"/>
                <w:kern w:val="0"/>
                <w:sz w:val="24"/>
              </w:rPr>
              <w:t>）仪态自然，精神状态饱满。</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3</w:t>
            </w:r>
            <w:r>
              <w:rPr>
                <w:rFonts w:hint="eastAsia"/>
                <w:kern w:val="0"/>
                <w:sz w:val="24"/>
              </w:rPr>
              <w:t>）讲究个人卫生，指甲修剪整齐，不得留长指甲。</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4</w:t>
            </w:r>
            <w:r>
              <w:rPr>
                <w:rFonts w:hint="eastAsia"/>
                <w:kern w:val="0"/>
                <w:sz w:val="24"/>
              </w:rPr>
              <w:t>）非工作所需或眼疾，不得佩带有色眼镜。</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5</w:t>
            </w:r>
            <w:r>
              <w:rPr>
                <w:rFonts w:hint="eastAsia"/>
                <w:kern w:val="0"/>
                <w:sz w:val="24"/>
              </w:rPr>
              <w:t>）上班期间（包括临时顶班）穿制服，不得穿便装。</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6</w:t>
            </w:r>
            <w:r>
              <w:rPr>
                <w:rFonts w:hint="eastAsia"/>
                <w:kern w:val="0"/>
                <w:sz w:val="24"/>
              </w:rPr>
              <w:t>）按规定携带保安器材，装备无线电对讲机，并保证联络通畅。</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7</w:t>
            </w:r>
            <w:r>
              <w:rPr>
                <w:rFonts w:hint="eastAsia"/>
                <w:kern w:val="0"/>
                <w:sz w:val="24"/>
              </w:rPr>
              <w:t>）爱护和正确使用保安器械及通信设备，不得随意损坏及拆卸。</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8</w:t>
            </w:r>
            <w:r>
              <w:rPr>
                <w:rFonts w:hint="eastAsia"/>
                <w:kern w:val="0"/>
                <w:sz w:val="24"/>
              </w:rPr>
              <w:t>）上岗前整理仪表，带队到达</w:t>
            </w:r>
            <w:r>
              <w:rPr>
                <w:kern w:val="0"/>
                <w:sz w:val="24"/>
              </w:rPr>
              <w:t>,</w:t>
            </w:r>
            <w:r>
              <w:rPr>
                <w:rFonts w:hint="eastAsia"/>
                <w:kern w:val="0"/>
                <w:sz w:val="24"/>
              </w:rPr>
              <w:t>各岗位头发前不过眉、发脚侧不过耳、后不过领</w:t>
            </w:r>
            <w:r>
              <w:rPr>
                <w:kern w:val="0"/>
                <w:sz w:val="24"/>
              </w:rPr>
              <w:t>,</w:t>
            </w:r>
            <w:r>
              <w:rPr>
                <w:rFonts w:hint="eastAsia"/>
                <w:kern w:val="0"/>
                <w:sz w:val="24"/>
              </w:rPr>
              <w:t>不得染黑色以外颜色的头发（男性不得蓄须，留长发，大鬓角）。</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restart"/>
            <w:noWrap w:val="0"/>
            <w:vAlign w:val="center"/>
          </w:tcPr>
          <w:p>
            <w:pPr>
              <w:widowControl/>
              <w:spacing w:line="360" w:lineRule="auto"/>
              <w:jc w:val="center"/>
              <w:rPr>
                <w:kern w:val="0"/>
                <w:sz w:val="24"/>
              </w:rPr>
            </w:pPr>
            <w:r>
              <w:rPr>
                <w:kern w:val="0"/>
                <w:sz w:val="24"/>
              </w:rPr>
              <w:t>4</w:t>
            </w:r>
          </w:p>
        </w:tc>
        <w:tc>
          <w:tcPr>
            <w:tcW w:w="1134" w:type="dxa"/>
            <w:vMerge w:val="restart"/>
            <w:noWrap w:val="0"/>
            <w:vAlign w:val="center"/>
          </w:tcPr>
          <w:p>
            <w:pPr>
              <w:widowControl/>
              <w:spacing w:line="360" w:lineRule="auto"/>
              <w:jc w:val="center"/>
              <w:rPr>
                <w:kern w:val="0"/>
                <w:sz w:val="24"/>
              </w:rPr>
            </w:pPr>
            <w:r>
              <w:rPr>
                <w:rFonts w:hint="eastAsia"/>
                <w:kern w:val="0"/>
                <w:sz w:val="24"/>
              </w:rPr>
              <w:t>行为</w:t>
            </w:r>
          </w:p>
          <w:p>
            <w:pPr>
              <w:widowControl/>
              <w:spacing w:line="360" w:lineRule="auto"/>
              <w:jc w:val="center"/>
              <w:rPr>
                <w:kern w:val="0"/>
                <w:sz w:val="24"/>
              </w:rPr>
            </w:pPr>
            <w:r>
              <w:rPr>
                <w:rFonts w:hint="eastAsia"/>
                <w:kern w:val="0"/>
                <w:sz w:val="24"/>
              </w:rPr>
              <w:t>举止</w:t>
            </w:r>
          </w:p>
          <w:p>
            <w:pPr>
              <w:widowControl/>
              <w:spacing w:line="360" w:lineRule="auto"/>
              <w:jc w:val="center"/>
              <w:rPr>
                <w:kern w:val="0"/>
                <w:sz w:val="24"/>
              </w:rPr>
            </w:pPr>
            <w:r>
              <w:rPr>
                <w:rFonts w:hint="eastAsia"/>
                <w:kern w:val="0"/>
                <w:sz w:val="24"/>
              </w:rPr>
              <w:t>（</w:t>
            </w:r>
            <w:r>
              <w:rPr>
                <w:kern w:val="0"/>
                <w:sz w:val="24"/>
              </w:rPr>
              <w:t>5</w:t>
            </w:r>
            <w:r>
              <w:rPr>
                <w:rFonts w:hint="eastAsia"/>
                <w:kern w:val="0"/>
                <w:sz w:val="24"/>
              </w:rPr>
              <w:t>分）</w:t>
            </w: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1</w:t>
            </w:r>
            <w:r>
              <w:rPr>
                <w:rFonts w:hint="eastAsia"/>
                <w:kern w:val="0"/>
                <w:sz w:val="24"/>
              </w:rPr>
              <w:t>）举止文明，服务中表情自然，精神振作、姿态良好。</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restart"/>
            <w:noWrap w:val="0"/>
            <w:vAlign w:val="center"/>
          </w:tcPr>
          <w:p>
            <w:pPr>
              <w:widowControl/>
              <w:spacing w:line="360" w:lineRule="auto"/>
              <w:jc w:val="left"/>
              <w:rPr>
                <w:kern w:val="0"/>
                <w:sz w:val="24"/>
              </w:rPr>
            </w:pPr>
            <w:r>
              <w:rPr>
                <w:rFonts w:hint="eastAsia"/>
                <w:kern w:val="0"/>
                <w:sz w:val="24"/>
              </w:rPr>
              <w:t>一处不符合扣</w:t>
            </w:r>
            <w:r>
              <w:rPr>
                <w:kern w:val="0"/>
                <w:sz w:val="24"/>
              </w:rPr>
              <w:t>1</w:t>
            </w:r>
            <w:r>
              <w:rPr>
                <w:rFonts w:hint="eastAsia"/>
                <w:kern w:val="0"/>
                <w:sz w:val="24"/>
              </w:rPr>
              <w:t>分；一处严重不符合扣</w:t>
            </w:r>
            <w:r>
              <w:rPr>
                <w:kern w:val="0"/>
                <w:sz w:val="24"/>
              </w:rPr>
              <w:t>2</w:t>
            </w:r>
            <w:r>
              <w:rPr>
                <w:rFonts w:hint="eastAsia"/>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2</w:t>
            </w:r>
            <w:r>
              <w:rPr>
                <w:rFonts w:hint="eastAsia"/>
                <w:kern w:val="0"/>
                <w:sz w:val="24"/>
              </w:rPr>
              <w:t>）落实环保行为，关注身边事，以身作则，人过地净。</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3</w:t>
            </w:r>
            <w:r>
              <w:rPr>
                <w:rFonts w:hint="eastAsia"/>
                <w:kern w:val="0"/>
                <w:sz w:val="24"/>
              </w:rPr>
              <w:t>）不以任何理由与患者及其家属或员工发生争吵、打架。</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4</w:t>
            </w:r>
            <w:r>
              <w:rPr>
                <w:rFonts w:hint="eastAsia"/>
                <w:kern w:val="0"/>
                <w:sz w:val="24"/>
              </w:rPr>
              <w:t>）站姿端正，不叉腰、不抱胸、不背靠他物。</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5</w:t>
            </w:r>
            <w:r>
              <w:rPr>
                <w:rFonts w:hint="eastAsia"/>
                <w:kern w:val="0"/>
                <w:sz w:val="24"/>
              </w:rPr>
              <w:t>）坐姿端正，不倚背、不伸腿，不趴在工作台上休息。</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6</w:t>
            </w:r>
            <w:r>
              <w:rPr>
                <w:rFonts w:hint="eastAsia"/>
                <w:kern w:val="0"/>
                <w:sz w:val="24"/>
              </w:rPr>
              <w:t>）不在服务区内追逐打闹，不边走边大声谈笑喧哗。</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7</w:t>
            </w:r>
            <w:r>
              <w:rPr>
                <w:rFonts w:hint="eastAsia"/>
                <w:kern w:val="0"/>
                <w:sz w:val="24"/>
              </w:rPr>
              <w:t>）在执勤时不袖手、背手、叉腰、插兜、扶肩搭背。</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8</w:t>
            </w:r>
            <w:r>
              <w:rPr>
                <w:rFonts w:hint="eastAsia"/>
                <w:kern w:val="0"/>
                <w:sz w:val="24"/>
              </w:rPr>
              <w:t>）不准有没收财物、扣押他人合法证件等行为。</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9</w:t>
            </w:r>
            <w:r>
              <w:rPr>
                <w:rFonts w:hint="eastAsia"/>
                <w:kern w:val="0"/>
                <w:sz w:val="24"/>
              </w:rPr>
              <w:t>）不得私自为他人提供有偿保安服务。</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spacing w:line="360" w:lineRule="auto"/>
              <w:jc w:val="left"/>
              <w:rPr>
                <w:kern w:val="0"/>
                <w:sz w:val="24"/>
              </w:rPr>
            </w:pPr>
            <w:r>
              <w:rPr>
                <w:rFonts w:hint="eastAsia"/>
                <w:kern w:val="0"/>
                <w:sz w:val="24"/>
              </w:rPr>
              <w:t>（</w:t>
            </w:r>
            <w:r>
              <w:rPr>
                <w:kern w:val="0"/>
                <w:sz w:val="24"/>
              </w:rPr>
              <w:t>10</w:t>
            </w:r>
            <w:r>
              <w:rPr>
                <w:rFonts w:hint="eastAsia"/>
                <w:kern w:val="0"/>
                <w:sz w:val="24"/>
              </w:rPr>
              <w:t>）执勤禁止打瞌睡，不擅自离开岗位或串岗聊天。</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spacing w:line="360" w:lineRule="auto"/>
              <w:jc w:val="left"/>
              <w:rPr>
                <w:kern w:val="0"/>
                <w:sz w:val="24"/>
              </w:rPr>
            </w:pPr>
            <w:r>
              <w:rPr>
                <w:rFonts w:hint="eastAsia"/>
                <w:kern w:val="0"/>
                <w:sz w:val="24"/>
              </w:rPr>
              <w:t>（</w:t>
            </w:r>
            <w:r>
              <w:rPr>
                <w:kern w:val="0"/>
                <w:sz w:val="24"/>
              </w:rPr>
              <w:t>11</w:t>
            </w:r>
            <w:r>
              <w:rPr>
                <w:rFonts w:hint="eastAsia"/>
                <w:kern w:val="0"/>
                <w:sz w:val="24"/>
              </w:rPr>
              <w:t>）上班时间脱岗（</w:t>
            </w:r>
            <w:r>
              <w:rPr>
                <w:kern w:val="0"/>
                <w:sz w:val="24"/>
              </w:rPr>
              <w:t>15</w:t>
            </w:r>
            <w:r>
              <w:rPr>
                <w:rFonts w:hint="eastAsia"/>
                <w:kern w:val="0"/>
                <w:sz w:val="24"/>
              </w:rPr>
              <w:t>分钟未到岗）直接扣</w:t>
            </w:r>
            <w:r>
              <w:rPr>
                <w:kern w:val="0"/>
                <w:sz w:val="24"/>
              </w:rPr>
              <w:t>2</w:t>
            </w:r>
            <w:r>
              <w:rPr>
                <w:rFonts w:hint="eastAsia"/>
                <w:kern w:val="0"/>
                <w:sz w:val="24"/>
              </w:rPr>
              <w:t>分。</w:t>
            </w:r>
          </w:p>
        </w:tc>
        <w:tc>
          <w:tcPr>
            <w:tcW w:w="708" w:type="dxa"/>
            <w:noWrap w:val="0"/>
            <w:vAlign w:val="center"/>
          </w:tcPr>
          <w:p>
            <w:pPr>
              <w:spacing w:line="360" w:lineRule="auto"/>
              <w:jc w:val="center"/>
              <w:rPr>
                <w:kern w:val="0"/>
                <w:sz w:val="24"/>
              </w:rPr>
            </w:pPr>
          </w:p>
        </w:tc>
        <w:tc>
          <w:tcPr>
            <w:tcW w:w="1560" w:type="dxa"/>
            <w:vMerge w:val="continue"/>
            <w:noWrap w:val="0"/>
            <w:vAlign w:val="center"/>
          </w:tcPr>
          <w:p>
            <w:pPr>
              <w:widowControl/>
              <w:spacing w:line="360" w:lineRule="auto"/>
              <w:jc w:val="left"/>
              <w:rPr>
                <w:kern w:val="0"/>
                <w:sz w:val="24"/>
              </w:rPr>
            </w:pPr>
          </w:p>
        </w:tc>
      </w:tr>
      <w:tr>
        <w:tblPrEx>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spacing w:line="360" w:lineRule="auto"/>
              <w:jc w:val="left"/>
              <w:rPr>
                <w:kern w:val="0"/>
                <w:sz w:val="24"/>
              </w:rPr>
            </w:pPr>
            <w:r>
              <w:rPr>
                <w:rFonts w:hint="eastAsia"/>
                <w:kern w:val="0"/>
                <w:sz w:val="24"/>
              </w:rPr>
              <w:t>（</w:t>
            </w:r>
            <w:r>
              <w:rPr>
                <w:kern w:val="0"/>
                <w:sz w:val="24"/>
              </w:rPr>
              <w:t>12</w:t>
            </w:r>
            <w:r>
              <w:rPr>
                <w:rFonts w:hint="eastAsia"/>
                <w:kern w:val="0"/>
                <w:sz w:val="24"/>
              </w:rPr>
              <w:t>）发生倒卖预约号源，影响招标方形象和声誉的直接扣</w:t>
            </w:r>
            <w:r>
              <w:rPr>
                <w:kern w:val="0"/>
                <w:sz w:val="24"/>
              </w:rPr>
              <w:t>5</w:t>
            </w:r>
            <w:r>
              <w:rPr>
                <w:rFonts w:hint="eastAsia"/>
                <w:kern w:val="0"/>
                <w:sz w:val="24"/>
              </w:rPr>
              <w:t>分。</w:t>
            </w:r>
          </w:p>
        </w:tc>
        <w:tc>
          <w:tcPr>
            <w:tcW w:w="708" w:type="dxa"/>
            <w:noWrap w:val="0"/>
            <w:vAlign w:val="center"/>
          </w:tcPr>
          <w:p>
            <w:pPr>
              <w:spacing w:line="360" w:lineRule="auto"/>
              <w:jc w:val="center"/>
              <w:rPr>
                <w:kern w:val="0"/>
                <w:sz w:val="24"/>
              </w:rPr>
            </w:pP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restart"/>
            <w:noWrap w:val="0"/>
            <w:vAlign w:val="center"/>
          </w:tcPr>
          <w:p>
            <w:pPr>
              <w:widowControl/>
              <w:spacing w:line="360" w:lineRule="auto"/>
              <w:jc w:val="center"/>
              <w:rPr>
                <w:kern w:val="0"/>
                <w:sz w:val="24"/>
              </w:rPr>
            </w:pPr>
            <w:r>
              <w:rPr>
                <w:kern w:val="0"/>
                <w:sz w:val="24"/>
              </w:rPr>
              <w:t>5</w:t>
            </w:r>
          </w:p>
        </w:tc>
        <w:tc>
          <w:tcPr>
            <w:tcW w:w="1134" w:type="dxa"/>
            <w:vMerge w:val="restart"/>
            <w:noWrap w:val="0"/>
            <w:vAlign w:val="center"/>
          </w:tcPr>
          <w:p>
            <w:pPr>
              <w:widowControl/>
              <w:spacing w:line="360" w:lineRule="auto"/>
              <w:jc w:val="center"/>
              <w:rPr>
                <w:kern w:val="0"/>
                <w:sz w:val="24"/>
              </w:rPr>
            </w:pPr>
            <w:r>
              <w:rPr>
                <w:rFonts w:hint="eastAsia"/>
                <w:kern w:val="0"/>
                <w:sz w:val="24"/>
              </w:rPr>
              <w:t>文明</w:t>
            </w:r>
          </w:p>
          <w:p>
            <w:pPr>
              <w:widowControl/>
              <w:spacing w:line="360" w:lineRule="auto"/>
              <w:jc w:val="center"/>
              <w:rPr>
                <w:kern w:val="0"/>
                <w:sz w:val="24"/>
              </w:rPr>
            </w:pPr>
            <w:r>
              <w:rPr>
                <w:rFonts w:hint="eastAsia"/>
                <w:kern w:val="0"/>
                <w:sz w:val="24"/>
              </w:rPr>
              <w:t>服务</w:t>
            </w:r>
          </w:p>
          <w:p>
            <w:pPr>
              <w:widowControl/>
              <w:spacing w:line="360" w:lineRule="auto"/>
              <w:jc w:val="center"/>
              <w:rPr>
                <w:kern w:val="0"/>
                <w:sz w:val="24"/>
              </w:rPr>
            </w:pPr>
            <w:r>
              <w:rPr>
                <w:rFonts w:hint="eastAsia"/>
                <w:kern w:val="0"/>
                <w:sz w:val="24"/>
              </w:rPr>
              <w:t>（</w:t>
            </w:r>
            <w:r>
              <w:rPr>
                <w:kern w:val="0"/>
                <w:sz w:val="24"/>
              </w:rPr>
              <w:t>5</w:t>
            </w:r>
            <w:r>
              <w:rPr>
                <w:rFonts w:hint="eastAsia"/>
                <w:kern w:val="0"/>
                <w:sz w:val="24"/>
              </w:rPr>
              <w:t>分）</w:t>
            </w: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1</w:t>
            </w:r>
            <w:r>
              <w:rPr>
                <w:rFonts w:hint="eastAsia"/>
                <w:kern w:val="0"/>
                <w:sz w:val="24"/>
              </w:rPr>
              <w:t>）不以任何理由辱骂患者及其家属或员工。</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restart"/>
            <w:noWrap w:val="0"/>
            <w:vAlign w:val="center"/>
          </w:tcPr>
          <w:p>
            <w:pPr>
              <w:widowControl/>
              <w:spacing w:line="360" w:lineRule="auto"/>
              <w:jc w:val="left"/>
              <w:rPr>
                <w:kern w:val="0"/>
                <w:sz w:val="24"/>
              </w:rPr>
            </w:pPr>
            <w:r>
              <w:rPr>
                <w:rFonts w:hint="eastAsia"/>
                <w:kern w:val="0"/>
                <w:sz w:val="24"/>
              </w:rPr>
              <w:t>一处不符合扣</w:t>
            </w:r>
            <w:r>
              <w:rPr>
                <w:kern w:val="0"/>
                <w:sz w:val="24"/>
              </w:rPr>
              <w:t>1</w:t>
            </w:r>
            <w:r>
              <w:rPr>
                <w:rFonts w:hint="eastAsia"/>
                <w:kern w:val="0"/>
                <w:sz w:val="24"/>
              </w:rPr>
              <w:t>分；一处严重不符合扣</w:t>
            </w:r>
            <w:r>
              <w:rPr>
                <w:kern w:val="0"/>
                <w:sz w:val="24"/>
              </w:rPr>
              <w:t>2</w:t>
            </w:r>
            <w:r>
              <w:rPr>
                <w:rFonts w:hint="eastAsia"/>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2</w:t>
            </w:r>
            <w:r>
              <w:rPr>
                <w:rFonts w:hint="eastAsia"/>
                <w:kern w:val="0"/>
                <w:sz w:val="24"/>
              </w:rPr>
              <w:t>）规范使用礼貌用语，不讲粗话、脏话，体现文明服务。</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3</w:t>
            </w:r>
            <w:r>
              <w:rPr>
                <w:rFonts w:hint="eastAsia"/>
                <w:kern w:val="0"/>
                <w:sz w:val="24"/>
              </w:rPr>
              <w:t>）礼貌待人，微笑服务，来访应起立相待，主动打招呼。</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4</w:t>
            </w:r>
            <w:r>
              <w:rPr>
                <w:rFonts w:hint="eastAsia"/>
                <w:kern w:val="0"/>
                <w:sz w:val="24"/>
              </w:rPr>
              <w:t>）说话语调亲切、自然，对患者的提问解释耐心。</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5</w:t>
            </w:r>
            <w:r>
              <w:rPr>
                <w:rFonts w:hint="eastAsia"/>
                <w:kern w:val="0"/>
                <w:sz w:val="24"/>
              </w:rPr>
              <w:t>）患者或员工需要帮助时（提拿重物、扶老携幼等）应主动及时服务。</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restart"/>
            <w:shd w:val="clear" w:color="000000" w:fill="FFFFFF"/>
            <w:noWrap w:val="0"/>
            <w:vAlign w:val="center"/>
          </w:tcPr>
          <w:p>
            <w:pPr>
              <w:widowControl/>
              <w:spacing w:line="360" w:lineRule="auto"/>
              <w:jc w:val="center"/>
              <w:rPr>
                <w:kern w:val="0"/>
                <w:sz w:val="24"/>
              </w:rPr>
            </w:pPr>
            <w:r>
              <w:rPr>
                <w:kern w:val="0"/>
                <w:sz w:val="24"/>
              </w:rPr>
              <w:t>6</w:t>
            </w:r>
          </w:p>
        </w:tc>
        <w:tc>
          <w:tcPr>
            <w:tcW w:w="1134" w:type="dxa"/>
            <w:vMerge w:val="restart"/>
            <w:noWrap w:val="0"/>
            <w:vAlign w:val="center"/>
          </w:tcPr>
          <w:p>
            <w:pPr>
              <w:widowControl/>
              <w:spacing w:line="360" w:lineRule="auto"/>
              <w:ind w:firstLine="240" w:firstLineChars="100"/>
              <w:rPr>
                <w:kern w:val="0"/>
                <w:sz w:val="24"/>
              </w:rPr>
            </w:pPr>
            <w:r>
              <w:rPr>
                <w:rFonts w:hint="eastAsia"/>
                <w:kern w:val="0"/>
                <w:sz w:val="24"/>
              </w:rPr>
              <w:t>基础</w:t>
            </w:r>
          </w:p>
          <w:p>
            <w:pPr>
              <w:widowControl/>
              <w:spacing w:line="360" w:lineRule="auto"/>
              <w:jc w:val="center"/>
              <w:rPr>
                <w:kern w:val="0"/>
                <w:sz w:val="24"/>
              </w:rPr>
            </w:pPr>
            <w:r>
              <w:rPr>
                <w:rFonts w:hint="eastAsia"/>
                <w:kern w:val="0"/>
                <w:sz w:val="24"/>
              </w:rPr>
              <w:t>管理</w:t>
            </w:r>
          </w:p>
          <w:p>
            <w:pPr>
              <w:widowControl/>
              <w:spacing w:line="360" w:lineRule="auto"/>
              <w:jc w:val="center"/>
              <w:rPr>
                <w:kern w:val="0"/>
                <w:sz w:val="24"/>
              </w:rPr>
            </w:pPr>
            <w:r>
              <w:rPr>
                <w:rFonts w:hint="eastAsia"/>
                <w:kern w:val="0"/>
                <w:sz w:val="24"/>
              </w:rPr>
              <w:t>（</w:t>
            </w:r>
            <w:r>
              <w:rPr>
                <w:kern w:val="0"/>
                <w:sz w:val="24"/>
              </w:rPr>
              <w:t>20</w:t>
            </w:r>
            <w:r>
              <w:rPr>
                <w:rFonts w:hint="eastAsia"/>
                <w:kern w:val="0"/>
                <w:sz w:val="24"/>
              </w:rPr>
              <w:t>分）</w:t>
            </w: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1</w:t>
            </w:r>
            <w:r>
              <w:rPr>
                <w:rFonts w:hint="eastAsia"/>
                <w:kern w:val="0"/>
                <w:sz w:val="24"/>
              </w:rPr>
              <w:t>）维护窗口秩序，窗口</w:t>
            </w:r>
            <w:r>
              <w:rPr>
                <w:kern w:val="0"/>
                <w:sz w:val="24"/>
              </w:rPr>
              <w:t>5</w:t>
            </w:r>
            <w:r>
              <w:rPr>
                <w:rFonts w:hint="eastAsia"/>
                <w:kern w:val="0"/>
                <w:sz w:val="24"/>
              </w:rPr>
              <w:t>人以上就应该排队。</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restart"/>
            <w:noWrap w:val="0"/>
            <w:vAlign w:val="center"/>
          </w:tcPr>
          <w:p>
            <w:pPr>
              <w:widowControl/>
              <w:spacing w:line="360" w:lineRule="auto"/>
              <w:jc w:val="left"/>
              <w:rPr>
                <w:kern w:val="0"/>
                <w:sz w:val="24"/>
              </w:rPr>
            </w:pPr>
            <w:r>
              <w:rPr>
                <w:rFonts w:hint="eastAsia"/>
                <w:kern w:val="0"/>
                <w:sz w:val="24"/>
              </w:rPr>
              <w:t>一处不符合扣</w:t>
            </w:r>
            <w:r>
              <w:rPr>
                <w:kern w:val="0"/>
                <w:sz w:val="24"/>
              </w:rPr>
              <w:t>1</w:t>
            </w:r>
            <w:r>
              <w:rPr>
                <w:rFonts w:hint="eastAsia"/>
                <w:kern w:val="0"/>
                <w:sz w:val="24"/>
              </w:rPr>
              <w:t>分；一处严重不符合扣</w:t>
            </w:r>
            <w:r>
              <w:rPr>
                <w:kern w:val="0"/>
                <w:sz w:val="24"/>
              </w:rPr>
              <w:t>2</w:t>
            </w:r>
            <w:r>
              <w:rPr>
                <w:rFonts w:hint="eastAsia"/>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shd w:val="clear" w:color="000000" w:fill="FFFFFF"/>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2</w:t>
            </w:r>
            <w:r>
              <w:rPr>
                <w:rFonts w:hint="eastAsia"/>
                <w:kern w:val="0"/>
                <w:sz w:val="24"/>
              </w:rPr>
              <w:t>）维护诊室的秩序，杜绝围观现象，保持良好的医疗秩序。</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shd w:val="clear" w:color="000000" w:fill="FFFFFF"/>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3</w:t>
            </w:r>
            <w:r>
              <w:rPr>
                <w:rFonts w:hint="eastAsia"/>
                <w:kern w:val="0"/>
                <w:sz w:val="24"/>
              </w:rPr>
              <w:t>）守卫各主要出入口及院内重点部门。</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shd w:val="clear" w:color="000000" w:fill="FFFFFF"/>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4</w:t>
            </w:r>
            <w:r>
              <w:rPr>
                <w:rFonts w:hint="eastAsia"/>
                <w:kern w:val="0"/>
                <w:sz w:val="24"/>
              </w:rPr>
              <w:t>）打击院内各类违法犯罪行为，熟悉各类突发事件（如火警、爆炸、投毒、非法集会、盗窃、自然灾害等）的应急预案，能进行应急救援，突发事件能及时有效的组织人员疏散逃生。</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shd w:val="clear" w:color="000000" w:fill="FFFFFF"/>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5</w:t>
            </w:r>
            <w:r>
              <w:rPr>
                <w:rFonts w:hint="eastAsia"/>
                <w:kern w:val="0"/>
                <w:sz w:val="24"/>
              </w:rPr>
              <w:t>）认真做好防盗防抢工作，提醒病人及家属保管好自己的物品。</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shd w:val="clear" w:color="000000" w:fill="FFFFFF"/>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6</w:t>
            </w:r>
            <w:r>
              <w:rPr>
                <w:rFonts w:hint="eastAsia"/>
                <w:kern w:val="0"/>
                <w:sz w:val="24"/>
              </w:rPr>
              <w:t>）主动引导患者使用自助机。</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shd w:val="clear" w:color="000000" w:fill="FFFFFF"/>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7</w:t>
            </w:r>
            <w:r>
              <w:rPr>
                <w:rFonts w:hint="eastAsia"/>
                <w:kern w:val="0"/>
                <w:sz w:val="24"/>
              </w:rPr>
              <w:t>）做好控烟工作。</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shd w:val="clear" w:color="000000" w:fill="FFFFFF"/>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8</w:t>
            </w:r>
            <w:r>
              <w:rPr>
                <w:rFonts w:hint="eastAsia"/>
                <w:kern w:val="0"/>
                <w:sz w:val="24"/>
              </w:rPr>
              <w:t>）排查并消除安全隐患。</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shd w:val="clear" w:color="000000" w:fill="FFFFFF"/>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9</w:t>
            </w:r>
            <w:r>
              <w:rPr>
                <w:rFonts w:hint="eastAsia"/>
                <w:kern w:val="0"/>
                <w:sz w:val="24"/>
              </w:rPr>
              <w:t>）能及时扑救院内各类火灾事故，尤其是初始火灾。</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shd w:val="clear" w:color="000000" w:fill="FFFFFF"/>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10</w:t>
            </w:r>
            <w:r>
              <w:rPr>
                <w:rFonts w:hint="eastAsia"/>
                <w:kern w:val="0"/>
                <w:sz w:val="24"/>
              </w:rPr>
              <w:t>）阻止焚烧纸钱、摆设灵堂、摆放花圈、违规停尸、聚众滋事的发生。</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shd w:val="clear" w:color="000000" w:fill="FFFFFF"/>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11</w:t>
            </w:r>
            <w:r>
              <w:rPr>
                <w:rFonts w:hint="eastAsia"/>
                <w:kern w:val="0"/>
                <w:sz w:val="24"/>
              </w:rPr>
              <w:t>）阻止院内寻衅滋事的发生。</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shd w:val="clear" w:color="000000" w:fill="FFFFFF"/>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12</w:t>
            </w:r>
            <w:r>
              <w:rPr>
                <w:rFonts w:hint="eastAsia"/>
                <w:kern w:val="0"/>
                <w:sz w:val="24"/>
              </w:rPr>
              <w:t>）阻止非法携带易燃、易爆危险物品和管制器具进入。</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shd w:val="clear" w:color="000000" w:fill="FFFFFF"/>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13</w:t>
            </w:r>
            <w:r>
              <w:rPr>
                <w:rFonts w:hint="eastAsia"/>
                <w:kern w:val="0"/>
                <w:sz w:val="24"/>
              </w:rPr>
              <w:t>）阻止侮辱、威胁、恐吓、故意伤害医务人员或者非法限制医务人员人身自由。</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shd w:val="clear" w:color="000000" w:fill="FFFFFF"/>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14</w:t>
            </w:r>
            <w:r>
              <w:rPr>
                <w:rFonts w:hint="eastAsia"/>
                <w:kern w:val="0"/>
                <w:sz w:val="24"/>
              </w:rPr>
              <w:t>）阻止院内故意损毁或盗窃、抢夺公私财物。</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shd w:val="clear" w:color="000000" w:fill="FFFFFF"/>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15</w:t>
            </w:r>
            <w:r>
              <w:rPr>
                <w:rFonts w:hint="eastAsia"/>
                <w:kern w:val="0"/>
                <w:sz w:val="24"/>
              </w:rPr>
              <w:t>）阻止倒卖医疗机构挂号凭证。</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shd w:val="clear" w:color="000000" w:fill="FFFFFF"/>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16</w:t>
            </w:r>
            <w:r>
              <w:rPr>
                <w:rFonts w:hint="eastAsia"/>
                <w:kern w:val="0"/>
                <w:sz w:val="24"/>
              </w:rPr>
              <w:t>）阻止其他扰乱医疗机构正常秩序的行为。</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shd w:val="clear" w:color="000000" w:fill="FFFFFF"/>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17</w:t>
            </w:r>
            <w:r>
              <w:rPr>
                <w:rFonts w:hint="eastAsia"/>
                <w:kern w:val="0"/>
                <w:sz w:val="24"/>
              </w:rPr>
              <w:t>）上级检查、活动集会无条件配合。</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shd w:val="clear" w:color="000000" w:fill="FFFFFF"/>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18</w:t>
            </w:r>
            <w:r>
              <w:rPr>
                <w:rFonts w:hint="eastAsia"/>
                <w:kern w:val="0"/>
                <w:sz w:val="24"/>
              </w:rPr>
              <w:t>）现金押送、物品押运。</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restart"/>
            <w:tcBorders>
              <w:top w:val="nil"/>
            </w:tcBorders>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shd w:val="clear" w:color="000000" w:fill="FFFFFF"/>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19</w:t>
            </w:r>
            <w:r>
              <w:rPr>
                <w:rFonts w:hint="eastAsia"/>
                <w:kern w:val="0"/>
                <w:sz w:val="24"/>
              </w:rPr>
              <w:t>）定期检查工作区域内的消防设施器材是否齐全及清洁工作。</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tcBorders>
              <w:top w:val="nil"/>
            </w:tcBorders>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shd w:val="clear" w:color="000000" w:fill="FFFFFF"/>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20</w:t>
            </w:r>
            <w:r>
              <w:rPr>
                <w:rFonts w:hint="eastAsia"/>
                <w:kern w:val="0"/>
                <w:sz w:val="24"/>
              </w:rPr>
              <w:t>）其他临时性的工作任务。</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tcBorders>
              <w:top w:val="nil"/>
            </w:tcBorders>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restart"/>
            <w:noWrap w:val="0"/>
            <w:vAlign w:val="center"/>
          </w:tcPr>
          <w:p>
            <w:pPr>
              <w:widowControl/>
              <w:spacing w:line="360" w:lineRule="auto"/>
              <w:jc w:val="center"/>
              <w:rPr>
                <w:kern w:val="0"/>
                <w:sz w:val="24"/>
              </w:rPr>
            </w:pPr>
            <w:r>
              <w:rPr>
                <w:kern w:val="0"/>
                <w:sz w:val="24"/>
              </w:rPr>
              <w:t>7</w:t>
            </w:r>
          </w:p>
        </w:tc>
        <w:tc>
          <w:tcPr>
            <w:tcW w:w="1134" w:type="dxa"/>
            <w:vMerge w:val="restart"/>
            <w:noWrap w:val="0"/>
            <w:vAlign w:val="center"/>
          </w:tcPr>
          <w:p>
            <w:pPr>
              <w:widowControl/>
              <w:spacing w:line="360" w:lineRule="auto"/>
              <w:jc w:val="center"/>
              <w:rPr>
                <w:kern w:val="0"/>
                <w:sz w:val="24"/>
              </w:rPr>
            </w:pPr>
            <w:r>
              <w:rPr>
                <w:rFonts w:hint="eastAsia"/>
                <w:kern w:val="0"/>
                <w:sz w:val="24"/>
              </w:rPr>
              <w:t>消控</w:t>
            </w:r>
          </w:p>
          <w:p>
            <w:pPr>
              <w:widowControl/>
              <w:spacing w:line="360" w:lineRule="auto"/>
              <w:jc w:val="center"/>
              <w:rPr>
                <w:kern w:val="0"/>
                <w:sz w:val="24"/>
              </w:rPr>
            </w:pPr>
            <w:r>
              <w:rPr>
                <w:rFonts w:hint="eastAsia"/>
                <w:kern w:val="0"/>
                <w:sz w:val="24"/>
              </w:rPr>
              <w:t>监控</w:t>
            </w:r>
          </w:p>
          <w:p>
            <w:pPr>
              <w:widowControl/>
              <w:spacing w:line="360" w:lineRule="auto"/>
              <w:jc w:val="center"/>
              <w:rPr>
                <w:kern w:val="0"/>
                <w:sz w:val="24"/>
              </w:rPr>
            </w:pPr>
            <w:r>
              <w:rPr>
                <w:rFonts w:hint="eastAsia"/>
                <w:kern w:val="0"/>
                <w:sz w:val="24"/>
              </w:rPr>
              <w:t>（</w:t>
            </w:r>
            <w:r>
              <w:rPr>
                <w:kern w:val="0"/>
                <w:sz w:val="24"/>
              </w:rPr>
              <w:t>20</w:t>
            </w:r>
            <w:r>
              <w:rPr>
                <w:rFonts w:hint="eastAsia"/>
                <w:kern w:val="0"/>
                <w:sz w:val="24"/>
              </w:rPr>
              <w:t>分）</w:t>
            </w: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1</w:t>
            </w:r>
            <w:r>
              <w:rPr>
                <w:rFonts w:hint="eastAsia"/>
                <w:kern w:val="0"/>
                <w:sz w:val="24"/>
              </w:rPr>
              <w:t>）建立健全消防管理制度，建立消防责任制，由消控岗专人协助后勤保障处管理消防器材，保持其完好。</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restart"/>
            <w:noWrap w:val="0"/>
            <w:vAlign w:val="center"/>
          </w:tcPr>
          <w:p>
            <w:pPr>
              <w:widowControl/>
              <w:spacing w:line="360" w:lineRule="auto"/>
              <w:jc w:val="left"/>
              <w:rPr>
                <w:kern w:val="0"/>
                <w:sz w:val="24"/>
              </w:rPr>
            </w:pPr>
            <w:r>
              <w:rPr>
                <w:rFonts w:hint="eastAsia"/>
                <w:kern w:val="0"/>
                <w:sz w:val="24"/>
              </w:rPr>
              <w:t>一处不符合扣</w:t>
            </w:r>
            <w:r>
              <w:rPr>
                <w:kern w:val="0"/>
                <w:sz w:val="24"/>
              </w:rPr>
              <w:t>2</w:t>
            </w:r>
            <w:r>
              <w:rPr>
                <w:rFonts w:hint="eastAsia"/>
                <w:kern w:val="0"/>
                <w:sz w:val="24"/>
              </w:rPr>
              <w:t>分；一处严重不符合扣</w:t>
            </w:r>
            <w:r>
              <w:rPr>
                <w:kern w:val="0"/>
                <w:sz w:val="24"/>
              </w:rPr>
              <w:t>5</w:t>
            </w:r>
            <w:r>
              <w:rPr>
                <w:rFonts w:hint="eastAsia"/>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2</w:t>
            </w:r>
            <w:r>
              <w:rPr>
                <w:rFonts w:hint="eastAsia"/>
                <w:kern w:val="0"/>
                <w:sz w:val="24"/>
              </w:rPr>
              <w:t>）消控中心</w:t>
            </w:r>
            <w:r>
              <w:rPr>
                <w:kern w:val="0"/>
                <w:sz w:val="24"/>
              </w:rPr>
              <w:t>24h</w:t>
            </w:r>
            <w:r>
              <w:rPr>
                <w:rFonts w:hint="eastAsia"/>
                <w:kern w:val="0"/>
                <w:sz w:val="24"/>
              </w:rPr>
              <w:t>值班，值班记录完善，消防应急方案贴在墙上且值班员熟悉，消防报警电话保持畅通。</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b/>
                <w:bCs/>
                <w:kern w:val="0"/>
                <w:sz w:val="24"/>
              </w:rPr>
            </w:pPr>
            <w:r>
              <w:rPr>
                <w:rFonts w:hint="eastAsia"/>
                <w:kern w:val="0"/>
                <w:sz w:val="24"/>
              </w:rPr>
              <w:t>（</w:t>
            </w:r>
            <w:r>
              <w:rPr>
                <w:kern w:val="0"/>
                <w:sz w:val="24"/>
              </w:rPr>
              <w:t>3</w:t>
            </w:r>
            <w:r>
              <w:rPr>
                <w:rFonts w:hint="eastAsia"/>
                <w:kern w:val="0"/>
                <w:sz w:val="24"/>
              </w:rPr>
              <w:t>）协助后勤保障处做好每月</w:t>
            </w:r>
            <w:r>
              <w:rPr>
                <w:kern w:val="0"/>
                <w:sz w:val="24"/>
              </w:rPr>
              <w:t>1</w:t>
            </w:r>
            <w:r>
              <w:rPr>
                <w:rFonts w:hint="eastAsia"/>
                <w:kern w:val="0"/>
                <w:sz w:val="24"/>
              </w:rPr>
              <w:t>次的消防安全大检查（灭火器是否完好有效，消防水带水枪是否齐全，消防栓是否有水，应急疏散通道是否畅通，安全疏散通道标志、安全出口标志、应急照明装置是否完好有效等），检查结果记录在《消防检查月记录表》、《灭火器检查卡》内；有违反消防规定的，要及时通知整改，并监督整改过程。</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b/>
                <w:bCs/>
                <w:kern w:val="0"/>
                <w:sz w:val="24"/>
              </w:rPr>
            </w:pPr>
            <w:r>
              <w:rPr>
                <w:rFonts w:hint="eastAsia"/>
                <w:kern w:val="0"/>
                <w:sz w:val="24"/>
              </w:rPr>
              <w:t>（</w:t>
            </w:r>
            <w:r>
              <w:rPr>
                <w:kern w:val="0"/>
                <w:sz w:val="24"/>
              </w:rPr>
              <w:t>4</w:t>
            </w:r>
            <w:r>
              <w:rPr>
                <w:rFonts w:hint="eastAsia"/>
                <w:kern w:val="0"/>
                <w:sz w:val="24"/>
              </w:rPr>
              <w:t>）协助后勤保障处监督消防维保公司做好每月一次消防设施设备的巡检和养护工作。</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color w:val="000000"/>
                <w:kern w:val="0"/>
                <w:sz w:val="24"/>
              </w:rPr>
              <w:t>（</w:t>
            </w:r>
            <w:r>
              <w:rPr>
                <w:color w:val="000000"/>
                <w:kern w:val="0"/>
                <w:sz w:val="24"/>
              </w:rPr>
              <w:t>5</w:t>
            </w:r>
            <w:r>
              <w:rPr>
                <w:rFonts w:hint="eastAsia"/>
                <w:color w:val="000000"/>
                <w:kern w:val="0"/>
                <w:sz w:val="24"/>
              </w:rPr>
              <w:t>）</w:t>
            </w:r>
            <w:r>
              <w:rPr>
                <w:rFonts w:hint="eastAsia" w:ascii="宋体" w:hAnsi="宋体"/>
                <w:color w:val="000000"/>
                <w:sz w:val="24"/>
              </w:rPr>
              <w:t>按规定进行“消防四个能力建设”要求每日进行巡查，查处违章用电、用火、用气情况；保持消防通道通畅；建立消防重点部门（配电房、氧气间等）的管理规范。</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6</w:t>
            </w:r>
            <w:r>
              <w:rPr>
                <w:rFonts w:hint="eastAsia"/>
                <w:kern w:val="0"/>
                <w:sz w:val="24"/>
              </w:rPr>
              <w:t>）有义务消防队，经过培训和演练，组织人员明白在火灾发生时的职责。</w:t>
            </w:r>
          </w:p>
        </w:tc>
        <w:tc>
          <w:tcPr>
            <w:tcW w:w="708" w:type="dxa"/>
            <w:noWrap w:val="0"/>
            <w:vAlign w:val="center"/>
          </w:tcPr>
          <w:p>
            <w:pPr>
              <w:widowControl/>
              <w:spacing w:line="360" w:lineRule="auto"/>
              <w:jc w:val="center"/>
              <w:rPr>
                <w:kern w:val="0"/>
                <w:sz w:val="24"/>
              </w:rPr>
            </w:pP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7</w:t>
            </w:r>
            <w:r>
              <w:rPr>
                <w:rFonts w:hint="eastAsia"/>
                <w:kern w:val="0"/>
                <w:sz w:val="24"/>
              </w:rPr>
              <w:t>）消防工具及备用灭火器材有效、足够，不得缺失和挪作他用，规范放置，有标识。</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8</w:t>
            </w:r>
            <w:r>
              <w:rPr>
                <w:rFonts w:hint="eastAsia"/>
                <w:kern w:val="0"/>
                <w:sz w:val="24"/>
              </w:rPr>
              <w:t>）有消防器材清单和器材分布图。</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9</w:t>
            </w:r>
            <w:r>
              <w:rPr>
                <w:rFonts w:hint="eastAsia"/>
                <w:kern w:val="0"/>
                <w:sz w:val="24"/>
              </w:rPr>
              <w:t>）灭火器足够、有效，消防栓、疏散图、出口指示灯完好，消防标示齐全，疏散通道畅通。</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10</w:t>
            </w:r>
            <w:r>
              <w:rPr>
                <w:rFonts w:hint="eastAsia"/>
                <w:kern w:val="0"/>
                <w:sz w:val="24"/>
              </w:rPr>
              <w:t>）根据需要对各科室进行消防宣传和消防演练（消防培训、安全常识、应急情况处理等）。</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11</w:t>
            </w:r>
            <w:r>
              <w:rPr>
                <w:rFonts w:hint="eastAsia"/>
                <w:kern w:val="0"/>
                <w:sz w:val="24"/>
              </w:rPr>
              <w:t>）定期组织消防安全检查，形成报告，发现问题跟进整改，对得不到解决的消防隐患要及时上报相关部门共同解决。</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12</w:t>
            </w:r>
            <w:r>
              <w:rPr>
                <w:rFonts w:hint="eastAsia"/>
                <w:kern w:val="0"/>
                <w:sz w:val="24"/>
              </w:rPr>
              <w:t>）消防中心值班员对火灾报警能按照程序正确处理，应迅速赶到现场并查明原因；如为故障报警，应迅速消除故障，使其复原，并有记录。</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13</w:t>
            </w:r>
            <w:r>
              <w:rPr>
                <w:rFonts w:hint="eastAsia"/>
                <w:kern w:val="0"/>
                <w:sz w:val="24"/>
              </w:rPr>
              <w:t>）消防中心值班员熟悉报警及联动设备的操作，懂得如何利用广播传递信息和疏散人员。</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14</w:t>
            </w:r>
            <w:r>
              <w:rPr>
                <w:rFonts w:hint="eastAsia"/>
                <w:kern w:val="0"/>
                <w:sz w:val="24"/>
              </w:rPr>
              <w:t>）消防中心有异常误报记录，对经常误报和经常报警点有特别的监管措施。</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15</w:t>
            </w:r>
            <w:r>
              <w:rPr>
                <w:rFonts w:hint="eastAsia"/>
                <w:kern w:val="0"/>
                <w:sz w:val="24"/>
              </w:rPr>
              <w:t>）对消防故障点和故障设备记录清楚，并告知该区域有关人员采取特别措施进行防范。。</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16</w:t>
            </w:r>
            <w:r>
              <w:rPr>
                <w:rFonts w:hint="eastAsia"/>
                <w:kern w:val="0"/>
                <w:sz w:val="24"/>
              </w:rPr>
              <w:t>）安全监控设施确保</w:t>
            </w:r>
            <w:r>
              <w:rPr>
                <w:kern w:val="0"/>
                <w:sz w:val="24"/>
              </w:rPr>
              <w:t>24h</w:t>
            </w:r>
            <w:r>
              <w:rPr>
                <w:rFonts w:hint="eastAsia"/>
                <w:kern w:val="0"/>
                <w:sz w:val="24"/>
              </w:rPr>
              <w:t>开通并监视，所有监控设施设备均应处于良好状态。</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17</w:t>
            </w:r>
            <w:r>
              <w:rPr>
                <w:rFonts w:hint="eastAsia"/>
                <w:kern w:val="0"/>
                <w:sz w:val="24"/>
              </w:rPr>
              <w:t>）监控中心应有严格管理制度和设备维修制度，重点区域（主出入口、主干道、电梯、主要楼道、治安死角、车场等）应有监控录像。</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18</w:t>
            </w:r>
            <w:r>
              <w:rPr>
                <w:rFonts w:hint="eastAsia"/>
                <w:kern w:val="0"/>
                <w:sz w:val="24"/>
              </w:rPr>
              <w:t>）监控中心值班员熟练操作监控设备，了解重点监控部位，能切换画面，能调阅图像。</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19</w:t>
            </w:r>
            <w:r>
              <w:rPr>
                <w:rFonts w:hint="eastAsia"/>
                <w:kern w:val="0"/>
                <w:sz w:val="24"/>
              </w:rPr>
              <w:t>）视频报警系统接到报警后，必须确保</w:t>
            </w:r>
            <w:r>
              <w:rPr>
                <w:kern w:val="0"/>
                <w:sz w:val="24"/>
              </w:rPr>
              <w:t>2</w:t>
            </w:r>
            <w:r>
              <w:rPr>
                <w:rFonts w:hint="eastAsia"/>
                <w:kern w:val="0"/>
                <w:sz w:val="24"/>
              </w:rPr>
              <w:t>名以上的保安在</w:t>
            </w:r>
            <w:r>
              <w:rPr>
                <w:kern w:val="0"/>
                <w:sz w:val="24"/>
              </w:rPr>
              <w:t>3</w:t>
            </w:r>
            <w:r>
              <w:rPr>
                <w:rFonts w:hint="eastAsia"/>
                <w:kern w:val="0"/>
                <w:sz w:val="24"/>
              </w:rPr>
              <w:t>分钟内赶赴呼叫现场，及时控制事态，确保医护人员人身的绝对安全及医院财物不受破坏。</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restart"/>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20</w:t>
            </w:r>
            <w:r>
              <w:rPr>
                <w:rFonts w:hint="eastAsia"/>
                <w:kern w:val="0"/>
                <w:sz w:val="24"/>
              </w:rPr>
              <w:t>）监控中心重点监视外来闲杂人员</w:t>
            </w:r>
            <w:r>
              <w:rPr>
                <w:kern w:val="0"/>
                <w:sz w:val="24"/>
              </w:rPr>
              <w:t>、</w:t>
            </w:r>
            <w:r>
              <w:rPr>
                <w:rFonts w:hint="eastAsia"/>
                <w:kern w:val="0"/>
                <w:sz w:val="24"/>
              </w:rPr>
              <w:t>逐层上门派发广告、拉业务人员以及其他可疑人员，一旦发现上述情况，应作进一步跟踪，并立即通知该区域保安和巡逻人员跟进处理。</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21</w:t>
            </w:r>
            <w:r>
              <w:rPr>
                <w:rFonts w:hint="eastAsia"/>
                <w:kern w:val="0"/>
                <w:sz w:val="24"/>
              </w:rPr>
              <w:t>）监控的录入资料应至少保持</w:t>
            </w:r>
            <w:r>
              <w:rPr>
                <w:kern w:val="0"/>
                <w:sz w:val="24"/>
              </w:rPr>
              <w:t>30</w:t>
            </w:r>
            <w:r>
              <w:rPr>
                <w:rFonts w:hint="eastAsia"/>
                <w:kern w:val="0"/>
                <w:sz w:val="24"/>
              </w:rPr>
              <w:t>天以上，有特殊要求的按相关规定和行业标准执行。</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22</w:t>
            </w:r>
            <w:r>
              <w:rPr>
                <w:rFonts w:hint="eastAsia"/>
                <w:kern w:val="0"/>
                <w:sz w:val="24"/>
              </w:rPr>
              <w:t>）熟悉应急预案，保障治安电话畅通，接听及时，铃响</w:t>
            </w:r>
            <w:r>
              <w:rPr>
                <w:kern w:val="0"/>
                <w:sz w:val="24"/>
              </w:rPr>
              <w:t>3</w:t>
            </w:r>
            <w:r>
              <w:rPr>
                <w:rFonts w:hint="eastAsia"/>
                <w:kern w:val="0"/>
                <w:sz w:val="24"/>
              </w:rPr>
              <w:t>声内应接听。</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23</w:t>
            </w:r>
            <w:r>
              <w:rPr>
                <w:rFonts w:hint="eastAsia"/>
                <w:kern w:val="0"/>
                <w:sz w:val="24"/>
              </w:rPr>
              <w:t>）监控中心不能发生脱岗和非专业人员替岗的现象，工作应有记录和交接班记录。</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24</w:t>
            </w:r>
            <w:r>
              <w:rPr>
                <w:rFonts w:hint="eastAsia"/>
                <w:kern w:val="0"/>
                <w:sz w:val="24"/>
              </w:rPr>
              <w:t>）异常监控情况有另存盘，有记录。</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25</w:t>
            </w:r>
            <w:r>
              <w:rPr>
                <w:rFonts w:hint="eastAsia"/>
                <w:kern w:val="0"/>
                <w:sz w:val="24"/>
              </w:rPr>
              <w:t>）来访来电有处理、有记录和跟进。</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spacing w:line="360" w:lineRule="auto"/>
              <w:jc w:val="left"/>
              <w:rPr>
                <w:kern w:val="0"/>
                <w:sz w:val="24"/>
              </w:rPr>
            </w:pPr>
            <w:r>
              <w:rPr>
                <w:rFonts w:hint="eastAsia"/>
                <w:kern w:val="0"/>
                <w:sz w:val="24"/>
              </w:rPr>
              <w:t>（</w:t>
            </w:r>
            <w:r>
              <w:rPr>
                <w:kern w:val="0"/>
                <w:sz w:val="24"/>
              </w:rPr>
              <w:t>26</w:t>
            </w:r>
            <w:r>
              <w:rPr>
                <w:rFonts w:hint="eastAsia"/>
                <w:kern w:val="0"/>
                <w:sz w:val="24"/>
              </w:rPr>
              <w:t>）突发事件按程序上报。</w:t>
            </w:r>
          </w:p>
        </w:tc>
        <w:tc>
          <w:tcPr>
            <w:tcW w:w="708" w:type="dxa"/>
            <w:noWrap w:val="0"/>
            <w:vAlign w:val="center"/>
          </w:tcPr>
          <w:p>
            <w:pPr>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spacing w:line="360" w:lineRule="auto"/>
              <w:jc w:val="left"/>
              <w:rPr>
                <w:kern w:val="0"/>
                <w:sz w:val="24"/>
              </w:rPr>
            </w:pPr>
            <w:r>
              <w:rPr>
                <w:rFonts w:hint="eastAsia"/>
                <w:kern w:val="0"/>
                <w:sz w:val="24"/>
              </w:rPr>
              <w:t>（</w:t>
            </w:r>
            <w:r>
              <w:rPr>
                <w:kern w:val="0"/>
                <w:sz w:val="24"/>
              </w:rPr>
              <w:t>27</w:t>
            </w:r>
            <w:r>
              <w:rPr>
                <w:rFonts w:hint="eastAsia"/>
                <w:kern w:val="0"/>
                <w:sz w:val="24"/>
              </w:rPr>
              <w:t>）持消控证上岗，保持监控的卫生、整洁、干净。</w:t>
            </w:r>
          </w:p>
        </w:tc>
        <w:tc>
          <w:tcPr>
            <w:tcW w:w="708" w:type="dxa"/>
            <w:noWrap w:val="0"/>
            <w:vAlign w:val="center"/>
          </w:tcPr>
          <w:p>
            <w:pPr>
              <w:widowControl/>
              <w:spacing w:line="360" w:lineRule="auto"/>
              <w:jc w:val="center"/>
              <w:rPr>
                <w:kern w:val="0"/>
                <w:sz w:val="24"/>
              </w:rPr>
            </w:pPr>
          </w:p>
          <w:p>
            <w:pPr>
              <w:spacing w:line="360" w:lineRule="auto"/>
              <w:jc w:val="center"/>
              <w:rPr>
                <w:kern w:val="0"/>
                <w:sz w:val="24"/>
              </w:rPr>
            </w:pP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restart"/>
            <w:noWrap w:val="0"/>
            <w:vAlign w:val="center"/>
          </w:tcPr>
          <w:p>
            <w:pPr>
              <w:widowControl/>
              <w:spacing w:line="360" w:lineRule="auto"/>
              <w:jc w:val="center"/>
              <w:rPr>
                <w:kern w:val="0"/>
                <w:sz w:val="24"/>
              </w:rPr>
            </w:pPr>
            <w:r>
              <w:rPr>
                <w:kern w:val="0"/>
                <w:sz w:val="24"/>
              </w:rPr>
              <w:t>8</w:t>
            </w:r>
          </w:p>
        </w:tc>
        <w:tc>
          <w:tcPr>
            <w:tcW w:w="1134" w:type="dxa"/>
            <w:vMerge w:val="restart"/>
            <w:noWrap w:val="0"/>
            <w:vAlign w:val="center"/>
          </w:tcPr>
          <w:p>
            <w:pPr>
              <w:widowControl/>
              <w:spacing w:line="360" w:lineRule="auto"/>
              <w:jc w:val="center"/>
              <w:rPr>
                <w:kern w:val="0"/>
                <w:sz w:val="24"/>
              </w:rPr>
            </w:pPr>
            <w:r>
              <w:rPr>
                <w:rFonts w:hint="eastAsia"/>
                <w:kern w:val="0"/>
                <w:sz w:val="24"/>
              </w:rPr>
              <w:t>巡逻</w:t>
            </w:r>
          </w:p>
          <w:p>
            <w:pPr>
              <w:widowControl/>
              <w:spacing w:line="360" w:lineRule="auto"/>
              <w:jc w:val="center"/>
              <w:rPr>
                <w:kern w:val="0"/>
                <w:sz w:val="24"/>
              </w:rPr>
            </w:pPr>
            <w:r>
              <w:rPr>
                <w:rFonts w:hint="eastAsia"/>
                <w:kern w:val="0"/>
                <w:sz w:val="24"/>
              </w:rPr>
              <w:t>保安</w:t>
            </w:r>
          </w:p>
          <w:p>
            <w:pPr>
              <w:widowControl/>
              <w:spacing w:line="360" w:lineRule="auto"/>
              <w:jc w:val="center"/>
              <w:rPr>
                <w:kern w:val="0"/>
                <w:sz w:val="24"/>
              </w:rPr>
            </w:pPr>
            <w:r>
              <w:rPr>
                <w:rFonts w:hint="eastAsia"/>
                <w:kern w:val="0"/>
                <w:sz w:val="24"/>
              </w:rPr>
              <w:t>（</w:t>
            </w:r>
            <w:r>
              <w:rPr>
                <w:kern w:val="0"/>
                <w:sz w:val="24"/>
              </w:rPr>
              <w:t>10</w:t>
            </w:r>
            <w:r>
              <w:rPr>
                <w:rFonts w:hint="eastAsia"/>
                <w:kern w:val="0"/>
                <w:sz w:val="24"/>
              </w:rPr>
              <w:t>分）</w:t>
            </w: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1</w:t>
            </w:r>
            <w:r>
              <w:rPr>
                <w:rFonts w:hint="eastAsia"/>
                <w:kern w:val="0"/>
                <w:sz w:val="24"/>
              </w:rPr>
              <w:t>）有明确的安全防范重点部位，巡视工作职责清楚，巡视工作流程规范，有相对固定的巡视路线图，对重点区域、重点部位有安全防范措施。</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restart"/>
            <w:noWrap w:val="0"/>
            <w:vAlign w:val="center"/>
          </w:tcPr>
          <w:p>
            <w:pPr>
              <w:widowControl/>
              <w:spacing w:line="360" w:lineRule="auto"/>
              <w:jc w:val="left"/>
              <w:rPr>
                <w:kern w:val="0"/>
                <w:sz w:val="24"/>
              </w:rPr>
            </w:pPr>
            <w:r>
              <w:rPr>
                <w:rFonts w:hint="eastAsia"/>
                <w:kern w:val="0"/>
                <w:sz w:val="24"/>
              </w:rPr>
              <w:t>一处不符合扣</w:t>
            </w:r>
            <w:r>
              <w:rPr>
                <w:kern w:val="0"/>
                <w:sz w:val="24"/>
              </w:rPr>
              <w:t>1</w:t>
            </w:r>
            <w:r>
              <w:rPr>
                <w:rFonts w:hint="eastAsia"/>
                <w:kern w:val="0"/>
                <w:sz w:val="24"/>
              </w:rPr>
              <w:t>分；一处严重不符合扣</w:t>
            </w:r>
            <w:r>
              <w:rPr>
                <w:kern w:val="0"/>
                <w:sz w:val="24"/>
              </w:rPr>
              <w:t>2</w:t>
            </w:r>
            <w:r>
              <w:rPr>
                <w:rFonts w:hint="eastAsia"/>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2</w:t>
            </w:r>
            <w:r>
              <w:rPr>
                <w:rFonts w:hint="eastAsia"/>
                <w:kern w:val="0"/>
                <w:sz w:val="24"/>
              </w:rPr>
              <w:t>）巡视使用巡更设备签到，每月对红外线报警系统进行检查，巡视做好记录；发现有异常情况时，应及时处理或报告，注意不安全隐患。</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3</w:t>
            </w:r>
            <w:r>
              <w:rPr>
                <w:rFonts w:hint="eastAsia"/>
                <w:kern w:val="0"/>
                <w:sz w:val="24"/>
              </w:rPr>
              <w:t>）熟知《重点部门报警处置预案》，落实重点部门的防范措施，收到消防或监控中心发出的指令后，巡视人员及时到达，并采取相应措施。</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4</w:t>
            </w:r>
            <w:r>
              <w:rPr>
                <w:rFonts w:hint="eastAsia"/>
                <w:kern w:val="0"/>
                <w:sz w:val="24"/>
              </w:rPr>
              <w:t>）巡视中发现异常情况，立即通知有关部门并在现场采取必要措施进行前期处理，尽量减少损失，协助保护现场，随时准备启动相应应急预案。</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5</w:t>
            </w:r>
            <w:r>
              <w:rPr>
                <w:rFonts w:hint="eastAsia"/>
                <w:kern w:val="0"/>
                <w:sz w:val="24"/>
              </w:rPr>
              <w:t>）</w:t>
            </w:r>
            <w:r>
              <w:rPr>
                <w:rFonts w:hint="eastAsia"/>
                <w:sz w:val="24"/>
              </w:rPr>
              <w:t>每天上午</w:t>
            </w:r>
            <w:r>
              <w:rPr>
                <w:sz w:val="24"/>
              </w:rPr>
              <w:t>8</w:t>
            </w:r>
            <w:r>
              <w:rPr>
                <w:rFonts w:hint="eastAsia"/>
                <w:sz w:val="24"/>
              </w:rPr>
              <w:t>点半至下午</w:t>
            </w:r>
            <w:r>
              <w:rPr>
                <w:sz w:val="24"/>
              </w:rPr>
              <w:t>16</w:t>
            </w:r>
            <w:r>
              <w:rPr>
                <w:rFonts w:hint="eastAsia"/>
                <w:sz w:val="24"/>
              </w:rPr>
              <w:t>点半不间断对全院武装巡逻，</w:t>
            </w:r>
            <w:r>
              <w:rPr>
                <w:rFonts w:hint="eastAsia"/>
                <w:kern w:val="0"/>
                <w:sz w:val="24"/>
              </w:rPr>
              <w:t>夜间巡逻次数不少于</w:t>
            </w:r>
            <w:r>
              <w:rPr>
                <w:kern w:val="0"/>
                <w:sz w:val="24"/>
              </w:rPr>
              <w:t>3</w:t>
            </w:r>
            <w:r>
              <w:rPr>
                <w:rFonts w:hint="eastAsia"/>
                <w:kern w:val="0"/>
                <w:sz w:val="24"/>
              </w:rPr>
              <w:t>次。</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6</w:t>
            </w:r>
            <w:r>
              <w:rPr>
                <w:rFonts w:hint="eastAsia"/>
                <w:kern w:val="0"/>
                <w:sz w:val="24"/>
              </w:rPr>
              <w:t>）下午巡逻时包括消防日巡查内容，并做好记录，有情况及时报告消控室值班人员。</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spacing w:line="360" w:lineRule="auto"/>
              <w:jc w:val="left"/>
              <w:rPr>
                <w:kern w:val="0"/>
                <w:sz w:val="24"/>
              </w:rPr>
            </w:pPr>
            <w:r>
              <w:rPr>
                <w:rFonts w:hint="eastAsia"/>
                <w:kern w:val="0"/>
                <w:sz w:val="24"/>
              </w:rPr>
              <w:t>（</w:t>
            </w:r>
            <w:r>
              <w:rPr>
                <w:kern w:val="0"/>
                <w:sz w:val="24"/>
              </w:rPr>
              <w:t>7</w:t>
            </w:r>
            <w:r>
              <w:rPr>
                <w:rFonts w:hint="eastAsia"/>
                <w:kern w:val="0"/>
                <w:sz w:val="24"/>
              </w:rPr>
              <w:t>）巡视时如遇患者的求助和询问，有礼貌地回答。</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spacing w:line="360" w:lineRule="auto"/>
              <w:jc w:val="left"/>
              <w:rPr>
                <w:kern w:val="0"/>
                <w:sz w:val="24"/>
              </w:rPr>
            </w:pPr>
            <w:r>
              <w:rPr>
                <w:rFonts w:hint="eastAsia"/>
                <w:kern w:val="0"/>
                <w:sz w:val="24"/>
              </w:rPr>
              <w:t>（</w:t>
            </w:r>
            <w:r>
              <w:rPr>
                <w:kern w:val="0"/>
                <w:sz w:val="24"/>
              </w:rPr>
              <w:t>8</w:t>
            </w:r>
            <w:r>
              <w:rPr>
                <w:rFonts w:hint="eastAsia"/>
                <w:kern w:val="0"/>
                <w:sz w:val="24"/>
              </w:rPr>
              <w:t>）对于进入院内张贴乱发传单、广告等的人员及时驱逐。</w:t>
            </w:r>
          </w:p>
        </w:tc>
        <w:tc>
          <w:tcPr>
            <w:tcW w:w="708" w:type="dxa"/>
            <w:noWrap w:val="0"/>
            <w:vAlign w:val="center"/>
          </w:tcPr>
          <w:p>
            <w:pPr>
              <w:spacing w:line="360" w:lineRule="auto"/>
              <w:jc w:val="center"/>
              <w:rPr>
                <w:kern w:val="0"/>
                <w:sz w:val="24"/>
              </w:rPr>
            </w:pPr>
          </w:p>
        </w:tc>
        <w:tc>
          <w:tcPr>
            <w:tcW w:w="1560" w:type="dxa"/>
            <w:vMerge w:val="continue"/>
            <w:noWrap w:val="0"/>
            <w:vAlign w:val="center"/>
          </w:tcPr>
          <w:p>
            <w:pPr>
              <w:widowControl/>
              <w:spacing w:line="360" w:lineRule="auto"/>
              <w:jc w:val="left"/>
              <w:rPr>
                <w:kern w:val="0"/>
                <w:sz w:val="24"/>
              </w:rPr>
            </w:pPr>
          </w:p>
        </w:tc>
      </w:tr>
      <w:tr>
        <w:tblPrEx>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spacing w:line="360" w:lineRule="auto"/>
              <w:jc w:val="left"/>
              <w:rPr>
                <w:kern w:val="0"/>
                <w:sz w:val="24"/>
              </w:rPr>
            </w:pPr>
            <w:r>
              <w:rPr>
                <w:rFonts w:hint="eastAsia"/>
                <w:kern w:val="0"/>
                <w:sz w:val="24"/>
              </w:rPr>
              <w:t>（</w:t>
            </w:r>
            <w:r>
              <w:rPr>
                <w:kern w:val="0"/>
                <w:sz w:val="24"/>
              </w:rPr>
              <w:t>9</w:t>
            </w:r>
            <w:r>
              <w:rPr>
                <w:rFonts w:hint="eastAsia"/>
                <w:kern w:val="0"/>
                <w:sz w:val="24"/>
              </w:rPr>
              <w:t>）及时驱逐被医院列入黑名单以及在不符合规定区域出现的医药代表和药商。</w:t>
            </w:r>
          </w:p>
        </w:tc>
        <w:tc>
          <w:tcPr>
            <w:tcW w:w="708" w:type="dxa"/>
            <w:noWrap w:val="0"/>
            <w:vAlign w:val="center"/>
          </w:tcPr>
          <w:p>
            <w:pPr>
              <w:spacing w:line="360" w:lineRule="auto"/>
              <w:jc w:val="center"/>
              <w:rPr>
                <w:kern w:val="0"/>
                <w:sz w:val="24"/>
              </w:rPr>
            </w:pP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restart"/>
            <w:noWrap w:val="0"/>
            <w:vAlign w:val="center"/>
          </w:tcPr>
          <w:p>
            <w:pPr>
              <w:widowControl/>
              <w:spacing w:line="360" w:lineRule="auto"/>
              <w:jc w:val="center"/>
              <w:rPr>
                <w:kern w:val="0"/>
                <w:sz w:val="24"/>
              </w:rPr>
            </w:pPr>
            <w:r>
              <w:rPr>
                <w:kern w:val="0"/>
                <w:sz w:val="24"/>
              </w:rPr>
              <w:t>9</w:t>
            </w:r>
          </w:p>
        </w:tc>
        <w:tc>
          <w:tcPr>
            <w:tcW w:w="1134" w:type="dxa"/>
            <w:vMerge w:val="restart"/>
            <w:noWrap w:val="0"/>
            <w:vAlign w:val="center"/>
          </w:tcPr>
          <w:p>
            <w:pPr>
              <w:widowControl/>
              <w:spacing w:line="360" w:lineRule="auto"/>
              <w:jc w:val="center"/>
              <w:rPr>
                <w:kern w:val="0"/>
                <w:sz w:val="24"/>
              </w:rPr>
            </w:pPr>
            <w:r>
              <w:rPr>
                <w:rFonts w:hint="eastAsia"/>
                <w:kern w:val="0"/>
                <w:sz w:val="24"/>
              </w:rPr>
              <w:t>外围</w:t>
            </w:r>
          </w:p>
          <w:p>
            <w:pPr>
              <w:widowControl/>
              <w:spacing w:line="360" w:lineRule="auto"/>
              <w:jc w:val="center"/>
              <w:rPr>
                <w:kern w:val="0"/>
                <w:sz w:val="24"/>
              </w:rPr>
            </w:pPr>
            <w:r>
              <w:rPr>
                <w:rFonts w:hint="eastAsia"/>
                <w:kern w:val="0"/>
                <w:sz w:val="24"/>
              </w:rPr>
              <w:t>保安</w:t>
            </w:r>
          </w:p>
          <w:p>
            <w:pPr>
              <w:widowControl/>
              <w:spacing w:line="360" w:lineRule="auto"/>
              <w:jc w:val="center"/>
              <w:rPr>
                <w:kern w:val="0"/>
                <w:sz w:val="24"/>
              </w:rPr>
            </w:pPr>
            <w:r>
              <w:rPr>
                <w:rFonts w:hint="eastAsia"/>
                <w:kern w:val="0"/>
                <w:sz w:val="24"/>
              </w:rPr>
              <w:t>（10分）</w:t>
            </w: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1</w:t>
            </w:r>
            <w:r>
              <w:rPr>
                <w:rFonts w:hint="eastAsia"/>
                <w:kern w:val="0"/>
                <w:sz w:val="24"/>
              </w:rPr>
              <w:t>）保障医院各通道（尤其是消防通道和急救通道）的畅通，严禁单位三包区域内的车辆乱停、乱靠等现象发生，维护进出口以及院内的正常交通秩序</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restart"/>
            <w:noWrap w:val="0"/>
            <w:vAlign w:val="center"/>
          </w:tcPr>
          <w:p>
            <w:pPr>
              <w:widowControl/>
              <w:spacing w:line="360" w:lineRule="auto"/>
              <w:jc w:val="left"/>
              <w:rPr>
                <w:kern w:val="0"/>
                <w:sz w:val="24"/>
              </w:rPr>
            </w:pPr>
            <w:r>
              <w:rPr>
                <w:rFonts w:hint="eastAsia"/>
                <w:kern w:val="0"/>
                <w:sz w:val="24"/>
              </w:rPr>
              <w:t>一处不符合扣</w:t>
            </w:r>
            <w:r>
              <w:rPr>
                <w:kern w:val="0"/>
                <w:sz w:val="24"/>
              </w:rPr>
              <w:t>1</w:t>
            </w:r>
            <w:r>
              <w:rPr>
                <w:rFonts w:hint="eastAsia"/>
                <w:kern w:val="0"/>
                <w:sz w:val="24"/>
              </w:rPr>
              <w:t>分；一处严重不符合扣</w:t>
            </w:r>
            <w:r>
              <w:rPr>
                <w:kern w:val="0"/>
                <w:sz w:val="24"/>
              </w:rPr>
              <w:t>2</w:t>
            </w:r>
            <w:r>
              <w:rPr>
                <w:rFonts w:hint="eastAsia"/>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2</w:t>
            </w:r>
            <w:r>
              <w:rPr>
                <w:rFonts w:hint="eastAsia"/>
                <w:kern w:val="0"/>
                <w:sz w:val="24"/>
              </w:rPr>
              <w:t>）管理进入院区的各类机动车、非机动车辆，摩托车、电瓶车、自行车停放在停车棚内，送货车辆进入有序停放并及时驶离。</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3</w:t>
            </w:r>
            <w:r>
              <w:rPr>
                <w:rFonts w:hint="eastAsia"/>
                <w:kern w:val="0"/>
                <w:sz w:val="24"/>
              </w:rPr>
              <w:t>）严厉打击出现在医院周边的医托、黄牛等。</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4</w:t>
            </w:r>
            <w:r>
              <w:rPr>
                <w:rFonts w:hint="eastAsia"/>
                <w:kern w:val="0"/>
                <w:sz w:val="24"/>
              </w:rPr>
              <w:t>）认真管理好单位三包区域内秩序，清理大门外乞讨、无证摊贩占道经营、制止乱贴广告等行为。</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5</w:t>
            </w:r>
            <w:r>
              <w:rPr>
                <w:rFonts w:hint="eastAsia"/>
                <w:kern w:val="0"/>
                <w:sz w:val="24"/>
              </w:rPr>
              <w:t>）负责对</w:t>
            </w:r>
            <w:r>
              <w:rPr>
                <w:rFonts w:hint="eastAsia"/>
                <w:sz w:val="24"/>
              </w:rPr>
              <w:t>医院整个院区的治安和外围车辆管理，看见有人拿东西出入多盘问，</w:t>
            </w:r>
            <w:r>
              <w:rPr>
                <w:rFonts w:hint="eastAsia"/>
                <w:kern w:val="0"/>
                <w:sz w:val="24"/>
              </w:rPr>
              <w:t>检查带出单位的相关物资，确保医院的物品不流失。</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restart"/>
            <w:noWrap w:val="0"/>
            <w:vAlign w:val="center"/>
          </w:tcPr>
          <w:p>
            <w:pPr>
              <w:widowControl/>
              <w:spacing w:line="360" w:lineRule="auto"/>
              <w:jc w:val="center"/>
              <w:rPr>
                <w:kern w:val="0"/>
                <w:sz w:val="24"/>
              </w:rPr>
            </w:pPr>
            <w:r>
              <w:rPr>
                <w:kern w:val="0"/>
                <w:sz w:val="24"/>
              </w:rPr>
              <w:t>10</w:t>
            </w:r>
          </w:p>
        </w:tc>
        <w:tc>
          <w:tcPr>
            <w:tcW w:w="1134" w:type="dxa"/>
            <w:vMerge w:val="restart"/>
            <w:noWrap w:val="0"/>
            <w:vAlign w:val="center"/>
          </w:tcPr>
          <w:p>
            <w:pPr>
              <w:widowControl/>
              <w:spacing w:line="360" w:lineRule="auto"/>
              <w:jc w:val="center"/>
              <w:rPr>
                <w:kern w:val="0"/>
                <w:sz w:val="24"/>
              </w:rPr>
            </w:pPr>
            <w:r>
              <w:rPr>
                <w:rFonts w:hint="eastAsia"/>
                <w:kern w:val="0"/>
                <w:sz w:val="24"/>
              </w:rPr>
              <w:t>）</w:t>
            </w:r>
          </w:p>
        </w:tc>
        <w:tc>
          <w:tcPr>
            <w:tcW w:w="5389" w:type="dxa"/>
            <w:noWrap w:val="0"/>
            <w:vAlign w:val="center"/>
          </w:tcPr>
          <w:p>
            <w:pPr>
              <w:widowControl/>
              <w:spacing w:line="360" w:lineRule="auto"/>
              <w:jc w:val="left"/>
              <w:rPr>
                <w:kern w:val="0"/>
                <w:sz w:val="24"/>
              </w:rPr>
            </w:pP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restart"/>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CellMar>
            <w:top w:w="0" w:type="dxa"/>
            <w:left w:w="108" w:type="dxa"/>
            <w:bottom w:w="0" w:type="dxa"/>
            <w:right w:w="108" w:type="dxa"/>
          </w:tblCellMar>
        </w:tblPrEx>
        <w:trPr>
          <w:trHeight w:val="20" w:hRule="atLeast"/>
          <w:jc w:val="center"/>
        </w:trPr>
        <w:tc>
          <w:tcPr>
            <w:tcW w:w="633" w:type="dxa"/>
            <w:vMerge w:val="restart"/>
            <w:noWrap w:val="0"/>
            <w:vAlign w:val="center"/>
          </w:tcPr>
          <w:p>
            <w:pPr>
              <w:widowControl/>
              <w:spacing w:line="360" w:lineRule="auto"/>
              <w:jc w:val="center"/>
              <w:rPr>
                <w:kern w:val="0"/>
                <w:sz w:val="24"/>
              </w:rPr>
            </w:pPr>
            <w:r>
              <w:rPr>
                <w:kern w:val="0"/>
                <w:sz w:val="24"/>
              </w:rPr>
              <w:t>11</w:t>
            </w:r>
          </w:p>
        </w:tc>
        <w:tc>
          <w:tcPr>
            <w:tcW w:w="1134" w:type="dxa"/>
            <w:vMerge w:val="restart"/>
            <w:noWrap w:val="0"/>
            <w:vAlign w:val="center"/>
          </w:tcPr>
          <w:p>
            <w:pPr>
              <w:widowControl/>
              <w:spacing w:line="360" w:lineRule="auto"/>
              <w:jc w:val="center"/>
              <w:rPr>
                <w:kern w:val="0"/>
                <w:sz w:val="24"/>
              </w:rPr>
            </w:pPr>
            <w:r>
              <w:rPr>
                <w:rFonts w:hint="eastAsia"/>
                <w:kern w:val="0"/>
                <w:sz w:val="24"/>
              </w:rPr>
              <w:t>应急</w:t>
            </w:r>
          </w:p>
          <w:p>
            <w:pPr>
              <w:widowControl/>
              <w:spacing w:line="360" w:lineRule="auto"/>
              <w:jc w:val="center"/>
              <w:rPr>
                <w:kern w:val="0"/>
                <w:sz w:val="24"/>
              </w:rPr>
            </w:pPr>
            <w:r>
              <w:rPr>
                <w:rFonts w:hint="eastAsia"/>
                <w:kern w:val="0"/>
                <w:sz w:val="24"/>
              </w:rPr>
              <w:t>反应及测试（</w:t>
            </w:r>
            <w:r>
              <w:rPr>
                <w:kern w:val="0"/>
                <w:sz w:val="24"/>
              </w:rPr>
              <w:t>5</w:t>
            </w:r>
            <w:r>
              <w:rPr>
                <w:rFonts w:hint="eastAsia"/>
                <w:kern w:val="0"/>
                <w:sz w:val="24"/>
              </w:rPr>
              <w:t>分）</w:t>
            </w: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1</w:t>
            </w:r>
            <w:r>
              <w:rPr>
                <w:rFonts w:hint="eastAsia"/>
                <w:kern w:val="0"/>
                <w:sz w:val="24"/>
              </w:rPr>
              <w:t>）突发事件应急预案完善，涵盖医疗纠纷、刑事、火灾、水灾、爆炸、地震、安全疏散以及电梯应急等方面。</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restart"/>
            <w:noWrap w:val="0"/>
            <w:vAlign w:val="center"/>
          </w:tcPr>
          <w:p>
            <w:pPr>
              <w:widowControl/>
              <w:spacing w:line="360" w:lineRule="auto"/>
              <w:jc w:val="left"/>
              <w:rPr>
                <w:kern w:val="0"/>
                <w:sz w:val="24"/>
              </w:rPr>
            </w:pPr>
            <w:r>
              <w:rPr>
                <w:rFonts w:hint="eastAsia"/>
                <w:kern w:val="0"/>
                <w:sz w:val="24"/>
              </w:rPr>
              <w:t>一处不符合扣</w:t>
            </w:r>
            <w:r>
              <w:rPr>
                <w:kern w:val="0"/>
                <w:sz w:val="24"/>
              </w:rPr>
              <w:t>1</w:t>
            </w:r>
            <w:r>
              <w:rPr>
                <w:rFonts w:hint="eastAsia"/>
                <w:kern w:val="0"/>
                <w:sz w:val="24"/>
              </w:rPr>
              <w:t>分；一处严重不符合扣</w:t>
            </w:r>
            <w:r>
              <w:rPr>
                <w:kern w:val="0"/>
                <w:sz w:val="24"/>
              </w:rPr>
              <w:t>2</w:t>
            </w:r>
            <w:r>
              <w:rPr>
                <w:rFonts w:hint="eastAsia"/>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2</w:t>
            </w:r>
            <w:r>
              <w:rPr>
                <w:rFonts w:hint="eastAsia"/>
                <w:kern w:val="0"/>
                <w:sz w:val="24"/>
              </w:rPr>
              <w:t>）相关预案要求每位保安都应熟练掌握，并定期进行培训演练。</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3</w:t>
            </w:r>
            <w:r>
              <w:rPr>
                <w:rFonts w:hint="eastAsia"/>
                <w:kern w:val="0"/>
                <w:sz w:val="24"/>
              </w:rPr>
              <w:t>）组织演练，模拟应急事件处理测试；烟感报警反应测试（烟感报警，在规定时间赶到现场核实，并有相应的应急措施）；呼叫及通信测试（应急小组人员通信畅通，在规定时间内赶至指定地点）；监控异常情况测试（监控出现异常现象，在规定时间赶至现场，并有记录）；监控录像查阅测试（至少保存</w:t>
            </w:r>
            <w:r>
              <w:rPr>
                <w:kern w:val="0"/>
                <w:sz w:val="24"/>
              </w:rPr>
              <w:t>30</w:t>
            </w:r>
            <w:r>
              <w:rPr>
                <w:rFonts w:hint="eastAsia"/>
                <w:kern w:val="0"/>
                <w:sz w:val="24"/>
              </w:rPr>
              <w:t>天以上）；电梯困人测试（盘问解困方法）模拟可疑人员或安全问题测试（应急反应能力）。</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restart"/>
            <w:noWrap w:val="0"/>
            <w:vAlign w:val="center"/>
          </w:tcPr>
          <w:p>
            <w:pPr>
              <w:widowControl/>
              <w:spacing w:line="360" w:lineRule="auto"/>
              <w:jc w:val="center"/>
              <w:rPr>
                <w:kern w:val="0"/>
                <w:sz w:val="24"/>
              </w:rPr>
            </w:pPr>
            <w:r>
              <w:rPr>
                <w:kern w:val="0"/>
                <w:sz w:val="24"/>
              </w:rPr>
              <w:t>12</w:t>
            </w:r>
          </w:p>
        </w:tc>
        <w:tc>
          <w:tcPr>
            <w:tcW w:w="1134" w:type="dxa"/>
            <w:vMerge w:val="restart"/>
            <w:noWrap w:val="0"/>
            <w:vAlign w:val="center"/>
          </w:tcPr>
          <w:p>
            <w:pPr>
              <w:widowControl/>
              <w:spacing w:line="360" w:lineRule="auto"/>
              <w:jc w:val="center"/>
              <w:rPr>
                <w:kern w:val="0"/>
                <w:sz w:val="24"/>
              </w:rPr>
            </w:pPr>
            <w:r>
              <w:rPr>
                <w:rFonts w:hint="eastAsia"/>
                <w:kern w:val="0"/>
                <w:sz w:val="24"/>
              </w:rPr>
              <w:t>业务</w:t>
            </w:r>
          </w:p>
          <w:p>
            <w:pPr>
              <w:widowControl/>
              <w:spacing w:line="360" w:lineRule="auto"/>
              <w:jc w:val="center"/>
              <w:rPr>
                <w:kern w:val="0"/>
                <w:sz w:val="24"/>
              </w:rPr>
            </w:pPr>
            <w:r>
              <w:rPr>
                <w:rFonts w:hint="eastAsia"/>
                <w:kern w:val="0"/>
                <w:sz w:val="24"/>
              </w:rPr>
              <w:t>知识及培训</w:t>
            </w:r>
          </w:p>
          <w:p>
            <w:pPr>
              <w:widowControl/>
              <w:spacing w:line="360" w:lineRule="auto"/>
              <w:jc w:val="center"/>
              <w:rPr>
                <w:kern w:val="0"/>
                <w:sz w:val="24"/>
              </w:rPr>
            </w:pPr>
            <w:r>
              <w:rPr>
                <w:rFonts w:hint="eastAsia"/>
                <w:kern w:val="0"/>
                <w:sz w:val="24"/>
              </w:rPr>
              <w:t>（</w:t>
            </w:r>
            <w:r>
              <w:rPr>
                <w:kern w:val="0"/>
                <w:sz w:val="24"/>
              </w:rPr>
              <w:t>5</w:t>
            </w:r>
            <w:r>
              <w:rPr>
                <w:rFonts w:hint="eastAsia"/>
                <w:kern w:val="0"/>
                <w:sz w:val="24"/>
              </w:rPr>
              <w:t>分）</w:t>
            </w: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1</w:t>
            </w:r>
            <w:r>
              <w:rPr>
                <w:rFonts w:hint="eastAsia"/>
                <w:kern w:val="0"/>
                <w:sz w:val="24"/>
              </w:rPr>
              <w:t>）项目负责人要了解医院的应知应会情况，并有针对性请相关负责人对保安进行培训。</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restart"/>
            <w:noWrap w:val="0"/>
            <w:vAlign w:val="center"/>
          </w:tcPr>
          <w:p>
            <w:pPr>
              <w:widowControl/>
              <w:spacing w:line="360" w:lineRule="auto"/>
              <w:jc w:val="left"/>
              <w:rPr>
                <w:kern w:val="0"/>
                <w:sz w:val="24"/>
              </w:rPr>
            </w:pPr>
            <w:r>
              <w:rPr>
                <w:rFonts w:hint="eastAsia"/>
                <w:kern w:val="0"/>
                <w:sz w:val="24"/>
              </w:rPr>
              <w:t>一处不符合扣</w:t>
            </w:r>
            <w:r>
              <w:rPr>
                <w:kern w:val="0"/>
                <w:sz w:val="24"/>
              </w:rPr>
              <w:t>1</w:t>
            </w:r>
            <w:r>
              <w:rPr>
                <w:rFonts w:hint="eastAsia"/>
                <w:kern w:val="0"/>
                <w:sz w:val="24"/>
              </w:rPr>
              <w:t>分；一处严重不符合扣</w:t>
            </w:r>
            <w:r>
              <w:rPr>
                <w:kern w:val="0"/>
                <w:sz w:val="24"/>
              </w:rPr>
              <w:t>2</w:t>
            </w:r>
            <w:r>
              <w:rPr>
                <w:rFonts w:hint="eastAsia"/>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2</w:t>
            </w:r>
            <w:r>
              <w:rPr>
                <w:rFonts w:hint="eastAsia"/>
                <w:kern w:val="0"/>
                <w:sz w:val="24"/>
              </w:rPr>
              <w:t>）定期进行相关预案的培训演练。</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3</w:t>
            </w:r>
            <w:r>
              <w:rPr>
                <w:rFonts w:hint="eastAsia"/>
                <w:kern w:val="0"/>
                <w:sz w:val="24"/>
              </w:rPr>
              <w:t>）定期进行消防、治安等知识、技能培训。</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4</w:t>
            </w:r>
            <w:r>
              <w:rPr>
                <w:rFonts w:hint="eastAsia"/>
                <w:kern w:val="0"/>
                <w:sz w:val="24"/>
              </w:rPr>
              <w:t>）培训有年度计划，培训工作认真落实，无随意实施和更改计划现象。</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w:t>
            </w:r>
            <w:r>
              <w:rPr>
                <w:kern w:val="0"/>
                <w:sz w:val="24"/>
              </w:rPr>
              <w:t>5</w:t>
            </w:r>
            <w:r>
              <w:rPr>
                <w:rFonts w:hint="eastAsia"/>
                <w:kern w:val="0"/>
                <w:sz w:val="24"/>
              </w:rPr>
              <w:t>）培训要有一定的教材和讲稿，员工接受培训后要有记录。</w:t>
            </w:r>
          </w:p>
        </w:tc>
        <w:tc>
          <w:tcPr>
            <w:tcW w:w="708" w:type="dxa"/>
            <w:noWrap w:val="0"/>
            <w:vAlign w:val="center"/>
          </w:tcPr>
          <w:p>
            <w:pPr>
              <w:widowControl/>
              <w:spacing w:line="360" w:lineRule="auto"/>
              <w:jc w:val="center"/>
              <w:rPr>
                <w:kern w:val="0"/>
                <w:sz w:val="24"/>
              </w:rPr>
            </w:pPr>
            <w:r>
              <w:rPr>
                <w:rFonts w:hint="eastAsia"/>
                <w:kern w:val="0"/>
                <w:sz w:val="24"/>
              </w:rPr>
              <w:t>　</w:t>
            </w:r>
          </w:p>
        </w:tc>
        <w:tc>
          <w:tcPr>
            <w:tcW w:w="1560" w:type="dxa"/>
            <w:vMerge w:val="continue"/>
            <w:noWrap w:val="0"/>
            <w:vAlign w:val="center"/>
          </w:tcPr>
          <w:p>
            <w:pPr>
              <w:widowControl/>
              <w:spacing w:line="360"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restart"/>
            <w:noWrap w:val="0"/>
            <w:vAlign w:val="center"/>
          </w:tcPr>
          <w:p>
            <w:pPr>
              <w:widowControl/>
              <w:spacing w:line="360" w:lineRule="auto"/>
              <w:jc w:val="left"/>
              <w:rPr>
                <w:kern w:val="0"/>
                <w:sz w:val="24"/>
              </w:rPr>
            </w:pPr>
            <w:r>
              <w:rPr>
                <w:kern w:val="0"/>
                <w:sz w:val="24"/>
              </w:rPr>
              <w:t>13</w:t>
            </w:r>
          </w:p>
        </w:tc>
        <w:tc>
          <w:tcPr>
            <w:tcW w:w="1134" w:type="dxa"/>
            <w:vMerge w:val="restart"/>
            <w:noWrap w:val="0"/>
            <w:vAlign w:val="center"/>
          </w:tcPr>
          <w:p>
            <w:pPr>
              <w:widowControl/>
              <w:spacing w:line="360" w:lineRule="auto"/>
              <w:jc w:val="center"/>
              <w:rPr>
                <w:kern w:val="0"/>
                <w:sz w:val="24"/>
              </w:rPr>
            </w:pPr>
            <w:r>
              <w:rPr>
                <w:rFonts w:hint="eastAsia"/>
                <w:kern w:val="0"/>
                <w:sz w:val="24"/>
              </w:rPr>
              <w:t>投诉</w:t>
            </w:r>
          </w:p>
          <w:p>
            <w:pPr>
              <w:widowControl/>
              <w:spacing w:line="360" w:lineRule="auto"/>
              <w:jc w:val="center"/>
              <w:rPr>
                <w:kern w:val="0"/>
                <w:sz w:val="24"/>
              </w:rPr>
            </w:pPr>
            <w:r>
              <w:rPr>
                <w:rFonts w:hint="eastAsia"/>
                <w:kern w:val="0"/>
                <w:sz w:val="24"/>
              </w:rPr>
              <w:t>（额外减分项）</w:t>
            </w:r>
          </w:p>
        </w:tc>
        <w:tc>
          <w:tcPr>
            <w:tcW w:w="5389" w:type="dxa"/>
            <w:noWrap w:val="0"/>
            <w:vAlign w:val="center"/>
          </w:tcPr>
          <w:p>
            <w:pPr>
              <w:widowControl/>
              <w:spacing w:line="360" w:lineRule="auto"/>
              <w:jc w:val="left"/>
              <w:rPr>
                <w:kern w:val="0"/>
                <w:sz w:val="24"/>
              </w:rPr>
            </w:pPr>
            <w:r>
              <w:rPr>
                <w:rFonts w:hint="eastAsia"/>
                <w:kern w:val="0"/>
                <w:sz w:val="24"/>
              </w:rPr>
              <w:t>态度、质量问题投诉：基本属实，影响一般，或属实，性质恶劣，影响很坏的</w:t>
            </w:r>
          </w:p>
        </w:tc>
        <w:tc>
          <w:tcPr>
            <w:tcW w:w="708" w:type="dxa"/>
            <w:noWrap w:val="0"/>
            <w:vAlign w:val="center"/>
          </w:tcPr>
          <w:p>
            <w:pPr>
              <w:widowControl/>
              <w:spacing w:line="360" w:lineRule="auto"/>
              <w:jc w:val="center"/>
              <w:rPr>
                <w:kern w:val="0"/>
                <w:sz w:val="24"/>
              </w:rPr>
            </w:pPr>
          </w:p>
        </w:tc>
        <w:tc>
          <w:tcPr>
            <w:tcW w:w="1560" w:type="dxa"/>
            <w:noWrap w:val="0"/>
            <w:vAlign w:val="center"/>
          </w:tcPr>
          <w:p>
            <w:pPr>
              <w:widowControl/>
              <w:spacing w:line="360" w:lineRule="auto"/>
              <w:jc w:val="left"/>
              <w:rPr>
                <w:kern w:val="0"/>
                <w:sz w:val="24"/>
              </w:rPr>
            </w:pPr>
            <w:r>
              <w:rPr>
                <w:rFonts w:hint="eastAsia"/>
                <w:kern w:val="0"/>
                <w:sz w:val="24"/>
              </w:rPr>
              <w:t>性质一般的，一起扣</w:t>
            </w:r>
            <w:r>
              <w:rPr>
                <w:kern w:val="0"/>
                <w:sz w:val="24"/>
              </w:rPr>
              <w:t>0.5</w:t>
            </w:r>
            <w:r>
              <w:rPr>
                <w:rFonts w:hint="eastAsia"/>
                <w:kern w:val="0"/>
                <w:sz w:val="24"/>
              </w:rPr>
              <w:t>分，超过</w:t>
            </w:r>
            <w:r>
              <w:rPr>
                <w:kern w:val="0"/>
                <w:sz w:val="24"/>
              </w:rPr>
              <w:t>5</w:t>
            </w:r>
            <w:r>
              <w:rPr>
                <w:rFonts w:hint="eastAsia"/>
                <w:kern w:val="0"/>
                <w:sz w:val="24"/>
              </w:rPr>
              <w:t>起，每起扣</w:t>
            </w:r>
            <w:r>
              <w:rPr>
                <w:kern w:val="0"/>
                <w:sz w:val="24"/>
              </w:rPr>
              <w:t>1</w:t>
            </w:r>
            <w:r>
              <w:rPr>
                <w:rFonts w:hint="eastAsia"/>
                <w:kern w:val="0"/>
                <w:sz w:val="24"/>
              </w:rPr>
              <w:t>分；</w:t>
            </w:r>
          </w:p>
          <w:p>
            <w:pPr>
              <w:widowControl/>
              <w:spacing w:line="360" w:lineRule="auto"/>
              <w:jc w:val="left"/>
              <w:rPr>
                <w:kern w:val="0"/>
                <w:sz w:val="24"/>
              </w:rPr>
            </w:pPr>
            <w:r>
              <w:rPr>
                <w:rFonts w:hint="eastAsia"/>
                <w:kern w:val="0"/>
                <w:sz w:val="24"/>
              </w:rPr>
              <w:t>恶劣且影响坏的，每起扣</w:t>
            </w:r>
            <w:r>
              <w:rPr>
                <w:kern w:val="0"/>
                <w:sz w:val="24"/>
              </w:rPr>
              <w:t>3</w:t>
            </w:r>
            <w:r>
              <w:rPr>
                <w:rFonts w:hint="eastAsia"/>
                <w:kern w:val="0"/>
                <w:sz w:val="24"/>
              </w:rPr>
              <w:t>分</w:t>
            </w:r>
            <w:r>
              <w:rPr>
                <w:kern w:val="0"/>
                <w:sz w:val="24"/>
              </w:rPr>
              <w:t>,</w:t>
            </w:r>
            <w:r>
              <w:rPr>
                <w:rFonts w:hint="eastAsia"/>
                <w:kern w:val="0"/>
                <w:sz w:val="24"/>
              </w:rPr>
              <w:t>超过</w:t>
            </w:r>
            <w:r>
              <w:rPr>
                <w:kern w:val="0"/>
                <w:sz w:val="24"/>
              </w:rPr>
              <w:t>5</w:t>
            </w:r>
            <w:r>
              <w:rPr>
                <w:rFonts w:hint="eastAsia"/>
                <w:kern w:val="0"/>
                <w:sz w:val="24"/>
              </w:rPr>
              <w:t>起的</w:t>
            </w:r>
            <w:r>
              <w:rPr>
                <w:kern w:val="0"/>
                <w:sz w:val="24"/>
              </w:rPr>
              <w:t>,</w:t>
            </w:r>
            <w:r>
              <w:rPr>
                <w:rFonts w:hint="eastAsia"/>
                <w:kern w:val="0"/>
                <w:sz w:val="24"/>
              </w:rPr>
              <w:t>每起扣</w:t>
            </w:r>
            <w:r>
              <w:rPr>
                <w:kern w:val="0"/>
                <w:sz w:val="24"/>
              </w:rPr>
              <w:t>5</w:t>
            </w:r>
            <w:r>
              <w:rPr>
                <w:rFonts w:hint="eastAsia"/>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noWrap w:val="0"/>
            <w:vAlign w:val="center"/>
          </w:tcPr>
          <w:p>
            <w:pPr>
              <w:widowControl/>
              <w:spacing w:line="360" w:lineRule="auto"/>
              <w:jc w:val="left"/>
              <w:rPr>
                <w:kern w:val="0"/>
                <w:sz w:val="24"/>
              </w:rPr>
            </w:pPr>
          </w:p>
        </w:tc>
        <w:tc>
          <w:tcPr>
            <w:tcW w:w="1134" w:type="dxa"/>
            <w:vMerge w:val="continue"/>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违反医院制度</w:t>
            </w:r>
            <w:bookmarkStart w:id="31" w:name="_GoBack"/>
            <w:bookmarkEnd w:id="31"/>
            <w:r>
              <w:rPr>
                <w:rFonts w:hint="eastAsia"/>
                <w:kern w:val="0"/>
                <w:sz w:val="24"/>
              </w:rPr>
              <w:t>或法律法规的投诉：基本属实，性质一般，或性质恶劣，影响极坏</w:t>
            </w:r>
          </w:p>
        </w:tc>
        <w:tc>
          <w:tcPr>
            <w:tcW w:w="708" w:type="dxa"/>
            <w:noWrap w:val="0"/>
            <w:vAlign w:val="center"/>
          </w:tcPr>
          <w:p>
            <w:pPr>
              <w:widowControl/>
              <w:spacing w:line="360" w:lineRule="auto"/>
              <w:jc w:val="center"/>
              <w:rPr>
                <w:kern w:val="0"/>
                <w:sz w:val="24"/>
              </w:rPr>
            </w:pPr>
          </w:p>
        </w:tc>
        <w:tc>
          <w:tcPr>
            <w:tcW w:w="1560" w:type="dxa"/>
            <w:noWrap w:val="0"/>
            <w:vAlign w:val="center"/>
          </w:tcPr>
          <w:p>
            <w:pPr>
              <w:widowControl/>
              <w:spacing w:line="360" w:lineRule="auto"/>
              <w:jc w:val="left"/>
              <w:rPr>
                <w:kern w:val="0"/>
                <w:sz w:val="24"/>
              </w:rPr>
            </w:pPr>
            <w:r>
              <w:rPr>
                <w:rFonts w:hint="eastAsia"/>
                <w:kern w:val="0"/>
                <w:sz w:val="24"/>
              </w:rPr>
              <w:t>性质一般的，每起扣</w:t>
            </w:r>
            <w:r>
              <w:rPr>
                <w:kern w:val="0"/>
                <w:sz w:val="24"/>
              </w:rPr>
              <w:t>1</w:t>
            </w:r>
            <w:r>
              <w:rPr>
                <w:rFonts w:hint="eastAsia"/>
                <w:kern w:val="0"/>
                <w:sz w:val="24"/>
              </w:rPr>
              <w:t>分，</w:t>
            </w:r>
            <w:r>
              <w:rPr>
                <w:kern w:val="0"/>
                <w:sz w:val="24"/>
              </w:rPr>
              <w:t>5</w:t>
            </w:r>
            <w:r>
              <w:rPr>
                <w:rFonts w:hint="eastAsia"/>
                <w:kern w:val="0"/>
                <w:sz w:val="24"/>
              </w:rPr>
              <w:t>起以上</w:t>
            </w:r>
            <w:r>
              <w:rPr>
                <w:kern w:val="0"/>
                <w:sz w:val="24"/>
              </w:rPr>
              <w:t>,</w:t>
            </w:r>
            <w:r>
              <w:rPr>
                <w:rFonts w:hint="eastAsia"/>
                <w:kern w:val="0"/>
                <w:sz w:val="24"/>
              </w:rPr>
              <w:t>每起扣</w:t>
            </w:r>
            <w:r>
              <w:rPr>
                <w:kern w:val="0"/>
                <w:sz w:val="24"/>
              </w:rPr>
              <w:t>3</w:t>
            </w:r>
            <w:r>
              <w:rPr>
                <w:rFonts w:hint="eastAsia"/>
                <w:kern w:val="0"/>
                <w:sz w:val="24"/>
              </w:rPr>
              <w:t>分；</w:t>
            </w:r>
          </w:p>
          <w:p>
            <w:pPr>
              <w:widowControl/>
              <w:spacing w:line="360" w:lineRule="auto"/>
              <w:jc w:val="left"/>
              <w:rPr>
                <w:kern w:val="0"/>
                <w:sz w:val="24"/>
              </w:rPr>
            </w:pPr>
            <w:r>
              <w:rPr>
                <w:rFonts w:hint="eastAsia"/>
                <w:kern w:val="0"/>
                <w:sz w:val="24"/>
              </w:rPr>
              <w:t>性质恶劣且影响极坏的，每起扣</w:t>
            </w:r>
            <w:r>
              <w:rPr>
                <w:kern w:val="0"/>
                <w:sz w:val="24"/>
              </w:rPr>
              <w:t>10</w:t>
            </w:r>
            <w:r>
              <w:rPr>
                <w:rFonts w:hint="eastAsia"/>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vMerge w:val="continue"/>
            <w:tcBorders>
              <w:top w:val="nil"/>
            </w:tcBorders>
            <w:noWrap w:val="0"/>
            <w:vAlign w:val="center"/>
          </w:tcPr>
          <w:p>
            <w:pPr>
              <w:widowControl/>
              <w:spacing w:line="360" w:lineRule="auto"/>
              <w:jc w:val="left"/>
              <w:rPr>
                <w:kern w:val="0"/>
                <w:sz w:val="24"/>
              </w:rPr>
            </w:pPr>
          </w:p>
        </w:tc>
        <w:tc>
          <w:tcPr>
            <w:tcW w:w="1134" w:type="dxa"/>
            <w:vMerge w:val="continue"/>
            <w:tcBorders>
              <w:top w:val="nil"/>
            </w:tcBorders>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hAnsi="宋体"/>
                <w:sz w:val="24"/>
              </w:rPr>
              <w:t>员工辞工率控制每月在</w:t>
            </w:r>
            <w:r>
              <w:rPr>
                <w:sz w:val="24"/>
              </w:rPr>
              <w:t>5%</w:t>
            </w:r>
            <w:r>
              <w:rPr>
                <w:rFonts w:hint="eastAsia" w:hAnsi="宋体"/>
                <w:sz w:val="24"/>
              </w:rPr>
              <w:t>以内，因员工辞工原因而影响科室岗位工作正常开展。</w:t>
            </w:r>
          </w:p>
        </w:tc>
        <w:tc>
          <w:tcPr>
            <w:tcW w:w="708" w:type="dxa"/>
            <w:noWrap w:val="0"/>
            <w:vAlign w:val="center"/>
          </w:tcPr>
          <w:p>
            <w:pPr>
              <w:widowControl/>
              <w:spacing w:line="360" w:lineRule="auto"/>
              <w:jc w:val="center"/>
              <w:rPr>
                <w:kern w:val="0"/>
                <w:sz w:val="24"/>
              </w:rPr>
            </w:pPr>
          </w:p>
        </w:tc>
        <w:tc>
          <w:tcPr>
            <w:tcW w:w="1560" w:type="dxa"/>
            <w:noWrap w:val="0"/>
            <w:vAlign w:val="center"/>
          </w:tcPr>
          <w:p>
            <w:pPr>
              <w:spacing w:line="360" w:lineRule="auto"/>
              <w:rPr>
                <w:rFonts w:hAnsi="宋体"/>
                <w:kern w:val="0"/>
                <w:szCs w:val="21"/>
              </w:rPr>
            </w:pPr>
            <w:r>
              <w:rPr>
                <w:rFonts w:hint="eastAsia" w:hAnsi="宋体"/>
                <w:kern w:val="0"/>
                <w:szCs w:val="21"/>
              </w:rPr>
              <w:t>大于</w:t>
            </w:r>
            <w:r>
              <w:rPr>
                <w:kern w:val="0"/>
                <w:szCs w:val="21"/>
              </w:rPr>
              <w:t>5%</w:t>
            </w:r>
            <w:r>
              <w:rPr>
                <w:rFonts w:hint="eastAsia" w:hAnsi="宋体"/>
                <w:kern w:val="0"/>
                <w:szCs w:val="21"/>
              </w:rPr>
              <w:t>，扣</w:t>
            </w:r>
            <w:r>
              <w:rPr>
                <w:kern w:val="0"/>
                <w:szCs w:val="21"/>
              </w:rPr>
              <w:t>2</w:t>
            </w:r>
            <w:r>
              <w:rPr>
                <w:rFonts w:hint="eastAsia" w:hAnsi="宋体"/>
                <w:kern w:val="0"/>
                <w:szCs w:val="21"/>
              </w:rPr>
              <w:t>分，</w:t>
            </w:r>
          </w:p>
          <w:p>
            <w:pPr>
              <w:widowControl/>
              <w:spacing w:line="360" w:lineRule="auto"/>
              <w:jc w:val="left"/>
              <w:rPr>
                <w:kern w:val="0"/>
                <w:sz w:val="24"/>
              </w:rPr>
            </w:pPr>
            <w:r>
              <w:rPr>
                <w:rFonts w:hint="eastAsia" w:hAnsi="宋体"/>
                <w:kern w:val="0"/>
                <w:szCs w:val="21"/>
              </w:rPr>
              <w:t>影响工作正常开展的一起扣</w:t>
            </w:r>
            <w:r>
              <w:rPr>
                <w:rFonts w:hAnsi="宋体"/>
                <w:kern w:val="0"/>
                <w:szCs w:val="21"/>
              </w:rPr>
              <w:t>5</w:t>
            </w:r>
            <w:r>
              <w:rPr>
                <w:rFonts w:hint="eastAsia" w:hAnsi="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3" w:type="dxa"/>
            <w:tcBorders>
              <w:top w:val="nil"/>
            </w:tcBorders>
            <w:noWrap w:val="0"/>
            <w:vAlign w:val="center"/>
          </w:tcPr>
          <w:p>
            <w:pPr>
              <w:widowControl/>
              <w:spacing w:line="360" w:lineRule="auto"/>
              <w:jc w:val="left"/>
              <w:rPr>
                <w:kern w:val="0"/>
                <w:sz w:val="24"/>
              </w:rPr>
            </w:pPr>
          </w:p>
        </w:tc>
        <w:tc>
          <w:tcPr>
            <w:tcW w:w="1134" w:type="dxa"/>
            <w:tcBorders>
              <w:top w:val="nil"/>
            </w:tcBorders>
            <w:noWrap w:val="0"/>
            <w:vAlign w:val="center"/>
          </w:tcPr>
          <w:p>
            <w:pPr>
              <w:widowControl/>
              <w:spacing w:line="360" w:lineRule="auto"/>
              <w:jc w:val="left"/>
              <w:rPr>
                <w:kern w:val="0"/>
                <w:sz w:val="24"/>
              </w:rPr>
            </w:pPr>
          </w:p>
        </w:tc>
        <w:tc>
          <w:tcPr>
            <w:tcW w:w="5389" w:type="dxa"/>
            <w:noWrap w:val="0"/>
            <w:vAlign w:val="center"/>
          </w:tcPr>
          <w:p>
            <w:pPr>
              <w:widowControl/>
              <w:spacing w:line="360" w:lineRule="auto"/>
              <w:jc w:val="left"/>
              <w:rPr>
                <w:kern w:val="0"/>
                <w:sz w:val="24"/>
              </w:rPr>
            </w:pPr>
            <w:r>
              <w:rPr>
                <w:rFonts w:hint="eastAsia"/>
                <w:kern w:val="0"/>
                <w:sz w:val="24"/>
              </w:rPr>
              <w:t>服务人数</w:t>
            </w:r>
          </w:p>
        </w:tc>
        <w:tc>
          <w:tcPr>
            <w:tcW w:w="708" w:type="dxa"/>
            <w:noWrap w:val="0"/>
            <w:vAlign w:val="center"/>
          </w:tcPr>
          <w:p>
            <w:pPr>
              <w:widowControl/>
              <w:spacing w:line="360" w:lineRule="auto"/>
              <w:jc w:val="center"/>
              <w:rPr>
                <w:kern w:val="0"/>
                <w:sz w:val="24"/>
              </w:rPr>
            </w:pPr>
          </w:p>
        </w:tc>
        <w:tc>
          <w:tcPr>
            <w:tcW w:w="1560" w:type="dxa"/>
            <w:noWrap w:val="0"/>
            <w:vAlign w:val="center"/>
          </w:tcPr>
          <w:p>
            <w:pPr>
              <w:widowControl/>
              <w:spacing w:line="360" w:lineRule="auto"/>
              <w:jc w:val="left"/>
              <w:rPr>
                <w:kern w:val="0"/>
                <w:sz w:val="24"/>
              </w:rPr>
            </w:pPr>
            <w:r>
              <w:rPr>
                <w:rFonts w:hint="eastAsia" w:hAnsi="宋体"/>
                <w:kern w:val="0"/>
                <w:szCs w:val="21"/>
              </w:rPr>
              <w:t>每缺</w:t>
            </w:r>
            <w:r>
              <w:rPr>
                <w:kern w:val="0"/>
                <w:szCs w:val="21"/>
              </w:rPr>
              <w:t>1</w:t>
            </w:r>
            <w:r>
              <w:rPr>
                <w:rFonts w:hint="eastAsia" w:hAnsi="宋体"/>
                <w:kern w:val="0"/>
                <w:szCs w:val="21"/>
              </w:rPr>
              <w:t>人</w:t>
            </w:r>
            <w:r>
              <w:rPr>
                <w:rFonts w:hAnsi="宋体"/>
                <w:kern w:val="0"/>
                <w:szCs w:val="21"/>
              </w:rPr>
              <w:t>/</w:t>
            </w:r>
            <w:r>
              <w:rPr>
                <w:rFonts w:hint="eastAsia" w:hAnsi="宋体"/>
                <w:kern w:val="0"/>
                <w:szCs w:val="21"/>
              </w:rPr>
              <w:t>天，扣</w:t>
            </w:r>
            <w:r>
              <w:rPr>
                <w:kern w:val="0"/>
                <w:szCs w:val="21"/>
              </w:rPr>
              <w:t>1</w:t>
            </w:r>
            <w:r>
              <w:rPr>
                <w:rFonts w:hint="eastAsia" w:hAnsi="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67" w:type="dxa"/>
            <w:gridSpan w:val="2"/>
            <w:noWrap w:val="0"/>
            <w:vAlign w:val="center"/>
          </w:tcPr>
          <w:p>
            <w:pPr>
              <w:widowControl/>
              <w:spacing w:line="360" w:lineRule="auto"/>
              <w:jc w:val="center"/>
              <w:rPr>
                <w:kern w:val="0"/>
                <w:sz w:val="24"/>
              </w:rPr>
            </w:pPr>
            <w:r>
              <w:rPr>
                <w:rFonts w:hint="eastAsia"/>
                <w:kern w:val="0"/>
                <w:sz w:val="24"/>
              </w:rPr>
              <w:t>备注</w:t>
            </w:r>
          </w:p>
        </w:tc>
        <w:tc>
          <w:tcPr>
            <w:tcW w:w="7657" w:type="dxa"/>
            <w:gridSpan w:val="3"/>
            <w:noWrap w:val="0"/>
            <w:vAlign w:val="center"/>
          </w:tcPr>
          <w:p>
            <w:pPr>
              <w:widowControl/>
              <w:spacing w:line="360" w:lineRule="auto"/>
              <w:jc w:val="left"/>
              <w:rPr>
                <w:kern w:val="0"/>
                <w:sz w:val="24"/>
              </w:rPr>
            </w:pPr>
            <w:r>
              <w:rPr>
                <w:rFonts w:hint="eastAsia"/>
                <w:kern w:val="0"/>
                <w:sz w:val="24"/>
              </w:rPr>
              <w:t>当月月底前由招标人考评一次，日常管理可参照本考核表扣分，月底累加扣分，并合计总分。每项的分数，扣完为止。</w:t>
            </w:r>
          </w:p>
        </w:tc>
      </w:tr>
    </w:tbl>
    <w:p>
      <w:pPr>
        <w:spacing w:before="100" w:beforeAutospacing="1" w:line="360" w:lineRule="auto"/>
        <w:jc w:val="left"/>
        <w:rPr>
          <w:b/>
          <w:sz w:val="24"/>
        </w:rPr>
      </w:pPr>
      <w:r>
        <w:rPr>
          <w:b/>
          <w:sz w:val="24"/>
        </w:rPr>
        <w:t>6</w:t>
      </w:r>
      <w:r>
        <w:rPr>
          <w:rFonts w:hint="eastAsia"/>
          <w:b/>
          <w:sz w:val="24"/>
        </w:rPr>
        <w:t>、保安服务处罚标准</w:t>
      </w:r>
    </w:p>
    <w:tbl>
      <w:tblPr>
        <w:tblStyle w:val="70"/>
        <w:tblW w:w="94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5"/>
        <w:gridCol w:w="5614"/>
        <w:gridCol w:w="29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835" w:type="dxa"/>
            <w:tcBorders>
              <w:top w:val="single" w:color="auto" w:sz="4" w:space="0"/>
              <w:bottom w:val="single" w:color="auto" w:sz="4" w:space="0"/>
              <w:right w:val="single" w:color="auto" w:sz="4" w:space="0"/>
            </w:tcBorders>
            <w:noWrap w:val="0"/>
            <w:vAlign w:val="center"/>
          </w:tcPr>
          <w:p>
            <w:pPr>
              <w:widowControl/>
              <w:spacing w:line="360" w:lineRule="auto"/>
              <w:jc w:val="center"/>
              <w:rPr>
                <w:sz w:val="24"/>
              </w:rPr>
            </w:pPr>
            <w:r>
              <w:rPr>
                <w:rFonts w:hint="eastAsia"/>
                <w:b/>
                <w:bCs/>
                <w:sz w:val="24"/>
              </w:rPr>
              <w:t>序号</w:t>
            </w:r>
          </w:p>
        </w:tc>
        <w:tc>
          <w:tcPr>
            <w:tcW w:w="56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b/>
                <w:sz w:val="24"/>
              </w:rPr>
            </w:pPr>
            <w:r>
              <w:rPr>
                <w:rFonts w:hint="eastAsia"/>
                <w:b/>
                <w:sz w:val="24"/>
              </w:rPr>
              <w:t>内容</w:t>
            </w:r>
          </w:p>
        </w:tc>
        <w:tc>
          <w:tcPr>
            <w:tcW w:w="2977" w:type="dxa"/>
            <w:tcBorders>
              <w:top w:val="single" w:color="auto" w:sz="4" w:space="0"/>
              <w:left w:val="single" w:color="auto" w:sz="4" w:space="0"/>
              <w:bottom w:val="single" w:color="auto" w:sz="4" w:space="0"/>
            </w:tcBorders>
            <w:noWrap w:val="0"/>
            <w:vAlign w:val="center"/>
          </w:tcPr>
          <w:p>
            <w:pPr>
              <w:widowControl/>
              <w:spacing w:line="360" w:lineRule="auto"/>
              <w:jc w:val="center"/>
              <w:rPr>
                <w:sz w:val="24"/>
              </w:rPr>
            </w:pPr>
            <w:r>
              <w:rPr>
                <w:rFonts w:hint="eastAsia"/>
                <w:b/>
                <w:bCs/>
                <w:sz w:val="24"/>
              </w:rPr>
              <w:t>扣款标准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835" w:type="dxa"/>
            <w:tcBorders>
              <w:top w:val="single" w:color="auto" w:sz="4" w:space="0"/>
              <w:bottom w:val="single" w:color="auto" w:sz="4" w:space="0"/>
              <w:right w:val="single" w:color="auto" w:sz="4" w:space="0"/>
            </w:tcBorders>
            <w:noWrap w:val="0"/>
            <w:vAlign w:val="center"/>
          </w:tcPr>
          <w:p>
            <w:pPr>
              <w:widowControl/>
              <w:spacing w:line="360" w:lineRule="auto"/>
              <w:jc w:val="center"/>
              <w:rPr>
                <w:sz w:val="24"/>
              </w:rPr>
            </w:pPr>
            <w:r>
              <w:rPr>
                <w:sz w:val="24"/>
              </w:rPr>
              <w:t>1</w:t>
            </w:r>
          </w:p>
        </w:tc>
        <w:tc>
          <w:tcPr>
            <w:tcW w:w="56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b/>
                <w:sz w:val="24"/>
              </w:rPr>
            </w:pPr>
            <w:r>
              <w:rPr>
                <w:rFonts w:hint="eastAsia"/>
                <w:b/>
                <w:sz w:val="24"/>
              </w:rPr>
              <w:t>治安：</w:t>
            </w:r>
            <w:r>
              <w:rPr>
                <w:rFonts w:hint="eastAsia"/>
                <w:sz w:val="24"/>
              </w:rPr>
              <w:t>院内每月发生偷盗案件不得大于</w:t>
            </w:r>
            <w:r>
              <w:rPr>
                <w:sz w:val="24"/>
              </w:rPr>
              <w:t>2</w:t>
            </w:r>
            <w:r>
              <w:rPr>
                <w:rFonts w:hint="eastAsia"/>
                <w:sz w:val="24"/>
              </w:rPr>
              <w:t>起（以辖区***报案记录为准），不得连续三个月偷盗案件大于</w:t>
            </w:r>
            <w:r>
              <w:rPr>
                <w:sz w:val="24"/>
              </w:rPr>
              <w:t>2</w:t>
            </w:r>
            <w:r>
              <w:rPr>
                <w:rFonts w:hint="eastAsia"/>
                <w:sz w:val="24"/>
              </w:rPr>
              <w:t>起</w:t>
            </w:r>
            <w:r>
              <w:rPr>
                <w:sz w:val="24"/>
              </w:rPr>
              <w:t>/</w:t>
            </w:r>
            <w:r>
              <w:rPr>
                <w:rFonts w:hint="eastAsia"/>
                <w:sz w:val="24"/>
              </w:rPr>
              <w:t>月。</w:t>
            </w:r>
          </w:p>
        </w:tc>
        <w:tc>
          <w:tcPr>
            <w:tcW w:w="2977" w:type="dxa"/>
            <w:tcBorders>
              <w:top w:val="single" w:color="auto" w:sz="4" w:space="0"/>
              <w:left w:val="single" w:color="auto" w:sz="4" w:space="0"/>
              <w:bottom w:val="single" w:color="auto" w:sz="4" w:space="0"/>
            </w:tcBorders>
            <w:noWrap w:val="0"/>
            <w:vAlign w:val="center"/>
          </w:tcPr>
          <w:p>
            <w:pPr>
              <w:widowControl/>
              <w:spacing w:line="360" w:lineRule="auto"/>
              <w:jc w:val="left"/>
              <w:rPr>
                <w:sz w:val="24"/>
              </w:rPr>
            </w:pPr>
            <w:r>
              <w:rPr>
                <w:rFonts w:hint="eastAsia"/>
                <w:sz w:val="24"/>
              </w:rPr>
              <w:t>每超过</w:t>
            </w:r>
            <w:r>
              <w:rPr>
                <w:sz w:val="24"/>
              </w:rPr>
              <w:t>1</w:t>
            </w:r>
            <w:r>
              <w:rPr>
                <w:rFonts w:hint="eastAsia"/>
                <w:sz w:val="24"/>
              </w:rPr>
              <w:t>起，罚款</w:t>
            </w:r>
            <w:r>
              <w:rPr>
                <w:sz w:val="24"/>
              </w:rPr>
              <w:t>2000</w:t>
            </w:r>
            <w:r>
              <w:rPr>
                <w:rFonts w:hint="eastAsia"/>
                <w:sz w:val="24"/>
              </w:rPr>
              <w:t>元</w:t>
            </w:r>
            <w:r>
              <w:rPr>
                <w:sz w:val="24"/>
              </w:rPr>
              <w:t>/</w:t>
            </w:r>
            <w:r>
              <w:rPr>
                <w:rFonts w:hint="eastAsia"/>
                <w:sz w:val="24"/>
              </w:rPr>
              <w:t>起，连续三个月大于</w:t>
            </w:r>
            <w:r>
              <w:rPr>
                <w:sz w:val="24"/>
              </w:rPr>
              <w:t>2</w:t>
            </w:r>
            <w:r>
              <w:rPr>
                <w:rFonts w:hint="eastAsia"/>
                <w:sz w:val="24"/>
              </w:rPr>
              <w:t>起的，罚款</w:t>
            </w:r>
            <w:r>
              <w:rPr>
                <w:sz w:val="24"/>
              </w:rPr>
              <w:t>5000</w:t>
            </w:r>
            <w:r>
              <w:rPr>
                <w:rFonts w:hint="eastAsia"/>
                <w:sz w:val="24"/>
              </w:rPr>
              <w:t>元。同时按照公安部门的规定，根据企事业单位内部治安管理条例的规定，追加处罚。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835" w:type="dxa"/>
            <w:tcBorders>
              <w:top w:val="single" w:color="auto" w:sz="4" w:space="0"/>
              <w:bottom w:val="single" w:color="auto" w:sz="4" w:space="0"/>
              <w:right w:val="single" w:color="auto" w:sz="4" w:space="0"/>
            </w:tcBorders>
            <w:noWrap w:val="0"/>
            <w:vAlign w:val="center"/>
          </w:tcPr>
          <w:p>
            <w:pPr>
              <w:widowControl/>
              <w:spacing w:line="360" w:lineRule="auto"/>
              <w:jc w:val="center"/>
              <w:rPr>
                <w:sz w:val="24"/>
              </w:rPr>
            </w:pPr>
            <w:r>
              <w:rPr>
                <w:sz w:val="24"/>
              </w:rPr>
              <w:t>2</w:t>
            </w:r>
          </w:p>
        </w:tc>
        <w:tc>
          <w:tcPr>
            <w:tcW w:w="56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b/>
                <w:sz w:val="24"/>
              </w:rPr>
            </w:pPr>
            <w:r>
              <w:rPr>
                <w:rFonts w:hint="eastAsia"/>
                <w:b/>
                <w:sz w:val="24"/>
              </w:rPr>
              <w:t>消防：</w:t>
            </w:r>
            <w:r>
              <w:rPr>
                <w:rFonts w:hint="eastAsia"/>
                <w:sz w:val="24"/>
              </w:rPr>
              <w:t>所在岗位发生火警，岗位当班人员未及时发现和扑灭。</w:t>
            </w:r>
          </w:p>
        </w:tc>
        <w:tc>
          <w:tcPr>
            <w:tcW w:w="2977" w:type="dxa"/>
            <w:tcBorders>
              <w:top w:val="single" w:color="auto" w:sz="4" w:space="0"/>
              <w:left w:val="single" w:color="auto" w:sz="4" w:space="0"/>
              <w:bottom w:val="single" w:color="auto" w:sz="4" w:space="0"/>
            </w:tcBorders>
            <w:noWrap w:val="0"/>
            <w:vAlign w:val="center"/>
          </w:tcPr>
          <w:p>
            <w:pPr>
              <w:widowControl/>
              <w:spacing w:line="360" w:lineRule="auto"/>
              <w:jc w:val="left"/>
              <w:rPr>
                <w:kern w:val="0"/>
                <w:sz w:val="24"/>
              </w:rPr>
            </w:pPr>
            <w:r>
              <w:rPr>
                <w:rFonts w:hint="eastAsia"/>
                <w:sz w:val="24"/>
              </w:rPr>
              <w:t>当班人员给予</w:t>
            </w:r>
            <w:r>
              <w:rPr>
                <w:sz w:val="24"/>
              </w:rPr>
              <w:t>1000-2000</w:t>
            </w:r>
            <w:r>
              <w:rPr>
                <w:rFonts w:hint="eastAsia"/>
                <w:sz w:val="24"/>
              </w:rPr>
              <w:t>的处罚；因未及时发现扑灭，造成火灾或重大火灾的，中标人要给予</w:t>
            </w:r>
            <w:r>
              <w:rPr>
                <w:sz w:val="24"/>
              </w:rPr>
              <w:t>5-10</w:t>
            </w:r>
            <w:r>
              <w:rPr>
                <w:rFonts w:hint="eastAsia"/>
                <w:sz w:val="24"/>
              </w:rPr>
              <w:t>万的赔偿，根据公安部门的规定，直至追究当班人员和工作人员的刑事责任。</w:t>
            </w:r>
          </w:p>
        </w:tc>
      </w:tr>
    </w:tbl>
    <w:p>
      <w:pPr>
        <w:widowControl/>
        <w:spacing w:line="360" w:lineRule="auto"/>
        <w:jc w:val="left"/>
        <w:rPr>
          <w:b/>
          <w:sz w:val="24"/>
        </w:rPr>
      </w:pPr>
    </w:p>
    <w:p>
      <w:pPr>
        <w:widowControl/>
        <w:spacing w:line="360" w:lineRule="auto"/>
        <w:ind w:firstLine="140" w:firstLineChars="58"/>
        <w:jc w:val="left"/>
        <w:rPr>
          <w:b/>
          <w:bCs/>
          <w:sz w:val="24"/>
        </w:rPr>
      </w:pPr>
      <w:r>
        <w:rPr>
          <w:rFonts w:hint="eastAsia"/>
          <w:b/>
          <w:bCs/>
          <w:sz w:val="24"/>
        </w:rPr>
        <w:t>二、月度绩效考核奖罚标准</w:t>
      </w:r>
    </w:p>
    <w:p>
      <w:pPr>
        <w:spacing w:before="120" w:beforeLines="50" w:line="360" w:lineRule="auto"/>
        <w:rPr>
          <w:bCs/>
          <w:sz w:val="24"/>
        </w:rPr>
      </w:pPr>
      <w:r>
        <w:rPr>
          <w:sz w:val="24"/>
        </w:rPr>
        <w:t>1</w:t>
      </w:r>
      <w:r>
        <w:rPr>
          <w:rFonts w:hint="eastAsia"/>
          <w:sz w:val="24"/>
        </w:rPr>
        <w:t>、招标人组织各相关科室参与保安服务项目打分，</w:t>
      </w:r>
      <w:r>
        <w:rPr>
          <w:rFonts w:hint="eastAsia"/>
          <w:bCs/>
          <w:sz w:val="24"/>
        </w:rPr>
        <w:t>相关科室的平均值作为中标人月度绩效考核得分，中标人</w:t>
      </w:r>
      <w:r>
        <w:rPr>
          <w:rFonts w:hint="eastAsia"/>
          <w:sz w:val="24"/>
        </w:rPr>
        <w:t>年度绩效考核得分为各月考核得分的平均值。</w:t>
      </w:r>
    </w:p>
    <w:tbl>
      <w:tblPr>
        <w:tblStyle w:val="70"/>
        <w:tblW w:w="9782"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77"/>
        <w:gridCol w:w="4677"/>
        <w:gridCol w:w="38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277" w:type="dxa"/>
            <w:tcBorders>
              <w:top w:val="single" w:color="auto" w:sz="4" w:space="0"/>
              <w:bottom w:val="single" w:color="auto" w:sz="4" w:space="0"/>
              <w:right w:val="single" w:color="auto" w:sz="4" w:space="0"/>
            </w:tcBorders>
            <w:noWrap w:val="0"/>
            <w:vAlign w:val="center"/>
          </w:tcPr>
          <w:p>
            <w:pPr>
              <w:widowControl/>
              <w:spacing w:line="360" w:lineRule="auto"/>
              <w:jc w:val="center"/>
              <w:rPr>
                <w:b/>
                <w:bCs/>
                <w:sz w:val="24"/>
              </w:rPr>
            </w:pPr>
            <w:r>
              <w:rPr>
                <w:rFonts w:hint="eastAsia"/>
                <w:b/>
                <w:bCs/>
                <w:sz w:val="24"/>
              </w:rPr>
              <w:t>序号</w:t>
            </w:r>
          </w:p>
        </w:tc>
        <w:tc>
          <w:tcPr>
            <w:tcW w:w="467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b/>
                <w:bCs/>
                <w:sz w:val="24"/>
              </w:rPr>
            </w:pPr>
            <w:r>
              <w:rPr>
                <w:rFonts w:hint="eastAsia"/>
                <w:b/>
                <w:bCs/>
                <w:sz w:val="24"/>
              </w:rPr>
              <w:t>月度评分</w:t>
            </w:r>
          </w:p>
        </w:tc>
        <w:tc>
          <w:tcPr>
            <w:tcW w:w="3828" w:type="dxa"/>
            <w:tcBorders>
              <w:top w:val="single" w:color="auto" w:sz="4" w:space="0"/>
              <w:left w:val="single" w:color="auto" w:sz="4" w:space="0"/>
              <w:bottom w:val="single" w:color="auto" w:sz="4" w:space="0"/>
            </w:tcBorders>
            <w:noWrap w:val="0"/>
            <w:vAlign w:val="center"/>
          </w:tcPr>
          <w:p>
            <w:pPr>
              <w:widowControl/>
              <w:spacing w:line="360" w:lineRule="auto"/>
              <w:jc w:val="center"/>
              <w:rPr>
                <w:b/>
                <w:bCs/>
                <w:sz w:val="24"/>
              </w:rPr>
            </w:pPr>
            <w:r>
              <w:rPr>
                <w:rFonts w:hint="eastAsia"/>
                <w:b/>
                <w:bCs/>
                <w:sz w:val="24"/>
              </w:rPr>
              <w:t>扣款标准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277" w:type="dxa"/>
            <w:tcBorders>
              <w:top w:val="single" w:color="auto" w:sz="4" w:space="0"/>
              <w:bottom w:val="single" w:color="auto" w:sz="4" w:space="0"/>
              <w:right w:val="single" w:color="auto" w:sz="4" w:space="0"/>
            </w:tcBorders>
            <w:noWrap w:val="0"/>
            <w:vAlign w:val="center"/>
          </w:tcPr>
          <w:p>
            <w:pPr>
              <w:widowControl/>
              <w:spacing w:line="360" w:lineRule="auto"/>
              <w:jc w:val="center"/>
              <w:rPr>
                <w:sz w:val="24"/>
              </w:rPr>
            </w:pPr>
            <w:r>
              <w:rPr>
                <w:sz w:val="24"/>
              </w:rPr>
              <w:t xml:space="preserve">1 </w:t>
            </w:r>
          </w:p>
        </w:tc>
        <w:tc>
          <w:tcPr>
            <w:tcW w:w="467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sz w:val="24"/>
              </w:rPr>
            </w:pPr>
            <w:r>
              <w:rPr>
                <w:sz w:val="24"/>
              </w:rPr>
              <w:t>89</w:t>
            </w:r>
            <w:r>
              <w:rPr>
                <w:rFonts w:hint="eastAsia"/>
                <w:sz w:val="24"/>
              </w:rPr>
              <w:t>分（含）以上</w:t>
            </w:r>
          </w:p>
        </w:tc>
        <w:tc>
          <w:tcPr>
            <w:tcW w:w="3828" w:type="dxa"/>
            <w:tcBorders>
              <w:top w:val="single" w:color="auto" w:sz="4" w:space="0"/>
              <w:left w:val="single" w:color="auto" w:sz="4" w:space="0"/>
              <w:bottom w:val="single" w:color="auto" w:sz="4" w:space="0"/>
            </w:tcBorders>
            <w:noWrap w:val="0"/>
            <w:vAlign w:val="center"/>
          </w:tcPr>
          <w:p>
            <w:pPr>
              <w:widowControl/>
              <w:spacing w:line="360" w:lineRule="auto"/>
              <w:jc w:val="left"/>
              <w:rPr>
                <w:sz w:val="24"/>
              </w:rPr>
            </w:pPr>
            <w:r>
              <w:rPr>
                <w:rFonts w:hint="eastAsia"/>
                <w:sz w:val="24"/>
              </w:rPr>
              <w:t>支付全部月度合同金额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277" w:type="dxa"/>
            <w:tcBorders>
              <w:top w:val="single" w:color="auto" w:sz="4" w:space="0"/>
              <w:bottom w:val="single" w:color="auto" w:sz="4" w:space="0"/>
              <w:right w:val="single" w:color="auto" w:sz="4" w:space="0"/>
            </w:tcBorders>
            <w:noWrap w:val="0"/>
            <w:vAlign w:val="center"/>
          </w:tcPr>
          <w:p>
            <w:pPr>
              <w:widowControl/>
              <w:spacing w:line="360" w:lineRule="auto"/>
              <w:jc w:val="center"/>
              <w:rPr>
                <w:sz w:val="24"/>
              </w:rPr>
            </w:pPr>
            <w:r>
              <w:rPr>
                <w:sz w:val="24"/>
              </w:rPr>
              <w:t xml:space="preserve">2 </w:t>
            </w:r>
          </w:p>
        </w:tc>
        <w:tc>
          <w:tcPr>
            <w:tcW w:w="467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sz w:val="24"/>
              </w:rPr>
            </w:pPr>
            <w:r>
              <w:rPr>
                <w:sz w:val="24"/>
              </w:rPr>
              <w:t>89</w:t>
            </w:r>
            <w:r>
              <w:rPr>
                <w:rFonts w:hint="eastAsia"/>
                <w:sz w:val="24"/>
              </w:rPr>
              <w:t>分以下，</w:t>
            </w:r>
            <w:r>
              <w:rPr>
                <w:sz w:val="24"/>
              </w:rPr>
              <w:t>84</w:t>
            </w:r>
            <w:r>
              <w:rPr>
                <w:rFonts w:hint="eastAsia"/>
                <w:sz w:val="24"/>
              </w:rPr>
              <w:t>分（含）以上</w:t>
            </w:r>
          </w:p>
        </w:tc>
        <w:tc>
          <w:tcPr>
            <w:tcW w:w="3828" w:type="dxa"/>
            <w:tcBorders>
              <w:top w:val="single" w:color="auto" w:sz="4" w:space="0"/>
              <w:left w:val="single" w:color="auto" w:sz="4" w:space="0"/>
              <w:bottom w:val="single" w:color="auto" w:sz="4" w:space="0"/>
            </w:tcBorders>
            <w:noWrap w:val="0"/>
            <w:vAlign w:val="center"/>
          </w:tcPr>
          <w:p>
            <w:pPr>
              <w:widowControl/>
              <w:spacing w:line="360" w:lineRule="auto"/>
              <w:jc w:val="left"/>
              <w:rPr>
                <w:sz w:val="24"/>
              </w:rPr>
            </w:pPr>
            <w:r>
              <w:rPr>
                <w:rFonts w:hint="eastAsia"/>
                <w:sz w:val="24"/>
              </w:rPr>
              <w:t>扣款为月度合同金额</w:t>
            </w:r>
            <w:r>
              <w:rPr>
                <w:sz w:val="24"/>
              </w:rPr>
              <w:t>2.5%</w:t>
            </w:r>
            <w:r>
              <w:rPr>
                <w:rFonts w:hint="eastAsia"/>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277" w:type="dxa"/>
            <w:tcBorders>
              <w:top w:val="single" w:color="auto" w:sz="4" w:space="0"/>
              <w:bottom w:val="single" w:color="auto" w:sz="4" w:space="0"/>
              <w:right w:val="single" w:color="auto" w:sz="4" w:space="0"/>
            </w:tcBorders>
            <w:noWrap w:val="0"/>
            <w:vAlign w:val="center"/>
          </w:tcPr>
          <w:p>
            <w:pPr>
              <w:widowControl/>
              <w:spacing w:line="360" w:lineRule="auto"/>
              <w:jc w:val="center"/>
              <w:rPr>
                <w:sz w:val="24"/>
              </w:rPr>
            </w:pPr>
            <w:r>
              <w:rPr>
                <w:sz w:val="24"/>
              </w:rPr>
              <w:t xml:space="preserve">3 </w:t>
            </w:r>
          </w:p>
        </w:tc>
        <w:tc>
          <w:tcPr>
            <w:tcW w:w="467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sz w:val="24"/>
              </w:rPr>
            </w:pPr>
            <w:r>
              <w:rPr>
                <w:sz w:val="24"/>
              </w:rPr>
              <w:t>84</w:t>
            </w:r>
            <w:r>
              <w:rPr>
                <w:rFonts w:hint="eastAsia"/>
                <w:sz w:val="24"/>
              </w:rPr>
              <w:t>分以下，</w:t>
            </w:r>
            <w:r>
              <w:rPr>
                <w:sz w:val="24"/>
              </w:rPr>
              <w:t>79</w:t>
            </w:r>
            <w:r>
              <w:rPr>
                <w:rFonts w:hint="eastAsia"/>
                <w:sz w:val="24"/>
              </w:rPr>
              <w:t>分（含）以上</w:t>
            </w:r>
          </w:p>
        </w:tc>
        <w:tc>
          <w:tcPr>
            <w:tcW w:w="3828" w:type="dxa"/>
            <w:tcBorders>
              <w:top w:val="single" w:color="auto" w:sz="4" w:space="0"/>
              <w:left w:val="single" w:color="auto" w:sz="4" w:space="0"/>
              <w:bottom w:val="single" w:color="auto" w:sz="4" w:space="0"/>
            </w:tcBorders>
            <w:noWrap w:val="0"/>
            <w:vAlign w:val="center"/>
          </w:tcPr>
          <w:p>
            <w:pPr>
              <w:widowControl/>
              <w:spacing w:line="360" w:lineRule="auto"/>
              <w:jc w:val="left"/>
              <w:rPr>
                <w:sz w:val="24"/>
              </w:rPr>
            </w:pPr>
            <w:r>
              <w:rPr>
                <w:rFonts w:hint="eastAsia"/>
                <w:sz w:val="24"/>
              </w:rPr>
              <w:t>扣款为月度合同金额</w:t>
            </w:r>
            <w:r>
              <w:rPr>
                <w:sz w:val="24"/>
              </w:rPr>
              <w:t>5%</w:t>
            </w:r>
            <w:r>
              <w:rPr>
                <w:rFonts w:hint="eastAsia"/>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 w:hRule="atLeast"/>
        </w:trPr>
        <w:tc>
          <w:tcPr>
            <w:tcW w:w="1277" w:type="dxa"/>
            <w:tcBorders>
              <w:top w:val="single" w:color="auto" w:sz="4" w:space="0"/>
              <w:bottom w:val="single" w:color="auto" w:sz="4" w:space="0"/>
              <w:right w:val="single" w:color="auto" w:sz="4" w:space="0"/>
            </w:tcBorders>
            <w:noWrap w:val="0"/>
            <w:vAlign w:val="center"/>
          </w:tcPr>
          <w:p>
            <w:pPr>
              <w:widowControl/>
              <w:spacing w:line="360" w:lineRule="auto"/>
              <w:jc w:val="center"/>
              <w:rPr>
                <w:sz w:val="24"/>
              </w:rPr>
            </w:pPr>
            <w:r>
              <w:rPr>
                <w:sz w:val="24"/>
              </w:rPr>
              <w:t xml:space="preserve">4 </w:t>
            </w:r>
          </w:p>
        </w:tc>
        <w:tc>
          <w:tcPr>
            <w:tcW w:w="467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sz w:val="24"/>
              </w:rPr>
            </w:pPr>
            <w:r>
              <w:rPr>
                <w:sz w:val="24"/>
              </w:rPr>
              <w:t>79</w:t>
            </w:r>
            <w:r>
              <w:rPr>
                <w:rFonts w:hint="eastAsia"/>
                <w:sz w:val="24"/>
              </w:rPr>
              <w:t>分以下</w:t>
            </w:r>
          </w:p>
        </w:tc>
        <w:tc>
          <w:tcPr>
            <w:tcW w:w="3828" w:type="dxa"/>
            <w:tcBorders>
              <w:top w:val="single" w:color="auto" w:sz="4" w:space="0"/>
              <w:left w:val="single" w:color="auto" w:sz="4" w:space="0"/>
              <w:bottom w:val="single" w:color="auto" w:sz="4" w:space="0"/>
            </w:tcBorders>
            <w:noWrap w:val="0"/>
            <w:vAlign w:val="center"/>
          </w:tcPr>
          <w:p>
            <w:pPr>
              <w:widowControl/>
              <w:spacing w:line="360" w:lineRule="auto"/>
              <w:jc w:val="left"/>
              <w:rPr>
                <w:sz w:val="24"/>
              </w:rPr>
            </w:pPr>
            <w:r>
              <w:rPr>
                <w:rFonts w:hint="eastAsia"/>
                <w:sz w:val="24"/>
              </w:rPr>
              <w:t>扣款为月度合同金额</w:t>
            </w:r>
            <w:r>
              <w:rPr>
                <w:sz w:val="24"/>
              </w:rPr>
              <w:t>10%</w:t>
            </w:r>
            <w:r>
              <w:rPr>
                <w:rFonts w:hint="eastAsia"/>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277" w:type="dxa"/>
            <w:tcBorders>
              <w:top w:val="single" w:color="auto" w:sz="4" w:space="0"/>
              <w:bottom w:val="single" w:color="auto" w:sz="4" w:space="0"/>
              <w:right w:val="single" w:color="auto" w:sz="4" w:space="0"/>
            </w:tcBorders>
            <w:noWrap w:val="0"/>
            <w:vAlign w:val="center"/>
          </w:tcPr>
          <w:p>
            <w:pPr>
              <w:widowControl/>
              <w:spacing w:line="360" w:lineRule="auto"/>
              <w:jc w:val="center"/>
              <w:rPr>
                <w:sz w:val="24"/>
              </w:rPr>
            </w:pPr>
            <w:r>
              <w:rPr>
                <w:sz w:val="24"/>
              </w:rPr>
              <w:t>5</w:t>
            </w:r>
          </w:p>
        </w:tc>
        <w:tc>
          <w:tcPr>
            <w:tcW w:w="467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sz w:val="24"/>
              </w:rPr>
            </w:pPr>
            <w:r>
              <w:rPr>
                <w:rFonts w:hint="eastAsia"/>
                <w:sz w:val="24"/>
              </w:rPr>
              <w:t>服务期限内有</w:t>
            </w:r>
            <w:r>
              <w:rPr>
                <w:sz w:val="24"/>
              </w:rPr>
              <w:t>5</w:t>
            </w:r>
            <w:r>
              <w:rPr>
                <w:rFonts w:hint="eastAsia"/>
                <w:sz w:val="24"/>
              </w:rPr>
              <w:t>次低于</w:t>
            </w:r>
            <w:r>
              <w:rPr>
                <w:sz w:val="24"/>
              </w:rPr>
              <w:t>89</w:t>
            </w:r>
            <w:r>
              <w:rPr>
                <w:rFonts w:hint="eastAsia"/>
                <w:sz w:val="24"/>
              </w:rPr>
              <w:t>分</w:t>
            </w:r>
          </w:p>
        </w:tc>
        <w:tc>
          <w:tcPr>
            <w:tcW w:w="3828" w:type="dxa"/>
            <w:tcBorders>
              <w:top w:val="single" w:color="auto" w:sz="4" w:space="0"/>
              <w:left w:val="single" w:color="auto" w:sz="4" w:space="0"/>
              <w:bottom w:val="single" w:color="auto" w:sz="4" w:space="0"/>
            </w:tcBorders>
            <w:noWrap w:val="0"/>
            <w:vAlign w:val="center"/>
          </w:tcPr>
          <w:p>
            <w:pPr>
              <w:widowControl/>
              <w:spacing w:line="360" w:lineRule="auto"/>
              <w:jc w:val="left"/>
              <w:rPr>
                <w:sz w:val="24"/>
              </w:rPr>
            </w:pPr>
            <w:r>
              <w:rPr>
                <w:rFonts w:hint="eastAsia"/>
                <w:sz w:val="24"/>
              </w:rPr>
              <w:t>没收全部履约保证金</w:t>
            </w:r>
            <w:r>
              <w:rPr>
                <w:sz w:val="24"/>
              </w:rPr>
              <w:t>,</w:t>
            </w:r>
            <w:r>
              <w:rPr>
                <w:rFonts w:hint="eastAsia"/>
                <w:sz w:val="24"/>
              </w:rPr>
              <w:t>并终止合同；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277" w:type="dxa"/>
            <w:tcBorders>
              <w:top w:val="single" w:color="auto" w:sz="4" w:space="0"/>
              <w:bottom w:val="single" w:color="auto" w:sz="4" w:space="0"/>
              <w:right w:val="single" w:color="auto" w:sz="4" w:space="0"/>
            </w:tcBorders>
            <w:noWrap w:val="0"/>
            <w:vAlign w:val="center"/>
          </w:tcPr>
          <w:p>
            <w:pPr>
              <w:widowControl/>
              <w:spacing w:line="360" w:lineRule="auto"/>
              <w:jc w:val="center"/>
              <w:rPr>
                <w:sz w:val="24"/>
              </w:rPr>
            </w:pPr>
            <w:r>
              <w:rPr>
                <w:sz w:val="24"/>
              </w:rPr>
              <w:t xml:space="preserve">6 </w:t>
            </w:r>
          </w:p>
        </w:tc>
        <w:tc>
          <w:tcPr>
            <w:tcW w:w="467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sz w:val="24"/>
              </w:rPr>
            </w:pPr>
            <w:r>
              <w:rPr>
                <w:rFonts w:hint="eastAsia"/>
                <w:sz w:val="24"/>
              </w:rPr>
              <w:t>服务期限内有</w:t>
            </w:r>
            <w:r>
              <w:rPr>
                <w:sz w:val="24"/>
              </w:rPr>
              <w:t>2</w:t>
            </w:r>
            <w:r>
              <w:rPr>
                <w:rFonts w:hint="eastAsia"/>
                <w:sz w:val="24"/>
              </w:rPr>
              <w:t>次低于</w:t>
            </w:r>
            <w:r>
              <w:rPr>
                <w:sz w:val="24"/>
              </w:rPr>
              <w:t>79</w:t>
            </w:r>
            <w:r>
              <w:rPr>
                <w:rFonts w:hint="eastAsia"/>
                <w:sz w:val="24"/>
              </w:rPr>
              <w:t>分</w:t>
            </w:r>
          </w:p>
        </w:tc>
        <w:tc>
          <w:tcPr>
            <w:tcW w:w="3828" w:type="dxa"/>
            <w:tcBorders>
              <w:top w:val="single" w:color="auto" w:sz="4" w:space="0"/>
              <w:left w:val="single" w:color="auto" w:sz="4" w:space="0"/>
              <w:bottom w:val="single" w:color="auto" w:sz="4" w:space="0"/>
            </w:tcBorders>
            <w:noWrap w:val="0"/>
            <w:vAlign w:val="center"/>
          </w:tcPr>
          <w:p>
            <w:pPr>
              <w:widowControl/>
              <w:spacing w:line="360" w:lineRule="auto"/>
              <w:jc w:val="left"/>
              <w:rPr>
                <w:sz w:val="24"/>
              </w:rPr>
            </w:pPr>
            <w:r>
              <w:rPr>
                <w:rFonts w:hint="eastAsia"/>
                <w:sz w:val="24"/>
              </w:rPr>
              <w:t>没收全部履约保证金</w:t>
            </w:r>
            <w:r>
              <w:rPr>
                <w:sz w:val="24"/>
              </w:rPr>
              <w:t>,</w:t>
            </w:r>
            <w:r>
              <w:rPr>
                <w:rFonts w:hint="eastAsia"/>
                <w:sz w:val="24"/>
              </w:rPr>
              <w:t>并终止合同；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954" w:type="dxa"/>
            <w:gridSpan w:val="2"/>
            <w:tcBorders>
              <w:top w:val="single" w:color="auto" w:sz="4" w:space="0"/>
              <w:bottom w:val="single" w:color="auto" w:sz="4" w:space="0"/>
              <w:right w:val="single" w:color="auto" w:sz="4" w:space="0"/>
            </w:tcBorders>
            <w:noWrap w:val="0"/>
            <w:vAlign w:val="center"/>
          </w:tcPr>
          <w:p>
            <w:pPr>
              <w:widowControl/>
              <w:spacing w:line="360" w:lineRule="auto"/>
              <w:jc w:val="center"/>
              <w:rPr>
                <w:sz w:val="24"/>
              </w:rPr>
            </w:pPr>
            <w:r>
              <w:rPr>
                <w:rFonts w:hint="eastAsia"/>
                <w:sz w:val="24"/>
              </w:rPr>
              <w:t>备注</w:t>
            </w:r>
          </w:p>
        </w:tc>
        <w:tc>
          <w:tcPr>
            <w:tcW w:w="3828" w:type="dxa"/>
            <w:tcBorders>
              <w:top w:val="single" w:color="auto" w:sz="4" w:space="0"/>
              <w:left w:val="single" w:color="auto" w:sz="4" w:space="0"/>
              <w:bottom w:val="single" w:color="auto" w:sz="4" w:space="0"/>
            </w:tcBorders>
            <w:noWrap w:val="0"/>
            <w:vAlign w:val="center"/>
          </w:tcPr>
          <w:p>
            <w:pPr>
              <w:widowControl/>
              <w:spacing w:line="360" w:lineRule="auto"/>
              <w:jc w:val="left"/>
              <w:rPr>
                <w:sz w:val="24"/>
              </w:rPr>
            </w:pPr>
            <w:r>
              <w:rPr>
                <w:rFonts w:hint="eastAsia"/>
                <w:sz w:val="24"/>
              </w:rPr>
              <w:t>以上评分标准按照百分制进行，每月初恢复百分制。</w:t>
            </w:r>
          </w:p>
        </w:tc>
      </w:tr>
    </w:tbl>
    <w:p>
      <w:pPr>
        <w:widowControl/>
        <w:spacing w:before="240" w:beforeLines="100" w:line="360" w:lineRule="auto"/>
        <w:jc w:val="left"/>
        <w:rPr>
          <w:sz w:val="24"/>
        </w:rPr>
      </w:pPr>
      <w:r>
        <w:rPr>
          <w:sz w:val="24"/>
        </w:rPr>
        <w:t>2</w:t>
      </w:r>
      <w:r>
        <w:rPr>
          <w:rFonts w:hint="eastAsia"/>
          <w:sz w:val="24"/>
        </w:rPr>
        <w:t>、招标人不定期按照招标文件中的</w:t>
      </w:r>
      <w:r>
        <w:rPr>
          <w:sz w:val="24"/>
        </w:rPr>
        <w:t>“</w:t>
      </w:r>
      <w:r>
        <w:rPr>
          <w:rFonts w:hint="eastAsia"/>
          <w:b/>
          <w:sz w:val="24"/>
        </w:rPr>
        <w:t>第四章服务具体要求</w:t>
      </w:r>
      <w:r>
        <w:rPr>
          <w:sz w:val="24"/>
        </w:rPr>
        <w:t>”</w:t>
      </w:r>
      <w:r>
        <w:rPr>
          <w:rFonts w:hint="eastAsia"/>
          <w:sz w:val="24"/>
        </w:rPr>
        <w:t>对服务区域进行检查，发现不合格项进行扣分处理。中标人须在当日作出响应，完成招标人的要求。</w:t>
      </w:r>
    </w:p>
    <w:p>
      <w:pPr>
        <w:widowControl/>
        <w:spacing w:before="100" w:beforeAutospacing="1" w:line="360" w:lineRule="auto"/>
        <w:jc w:val="left"/>
        <w:rPr>
          <w:b/>
          <w:sz w:val="24"/>
        </w:rPr>
      </w:pPr>
      <w:r>
        <w:rPr>
          <w:rFonts w:hint="eastAsia"/>
          <w:b/>
          <w:bCs/>
          <w:sz w:val="24"/>
        </w:rPr>
        <w:t>三、考勤说明</w:t>
      </w:r>
    </w:p>
    <w:p>
      <w:pPr>
        <w:spacing w:before="120" w:beforeLines="50" w:line="360" w:lineRule="auto"/>
        <w:ind w:firstLine="480" w:firstLineChars="200"/>
        <w:rPr>
          <w:sz w:val="24"/>
        </w:rPr>
      </w:pPr>
      <w:r>
        <w:rPr>
          <w:rFonts w:hint="eastAsia"/>
          <w:bCs/>
          <w:sz w:val="24"/>
        </w:rPr>
        <w:t>中标人应实行电子考勤管理。</w:t>
      </w:r>
      <w:r>
        <w:rPr>
          <w:rFonts w:hint="eastAsia"/>
          <w:sz w:val="24"/>
        </w:rPr>
        <w:t>中标人在承包之日起</w:t>
      </w:r>
      <w:r>
        <w:rPr>
          <w:sz w:val="24"/>
        </w:rPr>
        <w:t>5</w:t>
      </w:r>
      <w:r>
        <w:rPr>
          <w:rFonts w:hint="eastAsia"/>
          <w:sz w:val="24"/>
        </w:rPr>
        <w:t>个工作日内向招标人提供工作人员名单，上下班执行指纹或面部扫描考勤，招标人每月对中标人的考勤进行检查，按照</w:t>
      </w:r>
      <w:r>
        <w:rPr>
          <w:rFonts w:hint="eastAsia"/>
          <w:bCs/>
          <w:sz w:val="24"/>
        </w:rPr>
        <w:t>招标人医院所在的</w:t>
      </w:r>
      <w:r>
        <w:rPr>
          <w:rFonts w:hint="eastAsia"/>
          <w:sz w:val="24"/>
        </w:rPr>
        <w:t>《考勤管理标准》执行。</w:t>
      </w:r>
    </w:p>
    <w:p>
      <w:pPr>
        <w:widowControl/>
        <w:spacing w:line="360" w:lineRule="auto"/>
        <w:ind w:firstLine="482" w:firstLineChars="200"/>
        <w:jc w:val="center"/>
        <w:rPr>
          <w:b/>
          <w:sz w:val="24"/>
        </w:rPr>
      </w:pPr>
      <w:r>
        <w:rPr>
          <w:rFonts w:hint="eastAsia"/>
          <w:b/>
          <w:sz w:val="24"/>
        </w:rPr>
        <w:t>考勤管理标准</w:t>
      </w:r>
    </w:p>
    <w:tbl>
      <w:tblPr>
        <w:tblStyle w:val="7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7"/>
        <w:gridCol w:w="3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957" w:type="dxa"/>
            <w:noWrap w:val="0"/>
            <w:vAlign w:val="center"/>
          </w:tcPr>
          <w:p>
            <w:pPr>
              <w:widowControl/>
              <w:spacing w:line="360" w:lineRule="auto"/>
              <w:jc w:val="center"/>
              <w:rPr>
                <w:b/>
                <w:sz w:val="24"/>
              </w:rPr>
            </w:pPr>
            <w:r>
              <w:rPr>
                <w:rFonts w:hint="eastAsia"/>
                <w:b/>
                <w:sz w:val="24"/>
              </w:rPr>
              <w:t>标准</w:t>
            </w:r>
          </w:p>
        </w:tc>
        <w:tc>
          <w:tcPr>
            <w:tcW w:w="3565" w:type="dxa"/>
            <w:noWrap w:val="0"/>
            <w:vAlign w:val="center"/>
          </w:tcPr>
          <w:p>
            <w:pPr>
              <w:widowControl/>
              <w:spacing w:line="360" w:lineRule="auto"/>
              <w:jc w:val="center"/>
              <w:rPr>
                <w:b/>
                <w:sz w:val="24"/>
              </w:rPr>
            </w:pPr>
            <w:r>
              <w:rPr>
                <w:rFonts w:hint="eastAsia"/>
                <w:b/>
                <w:sz w:val="24"/>
              </w:rPr>
              <w:t>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957" w:type="dxa"/>
            <w:noWrap w:val="0"/>
            <w:vAlign w:val="center"/>
          </w:tcPr>
          <w:p>
            <w:pPr>
              <w:widowControl/>
              <w:spacing w:line="360" w:lineRule="auto"/>
              <w:jc w:val="center"/>
              <w:rPr>
                <w:sz w:val="24"/>
              </w:rPr>
            </w:pPr>
            <w:r>
              <w:rPr>
                <w:rFonts w:hint="eastAsia"/>
                <w:sz w:val="24"/>
              </w:rPr>
              <w:t>迟到或早退</w:t>
            </w:r>
            <w:r>
              <w:rPr>
                <w:sz w:val="24"/>
              </w:rPr>
              <w:t>5</w:t>
            </w:r>
            <w:r>
              <w:rPr>
                <w:rFonts w:hint="eastAsia"/>
                <w:sz w:val="24"/>
              </w:rPr>
              <w:t>分钟之内（含</w:t>
            </w:r>
            <w:r>
              <w:rPr>
                <w:sz w:val="24"/>
              </w:rPr>
              <w:t>5</w:t>
            </w:r>
            <w:r>
              <w:rPr>
                <w:rFonts w:hint="eastAsia"/>
                <w:sz w:val="24"/>
              </w:rPr>
              <w:t>分钟）</w:t>
            </w:r>
          </w:p>
        </w:tc>
        <w:tc>
          <w:tcPr>
            <w:tcW w:w="3565" w:type="dxa"/>
            <w:noWrap w:val="0"/>
            <w:vAlign w:val="center"/>
          </w:tcPr>
          <w:p>
            <w:pPr>
              <w:widowControl/>
              <w:spacing w:line="360" w:lineRule="auto"/>
              <w:jc w:val="center"/>
              <w:rPr>
                <w:sz w:val="24"/>
              </w:rPr>
            </w:pPr>
            <w:r>
              <w:rPr>
                <w:sz w:val="24"/>
              </w:rPr>
              <w:t>5</w:t>
            </w:r>
            <w:r>
              <w:rPr>
                <w:rFonts w:hint="eastAsia"/>
                <w:sz w:val="24"/>
              </w:rPr>
              <w:t>元</w:t>
            </w:r>
            <w:r>
              <w:rPr>
                <w:sz w:val="24"/>
              </w:rPr>
              <w:t>/</w:t>
            </w:r>
            <w:r>
              <w:rPr>
                <w:rFonts w:hint="eastAsia"/>
                <w:sz w:val="24"/>
              </w:rPr>
              <w:t>人</w:t>
            </w:r>
            <w:r>
              <w:rPr>
                <w:sz w:val="24"/>
              </w:rPr>
              <w:t>/</w:t>
            </w:r>
            <w:r>
              <w:rPr>
                <w:rFonts w:hint="eastAsia"/>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957" w:type="dxa"/>
            <w:noWrap w:val="0"/>
            <w:vAlign w:val="center"/>
          </w:tcPr>
          <w:p>
            <w:pPr>
              <w:widowControl/>
              <w:spacing w:line="360" w:lineRule="auto"/>
              <w:jc w:val="center"/>
              <w:rPr>
                <w:sz w:val="24"/>
              </w:rPr>
            </w:pPr>
            <w:r>
              <w:rPr>
                <w:rFonts w:hint="eastAsia"/>
                <w:sz w:val="24"/>
              </w:rPr>
              <w:t>迟到或早退</w:t>
            </w:r>
            <w:r>
              <w:rPr>
                <w:sz w:val="24"/>
              </w:rPr>
              <w:t>5—30</w:t>
            </w:r>
            <w:r>
              <w:rPr>
                <w:rFonts w:hint="eastAsia"/>
                <w:sz w:val="24"/>
              </w:rPr>
              <w:t>分钟（含</w:t>
            </w:r>
            <w:r>
              <w:rPr>
                <w:sz w:val="24"/>
              </w:rPr>
              <w:t>30</w:t>
            </w:r>
            <w:r>
              <w:rPr>
                <w:rFonts w:hint="eastAsia"/>
                <w:sz w:val="24"/>
              </w:rPr>
              <w:t>分钟）</w:t>
            </w:r>
          </w:p>
        </w:tc>
        <w:tc>
          <w:tcPr>
            <w:tcW w:w="3565" w:type="dxa"/>
            <w:noWrap w:val="0"/>
            <w:vAlign w:val="center"/>
          </w:tcPr>
          <w:p>
            <w:pPr>
              <w:widowControl/>
              <w:spacing w:line="360" w:lineRule="auto"/>
              <w:jc w:val="center"/>
              <w:rPr>
                <w:sz w:val="24"/>
              </w:rPr>
            </w:pPr>
            <w:r>
              <w:rPr>
                <w:sz w:val="24"/>
              </w:rPr>
              <w:t>10</w:t>
            </w:r>
            <w:r>
              <w:rPr>
                <w:rFonts w:hint="eastAsia"/>
                <w:sz w:val="24"/>
              </w:rPr>
              <w:t>元</w:t>
            </w:r>
            <w:r>
              <w:rPr>
                <w:sz w:val="24"/>
              </w:rPr>
              <w:t>/</w:t>
            </w:r>
            <w:r>
              <w:rPr>
                <w:rFonts w:hint="eastAsia"/>
                <w:sz w:val="24"/>
              </w:rPr>
              <w:t>人</w:t>
            </w:r>
            <w:r>
              <w:rPr>
                <w:sz w:val="24"/>
              </w:rPr>
              <w:t>/</w:t>
            </w:r>
            <w:r>
              <w:rPr>
                <w:rFonts w:hint="eastAsia"/>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957" w:type="dxa"/>
            <w:noWrap w:val="0"/>
            <w:vAlign w:val="center"/>
          </w:tcPr>
          <w:p>
            <w:pPr>
              <w:widowControl/>
              <w:spacing w:line="360" w:lineRule="auto"/>
              <w:jc w:val="center"/>
              <w:rPr>
                <w:sz w:val="24"/>
              </w:rPr>
            </w:pPr>
            <w:r>
              <w:rPr>
                <w:rFonts w:hint="eastAsia"/>
                <w:sz w:val="24"/>
              </w:rPr>
              <w:t>迟到或早退</w:t>
            </w:r>
            <w:r>
              <w:rPr>
                <w:sz w:val="24"/>
              </w:rPr>
              <w:t>30</w:t>
            </w:r>
            <w:r>
              <w:rPr>
                <w:rFonts w:hint="eastAsia"/>
                <w:sz w:val="24"/>
              </w:rPr>
              <w:t>分钟以上</w:t>
            </w:r>
          </w:p>
        </w:tc>
        <w:tc>
          <w:tcPr>
            <w:tcW w:w="3565" w:type="dxa"/>
            <w:noWrap w:val="0"/>
            <w:vAlign w:val="center"/>
          </w:tcPr>
          <w:p>
            <w:pPr>
              <w:widowControl/>
              <w:spacing w:line="360" w:lineRule="auto"/>
              <w:jc w:val="center"/>
              <w:rPr>
                <w:sz w:val="24"/>
              </w:rPr>
            </w:pPr>
            <w:r>
              <w:rPr>
                <w:rFonts w:hint="eastAsia"/>
                <w:sz w:val="24"/>
              </w:rPr>
              <w:t>视同缺岗，</w:t>
            </w:r>
          </w:p>
          <w:p>
            <w:pPr>
              <w:widowControl/>
              <w:spacing w:line="360" w:lineRule="auto"/>
              <w:jc w:val="center"/>
              <w:rPr>
                <w:sz w:val="24"/>
              </w:rPr>
            </w:pPr>
            <w:r>
              <w:rPr>
                <w:sz w:val="24"/>
              </w:rPr>
              <w:t>200</w:t>
            </w:r>
            <w:r>
              <w:rPr>
                <w:rFonts w:hint="eastAsia"/>
                <w:sz w:val="24"/>
              </w:rPr>
              <w:t>元</w:t>
            </w:r>
            <w:r>
              <w:rPr>
                <w:sz w:val="24"/>
              </w:rPr>
              <w:t>/</w:t>
            </w:r>
            <w:r>
              <w:rPr>
                <w:rFonts w:hint="eastAsia"/>
                <w:sz w:val="24"/>
              </w:rPr>
              <w:t>人</w:t>
            </w:r>
            <w:r>
              <w:rPr>
                <w:sz w:val="24"/>
              </w:rPr>
              <w:t>/</w:t>
            </w:r>
            <w:r>
              <w:rPr>
                <w:rFonts w:hint="eastAsia"/>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957" w:type="dxa"/>
            <w:noWrap w:val="0"/>
            <w:vAlign w:val="center"/>
          </w:tcPr>
          <w:p>
            <w:pPr>
              <w:widowControl/>
              <w:spacing w:line="360" w:lineRule="auto"/>
              <w:jc w:val="center"/>
              <w:rPr>
                <w:sz w:val="24"/>
              </w:rPr>
            </w:pPr>
            <w:r>
              <w:rPr>
                <w:rFonts w:hint="eastAsia"/>
                <w:sz w:val="24"/>
              </w:rPr>
              <w:t>未打卡且未于当天及时说明理由者</w:t>
            </w:r>
          </w:p>
        </w:tc>
        <w:tc>
          <w:tcPr>
            <w:tcW w:w="3565" w:type="dxa"/>
            <w:noWrap w:val="0"/>
            <w:vAlign w:val="center"/>
          </w:tcPr>
          <w:p>
            <w:pPr>
              <w:widowControl/>
              <w:spacing w:line="360" w:lineRule="auto"/>
              <w:jc w:val="center"/>
              <w:rPr>
                <w:sz w:val="24"/>
              </w:rPr>
            </w:pPr>
            <w:r>
              <w:rPr>
                <w:rFonts w:hint="eastAsia"/>
                <w:sz w:val="24"/>
              </w:rPr>
              <w:t>视同迟到，</w:t>
            </w:r>
          </w:p>
          <w:p>
            <w:pPr>
              <w:widowControl/>
              <w:spacing w:line="360" w:lineRule="auto"/>
              <w:jc w:val="center"/>
              <w:rPr>
                <w:sz w:val="24"/>
              </w:rPr>
            </w:pPr>
            <w:r>
              <w:rPr>
                <w:sz w:val="24"/>
              </w:rPr>
              <w:t>5</w:t>
            </w:r>
            <w:r>
              <w:rPr>
                <w:rFonts w:hint="eastAsia"/>
                <w:sz w:val="24"/>
              </w:rPr>
              <w:t>元</w:t>
            </w:r>
            <w:r>
              <w:rPr>
                <w:sz w:val="24"/>
              </w:rPr>
              <w:t>/</w:t>
            </w:r>
            <w:r>
              <w:rPr>
                <w:rFonts w:hint="eastAsia"/>
                <w:sz w:val="24"/>
              </w:rPr>
              <w:t>人</w:t>
            </w:r>
            <w:r>
              <w:rPr>
                <w:sz w:val="24"/>
              </w:rPr>
              <w:t>/</w:t>
            </w:r>
            <w:r>
              <w:rPr>
                <w:rFonts w:hint="eastAsia"/>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957" w:type="dxa"/>
            <w:noWrap w:val="0"/>
            <w:vAlign w:val="center"/>
          </w:tcPr>
          <w:p>
            <w:pPr>
              <w:widowControl/>
              <w:spacing w:line="360" w:lineRule="auto"/>
              <w:jc w:val="center"/>
              <w:rPr>
                <w:sz w:val="24"/>
              </w:rPr>
            </w:pPr>
            <w:r>
              <w:rPr>
                <w:rFonts w:hint="eastAsia"/>
                <w:sz w:val="24"/>
              </w:rPr>
              <w:t>缺岗</w:t>
            </w:r>
          </w:p>
        </w:tc>
        <w:tc>
          <w:tcPr>
            <w:tcW w:w="3565" w:type="dxa"/>
            <w:noWrap w:val="0"/>
            <w:vAlign w:val="center"/>
          </w:tcPr>
          <w:p>
            <w:pPr>
              <w:widowControl/>
              <w:spacing w:line="360" w:lineRule="auto"/>
              <w:jc w:val="center"/>
              <w:rPr>
                <w:sz w:val="24"/>
              </w:rPr>
            </w:pPr>
            <w:r>
              <w:rPr>
                <w:sz w:val="24"/>
              </w:rPr>
              <w:t>200</w:t>
            </w:r>
            <w:r>
              <w:rPr>
                <w:rFonts w:hint="eastAsia"/>
                <w:sz w:val="24"/>
              </w:rPr>
              <w:t>元</w:t>
            </w:r>
            <w:r>
              <w:rPr>
                <w:sz w:val="24"/>
              </w:rPr>
              <w:t>/</w:t>
            </w:r>
            <w:r>
              <w:rPr>
                <w:rFonts w:hint="eastAsia"/>
                <w:sz w:val="24"/>
              </w:rPr>
              <w:t>人</w:t>
            </w:r>
            <w:r>
              <w:rPr>
                <w:sz w:val="24"/>
              </w:rPr>
              <w:t>/</w:t>
            </w:r>
            <w:r>
              <w:rPr>
                <w:rFonts w:hint="eastAsia"/>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957" w:type="dxa"/>
            <w:noWrap w:val="0"/>
            <w:vAlign w:val="center"/>
          </w:tcPr>
          <w:p>
            <w:pPr>
              <w:widowControl/>
              <w:spacing w:line="360" w:lineRule="auto"/>
              <w:jc w:val="center"/>
              <w:rPr>
                <w:sz w:val="24"/>
              </w:rPr>
            </w:pPr>
            <w:r>
              <w:rPr>
                <w:rFonts w:hint="eastAsia"/>
                <w:sz w:val="24"/>
              </w:rPr>
              <w:t>当月迟到或早退累计</w:t>
            </w:r>
            <w:r>
              <w:rPr>
                <w:sz w:val="24"/>
              </w:rPr>
              <w:t>5</w:t>
            </w:r>
            <w:r>
              <w:rPr>
                <w:rFonts w:hint="eastAsia"/>
                <w:sz w:val="24"/>
              </w:rPr>
              <w:t>次及</w:t>
            </w:r>
            <w:r>
              <w:rPr>
                <w:sz w:val="24"/>
              </w:rPr>
              <w:t>5</w:t>
            </w:r>
            <w:r>
              <w:rPr>
                <w:rFonts w:hint="eastAsia"/>
                <w:sz w:val="24"/>
              </w:rPr>
              <w:t>次以上者</w:t>
            </w:r>
          </w:p>
        </w:tc>
        <w:tc>
          <w:tcPr>
            <w:tcW w:w="3565" w:type="dxa"/>
            <w:noWrap w:val="0"/>
            <w:vAlign w:val="center"/>
          </w:tcPr>
          <w:p>
            <w:pPr>
              <w:widowControl/>
              <w:spacing w:line="360" w:lineRule="auto"/>
              <w:jc w:val="center"/>
              <w:rPr>
                <w:sz w:val="24"/>
              </w:rPr>
            </w:pPr>
            <w:r>
              <w:rPr>
                <w:rFonts w:hint="eastAsia"/>
                <w:sz w:val="24"/>
              </w:rPr>
              <w:t>除按照上述标准扣款外，</w:t>
            </w:r>
          </w:p>
          <w:p>
            <w:pPr>
              <w:widowControl/>
              <w:spacing w:line="360" w:lineRule="auto"/>
              <w:jc w:val="center"/>
              <w:rPr>
                <w:sz w:val="24"/>
              </w:rPr>
            </w:pPr>
            <w:r>
              <w:rPr>
                <w:rFonts w:hint="eastAsia"/>
                <w:sz w:val="24"/>
              </w:rPr>
              <w:t>另扣除</w:t>
            </w:r>
            <w:r>
              <w:rPr>
                <w:sz w:val="24"/>
              </w:rPr>
              <w:t>60</w:t>
            </w:r>
            <w:r>
              <w:rPr>
                <w:rFonts w:hint="eastAsia"/>
                <w:sz w:val="24"/>
              </w:rPr>
              <w:t>元</w:t>
            </w:r>
            <w:r>
              <w:rPr>
                <w:sz w:val="24"/>
              </w:rPr>
              <w:t>/</w:t>
            </w:r>
            <w:r>
              <w:rPr>
                <w:rFonts w:hint="eastAsia"/>
                <w:sz w:val="24"/>
              </w:rPr>
              <w:t>人</w:t>
            </w:r>
            <w:r>
              <w:rPr>
                <w:sz w:val="24"/>
              </w:rPr>
              <w:t>/</w:t>
            </w:r>
            <w:r>
              <w:rPr>
                <w:rFonts w:hint="eastAsia"/>
                <w:sz w:val="24"/>
              </w:rPr>
              <w:t>月</w:t>
            </w:r>
          </w:p>
        </w:tc>
      </w:tr>
    </w:tbl>
    <w:p>
      <w:pPr>
        <w:widowControl/>
        <w:spacing w:line="360" w:lineRule="auto"/>
        <w:jc w:val="left"/>
        <w:rPr>
          <w:sz w:val="24"/>
        </w:rPr>
      </w:pPr>
      <w:r>
        <w:rPr>
          <w:rFonts w:hint="eastAsia"/>
          <w:sz w:val="24"/>
        </w:rPr>
        <w:t>说明：考勤标准以医院的最新规定为依据。</w:t>
      </w:r>
    </w:p>
    <w:p>
      <w:pPr>
        <w:widowControl/>
        <w:spacing w:line="360" w:lineRule="auto"/>
        <w:jc w:val="left"/>
        <w:rPr>
          <w:b/>
          <w:sz w:val="24"/>
        </w:rPr>
      </w:pPr>
      <w:r>
        <w:rPr>
          <w:rFonts w:hint="eastAsia"/>
          <w:b/>
          <w:sz w:val="24"/>
        </w:rPr>
        <w:t>四、其他要求</w:t>
      </w:r>
    </w:p>
    <w:p>
      <w:pPr>
        <w:numPr>
          <w:ilvl w:val="0"/>
          <w:numId w:val="212"/>
        </w:numPr>
        <w:spacing w:line="360" w:lineRule="auto"/>
        <w:rPr>
          <w:sz w:val="24"/>
        </w:rPr>
      </w:pPr>
      <w:r>
        <w:rPr>
          <w:rFonts w:hint="eastAsia"/>
          <w:sz w:val="24"/>
        </w:rPr>
        <w:t>各投标人须在对招标人工作目标要求、现场、周边环境在全面了解的情况下编制科学、合理、切实可行的组织实施计划以及具体的质量保证措施、工作程序。</w:t>
      </w:r>
    </w:p>
    <w:p>
      <w:pPr>
        <w:numPr>
          <w:ilvl w:val="0"/>
          <w:numId w:val="212"/>
        </w:numPr>
        <w:spacing w:line="360" w:lineRule="auto"/>
        <w:rPr>
          <w:sz w:val="24"/>
        </w:rPr>
      </w:pPr>
      <w:r>
        <w:rPr>
          <w:rFonts w:hint="eastAsia"/>
          <w:sz w:val="24"/>
        </w:rPr>
        <w:t>投标人须按现代企业制度的要求运行，发挥自身优势，以热心、爱心、专心、贴心的服务，为招标人提供全方位、一体化的专业服务保障，确保正常运转。</w:t>
      </w:r>
    </w:p>
    <w:p>
      <w:pPr>
        <w:numPr>
          <w:ilvl w:val="0"/>
          <w:numId w:val="212"/>
        </w:numPr>
        <w:spacing w:line="360" w:lineRule="auto"/>
        <w:rPr>
          <w:sz w:val="24"/>
        </w:rPr>
      </w:pPr>
      <w:r>
        <w:rPr>
          <w:rFonts w:hint="eastAsia"/>
          <w:sz w:val="24"/>
        </w:rPr>
        <w:t>中标人合同签订后，派工作人员进场，按实际进场人员数量、种类、服务内容结算费用；工作人员必须服从招标人的调动和指挥，积极配合招标人，搞好本职工作。</w:t>
      </w:r>
    </w:p>
    <w:p>
      <w:pPr>
        <w:numPr>
          <w:ilvl w:val="0"/>
          <w:numId w:val="212"/>
        </w:numPr>
        <w:tabs>
          <w:tab w:val="left" w:pos="142"/>
        </w:tabs>
        <w:spacing w:line="360" w:lineRule="auto"/>
        <w:jc w:val="left"/>
        <w:rPr>
          <w:sz w:val="24"/>
        </w:rPr>
      </w:pPr>
      <w:r>
        <w:rPr>
          <w:rFonts w:hint="eastAsia"/>
          <w:bCs/>
          <w:sz w:val="24"/>
        </w:rPr>
        <w:t>所有岗位，投标人应优先考虑现在岗人员，尽可能保障目前已在为招标人服务的人员继续留在本岗位工作。若发生劳动争议均由中标方解决，医院无连带关系和责任。</w:t>
      </w:r>
    </w:p>
    <w:p>
      <w:pPr>
        <w:numPr>
          <w:ilvl w:val="0"/>
          <w:numId w:val="212"/>
        </w:numPr>
        <w:tabs>
          <w:tab w:val="left" w:pos="142"/>
        </w:tabs>
        <w:spacing w:line="360" w:lineRule="auto"/>
        <w:jc w:val="left"/>
        <w:rPr>
          <w:b/>
          <w:sz w:val="24"/>
        </w:rPr>
      </w:pPr>
      <w:r>
        <w:rPr>
          <w:rFonts w:hint="eastAsia" w:ascii="宋体" w:hAnsi="宋体"/>
          <w:b/>
          <w:sz w:val="24"/>
        </w:rPr>
        <w:t>中标方必须严格执行《中华人民共和国劳动合同法》，负责对派遣招标方的服务人员的日常管理，包括休息安排</w:t>
      </w:r>
      <w:r>
        <w:rPr>
          <w:rFonts w:hint="eastAsia" w:ascii="宋体" w:hAnsi="宋体"/>
          <w:sz w:val="24"/>
        </w:rPr>
        <w:t>，承担我国有关劳动关系的法律、法规所规定的责任。</w:t>
      </w:r>
      <w:r>
        <w:rPr>
          <w:rFonts w:hint="eastAsia" w:ascii="宋体" w:hAnsi="宋体"/>
          <w:b/>
          <w:sz w:val="24"/>
        </w:rPr>
        <w:t>中标方须在投标文件相关内容基础上，严格按照国家和杭州市政府规定为派遣员工缴纳各种社会保险（包括养老、医疗、工伤、生育险、失业保险等），</w:t>
      </w:r>
      <w:r>
        <w:rPr>
          <w:rFonts w:hint="eastAsia" w:ascii="宋体" w:hAnsi="宋体"/>
          <w:sz w:val="24"/>
        </w:rPr>
        <w:t>每月招标方和中标方结算服务费时，中标方必须提供员工缴纳社会保险的凭证给招标方，如在服务期内招标方发现中标方没有给员工缴纳社保的，招标方有权截留相应金额的服务费。中标方与派遣人员之间发生劳动争议，由中标方负责处理及承担全部费用。若被劳动监察部门查实或被媒体曝光，影响甲方形象和声誉的，招标方将对中标方处以扣罚履约保证金总额的</w:t>
      </w:r>
      <w:r>
        <w:rPr>
          <w:rFonts w:ascii="宋体" w:hAnsi="宋体"/>
          <w:sz w:val="24"/>
        </w:rPr>
        <w:t>10%</w:t>
      </w:r>
      <w:r>
        <w:rPr>
          <w:rFonts w:hint="eastAsia" w:ascii="宋体" w:hAnsi="宋体"/>
          <w:sz w:val="24"/>
        </w:rPr>
        <w:t>，再犯加倍扣罚。</w:t>
      </w:r>
    </w:p>
    <w:p>
      <w:pPr>
        <w:numPr>
          <w:ilvl w:val="0"/>
          <w:numId w:val="212"/>
        </w:numPr>
        <w:spacing w:line="360" w:lineRule="auto"/>
        <w:rPr>
          <w:sz w:val="24"/>
        </w:rPr>
      </w:pPr>
      <w:r>
        <w:rPr>
          <w:rFonts w:hint="eastAsia"/>
          <w:sz w:val="24"/>
        </w:rPr>
        <w:t>中标人须自行解决工作时所需的培训、住宿及服装，并能遵守招标人的行业形象要求及工作规范，保证文明工作。</w:t>
      </w:r>
    </w:p>
    <w:p>
      <w:pPr>
        <w:numPr>
          <w:ilvl w:val="0"/>
          <w:numId w:val="212"/>
        </w:numPr>
        <w:spacing w:line="360" w:lineRule="auto"/>
        <w:rPr>
          <w:sz w:val="24"/>
        </w:rPr>
      </w:pPr>
      <w:r>
        <w:rPr>
          <w:rFonts w:hint="eastAsia"/>
          <w:sz w:val="24"/>
        </w:rPr>
        <w:t>如遇招标人重要检查、重要嘉宾参观以及其它重大会议和重要活动，中标人需积极配合招标人的工作安排和人员调度。</w:t>
      </w:r>
    </w:p>
    <w:p>
      <w:pPr>
        <w:numPr>
          <w:ilvl w:val="0"/>
          <w:numId w:val="212"/>
        </w:numPr>
        <w:spacing w:line="360" w:lineRule="auto"/>
        <w:rPr>
          <w:sz w:val="24"/>
        </w:rPr>
      </w:pPr>
      <w:r>
        <w:rPr>
          <w:rFonts w:hint="eastAsia"/>
          <w:sz w:val="24"/>
        </w:rPr>
        <w:t>中标人应按月向招标人提供所用人员的工资发放表、保险票据（复印件），各岗位人员名单及考勤表等，公司花名册及每月新增花名册报招标人后勤保障处和所在辖区***备案。</w:t>
      </w:r>
    </w:p>
    <w:p>
      <w:pPr>
        <w:numPr>
          <w:ilvl w:val="0"/>
          <w:numId w:val="212"/>
        </w:numPr>
        <w:spacing w:line="360" w:lineRule="auto"/>
        <w:rPr>
          <w:sz w:val="24"/>
        </w:rPr>
      </w:pPr>
      <w:r>
        <w:rPr>
          <w:rFonts w:hint="eastAsia"/>
          <w:sz w:val="24"/>
        </w:rPr>
        <w:t>中标人必须严格按照国家规定、双方签订合同及相关补充协议标准发放服务员工的工资，公司不得以任何理由克扣工人工资作为公司利润赚取。</w:t>
      </w:r>
    </w:p>
    <w:p>
      <w:pPr>
        <w:numPr>
          <w:ilvl w:val="0"/>
          <w:numId w:val="212"/>
        </w:numPr>
        <w:spacing w:line="360" w:lineRule="auto"/>
        <w:rPr>
          <w:sz w:val="24"/>
        </w:rPr>
      </w:pPr>
      <w:r>
        <w:rPr>
          <w:rFonts w:hint="eastAsia"/>
          <w:sz w:val="24"/>
        </w:rPr>
        <w:t>中标人达不到招标人要求以及中标人的各项服务承诺，招标人有权要求其整改，扣款直至终止合同。</w:t>
      </w:r>
    </w:p>
    <w:p>
      <w:pPr>
        <w:numPr>
          <w:ilvl w:val="0"/>
          <w:numId w:val="212"/>
        </w:numPr>
        <w:spacing w:line="360" w:lineRule="auto"/>
        <w:rPr>
          <w:sz w:val="24"/>
        </w:rPr>
      </w:pPr>
      <w:r>
        <w:rPr>
          <w:rFonts w:hint="eastAsia"/>
          <w:sz w:val="24"/>
        </w:rPr>
        <w:t>中标人的所有工作除应按中标人内部流程实施外，还应接受招标人或第三方的检查，做好相应记录备案。</w:t>
      </w:r>
    </w:p>
    <w:p>
      <w:pPr>
        <w:numPr>
          <w:ilvl w:val="0"/>
          <w:numId w:val="212"/>
        </w:numPr>
        <w:spacing w:line="360" w:lineRule="auto"/>
        <w:rPr>
          <w:sz w:val="24"/>
        </w:rPr>
      </w:pPr>
      <w:r>
        <w:rPr>
          <w:rFonts w:hint="eastAsia"/>
          <w:sz w:val="24"/>
        </w:rPr>
        <w:t>中标人需制订各岗位工作流程及消防、抗台、安全等紧急预案，并切实培训到每个岗位人员。</w:t>
      </w:r>
    </w:p>
    <w:p>
      <w:pPr>
        <w:numPr>
          <w:ilvl w:val="0"/>
          <w:numId w:val="212"/>
        </w:numPr>
        <w:spacing w:line="360" w:lineRule="auto"/>
        <w:rPr>
          <w:sz w:val="24"/>
        </w:rPr>
      </w:pPr>
      <w:r>
        <w:rPr>
          <w:rFonts w:hint="eastAsia"/>
          <w:sz w:val="24"/>
        </w:rPr>
        <w:t>中标人应制订详细的培训计划，对员工进行岗位培训、日常培训和文明礼仪培训，确保每个员工培训合格上岗，并做好相应记录备案。</w:t>
      </w:r>
    </w:p>
    <w:p>
      <w:pPr>
        <w:numPr>
          <w:ilvl w:val="0"/>
          <w:numId w:val="212"/>
        </w:numPr>
        <w:spacing w:line="360" w:lineRule="auto"/>
        <w:rPr>
          <w:sz w:val="24"/>
        </w:rPr>
      </w:pPr>
      <w:r>
        <w:rPr>
          <w:rFonts w:hint="eastAsia"/>
          <w:sz w:val="24"/>
        </w:rPr>
        <w:t>要求持证上岗的岗位，必须按要求配备证件，并由中标人承担培训费、年审等相关费用。</w:t>
      </w:r>
    </w:p>
    <w:p>
      <w:pPr>
        <w:numPr>
          <w:ilvl w:val="0"/>
          <w:numId w:val="212"/>
        </w:numPr>
        <w:spacing w:line="360" w:lineRule="auto"/>
        <w:rPr>
          <w:sz w:val="24"/>
        </w:rPr>
      </w:pPr>
      <w:r>
        <w:rPr>
          <w:rFonts w:hint="eastAsia"/>
          <w:sz w:val="24"/>
        </w:rPr>
        <w:t>中标人要合法用工，并派用与招标人要求相适应的保安人员（详见</w:t>
      </w:r>
      <w:r>
        <w:rPr>
          <w:sz w:val="24"/>
        </w:rPr>
        <w:t>“</w:t>
      </w:r>
      <w:r>
        <w:rPr>
          <w:rFonts w:hint="eastAsia"/>
          <w:sz w:val="24"/>
        </w:rPr>
        <w:t>保安人员配备情况表</w:t>
      </w:r>
      <w:r>
        <w:rPr>
          <w:sz w:val="24"/>
        </w:rPr>
        <w:t>”</w:t>
      </w:r>
      <w:r>
        <w:rPr>
          <w:rFonts w:hint="eastAsia"/>
          <w:sz w:val="24"/>
        </w:rPr>
        <w:t>）。</w:t>
      </w:r>
    </w:p>
    <w:p>
      <w:pPr>
        <w:numPr>
          <w:ilvl w:val="0"/>
          <w:numId w:val="212"/>
        </w:numPr>
        <w:spacing w:line="360" w:lineRule="auto"/>
        <w:rPr>
          <w:b/>
          <w:sz w:val="24"/>
        </w:rPr>
      </w:pPr>
      <w:r>
        <w:rPr>
          <w:rFonts w:hint="eastAsia"/>
          <w:b/>
          <w:sz w:val="24"/>
        </w:rPr>
        <w:t>根据招标人的要求，中标人应为本项目承包区域内各项服务工作配备足够人员，且投入的保安人员不得少于15人（具体见</w:t>
      </w:r>
      <w:r>
        <w:rPr>
          <w:b/>
          <w:sz w:val="24"/>
        </w:rPr>
        <w:t>“</w:t>
      </w:r>
      <w:r>
        <w:rPr>
          <w:rFonts w:hint="eastAsia"/>
          <w:b/>
          <w:sz w:val="24"/>
        </w:rPr>
        <w:t>保安人员配备情况表</w:t>
      </w:r>
      <w:r>
        <w:rPr>
          <w:b/>
          <w:sz w:val="24"/>
        </w:rPr>
        <w:t>”</w:t>
      </w:r>
      <w:r>
        <w:rPr>
          <w:rFonts w:hint="eastAsia"/>
          <w:b/>
          <w:sz w:val="24"/>
        </w:rPr>
        <w:t>），否则可能导致其投标被拒绝。所聘人员必须符合劳动部门有关用工规定，并经中标人相关专业考核合格后持证上岗，招标人有权对此进行审核并提出整改意见。</w:t>
      </w:r>
    </w:p>
    <w:p>
      <w:pPr>
        <w:numPr>
          <w:ilvl w:val="0"/>
          <w:numId w:val="212"/>
        </w:numPr>
        <w:spacing w:line="360" w:lineRule="auto"/>
        <w:rPr>
          <w:b/>
          <w:sz w:val="24"/>
        </w:rPr>
      </w:pPr>
      <w:r>
        <w:rPr>
          <w:rFonts w:hint="eastAsia"/>
          <w:sz w:val="24"/>
        </w:rPr>
        <w:t>本项目要有足够的工作人员为招标人提供优质的服务，如因乙方员工离职所造成的人员缺漏情况，应保证在</w:t>
      </w:r>
      <w:r>
        <w:rPr>
          <w:sz w:val="24"/>
        </w:rPr>
        <w:t>7</w:t>
      </w:r>
      <w:r>
        <w:rPr>
          <w:rFonts w:hint="eastAsia"/>
          <w:sz w:val="24"/>
        </w:rPr>
        <w:t>天内补齐。</w:t>
      </w:r>
      <w:r>
        <w:rPr>
          <w:rFonts w:hint="eastAsia"/>
          <w:b/>
          <w:sz w:val="24"/>
        </w:rPr>
        <w:t>员工离职并新招员工，新员工培训跟岗期不超过</w:t>
      </w:r>
      <w:r>
        <w:rPr>
          <w:b/>
          <w:sz w:val="24"/>
        </w:rPr>
        <w:t>7</w:t>
      </w:r>
      <w:r>
        <w:rPr>
          <w:rFonts w:hint="eastAsia"/>
          <w:b/>
          <w:sz w:val="24"/>
        </w:rPr>
        <w:t>天（超过</w:t>
      </w:r>
      <w:r>
        <w:rPr>
          <w:b/>
          <w:sz w:val="24"/>
        </w:rPr>
        <w:t>7</w:t>
      </w:r>
      <w:r>
        <w:rPr>
          <w:rFonts w:hint="eastAsia"/>
          <w:b/>
          <w:sz w:val="24"/>
        </w:rPr>
        <w:t>天，即视为录用），培训跟岗期间医院不负责相关服务费用，由中标公司自行承担。</w:t>
      </w:r>
    </w:p>
    <w:p>
      <w:pPr>
        <w:numPr>
          <w:ilvl w:val="0"/>
          <w:numId w:val="212"/>
        </w:numPr>
        <w:spacing w:line="360" w:lineRule="auto"/>
        <w:rPr>
          <w:sz w:val="24"/>
        </w:rPr>
      </w:pPr>
      <w:r>
        <w:rPr>
          <w:rFonts w:hint="eastAsia"/>
          <w:sz w:val="24"/>
        </w:rPr>
        <w:t>中标人不得以任何理由向招标人工作人员支付小费或赠送实物，不得在承包区域住宿或从事非法活动或有损招标人利益的活动。</w:t>
      </w:r>
    </w:p>
    <w:p>
      <w:pPr>
        <w:numPr>
          <w:ilvl w:val="0"/>
          <w:numId w:val="212"/>
        </w:numPr>
        <w:spacing w:line="360" w:lineRule="auto"/>
        <w:rPr>
          <w:sz w:val="24"/>
        </w:rPr>
      </w:pPr>
      <w:r>
        <w:rPr>
          <w:rFonts w:hint="eastAsia"/>
          <w:sz w:val="24"/>
        </w:rPr>
        <w:t>承包区域的各项服务工作时间</w:t>
      </w:r>
      <w:r>
        <w:rPr>
          <w:sz w:val="24"/>
        </w:rPr>
        <w:t>(</w:t>
      </w:r>
      <w:r>
        <w:rPr>
          <w:rFonts w:hint="eastAsia"/>
          <w:sz w:val="24"/>
        </w:rPr>
        <w:t>详见</w:t>
      </w:r>
      <w:r>
        <w:rPr>
          <w:sz w:val="24"/>
        </w:rPr>
        <w:t>“</w:t>
      </w:r>
      <w:r>
        <w:rPr>
          <w:rFonts w:hint="eastAsia"/>
          <w:sz w:val="24"/>
        </w:rPr>
        <w:t>保安人员配备情况表</w:t>
      </w:r>
      <w:r>
        <w:rPr>
          <w:sz w:val="24"/>
        </w:rPr>
        <w:t>”)</w:t>
      </w:r>
      <w:r>
        <w:rPr>
          <w:rFonts w:hint="eastAsia"/>
          <w:sz w:val="24"/>
        </w:rPr>
        <w:t>必须符合及满足招标人的要求，包括全年无休，招标人如有需要，可要求中标人调整工作时间直至全天二十四小时工作。额外增加的工作量，按零星工作量计费标准，</w:t>
      </w:r>
      <w:r>
        <w:rPr>
          <w:rFonts w:hint="eastAsia" w:ascii="宋体" w:hAnsi="宋体" w:cs="Arial"/>
          <w:b/>
          <w:bCs/>
          <w:color w:val="000000"/>
          <w:sz w:val="24"/>
        </w:rPr>
        <w:t>经双方确认核实后加班费按每人每小时18.5元来计算，法定节假日按每人每小时55.5元计算。</w:t>
      </w:r>
      <w:r>
        <w:rPr>
          <w:rFonts w:hint="eastAsia"/>
          <w:sz w:val="24"/>
        </w:rPr>
        <w:t>如因服务范围内容变动需调整合同，由双方协商确定。</w:t>
      </w:r>
    </w:p>
    <w:p>
      <w:pPr>
        <w:numPr>
          <w:ilvl w:val="0"/>
          <w:numId w:val="212"/>
        </w:numPr>
        <w:spacing w:line="360" w:lineRule="auto"/>
        <w:rPr>
          <w:b/>
          <w:sz w:val="24"/>
        </w:rPr>
      </w:pPr>
      <w:r>
        <w:rPr>
          <w:rFonts w:hint="eastAsia"/>
          <w:b/>
          <w:sz w:val="24"/>
        </w:rPr>
        <w:t>关于人数和工作量的确定：关于人数，根据实际的需要，有增减的，根据标书的报价单价，做相应调整。关于工作量，安保人员工作量小于</w:t>
      </w:r>
      <w:r>
        <w:rPr>
          <w:b/>
          <w:sz w:val="24"/>
        </w:rPr>
        <w:t>7</w:t>
      </w:r>
      <w:r>
        <w:rPr>
          <w:rFonts w:hint="eastAsia"/>
          <w:b/>
          <w:sz w:val="24"/>
        </w:rPr>
        <w:t>天，不计算人头数；</w:t>
      </w:r>
      <w:r>
        <w:rPr>
          <w:b/>
          <w:sz w:val="24"/>
        </w:rPr>
        <w:t>7</w:t>
      </w:r>
      <w:r>
        <w:rPr>
          <w:rFonts w:hint="eastAsia"/>
          <w:b/>
          <w:sz w:val="24"/>
        </w:rPr>
        <w:t>天≤工作量</w:t>
      </w:r>
      <w:r>
        <w:rPr>
          <w:b/>
          <w:sz w:val="24"/>
        </w:rPr>
        <w:t>&lt;20</w:t>
      </w:r>
      <w:r>
        <w:rPr>
          <w:rFonts w:hint="eastAsia"/>
          <w:b/>
          <w:sz w:val="24"/>
        </w:rPr>
        <w:t>天，按照</w:t>
      </w:r>
      <w:r>
        <w:rPr>
          <w:b/>
          <w:sz w:val="24"/>
        </w:rPr>
        <w:t>0.5</w:t>
      </w:r>
      <w:r>
        <w:rPr>
          <w:rFonts w:hint="eastAsia"/>
          <w:b/>
          <w:sz w:val="24"/>
        </w:rPr>
        <w:t>个人头数计算；工作量≥</w:t>
      </w:r>
      <w:r>
        <w:rPr>
          <w:b/>
          <w:sz w:val="24"/>
        </w:rPr>
        <w:t>20</w:t>
      </w:r>
      <w:r>
        <w:rPr>
          <w:rFonts w:hint="eastAsia"/>
          <w:b/>
          <w:sz w:val="24"/>
        </w:rPr>
        <w:t>天按照</w:t>
      </w:r>
      <w:r>
        <w:rPr>
          <w:b/>
          <w:sz w:val="24"/>
        </w:rPr>
        <w:t>1</w:t>
      </w:r>
      <w:r>
        <w:rPr>
          <w:rFonts w:hint="eastAsia"/>
          <w:b/>
          <w:sz w:val="24"/>
        </w:rPr>
        <w:t>个人头数计算。</w:t>
      </w:r>
    </w:p>
    <w:p>
      <w:pPr>
        <w:numPr>
          <w:ilvl w:val="0"/>
          <w:numId w:val="212"/>
        </w:numPr>
        <w:spacing w:line="360" w:lineRule="auto"/>
        <w:rPr>
          <w:sz w:val="24"/>
        </w:rPr>
      </w:pPr>
      <w:r>
        <w:rPr>
          <w:rFonts w:hint="eastAsia"/>
          <w:sz w:val="24"/>
        </w:rPr>
        <w:t>对于其他额外的零星工作，具体由双方协商确定。</w:t>
      </w:r>
    </w:p>
    <w:p>
      <w:pPr>
        <w:numPr>
          <w:ilvl w:val="0"/>
          <w:numId w:val="212"/>
        </w:numPr>
        <w:spacing w:line="360" w:lineRule="auto"/>
        <w:rPr>
          <w:sz w:val="24"/>
        </w:rPr>
      </w:pPr>
      <w:r>
        <w:rPr>
          <w:rFonts w:hint="eastAsia"/>
          <w:sz w:val="24"/>
        </w:rPr>
        <w:t>中标人员工发生严重影响招标人公众形象的事件，以及存在一小部份与招标文件不符合的做法，或不履行其投标文件的部份承诺，而由此产生的损失及消除影响产生的费用，由中标人全部承担；根据事件的轻重，招标人将保留扣除中标人的当月合同款</w:t>
      </w:r>
      <w:r>
        <w:rPr>
          <w:sz w:val="24"/>
        </w:rPr>
        <w:t>0.1%-5%</w:t>
      </w:r>
      <w:r>
        <w:rPr>
          <w:rFonts w:hint="eastAsia"/>
          <w:sz w:val="24"/>
        </w:rPr>
        <w:t>的权利。</w:t>
      </w:r>
    </w:p>
    <w:p>
      <w:pPr>
        <w:numPr>
          <w:ilvl w:val="0"/>
          <w:numId w:val="212"/>
        </w:numPr>
        <w:spacing w:line="360" w:lineRule="auto"/>
        <w:rPr>
          <w:sz w:val="24"/>
        </w:rPr>
      </w:pPr>
      <w:r>
        <w:rPr>
          <w:rFonts w:hint="eastAsia"/>
          <w:sz w:val="24"/>
        </w:rPr>
        <w:t>合同期内中标人有下列行为，招标人有权提前中止合同，造成的损失由中标人承担：</w:t>
      </w:r>
      <w:r>
        <w:rPr>
          <w:sz w:val="24"/>
        </w:rPr>
        <w:t>a.</w:t>
      </w:r>
      <w:r>
        <w:rPr>
          <w:rFonts w:hint="eastAsia"/>
          <w:sz w:val="24"/>
        </w:rPr>
        <w:t>月度绩效考核中，一年内累计</w:t>
      </w:r>
      <w:r>
        <w:rPr>
          <w:sz w:val="24"/>
        </w:rPr>
        <w:t>5</w:t>
      </w:r>
      <w:r>
        <w:rPr>
          <w:rFonts w:hint="eastAsia"/>
          <w:sz w:val="24"/>
        </w:rPr>
        <w:t>次得分低于</w:t>
      </w:r>
      <w:r>
        <w:rPr>
          <w:sz w:val="24"/>
        </w:rPr>
        <w:t>89</w:t>
      </w:r>
      <w:r>
        <w:rPr>
          <w:rFonts w:hint="eastAsia"/>
          <w:sz w:val="24"/>
        </w:rPr>
        <w:t>分或</w:t>
      </w:r>
      <w:r>
        <w:rPr>
          <w:sz w:val="24"/>
        </w:rPr>
        <w:t>2</w:t>
      </w:r>
      <w:r>
        <w:rPr>
          <w:rFonts w:hint="eastAsia"/>
          <w:sz w:val="24"/>
        </w:rPr>
        <w:t>次低于</w:t>
      </w:r>
      <w:r>
        <w:rPr>
          <w:sz w:val="24"/>
        </w:rPr>
        <w:t>79</w:t>
      </w:r>
      <w:r>
        <w:rPr>
          <w:rFonts w:hint="eastAsia"/>
          <w:sz w:val="24"/>
        </w:rPr>
        <w:t>分的；</w:t>
      </w:r>
      <w:r>
        <w:rPr>
          <w:sz w:val="24"/>
        </w:rPr>
        <w:t>b</w:t>
      </w:r>
      <w:r>
        <w:rPr>
          <w:rFonts w:hint="eastAsia"/>
          <w:sz w:val="24"/>
        </w:rPr>
        <w:t>、严重影响招标人有关科室的正常工作及医院形象的；</w:t>
      </w:r>
      <w:r>
        <w:rPr>
          <w:sz w:val="24"/>
        </w:rPr>
        <w:t>C</w:t>
      </w:r>
      <w:r>
        <w:rPr>
          <w:rFonts w:hint="eastAsia"/>
          <w:sz w:val="24"/>
        </w:rPr>
        <w:t>、与招标文件不符合的做法，或不履行其投标文件的承诺。中标人如要提前中止合同，需提前</w:t>
      </w:r>
      <w:r>
        <w:rPr>
          <w:sz w:val="24"/>
        </w:rPr>
        <w:t>3</w:t>
      </w:r>
      <w:r>
        <w:rPr>
          <w:rFonts w:hint="eastAsia"/>
          <w:sz w:val="24"/>
        </w:rPr>
        <w:t>个月，并征得招标人同意，否则按合同执行。</w:t>
      </w:r>
    </w:p>
    <w:p>
      <w:pPr>
        <w:numPr>
          <w:ilvl w:val="0"/>
          <w:numId w:val="212"/>
        </w:numPr>
        <w:spacing w:line="360" w:lineRule="auto"/>
        <w:rPr>
          <w:sz w:val="24"/>
        </w:rPr>
      </w:pPr>
      <w:r>
        <w:rPr>
          <w:rFonts w:hint="eastAsia"/>
          <w:sz w:val="24"/>
        </w:rPr>
        <w:t>在服务期内中标人遇到招标人各类检查及临时应急事件处理，如台风、大雨大水、消防、突发事件等，中标人应根据工作要求完成工作任务，其费用已包含在合同总价中。</w:t>
      </w:r>
    </w:p>
    <w:p>
      <w:pPr>
        <w:numPr>
          <w:ilvl w:val="0"/>
          <w:numId w:val="212"/>
        </w:numPr>
        <w:spacing w:line="360" w:lineRule="auto"/>
        <w:rPr>
          <w:sz w:val="24"/>
        </w:rPr>
      </w:pPr>
      <w:r>
        <w:rPr>
          <w:rFonts w:hint="eastAsia"/>
          <w:sz w:val="24"/>
        </w:rPr>
        <w:t>中标人必须对员工发生的事故责任以及员工计生、身份、健康、各类保险等承担责任；同时对员工在公司做出不良行为给招标人造成影响承担责任。</w:t>
      </w:r>
    </w:p>
    <w:p>
      <w:pPr>
        <w:numPr>
          <w:ilvl w:val="0"/>
          <w:numId w:val="212"/>
        </w:numPr>
        <w:spacing w:line="360" w:lineRule="auto"/>
        <w:rPr>
          <w:sz w:val="24"/>
        </w:rPr>
      </w:pPr>
      <w:r>
        <w:rPr>
          <w:rFonts w:hint="eastAsia"/>
          <w:sz w:val="24"/>
        </w:rPr>
        <w:t>中标人应做好工作人员职业防护工作。</w:t>
      </w:r>
    </w:p>
    <w:p>
      <w:pPr>
        <w:numPr>
          <w:ilvl w:val="0"/>
          <w:numId w:val="212"/>
        </w:numPr>
        <w:spacing w:line="360" w:lineRule="auto"/>
        <w:rPr>
          <w:sz w:val="24"/>
        </w:rPr>
      </w:pPr>
      <w:r>
        <w:rPr>
          <w:rFonts w:hint="eastAsia"/>
          <w:sz w:val="24"/>
        </w:rPr>
        <w:t>中标人工作人员在工作中造成招标人仪器物品损坏、财产损失，患者、家属及自身人身伤害的，责任完全由中标人负责。</w:t>
      </w:r>
    </w:p>
    <w:p>
      <w:pPr>
        <w:numPr>
          <w:ilvl w:val="0"/>
          <w:numId w:val="212"/>
        </w:numPr>
        <w:spacing w:line="360" w:lineRule="auto"/>
        <w:rPr>
          <w:sz w:val="24"/>
        </w:rPr>
      </w:pPr>
      <w:r>
        <w:rPr>
          <w:rFonts w:hint="eastAsia"/>
          <w:sz w:val="24"/>
        </w:rPr>
        <w:t>在服务期内招标人承办会议、培训等，中标人应根据工作要求完成工作任务，其费用已包含在合同总价中。</w:t>
      </w:r>
    </w:p>
    <w:p>
      <w:pPr>
        <w:numPr>
          <w:ilvl w:val="0"/>
          <w:numId w:val="212"/>
        </w:numPr>
        <w:spacing w:line="360" w:lineRule="auto"/>
        <w:rPr>
          <w:sz w:val="24"/>
        </w:rPr>
      </w:pPr>
      <w:r>
        <w:rPr>
          <w:rFonts w:hint="eastAsia"/>
          <w:sz w:val="24"/>
        </w:rPr>
        <w:t>中标人不得利用服务区域内的招标人房产、物业、水电等资源从事经营活动，不能改变其使用性质。</w:t>
      </w:r>
    </w:p>
    <w:p>
      <w:pPr>
        <w:numPr>
          <w:ilvl w:val="0"/>
          <w:numId w:val="212"/>
        </w:numPr>
        <w:spacing w:line="360" w:lineRule="auto"/>
        <w:rPr>
          <w:sz w:val="24"/>
        </w:rPr>
      </w:pPr>
      <w:r>
        <w:rPr>
          <w:rFonts w:hint="eastAsia"/>
          <w:sz w:val="24"/>
        </w:rPr>
        <w:t>投标人能承诺安全责任，在经营过程中所产生的一切人事劳资、人身伤害、火灾、物品失窃等，均由中标人独立承担全部责任。</w:t>
      </w:r>
    </w:p>
    <w:p>
      <w:pPr>
        <w:numPr>
          <w:ilvl w:val="0"/>
          <w:numId w:val="212"/>
        </w:numPr>
        <w:spacing w:line="360" w:lineRule="auto"/>
        <w:rPr>
          <w:sz w:val="24"/>
        </w:rPr>
      </w:pPr>
      <w:r>
        <w:rPr>
          <w:rFonts w:hint="eastAsia"/>
          <w:sz w:val="24"/>
        </w:rPr>
        <w:t>投标人应提供相应详细的各项服务人员岗位设置表。招标方在授予合同时有权对本次服务增加或减少。</w:t>
      </w:r>
    </w:p>
    <w:p>
      <w:pPr>
        <w:numPr>
          <w:ilvl w:val="0"/>
          <w:numId w:val="212"/>
        </w:numPr>
        <w:spacing w:line="360" w:lineRule="auto"/>
        <w:rPr>
          <w:sz w:val="24"/>
        </w:rPr>
      </w:pPr>
      <w:r>
        <w:rPr>
          <w:rFonts w:hint="eastAsia"/>
          <w:sz w:val="24"/>
        </w:rPr>
        <w:t>中标方须响应上述服务要求，在承包期内如发生违反上述条款，招标方有权无条件终止合同。</w:t>
      </w:r>
    </w:p>
    <w:p/>
    <w:p>
      <w:pPr>
        <w:spacing w:before="120" w:beforeLines="50" w:after="120" w:afterLines="50"/>
        <w:outlineLvl w:val="1"/>
        <w:rPr>
          <w:rFonts w:hint="eastAsia"/>
          <w:sz w:val="30"/>
          <w:szCs w:val="30"/>
        </w:rPr>
      </w:pPr>
      <w:r>
        <w:rPr>
          <w:sz w:val="32"/>
          <w:szCs w:val="32"/>
        </w:rPr>
        <w:br w:type="page"/>
      </w:r>
      <w:bookmarkStart w:id="32" w:name="_Toc514076261"/>
      <w:bookmarkStart w:id="33" w:name="_Toc18854420"/>
      <w:r>
        <w:rPr>
          <w:rFonts w:hint="eastAsia"/>
          <w:sz w:val="32"/>
          <w:szCs w:val="32"/>
        </w:rPr>
        <w:t>三、</w:t>
      </w:r>
      <w:r>
        <w:rPr>
          <w:rFonts w:hint="eastAsia"/>
          <w:sz w:val="30"/>
          <w:szCs w:val="30"/>
        </w:rPr>
        <w:t>维修人员服务需求</w:t>
      </w:r>
      <w:bookmarkEnd w:id="32"/>
      <w:bookmarkEnd w:id="33"/>
    </w:p>
    <w:p>
      <w:pPr>
        <w:spacing w:line="360" w:lineRule="auto"/>
        <w:rPr>
          <w:sz w:val="24"/>
        </w:rPr>
      </w:pPr>
      <w:r>
        <w:rPr>
          <w:rFonts w:hint="eastAsia"/>
          <w:b/>
          <w:bCs/>
          <w:sz w:val="24"/>
        </w:rPr>
        <w:t>一、项目基本情况</w:t>
      </w:r>
      <w:r>
        <w:rPr>
          <w:rFonts w:hint="eastAsia"/>
          <w:sz w:val="24"/>
        </w:rPr>
        <w:t>：</w:t>
      </w:r>
    </w:p>
    <w:p>
      <w:pPr>
        <w:spacing w:line="360" w:lineRule="auto"/>
        <w:rPr>
          <w:kern w:val="0"/>
          <w:sz w:val="24"/>
        </w:rPr>
      </w:pPr>
      <w:r>
        <w:rPr>
          <w:rFonts w:hint="eastAsia"/>
          <w:sz w:val="24"/>
        </w:rPr>
        <w:t>综合维修服务范围为医院</w:t>
      </w:r>
      <w:r>
        <w:rPr>
          <w:rFonts w:hint="eastAsia"/>
          <w:kern w:val="0"/>
          <w:sz w:val="24"/>
        </w:rPr>
        <w:t>、室外绿化带与附属设施等工作相关的场所的维修保养服务，保障公共设施设备安全运行，医院相关范围内的设备设施维修维护等</w:t>
      </w:r>
      <w:r>
        <w:rPr>
          <w:rFonts w:hint="eastAsia"/>
          <w:sz w:val="24"/>
        </w:rPr>
        <w:t>工作</w:t>
      </w:r>
      <w:r>
        <w:rPr>
          <w:rFonts w:hint="eastAsia"/>
          <w:b/>
          <w:bCs/>
          <w:sz w:val="24"/>
        </w:rPr>
        <w:t>（含高压配电房、空调机房等设备管理）</w:t>
      </w:r>
      <w:r>
        <w:rPr>
          <w:rFonts w:hint="eastAsia"/>
          <w:kern w:val="0"/>
          <w:sz w:val="24"/>
        </w:rPr>
        <w:t>。</w:t>
      </w:r>
    </w:p>
    <w:p>
      <w:pPr>
        <w:spacing w:line="360" w:lineRule="auto"/>
        <w:rPr>
          <w:b/>
          <w:bCs/>
          <w:kern w:val="0"/>
          <w:sz w:val="24"/>
        </w:rPr>
      </w:pPr>
    </w:p>
    <w:p>
      <w:pPr>
        <w:numPr>
          <w:ilvl w:val="0"/>
          <w:numId w:val="213"/>
        </w:numPr>
        <w:spacing w:line="360" w:lineRule="auto"/>
        <w:rPr>
          <w:b/>
          <w:bCs/>
          <w:kern w:val="0"/>
          <w:sz w:val="24"/>
        </w:rPr>
      </w:pPr>
      <w:r>
        <w:rPr>
          <w:rFonts w:hint="eastAsia"/>
          <w:b/>
          <w:bCs/>
          <w:kern w:val="0"/>
          <w:sz w:val="24"/>
        </w:rPr>
        <w:t>具体服务要求：</w:t>
      </w:r>
    </w:p>
    <w:p>
      <w:pPr>
        <w:widowControl/>
        <w:spacing w:line="360" w:lineRule="auto"/>
        <w:contextualSpacing/>
        <w:jc w:val="left"/>
        <w:rPr>
          <w:szCs w:val="21"/>
        </w:rPr>
      </w:pPr>
      <w:r>
        <w:rPr>
          <w:rFonts w:hint="eastAsia" w:ascii="Calibri" w:hAnsi="Calibri"/>
          <w:b/>
          <w:bCs/>
          <w:kern w:val="0"/>
          <w:sz w:val="24"/>
          <w:szCs w:val="22"/>
        </w:rPr>
        <w:t>1、人员素质</w:t>
      </w:r>
      <w:r>
        <w:rPr>
          <w:rFonts w:ascii="Calibri" w:hAnsi="Calibri"/>
          <w:b/>
          <w:bCs/>
          <w:kern w:val="0"/>
          <w:sz w:val="24"/>
          <w:szCs w:val="22"/>
        </w:rPr>
        <w:t>要求：</w:t>
      </w:r>
    </w:p>
    <w:p>
      <w:pPr>
        <w:widowControl/>
        <w:spacing w:line="360" w:lineRule="auto"/>
        <w:contextualSpacing/>
        <w:jc w:val="left"/>
        <w:rPr>
          <w:rFonts w:ascii="Calibri" w:hAnsi="Calibri"/>
          <w:b/>
          <w:bCs/>
          <w:kern w:val="0"/>
          <w:sz w:val="24"/>
          <w:szCs w:val="22"/>
        </w:rPr>
      </w:pPr>
      <w:r>
        <w:rPr>
          <w:rFonts w:hint="eastAsia" w:ascii="Calibri" w:hAnsi="Calibri"/>
          <w:b/>
          <w:bCs/>
          <w:kern w:val="0"/>
          <w:sz w:val="24"/>
          <w:szCs w:val="22"/>
        </w:rPr>
        <w:t>项目</w:t>
      </w:r>
      <w:r>
        <w:rPr>
          <w:rFonts w:ascii="Calibri" w:hAnsi="Calibri"/>
          <w:b/>
          <w:bCs/>
          <w:kern w:val="0"/>
          <w:sz w:val="24"/>
          <w:szCs w:val="22"/>
        </w:rPr>
        <w:t>主管：</w:t>
      </w:r>
      <w:r>
        <w:rPr>
          <w:rFonts w:hint="eastAsia" w:ascii="Calibri" w:hAnsi="Calibri"/>
          <w:b/>
          <w:bCs/>
          <w:kern w:val="0"/>
          <w:sz w:val="24"/>
          <w:szCs w:val="22"/>
        </w:rPr>
        <w:t>具有</w:t>
      </w:r>
      <w:r>
        <w:rPr>
          <w:rFonts w:ascii="Calibri" w:hAnsi="Calibri"/>
          <w:b/>
          <w:bCs/>
          <w:kern w:val="0"/>
          <w:sz w:val="24"/>
          <w:szCs w:val="22"/>
        </w:rPr>
        <w:t>二年及以上大型物业或</w:t>
      </w:r>
      <w:r>
        <w:rPr>
          <w:rFonts w:hint="eastAsia" w:ascii="Calibri" w:hAnsi="Calibri"/>
          <w:b/>
          <w:bCs/>
          <w:kern w:val="0"/>
          <w:sz w:val="24"/>
          <w:szCs w:val="22"/>
        </w:rPr>
        <w:t>三甲</w:t>
      </w:r>
      <w:r>
        <w:rPr>
          <w:rFonts w:ascii="Calibri" w:hAnsi="Calibri"/>
          <w:b/>
          <w:bCs/>
          <w:kern w:val="0"/>
          <w:sz w:val="24"/>
          <w:szCs w:val="22"/>
        </w:rPr>
        <w:t>医院相关工作经验</w:t>
      </w:r>
    </w:p>
    <w:p>
      <w:pPr>
        <w:widowControl/>
        <w:spacing w:line="360" w:lineRule="auto"/>
        <w:contextualSpacing/>
        <w:jc w:val="left"/>
        <w:rPr>
          <w:rFonts w:ascii="Calibri" w:hAnsi="Calibri"/>
          <w:b/>
          <w:bCs/>
          <w:kern w:val="0"/>
          <w:sz w:val="24"/>
          <w:szCs w:val="22"/>
        </w:rPr>
      </w:pPr>
      <w:r>
        <w:rPr>
          <w:rFonts w:hint="eastAsia" w:ascii="Calibri" w:hAnsi="Calibri"/>
          <w:b/>
          <w:bCs/>
          <w:kern w:val="0"/>
          <w:sz w:val="24"/>
          <w:szCs w:val="22"/>
        </w:rPr>
        <w:t>其他</w:t>
      </w:r>
      <w:r>
        <w:rPr>
          <w:rFonts w:ascii="Calibri" w:hAnsi="Calibri"/>
          <w:b/>
          <w:bCs/>
          <w:kern w:val="0"/>
          <w:sz w:val="24"/>
          <w:szCs w:val="22"/>
        </w:rPr>
        <w:t>人员：</w:t>
      </w:r>
    </w:p>
    <w:p>
      <w:pPr>
        <w:widowControl/>
        <w:spacing w:line="360" w:lineRule="auto"/>
        <w:contextualSpacing/>
        <w:jc w:val="left"/>
        <w:rPr>
          <w:rFonts w:ascii="Calibri" w:hAnsi="Calibri"/>
          <w:b/>
          <w:bCs/>
          <w:kern w:val="0"/>
          <w:sz w:val="24"/>
          <w:szCs w:val="22"/>
        </w:rPr>
      </w:pPr>
      <w:r>
        <w:rPr>
          <w:rFonts w:hint="eastAsia"/>
          <w:szCs w:val="21"/>
        </w:rPr>
        <w:t>1）</w:t>
      </w:r>
      <w:r>
        <w:rPr>
          <w:szCs w:val="21"/>
        </w:rPr>
        <w:t>20-50</w:t>
      </w:r>
      <w:r>
        <w:rPr>
          <w:rFonts w:hint="eastAsia"/>
          <w:szCs w:val="21"/>
        </w:rPr>
        <w:t>岁之间；</w:t>
      </w:r>
    </w:p>
    <w:p>
      <w:pPr>
        <w:widowControl/>
        <w:spacing w:line="360" w:lineRule="auto"/>
        <w:contextualSpacing/>
        <w:jc w:val="left"/>
        <w:rPr>
          <w:szCs w:val="21"/>
        </w:rPr>
      </w:pPr>
      <w:r>
        <w:rPr>
          <w:rFonts w:hint="eastAsia"/>
          <w:szCs w:val="21"/>
        </w:rPr>
        <w:t>2）健康状况良好；</w:t>
      </w:r>
    </w:p>
    <w:p>
      <w:pPr>
        <w:widowControl/>
        <w:spacing w:line="360" w:lineRule="auto"/>
        <w:contextualSpacing/>
        <w:jc w:val="left"/>
        <w:rPr>
          <w:szCs w:val="21"/>
        </w:rPr>
      </w:pPr>
      <w:r>
        <w:rPr>
          <w:rFonts w:hint="eastAsia"/>
          <w:szCs w:val="21"/>
        </w:rPr>
        <w:t>3）有责任心；</w:t>
      </w:r>
    </w:p>
    <w:p>
      <w:pPr>
        <w:widowControl/>
        <w:spacing w:line="360" w:lineRule="auto"/>
        <w:contextualSpacing/>
        <w:jc w:val="left"/>
        <w:rPr>
          <w:szCs w:val="21"/>
        </w:rPr>
      </w:pPr>
      <w:r>
        <w:rPr>
          <w:rFonts w:hint="eastAsia"/>
          <w:szCs w:val="21"/>
        </w:rPr>
        <w:t>4）初中及以上学历；</w:t>
      </w:r>
    </w:p>
    <w:p>
      <w:pPr>
        <w:widowControl/>
        <w:spacing w:line="360" w:lineRule="auto"/>
        <w:contextualSpacing/>
        <w:jc w:val="left"/>
        <w:rPr>
          <w:szCs w:val="21"/>
        </w:rPr>
      </w:pPr>
      <w:r>
        <w:rPr>
          <w:szCs w:val="21"/>
        </w:rPr>
        <w:t>▲</w:t>
      </w:r>
      <w:r>
        <w:rPr>
          <w:rFonts w:hint="eastAsia"/>
          <w:szCs w:val="21"/>
        </w:rPr>
        <w:t>5）按规定，持证上岗（高配工具有高配电工证）；</w:t>
      </w:r>
    </w:p>
    <w:p>
      <w:pPr>
        <w:widowControl/>
        <w:spacing w:line="360" w:lineRule="auto"/>
        <w:contextualSpacing/>
        <w:jc w:val="left"/>
        <w:rPr>
          <w:szCs w:val="21"/>
        </w:rPr>
      </w:pPr>
      <w:r>
        <w:rPr>
          <w:rFonts w:hint="eastAsia"/>
          <w:szCs w:val="21"/>
        </w:rPr>
        <w:t>6）安排利用医院现有人员。</w:t>
      </w:r>
    </w:p>
    <w:p>
      <w:pPr>
        <w:widowControl/>
        <w:spacing w:line="360" w:lineRule="auto"/>
        <w:contextualSpacing/>
        <w:jc w:val="left"/>
        <w:rPr>
          <w:szCs w:val="21"/>
        </w:rPr>
      </w:pPr>
      <w:r>
        <w:rPr>
          <w:rFonts w:hint="eastAsia"/>
          <w:szCs w:val="21"/>
        </w:rPr>
        <w:t>7）具有二年以上同类工作经历。</w:t>
      </w:r>
    </w:p>
    <w:p>
      <w:pPr>
        <w:rPr>
          <w:rFonts w:hint="eastAsia"/>
          <w:b/>
          <w:bCs/>
          <w:kern w:val="0"/>
          <w:sz w:val="24"/>
        </w:rPr>
      </w:pPr>
      <w:r>
        <w:rPr>
          <w:rFonts w:hint="eastAsia"/>
          <w:b/>
          <w:bCs/>
          <w:kern w:val="0"/>
          <w:sz w:val="24"/>
          <w:u w:val="single"/>
        </w:rPr>
        <w:t>目前维修最低人数要求：</w:t>
      </w:r>
      <w:r>
        <w:rPr>
          <w:b/>
          <w:bCs/>
          <w:kern w:val="0"/>
          <w:sz w:val="24"/>
          <w:u w:val="single"/>
        </w:rPr>
        <w:t>9</w:t>
      </w:r>
      <w:r>
        <w:rPr>
          <w:rFonts w:hint="eastAsia"/>
          <w:b/>
          <w:bCs/>
          <w:kern w:val="0"/>
          <w:sz w:val="24"/>
          <w:u w:val="single"/>
        </w:rPr>
        <w:t>人，人员不得兼职。</w:t>
      </w:r>
    </w:p>
    <w:p>
      <w:pPr>
        <w:rPr>
          <w:b/>
          <w:sz w:val="24"/>
          <w:u w:val="single"/>
        </w:rPr>
      </w:pPr>
      <w:r>
        <w:rPr>
          <w:rFonts w:hint="eastAsia"/>
          <w:b/>
          <w:sz w:val="24"/>
        </w:rPr>
        <w:t>相关说明：以上岗位，投标人应优先考虑现在岗的优秀人员和医院推荐人员。</w:t>
      </w:r>
      <w:r>
        <w:rPr>
          <w:rFonts w:hint="eastAsia"/>
          <w:b/>
          <w:sz w:val="24"/>
          <w:u w:val="single"/>
        </w:rPr>
        <w:t>招标人将根据实际需求及服务人数结算费用。</w:t>
      </w:r>
    </w:p>
    <w:p>
      <w:pPr>
        <w:rPr>
          <w:b/>
          <w:sz w:val="24"/>
          <w:u w:val="single"/>
        </w:rPr>
      </w:pPr>
    </w:p>
    <w:p>
      <w:pPr>
        <w:numPr>
          <w:ilvl w:val="0"/>
          <w:numId w:val="214"/>
        </w:numPr>
        <w:spacing w:line="360" w:lineRule="auto"/>
        <w:ind w:left="360" w:hanging="360"/>
        <w:rPr>
          <w:b/>
          <w:sz w:val="24"/>
        </w:rPr>
      </w:pPr>
      <w:r>
        <w:rPr>
          <w:rFonts w:hint="eastAsia"/>
          <w:b/>
          <w:sz w:val="24"/>
        </w:rPr>
        <w:t>维修工岗位职责</w:t>
      </w:r>
    </w:p>
    <w:p>
      <w:pPr>
        <w:tabs>
          <w:tab w:val="left" w:pos="567"/>
          <w:tab w:val="left" w:pos="851"/>
          <w:tab w:val="left" w:pos="993"/>
          <w:tab w:val="left" w:pos="1134"/>
        </w:tabs>
        <w:spacing w:line="360" w:lineRule="auto"/>
        <w:rPr>
          <w:rFonts w:ascii="宋体" w:hAnsi="Calibri"/>
          <w:b/>
          <w:sz w:val="24"/>
          <w:szCs w:val="22"/>
        </w:rPr>
      </w:pPr>
      <w:r>
        <w:rPr>
          <w:rFonts w:ascii="宋体" w:hAnsi="宋体"/>
          <w:b/>
          <w:sz w:val="24"/>
          <w:szCs w:val="22"/>
        </w:rPr>
        <w:t>2.1</w:t>
      </w:r>
      <w:r>
        <w:rPr>
          <w:rFonts w:hint="eastAsia" w:ascii="宋体" w:hAnsi="宋体"/>
          <w:b/>
          <w:sz w:val="24"/>
          <w:szCs w:val="22"/>
        </w:rPr>
        <w:t>维修主管岗位职责</w:t>
      </w:r>
    </w:p>
    <w:p>
      <w:pPr>
        <w:spacing w:line="480" w:lineRule="exac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）负责各项管理工作，遵守医院及公司的各项规章制度及服从医院后勤处相关负责人的领导。</w:t>
      </w:r>
    </w:p>
    <w:p>
      <w:pPr>
        <w:spacing w:line="480" w:lineRule="exac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）全面负责落实交办的各项工作。制定月度、年度工作计划并贯彻落实。</w:t>
      </w:r>
    </w:p>
    <w:p>
      <w:pPr>
        <w:spacing w:line="480" w:lineRule="exac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）做好员工管理教育管理，落实安全服务、文明服务责任制。</w:t>
      </w:r>
    </w:p>
    <w:p>
      <w:pPr>
        <w:spacing w:line="480" w:lineRule="exac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）每周主动与招标人联系，征询意见和建议，建立回访制度，及时处理投诉问题。</w:t>
      </w:r>
      <w:r>
        <w:rPr>
          <w:rFonts w:ascii="宋体" w:hAnsi="宋体" w:cs="宋体"/>
          <w:color w:val="000000"/>
          <w:kern w:val="0"/>
          <w:sz w:val="24"/>
        </w:rPr>
        <w:t xml:space="preserve"> </w:t>
      </w:r>
    </w:p>
    <w:p>
      <w:pPr>
        <w:spacing w:line="480" w:lineRule="exac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）做好本管理处所有员工的考核、评比工作，奖惩管理。</w:t>
      </w:r>
    </w:p>
    <w:p>
      <w:pPr>
        <w:spacing w:line="480" w:lineRule="exac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）每周召开办公例会</w:t>
      </w:r>
      <w:r>
        <w:rPr>
          <w:rFonts w:ascii="宋体" w:cs="宋体"/>
          <w:color w:val="000000"/>
          <w:kern w:val="0"/>
          <w:sz w:val="24"/>
        </w:rPr>
        <w:t>,</w:t>
      </w:r>
      <w:r>
        <w:rPr>
          <w:rFonts w:hint="eastAsia" w:ascii="宋体" w:hAnsi="宋体" w:cs="宋体"/>
          <w:color w:val="000000"/>
          <w:kern w:val="0"/>
          <w:sz w:val="24"/>
        </w:rPr>
        <w:t>检查工作落实情况</w:t>
      </w:r>
      <w:r>
        <w:rPr>
          <w:rFonts w:ascii="宋体" w:cs="宋体"/>
          <w:color w:val="000000"/>
          <w:kern w:val="0"/>
          <w:sz w:val="24"/>
        </w:rPr>
        <w:t>,</w:t>
      </w:r>
      <w:r>
        <w:rPr>
          <w:rFonts w:hint="eastAsia" w:ascii="宋体" w:hAnsi="宋体" w:cs="宋体"/>
          <w:color w:val="000000"/>
          <w:kern w:val="0"/>
          <w:sz w:val="24"/>
        </w:rPr>
        <w:t>布置工作任务</w:t>
      </w:r>
      <w:r>
        <w:rPr>
          <w:rFonts w:ascii="宋体" w:hAnsi="宋体" w:cs="宋体"/>
          <w:color w:val="000000"/>
          <w:kern w:val="0"/>
          <w:sz w:val="24"/>
        </w:rPr>
        <w:t xml:space="preserve">, </w:t>
      </w:r>
      <w:r>
        <w:rPr>
          <w:rFonts w:hint="eastAsia" w:ascii="宋体" w:hAnsi="宋体" w:cs="宋体"/>
          <w:color w:val="000000"/>
          <w:kern w:val="0"/>
          <w:sz w:val="24"/>
        </w:rPr>
        <w:t>并协调解决有关事务。</w:t>
      </w:r>
      <w:r>
        <w:rPr>
          <w:rFonts w:ascii="宋体" w:hAnsi="宋体" w:cs="宋体"/>
          <w:color w:val="000000"/>
          <w:kern w:val="0"/>
          <w:sz w:val="24"/>
        </w:rPr>
        <w:t xml:space="preserve"> </w:t>
      </w:r>
    </w:p>
    <w:p>
      <w:pPr>
        <w:spacing w:line="480" w:lineRule="exac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）控制物料、能源及其它消耗。</w:t>
      </w:r>
    </w:p>
    <w:p>
      <w:pPr>
        <w:spacing w:line="480" w:lineRule="exac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）做好报修计划。</w:t>
      </w:r>
    </w:p>
    <w:p>
      <w:pPr>
        <w:spacing w:line="480" w:lineRule="exac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）制定节能降耗工作计划，并实施。</w:t>
      </w:r>
    </w:p>
    <w:p>
      <w:pPr>
        <w:spacing w:line="480" w:lineRule="exac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）服从招标人安排临时性任务。</w:t>
      </w:r>
    </w:p>
    <w:p>
      <w:pPr>
        <w:spacing w:line="480" w:lineRule="exact"/>
        <w:rPr>
          <w:rFonts w:ascii="宋体" w:cs="宋体"/>
          <w:b/>
          <w:bCs/>
          <w:color w:val="000000"/>
          <w:kern w:val="0"/>
          <w:sz w:val="24"/>
        </w:rPr>
      </w:pPr>
      <w:r>
        <w:rPr>
          <w:rFonts w:ascii="宋体" w:hAnsi="宋体" w:cs="宋体"/>
          <w:b/>
          <w:bCs/>
          <w:color w:val="000000"/>
          <w:kern w:val="0"/>
          <w:sz w:val="24"/>
        </w:rPr>
        <w:t>2.2</w:t>
      </w:r>
      <w:r>
        <w:rPr>
          <w:rFonts w:hint="eastAsia" w:ascii="宋体" w:hAnsi="宋体" w:cs="宋体"/>
          <w:b/>
          <w:bCs/>
          <w:color w:val="000000"/>
          <w:kern w:val="0"/>
          <w:sz w:val="24"/>
        </w:rPr>
        <w:t>综合维修工岗位职责</w:t>
      </w:r>
    </w:p>
    <w:p>
      <w:pPr>
        <w:spacing w:line="480" w:lineRule="exac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）熟练掌握大楼供电方式、运作状态、线路走向，以及所辖设备的原理、技术性能及实际操作。</w:t>
      </w:r>
    </w:p>
    <w:p>
      <w:pPr>
        <w:spacing w:line="480" w:lineRule="exac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）负责楼层的公共设备设施日常运行、维修、保养。</w:t>
      </w:r>
    </w:p>
    <w:p>
      <w:pPr>
        <w:spacing w:line="480" w:lineRule="exac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）公共设备的应急维修。</w:t>
      </w:r>
    </w:p>
    <w:p>
      <w:pPr>
        <w:spacing w:line="480" w:lineRule="exac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）做好大楼内房间、公共场所的照明灯具、开关、插座等的修理与更换。</w:t>
      </w:r>
    </w:p>
    <w:p>
      <w:pPr>
        <w:spacing w:line="480" w:lineRule="exac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）负责电气设备、各配电箱（柜）表面清洁，维护保养。</w:t>
      </w:r>
    </w:p>
    <w:p>
      <w:pPr>
        <w:spacing w:line="480" w:lineRule="exac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）负责病区、办公室及公共部位的维护保养和故障检修工作。</w:t>
      </w:r>
    </w:p>
    <w:p>
      <w:pPr>
        <w:spacing w:line="480" w:lineRule="exac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）公共区域每日巡查二次（上午与晚上），每月一次清洁责任设备及周围环境卫生。</w:t>
      </w:r>
    </w:p>
    <w:p>
      <w:pPr>
        <w:spacing w:line="480" w:lineRule="exac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）制订并监督执行强、弱电系统的设备定期保养规定。</w:t>
      </w:r>
    </w:p>
    <w:p>
      <w:pPr>
        <w:spacing w:line="480" w:lineRule="exac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）做好物品领用登记，出库使用部门签字确认。</w:t>
      </w:r>
    </w:p>
    <w:p>
      <w:pPr>
        <w:spacing w:line="480" w:lineRule="exac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）定期巡视电气设备密切监视其运行情况，正确抄录各项数据并填好报表。</w:t>
      </w:r>
    </w:p>
    <w:p>
      <w:pPr>
        <w:spacing w:line="480" w:lineRule="exac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11</w:t>
      </w:r>
      <w:r>
        <w:rPr>
          <w:rFonts w:hint="eastAsia" w:ascii="宋体" w:hAnsi="宋体" w:cs="宋体"/>
          <w:color w:val="000000"/>
          <w:kern w:val="0"/>
          <w:sz w:val="24"/>
        </w:rPr>
        <w:t>）发生事故时，应保持冷静头脑，按照操作规程及时排除故障。</w:t>
      </w:r>
    </w:p>
    <w:p>
      <w:pPr>
        <w:spacing w:line="480" w:lineRule="exact"/>
        <w:rPr>
          <w:rFonts w:ascii="宋体" w:hAnsi="宋体" w:cs="宋体"/>
          <w:color w:val="000000"/>
          <w:sz w:val="24"/>
        </w:rPr>
      </w:pPr>
      <w:r>
        <w:rPr>
          <w:rFonts w:hint="eastAsia" w:ascii="宋体" w:hAnsi="宋体" w:cs="宋体"/>
          <w:color w:val="000000"/>
          <w:kern w:val="0"/>
          <w:sz w:val="24"/>
        </w:rPr>
        <w:t>（</w:t>
      </w:r>
      <w:r>
        <w:rPr>
          <w:rFonts w:ascii="宋体" w:hAnsi="宋体" w:cs="宋体"/>
          <w:color w:val="000000"/>
          <w:kern w:val="0"/>
          <w:sz w:val="24"/>
        </w:rPr>
        <w:t>12</w:t>
      </w:r>
      <w:r>
        <w:rPr>
          <w:rFonts w:hint="eastAsia" w:ascii="宋体" w:hAnsi="宋体" w:cs="宋体"/>
          <w:color w:val="000000"/>
          <w:kern w:val="0"/>
          <w:sz w:val="24"/>
        </w:rPr>
        <w:t>）</w:t>
      </w:r>
      <w:r>
        <w:rPr>
          <w:rFonts w:hint="eastAsia" w:ascii="宋体" w:hAnsi="宋体" w:cs="宋体"/>
          <w:color w:val="000000"/>
          <w:sz w:val="24"/>
        </w:rPr>
        <w:t>服务热情周到，接到报修通知单立即上门服务，保证质量，做到“小修不过天，大修在三天”。</w:t>
      </w:r>
    </w:p>
    <w:p>
      <w:pPr>
        <w:spacing w:line="480" w:lineRule="exact"/>
        <w:rPr>
          <w:rFonts w:hint="eastAsia" w:ascii="宋体" w:hAnsi="宋体" w:cs="宋体"/>
          <w:b/>
          <w:bCs/>
          <w:color w:val="000000"/>
          <w:kern w:val="0"/>
          <w:sz w:val="24"/>
        </w:rPr>
      </w:pPr>
      <w:r>
        <w:rPr>
          <w:rFonts w:hint="eastAsia" w:ascii="宋体" w:hAnsi="宋体" w:cs="宋体"/>
          <w:b/>
          <w:bCs/>
          <w:color w:val="000000"/>
          <w:kern w:val="0"/>
          <w:sz w:val="24"/>
        </w:rPr>
        <w:t>2.3高配工岗位职责</w:t>
      </w:r>
    </w:p>
    <w:p>
      <w:pPr>
        <w:spacing w:line="480" w:lineRule="exact"/>
        <w:rPr>
          <w:rFonts w:hint="eastAsia" w:ascii="宋体" w:cs="宋体"/>
          <w:color w:val="000000"/>
          <w:sz w:val="24"/>
        </w:rPr>
      </w:pPr>
      <w:r>
        <w:rPr>
          <w:rFonts w:hint="eastAsia" w:ascii="宋体" w:cs="宋体"/>
          <w:color w:val="000000"/>
          <w:sz w:val="24"/>
        </w:rPr>
        <w:t>(1)</w:t>
      </w:r>
      <w:r>
        <w:rPr>
          <w:rFonts w:hint="eastAsia" w:ascii="宋体" w:cs="宋体"/>
          <w:color w:val="000000"/>
          <w:sz w:val="24"/>
        </w:rPr>
        <w:tab/>
      </w:r>
      <w:r>
        <w:rPr>
          <w:rFonts w:hint="eastAsia" w:ascii="宋体" w:cs="宋体"/>
          <w:color w:val="000000"/>
          <w:sz w:val="24"/>
        </w:rPr>
        <w:t>值班电工必须注重职业道德，树立良好形象，提倡优质服务。</w:t>
      </w:r>
    </w:p>
    <w:p>
      <w:pPr>
        <w:spacing w:line="480" w:lineRule="exact"/>
        <w:rPr>
          <w:rFonts w:hint="eastAsia" w:ascii="宋体" w:cs="宋体"/>
          <w:color w:val="000000"/>
          <w:sz w:val="24"/>
        </w:rPr>
      </w:pPr>
      <w:r>
        <w:rPr>
          <w:rFonts w:hint="eastAsia" w:ascii="宋体" w:cs="宋体"/>
          <w:color w:val="000000"/>
          <w:sz w:val="24"/>
        </w:rPr>
        <w:t>(2)</w:t>
      </w:r>
      <w:r>
        <w:rPr>
          <w:rFonts w:hint="eastAsia" w:ascii="宋体" w:cs="宋体"/>
          <w:color w:val="000000"/>
          <w:sz w:val="24"/>
        </w:rPr>
        <w:tab/>
      </w:r>
      <w:r>
        <w:rPr>
          <w:rFonts w:hint="eastAsia" w:ascii="宋体" w:cs="宋体"/>
          <w:color w:val="000000"/>
          <w:sz w:val="24"/>
        </w:rPr>
        <w:t>值班电工上岗时必须佩带上岗证，合理穿戴防护用品，牢固树立“安全第一“的思想。</w:t>
      </w:r>
    </w:p>
    <w:p>
      <w:pPr>
        <w:spacing w:line="480" w:lineRule="exact"/>
        <w:rPr>
          <w:rFonts w:hint="eastAsia" w:ascii="宋体" w:cs="宋体"/>
          <w:color w:val="000000"/>
          <w:sz w:val="24"/>
        </w:rPr>
      </w:pPr>
      <w:r>
        <w:rPr>
          <w:rFonts w:hint="eastAsia" w:ascii="宋体" w:cs="宋体"/>
          <w:color w:val="000000"/>
          <w:sz w:val="24"/>
        </w:rPr>
        <w:t>(3)</w:t>
      </w:r>
      <w:r>
        <w:rPr>
          <w:rFonts w:hint="eastAsia" w:ascii="宋体" w:cs="宋体"/>
          <w:color w:val="000000"/>
          <w:sz w:val="24"/>
        </w:rPr>
        <w:tab/>
      </w:r>
      <w:r>
        <w:rPr>
          <w:rFonts w:hint="eastAsia" w:ascii="宋体" w:cs="宋体"/>
          <w:color w:val="000000"/>
          <w:sz w:val="24"/>
        </w:rPr>
        <w:t>熟悉本所系统中运行方式和设备运行状况，按规定抄录表计，做好一切运行工作。</w:t>
      </w:r>
    </w:p>
    <w:p>
      <w:pPr>
        <w:spacing w:line="480" w:lineRule="exact"/>
        <w:rPr>
          <w:rFonts w:hint="eastAsia" w:ascii="宋体" w:cs="宋体"/>
          <w:color w:val="000000"/>
          <w:sz w:val="24"/>
        </w:rPr>
      </w:pPr>
      <w:r>
        <w:rPr>
          <w:rFonts w:hint="eastAsia" w:ascii="宋体" w:cs="宋体"/>
          <w:color w:val="000000"/>
          <w:sz w:val="24"/>
        </w:rPr>
        <w:t>(4)</w:t>
      </w:r>
      <w:r>
        <w:rPr>
          <w:rFonts w:hint="eastAsia" w:ascii="宋体" w:cs="宋体"/>
          <w:color w:val="000000"/>
          <w:sz w:val="24"/>
        </w:rPr>
        <w:tab/>
      </w:r>
      <w:r>
        <w:rPr>
          <w:rFonts w:hint="eastAsia" w:ascii="宋体" w:cs="宋体"/>
          <w:color w:val="000000"/>
          <w:sz w:val="24"/>
        </w:rPr>
        <w:t>根据操作任务，认真仔细，做好有关安全措施。</w:t>
      </w:r>
    </w:p>
    <w:p>
      <w:pPr>
        <w:spacing w:line="480" w:lineRule="exact"/>
        <w:rPr>
          <w:rFonts w:hint="eastAsia" w:ascii="宋体" w:cs="宋体"/>
          <w:color w:val="000000"/>
          <w:sz w:val="24"/>
        </w:rPr>
      </w:pPr>
      <w:r>
        <w:rPr>
          <w:rFonts w:hint="eastAsia" w:ascii="宋体" w:cs="宋体"/>
          <w:color w:val="000000"/>
          <w:sz w:val="24"/>
        </w:rPr>
        <w:t>(5)</w:t>
      </w:r>
      <w:r>
        <w:rPr>
          <w:rFonts w:hint="eastAsia" w:ascii="宋体" w:cs="宋体"/>
          <w:color w:val="000000"/>
          <w:sz w:val="24"/>
        </w:rPr>
        <w:tab/>
      </w:r>
      <w:r>
        <w:rPr>
          <w:rFonts w:hint="eastAsia" w:ascii="宋体" w:cs="宋体"/>
          <w:color w:val="000000"/>
          <w:sz w:val="24"/>
        </w:rPr>
        <w:t>做好巡回检查工作，发现缺陷，及时上报，并做好文字记录。</w:t>
      </w:r>
    </w:p>
    <w:p>
      <w:pPr>
        <w:spacing w:line="480" w:lineRule="exact"/>
        <w:rPr>
          <w:rFonts w:hint="eastAsia" w:ascii="宋体" w:cs="宋体"/>
          <w:color w:val="000000"/>
          <w:sz w:val="24"/>
        </w:rPr>
      </w:pPr>
      <w:r>
        <w:rPr>
          <w:rFonts w:hint="eastAsia" w:ascii="宋体" w:cs="宋体"/>
          <w:color w:val="000000"/>
          <w:sz w:val="24"/>
        </w:rPr>
        <w:t>(6)</w:t>
      </w:r>
      <w:r>
        <w:rPr>
          <w:rFonts w:hint="eastAsia" w:ascii="宋体" w:cs="宋体"/>
          <w:color w:val="000000"/>
          <w:sz w:val="24"/>
        </w:rPr>
        <w:tab/>
      </w:r>
      <w:r>
        <w:rPr>
          <w:rFonts w:hint="eastAsia" w:ascii="宋体" w:cs="宋体"/>
          <w:color w:val="000000"/>
          <w:sz w:val="24"/>
        </w:rPr>
        <w:t>事故处理时，负责记录时间及有关装置的动作情况，并执行事故处理的操作。</w:t>
      </w:r>
    </w:p>
    <w:p>
      <w:pPr>
        <w:spacing w:line="480" w:lineRule="exact"/>
        <w:rPr>
          <w:rFonts w:hint="eastAsia" w:ascii="宋体" w:cs="宋体"/>
          <w:color w:val="000000"/>
          <w:sz w:val="24"/>
        </w:rPr>
      </w:pPr>
      <w:r>
        <w:rPr>
          <w:rFonts w:hint="eastAsia" w:ascii="宋体" w:cs="宋体"/>
          <w:color w:val="000000"/>
          <w:sz w:val="24"/>
        </w:rPr>
        <w:t>(7)</w:t>
      </w:r>
      <w:r>
        <w:rPr>
          <w:rFonts w:hint="eastAsia" w:ascii="宋体" w:cs="宋体"/>
          <w:color w:val="000000"/>
          <w:sz w:val="24"/>
        </w:rPr>
        <w:tab/>
      </w:r>
      <w:r>
        <w:rPr>
          <w:rFonts w:hint="eastAsia" w:ascii="宋体" w:cs="宋体"/>
          <w:color w:val="000000"/>
          <w:sz w:val="24"/>
        </w:rPr>
        <w:t>认真做好各种资料，记录簿的登记工作及交接班的准备工作。</w:t>
      </w:r>
    </w:p>
    <w:p>
      <w:pPr>
        <w:spacing w:line="480" w:lineRule="exact"/>
        <w:rPr>
          <w:rFonts w:hint="eastAsia" w:ascii="宋体" w:cs="宋体"/>
          <w:color w:val="000000"/>
          <w:sz w:val="24"/>
        </w:rPr>
      </w:pPr>
      <w:r>
        <w:rPr>
          <w:rFonts w:hint="eastAsia" w:ascii="宋体" w:cs="宋体"/>
          <w:color w:val="000000"/>
          <w:sz w:val="24"/>
        </w:rPr>
        <w:t>(8)</w:t>
      </w:r>
      <w:r>
        <w:rPr>
          <w:rFonts w:hint="eastAsia" w:ascii="宋体" w:cs="宋体"/>
          <w:color w:val="000000"/>
          <w:sz w:val="24"/>
        </w:rPr>
        <w:tab/>
      </w:r>
      <w:r>
        <w:rPr>
          <w:rFonts w:hint="eastAsia" w:ascii="宋体" w:cs="宋体"/>
          <w:color w:val="000000"/>
          <w:sz w:val="24"/>
        </w:rPr>
        <w:t>做好环境卫生和设备清洁工作。</w:t>
      </w:r>
    </w:p>
    <w:p>
      <w:pPr>
        <w:spacing w:line="480" w:lineRule="exact"/>
        <w:rPr>
          <w:rFonts w:ascii="宋体" w:cs="宋体"/>
          <w:b/>
          <w:bCs/>
          <w:color w:val="000000"/>
          <w:kern w:val="0"/>
          <w:sz w:val="24"/>
        </w:rPr>
      </w:pPr>
      <w:r>
        <w:rPr>
          <w:rFonts w:ascii="宋体" w:hAnsi="宋体" w:cs="宋体"/>
          <w:b/>
          <w:bCs/>
          <w:color w:val="000000"/>
          <w:kern w:val="0"/>
          <w:sz w:val="24"/>
        </w:rPr>
        <w:t>3.</w:t>
      </w:r>
      <w:r>
        <w:rPr>
          <w:rFonts w:hint="eastAsia" w:ascii="宋体" w:hAnsi="宋体" w:cs="宋体"/>
          <w:b/>
          <w:bCs/>
          <w:color w:val="000000"/>
          <w:kern w:val="0"/>
          <w:sz w:val="24"/>
        </w:rPr>
        <w:t>工作范围</w:t>
      </w:r>
    </w:p>
    <w:p>
      <w:pPr>
        <w:spacing w:line="480" w:lineRule="exac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）医院及室外等部位</w:t>
      </w:r>
      <w:r>
        <w:rPr>
          <w:rFonts w:ascii="宋体" w:hAnsi="宋体" w:cs="宋体"/>
          <w:color w:val="000000"/>
          <w:kern w:val="0"/>
          <w:sz w:val="24"/>
        </w:rPr>
        <w:t>24</w:t>
      </w:r>
      <w:r>
        <w:rPr>
          <w:rFonts w:hint="eastAsia" w:ascii="宋体" w:hAnsi="宋体" w:cs="宋体"/>
          <w:color w:val="000000"/>
          <w:kern w:val="0"/>
          <w:sz w:val="24"/>
        </w:rPr>
        <w:t>小时值班，日常综合维修。</w:t>
      </w:r>
    </w:p>
    <w:p>
      <w:pPr>
        <w:spacing w:line="480" w:lineRule="exac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）医院相关人员安排的临时性事务。</w:t>
      </w:r>
    </w:p>
    <w:p>
      <w:pPr>
        <w:spacing w:line="480" w:lineRule="exact"/>
        <w:rPr>
          <w:rFonts w:ascii="宋体" w:cs="宋体"/>
          <w:color w:val="000000"/>
          <w:kern w:val="0"/>
          <w:sz w:val="24"/>
        </w:rPr>
      </w:pPr>
      <w:r>
        <w:rPr>
          <w:rFonts w:hint="eastAsia"/>
          <w:sz w:val="24"/>
        </w:rPr>
        <w:t>（</w:t>
      </w:r>
      <w:r>
        <w:rPr>
          <w:sz w:val="24"/>
        </w:rPr>
        <w:t>3</w:t>
      </w:r>
      <w:r>
        <w:rPr>
          <w:rFonts w:hint="eastAsia"/>
          <w:sz w:val="24"/>
        </w:rPr>
        <w:t>）中标人必须服从医院后勤处的调动和指挥，并根据后勤保障处的排班落实人员安排。</w:t>
      </w:r>
    </w:p>
    <w:p>
      <w:pPr>
        <w:snapToGrid w:val="0"/>
        <w:spacing w:line="360" w:lineRule="auto"/>
        <w:rPr>
          <w:rFonts w:ascii="宋体"/>
          <w:b/>
          <w:sz w:val="24"/>
        </w:rPr>
      </w:pPr>
      <w:r>
        <w:rPr>
          <w:rFonts w:ascii="宋体" w:hAnsi="宋体"/>
          <w:b/>
          <w:sz w:val="24"/>
        </w:rPr>
        <w:t>4.</w:t>
      </w:r>
      <w:r>
        <w:rPr>
          <w:rFonts w:hint="eastAsia" w:ascii="宋体" w:hAnsi="宋体"/>
          <w:b/>
          <w:sz w:val="24"/>
        </w:rPr>
        <w:t>人员要求</w:t>
      </w:r>
    </w:p>
    <w:p>
      <w:pPr>
        <w:tabs>
          <w:tab w:val="left" w:pos="567"/>
          <w:tab w:val="left" w:pos="851"/>
          <w:tab w:val="left" w:pos="993"/>
          <w:tab w:val="left" w:pos="1134"/>
        </w:tabs>
        <w:spacing w:line="360" w:lineRule="auto"/>
        <w:rPr>
          <w:rFonts w:ascii="宋体" w:hAnsi="Calibri"/>
          <w:bCs/>
          <w:sz w:val="24"/>
          <w:szCs w:val="22"/>
        </w:rPr>
      </w:pPr>
      <w:r>
        <w:rPr>
          <w:rFonts w:hint="eastAsia" w:ascii="宋体" w:hAnsi="宋体"/>
          <w:bCs/>
          <w:sz w:val="24"/>
          <w:szCs w:val="22"/>
        </w:rPr>
        <w:t>（</w:t>
      </w:r>
      <w:r>
        <w:rPr>
          <w:rFonts w:ascii="宋体" w:hAnsi="宋体"/>
          <w:bCs/>
          <w:sz w:val="24"/>
          <w:szCs w:val="22"/>
        </w:rPr>
        <w:t>1</w:t>
      </w:r>
      <w:r>
        <w:rPr>
          <w:rFonts w:hint="eastAsia" w:ascii="宋体" w:hAnsi="宋体"/>
          <w:bCs/>
          <w:sz w:val="24"/>
          <w:szCs w:val="22"/>
        </w:rPr>
        <w:t>）学历至少达到初中及以上水平，一年以上同类工作经验；</w:t>
      </w:r>
    </w:p>
    <w:p>
      <w:pPr>
        <w:tabs>
          <w:tab w:val="left" w:pos="567"/>
          <w:tab w:val="left" w:pos="851"/>
          <w:tab w:val="left" w:pos="993"/>
          <w:tab w:val="left" w:pos="1134"/>
        </w:tabs>
        <w:spacing w:line="360" w:lineRule="auto"/>
        <w:rPr>
          <w:rFonts w:ascii="宋体" w:hAnsi="Calibri"/>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）操作熟练，持证上岗；</w:t>
      </w:r>
    </w:p>
    <w:p>
      <w:pPr>
        <w:tabs>
          <w:tab w:val="left" w:pos="567"/>
          <w:tab w:val="left" w:pos="851"/>
          <w:tab w:val="left" w:pos="993"/>
          <w:tab w:val="left" w:pos="1134"/>
        </w:tabs>
        <w:spacing w:line="360" w:lineRule="auto"/>
        <w:rPr>
          <w:rFonts w:ascii="宋体" w:hAnsi="Calibri"/>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）爱岗敬业，听从医院方的工作安排及调派；</w:t>
      </w:r>
      <w:r>
        <w:rPr>
          <w:rFonts w:ascii="宋体" w:hAnsi="宋体"/>
          <w:bCs/>
          <w:sz w:val="24"/>
          <w:szCs w:val="22"/>
        </w:rPr>
        <w:t xml:space="preserve"> </w:t>
      </w:r>
    </w:p>
    <w:p>
      <w:pPr>
        <w:tabs>
          <w:tab w:val="left" w:pos="567"/>
          <w:tab w:val="left" w:pos="851"/>
          <w:tab w:val="left" w:pos="993"/>
          <w:tab w:val="left" w:pos="1134"/>
        </w:tabs>
        <w:spacing w:line="360" w:lineRule="auto"/>
        <w:rPr>
          <w:rFonts w:ascii="宋体" w:hAnsi="Calibri"/>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）人员要保证稳定，不得随意调换；如确需调换，必须保证新调换的员工操作熟练；</w:t>
      </w:r>
    </w:p>
    <w:p>
      <w:pPr>
        <w:tabs>
          <w:tab w:val="left" w:pos="567"/>
          <w:tab w:val="left" w:pos="851"/>
          <w:tab w:val="left" w:pos="993"/>
          <w:tab w:val="left" w:pos="1134"/>
        </w:tabs>
        <w:spacing w:line="360" w:lineRule="auto"/>
        <w:rPr>
          <w:rFonts w:ascii="宋体" w:hAnsi="Calibri"/>
          <w:bCs/>
          <w:sz w:val="24"/>
          <w:szCs w:val="22"/>
        </w:rPr>
      </w:pPr>
      <w:r>
        <w:rPr>
          <w:rFonts w:hint="eastAsia" w:ascii="宋体" w:hAnsi="宋体"/>
          <w:bCs/>
          <w:sz w:val="24"/>
          <w:szCs w:val="22"/>
        </w:rPr>
        <w:t>（</w:t>
      </w:r>
      <w:r>
        <w:rPr>
          <w:rFonts w:ascii="宋体" w:hAnsi="宋体"/>
          <w:bCs/>
          <w:sz w:val="24"/>
          <w:szCs w:val="22"/>
        </w:rPr>
        <w:t>5</w:t>
      </w:r>
      <w:r>
        <w:rPr>
          <w:rFonts w:hint="eastAsia" w:ascii="宋体" w:hAnsi="宋体"/>
          <w:bCs/>
          <w:sz w:val="24"/>
          <w:szCs w:val="22"/>
        </w:rPr>
        <w:t>）具有一定职业道德；</w:t>
      </w:r>
    </w:p>
    <w:p>
      <w:pPr>
        <w:tabs>
          <w:tab w:val="left" w:pos="567"/>
          <w:tab w:val="left" w:pos="851"/>
          <w:tab w:val="left" w:pos="993"/>
          <w:tab w:val="left" w:pos="1134"/>
        </w:tabs>
        <w:spacing w:line="360" w:lineRule="auto"/>
        <w:rPr>
          <w:rFonts w:ascii="宋体" w:hAnsi="Calibri"/>
          <w:bCs/>
          <w:sz w:val="24"/>
          <w:szCs w:val="22"/>
        </w:rPr>
      </w:pPr>
      <w:r>
        <w:rPr>
          <w:rFonts w:hint="eastAsia" w:ascii="宋体" w:hAnsi="宋体"/>
          <w:bCs/>
          <w:sz w:val="24"/>
          <w:szCs w:val="22"/>
        </w:rPr>
        <w:t>（</w:t>
      </w:r>
      <w:r>
        <w:rPr>
          <w:rFonts w:ascii="宋体" w:hAnsi="宋体"/>
          <w:bCs/>
          <w:sz w:val="24"/>
          <w:szCs w:val="22"/>
        </w:rPr>
        <w:t>6</w:t>
      </w:r>
      <w:r>
        <w:rPr>
          <w:rFonts w:hint="eastAsia" w:ascii="宋体" w:hAnsi="宋体"/>
          <w:bCs/>
          <w:sz w:val="24"/>
          <w:szCs w:val="22"/>
        </w:rPr>
        <w:t>）及时、到位地完成工作任务；</w:t>
      </w:r>
    </w:p>
    <w:p>
      <w:pPr>
        <w:tabs>
          <w:tab w:val="left" w:pos="567"/>
          <w:tab w:val="left" w:pos="851"/>
          <w:tab w:val="left" w:pos="993"/>
          <w:tab w:val="left" w:pos="1134"/>
        </w:tabs>
        <w:spacing w:line="360" w:lineRule="auto"/>
        <w:rPr>
          <w:rFonts w:ascii="宋体" w:hAnsi="Calibri"/>
          <w:bCs/>
          <w:sz w:val="24"/>
          <w:szCs w:val="22"/>
        </w:rPr>
      </w:pPr>
      <w:r>
        <w:rPr>
          <w:rFonts w:hint="eastAsia" w:ascii="宋体" w:hAnsi="宋体"/>
          <w:bCs/>
          <w:sz w:val="24"/>
          <w:szCs w:val="22"/>
        </w:rPr>
        <w:t>（</w:t>
      </w:r>
      <w:r>
        <w:rPr>
          <w:rFonts w:ascii="宋体" w:hAnsi="宋体"/>
          <w:bCs/>
          <w:sz w:val="24"/>
          <w:szCs w:val="22"/>
        </w:rPr>
        <w:t>7</w:t>
      </w:r>
      <w:r>
        <w:rPr>
          <w:rFonts w:hint="eastAsia" w:ascii="宋体" w:hAnsi="宋体"/>
          <w:bCs/>
          <w:sz w:val="24"/>
          <w:szCs w:val="22"/>
        </w:rPr>
        <w:t>）年龄要求</w:t>
      </w:r>
      <w:r>
        <w:rPr>
          <w:rFonts w:ascii="宋体" w:hAnsi="宋体"/>
          <w:bCs/>
          <w:sz w:val="24"/>
          <w:szCs w:val="22"/>
        </w:rPr>
        <w:t>20</w:t>
      </w:r>
      <w:r>
        <w:rPr>
          <w:rFonts w:hint="eastAsia" w:ascii="宋体" w:hAnsi="宋体"/>
          <w:bCs/>
          <w:sz w:val="24"/>
          <w:szCs w:val="22"/>
        </w:rPr>
        <w:t>周岁以上，</w:t>
      </w:r>
      <w:r>
        <w:rPr>
          <w:rFonts w:ascii="宋体" w:hAnsi="宋体"/>
          <w:bCs/>
          <w:sz w:val="24"/>
          <w:szCs w:val="22"/>
        </w:rPr>
        <w:t>50</w:t>
      </w:r>
      <w:r>
        <w:rPr>
          <w:rFonts w:hint="eastAsia" w:ascii="宋体" w:hAnsi="宋体"/>
          <w:bCs/>
          <w:sz w:val="24"/>
          <w:szCs w:val="22"/>
        </w:rPr>
        <w:t>周岁以下，身体健康。</w:t>
      </w:r>
    </w:p>
    <w:p>
      <w:pPr>
        <w:spacing w:line="480" w:lineRule="exact"/>
        <w:rPr>
          <w:rFonts w:ascii="宋体"/>
          <w:b/>
          <w:sz w:val="24"/>
        </w:rPr>
      </w:pPr>
      <w:r>
        <w:rPr>
          <w:rFonts w:ascii="宋体" w:hAnsi="宋体"/>
          <w:b/>
          <w:sz w:val="24"/>
        </w:rPr>
        <w:t>5.</w:t>
      </w:r>
      <w:r>
        <w:rPr>
          <w:rFonts w:hint="eastAsia" w:ascii="宋体" w:hAnsi="宋体"/>
          <w:b/>
          <w:sz w:val="24"/>
        </w:rPr>
        <w:t>综合维修管理要求</w:t>
      </w:r>
    </w:p>
    <w:p>
      <w:pPr>
        <w:tabs>
          <w:tab w:val="left" w:pos="426"/>
          <w:tab w:val="left" w:pos="709"/>
        </w:tabs>
        <w:spacing w:line="360" w:lineRule="auto"/>
        <w:ind w:firstLine="480" w:firstLineChars="200"/>
        <w:rPr>
          <w:bCs/>
          <w:sz w:val="24"/>
        </w:rPr>
      </w:pPr>
      <w:r>
        <w:rPr>
          <w:rFonts w:hint="eastAsia"/>
          <w:bCs/>
          <w:sz w:val="24"/>
        </w:rPr>
        <w:t>（</w:t>
      </w:r>
      <w:r>
        <w:rPr>
          <w:bCs/>
          <w:sz w:val="24"/>
        </w:rPr>
        <w:t>1</w:t>
      </w:r>
      <w:r>
        <w:rPr>
          <w:rFonts w:hint="eastAsia"/>
          <w:bCs/>
          <w:sz w:val="24"/>
        </w:rPr>
        <w:t>）中标人必须服从后勤</w:t>
      </w:r>
      <w:r>
        <w:rPr>
          <w:bCs/>
          <w:sz w:val="24"/>
        </w:rPr>
        <w:t>保障</w:t>
      </w:r>
      <w:r>
        <w:rPr>
          <w:rFonts w:hint="eastAsia"/>
          <w:bCs/>
          <w:sz w:val="24"/>
        </w:rPr>
        <w:t>处的调动和指挥，并根据后勤保障处的排班落实人员安排。</w:t>
      </w:r>
    </w:p>
    <w:p>
      <w:pPr>
        <w:tabs>
          <w:tab w:val="left" w:pos="426"/>
          <w:tab w:val="left" w:pos="709"/>
        </w:tabs>
        <w:spacing w:line="360" w:lineRule="auto"/>
        <w:ind w:firstLine="480" w:firstLineChars="200"/>
        <w:rPr>
          <w:sz w:val="24"/>
        </w:rPr>
      </w:pPr>
      <w:r>
        <w:rPr>
          <w:rFonts w:hint="eastAsia"/>
          <w:sz w:val="24"/>
        </w:rPr>
        <w:t>（</w:t>
      </w:r>
      <w:r>
        <w:rPr>
          <w:sz w:val="24"/>
        </w:rPr>
        <w:t>2</w:t>
      </w:r>
      <w:r>
        <w:rPr>
          <w:rFonts w:hint="eastAsia"/>
          <w:sz w:val="24"/>
        </w:rPr>
        <w:t>）中标人按电工安全操作规程、高空作业安全操作规程落实安全管理措施，并承担发生安全事故造成的一切后果。</w:t>
      </w:r>
    </w:p>
    <w:p>
      <w:pPr>
        <w:tabs>
          <w:tab w:val="left" w:pos="426"/>
          <w:tab w:val="left" w:pos="709"/>
        </w:tabs>
        <w:spacing w:line="360" w:lineRule="auto"/>
        <w:ind w:firstLine="480" w:firstLineChars="200"/>
        <w:rPr>
          <w:sz w:val="24"/>
        </w:rPr>
      </w:pPr>
      <w:r>
        <w:rPr>
          <w:rFonts w:hint="eastAsia"/>
          <w:sz w:val="24"/>
        </w:rPr>
        <w:t>（</w:t>
      </w:r>
      <w:r>
        <w:rPr>
          <w:sz w:val="24"/>
        </w:rPr>
        <w:t>3</w:t>
      </w:r>
      <w:r>
        <w:rPr>
          <w:rFonts w:hint="eastAsia"/>
          <w:sz w:val="24"/>
        </w:rPr>
        <w:t>）中标人应按招标人要求建立完善的管理规定及执行各项制度，包括综合维修纪律规定、设备房管理规定、值班员交接班管理规定、电工操作管理规定、部门例会制度、请销假制度、教育培训制度、交接班制度、奖惩制度及各岗位相应职责等。</w:t>
      </w:r>
    </w:p>
    <w:p>
      <w:pPr>
        <w:tabs>
          <w:tab w:val="left" w:pos="426"/>
          <w:tab w:val="left" w:pos="709"/>
        </w:tabs>
        <w:spacing w:line="360" w:lineRule="auto"/>
        <w:ind w:firstLine="480" w:firstLineChars="200"/>
        <w:rPr>
          <w:sz w:val="24"/>
        </w:rPr>
      </w:pPr>
      <w:r>
        <w:rPr>
          <w:rFonts w:hint="eastAsia"/>
          <w:sz w:val="24"/>
        </w:rPr>
        <w:t>（</w:t>
      </w:r>
      <w:r>
        <w:rPr>
          <w:sz w:val="24"/>
        </w:rPr>
        <w:t>4</w:t>
      </w:r>
      <w:r>
        <w:rPr>
          <w:rFonts w:hint="eastAsia"/>
          <w:sz w:val="24"/>
        </w:rPr>
        <w:t>）中标人应根据服务管理条例实施管理，自行解决工作时所需的服装、日常工具、劳保用品及员工住宿，并能根据招标人的行业形象要求及规范，实行优质服务，优质管理，挂牌上岗，服装统一、整洁，文明执勤，礼貌待人，主动周到。</w:t>
      </w:r>
    </w:p>
    <w:p>
      <w:pPr>
        <w:spacing w:before="100" w:beforeAutospacing="1" w:line="360" w:lineRule="auto"/>
        <w:jc w:val="left"/>
        <w:rPr>
          <w:b/>
          <w:sz w:val="24"/>
        </w:rPr>
      </w:pPr>
      <w:r>
        <w:rPr>
          <w:bCs/>
          <w:sz w:val="24"/>
        </w:rPr>
        <w:t>6.</w:t>
      </w:r>
      <w:r>
        <w:rPr>
          <w:rFonts w:hint="eastAsia"/>
          <w:b/>
          <w:sz w:val="24"/>
        </w:rPr>
        <w:t>其他费用</w:t>
      </w:r>
    </w:p>
    <w:tbl>
      <w:tblPr>
        <w:tblStyle w:val="70"/>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3781"/>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518" w:type="dxa"/>
            <w:noWrap w:val="0"/>
            <w:vAlign w:val="center"/>
          </w:tcPr>
          <w:p>
            <w:pPr>
              <w:spacing w:before="100" w:beforeAutospacing="1" w:line="360" w:lineRule="auto"/>
              <w:rPr>
                <w:b/>
                <w:sz w:val="24"/>
              </w:rPr>
            </w:pPr>
            <w:r>
              <w:rPr>
                <w:b/>
                <w:sz w:val="24"/>
              </w:rPr>
              <w:t>中标人最低配备要求</w:t>
            </w:r>
          </w:p>
        </w:tc>
        <w:tc>
          <w:tcPr>
            <w:tcW w:w="3781" w:type="dxa"/>
            <w:noWrap w:val="0"/>
            <w:vAlign w:val="center"/>
          </w:tcPr>
          <w:p>
            <w:pPr>
              <w:spacing w:before="100" w:beforeAutospacing="1" w:line="360" w:lineRule="auto"/>
              <w:rPr>
                <w:sz w:val="24"/>
              </w:rPr>
            </w:pPr>
            <w:r>
              <w:rPr>
                <w:sz w:val="24"/>
              </w:rPr>
              <w:t>1、各季统一的工作服、电工鞋。</w:t>
            </w:r>
          </w:p>
          <w:p>
            <w:pPr>
              <w:spacing w:before="100" w:beforeAutospacing="1" w:line="360" w:lineRule="auto"/>
              <w:rPr>
                <w:sz w:val="24"/>
              </w:rPr>
            </w:pPr>
            <w:r>
              <w:rPr>
                <w:sz w:val="24"/>
              </w:rPr>
              <w:t>2、铝合金梯、冲击钻、手枪钻、电锯等维修工作全套工具。</w:t>
            </w:r>
          </w:p>
        </w:tc>
        <w:tc>
          <w:tcPr>
            <w:tcW w:w="3078" w:type="dxa"/>
            <w:noWrap w:val="0"/>
            <w:vAlign w:val="center"/>
          </w:tcPr>
          <w:p>
            <w:pPr>
              <w:spacing w:before="100" w:beforeAutospacing="1" w:line="360" w:lineRule="auto"/>
              <w:rPr>
                <w:b/>
                <w:sz w:val="24"/>
              </w:rPr>
            </w:pPr>
            <w:r>
              <w:rPr>
                <w:b/>
                <w:sz w:val="24"/>
              </w:rPr>
              <w:t>每个维修工都必须配备全套维修工具设备一套，由中标人提供。</w:t>
            </w:r>
          </w:p>
        </w:tc>
      </w:tr>
    </w:tbl>
    <w:p>
      <w:pPr>
        <w:spacing w:after="120" w:afterLines="50" w:line="360" w:lineRule="auto"/>
        <w:rPr>
          <w:rFonts w:ascii="宋体"/>
          <w:b/>
          <w:sz w:val="24"/>
        </w:rPr>
      </w:pPr>
      <w:r>
        <w:rPr>
          <w:rFonts w:ascii="宋体" w:hAnsi="宋体"/>
          <w:kern w:val="0"/>
          <w:sz w:val="24"/>
        </w:rPr>
        <w:t>7.</w:t>
      </w:r>
      <w:r>
        <w:rPr>
          <w:rFonts w:hint="eastAsia" w:ascii="宋体" w:hAnsi="宋体"/>
          <w:kern w:val="0"/>
          <w:sz w:val="24"/>
        </w:rPr>
        <w:t>如招标人在投标文件涉及的工作时间之外继续开展新业务或处理临时突发紧急任务，需要投标人的维修人员加班，加班时间超过半小时以上的经双方确认核实后，加班费按每小时18.5元来计算，法定节假日按每人每小时55.5元计算。</w:t>
      </w:r>
    </w:p>
    <w:p>
      <w:pPr>
        <w:spacing w:after="120" w:afterLines="50" w:line="360" w:lineRule="auto"/>
        <w:rPr>
          <w:rFonts w:ascii="宋体"/>
          <w:b/>
          <w:sz w:val="24"/>
        </w:rPr>
      </w:pPr>
      <w:r>
        <w:rPr>
          <w:rFonts w:ascii="宋体" w:hAnsi="宋体"/>
          <w:b/>
          <w:sz w:val="24"/>
        </w:rPr>
        <w:t>8</w:t>
      </w:r>
      <w:r>
        <w:rPr>
          <w:rFonts w:ascii="宋体"/>
          <w:b/>
          <w:sz w:val="24"/>
        </w:rPr>
        <w:t>.</w:t>
      </w:r>
      <w:r>
        <w:rPr>
          <w:rFonts w:hint="eastAsia" w:ascii="宋体" w:hAnsi="宋体"/>
          <w:b/>
          <w:sz w:val="24"/>
        </w:rPr>
        <w:t>物业综合维修服务质量要求及考核标准</w:t>
      </w:r>
    </w:p>
    <w:p>
      <w:pPr>
        <w:adjustRightInd w:val="0"/>
        <w:snapToGrid w:val="0"/>
        <w:spacing w:line="400" w:lineRule="exact"/>
        <w:ind w:firstLine="1928" w:firstLineChars="800"/>
        <w:rPr>
          <w:rFonts w:ascii="Arial" w:hAnsi="宋体" w:cs="Arial"/>
          <w:b/>
          <w:szCs w:val="21"/>
        </w:rPr>
      </w:pPr>
      <w:r>
        <w:rPr>
          <w:rFonts w:hint="eastAsia" w:ascii="Arial" w:hAnsi="Arial" w:cs="Arial"/>
          <w:b/>
          <w:bCs/>
          <w:sz w:val="24"/>
        </w:rPr>
        <w:t>眼视光医院物业服务考核办法（物业综合维修部分</w:t>
      </w:r>
      <w:r>
        <w:rPr>
          <w:rFonts w:hint="eastAsia" w:ascii="新宋体" w:hAnsi="新宋体" w:eastAsia="新宋体" w:cs="新宋体"/>
          <w:b/>
          <w:bCs/>
          <w:sz w:val="24"/>
        </w:rPr>
        <w:t>）</w:t>
      </w:r>
    </w:p>
    <w:tbl>
      <w:tblPr>
        <w:tblStyle w:val="70"/>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567"/>
        <w:gridCol w:w="3514"/>
        <w:gridCol w:w="700"/>
        <w:gridCol w:w="564"/>
        <w:gridCol w:w="563"/>
        <w:gridCol w:w="584"/>
        <w:gridCol w:w="584"/>
        <w:gridCol w:w="584"/>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restart"/>
            <w:noWrap w:val="0"/>
            <w:vAlign w:val="center"/>
          </w:tcPr>
          <w:p>
            <w:pPr>
              <w:adjustRightInd w:val="0"/>
              <w:snapToGrid w:val="0"/>
              <w:spacing w:line="400" w:lineRule="exact"/>
              <w:jc w:val="center"/>
              <w:rPr>
                <w:rFonts w:ascii="Arial" w:hAnsi="Arial" w:cs="Arial"/>
                <w:b/>
                <w:bCs/>
                <w:szCs w:val="21"/>
              </w:rPr>
            </w:pPr>
            <w:r>
              <w:rPr>
                <w:rFonts w:hint="eastAsia" w:ascii="Arial" w:hAnsi="Arial" w:cs="Arial"/>
                <w:b/>
                <w:bCs/>
                <w:szCs w:val="21"/>
              </w:rPr>
              <w:t>考核内容</w:t>
            </w:r>
          </w:p>
        </w:tc>
        <w:tc>
          <w:tcPr>
            <w:tcW w:w="4081" w:type="dxa"/>
            <w:gridSpan w:val="2"/>
            <w:vMerge w:val="restart"/>
            <w:noWrap w:val="0"/>
            <w:vAlign w:val="center"/>
          </w:tcPr>
          <w:p>
            <w:pPr>
              <w:adjustRightInd w:val="0"/>
              <w:snapToGrid w:val="0"/>
              <w:spacing w:line="400" w:lineRule="exact"/>
              <w:jc w:val="center"/>
              <w:rPr>
                <w:rFonts w:ascii="Arial" w:hAnsi="Arial" w:cs="Arial"/>
                <w:b/>
                <w:bCs/>
                <w:szCs w:val="21"/>
              </w:rPr>
            </w:pPr>
            <w:r>
              <w:rPr>
                <w:rFonts w:hint="eastAsia" w:ascii="Arial" w:hAnsi="Arial" w:cs="Arial"/>
                <w:b/>
                <w:bCs/>
                <w:szCs w:val="21"/>
              </w:rPr>
              <w:t>考评目标</w:t>
            </w:r>
          </w:p>
        </w:tc>
        <w:tc>
          <w:tcPr>
            <w:tcW w:w="700" w:type="dxa"/>
            <w:vMerge w:val="restart"/>
            <w:noWrap w:val="0"/>
            <w:vAlign w:val="center"/>
          </w:tcPr>
          <w:p>
            <w:pPr>
              <w:adjustRightInd w:val="0"/>
              <w:snapToGrid w:val="0"/>
              <w:spacing w:line="400" w:lineRule="exact"/>
              <w:jc w:val="center"/>
              <w:rPr>
                <w:rFonts w:ascii="Arial" w:hAnsi="Arial" w:cs="Arial"/>
                <w:b/>
                <w:bCs/>
                <w:szCs w:val="21"/>
              </w:rPr>
            </w:pPr>
            <w:r>
              <w:rPr>
                <w:rFonts w:hint="eastAsia" w:ascii="Arial" w:hAnsi="Arial" w:cs="Arial"/>
                <w:b/>
                <w:bCs/>
                <w:szCs w:val="21"/>
              </w:rPr>
              <w:t>分值</w:t>
            </w:r>
          </w:p>
        </w:tc>
        <w:tc>
          <w:tcPr>
            <w:tcW w:w="2879" w:type="dxa"/>
            <w:gridSpan w:val="5"/>
            <w:noWrap w:val="0"/>
            <w:vAlign w:val="center"/>
          </w:tcPr>
          <w:p>
            <w:pPr>
              <w:adjustRightInd w:val="0"/>
              <w:snapToGrid w:val="0"/>
              <w:spacing w:line="400" w:lineRule="exact"/>
              <w:jc w:val="center"/>
              <w:rPr>
                <w:rFonts w:ascii="Arial" w:hAnsi="Arial" w:cs="Arial"/>
                <w:b/>
                <w:bCs/>
                <w:szCs w:val="21"/>
              </w:rPr>
            </w:pPr>
            <w:r>
              <w:rPr>
                <w:rFonts w:hint="eastAsia" w:ascii="Arial" w:hAnsi="Arial" w:cs="Arial"/>
                <w:b/>
                <w:bCs/>
                <w:szCs w:val="21"/>
              </w:rPr>
              <w:t>评分标准</w:t>
            </w:r>
          </w:p>
        </w:tc>
        <w:tc>
          <w:tcPr>
            <w:tcW w:w="561" w:type="dxa"/>
            <w:vMerge w:val="restart"/>
            <w:noWrap w:val="0"/>
            <w:vAlign w:val="top"/>
          </w:tcPr>
          <w:p>
            <w:pPr>
              <w:adjustRightInd w:val="0"/>
              <w:snapToGrid w:val="0"/>
              <w:spacing w:line="400" w:lineRule="exact"/>
              <w:rPr>
                <w:rFonts w:ascii="Arial" w:hAnsi="Arial" w:cs="Arial"/>
                <w:b/>
                <w:bCs/>
                <w:szCs w:val="21"/>
              </w:rPr>
            </w:pPr>
            <w:r>
              <w:rPr>
                <w:rFonts w:hint="eastAsia" w:ascii="Arial" w:hAnsi="Arial" w:cs="Arial"/>
                <w:b/>
                <w:bCs/>
                <w:szCs w:val="21"/>
              </w:rPr>
              <w:t>检查分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center"/>
          </w:tcPr>
          <w:p>
            <w:pPr>
              <w:adjustRightInd w:val="0"/>
              <w:snapToGrid w:val="0"/>
              <w:spacing w:line="400" w:lineRule="exact"/>
              <w:jc w:val="center"/>
              <w:rPr>
                <w:rFonts w:ascii="Arial" w:hAnsi="Arial" w:cs="Arial"/>
                <w:b/>
                <w:bCs/>
                <w:szCs w:val="21"/>
              </w:rPr>
            </w:pPr>
          </w:p>
        </w:tc>
        <w:tc>
          <w:tcPr>
            <w:tcW w:w="4081" w:type="dxa"/>
            <w:gridSpan w:val="2"/>
            <w:vMerge w:val="continue"/>
            <w:noWrap w:val="0"/>
            <w:vAlign w:val="center"/>
          </w:tcPr>
          <w:p>
            <w:pPr>
              <w:adjustRightInd w:val="0"/>
              <w:snapToGrid w:val="0"/>
              <w:spacing w:line="400" w:lineRule="exact"/>
              <w:jc w:val="center"/>
              <w:rPr>
                <w:rFonts w:ascii="Arial" w:hAnsi="Arial" w:cs="Arial"/>
                <w:b/>
                <w:bCs/>
                <w:szCs w:val="21"/>
              </w:rPr>
            </w:pPr>
          </w:p>
        </w:tc>
        <w:tc>
          <w:tcPr>
            <w:tcW w:w="700" w:type="dxa"/>
            <w:vMerge w:val="continue"/>
            <w:noWrap w:val="0"/>
            <w:vAlign w:val="center"/>
          </w:tcPr>
          <w:p>
            <w:pPr>
              <w:adjustRightInd w:val="0"/>
              <w:snapToGrid w:val="0"/>
              <w:spacing w:line="400" w:lineRule="exact"/>
              <w:jc w:val="center"/>
              <w:rPr>
                <w:rFonts w:ascii="Arial" w:hAnsi="Arial" w:cs="Arial"/>
                <w:b/>
                <w:bCs/>
                <w:szCs w:val="21"/>
              </w:rPr>
            </w:pPr>
          </w:p>
        </w:tc>
        <w:tc>
          <w:tcPr>
            <w:tcW w:w="564" w:type="dxa"/>
            <w:noWrap w:val="0"/>
            <w:vAlign w:val="center"/>
          </w:tcPr>
          <w:p>
            <w:pPr>
              <w:adjustRightInd w:val="0"/>
              <w:snapToGrid w:val="0"/>
              <w:spacing w:line="400" w:lineRule="exact"/>
              <w:jc w:val="center"/>
              <w:rPr>
                <w:rFonts w:ascii="Arial" w:hAnsi="Arial" w:cs="Arial"/>
                <w:b/>
                <w:bCs/>
                <w:szCs w:val="21"/>
              </w:rPr>
            </w:pPr>
            <w:r>
              <w:rPr>
                <w:rFonts w:hint="eastAsia" w:ascii="Arial" w:hAnsi="Arial" w:cs="Arial"/>
                <w:b/>
                <w:bCs/>
                <w:szCs w:val="21"/>
              </w:rPr>
              <w:t>好</w:t>
            </w:r>
          </w:p>
        </w:tc>
        <w:tc>
          <w:tcPr>
            <w:tcW w:w="563" w:type="dxa"/>
            <w:noWrap w:val="0"/>
            <w:vAlign w:val="center"/>
          </w:tcPr>
          <w:p>
            <w:pPr>
              <w:adjustRightInd w:val="0"/>
              <w:snapToGrid w:val="0"/>
              <w:spacing w:line="400" w:lineRule="exact"/>
              <w:jc w:val="center"/>
              <w:rPr>
                <w:rFonts w:ascii="Arial" w:hAnsi="Arial" w:cs="Arial"/>
                <w:b/>
                <w:bCs/>
                <w:szCs w:val="21"/>
              </w:rPr>
            </w:pPr>
            <w:r>
              <w:rPr>
                <w:rFonts w:hint="eastAsia" w:ascii="Arial" w:hAnsi="Arial" w:cs="Arial"/>
                <w:b/>
                <w:bCs/>
                <w:szCs w:val="21"/>
              </w:rPr>
              <w:t>较好</w:t>
            </w:r>
          </w:p>
        </w:tc>
        <w:tc>
          <w:tcPr>
            <w:tcW w:w="584" w:type="dxa"/>
            <w:noWrap w:val="0"/>
            <w:vAlign w:val="center"/>
          </w:tcPr>
          <w:p>
            <w:pPr>
              <w:adjustRightInd w:val="0"/>
              <w:snapToGrid w:val="0"/>
              <w:spacing w:line="400" w:lineRule="exact"/>
              <w:jc w:val="center"/>
              <w:rPr>
                <w:rFonts w:ascii="Arial" w:hAnsi="Arial" w:cs="Arial"/>
                <w:b/>
                <w:bCs/>
                <w:szCs w:val="21"/>
              </w:rPr>
            </w:pPr>
            <w:r>
              <w:rPr>
                <w:rFonts w:hint="eastAsia" w:ascii="Arial" w:hAnsi="Arial" w:cs="Arial"/>
                <w:b/>
                <w:bCs/>
                <w:szCs w:val="21"/>
              </w:rPr>
              <w:t>一般</w:t>
            </w:r>
          </w:p>
        </w:tc>
        <w:tc>
          <w:tcPr>
            <w:tcW w:w="584" w:type="dxa"/>
            <w:noWrap w:val="0"/>
            <w:vAlign w:val="center"/>
          </w:tcPr>
          <w:p>
            <w:pPr>
              <w:adjustRightInd w:val="0"/>
              <w:snapToGrid w:val="0"/>
              <w:spacing w:line="400" w:lineRule="exact"/>
              <w:jc w:val="center"/>
              <w:rPr>
                <w:rFonts w:ascii="Arial" w:hAnsi="Arial" w:cs="Arial"/>
                <w:b/>
                <w:bCs/>
                <w:szCs w:val="21"/>
              </w:rPr>
            </w:pPr>
            <w:r>
              <w:rPr>
                <w:rFonts w:hint="eastAsia" w:ascii="Arial" w:hAnsi="Arial" w:cs="Arial"/>
                <w:b/>
                <w:bCs/>
                <w:szCs w:val="21"/>
              </w:rPr>
              <w:t>较差</w:t>
            </w:r>
          </w:p>
        </w:tc>
        <w:tc>
          <w:tcPr>
            <w:tcW w:w="584" w:type="dxa"/>
            <w:noWrap w:val="0"/>
            <w:vAlign w:val="center"/>
          </w:tcPr>
          <w:p>
            <w:pPr>
              <w:adjustRightInd w:val="0"/>
              <w:snapToGrid w:val="0"/>
              <w:spacing w:line="400" w:lineRule="exact"/>
              <w:jc w:val="center"/>
              <w:rPr>
                <w:rFonts w:ascii="Arial" w:hAnsi="Arial" w:cs="Arial"/>
                <w:b/>
                <w:bCs/>
                <w:szCs w:val="21"/>
              </w:rPr>
            </w:pPr>
            <w:r>
              <w:rPr>
                <w:rFonts w:hint="eastAsia" w:ascii="Arial" w:hAnsi="Arial" w:cs="Arial"/>
                <w:b/>
                <w:bCs/>
                <w:szCs w:val="21"/>
              </w:rPr>
              <w:t>差</w:t>
            </w:r>
          </w:p>
        </w:tc>
        <w:tc>
          <w:tcPr>
            <w:tcW w:w="561" w:type="dxa"/>
            <w:vMerge w:val="continue"/>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restart"/>
            <w:noWrap w:val="0"/>
            <w:vAlign w:val="center"/>
          </w:tcPr>
          <w:p>
            <w:pPr>
              <w:adjustRightInd w:val="0"/>
              <w:snapToGrid w:val="0"/>
              <w:spacing w:line="400" w:lineRule="exact"/>
              <w:jc w:val="center"/>
              <w:rPr>
                <w:rFonts w:ascii="Arial" w:hAnsi="Arial" w:cs="Arial"/>
                <w:b/>
                <w:bCs/>
                <w:szCs w:val="21"/>
              </w:rPr>
            </w:pPr>
            <w:r>
              <w:rPr>
                <w:rFonts w:hint="eastAsia" w:ascii="Arial" w:hAnsi="Arial" w:cs="Arial"/>
                <w:b/>
                <w:bCs/>
                <w:szCs w:val="21"/>
              </w:rPr>
              <w:t>制度建设</w:t>
            </w:r>
          </w:p>
        </w:tc>
        <w:tc>
          <w:tcPr>
            <w:tcW w:w="567" w:type="dxa"/>
            <w:noWrap w:val="0"/>
            <w:vAlign w:val="center"/>
          </w:tcPr>
          <w:p>
            <w:pPr>
              <w:jc w:val="center"/>
              <w:rPr>
                <w:rFonts w:ascii="宋体" w:hAnsi="宋体" w:cs="宋体"/>
                <w:sz w:val="24"/>
              </w:rPr>
            </w:pPr>
            <w:r>
              <w:t>1</w:t>
            </w:r>
          </w:p>
        </w:tc>
        <w:tc>
          <w:tcPr>
            <w:tcW w:w="3514" w:type="dxa"/>
            <w:noWrap w:val="0"/>
            <w:vAlign w:val="bottom"/>
          </w:tcPr>
          <w:p>
            <w:pPr>
              <w:rPr>
                <w:rFonts w:ascii="宋体" w:hAnsi="宋体" w:cs="宋体"/>
                <w:sz w:val="24"/>
              </w:rPr>
            </w:pPr>
            <w:r>
              <w:rPr>
                <w:rFonts w:hint="eastAsia"/>
              </w:rPr>
              <w:t>工作人员设置到位，分工明确合理，操作合格，持证上岗，劳动用工合法合规，交缴各类社会保险。</w:t>
            </w:r>
          </w:p>
        </w:tc>
        <w:tc>
          <w:tcPr>
            <w:tcW w:w="700" w:type="dxa"/>
            <w:noWrap w:val="0"/>
            <w:vAlign w:val="center"/>
          </w:tcPr>
          <w:p>
            <w:pPr>
              <w:jc w:val="center"/>
              <w:rPr>
                <w:rFonts w:ascii="宋体" w:hAnsi="宋体" w:cs="宋体"/>
                <w:sz w:val="24"/>
              </w:rPr>
            </w:pPr>
            <w:r>
              <w:t>2</w:t>
            </w:r>
          </w:p>
        </w:tc>
        <w:tc>
          <w:tcPr>
            <w:tcW w:w="564" w:type="dxa"/>
            <w:noWrap w:val="0"/>
            <w:vAlign w:val="center"/>
          </w:tcPr>
          <w:p>
            <w:pPr>
              <w:jc w:val="center"/>
              <w:rPr>
                <w:rFonts w:ascii="宋体" w:hAnsi="宋体" w:cs="宋体"/>
                <w:sz w:val="24"/>
              </w:rPr>
            </w:pPr>
            <w:r>
              <w:t>2</w:t>
            </w:r>
          </w:p>
        </w:tc>
        <w:tc>
          <w:tcPr>
            <w:tcW w:w="563" w:type="dxa"/>
            <w:noWrap w:val="0"/>
            <w:vAlign w:val="center"/>
          </w:tcPr>
          <w:p>
            <w:pPr>
              <w:jc w:val="center"/>
              <w:rPr>
                <w:rFonts w:ascii="宋体" w:hAnsi="宋体" w:cs="宋体"/>
                <w:sz w:val="24"/>
              </w:rPr>
            </w:pPr>
            <w:r>
              <w:t>1.8</w:t>
            </w:r>
          </w:p>
        </w:tc>
        <w:tc>
          <w:tcPr>
            <w:tcW w:w="584" w:type="dxa"/>
            <w:noWrap w:val="0"/>
            <w:vAlign w:val="center"/>
          </w:tcPr>
          <w:p>
            <w:pPr>
              <w:jc w:val="center"/>
              <w:rPr>
                <w:rFonts w:ascii="宋体" w:hAnsi="宋体" w:cs="宋体"/>
                <w:sz w:val="24"/>
              </w:rPr>
            </w:pPr>
            <w:r>
              <w:t>1.4</w:t>
            </w:r>
          </w:p>
        </w:tc>
        <w:tc>
          <w:tcPr>
            <w:tcW w:w="584" w:type="dxa"/>
            <w:noWrap w:val="0"/>
            <w:vAlign w:val="center"/>
          </w:tcPr>
          <w:p>
            <w:pPr>
              <w:jc w:val="center"/>
              <w:rPr>
                <w:rFonts w:ascii="宋体" w:hAnsi="宋体" w:cs="宋体"/>
                <w:sz w:val="24"/>
              </w:rPr>
            </w:pPr>
            <w:r>
              <w:t>1</w:t>
            </w:r>
          </w:p>
        </w:tc>
        <w:tc>
          <w:tcPr>
            <w:tcW w:w="584" w:type="dxa"/>
            <w:noWrap w:val="0"/>
            <w:vAlign w:val="center"/>
          </w:tcPr>
          <w:p>
            <w:pPr>
              <w:jc w:val="center"/>
              <w:rPr>
                <w:rFonts w:ascii="宋体" w:hAnsi="宋体" w:cs="宋体"/>
                <w:sz w:val="24"/>
              </w:rPr>
            </w:pPr>
            <w:r>
              <w:t>0.5</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center"/>
          </w:tcPr>
          <w:p>
            <w:pPr>
              <w:adjustRightInd w:val="0"/>
              <w:snapToGrid w:val="0"/>
              <w:spacing w:line="400" w:lineRule="exact"/>
              <w:jc w:val="center"/>
              <w:rPr>
                <w:rFonts w:ascii="Arial" w:hAnsi="Arial" w:cs="Arial"/>
                <w:b/>
                <w:bCs/>
                <w:szCs w:val="21"/>
              </w:rPr>
            </w:pPr>
          </w:p>
        </w:tc>
        <w:tc>
          <w:tcPr>
            <w:tcW w:w="567" w:type="dxa"/>
            <w:noWrap w:val="0"/>
            <w:vAlign w:val="center"/>
          </w:tcPr>
          <w:p>
            <w:pPr>
              <w:jc w:val="center"/>
              <w:rPr>
                <w:rFonts w:ascii="宋体" w:hAnsi="宋体" w:cs="宋体"/>
                <w:sz w:val="24"/>
              </w:rPr>
            </w:pPr>
            <w:r>
              <w:t>2</w:t>
            </w:r>
          </w:p>
        </w:tc>
        <w:tc>
          <w:tcPr>
            <w:tcW w:w="3514" w:type="dxa"/>
            <w:noWrap w:val="0"/>
            <w:vAlign w:val="bottom"/>
          </w:tcPr>
          <w:p>
            <w:pPr>
              <w:rPr>
                <w:rFonts w:ascii="宋体" w:hAnsi="宋体" w:cs="宋体"/>
                <w:sz w:val="24"/>
              </w:rPr>
            </w:pPr>
            <w:r>
              <w:rPr>
                <w:rFonts w:hint="eastAsia"/>
              </w:rPr>
              <w:t>工作人员着装统一、整洁，佩戴工牌，行为规范。</w:t>
            </w:r>
          </w:p>
        </w:tc>
        <w:tc>
          <w:tcPr>
            <w:tcW w:w="700" w:type="dxa"/>
            <w:noWrap w:val="0"/>
            <w:vAlign w:val="center"/>
          </w:tcPr>
          <w:p>
            <w:pPr>
              <w:jc w:val="center"/>
              <w:rPr>
                <w:rFonts w:ascii="宋体" w:hAnsi="宋体" w:cs="宋体"/>
                <w:sz w:val="24"/>
              </w:rPr>
            </w:pPr>
            <w:r>
              <w:t>2</w:t>
            </w:r>
          </w:p>
        </w:tc>
        <w:tc>
          <w:tcPr>
            <w:tcW w:w="564" w:type="dxa"/>
            <w:noWrap w:val="0"/>
            <w:vAlign w:val="center"/>
          </w:tcPr>
          <w:p>
            <w:pPr>
              <w:jc w:val="center"/>
              <w:rPr>
                <w:rFonts w:ascii="宋体" w:hAnsi="宋体" w:cs="宋体"/>
                <w:sz w:val="24"/>
              </w:rPr>
            </w:pPr>
            <w:r>
              <w:t>2</w:t>
            </w:r>
          </w:p>
        </w:tc>
        <w:tc>
          <w:tcPr>
            <w:tcW w:w="563" w:type="dxa"/>
            <w:noWrap w:val="0"/>
            <w:vAlign w:val="center"/>
          </w:tcPr>
          <w:p>
            <w:pPr>
              <w:jc w:val="center"/>
              <w:rPr>
                <w:rFonts w:ascii="宋体" w:hAnsi="宋体" w:cs="宋体"/>
                <w:sz w:val="24"/>
              </w:rPr>
            </w:pPr>
            <w:r>
              <w:t>1.8</w:t>
            </w:r>
          </w:p>
        </w:tc>
        <w:tc>
          <w:tcPr>
            <w:tcW w:w="584" w:type="dxa"/>
            <w:noWrap w:val="0"/>
            <w:vAlign w:val="center"/>
          </w:tcPr>
          <w:p>
            <w:pPr>
              <w:jc w:val="center"/>
              <w:rPr>
                <w:rFonts w:ascii="宋体" w:hAnsi="宋体" w:cs="宋体"/>
                <w:sz w:val="24"/>
              </w:rPr>
            </w:pPr>
            <w:r>
              <w:t>1.4</w:t>
            </w:r>
          </w:p>
        </w:tc>
        <w:tc>
          <w:tcPr>
            <w:tcW w:w="584" w:type="dxa"/>
            <w:noWrap w:val="0"/>
            <w:vAlign w:val="center"/>
          </w:tcPr>
          <w:p>
            <w:pPr>
              <w:jc w:val="center"/>
              <w:rPr>
                <w:rFonts w:ascii="宋体" w:hAnsi="宋体" w:cs="宋体"/>
                <w:sz w:val="24"/>
              </w:rPr>
            </w:pPr>
            <w:r>
              <w:t>1</w:t>
            </w:r>
          </w:p>
        </w:tc>
        <w:tc>
          <w:tcPr>
            <w:tcW w:w="584" w:type="dxa"/>
            <w:noWrap w:val="0"/>
            <w:vAlign w:val="center"/>
          </w:tcPr>
          <w:p>
            <w:pPr>
              <w:jc w:val="center"/>
              <w:rPr>
                <w:rFonts w:ascii="宋体" w:hAnsi="宋体" w:cs="宋体"/>
                <w:sz w:val="24"/>
              </w:rPr>
            </w:pPr>
            <w:r>
              <w:t>0.5</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center"/>
          </w:tcPr>
          <w:p>
            <w:pPr>
              <w:adjustRightInd w:val="0"/>
              <w:snapToGrid w:val="0"/>
              <w:spacing w:line="400" w:lineRule="exact"/>
              <w:jc w:val="center"/>
              <w:rPr>
                <w:rFonts w:ascii="Arial" w:hAnsi="Arial" w:cs="Arial"/>
                <w:b/>
                <w:bCs/>
                <w:szCs w:val="21"/>
              </w:rPr>
            </w:pPr>
          </w:p>
        </w:tc>
        <w:tc>
          <w:tcPr>
            <w:tcW w:w="567" w:type="dxa"/>
            <w:noWrap w:val="0"/>
            <w:vAlign w:val="center"/>
          </w:tcPr>
          <w:p>
            <w:pPr>
              <w:jc w:val="center"/>
              <w:rPr>
                <w:rFonts w:ascii="宋体" w:hAnsi="宋体" w:cs="宋体"/>
                <w:sz w:val="24"/>
              </w:rPr>
            </w:pPr>
            <w:r>
              <w:t>3</w:t>
            </w:r>
          </w:p>
        </w:tc>
        <w:tc>
          <w:tcPr>
            <w:tcW w:w="3514" w:type="dxa"/>
            <w:noWrap w:val="0"/>
            <w:vAlign w:val="bottom"/>
          </w:tcPr>
          <w:p>
            <w:pPr>
              <w:rPr>
                <w:rFonts w:ascii="宋体" w:hAnsi="宋体" w:cs="宋体"/>
                <w:sz w:val="24"/>
              </w:rPr>
            </w:pPr>
            <w:r>
              <w:rPr>
                <w:rFonts w:hint="eastAsia"/>
              </w:rPr>
              <w:t>制定各类通用设施设备操作规程及保养制度。</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center"/>
          </w:tcPr>
          <w:p>
            <w:pPr>
              <w:adjustRightInd w:val="0"/>
              <w:snapToGrid w:val="0"/>
              <w:spacing w:line="400" w:lineRule="exact"/>
              <w:jc w:val="center"/>
              <w:rPr>
                <w:rFonts w:ascii="Arial" w:hAnsi="Arial" w:cs="Arial"/>
                <w:b/>
                <w:bCs/>
                <w:szCs w:val="21"/>
              </w:rPr>
            </w:pPr>
          </w:p>
        </w:tc>
        <w:tc>
          <w:tcPr>
            <w:tcW w:w="567" w:type="dxa"/>
            <w:noWrap w:val="0"/>
            <w:vAlign w:val="center"/>
          </w:tcPr>
          <w:p>
            <w:pPr>
              <w:jc w:val="center"/>
              <w:rPr>
                <w:rFonts w:ascii="宋体" w:hAnsi="宋体" w:cs="宋体"/>
                <w:sz w:val="24"/>
              </w:rPr>
            </w:pPr>
            <w:r>
              <w:t>4</w:t>
            </w:r>
          </w:p>
        </w:tc>
        <w:tc>
          <w:tcPr>
            <w:tcW w:w="3514" w:type="dxa"/>
            <w:noWrap w:val="0"/>
            <w:vAlign w:val="bottom"/>
          </w:tcPr>
          <w:p>
            <w:pPr>
              <w:rPr>
                <w:rFonts w:ascii="宋体" w:hAnsi="宋体" w:cs="宋体"/>
                <w:sz w:val="24"/>
              </w:rPr>
            </w:pPr>
            <w:r>
              <w:rPr>
                <w:rFonts w:hint="eastAsia"/>
              </w:rPr>
              <w:t>建立</w:t>
            </w:r>
            <w:r>
              <w:t>24</w:t>
            </w:r>
            <w:r>
              <w:rPr>
                <w:rFonts w:hint="eastAsia"/>
              </w:rPr>
              <w:t>小时值班制度，制定值班人员安排表。</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center"/>
          </w:tcPr>
          <w:p>
            <w:pPr>
              <w:adjustRightInd w:val="0"/>
              <w:snapToGrid w:val="0"/>
              <w:spacing w:line="400" w:lineRule="exact"/>
              <w:jc w:val="center"/>
              <w:rPr>
                <w:rFonts w:ascii="Arial" w:hAnsi="Arial" w:cs="Arial"/>
                <w:b/>
                <w:bCs/>
                <w:szCs w:val="21"/>
              </w:rPr>
            </w:pPr>
          </w:p>
        </w:tc>
        <w:tc>
          <w:tcPr>
            <w:tcW w:w="567" w:type="dxa"/>
            <w:noWrap w:val="0"/>
            <w:vAlign w:val="center"/>
          </w:tcPr>
          <w:p>
            <w:pPr>
              <w:jc w:val="center"/>
              <w:rPr>
                <w:rFonts w:ascii="宋体" w:hAnsi="宋体" w:cs="宋体"/>
                <w:sz w:val="24"/>
              </w:rPr>
            </w:pPr>
            <w:r>
              <w:t>5</w:t>
            </w:r>
          </w:p>
        </w:tc>
        <w:tc>
          <w:tcPr>
            <w:tcW w:w="3514" w:type="dxa"/>
            <w:noWrap w:val="0"/>
            <w:vAlign w:val="bottom"/>
          </w:tcPr>
          <w:p>
            <w:pPr>
              <w:rPr>
                <w:rFonts w:ascii="宋体" w:hAnsi="宋体" w:cs="宋体"/>
                <w:sz w:val="24"/>
              </w:rPr>
            </w:pPr>
            <w:r>
              <w:rPr>
                <w:rFonts w:hint="eastAsia"/>
              </w:rPr>
              <w:t>物业材料、工具管理记录完整，符合物业管理规定要求，建立月报表制度。</w:t>
            </w:r>
          </w:p>
        </w:tc>
        <w:tc>
          <w:tcPr>
            <w:tcW w:w="700" w:type="dxa"/>
            <w:noWrap w:val="0"/>
            <w:vAlign w:val="center"/>
          </w:tcPr>
          <w:p>
            <w:pPr>
              <w:jc w:val="center"/>
              <w:rPr>
                <w:rFonts w:ascii="宋体" w:hAnsi="宋体" w:cs="宋体"/>
                <w:sz w:val="24"/>
              </w:rPr>
            </w:pPr>
            <w:r>
              <w:t>2</w:t>
            </w:r>
          </w:p>
        </w:tc>
        <w:tc>
          <w:tcPr>
            <w:tcW w:w="564" w:type="dxa"/>
            <w:noWrap w:val="0"/>
            <w:vAlign w:val="center"/>
          </w:tcPr>
          <w:p>
            <w:pPr>
              <w:jc w:val="center"/>
              <w:rPr>
                <w:rFonts w:ascii="宋体" w:hAnsi="宋体" w:cs="宋体"/>
                <w:sz w:val="24"/>
              </w:rPr>
            </w:pPr>
            <w:r>
              <w:t>2</w:t>
            </w:r>
          </w:p>
        </w:tc>
        <w:tc>
          <w:tcPr>
            <w:tcW w:w="563" w:type="dxa"/>
            <w:noWrap w:val="0"/>
            <w:vAlign w:val="center"/>
          </w:tcPr>
          <w:p>
            <w:pPr>
              <w:jc w:val="center"/>
              <w:rPr>
                <w:rFonts w:ascii="宋体" w:hAnsi="宋体" w:cs="宋体"/>
                <w:sz w:val="24"/>
              </w:rPr>
            </w:pPr>
            <w:r>
              <w:t>1.8</w:t>
            </w:r>
          </w:p>
        </w:tc>
        <w:tc>
          <w:tcPr>
            <w:tcW w:w="584" w:type="dxa"/>
            <w:noWrap w:val="0"/>
            <w:vAlign w:val="center"/>
          </w:tcPr>
          <w:p>
            <w:pPr>
              <w:jc w:val="center"/>
              <w:rPr>
                <w:rFonts w:ascii="宋体" w:hAnsi="宋体" w:cs="宋体"/>
                <w:sz w:val="24"/>
              </w:rPr>
            </w:pPr>
            <w:r>
              <w:t>1.4</w:t>
            </w:r>
          </w:p>
        </w:tc>
        <w:tc>
          <w:tcPr>
            <w:tcW w:w="584" w:type="dxa"/>
            <w:noWrap w:val="0"/>
            <w:vAlign w:val="center"/>
          </w:tcPr>
          <w:p>
            <w:pPr>
              <w:jc w:val="center"/>
              <w:rPr>
                <w:rFonts w:ascii="宋体" w:hAnsi="宋体" w:cs="宋体"/>
                <w:sz w:val="24"/>
              </w:rPr>
            </w:pPr>
            <w:r>
              <w:t>1</w:t>
            </w:r>
          </w:p>
        </w:tc>
        <w:tc>
          <w:tcPr>
            <w:tcW w:w="584" w:type="dxa"/>
            <w:noWrap w:val="0"/>
            <w:vAlign w:val="center"/>
          </w:tcPr>
          <w:p>
            <w:pPr>
              <w:jc w:val="center"/>
              <w:rPr>
                <w:rFonts w:ascii="宋体" w:hAnsi="宋体" w:cs="宋体"/>
                <w:sz w:val="24"/>
              </w:rPr>
            </w:pPr>
            <w:r>
              <w:t>0.5</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center"/>
          </w:tcPr>
          <w:p>
            <w:pPr>
              <w:adjustRightInd w:val="0"/>
              <w:snapToGrid w:val="0"/>
              <w:spacing w:line="400" w:lineRule="exact"/>
              <w:jc w:val="center"/>
              <w:rPr>
                <w:rFonts w:ascii="Arial" w:hAnsi="Arial" w:cs="Arial"/>
                <w:b/>
                <w:bCs/>
                <w:szCs w:val="21"/>
              </w:rPr>
            </w:pPr>
          </w:p>
        </w:tc>
        <w:tc>
          <w:tcPr>
            <w:tcW w:w="567" w:type="dxa"/>
            <w:noWrap w:val="0"/>
            <w:vAlign w:val="center"/>
          </w:tcPr>
          <w:p>
            <w:pPr>
              <w:jc w:val="center"/>
              <w:rPr>
                <w:rFonts w:ascii="宋体" w:hAnsi="宋体" w:cs="宋体"/>
                <w:sz w:val="24"/>
              </w:rPr>
            </w:pPr>
            <w:r>
              <w:t>6</w:t>
            </w:r>
          </w:p>
        </w:tc>
        <w:tc>
          <w:tcPr>
            <w:tcW w:w="3514" w:type="dxa"/>
            <w:noWrap w:val="0"/>
            <w:vAlign w:val="bottom"/>
          </w:tcPr>
          <w:p>
            <w:pPr>
              <w:rPr>
                <w:rFonts w:ascii="宋体" w:hAnsi="宋体" w:cs="宋体"/>
                <w:sz w:val="24"/>
              </w:rPr>
            </w:pPr>
            <w:r>
              <w:rPr>
                <w:rFonts w:hint="eastAsia"/>
              </w:rPr>
              <w:t>制定医院设备保障管理制度。</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center"/>
          </w:tcPr>
          <w:p>
            <w:pPr>
              <w:adjustRightInd w:val="0"/>
              <w:snapToGrid w:val="0"/>
              <w:spacing w:line="400" w:lineRule="exact"/>
              <w:jc w:val="center"/>
              <w:rPr>
                <w:rFonts w:ascii="Arial" w:hAnsi="Arial" w:cs="Arial"/>
                <w:b/>
                <w:bCs/>
                <w:szCs w:val="21"/>
              </w:rPr>
            </w:pPr>
          </w:p>
        </w:tc>
        <w:tc>
          <w:tcPr>
            <w:tcW w:w="567" w:type="dxa"/>
            <w:noWrap w:val="0"/>
            <w:vAlign w:val="center"/>
          </w:tcPr>
          <w:p>
            <w:pPr>
              <w:jc w:val="center"/>
              <w:rPr>
                <w:rFonts w:ascii="宋体" w:hAnsi="宋体" w:cs="宋体"/>
                <w:sz w:val="24"/>
              </w:rPr>
            </w:pPr>
            <w:r>
              <w:t>7</w:t>
            </w:r>
          </w:p>
        </w:tc>
        <w:tc>
          <w:tcPr>
            <w:tcW w:w="3514" w:type="dxa"/>
            <w:noWrap w:val="0"/>
            <w:vAlign w:val="bottom"/>
          </w:tcPr>
          <w:p>
            <w:pPr>
              <w:rPr>
                <w:rFonts w:ascii="宋体" w:hAnsi="宋体" w:cs="宋体"/>
                <w:sz w:val="24"/>
              </w:rPr>
            </w:pPr>
            <w:r>
              <w:rPr>
                <w:rFonts w:hint="eastAsia"/>
              </w:rPr>
              <w:t>建立各岗位职责制度并备案。</w:t>
            </w:r>
          </w:p>
        </w:tc>
        <w:tc>
          <w:tcPr>
            <w:tcW w:w="700" w:type="dxa"/>
            <w:noWrap w:val="0"/>
            <w:vAlign w:val="center"/>
          </w:tcPr>
          <w:p>
            <w:pPr>
              <w:jc w:val="center"/>
              <w:rPr>
                <w:rFonts w:ascii="宋体" w:hAnsi="宋体" w:cs="宋体"/>
                <w:sz w:val="24"/>
              </w:rPr>
            </w:pPr>
            <w:r>
              <w:t>2</w:t>
            </w:r>
          </w:p>
        </w:tc>
        <w:tc>
          <w:tcPr>
            <w:tcW w:w="564" w:type="dxa"/>
            <w:noWrap w:val="0"/>
            <w:vAlign w:val="center"/>
          </w:tcPr>
          <w:p>
            <w:pPr>
              <w:jc w:val="center"/>
              <w:rPr>
                <w:rFonts w:ascii="宋体" w:hAnsi="宋体" w:cs="宋体"/>
                <w:sz w:val="24"/>
              </w:rPr>
            </w:pPr>
            <w:r>
              <w:t>2</w:t>
            </w:r>
          </w:p>
        </w:tc>
        <w:tc>
          <w:tcPr>
            <w:tcW w:w="563" w:type="dxa"/>
            <w:noWrap w:val="0"/>
            <w:vAlign w:val="center"/>
          </w:tcPr>
          <w:p>
            <w:pPr>
              <w:jc w:val="center"/>
              <w:rPr>
                <w:rFonts w:ascii="宋体" w:hAnsi="宋体" w:cs="宋体"/>
                <w:sz w:val="24"/>
              </w:rPr>
            </w:pPr>
            <w:r>
              <w:t>1.8</w:t>
            </w:r>
          </w:p>
        </w:tc>
        <w:tc>
          <w:tcPr>
            <w:tcW w:w="584" w:type="dxa"/>
            <w:noWrap w:val="0"/>
            <w:vAlign w:val="center"/>
          </w:tcPr>
          <w:p>
            <w:pPr>
              <w:jc w:val="center"/>
              <w:rPr>
                <w:rFonts w:ascii="宋体" w:hAnsi="宋体" w:cs="宋体"/>
                <w:sz w:val="24"/>
              </w:rPr>
            </w:pPr>
            <w:r>
              <w:t>1.4</w:t>
            </w:r>
          </w:p>
        </w:tc>
        <w:tc>
          <w:tcPr>
            <w:tcW w:w="584" w:type="dxa"/>
            <w:noWrap w:val="0"/>
            <w:vAlign w:val="center"/>
          </w:tcPr>
          <w:p>
            <w:pPr>
              <w:jc w:val="center"/>
              <w:rPr>
                <w:rFonts w:ascii="宋体" w:hAnsi="宋体" w:cs="宋体"/>
                <w:sz w:val="24"/>
              </w:rPr>
            </w:pPr>
            <w:r>
              <w:t>1</w:t>
            </w:r>
          </w:p>
        </w:tc>
        <w:tc>
          <w:tcPr>
            <w:tcW w:w="584" w:type="dxa"/>
            <w:noWrap w:val="0"/>
            <w:vAlign w:val="center"/>
          </w:tcPr>
          <w:p>
            <w:pPr>
              <w:jc w:val="center"/>
              <w:rPr>
                <w:rFonts w:ascii="宋体" w:hAnsi="宋体" w:cs="宋体"/>
                <w:sz w:val="24"/>
              </w:rPr>
            </w:pPr>
            <w:r>
              <w:t>0.5</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center"/>
          </w:tcPr>
          <w:p>
            <w:pPr>
              <w:adjustRightInd w:val="0"/>
              <w:snapToGrid w:val="0"/>
              <w:spacing w:line="400" w:lineRule="exact"/>
              <w:jc w:val="center"/>
              <w:rPr>
                <w:rFonts w:ascii="Arial" w:hAnsi="Arial" w:cs="Arial"/>
                <w:b/>
                <w:bCs/>
                <w:szCs w:val="21"/>
              </w:rPr>
            </w:pPr>
          </w:p>
        </w:tc>
        <w:tc>
          <w:tcPr>
            <w:tcW w:w="567" w:type="dxa"/>
            <w:noWrap w:val="0"/>
            <w:vAlign w:val="center"/>
          </w:tcPr>
          <w:p>
            <w:pPr>
              <w:jc w:val="center"/>
              <w:rPr>
                <w:rFonts w:ascii="宋体" w:hAnsi="宋体" w:cs="宋体"/>
                <w:sz w:val="24"/>
              </w:rPr>
            </w:pPr>
            <w:r>
              <w:t>8</w:t>
            </w:r>
          </w:p>
        </w:tc>
        <w:tc>
          <w:tcPr>
            <w:tcW w:w="3514" w:type="dxa"/>
            <w:noWrap w:val="0"/>
            <w:vAlign w:val="bottom"/>
          </w:tcPr>
          <w:p>
            <w:pPr>
              <w:rPr>
                <w:rFonts w:ascii="宋体" w:hAnsi="宋体" w:cs="宋体"/>
                <w:sz w:val="24"/>
              </w:rPr>
            </w:pPr>
            <w:r>
              <w:rPr>
                <w:rFonts w:hint="eastAsia"/>
              </w:rPr>
              <w:t>制定各类应急预案（含电梯救人预案、防汛抗洪预案、停电应急预案等）。</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restart"/>
            <w:noWrap w:val="0"/>
            <w:vAlign w:val="center"/>
          </w:tcPr>
          <w:p>
            <w:pPr>
              <w:adjustRightInd w:val="0"/>
              <w:snapToGrid w:val="0"/>
              <w:spacing w:line="400" w:lineRule="exact"/>
              <w:jc w:val="center"/>
              <w:rPr>
                <w:rFonts w:ascii="Arial" w:hAnsi="Arial" w:cs="Arial"/>
                <w:b/>
                <w:bCs/>
                <w:szCs w:val="21"/>
              </w:rPr>
            </w:pPr>
            <w:r>
              <w:rPr>
                <w:rFonts w:hint="eastAsia" w:ascii="Arial" w:hAnsi="Arial" w:cs="Arial"/>
                <w:b/>
                <w:bCs/>
                <w:szCs w:val="21"/>
              </w:rPr>
              <w:t>基础管理</w:t>
            </w:r>
          </w:p>
        </w:tc>
        <w:tc>
          <w:tcPr>
            <w:tcW w:w="567" w:type="dxa"/>
            <w:noWrap w:val="0"/>
            <w:vAlign w:val="center"/>
          </w:tcPr>
          <w:p>
            <w:pPr>
              <w:jc w:val="center"/>
              <w:rPr>
                <w:rFonts w:ascii="宋体" w:hAnsi="宋体" w:cs="宋体"/>
                <w:sz w:val="24"/>
              </w:rPr>
            </w:pPr>
            <w:r>
              <w:t>9</w:t>
            </w:r>
          </w:p>
        </w:tc>
        <w:tc>
          <w:tcPr>
            <w:tcW w:w="3514" w:type="dxa"/>
            <w:noWrap w:val="0"/>
            <w:vAlign w:val="bottom"/>
          </w:tcPr>
          <w:p>
            <w:pPr>
              <w:rPr>
                <w:rFonts w:ascii="宋体" w:hAnsi="宋体" w:cs="宋体"/>
                <w:sz w:val="24"/>
              </w:rPr>
            </w:pPr>
            <w:r>
              <w:rPr>
                <w:rFonts w:hint="eastAsia"/>
                <w:color w:val="000000"/>
              </w:rPr>
              <w:t>保证各项通用设备运行正常，满足使用要求。</w:t>
            </w:r>
          </w:p>
        </w:tc>
        <w:tc>
          <w:tcPr>
            <w:tcW w:w="700" w:type="dxa"/>
            <w:noWrap w:val="0"/>
            <w:vAlign w:val="center"/>
          </w:tcPr>
          <w:p>
            <w:pPr>
              <w:jc w:val="center"/>
              <w:rPr>
                <w:rFonts w:ascii="宋体" w:hAnsi="宋体" w:cs="宋体"/>
                <w:sz w:val="24"/>
              </w:rPr>
            </w:pPr>
            <w:r>
              <w:t>4</w:t>
            </w:r>
          </w:p>
        </w:tc>
        <w:tc>
          <w:tcPr>
            <w:tcW w:w="564" w:type="dxa"/>
            <w:noWrap w:val="0"/>
            <w:vAlign w:val="center"/>
          </w:tcPr>
          <w:p>
            <w:pPr>
              <w:jc w:val="center"/>
              <w:rPr>
                <w:rFonts w:ascii="宋体" w:hAnsi="宋体" w:cs="宋体"/>
                <w:sz w:val="24"/>
              </w:rPr>
            </w:pPr>
            <w:r>
              <w:t>4</w:t>
            </w:r>
          </w:p>
        </w:tc>
        <w:tc>
          <w:tcPr>
            <w:tcW w:w="563" w:type="dxa"/>
            <w:noWrap w:val="0"/>
            <w:vAlign w:val="center"/>
          </w:tcPr>
          <w:p>
            <w:pPr>
              <w:jc w:val="center"/>
              <w:rPr>
                <w:rFonts w:ascii="宋体" w:hAnsi="宋体" w:cs="宋体"/>
                <w:sz w:val="24"/>
              </w:rPr>
            </w:pPr>
            <w:r>
              <w:t>3.6</w:t>
            </w:r>
          </w:p>
        </w:tc>
        <w:tc>
          <w:tcPr>
            <w:tcW w:w="584" w:type="dxa"/>
            <w:noWrap w:val="0"/>
            <w:vAlign w:val="center"/>
          </w:tcPr>
          <w:p>
            <w:pPr>
              <w:jc w:val="center"/>
              <w:rPr>
                <w:rFonts w:ascii="宋体" w:hAnsi="宋体" w:cs="宋体"/>
                <w:sz w:val="24"/>
              </w:rPr>
            </w:pPr>
            <w:r>
              <w:t>3</w:t>
            </w:r>
          </w:p>
        </w:tc>
        <w:tc>
          <w:tcPr>
            <w:tcW w:w="584" w:type="dxa"/>
            <w:noWrap w:val="0"/>
            <w:vAlign w:val="center"/>
          </w:tcPr>
          <w:p>
            <w:pPr>
              <w:jc w:val="center"/>
              <w:rPr>
                <w:rFonts w:ascii="宋体" w:hAnsi="宋体" w:cs="宋体"/>
                <w:sz w:val="24"/>
              </w:rPr>
            </w:pPr>
            <w:r>
              <w:t>2</w:t>
            </w:r>
          </w:p>
        </w:tc>
        <w:tc>
          <w:tcPr>
            <w:tcW w:w="584" w:type="dxa"/>
            <w:noWrap w:val="0"/>
            <w:vAlign w:val="center"/>
          </w:tcPr>
          <w:p>
            <w:pPr>
              <w:jc w:val="center"/>
              <w:rPr>
                <w:rFonts w:ascii="宋体" w:hAnsi="宋体" w:cs="宋体"/>
                <w:sz w:val="24"/>
              </w:rPr>
            </w:pPr>
            <w:r>
              <w:t>1</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10</w:t>
            </w:r>
          </w:p>
        </w:tc>
        <w:tc>
          <w:tcPr>
            <w:tcW w:w="3514" w:type="dxa"/>
            <w:noWrap w:val="0"/>
            <w:vAlign w:val="bottom"/>
          </w:tcPr>
          <w:p>
            <w:pPr>
              <w:rPr>
                <w:rFonts w:ascii="宋体" w:hAnsi="宋体" w:cs="宋体"/>
                <w:sz w:val="24"/>
              </w:rPr>
            </w:pPr>
            <w:r>
              <w:rPr>
                <w:rFonts w:hint="eastAsia"/>
              </w:rPr>
              <w:t>制定年度、季度、月度维护设备设施计划。</w:t>
            </w:r>
          </w:p>
        </w:tc>
        <w:tc>
          <w:tcPr>
            <w:tcW w:w="700" w:type="dxa"/>
            <w:noWrap w:val="0"/>
            <w:vAlign w:val="center"/>
          </w:tcPr>
          <w:p>
            <w:pPr>
              <w:jc w:val="center"/>
              <w:rPr>
                <w:rFonts w:ascii="宋体" w:hAnsi="宋体" w:cs="宋体"/>
                <w:sz w:val="24"/>
              </w:rPr>
            </w:pPr>
            <w:r>
              <w:t>2</w:t>
            </w:r>
          </w:p>
        </w:tc>
        <w:tc>
          <w:tcPr>
            <w:tcW w:w="564" w:type="dxa"/>
            <w:noWrap w:val="0"/>
            <w:vAlign w:val="center"/>
          </w:tcPr>
          <w:p>
            <w:pPr>
              <w:jc w:val="center"/>
              <w:rPr>
                <w:rFonts w:ascii="宋体" w:hAnsi="宋体" w:cs="宋体"/>
                <w:sz w:val="24"/>
              </w:rPr>
            </w:pPr>
            <w:r>
              <w:t>2</w:t>
            </w:r>
          </w:p>
        </w:tc>
        <w:tc>
          <w:tcPr>
            <w:tcW w:w="563" w:type="dxa"/>
            <w:noWrap w:val="0"/>
            <w:vAlign w:val="center"/>
          </w:tcPr>
          <w:p>
            <w:pPr>
              <w:jc w:val="center"/>
              <w:rPr>
                <w:rFonts w:ascii="宋体" w:hAnsi="宋体" w:cs="宋体"/>
                <w:sz w:val="24"/>
              </w:rPr>
            </w:pPr>
            <w:r>
              <w:t>1.8</w:t>
            </w:r>
          </w:p>
        </w:tc>
        <w:tc>
          <w:tcPr>
            <w:tcW w:w="584" w:type="dxa"/>
            <w:noWrap w:val="0"/>
            <w:vAlign w:val="center"/>
          </w:tcPr>
          <w:p>
            <w:pPr>
              <w:jc w:val="center"/>
              <w:rPr>
                <w:rFonts w:ascii="宋体" w:hAnsi="宋体" w:cs="宋体"/>
                <w:sz w:val="24"/>
              </w:rPr>
            </w:pPr>
            <w:r>
              <w:t>1.4</w:t>
            </w:r>
          </w:p>
        </w:tc>
        <w:tc>
          <w:tcPr>
            <w:tcW w:w="584" w:type="dxa"/>
            <w:noWrap w:val="0"/>
            <w:vAlign w:val="center"/>
          </w:tcPr>
          <w:p>
            <w:pPr>
              <w:jc w:val="center"/>
              <w:rPr>
                <w:rFonts w:ascii="宋体" w:hAnsi="宋体" w:cs="宋体"/>
                <w:sz w:val="24"/>
              </w:rPr>
            </w:pPr>
            <w:r>
              <w:t>1</w:t>
            </w:r>
          </w:p>
        </w:tc>
        <w:tc>
          <w:tcPr>
            <w:tcW w:w="584" w:type="dxa"/>
            <w:noWrap w:val="0"/>
            <w:vAlign w:val="center"/>
          </w:tcPr>
          <w:p>
            <w:pPr>
              <w:jc w:val="center"/>
              <w:rPr>
                <w:rFonts w:ascii="宋体" w:hAnsi="宋体" w:cs="宋体"/>
                <w:sz w:val="24"/>
              </w:rPr>
            </w:pPr>
            <w:r>
              <w:t>0.5</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11</w:t>
            </w:r>
          </w:p>
        </w:tc>
        <w:tc>
          <w:tcPr>
            <w:tcW w:w="3514" w:type="dxa"/>
            <w:noWrap w:val="0"/>
            <w:vAlign w:val="bottom"/>
          </w:tcPr>
          <w:p>
            <w:pPr>
              <w:rPr>
                <w:rFonts w:ascii="宋体" w:hAnsi="宋体" w:cs="宋体"/>
                <w:sz w:val="24"/>
              </w:rPr>
            </w:pPr>
            <w:r>
              <w:rPr>
                <w:rFonts w:hint="eastAsia"/>
              </w:rPr>
              <w:t>根据计划按时完成设备设施的保养、维护、检测，记录完整。</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12</w:t>
            </w:r>
          </w:p>
        </w:tc>
        <w:tc>
          <w:tcPr>
            <w:tcW w:w="3514" w:type="dxa"/>
            <w:noWrap w:val="0"/>
            <w:vAlign w:val="bottom"/>
          </w:tcPr>
          <w:p>
            <w:pPr>
              <w:rPr>
                <w:rFonts w:ascii="宋体" w:hAnsi="宋体" w:cs="宋体"/>
                <w:sz w:val="24"/>
              </w:rPr>
            </w:pPr>
            <w:r>
              <w:rPr>
                <w:rFonts w:hint="eastAsia"/>
              </w:rPr>
              <w:t>工作场地、机房干净，整洁。</w:t>
            </w:r>
          </w:p>
        </w:tc>
        <w:tc>
          <w:tcPr>
            <w:tcW w:w="700" w:type="dxa"/>
            <w:noWrap w:val="0"/>
            <w:vAlign w:val="center"/>
          </w:tcPr>
          <w:p>
            <w:pPr>
              <w:jc w:val="center"/>
              <w:rPr>
                <w:rFonts w:ascii="宋体" w:hAnsi="宋体" w:cs="宋体"/>
                <w:sz w:val="24"/>
              </w:rPr>
            </w:pPr>
            <w:r>
              <w:t>2</w:t>
            </w:r>
          </w:p>
        </w:tc>
        <w:tc>
          <w:tcPr>
            <w:tcW w:w="564" w:type="dxa"/>
            <w:noWrap w:val="0"/>
            <w:vAlign w:val="center"/>
          </w:tcPr>
          <w:p>
            <w:pPr>
              <w:jc w:val="center"/>
              <w:rPr>
                <w:rFonts w:ascii="宋体" w:hAnsi="宋体" w:cs="宋体"/>
                <w:sz w:val="24"/>
              </w:rPr>
            </w:pPr>
            <w:r>
              <w:t>2</w:t>
            </w:r>
          </w:p>
        </w:tc>
        <w:tc>
          <w:tcPr>
            <w:tcW w:w="563" w:type="dxa"/>
            <w:noWrap w:val="0"/>
            <w:vAlign w:val="center"/>
          </w:tcPr>
          <w:p>
            <w:pPr>
              <w:jc w:val="center"/>
              <w:rPr>
                <w:rFonts w:ascii="宋体" w:hAnsi="宋体" w:cs="宋体"/>
                <w:sz w:val="24"/>
              </w:rPr>
            </w:pPr>
            <w:r>
              <w:t>1.8</w:t>
            </w:r>
          </w:p>
        </w:tc>
        <w:tc>
          <w:tcPr>
            <w:tcW w:w="584" w:type="dxa"/>
            <w:noWrap w:val="0"/>
            <w:vAlign w:val="center"/>
          </w:tcPr>
          <w:p>
            <w:pPr>
              <w:jc w:val="center"/>
              <w:rPr>
                <w:rFonts w:ascii="宋体" w:hAnsi="宋体" w:cs="宋体"/>
                <w:sz w:val="24"/>
              </w:rPr>
            </w:pPr>
            <w:r>
              <w:t>1.4</w:t>
            </w:r>
          </w:p>
        </w:tc>
        <w:tc>
          <w:tcPr>
            <w:tcW w:w="584" w:type="dxa"/>
            <w:noWrap w:val="0"/>
            <w:vAlign w:val="center"/>
          </w:tcPr>
          <w:p>
            <w:pPr>
              <w:jc w:val="center"/>
              <w:rPr>
                <w:rFonts w:ascii="宋体" w:hAnsi="宋体" w:cs="宋体"/>
                <w:sz w:val="24"/>
              </w:rPr>
            </w:pPr>
            <w:r>
              <w:t>1</w:t>
            </w:r>
          </w:p>
        </w:tc>
        <w:tc>
          <w:tcPr>
            <w:tcW w:w="584" w:type="dxa"/>
            <w:noWrap w:val="0"/>
            <w:vAlign w:val="center"/>
          </w:tcPr>
          <w:p>
            <w:pPr>
              <w:jc w:val="center"/>
              <w:rPr>
                <w:rFonts w:ascii="宋体" w:hAnsi="宋体" w:cs="宋体"/>
                <w:sz w:val="24"/>
              </w:rPr>
            </w:pPr>
            <w:r>
              <w:t>0.5</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13</w:t>
            </w:r>
          </w:p>
        </w:tc>
        <w:tc>
          <w:tcPr>
            <w:tcW w:w="3514" w:type="dxa"/>
            <w:noWrap w:val="0"/>
            <w:vAlign w:val="bottom"/>
          </w:tcPr>
          <w:p>
            <w:pPr>
              <w:rPr>
                <w:rFonts w:ascii="宋体" w:hAnsi="宋体" w:cs="宋体"/>
                <w:sz w:val="24"/>
              </w:rPr>
            </w:pPr>
            <w:r>
              <w:rPr>
                <w:rFonts w:hint="eastAsia"/>
              </w:rPr>
              <w:t>机房进出入人员记录、温湿度记录及除湿作业记录完整。</w:t>
            </w:r>
          </w:p>
        </w:tc>
        <w:tc>
          <w:tcPr>
            <w:tcW w:w="700" w:type="dxa"/>
            <w:noWrap w:val="0"/>
            <w:vAlign w:val="center"/>
          </w:tcPr>
          <w:p>
            <w:pPr>
              <w:jc w:val="center"/>
              <w:rPr>
                <w:rFonts w:ascii="宋体" w:hAnsi="宋体" w:cs="宋体"/>
                <w:sz w:val="24"/>
              </w:rPr>
            </w:pPr>
            <w:r>
              <w:t>2</w:t>
            </w:r>
          </w:p>
        </w:tc>
        <w:tc>
          <w:tcPr>
            <w:tcW w:w="564" w:type="dxa"/>
            <w:noWrap w:val="0"/>
            <w:vAlign w:val="center"/>
          </w:tcPr>
          <w:p>
            <w:pPr>
              <w:jc w:val="center"/>
              <w:rPr>
                <w:rFonts w:ascii="宋体" w:hAnsi="宋体" w:cs="宋体"/>
                <w:sz w:val="24"/>
              </w:rPr>
            </w:pPr>
            <w:r>
              <w:t>2</w:t>
            </w:r>
          </w:p>
        </w:tc>
        <w:tc>
          <w:tcPr>
            <w:tcW w:w="563" w:type="dxa"/>
            <w:noWrap w:val="0"/>
            <w:vAlign w:val="center"/>
          </w:tcPr>
          <w:p>
            <w:pPr>
              <w:jc w:val="center"/>
              <w:rPr>
                <w:rFonts w:ascii="宋体" w:hAnsi="宋体" w:cs="宋体"/>
                <w:sz w:val="24"/>
              </w:rPr>
            </w:pPr>
            <w:r>
              <w:t>1.8</w:t>
            </w:r>
          </w:p>
        </w:tc>
        <w:tc>
          <w:tcPr>
            <w:tcW w:w="584" w:type="dxa"/>
            <w:noWrap w:val="0"/>
            <w:vAlign w:val="center"/>
          </w:tcPr>
          <w:p>
            <w:pPr>
              <w:jc w:val="center"/>
              <w:rPr>
                <w:rFonts w:ascii="宋体" w:hAnsi="宋体" w:cs="宋体"/>
                <w:sz w:val="24"/>
              </w:rPr>
            </w:pPr>
            <w:r>
              <w:t>1.4</w:t>
            </w:r>
          </w:p>
        </w:tc>
        <w:tc>
          <w:tcPr>
            <w:tcW w:w="584" w:type="dxa"/>
            <w:noWrap w:val="0"/>
            <w:vAlign w:val="center"/>
          </w:tcPr>
          <w:p>
            <w:pPr>
              <w:jc w:val="center"/>
              <w:rPr>
                <w:rFonts w:ascii="宋体" w:hAnsi="宋体" w:cs="宋体"/>
                <w:sz w:val="24"/>
              </w:rPr>
            </w:pPr>
            <w:r>
              <w:t>1</w:t>
            </w:r>
          </w:p>
        </w:tc>
        <w:tc>
          <w:tcPr>
            <w:tcW w:w="584" w:type="dxa"/>
            <w:noWrap w:val="0"/>
            <w:vAlign w:val="center"/>
          </w:tcPr>
          <w:p>
            <w:pPr>
              <w:jc w:val="center"/>
              <w:rPr>
                <w:rFonts w:ascii="宋体" w:hAnsi="宋体" w:cs="宋体"/>
                <w:sz w:val="24"/>
              </w:rPr>
            </w:pPr>
            <w:r>
              <w:t>0.5</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14</w:t>
            </w:r>
          </w:p>
        </w:tc>
        <w:tc>
          <w:tcPr>
            <w:tcW w:w="3514" w:type="dxa"/>
            <w:noWrap w:val="0"/>
            <w:vAlign w:val="bottom"/>
          </w:tcPr>
          <w:p>
            <w:pPr>
              <w:rPr>
                <w:rFonts w:ascii="宋体" w:hAnsi="宋体" w:cs="宋体"/>
                <w:sz w:val="24"/>
              </w:rPr>
            </w:pPr>
            <w:r>
              <w:rPr>
                <w:rFonts w:hint="eastAsia"/>
              </w:rPr>
              <w:t>通用设备操作规范，按时做好日常维护并记录。</w:t>
            </w:r>
          </w:p>
        </w:tc>
        <w:tc>
          <w:tcPr>
            <w:tcW w:w="700" w:type="dxa"/>
            <w:noWrap w:val="0"/>
            <w:vAlign w:val="center"/>
          </w:tcPr>
          <w:p>
            <w:pPr>
              <w:jc w:val="center"/>
              <w:rPr>
                <w:rFonts w:ascii="宋体" w:hAnsi="宋体" w:cs="宋体"/>
                <w:sz w:val="24"/>
              </w:rPr>
            </w:pPr>
            <w:r>
              <w:t>2</w:t>
            </w:r>
          </w:p>
        </w:tc>
        <w:tc>
          <w:tcPr>
            <w:tcW w:w="564" w:type="dxa"/>
            <w:noWrap w:val="0"/>
            <w:vAlign w:val="center"/>
          </w:tcPr>
          <w:p>
            <w:pPr>
              <w:jc w:val="center"/>
              <w:rPr>
                <w:rFonts w:ascii="宋体" w:hAnsi="宋体" w:cs="宋体"/>
                <w:sz w:val="24"/>
              </w:rPr>
            </w:pPr>
            <w:r>
              <w:t>2</w:t>
            </w:r>
          </w:p>
        </w:tc>
        <w:tc>
          <w:tcPr>
            <w:tcW w:w="563" w:type="dxa"/>
            <w:noWrap w:val="0"/>
            <w:vAlign w:val="center"/>
          </w:tcPr>
          <w:p>
            <w:pPr>
              <w:jc w:val="center"/>
              <w:rPr>
                <w:rFonts w:ascii="宋体" w:hAnsi="宋体" w:cs="宋体"/>
                <w:sz w:val="24"/>
              </w:rPr>
            </w:pPr>
            <w:r>
              <w:t>1.8</w:t>
            </w:r>
          </w:p>
        </w:tc>
        <w:tc>
          <w:tcPr>
            <w:tcW w:w="584" w:type="dxa"/>
            <w:noWrap w:val="0"/>
            <w:vAlign w:val="center"/>
          </w:tcPr>
          <w:p>
            <w:pPr>
              <w:jc w:val="center"/>
              <w:rPr>
                <w:rFonts w:ascii="宋体" w:hAnsi="宋体" w:cs="宋体"/>
                <w:sz w:val="24"/>
              </w:rPr>
            </w:pPr>
            <w:r>
              <w:t>1.4</w:t>
            </w:r>
          </w:p>
        </w:tc>
        <w:tc>
          <w:tcPr>
            <w:tcW w:w="584" w:type="dxa"/>
            <w:noWrap w:val="0"/>
            <w:vAlign w:val="center"/>
          </w:tcPr>
          <w:p>
            <w:pPr>
              <w:jc w:val="center"/>
              <w:rPr>
                <w:rFonts w:ascii="宋体" w:hAnsi="宋体" w:cs="宋体"/>
                <w:sz w:val="24"/>
              </w:rPr>
            </w:pPr>
            <w:r>
              <w:t>1</w:t>
            </w:r>
          </w:p>
        </w:tc>
        <w:tc>
          <w:tcPr>
            <w:tcW w:w="584" w:type="dxa"/>
            <w:noWrap w:val="0"/>
            <w:vAlign w:val="center"/>
          </w:tcPr>
          <w:p>
            <w:pPr>
              <w:jc w:val="center"/>
              <w:rPr>
                <w:rFonts w:ascii="宋体" w:hAnsi="宋体" w:cs="宋体"/>
                <w:sz w:val="24"/>
              </w:rPr>
            </w:pPr>
            <w:r>
              <w:t>0.5</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15</w:t>
            </w:r>
          </w:p>
        </w:tc>
        <w:tc>
          <w:tcPr>
            <w:tcW w:w="3514" w:type="dxa"/>
            <w:noWrap w:val="0"/>
            <w:vAlign w:val="bottom"/>
          </w:tcPr>
          <w:p>
            <w:pPr>
              <w:rPr>
                <w:rFonts w:ascii="宋体" w:hAnsi="宋体" w:cs="宋体"/>
                <w:sz w:val="24"/>
              </w:rPr>
            </w:pPr>
            <w:r>
              <w:rPr>
                <w:rFonts w:hint="eastAsia"/>
              </w:rPr>
              <w:t>做好日常巡查记录。</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restart"/>
            <w:noWrap w:val="0"/>
            <w:vAlign w:val="center"/>
          </w:tcPr>
          <w:p>
            <w:pPr>
              <w:adjustRightInd w:val="0"/>
              <w:snapToGrid w:val="0"/>
              <w:spacing w:line="400" w:lineRule="exact"/>
              <w:jc w:val="center"/>
              <w:rPr>
                <w:rFonts w:ascii="Arial" w:hAnsi="Arial" w:cs="Arial"/>
                <w:b/>
                <w:bCs/>
                <w:szCs w:val="21"/>
              </w:rPr>
            </w:pPr>
            <w:r>
              <w:rPr>
                <w:rFonts w:hint="eastAsia" w:ascii="Arial" w:hAnsi="Arial" w:cs="Arial"/>
                <w:b/>
                <w:bCs/>
                <w:szCs w:val="21"/>
              </w:rPr>
              <w:t>日常工作</w:t>
            </w:r>
          </w:p>
        </w:tc>
        <w:tc>
          <w:tcPr>
            <w:tcW w:w="567" w:type="dxa"/>
            <w:noWrap w:val="0"/>
            <w:vAlign w:val="center"/>
          </w:tcPr>
          <w:p>
            <w:pPr>
              <w:jc w:val="center"/>
              <w:rPr>
                <w:rFonts w:ascii="宋体" w:hAnsi="宋体" w:cs="宋体"/>
                <w:sz w:val="24"/>
              </w:rPr>
            </w:pPr>
            <w:r>
              <w:t>16</w:t>
            </w:r>
          </w:p>
        </w:tc>
        <w:tc>
          <w:tcPr>
            <w:tcW w:w="3514" w:type="dxa"/>
            <w:noWrap w:val="0"/>
            <w:vAlign w:val="bottom"/>
          </w:tcPr>
          <w:p>
            <w:pPr>
              <w:rPr>
                <w:rFonts w:ascii="宋体" w:hAnsi="宋体" w:cs="宋体"/>
                <w:sz w:val="24"/>
              </w:rPr>
            </w:pPr>
            <w:r>
              <w:rPr>
                <w:rFonts w:hint="eastAsia"/>
              </w:rPr>
              <w:t>设备运行期间有专人巡查，并作记录，发现问题及时解决，不能解决的及时上报。</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17</w:t>
            </w:r>
          </w:p>
        </w:tc>
        <w:tc>
          <w:tcPr>
            <w:tcW w:w="3514" w:type="dxa"/>
            <w:noWrap w:val="0"/>
            <w:vAlign w:val="bottom"/>
          </w:tcPr>
          <w:p>
            <w:pPr>
              <w:rPr>
                <w:rFonts w:ascii="宋体" w:hAnsi="宋体" w:cs="宋体"/>
                <w:sz w:val="24"/>
              </w:rPr>
            </w:pPr>
            <w:r>
              <w:rPr>
                <w:rFonts w:hint="eastAsia"/>
              </w:rPr>
              <w:t>值班人员操作规范，运行记录真实、准确、完整，不得擅自离岗。</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18</w:t>
            </w:r>
          </w:p>
        </w:tc>
        <w:tc>
          <w:tcPr>
            <w:tcW w:w="3514" w:type="dxa"/>
            <w:noWrap w:val="0"/>
            <w:vAlign w:val="bottom"/>
          </w:tcPr>
          <w:p>
            <w:pPr>
              <w:rPr>
                <w:rFonts w:ascii="宋体" w:hAnsi="宋体" w:cs="宋体"/>
                <w:sz w:val="24"/>
              </w:rPr>
            </w:pPr>
            <w:r>
              <w:rPr>
                <w:rFonts w:hint="eastAsia"/>
              </w:rPr>
              <w:t>做好配电系统日常巡查维护，配电箱（柜）保持清洁，电器仪表牢固可靠且显示正常，断路器等元件转动灵活且牢固可靠，母排线压接与接地良好。</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19</w:t>
            </w:r>
          </w:p>
        </w:tc>
        <w:tc>
          <w:tcPr>
            <w:tcW w:w="3514" w:type="dxa"/>
            <w:noWrap w:val="0"/>
            <w:vAlign w:val="bottom"/>
          </w:tcPr>
          <w:p>
            <w:pPr>
              <w:rPr>
                <w:rFonts w:ascii="宋体" w:hAnsi="宋体" w:cs="宋体"/>
                <w:sz w:val="24"/>
              </w:rPr>
            </w:pPr>
            <w:r>
              <w:rPr>
                <w:rFonts w:hint="eastAsia"/>
              </w:rPr>
              <w:t>做好</w:t>
            </w:r>
            <w:r>
              <w:t>UPS</w:t>
            </w:r>
            <w:r>
              <w:rPr>
                <w:rFonts w:hint="eastAsia"/>
              </w:rPr>
              <w:t>系统日常维护及定期检查，确保无故障，保证紧急状态可随时运行。</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20</w:t>
            </w:r>
          </w:p>
        </w:tc>
        <w:tc>
          <w:tcPr>
            <w:tcW w:w="3514" w:type="dxa"/>
            <w:noWrap w:val="0"/>
            <w:vAlign w:val="bottom"/>
          </w:tcPr>
          <w:p>
            <w:pPr>
              <w:rPr>
                <w:rFonts w:ascii="宋体" w:hAnsi="宋体" w:cs="宋体"/>
                <w:sz w:val="24"/>
              </w:rPr>
            </w:pPr>
            <w:r>
              <w:rPr>
                <w:rFonts w:hint="eastAsia"/>
              </w:rPr>
              <w:t>做好强电井内及其他部位配电箱维护，保障安全稳定运行。</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21</w:t>
            </w:r>
          </w:p>
        </w:tc>
        <w:tc>
          <w:tcPr>
            <w:tcW w:w="3514" w:type="dxa"/>
            <w:noWrap w:val="0"/>
            <w:vAlign w:val="bottom"/>
          </w:tcPr>
          <w:p>
            <w:pPr>
              <w:rPr>
                <w:rFonts w:ascii="宋体" w:hAnsi="宋体" w:cs="宋体"/>
                <w:sz w:val="24"/>
              </w:rPr>
            </w:pPr>
            <w:r>
              <w:rPr>
                <w:rFonts w:hint="eastAsia"/>
                <w:color w:val="000000"/>
              </w:rPr>
              <w:t>与院内其他部门配合情况。</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22</w:t>
            </w:r>
          </w:p>
        </w:tc>
        <w:tc>
          <w:tcPr>
            <w:tcW w:w="3514" w:type="dxa"/>
            <w:noWrap w:val="0"/>
            <w:vAlign w:val="bottom"/>
          </w:tcPr>
          <w:p>
            <w:pPr>
              <w:rPr>
                <w:rFonts w:ascii="宋体" w:hAnsi="宋体" w:cs="宋体"/>
                <w:sz w:val="24"/>
              </w:rPr>
            </w:pPr>
            <w:r>
              <w:rPr>
                <w:rFonts w:hint="eastAsia"/>
              </w:rPr>
              <w:t>做好排送风系统的维护保养，噪音符合标准，控制开关系统正常。</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23</w:t>
            </w:r>
          </w:p>
        </w:tc>
        <w:tc>
          <w:tcPr>
            <w:tcW w:w="3514" w:type="dxa"/>
            <w:noWrap w:val="0"/>
            <w:vAlign w:val="bottom"/>
          </w:tcPr>
          <w:p>
            <w:pPr>
              <w:rPr>
                <w:rFonts w:ascii="宋体" w:hAnsi="宋体" w:cs="宋体"/>
                <w:sz w:val="24"/>
              </w:rPr>
            </w:pPr>
            <w:r>
              <w:rPr>
                <w:rFonts w:hint="eastAsia"/>
                <w:color w:val="000000"/>
              </w:rPr>
              <w:t>人员有无兼职情况。</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24</w:t>
            </w:r>
          </w:p>
        </w:tc>
        <w:tc>
          <w:tcPr>
            <w:tcW w:w="3514" w:type="dxa"/>
            <w:noWrap w:val="0"/>
            <w:vAlign w:val="bottom"/>
          </w:tcPr>
          <w:p>
            <w:pPr>
              <w:rPr>
                <w:rFonts w:ascii="宋体" w:hAnsi="宋体" w:cs="宋体"/>
                <w:sz w:val="24"/>
              </w:rPr>
            </w:pPr>
            <w:r>
              <w:rPr>
                <w:rFonts w:hint="eastAsia"/>
              </w:rPr>
              <w:t>保障供水系统运行正常，保证大楼用水，定期清洗水箱和水质检测，确保医院用水安全卫生，水箱、水龙头等无漏水现象，使用正常。</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25</w:t>
            </w:r>
          </w:p>
        </w:tc>
        <w:tc>
          <w:tcPr>
            <w:tcW w:w="3514" w:type="dxa"/>
            <w:noWrap w:val="0"/>
            <w:vAlign w:val="bottom"/>
          </w:tcPr>
          <w:p>
            <w:pPr>
              <w:rPr>
                <w:rFonts w:ascii="宋体" w:hAnsi="宋体" w:cs="宋体"/>
                <w:sz w:val="24"/>
              </w:rPr>
            </w:pPr>
            <w:r>
              <w:rPr>
                <w:rFonts w:hint="eastAsia"/>
              </w:rPr>
              <w:t>做好医院内直饮机系统的维护，定期更换滤芯，保证供水及时、卫生。</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26</w:t>
            </w:r>
          </w:p>
        </w:tc>
        <w:tc>
          <w:tcPr>
            <w:tcW w:w="3514" w:type="dxa"/>
            <w:noWrap w:val="0"/>
            <w:vAlign w:val="bottom"/>
          </w:tcPr>
          <w:p>
            <w:pPr>
              <w:rPr>
                <w:rFonts w:ascii="宋体" w:hAnsi="宋体" w:cs="宋体"/>
                <w:sz w:val="24"/>
              </w:rPr>
            </w:pPr>
            <w:r>
              <w:rPr>
                <w:rFonts w:hint="eastAsia"/>
              </w:rPr>
              <w:t>做好排水排污系统的维护保养工作，污水井水位正常，出入水口无异物，保证系统运行正常。</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27</w:t>
            </w:r>
          </w:p>
        </w:tc>
        <w:tc>
          <w:tcPr>
            <w:tcW w:w="3514" w:type="dxa"/>
            <w:noWrap w:val="0"/>
            <w:vAlign w:val="bottom"/>
          </w:tcPr>
          <w:p>
            <w:pPr>
              <w:rPr>
                <w:rFonts w:ascii="宋体" w:hAnsi="宋体" w:cs="宋体"/>
                <w:sz w:val="24"/>
              </w:rPr>
            </w:pPr>
            <w:r>
              <w:rPr>
                <w:rFonts w:hint="eastAsia"/>
              </w:rPr>
              <w:t>做好消防系统维护保养工作，保障系统内各消防泵、消防控制柜、消防炮系统、消防水池、消防水箱、消防阀门及末端报警指示装置等设备正常运行，如有故障及时解决并上报。</w:t>
            </w:r>
          </w:p>
        </w:tc>
        <w:tc>
          <w:tcPr>
            <w:tcW w:w="700" w:type="dxa"/>
            <w:noWrap w:val="0"/>
            <w:vAlign w:val="center"/>
          </w:tcPr>
          <w:p>
            <w:pPr>
              <w:jc w:val="center"/>
              <w:rPr>
                <w:rFonts w:ascii="宋体" w:hAnsi="宋体" w:cs="宋体"/>
                <w:sz w:val="24"/>
              </w:rPr>
            </w:pPr>
            <w:r>
              <w:t>5</w:t>
            </w:r>
          </w:p>
        </w:tc>
        <w:tc>
          <w:tcPr>
            <w:tcW w:w="564" w:type="dxa"/>
            <w:noWrap w:val="0"/>
            <w:vAlign w:val="center"/>
          </w:tcPr>
          <w:p>
            <w:pPr>
              <w:jc w:val="center"/>
              <w:rPr>
                <w:rFonts w:ascii="宋体" w:hAnsi="宋体" w:cs="宋体"/>
                <w:sz w:val="24"/>
              </w:rPr>
            </w:pPr>
            <w:r>
              <w:t>5</w:t>
            </w:r>
          </w:p>
        </w:tc>
        <w:tc>
          <w:tcPr>
            <w:tcW w:w="563" w:type="dxa"/>
            <w:noWrap w:val="0"/>
            <w:vAlign w:val="center"/>
          </w:tcPr>
          <w:p>
            <w:pPr>
              <w:jc w:val="center"/>
              <w:rPr>
                <w:rFonts w:ascii="宋体" w:hAnsi="宋体" w:cs="宋体"/>
                <w:sz w:val="24"/>
              </w:rPr>
            </w:pPr>
            <w:r>
              <w:t>4.5</w:t>
            </w:r>
          </w:p>
        </w:tc>
        <w:tc>
          <w:tcPr>
            <w:tcW w:w="584" w:type="dxa"/>
            <w:noWrap w:val="0"/>
            <w:vAlign w:val="center"/>
          </w:tcPr>
          <w:p>
            <w:pPr>
              <w:jc w:val="center"/>
              <w:rPr>
                <w:rFonts w:ascii="宋体" w:hAnsi="宋体" w:cs="宋体"/>
                <w:sz w:val="24"/>
              </w:rPr>
            </w:pPr>
            <w:r>
              <w:t>4</w:t>
            </w:r>
          </w:p>
        </w:tc>
        <w:tc>
          <w:tcPr>
            <w:tcW w:w="584" w:type="dxa"/>
            <w:noWrap w:val="0"/>
            <w:vAlign w:val="center"/>
          </w:tcPr>
          <w:p>
            <w:pPr>
              <w:jc w:val="center"/>
              <w:rPr>
                <w:rFonts w:ascii="宋体" w:hAnsi="宋体" w:cs="宋体"/>
                <w:sz w:val="24"/>
              </w:rPr>
            </w:pPr>
            <w:r>
              <w:t>3</w:t>
            </w:r>
          </w:p>
        </w:tc>
        <w:tc>
          <w:tcPr>
            <w:tcW w:w="584" w:type="dxa"/>
            <w:noWrap w:val="0"/>
            <w:vAlign w:val="center"/>
          </w:tcPr>
          <w:p>
            <w:pPr>
              <w:jc w:val="center"/>
              <w:rPr>
                <w:rFonts w:ascii="宋体" w:hAnsi="宋体" w:cs="宋体"/>
                <w:sz w:val="24"/>
              </w:rPr>
            </w:pPr>
            <w:r>
              <w:t>1.5</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28</w:t>
            </w:r>
          </w:p>
        </w:tc>
        <w:tc>
          <w:tcPr>
            <w:tcW w:w="3514" w:type="dxa"/>
            <w:noWrap w:val="0"/>
            <w:vAlign w:val="bottom"/>
          </w:tcPr>
          <w:p>
            <w:pPr>
              <w:rPr>
                <w:rFonts w:ascii="宋体" w:hAnsi="宋体" w:cs="宋体"/>
                <w:sz w:val="24"/>
              </w:rPr>
            </w:pPr>
            <w:r>
              <w:rPr>
                <w:rFonts w:hint="eastAsia"/>
              </w:rPr>
              <w:t>做好医院内照明系统日常维护保养，保持照明完好，并根据实际情况调整照明，节约用电。</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29</w:t>
            </w:r>
          </w:p>
        </w:tc>
        <w:tc>
          <w:tcPr>
            <w:tcW w:w="3514" w:type="dxa"/>
            <w:noWrap w:val="0"/>
            <w:vAlign w:val="center"/>
          </w:tcPr>
          <w:p>
            <w:pPr>
              <w:rPr>
                <w:rFonts w:ascii="宋体" w:hAnsi="宋体" w:cs="宋体"/>
                <w:sz w:val="24"/>
              </w:rPr>
            </w:pPr>
            <w:r>
              <w:rPr>
                <w:rFonts w:hint="eastAsia"/>
              </w:rPr>
              <w:t>电器及控制系统状态良好。</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30</w:t>
            </w:r>
          </w:p>
        </w:tc>
        <w:tc>
          <w:tcPr>
            <w:tcW w:w="3514" w:type="dxa"/>
            <w:noWrap w:val="0"/>
            <w:vAlign w:val="center"/>
          </w:tcPr>
          <w:p>
            <w:pPr>
              <w:rPr>
                <w:rFonts w:ascii="宋体" w:hAnsi="宋体" w:cs="宋体"/>
                <w:sz w:val="24"/>
              </w:rPr>
            </w:pPr>
            <w:r>
              <w:rPr>
                <w:rFonts w:hint="eastAsia"/>
              </w:rPr>
              <w:t>建立维修服务承诺制，维修及时，并规范填写工程设备维修单。</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31</w:t>
            </w:r>
          </w:p>
        </w:tc>
        <w:tc>
          <w:tcPr>
            <w:tcW w:w="3514" w:type="dxa"/>
            <w:noWrap w:val="0"/>
            <w:vAlign w:val="center"/>
          </w:tcPr>
          <w:p>
            <w:pPr>
              <w:rPr>
                <w:rFonts w:ascii="宋体" w:hAnsi="宋体" w:cs="宋体"/>
                <w:color w:val="000000"/>
                <w:sz w:val="24"/>
              </w:rPr>
            </w:pPr>
            <w:r>
              <w:rPr>
                <w:rFonts w:hint="eastAsia"/>
                <w:color w:val="000000"/>
              </w:rPr>
              <w:t>节能管理。</w:t>
            </w:r>
          </w:p>
        </w:tc>
        <w:tc>
          <w:tcPr>
            <w:tcW w:w="700" w:type="dxa"/>
            <w:noWrap w:val="0"/>
            <w:vAlign w:val="center"/>
          </w:tcPr>
          <w:p>
            <w:pPr>
              <w:jc w:val="center"/>
              <w:rPr>
                <w:rFonts w:ascii="宋体" w:hAnsi="宋体" w:cs="宋体"/>
                <w:sz w:val="24"/>
              </w:rPr>
            </w:pPr>
            <w:r>
              <w:t>2</w:t>
            </w:r>
          </w:p>
        </w:tc>
        <w:tc>
          <w:tcPr>
            <w:tcW w:w="564" w:type="dxa"/>
            <w:noWrap w:val="0"/>
            <w:vAlign w:val="center"/>
          </w:tcPr>
          <w:p>
            <w:pPr>
              <w:jc w:val="center"/>
              <w:rPr>
                <w:rFonts w:ascii="宋体" w:hAnsi="宋体" w:cs="宋体"/>
                <w:sz w:val="24"/>
              </w:rPr>
            </w:pPr>
            <w:r>
              <w:t>2</w:t>
            </w:r>
          </w:p>
        </w:tc>
        <w:tc>
          <w:tcPr>
            <w:tcW w:w="563" w:type="dxa"/>
            <w:noWrap w:val="0"/>
            <w:vAlign w:val="center"/>
          </w:tcPr>
          <w:p>
            <w:pPr>
              <w:jc w:val="center"/>
              <w:rPr>
                <w:rFonts w:ascii="宋体" w:hAnsi="宋体" w:cs="宋体"/>
                <w:sz w:val="24"/>
              </w:rPr>
            </w:pPr>
            <w:r>
              <w:t>1.8</w:t>
            </w:r>
          </w:p>
        </w:tc>
        <w:tc>
          <w:tcPr>
            <w:tcW w:w="584" w:type="dxa"/>
            <w:noWrap w:val="0"/>
            <w:vAlign w:val="center"/>
          </w:tcPr>
          <w:p>
            <w:pPr>
              <w:jc w:val="center"/>
              <w:rPr>
                <w:rFonts w:ascii="宋体" w:hAnsi="宋体" w:cs="宋体"/>
                <w:sz w:val="24"/>
              </w:rPr>
            </w:pPr>
            <w:r>
              <w:t>1.4</w:t>
            </w:r>
          </w:p>
        </w:tc>
        <w:tc>
          <w:tcPr>
            <w:tcW w:w="584" w:type="dxa"/>
            <w:noWrap w:val="0"/>
            <w:vAlign w:val="center"/>
          </w:tcPr>
          <w:p>
            <w:pPr>
              <w:jc w:val="center"/>
              <w:rPr>
                <w:rFonts w:ascii="宋体" w:hAnsi="宋体" w:cs="宋体"/>
                <w:sz w:val="24"/>
              </w:rPr>
            </w:pPr>
            <w:r>
              <w:t>1</w:t>
            </w:r>
          </w:p>
        </w:tc>
        <w:tc>
          <w:tcPr>
            <w:tcW w:w="584" w:type="dxa"/>
            <w:noWrap w:val="0"/>
            <w:vAlign w:val="center"/>
          </w:tcPr>
          <w:p>
            <w:pPr>
              <w:jc w:val="center"/>
              <w:rPr>
                <w:rFonts w:ascii="宋体" w:hAnsi="宋体" w:cs="宋体"/>
                <w:sz w:val="24"/>
              </w:rPr>
            </w:pPr>
            <w:r>
              <w:t>0.5</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32</w:t>
            </w:r>
          </w:p>
        </w:tc>
        <w:tc>
          <w:tcPr>
            <w:tcW w:w="3514" w:type="dxa"/>
            <w:noWrap w:val="0"/>
            <w:vAlign w:val="center"/>
          </w:tcPr>
          <w:p>
            <w:pPr>
              <w:rPr>
                <w:rFonts w:ascii="宋体" w:hAnsi="宋体" w:cs="宋体"/>
                <w:color w:val="000000"/>
                <w:sz w:val="24"/>
              </w:rPr>
            </w:pPr>
            <w:r>
              <w:rPr>
                <w:rFonts w:hint="eastAsia"/>
                <w:color w:val="000000"/>
              </w:rPr>
              <w:t>认真做好设备设施日、夜巡查工作。</w:t>
            </w:r>
          </w:p>
        </w:tc>
        <w:tc>
          <w:tcPr>
            <w:tcW w:w="700" w:type="dxa"/>
            <w:noWrap w:val="0"/>
            <w:vAlign w:val="center"/>
          </w:tcPr>
          <w:p>
            <w:pPr>
              <w:jc w:val="center"/>
              <w:rPr>
                <w:rFonts w:ascii="宋体" w:hAnsi="宋体" w:cs="宋体"/>
                <w:sz w:val="24"/>
              </w:rPr>
            </w:pPr>
            <w:r>
              <w:t>5</w:t>
            </w:r>
          </w:p>
        </w:tc>
        <w:tc>
          <w:tcPr>
            <w:tcW w:w="564" w:type="dxa"/>
            <w:noWrap w:val="0"/>
            <w:vAlign w:val="center"/>
          </w:tcPr>
          <w:p>
            <w:pPr>
              <w:jc w:val="center"/>
              <w:rPr>
                <w:rFonts w:ascii="宋体" w:hAnsi="宋体" w:cs="宋体"/>
                <w:sz w:val="24"/>
              </w:rPr>
            </w:pPr>
            <w:r>
              <w:t>5</w:t>
            </w:r>
          </w:p>
        </w:tc>
        <w:tc>
          <w:tcPr>
            <w:tcW w:w="563" w:type="dxa"/>
            <w:noWrap w:val="0"/>
            <w:vAlign w:val="center"/>
          </w:tcPr>
          <w:p>
            <w:pPr>
              <w:jc w:val="center"/>
              <w:rPr>
                <w:rFonts w:ascii="宋体" w:hAnsi="宋体" w:cs="宋体"/>
                <w:sz w:val="24"/>
              </w:rPr>
            </w:pPr>
            <w:r>
              <w:t>4.5</w:t>
            </w:r>
          </w:p>
        </w:tc>
        <w:tc>
          <w:tcPr>
            <w:tcW w:w="584" w:type="dxa"/>
            <w:noWrap w:val="0"/>
            <w:vAlign w:val="center"/>
          </w:tcPr>
          <w:p>
            <w:pPr>
              <w:jc w:val="center"/>
              <w:rPr>
                <w:rFonts w:ascii="宋体" w:hAnsi="宋体" w:cs="宋体"/>
                <w:sz w:val="24"/>
              </w:rPr>
            </w:pPr>
            <w:r>
              <w:t>4</w:t>
            </w:r>
          </w:p>
        </w:tc>
        <w:tc>
          <w:tcPr>
            <w:tcW w:w="584" w:type="dxa"/>
            <w:noWrap w:val="0"/>
            <w:vAlign w:val="center"/>
          </w:tcPr>
          <w:p>
            <w:pPr>
              <w:jc w:val="center"/>
              <w:rPr>
                <w:rFonts w:ascii="宋体" w:hAnsi="宋体" w:cs="宋体"/>
                <w:sz w:val="24"/>
              </w:rPr>
            </w:pPr>
            <w:r>
              <w:t>3</w:t>
            </w:r>
          </w:p>
        </w:tc>
        <w:tc>
          <w:tcPr>
            <w:tcW w:w="584" w:type="dxa"/>
            <w:noWrap w:val="0"/>
            <w:vAlign w:val="center"/>
          </w:tcPr>
          <w:p>
            <w:pPr>
              <w:jc w:val="center"/>
              <w:rPr>
                <w:rFonts w:ascii="宋体" w:hAnsi="宋体" w:cs="宋体"/>
                <w:sz w:val="24"/>
              </w:rPr>
            </w:pPr>
            <w:r>
              <w:t>1.5</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33</w:t>
            </w:r>
          </w:p>
        </w:tc>
        <w:tc>
          <w:tcPr>
            <w:tcW w:w="3514" w:type="dxa"/>
            <w:noWrap w:val="0"/>
            <w:vAlign w:val="center"/>
          </w:tcPr>
          <w:p>
            <w:pPr>
              <w:rPr>
                <w:rFonts w:ascii="宋体" w:hAnsi="宋体" w:cs="宋体"/>
                <w:sz w:val="24"/>
              </w:rPr>
            </w:pPr>
            <w:r>
              <w:rPr>
                <w:rFonts w:hint="eastAsia"/>
              </w:rPr>
              <w:t>做好经允许的外来施工或临时搭建的用电配合，做好用电安全检查监督工作。</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34</w:t>
            </w:r>
          </w:p>
        </w:tc>
        <w:tc>
          <w:tcPr>
            <w:tcW w:w="3514" w:type="dxa"/>
            <w:noWrap w:val="0"/>
            <w:vAlign w:val="center"/>
          </w:tcPr>
          <w:p>
            <w:pPr>
              <w:rPr>
                <w:rFonts w:ascii="宋体" w:hAnsi="宋体" w:cs="宋体"/>
                <w:sz w:val="24"/>
              </w:rPr>
            </w:pPr>
            <w:r>
              <w:rPr>
                <w:rFonts w:hint="eastAsia"/>
              </w:rPr>
              <w:t>部门员工熟悉基本消防知识、本岗位消防安全职责，能熟练使用灭火器和执行各项应急预案操作流程。</w:t>
            </w:r>
          </w:p>
        </w:tc>
        <w:tc>
          <w:tcPr>
            <w:tcW w:w="700" w:type="dxa"/>
            <w:noWrap w:val="0"/>
            <w:vAlign w:val="center"/>
          </w:tcPr>
          <w:p>
            <w:pPr>
              <w:jc w:val="center"/>
              <w:rPr>
                <w:rFonts w:ascii="宋体" w:hAnsi="宋体" w:cs="宋体"/>
                <w:sz w:val="24"/>
              </w:rPr>
            </w:pPr>
            <w:r>
              <w:t>5</w:t>
            </w:r>
          </w:p>
        </w:tc>
        <w:tc>
          <w:tcPr>
            <w:tcW w:w="564" w:type="dxa"/>
            <w:noWrap w:val="0"/>
            <w:vAlign w:val="center"/>
          </w:tcPr>
          <w:p>
            <w:pPr>
              <w:jc w:val="center"/>
              <w:rPr>
                <w:rFonts w:ascii="宋体" w:hAnsi="宋体" w:cs="宋体"/>
                <w:sz w:val="24"/>
              </w:rPr>
            </w:pPr>
            <w:r>
              <w:t>5</w:t>
            </w:r>
          </w:p>
        </w:tc>
        <w:tc>
          <w:tcPr>
            <w:tcW w:w="563" w:type="dxa"/>
            <w:noWrap w:val="0"/>
            <w:vAlign w:val="center"/>
          </w:tcPr>
          <w:p>
            <w:pPr>
              <w:jc w:val="center"/>
              <w:rPr>
                <w:rFonts w:ascii="宋体" w:hAnsi="宋体" w:cs="宋体"/>
                <w:sz w:val="24"/>
              </w:rPr>
            </w:pPr>
            <w:r>
              <w:t>4.5</w:t>
            </w:r>
          </w:p>
        </w:tc>
        <w:tc>
          <w:tcPr>
            <w:tcW w:w="584" w:type="dxa"/>
            <w:noWrap w:val="0"/>
            <w:vAlign w:val="center"/>
          </w:tcPr>
          <w:p>
            <w:pPr>
              <w:jc w:val="center"/>
              <w:rPr>
                <w:rFonts w:ascii="宋体" w:hAnsi="宋体" w:cs="宋体"/>
                <w:sz w:val="24"/>
              </w:rPr>
            </w:pPr>
            <w:r>
              <w:t>4</w:t>
            </w:r>
          </w:p>
        </w:tc>
        <w:tc>
          <w:tcPr>
            <w:tcW w:w="584" w:type="dxa"/>
            <w:noWrap w:val="0"/>
            <w:vAlign w:val="center"/>
          </w:tcPr>
          <w:p>
            <w:pPr>
              <w:jc w:val="center"/>
              <w:rPr>
                <w:rFonts w:ascii="宋体" w:hAnsi="宋体" w:cs="宋体"/>
                <w:sz w:val="24"/>
              </w:rPr>
            </w:pPr>
            <w:r>
              <w:t>3</w:t>
            </w:r>
          </w:p>
        </w:tc>
        <w:tc>
          <w:tcPr>
            <w:tcW w:w="584" w:type="dxa"/>
            <w:noWrap w:val="0"/>
            <w:vAlign w:val="center"/>
          </w:tcPr>
          <w:p>
            <w:pPr>
              <w:jc w:val="center"/>
              <w:rPr>
                <w:rFonts w:ascii="宋体" w:hAnsi="宋体" w:cs="宋体"/>
                <w:sz w:val="24"/>
              </w:rPr>
            </w:pPr>
            <w:r>
              <w:t>1.5</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noWrap w:val="0"/>
            <w:vAlign w:val="top"/>
          </w:tcPr>
          <w:p>
            <w:pPr>
              <w:adjustRightInd w:val="0"/>
              <w:snapToGrid w:val="0"/>
              <w:spacing w:line="400" w:lineRule="exact"/>
              <w:rPr>
                <w:rFonts w:ascii="Arial" w:hAnsi="Arial" w:cs="Arial"/>
                <w:b/>
                <w:bCs/>
                <w:szCs w:val="21"/>
              </w:rPr>
            </w:pPr>
            <w:r>
              <w:rPr>
                <w:rFonts w:hint="eastAsia" w:ascii="Arial" w:hAnsi="Arial" w:cs="Arial"/>
                <w:b/>
                <w:bCs/>
                <w:szCs w:val="21"/>
              </w:rPr>
              <w:t>分数小计</w:t>
            </w:r>
          </w:p>
        </w:tc>
        <w:tc>
          <w:tcPr>
            <w:tcW w:w="567" w:type="dxa"/>
            <w:noWrap w:val="0"/>
            <w:vAlign w:val="center"/>
          </w:tcPr>
          <w:p>
            <w:pPr>
              <w:jc w:val="center"/>
            </w:pPr>
          </w:p>
        </w:tc>
        <w:tc>
          <w:tcPr>
            <w:tcW w:w="3514" w:type="dxa"/>
            <w:noWrap w:val="0"/>
            <w:vAlign w:val="bottom"/>
          </w:tcPr>
          <w:p/>
        </w:tc>
        <w:tc>
          <w:tcPr>
            <w:tcW w:w="700" w:type="dxa"/>
            <w:noWrap w:val="0"/>
            <w:vAlign w:val="center"/>
          </w:tcPr>
          <w:p>
            <w:pPr>
              <w:jc w:val="center"/>
              <w:rPr>
                <w:rFonts w:ascii="宋体" w:hAnsi="宋体" w:cs="宋体"/>
                <w:sz w:val="24"/>
              </w:rPr>
            </w:pPr>
            <w:r>
              <w:t>100</w:t>
            </w:r>
          </w:p>
        </w:tc>
        <w:tc>
          <w:tcPr>
            <w:tcW w:w="564" w:type="dxa"/>
            <w:noWrap w:val="0"/>
            <w:vAlign w:val="center"/>
          </w:tcPr>
          <w:p>
            <w:pPr>
              <w:jc w:val="center"/>
              <w:rPr>
                <w:rFonts w:ascii="宋体" w:hAnsi="宋体" w:cs="宋体"/>
                <w:sz w:val="24"/>
              </w:rPr>
            </w:pPr>
            <w:r>
              <w:t>100</w:t>
            </w:r>
          </w:p>
        </w:tc>
        <w:tc>
          <w:tcPr>
            <w:tcW w:w="563" w:type="dxa"/>
            <w:noWrap w:val="0"/>
            <w:vAlign w:val="center"/>
          </w:tcPr>
          <w:p>
            <w:pPr>
              <w:jc w:val="center"/>
              <w:rPr>
                <w:rFonts w:ascii="宋体" w:hAnsi="宋体" w:cs="宋体"/>
                <w:sz w:val="24"/>
              </w:rPr>
            </w:pPr>
            <w:r>
              <w:t>90</w:t>
            </w:r>
          </w:p>
        </w:tc>
        <w:tc>
          <w:tcPr>
            <w:tcW w:w="584" w:type="dxa"/>
            <w:noWrap w:val="0"/>
            <w:vAlign w:val="center"/>
          </w:tcPr>
          <w:p>
            <w:pPr>
              <w:jc w:val="center"/>
              <w:rPr>
                <w:rFonts w:ascii="宋体" w:hAnsi="宋体" w:cs="宋体"/>
                <w:sz w:val="24"/>
              </w:rPr>
            </w:pPr>
            <w:r>
              <w:t>75.9</w:t>
            </w:r>
          </w:p>
        </w:tc>
        <w:tc>
          <w:tcPr>
            <w:tcW w:w="584" w:type="dxa"/>
            <w:noWrap w:val="0"/>
            <w:vAlign w:val="center"/>
          </w:tcPr>
          <w:p>
            <w:pPr>
              <w:jc w:val="center"/>
              <w:rPr>
                <w:rFonts w:ascii="宋体" w:hAnsi="宋体" w:cs="宋体"/>
                <w:sz w:val="24"/>
              </w:rPr>
            </w:pPr>
            <w:r>
              <w:t>51.5</w:t>
            </w:r>
          </w:p>
        </w:tc>
        <w:tc>
          <w:tcPr>
            <w:tcW w:w="584" w:type="dxa"/>
            <w:noWrap w:val="0"/>
            <w:vAlign w:val="center"/>
          </w:tcPr>
          <w:p>
            <w:pPr>
              <w:jc w:val="center"/>
              <w:rPr>
                <w:rFonts w:ascii="宋体" w:hAnsi="宋体" w:cs="宋体"/>
                <w:sz w:val="24"/>
              </w:rPr>
            </w:pPr>
            <w:r>
              <w:t>28.9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restart"/>
            <w:noWrap w:val="0"/>
            <w:vAlign w:val="top"/>
          </w:tcPr>
          <w:p>
            <w:pPr>
              <w:adjustRightInd w:val="0"/>
              <w:snapToGrid w:val="0"/>
              <w:spacing w:line="400" w:lineRule="exact"/>
              <w:rPr>
                <w:rFonts w:ascii="Arial" w:hAnsi="Arial" w:cs="Arial"/>
                <w:b/>
                <w:bCs/>
                <w:szCs w:val="21"/>
              </w:rPr>
            </w:pPr>
            <w:r>
              <w:rPr>
                <w:rFonts w:hint="eastAsia" w:ascii="Arial" w:hAnsi="Arial" w:cs="Arial"/>
                <w:b/>
                <w:bCs/>
                <w:szCs w:val="21"/>
              </w:rPr>
              <w:t>日常检查扣分项目</w:t>
            </w:r>
          </w:p>
        </w:tc>
        <w:tc>
          <w:tcPr>
            <w:tcW w:w="567" w:type="dxa"/>
            <w:noWrap w:val="0"/>
            <w:vAlign w:val="center"/>
          </w:tcPr>
          <w:p>
            <w:pPr>
              <w:jc w:val="center"/>
            </w:pPr>
          </w:p>
        </w:tc>
        <w:tc>
          <w:tcPr>
            <w:tcW w:w="3514" w:type="dxa"/>
            <w:noWrap w:val="0"/>
            <w:vAlign w:val="bottom"/>
          </w:tcPr>
          <w:p>
            <w:pPr>
              <w:rPr>
                <w:rFonts w:ascii="宋体" w:hAnsi="宋体" w:cs="宋体"/>
                <w:sz w:val="24"/>
              </w:rPr>
            </w:pPr>
            <w:r>
              <w:t>1</w:t>
            </w:r>
            <w:r>
              <w:rPr>
                <w:rFonts w:hint="eastAsia"/>
              </w:rPr>
              <w:t>、由于工作不到位被服务对象投诉的。</w:t>
            </w:r>
          </w:p>
        </w:tc>
        <w:tc>
          <w:tcPr>
            <w:tcW w:w="3579" w:type="dxa"/>
            <w:gridSpan w:val="6"/>
            <w:noWrap w:val="0"/>
            <w:vAlign w:val="center"/>
          </w:tcPr>
          <w:p>
            <w:pPr>
              <w:jc w:val="center"/>
              <w:rPr>
                <w:rFonts w:ascii="宋体" w:hAnsi="宋体" w:cs="宋体"/>
                <w:sz w:val="24"/>
              </w:rPr>
            </w:pPr>
            <w:r>
              <w:rPr>
                <w:rFonts w:hint="eastAsia"/>
              </w:rPr>
              <w:t>投诉一次扣</w:t>
            </w:r>
            <w:r>
              <w:t>1</w:t>
            </w:r>
            <w:r>
              <w:rPr>
                <w:rFonts w:hint="eastAsia"/>
              </w:rPr>
              <w:t>分，限扣</w:t>
            </w:r>
            <w:r>
              <w:t>3</w:t>
            </w:r>
            <w:r>
              <w:rPr>
                <w:rFonts w:hint="eastAsia"/>
              </w:rPr>
              <w:t>分</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pPr>
          </w:p>
        </w:tc>
        <w:tc>
          <w:tcPr>
            <w:tcW w:w="3514" w:type="dxa"/>
            <w:noWrap w:val="0"/>
            <w:vAlign w:val="bottom"/>
          </w:tcPr>
          <w:p>
            <w:pPr>
              <w:rPr>
                <w:rFonts w:ascii="宋体" w:hAnsi="宋体" w:cs="宋体"/>
                <w:sz w:val="24"/>
              </w:rPr>
            </w:pPr>
            <w:r>
              <w:t>2</w:t>
            </w:r>
            <w:r>
              <w:rPr>
                <w:rFonts w:hint="eastAsia"/>
              </w:rPr>
              <w:t>、对监管部门（人员）提出的整改意见落实不到位的。</w:t>
            </w:r>
          </w:p>
        </w:tc>
        <w:tc>
          <w:tcPr>
            <w:tcW w:w="3579" w:type="dxa"/>
            <w:gridSpan w:val="6"/>
            <w:noWrap w:val="0"/>
            <w:vAlign w:val="center"/>
          </w:tcPr>
          <w:p>
            <w:pPr>
              <w:jc w:val="center"/>
              <w:rPr>
                <w:rFonts w:ascii="宋体" w:hAnsi="宋体" w:cs="宋体"/>
                <w:sz w:val="24"/>
              </w:rPr>
            </w:pPr>
            <w:r>
              <w:rPr>
                <w:rFonts w:hint="eastAsia"/>
              </w:rPr>
              <w:t>出现一次扣</w:t>
            </w:r>
            <w:r>
              <w:t>1</w:t>
            </w:r>
            <w:r>
              <w:rPr>
                <w:rFonts w:hint="eastAsia"/>
              </w:rPr>
              <w:t>分，限扣</w:t>
            </w:r>
            <w:r>
              <w:t>5</w:t>
            </w:r>
            <w:r>
              <w:rPr>
                <w:rFonts w:hint="eastAsia"/>
              </w:rPr>
              <w:t>分</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pPr>
          </w:p>
        </w:tc>
        <w:tc>
          <w:tcPr>
            <w:tcW w:w="3514" w:type="dxa"/>
            <w:noWrap w:val="0"/>
            <w:vAlign w:val="bottom"/>
          </w:tcPr>
          <w:p>
            <w:pPr>
              <w:rPr>
                <w:rFonts w:ascii="宋体" w:hAnsi="宋体" w:cs="宋体"/>
                <w:sz w:val="24"/>
              </w:rPr>
            </w:pPr>
            <w:r>
              <w:t>3</w:t>
            </w:r>
            <w:r>
              <w:rPr>
                <w:rFonts w:hint="eastAsia"/>
              </w:rPr>
              <w:t>、由于工作失误或管理不善，造成不良影响或损失的。</w:t>
            </w:r>
          </w:p>
        </w:tc>
        <w:tc>
          <w:tcPr>
            <w:tcW w:w="3579" w:type="dxa"/>
            <w:gridSpan w:val="6"/>
            <w:noWrap w:val="0"/>
            <w:vAlign w:val="center"/>
          </w:tcPr>
          <w:p>
            <w:pPr>
              <w:jc w:val="center"/>
              <w:rPr>
                <w:rFonts w:ascii="宋体" w:hAnsi="宋体" w:cs="宋体"/>
                <w:sz w:val="24"/>
              </w:rPr>
            </w:pPr>
            <w:r>
              <w:rPr>
                <w:rFonts w:hint="eastAsia"/>
              </w:rPr>
              <w:t>视情况严重性扣</w:t>
            </w:r>
            <w:r>
              <w:t>1-10</w:t>
            </w:r>
            <w:r>
              <w:rPr>
                <w:rFonts w:hint="eastAsia"/>
              </w:rPr>
              <w:t>分</w:t>
            </w:r>
          </w:p>
        </w:tc>
        <w:tc>
          <w:tcPr>
            <w:tcW w:w="561" w:type="dxa"/>
            <w:noWrap w:val="0"/>
            <w:vAlign w:val="top"/>
          </w:tcPr>
          <w:p>
            <w:pPr>
              <w:adjustRightInd w:val="0"/>
              <w:snapToGrid w:val="0"/>
              <w:spacing w:line="400" w:lineRule="exact"/>
              <w:rPr>
                <w:rFonts w:ascii="Arial" w:hAnsi="Arial" w:cs="Arial"/>
                <w:b/>
                <w:bCs/>
                <w:szCs w:val="21"/>
              </w:rPr>
            </w:pPr>
          </w:p>
        </w:tc>
      </w:tr>
    </w:tbl>
    <w:p>
      <w:pPr>
        <w:widowControl/>
        <w:jc w:val="left"/>
        <w:rPr>
          <w:rFonts w:ascii="宋体" w:hAnsi="宋体"/>
          <w:b/>
          <w:bCs/>
          <w:sz w:val="28"/>
        </w:rPr>
      </w:pPr>
    </w:p>
    <w:p>
      <w:pPr>
        <w:widowControl/>
        <w:jc w:val="left"/>
        <w:rPr>
          <w:rFonts w:ascii="宋体"/>
          <w:b/>
          <w:bCs/>
          <w:sz w:val="24"/>
        </w:rPr>
      </w:pPr>
      <w:r>
        <w:rPr>
          <w:rFonts w:hint="eastAsia" w:ascii="宋体" w:hAnsi="宋体"/>
          <w:b/>
          <w:bCs/>
          <w:sz w:val="24"/>
        </w:rPr>
        <w:t>三、月度绩效考核奖罚标准</w:t>
      </w:r>
    </w:p>
    <w:p>
      <w:pPr>
        <w:widowControl/>
        <w:ind w:firstLine="480" w:firstLineChars="200"/>
        <w:jc w:val="left"/>
        <w:rPr>
          <w:rFonts w:ascii="宋体"/>
          <w:b/>
          <w:bCs/>
          <w:sz w:val="24"/>
        </w:rPr>
      </w:pPr>
      <w:r>
        <w:rPr>
          <w:rFonts w:hint="eastAsia"/>
          <w:sz w:val="24"/>
        </w:rPr>
        <w:t>招标人组织各相关科室参与卫生保洁、配送、勤杂、维修工等各岗位的打分，汇总</w:t>
      </w:r>
      <w:r>
        <w:rPr>
          <w:rFonts w:hint="eastAsia" w:ascii="宋体" w:hAnsi="宋体"/>
          <w:bCs/>
          <w:sz w:val="24"/>
        </w:rPr>
        <w:t>平均值作为中标人月度绩效考核得分，中标人</w:t>
      </w:r>
      <w:r>
        <w:rPr>
          <w:rFonts w:hint="eastAsia"/>
          <w:sz w:val="24"/>
        </w:rPr>
        <w:t>年度绩效考核得分为各月考核得分的平均值。</w:t>
      </w:r>
    </w:p>
    <w:p>
      <w:pPr>
        <w:widowControl/>
        <w:spacing w:before="100" w:beforeAutospacing="1"/>
        <w:jc w:val="left"/>
        <w:rPr>
          <w:rFonts w:ascii="宋体"/>
          <w:b/>
          <w:bCs/>
          <w:sz w:val="24"/>
        </w:rPr>
      </w:pPr>
      <w:r>
        <w:rPr>
          <w:rFonts w:hint="eastAsia" w:ascii="宋体" w:hAnsi="宋体"/>
          <w:b/>
          <w:bCs/>
          <w:sz w:val="24"/>
        </w:rPr>
        <w:t>处罚方法</w:t>
      </w:r>
    </w:p>
    <w:tbl>
      <w:tblPr>
        <w:tblStyle w:val="70"/>
        <w:tblW w:w="91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1"/>
        <w:gridCol w:w="4735"/>
        <w:gridCol w:w="30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11" w:type="dxa"/>
            <w:tcBorders>
              <w:top w:val="single" w:color="auto" w:sz="4" w:space="0"/>
              <w:bottom w:val="single" w:color="auto" w:sz="4" w:space="0"/>
              <w:right w:val="single" w:color="auto" w:sz="4" w:space="0"/>
            </w:tcBorders>
            <w:noWrap w:val="0"/>
            <w:vAlign w:val="center"/>
          </w:tcPr>
          <w:p>
            <w:pPr>
              <w:widowControl/>
              <w:jc w:val="center"/>
              <w:rPr>
                <w:rFonts w:ascii="宋体" w:hAnsi="宋体"/>
                <w:b/>
                <w:bCs/>
                <w:sz w:val="24"/>
              </w:rPr>
            </w:pPr>
            <w:r>
              <w:rPr>
                <w:rFonts w:hint="eastAsia" w:ascii="宋体" w:hAnsi="宋体"/>
                <w:b/>
                <w:bCs/>
                <w:sz w:val="24"/>
              </w:rPr>
              <w:t>序号</w:t>
            </w:r>
          </w:p>
        </w:tc>
        <w:tc>
          <w:tcPr>
            <w:tcW w:w="4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bCs/>
                <w:sz w:val="24"/>
              </w:rPr>
            </w:pPr>
            <w:r>
              <w:rPr>
                <w:rFonts w:hint="eastAsia" w:ascii="宋体" w:hAnsi="宋体"/>
                <w:b/>
                <w:bCs/>
                <w:sz w:val="24"/>
              </w:rPr>
              <w:t>月度评分</w:t>
            </w:r>
          </w:p>
        </w:tc>
        <w:tc>
          <w:tcPr>
            <w:tcW w:w="3042" w:type="dxa"/>
            <w:tcBorders>
              <w:top w:val="single" w:color="auto" w:sz="4" w:space="0"/>
              <w:left w:val="single" w:color="auto" w:sz="4" w:space="0"/>
              <w:bottom w:val="single" w:color="auto" w:sz="4" w:space="0"/>
            </w:tcBorders>
            <w:noWrap w:val="0"/>
            <w:vAlign w:val="center"/>
          </w:tcPr>
          <w:p>
            <w:pPr>
              <w:widowControl/>
              <w:jc w:val="center"/>
              <w:rPr>
                <w:rFonts w:ascii="宋体" w:hAnsi="宋体"/>
                <w:b/>
                <w:bCs/>
                <w:sz w:val="24"/>
              </w:rPr>
            </w:pPr>
            <w:r>
              <w:rPr>
                <w:rFonts w:hint="eastAsia" w:ascii="宋体" w:hAnsi="宋体"/>
                <w:b/>
                <w:bCs/>
                <w:sz w:val="24"/>
              </w:rPr>
              <w:t>扣款标准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11" w:type="dxa"/>
            <w:tcBorders>
              <w:top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ascii="宋体" w:hAnsi="宋体"/>
                <w:sz w:val="24"/>
              </w:rPr>
              <w:t xml:space="preserve">1 </w:t>
            </w:r>
          </w:p>
        </w:tc>
        <w:tc>
          <w:tcPr>
            <w:tcW w:w="4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ascii="宋体" w:hAnsi="宋体"/>
                <w:sz w:val="24"/>
              </w:rPr>
              <w:t>89</w:t>
            </w:r>
            <w:r>
              <w:rPr>
                <w:rFonts w:hint="eastAsia" w:ascii="宋体" w:hAnsi="宋体"/>
                <w:sz w:val="24"/>
              </w:rPr>
              <w:t>分（含）以上</w:t>
            </w:r>
          </w:p>
        </w:tc>
        <w:tc>
          <w:tcPr>
            <w:tcW w:w="3042" w:type="dxa"/>
            <w:tcBorders>
              <w:top w:val="single" w:color="auto" w:sz="4" w:space="0"/>
              <w:left w:val="single" w:color="auto" w:sz="4" w:space="0"/>
              <w:bottom w:val="single" w:color="auto" w:sz="4" w:space="0"/>
            </w:tcBorders>
            <w:noWrap w:val="0"/>
            <w:vAlign w:val="center"/>
          </w:tcPr>
          <w:p>
            <w:pPr>
              <w:widowControl/>
              <w:jc w:val="left"/>
              <w:rPr>
                <w:rFonts w:ascii="宋体" w:hAnsi="宋体"/>
                <w:sz w:val="24"/>
              </w:rPr>
            </w:pPr>
            <w:r>
              <w:rPr>
                <w:rFonts w:hint="eastAsia" w:ascii="宋体" w:hAnsi="宋体"/>
                <w:sz w:val="24"/>
              </w:rPr>
              <w:t>支付全部月度合同金额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11" w:type="dxa"/>
            <w:tcBorders>
              <w:top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ascii="宋体" w:hAnsi="宋体"/>
                <w:sz w:val="24"/>
              </w:rPr>
              <w:t xml:space="preserve">2 </w:t>
            </w:r>
          </w:p>
        </w:tc>
        <w:tc>
          <w:tcPr>
            <w:tcW w:w="4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ascii="宋体" w:hAnsi="宋体"/>
                <w:sz w:val="24"/>
              </w:rPr>
              <w:t>89</w:t>
            </w:r>
            <w:r>
              <w:rPr>
                <w:rFonts w:hint="eastAsia" w:ascii="宋体" w:hAnsi="宋体"/>
                <w:sz w:val="24"/>
              </w:rPr>
              <w:t>分以下，</w:t>
            </w:r>
            <w:r>
              <w:rPr>
                <w:rFonts w:ascii="宋体" w:hAnsi="宋体"/>
                <w:sz w:val="24"/>
              </w:rPr>
              <w:t>84</w:t>
            </w:r>
            <w:r>
              <w:rPr>
                <w:rFonts w:hint="eastAsia" w:ascii="宋体" w:hAnsi="宋体"/>
                <w:sz w:val="24"/>
              </w:rPr>
              <w:t>分（含）以上</w:t>
            </w:r>
          </w:p>
        </w:tc>
        <w:tc>
          <w:tcPr>
            <w:tcW w:w="3042" w:type="dxa"/>
            <w:tcBorders>
              <w:top w:val="single" w:color="auto" w:sz="4" w:space="0"/>
              <w:left w:val="single" w:color="auto" w:sz="4" w:space="0"/>
              <w:bottom w:val="single" w:color="auto" w:sz="4" w:space="0"/>
            </w:tcBorders>
            <w:noWrap w:val="0"/>
            <w:vAlign w:val="center"/>
          </w:tcPr>
          <w:p>
            <w:pPr>
              <w:widowControl/>
              <w:jc w:val="left"/>
              <w:rPr>
                <w:rFonts w:ascii="宋体" w:hAnsi="宋体"/>
                <w:sz w:val="24"/>
              </w:rPr>
            </w:pPr>
            <w:r>
              <w:rPr>
                <w:rFonts w:hint="eastAsia" w:ascii="宋体" w:hAnsi="宋体"/>
                <w:sz w:val="24"/>
              </w:rPr>
              <w:t>扣款为月度合同金额</w:t>
            </w:r>
            <w:r>
              <w:rPr>
                <w:rFonts w:ascii="宋体" w:hAnsi="宋体"/>
                <w:sz w:val="24"/>
              </w:rPr>
              <w:t>2.5%</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11" w:type="dxa"/>
            <w:tcBorders>
              <w:top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ascii="宋体" w:hAnsi="宋体"/>
                <w:sz w:val="24"/>
              </w:rPr>
              <w:t xml:space="preserve">3 </w:t>
            </w:r>
          </w:p>
        </w:tc>
        <w:tc>
          <w:tcPr>
            <w:tcW w:w="4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ascii="宋体" w:hAnsi="宋体"/>
                <w:sz w:val="24"/>
              </w:rPr>
              <w:t>84</w:t>
            </w:r>
            <w:r>
              <w:rPr>
                <w:rFonts w:hint="eastAsia" w:ascii="宋体" w:hAnsi="宋体"/>
                <w:sz w:val="24"/>
              </w:rPr>
              <w:t>分以下，</w:t>
            </w:r>
            <w:r>
              <w:rPr>
                <w:rFonts w:ascii="宋体" w:hAnsi="宋体"/>
                <w:sz w:val="24"/>
              </w:rPr>
              <w:t>79</w:t>
            </w:r>
            <w:r>
              <w:rPr>
                <w:rFonts w:hint="eastAsia" w:ascii="宋体" w:hAnsi="宋体"/>
                <w:sz w:val="24"/>
              </w:rPr>
              <w:t>分（含）以上</w:t>
            </w:r>
          </w:p>
        </w:tc>
        <w:tc>
          <w:tcPr>
            <w:tcW w:w="3042" w:type="dxa"/>
            <w:tcBorders>
              <w:top w:val="single" w:color="auto" w:sz="4" w:space="0"/>
              <w:left w:val="single" w:color="auto" w:sz="4" w:space="0"/>
              <w:bottom w:val="single" w:color="auto" w:sz="4" w:space="0"/>
            </w:tcBorders>
            <w:noWrap w:val="0"/>
            <w:vAlign w:val="center"/>
          </w:tcPr>
          <w:p>
            <w:pPr>
              <w:widowControl/>
              <w:jc w:val="left"/>
              <w:rPr>
                <w:rFonts w:ascii="宋体" w:hAnsi="宋体"/>
                <w:sz w:val="24"/>
              </w:rPr>
            </w:pPr>
            <w:r>
              <w:rPr>
                <w:rFonts w:hint="eastAsia" w:ascii="宋体" w:hAnsi="宋体"/>
                <w:sz w:val="24"/>
              </w:rPr>
              <w:t>扣款为月度合同金额</w:t>
            </w:r>
            <w:r>
              <w:rPr>
                <w:rFonts w:ascii="宋体" w:hAnsi="宋体"/>
                <w:sz w:val="24"/>
              </w:rPr>
              <w:t>5%</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11" w:type="dxa"/>
            <w:tcBorders>
              <w:top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ascii="宋体" w:hAnsi="宋体"/>
                <w:sz w:val="24"/>
              </w:rPr>
              <w:t xml:space="preserve">4 </w:t>
            </w:r>
          </w:p>
        </w:tc>
        <w:tc>
          <w:tcPr>
            <w:tcW w:w="4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ascii="宋体" w:hAnsi="宋体"/>
                <w:sz w:val="24"/>
              </w:rPr>
              <w:t>79</w:t>
            </w:r>
            <w:r>
              <w:rPr>
                <w:rFonts w:hint="eastAsia" w:ascii="宋体" w:hAnsi="宋体"/>
                <w:sz w:val="24"/>
              </w:rPr>
              <w:t>分以下</w:t>
            </w:r>
          </w:p>
        </w:tc>
        <w:tc>
          <w:tcPr>
            <w:tcW w:w="3042" w:type="dxa"/>
            <w:tcBorders>
              <w:top w:val="single" w:color="auto" w:sz="4" w:space="0"/>
              <w:left w:val="single" w:color="auto" w:sz="4" w:space="0"/>
              <w:bottom w:val="single" w:color="auto" w:sz="4" w:space="0"/>
            </w:tcBorders>
            <w:noWrap w:val="0"/>
            <w:vAlign w:val="center"/>
          </w:tcPr>
          <w:p>
            <w:pPr>
              <w:widowControl/>
              <w:jc w:val="left"/>
              <w:rPr>
                <w:rFonts w:ascii="宋体" w:hAnsi="宋体"/>
                <w:sz w:val="24"/>
              </w:rPr>
            </w:pPr>
            <w:r>
              <w:rPr>
                <w:rFonts w:hint="eastAsia" w:ascii="宋体" w:hAnsi="宋体"/>
                <w:sz w:val="24"/>
              </w:rPr>
              <w:t>扣款为月度合同金额</w:t>
            </w:r>
            <w:r>
              <w:rPr>
                <w:rFonts w:ascii="宋体" w:hAnsi="宋体"/>
                <w:sz w:val="24"/>
              </w:rPr>
              <w:t>10%</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11" w:type="dxa"/>
            <w:tcBorders>
              <w:top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ascii="宋体" w:hAnsi="宋体"/>
                <w:sz w:val="24"/>
              </w:rPr>
              <w:t>5</w:t>
            </w:r>
          </w:p>
        </w:tc>
        <w:tc>
          <w:tcPr>
            <w:tcW w:w="4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hint="eastAsia" w:ascii="宋体" w:hAnsi="宋体"/>
                <w:sz w:val="24"/>
              </w:rPr>
              <w:t>服务期限内有</w:t>
            </w:r>
            <w:r>
              <w:rPr>
                <w:rFonts w:ascii="宋体" w:hAnsi="宋体"/>
                <w:sz w:val="24"/>
              </w:rPr>
              <w:t>5</w:t>
            </w:r>
            <w:r>
              <w:rPr>
                <w:rFonts w:hint="eastAsia" w:ascii="宋体" w:hAnsi="宋体"/>
                <w:sz w:val="24"/>
              </w:rPr>
              <w:t>次低于</w:t>
            </w:r>
            <w:r>
              <w:rPr>
                <w:rFonts w:ascii="宋体" w:hAnsi="宋体"/>
                <w:sz w:val="24"/>
              </w:rPr>
              <w:t>89</w:t>
            </w:r>
            <w:r>
              <w:rPr>
                <w:rFonts w:hint="eastAsia" w:ascii="宋体" w:hAnsi="宋体"/>
                <w:sz w:val="24"/>
              </w:rPr>
              <w:t>分</w:t>
            </w:r>
          </w:p>
        </w:tc>
        <w:tc>
          <w:tcPr>
            <w:tcW w:w="3042" w:type="dxa"/>
            <w:tcBorders>
              <w:top w:val="single" w:color="auto" w:sz="4" w:space="0"/>
              <w:left w:val="single" w:color="auto" w:sz="4" w:space="0"/>
              <w:bottom w:val="single" w:color="auto" w:sz="4" w:space="0"/>
            </w:tcBorders>
            <w:noWrap w:val="0"/>
            <w:vAlign w:val="center"/>
          </w:tcPr>
          <w:p>
            <w:pPr>
              <w:widowControl/>
              <w:jc w:val="left"/>
              <w:rPr>
                <w:rFonts w:ascii="宋体" w:hAnsi="宋体"/>
                <w:sz w:val="24"/>
              </w:rPr>
            </w:pPr>
            <w:r>
              <w:rPr>
                <w:rFonts w:hint="eastAsia" w:ascii="宋体" w:hAnsi="宋体"/>
                <w:sz w:val="24"/>
              </w:rPr>
              <w:t>没收全部履约保证金</w:t>
            </w:r>
            <w:r>
              <w:rPr>
                <w:rFonts w:ascii="宋体" w:hAnsi="宋体"/>
                <w:sz w:val="24"/>
              </w:rPr>
              <w:t>,</w:t>
            </w:r>
            <w:r>
              <w:rPr>
                <w:rFonts w:hint="eastAsia" w:ascii="宋体" w:hAnsi="宋体"/>
                <w:sz w:val="24"/>
              </w:rPr>
              <w:t>并终止合同；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11" w:type="dxa"/>
            <w:tcBorders>
              <w:top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ascii="宋体" w:hAnsi="宋体"/>
                <w:sz w:val="24"/>
              </w:rPr>
              <w:t>6</w:t>
            </w:r>
          </w:p>
        </w:tc>
        <w:tc>
          <w:tcPr>
            <w:tcW w:w="4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hint="eastAsia" w:ascii="宋体" w:hAnsi="宋体"/>
                <w:sz w:val="24"/>
              </w:rPr>
              <w:t>服务期限内有</w:t>
            </w:r>
            <w:r>
              <w:rPr>
                <w:rFonts w:ascii="宋体" w:hAnsi="宋体"/>
                <w:sz w:val="24"/>
              </w:rPr>
              <w:t>2</w:t>
            </w:r>
            <w:r>
              <w:rPr>
                <w:rFonts w:hint="eastAsia" w:ascii="宋体" w:hAnsi="宋体"/>
                <w:sz w:val="24"/>
              </w:rPr>
              <w:t>次低于</w:t>
            </w:r>
            <w:r>
              <w:rPr>
                <w:rFonts w:ascii="宋体" w:hAnsi="宋体"/>
                <w:sz w:val="24"/>
              </w:rPr>
              <w:t>79</w:t>
            </w:r>
            <w:r>
              <w:rPr>
                <w:rFonts w:hint="eastAsia" w:ascii="宋体" w:hAnsi="宋体"/>
                <w:sz w:val="24"/>
              </w:rPr>
              <w:t>分</w:t>
            </w:r>
          </w:p>
        </w:tc>
        <w:tc>
          <w:tcPr>
            <w:tcW w:w="3042" w:type="dxa"/>
            <w:tcBorders>
              <w:top w:val="single" w:color="auto" w:sz="4" w:space="0"/>
              <w:left w:val="single" w:color="auto" w:sz="4" w:space="0"/>
              <w:bottom w:val="single" w:color="auto" w:sz="4" w:space="0"/>
            </w:tcBorders>
            <w:noWrap w:val="0"/>
            <w:vAlign w:val="center"/>
          </w:tcPr>
          <w:p>
            <w:pPr>
              <w:widowControl/>
              <w:jc w:val="left"/>
              <w:rPr>
                <w:rFonts w:ascii="宋体" w:hAnsi="宋体"/>
                <w:sz w:val="24"/>
              </w:rPr>
            </w:pPr>
            <w:r>
              <w:rPr>
                <w:rFonts w:hint="eastAsia" w:ascii="宋体" w:hAnsi="宋体"/>
                <w:sz w:val="24"/>
              </w:rPr>
              <w:t>没收全部履约保证金</w:t>
            </w:r>
            <w:r>
              <w:rPr>
                <w:rFonts w:ascii="宋体" w:hAnsi="宋体"/>
                <w:sz w:val="24"/>
              </w:rPr>
              <w:t>,</w:t>
            </w:r>
            <w:r>
              <w:rPr>
                <w:rFonts w:hint="eastAsia" w:ascii="宋体" w:hAnsi="宋体"/>
                <w:sz w:val="24"/>
              </w:rPr>
              <w:t>并终止合同；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146" w:type="dxa"/>
            <w:gridSpan w:val="2"/>
            <w:tcBorders>
              <w:top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hint="eastAsia" w:ascii="宋体" w:hAnsi="宋体"/>
                <w:sz w:val="24"/>
              </w:rPr>
              <w:t>备注</w:t>
            </w:r>
          </w:p>
        </w:tc>
        <w:tc>
          <w:tcPr>
            <w:tcW w:w="3042" w:type="dxa"/>
            <w:tcBorders>
              <w:top w:val="single" w:color="auto" w:sz="4" w:space="0"/>
              <w:left w:val="single" w:color="auto" w:sz="4" w:space="0"/>
              <w:bottom w:val="single" w:color="auto" w:sz="4" w:space="0"/>
            </w:tcBorders>
            <w:noWrap w:val="0"/>
            <w:vAlign w:val="center"/>
          </w:tcPr>
          <w:p>
            <w:pPr>
              <w:widowControl/>
              <w:jc w:val="left"/>
              <w:rPr>
                <w:rFonts w:ascii="宋体" w:hAnsi="宋体"/>
                <w:sz w:val="24"/>
              </w:rPr>
            </w:pPr>
            <w:r>
              <w:rPr>
                <w:rFonts w:hint="eastAsia" w:ascii="宋体" w:hAnsi="宋体"/>
                <w:sz w:val="24"/>
              </w:rPr>
              <w:t>以上评分标准按照百分制进行，每月初恢复百分制。</w:t>
            </w:r>
          </w:p>
        </w:tc>
      </w:tr>
    </w:tbl>
    <w:p>
      <w:pPr>
        <w:spacing w:before="120" w:beforeLines="50" w:after="120" w:afterLines="50"/>
        <w:jc w:val="center"/>
        <w:rPr>
          <w:sz w:val="32"/>
          <w:szCs w:val="32"/>
        </w:rPr>
      </w:pPr>
    </w:p>
    <w:p>
      <w:pPr>
        <w:pStyle w:val="4"/>
        <w:rPr>
          <w:rFonts w:ascii="Times New Roman" w:hAnsi="Times New Roman" w:eastAsia="宋体"/>
          <w:sz w:val="28"/>
          <w:szCs w:val="28"/>
        </w:rPr>
      </w:pPr>
      <w:r>
        <w:br w:type="page"/>
      </w:r>
      <w:bookmarkStart w:id="34" w:name="_Toc18854421"/>
      <w:r>
        <w:rPr>
          <w:rFonts w:ascii="Times New Roman" w:hAnsi="Times New Roman" w:eastAsia="宋体"/>
          <w:sz w:val="28"/>
          <w:szCs w:val="28"/>
        </w:rPr>
        <w:t>四、</w:t>
      </w:r>
      <w:r>
        <w:rPr>
          <w:rFonts w:hint="eastAsia" w:ascii="Times New Roman" w:hAnsi="Times New Roman" w:eastAsia="宋体"/>
          <w:sz w:val="28"/>
          <w:szCs w:val="28"/>
        </w:rPr>
        <w:t>厨房人员</w:t>
      </w:r>
      <w:r>
        <w:rPr>
          <w:rFonts w:ascii="Times New Roman" w:hAnsi="Times New Roman" w:eastAsia="宋体"/>
          <w:sz w:val="28"/>
          <w:szCs w:val="28"/>
        </w:rPr>
        <w:t>服务需求</w:t>
      </w:r>
      <w:bookmarkEnd w:id="34"/>
    </w:p>
    <w:p>
      <w:pPr>
        <w:rPr>
          <w:sz w:val="24"/>
        </w:rPr>
      </w:pPr>
      <w:r>
        <w:rPr>
          <w:rFonts w:hint="eastAsia"/>
          <w:b/>
          <w:bCs/>
          <w:sz w:val="24"/>
        </w:rPr>
        <w:t>一、项目基本情况</w:t>
      </w:r>
      <w:r>
        <w:rPr>
          <w:rFonts w:hint="eastAsia"/>
          <w:sz w:val="24"/>
        </w:rPr>
        <w:t>：</w:t>
      </w:r>
    </w:p>
    <w:p>
      <w:pPr>
        <w:rPr>
          <w:kern w:val="0"/>
          <w:sz w:val="24"/>
        </w:rPr>
      </w:pPr>
      <w:r>
        <w:rPr>
          <w:rFonts w:hint="eastAsia"/>
          <w:sz w:val="24"/>
        </w:rPr>
        <w:t>餐饮服务范围为医院</w:t>
      </w:r>
      <w:r>
        <w:rPr>
          <w:rFonts w:hint="eastAsia"/>
          <w:kern w:val="0"/>
          <w:sz w:val="24"/>
        </w:rPr>
        <w:t>员工、住院病人、病人家属与租赁单位员工、来宾等，保障除春节7天假期外的厨房运行，医院其他临时任务等</w:t>
      </w:r>
      <w:r>
        <w:rPr>
          <w:rFonts w:hint="eastAsia"/>
          <w:sz w:val="24"/>
        </w:rPr>
        <w:t>工作</w:t>
      </w:r>
      <w:r>
        <w:rPr>
          <w:rFonts w:hint="eastAsia"/>
          <w:kern w:val="0"/>
          <w:sz w:val="24"/>
        </w:rPr>
        <w:t>。</w:t>
      </w:r>
    </w:p>
    <w:p>
      <w:pPr>
        <w:rPr>
          <w:b/>
          <w:bCs/>
          <w:kern w:val="0"/>
          <w:sz w:val="24"/>
        </w:rPr>
      </w:pPr>
    </w:p>
    <w:p>
      <w:pPr>
        <w:rPr>
          <w:b/>
          <w:bCs/>
          <w:kern w:val="0"/>
          <w:sz w:val="24"/>
        </w:rPr>
      </w:pPr>
      <w:r>
        <w:rPr>
          <w:rFonts w:hint="eastAsia"/>
          <w:b/>
          <w:bCs/>
          <w:kern w:val="0"/>
          <w:sz w:val="24"/>
        </w:rPr>
        <w:t>具体服务要求：</w:t>
      </w:r>
    </w:p>
    <w:p>
      <w:pPr>
        <w:widowControl/>
        <w:numPr>
          <w:ilvl w:val="0"/>
          <w:numId w:val="215"/>
        </w:numPr>
        <w:spacing w:line="360" w:lineRule="auto"/>
        <w:contextualSpacing/>
        <w:jc w:val="left"/>
        <w:rPr>
          <w:szCs w:val="21"/>
        </w:rPr>
      </w:pPr>
      <w:r>
        <w:rPr>
          <w:rFonts w:hint="eastAsia" w:ascii="Calibri" w:hAnsi="Calibri"/>
          <w:b/>
          <w:bCs/>
          <w:kern w:val="0"/>
          <w:sz w:val="24"/>
          <w:szCs w:val="22"/>
        </w:rPr>
        <w:t>人员素质</w:t>
      </w:r>
      <w:r>
        <w:rPr>
          <w:rFonts w:ascii="Calibri" w:hAnsi="Calibri"/>
          <w:b/>
          <w:bCs/>
          <w:kern w:val="0"/>
          <w:sz w:val="24"/>
          <w:szCs w:val="22"/>
        </w:rPr>
        <w:t>要求：</w:t>
      </w:r>
    </w:p>
    <w:p>
      <w:pPr>
        <w:widowControl/>
        <w:spacing w:line="360" w:lineRule="auto"/>
        <w:contextualSpacing/>
        <w:jc w:val="left"/>
        <w:rPr>
          <w:rFonts w:ascii="Calibri" w:hAnsi="Calibri"/>
          <w:b/>
          <w:bCs/>
          <w:kern w:val="0"/>
          <w:sz w:val="24"/>
          <w:szCs w:val="22"/>
        </w:rPr>
      </w:pPr>
      <w:bookmarkStart w:id="35" w:name="_Hlk517782851"/>
      <w:r>
        <w:rPr>
          <w:rFonts w:hint="eastAsia" w:ascii="Calibri" w:hAnsi="Calibri"/>
          <w:b/>
          <w:bCs/>
          <w:kern w:val="0"/>
          <w:sz w:val="24"/>
          <w:szCs w:val="22"/>
        </w:rPr>
        <w:t>项目</w:t>
      </w:r>
      <w:r>
        <w:rPr>
          <w:rFonts w:ascii="Calibri" w:hAnsi="Calibri"/>
          <w:b/>
          <w:bCs/>
          <w:kern w:val="0"/>
          <w:sz w:val="24"/>
          <w:szCs w:val="22"/>
        </w:rPr>
        <w:t>主管</w:t>
      </w:r>
      <w:r>
        <w:rPr>
          <w:rFonts w:hint="eastAsia" w:ascii="Calibri" w:hAnsi="Calibri"/>
          <w:b/>
          <w:bCs/>
          <w:kern w:val="0"/>
          <w:sz w:val="24"/>
          <w:szCs w:val="22"/>
        </w:rPr>
        <w:t>（行政总厨）</w:t>
      </w:r>
      <w:r>
        <w:rPr>
          <w:rFonts w:ascii="Calibri" w:hAnsi="Calibri"/>
          <w:b/>
          <w:bCs/>
          <w:kern w:val="0"/>
          <w:sz w:val="24"/>
          <w:szCs w:val="22"/>
        </w:rPr>
        <w:t>：</w:t>
      </w:r>
      <w:bookmarkEnd w:id="35"/>
      <w:bookmarkStart w:id="36" w:name="_Hlk517782295"/>
      <w:r>
        <w:rPr>
          <w:rFonts w:hint="eastAsia" w:ascii="Calibri" w:hAnsi="Calibri"/>
          <w:b/>
          <w:bCs/>
          <w:kern w:val="0"/>
          <w:sz w:val="24"/>
          <w:szCs w:val="22"/>
        </w:rPr>
        <w:t>具有</w:t>
      </w:r>
      <w:r>
        <w:rPr>
          <w:rFonts w:ascii="Calibri" w:hAnsi="Calibri"/>
          <w:b/>
          <w:bCs/>
          <w:kern w:val="0"/>
          <w:sz w:val="24"/>
          <w:szCs w:val="22"/>
        </w:rPr>
        <w:t>5年及以上</w:t>
      </w:r>
      <w:r>
        <w:rPr>
          <w:rFonts w:hint="eastAsia" w:ascii="Calibri" w:hAnsi="Calibri"/>
          <w:b/>
          <w:bCs/>
          <w:kern w:val="0"/>
          <w:sz w:val="24"/>
          <w:szCs w:val="22"/>
        </w:rPr>
        <w:t>大型企事业单位</w:t>
      </w:r>
      <w:r>
        <w:rPr>
          <w:rFonts w:ascii="Calibri" w:hAnsi="Calibri"/>
          <w:b/>
          <w:bCs/>
          <w:kern w:val="0"/>
          <w:sz w:val="24"/>
          <w:szCs w:val="22"/>
        </w:rPr>
        <w:t>或</w:t>
      </w:r>
      <w:r>
        <w:rPr>
          <w:rFonts w:hint="eastAsia" w:ascii="Calibri" w:hAnsi="Calibri"/>
          <w:b/>
          <w:bCs/>
          <w:kern w:val="0"/>
          <w:sz w:val="24"/>
          <w:szCs w:val="22"/>
        </w:rPr>
        <w:t>星级酒店</w:t>
      </w:r>
      <w:r>
        <w:rPr>
          <w:rFonts w:ascii="Calibri" w:hAnsi="Calibri"/>
          <w:b/>
          <w:bCs/>
          <w:kern w:val="0"/>
          <w:sz w:val="24"/>
          <w:szCs w:val="22"/>
        </w:rPr>
        <w:t>相关</w:t>
      </w:r>
      <w:r>
        <w:rPr>
          <w:rFonts w:hint="eastAsia" w:ascii="Calibri" w:hAnsi="Calibri"/>
          <w:b/>
          <w:bCs/>
          <w:kern w:val="0"/>
          <w:sz w:val="24"/>
          <w:szCs w:val="22"/>
        </w:rPr>
        <w:t>管理</w:t>
      </w:r>
      <w:r>
        <w:rPr>
          <w:rFonts w:ascii="Calibri" w:hAnsi="Calibri"/>
          <w:b/>
          <w:bCs/>
          <w:kern w:val="0"/>
          <w:sz w:val="24"/>
          <w:szCs w:val="22"/>
        </w:rPr>
        <w:t>工作经验</w:t>
      </w:r>
      <w:r>
        <w:rPr>
          <w:rFonts w:hint="eastAsia" w:ascii="Calibri" w:hAnsi="Calibri"/>
          <w:b/>
          <w:bCs/>
          <w:kern w:val="0"/>
          <w:sz w:val="24"/>
          <w:szCs w:val="22"/>
        </w:rPr>
        <w:t>。</w:t>
      </w:r>
      <w:bookmarkEnd w:id="36"/>
    </w:p>
    <w:p>
      <w:pPr>
        <w:widowControl/>
        <w:spacing w:line="360" w:lineRule="auto"/>
        <w:contextualSpacing/>
        <w:jc w:val="left"/>
        <w:rPr>
          <w:rFonts w:ascii="Calibri" w:hAnsi="Calibri"/>
          <w:b/>
          <w:bCs/>
          <w:kern w:val="0"/>
          <w:sz w:val="24"/>
          <w:szCs w:val="22"/>
        </w:rPr>
      </w:pPr>
      <w:r>
        <w:rPr>
          <w:rFonts w:hint="eastAsia" w:ascii="Calibri" w:hAnsi="Calibri"/>
          <w:b/>
          <w:bCs/>
          <w:kern w:val="0"/>
          <w:sz w:val="24"/>
          <w:szCs w:val="22"/>
        </w:rPr>
        <w:t>厨房厨师长：</w:t>
      </w:r>
      <w:bookmarkStart w:id="37" w:name="_Hlk517786423"/>
      <w:r>
        <w:rPr>
          <w:rFonts w:hint="eastAsia" w:ascii="Calibri" w:hAnsi="Calibri"/>
          <w:b/>
          <w:bCs/>
          <w:kern w:val="0"/>
          <w:sz w:val="24"/>
          <w:szCs w:val="22"/>
        </w:rPr>
        <w:t>具有5年及以上大型企事业单位或星级酒店相关厨房管理工作经验。</w:t>
      </w:r>
      <w:bookmarkEnd w:id="37"/>
    </w:p>
    <w:p>
      <w:pPr>
        <w:widowControl/>
        <w:spacing w:line="360" w:lineRule="auto"/>
        <w:contextualSpacing/>
        <w:jc w:val="left"/>
        <w:rPr>
          <w:rFonts w:ascii="Calibri" w:hAnsi="Calibri"/>
          <w:b/>
          <w:bCs/>
          <w:kern w:val="0"/>
          <w:sz w:val="24"/>
          <w:szCs w:val="22"/>
        </w:rPr>
      </w:pPr>
      <w:r>
        <w:rPr>
          <w:rFonts w:hint="eastAsia" w:ascii="Calibri" w:hAnsi="Calibri"/>
          <w:b/>
          <w:bCs/>
          <w:kern w:val="0"/>
          <w:sz w:val="24"/>
          <w:szCs w:val="22"/>
        </w:rPr>
        <w:t>厨师：具有</w:t>
      </w:r>
      <w:r>
        <w:rPr>
          <w:rFonts w:ascii="Calibri" w:hAnsi="Calibri"/>
          <w:b/>
          <w:bCs/>
          <w:kern w:val="0"/>
          <w:sz w:val="24"/>
          <w:szCs w:val="22"/>
        </w:rPr>
        <w:t>3</w:t>
      </w:r>
      <w:r>
        <w:rPr>
          <w:rFonts w:hint="eastAsia" w:ascii="Calibri" w:hAnsi="Calibri"/>
          <w:b/>
          <w:bCs/>
          <w:kern w:val="0"/>
          <w:sz w:val="24"/>
          <w:szCs w:val="22"/>
        </w:rPr>
        <w:t>年及以上大型企事业单位或星级酒店相关厨房烹饪工作经验。</w:t>
      </w:r>
    </w:p>
    <w:p>
      <w:pPr>
        <w:widowControl/>
        <w:spacing w:line="360" w:lineRule="auto"/>
        <w:contextualSpacing/>
        <w:jc w:val="left"/>
        <w:rPr>
          <w:rFonts w:ascii="Calibri" w:hAnsi="Calibri"/>
          <w:b/>
          <w:bCs/>
          <w:kern w:val="0"/>
          <w:sz w:val="24"/>
          <w:szCs w:val="22"/>
        </w:rPr>
      </w:pPr>
      <w:bookmarkStart w:id="38" w:name="_Hlk517787061"/>
      <w:r>
        <w:rPr>
          <w:rFonts w:hint="eastAsia" w:ascii="Calibri" w:hAnsi="Calibri"/>
          <w:b/>
          <w:bCs/>
          <w:kern w:val="0"/>
          <w:sz w:val="24"/>
          <w:szCs w:val="22"/>
        </w:rPr>
        <w:t>副厨切配、厨房帮工</w:t>
      </w:r>
      <w:r>
        <w:rPr>
          <w:rFonts w:ascii="Calibri" w:hAnsi="Calibri"/>
          <w:b/>
          <w:bCs/>
          <w:kern w:val="0"/>
          <w:sz w:val="24"/>
          <w:szCs w:val="22"/>
        </w:rPr>
        <w:t>人员：</w:t>
      </w:r>
      <w:bookmarkEnd w:id="38"/>
    </w:p>
    <w:p>
      <w:pPr>
        <w:spacing w:line="480" w:lineRule="exact"/>
        <w:jc w:val="left"/>
        <w:rPr>
          <w:rFonts w:ascii="宋体" w:hAnsi="宋体" w:cs="宋体"/>
          <w:kern w:val="0"/>
          <w:sz w:val="24"/>
        </w:rPr>
      </w:pPr>
      <w:r>
        <w:rPr>
          <w:rFonts w:hint="eastAsia" w:ascii="宋体" w:hAnsi="宋体" w:cs="宋体"/>
          <w:kern w:val="0"/>
          <w:sz w:val="24"/>
        </w:rPr>
        <w:t>1.</w:t>
      </w:r>
      <w:r>
        <w:rPr>
          <w:rFonts w:ascii="宋体" w:hAnsi="宋体" w:cs="宋体"/>
          <w:kern w:val="0"/>
          <w:sz w:val="24"/>
        </w:rPr>
        <w:t>20-50</w:t>
      </w:r>
      <w:r>
        <w:rPr>
          <w:rFonts w:hint="eastAsia" w:ascii="宋体" w:hAnsi="宋体" w:cs="宋体"/>
          <w:kern w:val="0"/>
          <w:sz w:val="24"/>
        </w:rPr>
        <w:t>岁之间；</w:t>
      </w:r>
    </w:p>
    <w:p>
      <w:pPr>
        <w:spacing w:line="480" w:lineRule="exact"/>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健康状况良好；</w:t>
      </w:r>
    </w:p>
    <w:p>
      <w:pPr>
        <w:spacing w:line="480" w:lineRule="exact"/>
        <w:jc w:val="left"/>
        <w:rPr>
          <w:rFonts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有责任心；</w:t>
      </w:r>
    </w:p>
    <w:p>
      <w:pPr>
        <w:spacing w:line="480" w:lineRule="exact"/>
        <w:jc w:val="left"/>
        <w:rPr>
          <w:rFonts w:ascii="宋体" w:hAnsi="宋体" w:cs="宋体"/>
          <w:kern w:val="0"/>
          <w:sz w:val="24"/>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rPr>
        <w:t>初中及以上学历；</w:t>
      </w:r>
    </w:p>
    <w:p>
      <w:pPr>
        <w:spacing w:line="480" w:lineRule="exact"/>
        <w:jc w:val="left"/>
        <w:rPr>
          <w:rFonts w:ascii="宋体" w:hAnsi="宋体" w:cs="宋体"/>
          <w:kern w:val="0"/>
          <w:sz w:val="24"/>
        </w:rPr>
      </w:pPr>
      <w:r>
        <w:rPr>
          <w:rFonts w:hint="eastAsia" w:ascii="宋体" w:hAnsi="宋体" w:cs="宋体"/>
          <w:kern w:val="0"/>
          <w:sz w:val="24"/>
        </w:rPr>
        <w:t>5</w:t>
      </w:r>
      <w:r>
        <w:rPr>
          <w:rFonts w:ascii="宋体" w:hAnsi="宋体" w:cs="宋体"/>
          <w:kern w:val="0"/>
          <w:sz w:val="24"/>
        </w:rPr>
        <w:t>.</w:t>
      </w:r>
      <w:r>
        <w:rPr>
          <w:rFonts w:hint="eastAsia" w:ascii="宋体" w:hAnsi="宋体" w:cs="宋体"/>
          <w:kern w:val="0"/>
          <w:sz w:val="24"/>
        </w:rPr>
        <w:t>按规定，持杭州市餐饮行业健康证上岗；</w:t>
      </w:r>
    </w:p>
    <w:p>
      <w:pPr>
        <w:spacing w:line="480" w:lineRule="exact"/>
        <w:jc w:val="left"/>
        <w:rPr>
          <w:rFonts w:ascii="宋体" w:hAnsi="宋体" w:cs="宋体"/>
          <w:kern w:val="0"/>
          <w:sz w:val="24"/>
        </w:rPr>
      </w:pP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安排利用医院现有人员。</w:t>
      </w:r>
    </w:p>
    <w:p>
      <w:pPr>
        <w:spacing w:line="480" w:lineRule="exact"/>
        <w:jc w:val="left"/>
        <w:rPr>
          <w:rFonts w:ascii="宋体" w:hAnsi="宋体" w:cs="宋体"/>
          <w:kern w:val="0"/>
          <w:sz w:val="24"/>
        </w:rPr>
      </w:pPr>
      <w:r>
        <w:rPr>
          <w:rFonts w:hint="eastAsia" w:ascii="宋体" w:hAnsi="宋体" w:cs="宋体"/>
          <w:kern w:val="0"/>
          <w:sz w:val="24"/>
        </w:rPr>
        <w:t>7</w:t>
      </w:r>
      <w:r>
        <w:rPr>
          <w:rFonts w:ascii="宋体" w:hAnsi="宋体" w:cs="宋体"/>
          <w:kern w:val="0"/>
          <w:sz w:val="24"/>
        </w:rPr>
        <w:t>.</w:t>
      </w:r>
      <w:r>
        <w:rPr>
          <w:rFonts w:hint="eastAsia" w:ascii="宋体" w:hAnsi="宋体" w:cs="宋体"/>
          <w:kern w:val="0"/>
          <w:sz w:val="24"/>
        </w:rPr>
        <w:t>具有二年以上同类工作经历。</w:t>
      </w:r>
    </w:p>
    <w:p>
      <w:pPr>
        <w:rPr>
          <w:b/>
          <w:bCs/>
          <w:kern w:val="0"/>
          <w:sz w:val="24"/>
        </w:rPr>
      </w:pPr>
      <w:r>
        <w:rPr>
          <w:rFonts w:hint="eastAsia"/>
          <w:b/>
          <w:bCs/>
          <w:kern w:val="0"/>
          <w:sz w:val="24"/>
          <w:u w:val="single"/>
        </w:rPr>
        <w:t>目前厨房最低人数要求：</w:t>
      </w:r>
      <w:r>
        <w:rPr>
          <w:b/>
          <w:bCs/>
          <w:kern w:val="0"/>
          <w:sz w:val="24"/>
          <w:u w:val="single"/>
        </w:rPr>
        <w:t>8</w:t>
      </w:r>
      <w:r>
        <w:rPr>
          <w:rFonts w:hint="eastAsia"/>
          <w:b/>
          <w:bCs/>
          <w:kern w:val="0"/>
          <w:sz w:val="24"/>
          <w:u w:val="single"/>
        </w:rPr>
        <w:t>人，人员不得兼职。</w:t>
      </w:r>
    </w:p>
    <w:p>
      <w:pPr>
        <w:rPr>
          <w:b/>
          <w:sz w:val="24"/>
          <w:u w:val="single"/>
        </w:rPr>
      </w:pPr>
      <w:r>
        <w:rPr>
          <w:rFonts w:hint="eastAsia"/>
          <w:b/>
          <w:sz w:val="24"/>
        </w:rPr>
        <w:t>相关说明：以上岗位，投标人应优先考虑现在岗的优秀人员和医院推荐人员。</w:t>
      </w:r>
      <w:r>
        <w:rPr>
          <w:rFonts w:hint="eastAsia"/>
          <w:b/>
          <w:sz w:val="24"/>
          <w:u w:val="single"/>
        </w:rPr>
        <w:t>招标人将根据实际需求及服务人数结算费用。</w:t>
      </w:r>
    </w:p>
    <w:p>
      <w:pPr>
        <w:rPr>
          <w:b/>
          <w:sz w:val="24"/>
          <w:u w:val="single"/>
        </w:rPr>
      </w:pPr>
    </w:p>
    <w:p>
      <w:pPr>
        <w:numPr>
          <w:ilvl w:val="0"/>
          <w:numId w:val="214"/>
        </w:numPr>
        <w:ind w:left="360" w:hanging="360"/>
        <w:rPr>
          <w:b/>
          <w:sz w:val="24"/>
        </w:rPr>
      </w:pPr>
      <w:r>
        <w:rPr>
          <w:rFonts w:hint="eastAsia"/>
          <w:b/>
          <w:sz w:val="24"/>
        </w:rPr>
        <w:t>厨房岗位职责</w:t>
      </w:r>
    </w:p>
    <w:p>
      <w:pPr>
        <w:tabs>
          <w:tab w:val="left" w:pos="567"/>
          <w:tab w:val="left" w:pos="851"/>
          <w:tab w:val="left" w:pos="993"/>
          <w:tab w:val="left" w:pos="1134"/>
        </w:tabs>
        <w:spacing w:line="360" w:lineRule="auto"/>
        <w:rPr>
          <w:rFonts w:ascii="宋体" w:hAnsi="Calibri"/>
          <w:b/>
          <w:sz w:val="24"/>
          <w:szCs w:val="22"/>
        </w:rPr>
      </w:pPr>
      <w:r>
        <w:rPr>
          <w:rFonts w:ascii="宋体" w:hAnsi="宋体"/>
          <w:b/>
          <w:sz w:val="24"/>
          <w:szCs w:val="22"/>
        </w:rPr>
        <w:t>2.1</w:t>
      </w:r>
      <w:r>
        <w:rPr>
          <w:rFonts w:hint="eastAsia" w:ascii="宋体" w:hAnsi="宋体"/>
          <w:b/>
          <w:sz w:val="24"/>
          <w:szCs w:val="22"/>
        </w:rPr>
        <w:t>项目主管（行政总厨）/厨房厨师长岗位职责：</w:t>
      </w:r>
    </w:p>
    <w:p>
      <w:pPr>
        <w:spacing w:line="480" w:lineRule="exact"/>
        <w:jc w:val="left"/>
        <w:rPr>
          <w:rFonts w:ascii="宋体" w:hAnsi="宋体" w:cs="宋体"/>
          <w:kern w:val="0"/>
          <w:sz w:val="24"/>
        </w:rPr>
      </w:pPr>
      <w:r>
        <w:rPr>
          <w:rFonts w:hint="eastAsia" w:ascii="宋体" w:hAnsi="宋体" w:cs="宋体"/>
          <w:kern w:val="0"/>
          <w:sz w:val="24"/>
        </w:rPr>
        <w:t>1</w:t>
      </w:r>
      <w:r>
        <w:rPr>
          <w:rFonts w:ascii="宋体" w:hAnsi="宋体" w:cs="宋体"/>
          <w:kern w:val="0"/>
          <w:sz w:val="24"/>
        </w:rPr>
        <w:t xml:space="preserve">. </w:t>
      </w:r>
      <w:r>
        <w:rPr>
          <w:rFonts w:hint="eastAsia" w:ascii="宋体" w:hAnsi="宋体" w:cs="宋体"/>
          <w:kern w:val="0"/>
          <w:sz w:val="24"/>
        </w:rPr>
        <w:t>组织和指挥厨房工作，严格按照操作</w:t>
      </w:r>
      <w:r>
        <w:rPr>
          <w:rFonts w:ascii="宋体" w:hAnsi="宋体" w:cs="宋体"/>
          <w:kern w:val="0"/>
          <w:sz w:val="24"/>
        </w:rPr>
        <w:t>规程</w:t>
      </w:r>
      <w:r>
        <w:rPr>
          <w:rFonts w:hint="eastAsia" w:ascii="宋体" w:hAnsi="宋体" w:cs="宋体"/>
          <w:kern w:val="0"/>
          <w:sz w:val="24"/>
        </w:rPr>
        <w:t>加工生产合格的食品，保持厨房卫生、整齐。</w:t>
      </w:r>
    </w:p>
    <w:p>
      <w:pPr>
        <w:spacing w:line="480" w:lineRule="exact"/>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协调好各个环节工作并根据团队成员的业务能力和特长，合理安排各</w:t>
      </w:r>
      <w:r>
        <w:rPr>
          <w:rFonts w:ascii="宋体" w:hAnsi="宋体" w:cs="宋体"/>
          <w:kern w:val="0"/>
          <w:sz w:val="24"/>
        </w:rPr>
        <w:t>个</w:t>
      </w:r>
      <w:r>
        <w:rPr>
          <w:rFonts w:hint="eastAsia" w:ascii="宋体" w:hAnsi="宋体" w:cs="宋体"/>
          <w:kern w:val="0"/>
          <w:sz w:val="24"/>
        </w:rPr>
        <w:t>岗位。</w:t>
      </w:r>
    </w:p>
    <w:p>
      <w:pPr>
        <w:spacing w:line="480" w:lineRule="exact"/>
        <w:jc w:val="left"/>
        <w:rPr>
          <w:rFonts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规划厨房设备用具的更换添置计划。对厨房现有设备的使用、保养、管理到位</w:t>
      </w:r>
      <w:r>
        <w:rPr>
          <w:rFonts w:ascii="宋体" w:hAnsi="宋体" w:cs="宋体"/>
          <w:kern w:val="0"/>
          <w:sz w:val="24"/>
        </w:rPr>
        <w:t>。</w:t>
      </w:r>
    </w:p>
    <w:p>
      <w:pPr>
        <w:spacing w:line="480" w:lineRule="exact"/>
        <w:jc w:val="left"/>
        <w:rPr>
          <w:rFonts w:ascii="宋体" w:hAnsi="宋体" w:cs="宋体"/>
          <w:kern w:val="0"/>
          <w:sz w:val="24"/>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rPr>
        <w:t>组织召开每周例会，总结各项工作，</w:t>
      </w:r>
      <w:r>
        <w:rPr>
          <w:rFonts w:ascii="宋体" w:hAnsi="宋体" w:cs="宋体"/>
          <w:kern w:val="0"/>
          <w:sz w:val="24"/>
        </w:rPr>
        <w:t>查漏补缺，</w:t>
      </w:r>
      <w:r>
        <w:rPr>
          <w:rFonts w:hint="eastAsia" w:ascii="宋体" w:hAnsi="宋体" w:cs="宋体"/>
          <w:kern w:val="0"/>
          <w:sz w:val="24"/>
        </w:rPr>
        <w:t>安排下步工作。</w:t>
      </w:r>
    </w:p>
    <w:p>
      <w:pPr>
        <w:spacing w:line="480" w:lineRule="exact"/>
        <w:jc w:val="left"/>
        <w:rPr>
          <w:rFonts w:ascii="宋体" w:hAnsi="宋体" w:cs="宋体"/>
          <w:kern w:val="0"/>
          <w:sz w:val="24"/>
        </w:rPr>
      </w:pPr>
      <w:r>
        <w:rPr>
          <w:rFonts w:hint="eastAsia" w:ascii="宋体" w:hAnsi="宋体" w:cs="宋体"/>
          <w:kern w:val="0"/>
          <w:sz w:val="24"/>
        </w:rPr>
        <w:t>5</w:t>
      </w:r>
      <w:r>
        <w:rPr>
          <w:rFonts w:ascii="宋体" w:hAnsi="宋体" w:cs="宋体"/>
          <w:kern w:val="0"/>
          <w:sz w:val="24"/>
        </w:rPr>
        <w:t>.</w:t>
      </w:r>
      <w:r>
        <w:rPr>
          <w:rFonts w:hint="eastAsia" w:ascii="宋体" w:hAnsi="宋体" w:cs="宋体"/>
          <w:kern w:val="0"/>
          <w:sz w:val="24"/>
        </w:rPr>
        <w:t>严格</w:t>
      </w:r>
      <w:r>
        <w:rPr>
          <w:rFonts w:ascii="宋体" w:hAnsi="宋体" w:cs="宋体"/>
          <w:kern w:val="0"/>
          <w:sz w:val="24"/>
        </w:rPr>
        <w:t>执行</w:t>
      </w:r>
      <w:r>
        <w:rPr>
          <w:rFonts w:hint="eastAsia" w:ascii="宋体" w:hAnsi="宋体" w:cs="宋体"/>
          <w:kern w:val="0"/>
          <w:sz w:val="24"/>
        </w:rPr>
        <w:t>厨房的相关规章制度，岗位工作内容的落实情况，</w:t>
      </w:r>
      <w:r>
        <w:rPr>
          <w:rFonts w:ascii="宋体" w:hAnsi="宋体" w:cs="宋体"/>
          <w:kern w:val="0"/>
          <w:sz w:val="24"/>
        </w:rPr>
        <w:t>发现问题及时纠正，必要时</w:t>
      </w:r>
      <w:r>
        <w:rPr>
          <w:rFonts w:hint="eastAsia" w:ascii="宋体" w:hAnsi="宋体" w:cs="宋体"/>
          <w:kern w:val="0"/>
          <w:sz w:val="24"/>
        </w:rPr>
        <w:t>执行</w:t>
      </w:r>
      <w:r>
        <w:rPr>
          <w:rFonts w:ascii="宋体" w:hAnsi="宋体" w:cs="宋体"/>
          <w:kern w:val="0"/>
          <w:sz w:val="24"/>
        </w:rPr>
        <w:t>相关的处罚</w:t>
      </w:r>
      <w:r>
        <w:rPr>
          <w:rFonts w:hint="eastAsia" w:ascii="宋体" w:hAnsi="宋体" w:cs="宋体"/>
          <w:kern w:val="0"/>
          <w:sz w:val="24"/>
        </w:rPr>
        <w:t>。</w:t>
      </w:r>
    </w:p>
    <w:p>
      <w:pPr>
        <w:spacing w:line="480" w:lineRule="exact"/>
        <w:jc w:val="left"/>
        <w:rPr>
          <w:rFonts w:ascii="宋体" w:hAnsi="宋体" w:cs="宋体"/>
          <w:kern w:val="0"/>
          <w:sz w:val="24"/>
        </w:rPr>
      </w:pP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定期总结分析经营情况，不断更新和开发新菜肴的品种。严把菜品质量关，提高菜品精细度。</w:t>
      </w:r>
    </w:p>
    <w:p>
      <w:pPr>
        <w:spacing w:line="480" w:lineRule="exact"/>
        <w:jc w:val="left"/>
        <w:rPr>
          <w:rFonts w:ascii="宋体" w:hAnsi="宋体" w:cs="宋体"/>
          <w:kern w:val="0"/>
          <w:sz w:val="24"/>
        </w:rPr>
      </w:pPr>
      <w:r>
        <w:rPr>
          <w:rFonts w:hint="eastAsia" w:ascii="宋体" w:hAnsi="宋体" w:cs="宋体"/>
          <w:kern w:val="0"/>
          <w:sz w:val="24"/>
        </w:rPr>
        <w:t>7</w:t>
      </w:r>
      <w:r>
        <w:rPr>
          <w:rFonts w:ascii="宋体" w:hAnsi="宋体" w:cs="宋体"/>
          <w:kern w:val="0"/>
          <w:sz w:val="24"/>
        </w:rPr>
        <w:t>.</w:t>
      </w:r>
      <w:r>
        <w:rPr>
          <w:rFonts w:hint="eastAsia" w:ascii="宋体" w:hAnsi="宋体" w:cs="宋体"/>
          <w:kern w:val="0"/>
          <w:sz w:val="24"/>
        </w:rPr>
        <w:t>检查厨房中全生产情况，及时消除各种隐患，保证设备、设施及员工安全，第一时间</w:t>
      </w:r>
      <w:r>
        <w:rPr>
          <w:rFonts w:ascii="宋体" w:hAnsi="宋体" w:cs="宋体"/>
          <w:kern w:val="0"/>
          <w:sz w:val="24"/>
        </w:rPr>
        <w:t>处置突发情况。</w:t>
      </w:r>
    </w:p>
    <w:p>
      <w:pPr>
        <w:spacing w:line="480" w:lineRule="exact"/>
        <w:jc w:val="left"/>
        <w:rPr>
          <w:rFonts w:ascii="宋体" w:hAnsi="宋体" w:cs="宋体"/>
          <w:kern w:val="0"/>
          <w:sz w:val="24"/>
        </w:rPr>
      </w:pPr>
      <w:r>
        <w:rPr>
          <w:rFonts w:hint="eastAsia" w:ascii="宋体" w:hAnsi="宋体" w:cs="宋体"/>
          <w:kern w:val="0"/>
          <w:sz w:val="24"/>
        </w:rPr>
        <w:t>8</w:t>
      </w:r>
      <w:r>
        <w:rPr>
          <w:rFonts w:ascii="宋体" w:hAnsi="宋体" w:cs="宋体"/>
          <w:kern w:val="0"/>
          <w:sz w:val="24"/>
        </w:rPr>
        <w:t>.</w:t>
      </w:r>
      <w:r>
        <w:rPr>
          <w:rFonts w:hint="eastAsia" w:ascii="宋体" w:hAnsi="宋体" w:cs="宋体"/>
          <w:kern w:val="0"/>
          <w:sz w:val="24"/>
        </w:rPr>
        <w:t>廉洁</w:t>
      </w:r>
      <w:r>
        <w:rPr>
          <w:rFonts w:ascii="宋体" w:hAnsi="宋体" w:cs="宋体"/>
          <w:kern w:val="0"/>
          <w:sz w:val="24"/>
        </w:rPr>
        <w:t>自爱，</w:t>
      </w:r>
      <w:r>
        <w:rPr>
          <w:rFonts w:hint="eastAsia" w:ascii="宋体" w:hAnsi="宋体" w:cs="宋体"/>
          <w:kern w:val="0"/>
          <w:sz w:val="24"/>
        </w:rPr>
        <w:t>有高度责任心，工作尽职尽责，严抓内部管理，严控</w:t>
      </w:r>
      <w:r>
        <w:rPr>
          <w:rFonts w:ascii="宋体" w:hAnsi="宋体" w:cs="宋体"/>
          <w:kern w:val="0"/>
          <w:sz w:val="24"/>
        </w:rPr>
        <w:t>成本</w:t>
      </w:r>
      <w:r>
        <w:rPr>
          <w:rFonts w:hint="eastAsia" w:ascii="宋体" w:hAnsi="宋体" w:cs="宋体"/>
          <w:kern w:val="0"/>
          <w:sz w:val="24"/>
        </w:rPr>
        <w:t>，做好员工思想教育及技术培训工作</w:t>
      </w:r>
      <w:r>
        <w:rPr>
          <w:rFonts w:ascii="宋体" w:hAnsi="宋体" w:cs="宋体"/>
          <w:kern w:val="0"/>
          <w:sz w:val="24"/>
        </w:rPr>
        <w:t>。</w:t>
      </w:r>
    </w:p>
    <w:p>
      <w:pPr>
        <w:spacing w:line="480" w:lineRule="exact"/>
        <w:jc w:val="left"/>
        <w:rPr>
          <w:rFonts w:ascii="宋体" w:hAnsi="宋体" w:cs="宋体"/>
          <w:kern w:val="0"/>
          <w:sz w:val="24"/>
        </w:rPr>
      </w:pPr>
      <w:r>
        <w:rPr>
          <w:rFonts w:hint="eastAsia" w:ascii="宋体" w:hAnsi="宋体" w:cs="宋体"/>
          <w:kern w:val="0"/>
          <w:sz w:val="24"/>
        </w:rPr>
        <w:t>9</w:t>
      </w:r>
      <w:r>
        <w:rPr>
          <w:rFonts w:ascii="宋体" w:hAnsi="宋体" w:cs="宋体"/>
          <w:kern w:val="0"/>
          <w:sz w:val="24"/>
        </w:rPr>
        <w:t>.</w:t>
      </w:r>
      <w:r>
        <w:rPr>
          <w:rFonts w:hint="eastAsia" w:ascii="宋体" w:hAnsi="宋体" w:cs="宋体"/>
          <w:kern w:val="0"/>
          <w:sz w:val="24"/>
        </w:rPr>
        <w:t>接受膳食</w:t>
      </w:r>
      <w:r>
        <w:rPr>
          <w:rFonts w:ascii="宋体" w:hAnsi="宋体" w:cs="宋体"/>
          <w:kern w:val="0"/>
          <w:sz w:val="24"/>
        </w:rPr>
        <w:t>委员</w:t>
      </w:r>
      <w:r>
        <w:rPr>
          <w:rFonts w:hint="eastAsia" w:ascii="宋体" w:hAnsi="宋体" w:cs="宋体"/>
          <w:kern w:val="0"/>
          <w:sz w:val="24"/>
        </w:rPr>
        <w:t>会</w:t>
      </w:r>
      <w:r>
        <w:rPr>
          <w:rFonts w:ascii="宋体" w:hAnsi="宋体" w:cs="宋体"/>
          <w:kern w:val="0"/>
          <w:sz w:val="24"/>
        </w:rPr>
        <w:t>的监督</w:t>
      </w:r>
      <w:r>
        <w:rPr>
          <w:rFonts w:hint="eastAsia" w:ascii="宋体" w:hAnsi="宋体" w:cs="宋体"/>
          <w:kern w:val="0"/>
          <w:sz w:val="24"/>
        </w:rPr>
        <w:t>与</w:t>
      </w:r>
      <w:r>
        <w:rPr>
          <w:rFonts w:ascii="宋体" w:hAnsi="宋体" w:cs="宋体"/>
          <w:kern w:val="0"/>
          <w:sz w:val="24"/>
        </w:rPr>
        <w:t>指导</w:t>
      </w:r>
      <w:r>
        <w:rPr>
          <w:rFonts w:hint="eastAsia" w:ascii="宋体" w:hAnsi="宋体" w:cs="宋体"/>
          <w:kern w:val="0"/>
          <w:sz w:val="24"/>
        </w:rPr>
        <w:t>，突发</w:t>
      </w:r>
      <w:r>
        <w:rPr>
          <w:rFonts w:ascii="宋体" w:hAnsi="宋体" w:cs="宋体"/>
          <w:kern w:val="0"/>
          <w:sz w:val="24"/>
        </w:rPr>
        <w:t>食物</w:t>
      </w:r>
      <w:r>
        <w:rPr>
          <w:rFonts w:hint="eastAsia" w:ascii="宋体" w:hAnsi="宋体" w:cs="宋体"/>
          <w:kern w:val="0"/>
          <w:sz w:val="24"/>
        </w:rPr>
        <w:t>中毒事件</w:t>
      </w:r>
      <w:r>
        <w:rPr>
          <w:rFonts w:ascii="宋体" w:hAnsi="宋体" w:cs="宋体"/>
          <w:kern w:val="0"/>
          <w:sz w:val="24"/>
        </w:rPr>
        <w:t>的第一</w:t>
      </w:r>
      <w:r>
        <w:rPr>
          <w:rFonts w:hint="eastAsia" w:ascii="宋体" w:hAnsi="宋体" w:cs="宋体"/>
          <w:kern w:val="0"/>
          <w:sz w:val="24"/>
        </w:rPr>
        <w:t>责任人</w:t>
      </w:r>
      <w:r>
        <w:rPr>
          <w:rFonts w:ascii="宋体" w:hAnsi="宋体" w:cs="宋体"/>
          <w:kern w:val="0"/>
          <w:sz w:val="24"/>
        </w:rPr>
        <w:t>。</w:t>
      </w:r>
    </w:p>
    <w:p>
      <w:pPr>
        <w:spacing w:line="480" w:lineRule="exact"/>
        <w:rPr>
          <w:rFonts w:ascii="宋体" w:hAnsi="宋体" w:cs="宋体"/>
          <w:color w:val="FF0000"/>
          <w:kern w:val="0"/>
          <w:sz w:val="24"/>
        </w:rPr>
      </w:pPr>
    </w:p>
    <w:p>
      <w:pPr>
        <w:spacing w:line="480" w:lineRule="exact"/>
        <w:rPr>
          <w:rFonts w:ascii="宋体" w:cs="宋体"/>
          <w:b/>
          <w:bCs/>
          <w:kern w:val="0"/>
          <w:sz w:val="24"/>
        </w:rPr>
      </w:pPr>
      <w:r>
        <w:rPr>
          <w:rFonts w:ascii="宋体" w:hAnsi="宋体" w:cs="宋体"/>
          <w:b/>
          <w:bCs/>
          <w:kern w:val="0"/>
          <w:sz w:val="24"/>
        </w:rPr>
        <w:t>2.2</w:t>
      </w:r>
      <w:r>
        <w:rPr>
          <w:rFonts w:hint="eastAsia" w:ascii="宋体" w:hAnsi="宋体" w:cs="宋体"/>
          <w:b/>
          <w:bCs/>
          <w:kern w:val="0"/>
          <w:sz w:val="24"/>
        </w:rPr>
        <w:t>厨师岗位职责</w:t>
      </w:r>
    </w:p>
    <w:p>
      <w:pPr>
        <w:numPr>
          <w:ilvl w:val="0"/>
          <w:numId w:val="216"/>
        </w:numPr>
        <w:spacing w:line="480" w:lineRule="exact"/>
        <w:ind w:left="365" w:hanging="364" w:hangingChars="152"/>
        <w:rPr>
          <w:rFonts w:ascii="宋体" w:cs="宋体"/>
          <w:kern w:val="0"/>
          <w:sz w:val="24"/>
        </w:rPr>
      </w:pPr>
      <w:r>
        <w:rPr>
          <w:rFonts w:hint="eastAsia" w:ascii="宋体" w:cs="宋体"/>
          <w:kern w:val="0"/>
          <w:sz w:val="24"/>
        </w:rPr>
        <w:t>负责本岗位所需调料、用具的准备工作，复合调味品（汁、水、酱等）的加工制作工作。</w:t>
      </w:r>
    </w:p>
    <w:p>
      <w:pPr>
        <w:numPr>
          <w:ilvl w:val="0"/>
          <w:numId w:val="216"/>
        </w:numPr>
        <w:spacing w:line="480" w:lineRule="exact"/>
        <w:ind w:left="365" w:hanging="364" w:hangingChars="152"/>
        <w:rPr>
          <w:rFonts w:ascii="宋体" w:cs="宋体"/>
          <w:kern w:val="0"/>
          <w:sz w:val="24"/>
        </w:rPr>
      </w:pPr>
      <w:r>
        <w:rPr>
          <w:rFonts w:hint="eastAsia" w:ascii="宋体" w:cs="宋体"/>
          <w:kern w:val="0"/>
          <w:sz w:val="24"/>
        </w:rPr>
        <w:t>负责按照工艺标准烹调各种菜肴，原料的初生熟加工。</w:t>
      </w:r>
    </w:p>
    <w:p>
      <w:pPr>
        <w:numPr>
          <w:ilvl w:val="0"/>
          <w:numId w:val="216"/>
        </w:numPr>
        <w:spacing w:line="480" w:lineRule="exact"/>
        <w:ind w:left="365" w:hanging="364" w:hangingChars="152"/>
        <w:rPr>
          <w:rFonts w:ascii="宋体" w:cs="宋体"/>
          <w:kern w:val="0"/>
          <w:sz w:val="24"/>
        </w:rPr>
      </w:pPr>
      <w:r>
        <w:rPr>
          <w:rFonts w:hint="eastAsia" w:ascii="宋体" w:cs="宋体"/>
          <w:kern w:val="0"/>
          <w:sz w:val="24"/>
        </w:rPr>
        <w:t>参与菜品调整，增加新</w:t>
      </w:r>
      <w:r>
        <w:rPr>
          <w:rFonts w:ascii="宋体" w:cs="宋体"/>
          <w:kern w:val="0"/>
          <w:sz w:val="24"/>
        </w:rPr>
        <w:t>菜品</w:t>
      </w:r>
      <w:r>
        <w:rPr>
          <w:rFonts w:hint="eastAsia" w:ascii="宋体" w:cs="宋体"/>
          <w:kern w:val="0"/>
          <w:sz w:val="24"/>
        </w:rPr>
        <w:t>，负责业务技能培训</w:t>
      </w:r>
    </w:p>
    <w:p>
      <w:pPr>
        <w:numPr>
          <w:ilvl w:val="0"/>
          <w:numId w:val="216"/>
        </w:numPr>
        <w:spacing w:line="480" w:lineRule="exact"/>
        <w:ind w:left="365" w:hanging="364" w:hangingChars="152"/>
        <w:rPr>
          <w:rFonts w:ascii="宋体" w:cs="宋体"/>
          <w:kern w:val="0"/>
          <w:sz w:val="24"/>
        </w:rPr>
      </w:pPr>
      <w:r>
        <w:rPr>
          <w:rFonts w:hint="eastAsia" w:ascii="宋体" w:cs="宋体"/>
          <w:kern w:val="0"/>
          <w:sz w:val="24"/>
        </w:rPr>
        <w:t>做好个人</w:t>
      </w:r>
      <w:r>
        <w:rPr>
          <w:rFonts w:ascii="宋体" w:cs="宋体"/>
          <w:kern w:val="0"/>
          <w:sz w:val="24"/>
        </w:rPr>
        <w:t>及</w:t>
      </w:r>
      <w:r>
        <w:rPr>
          <w:rFonts w:hint="eastAsia" w:ascii="宋体" w:cs="宋体"/>
          <w:kern w:val="0"/>
          <w:sz w:val="24"/>
        </w:rPr>
        <w:t xml:space="preserve">厨房卫生，要求每天清理调味盒、灶台、墙面、地面、保持干净整洁，抹布每天清洗干净并消毒。吸油烟罩每月清洗一次。每天下班检查并填好厨房巡查表，有情况及时汇报给厨师长。 </w:t>
      </w:r>
    </w:p>
    <w:p>
      <w:pPr>
        <w:numPr>
          <w:ilvl w:val="0"/>
          <w:numId w:val="216"/>
        </w:numPr>
        <w:spacing w:line="480" w:lineRule="exact"/>
        <w:ind w:left="365" w:hanging="364" w:hangingChars="152"/>
        <w:rPr>
          <w:rFonts w:ascii="宋体" w:cs="宋体"/>
          <w:kern w:val="0"/>
          <w:sz w:val="24"/>
        </w:rPr>
      </w:pPr>
      <w:r>
        <w:rPr>
          <w:rFonts w:hint="eastAsia" w:ascii="宋体" w:cs="宋体"/>
          <w:kern w:val="0"/>
          <w:sz w:val="24"/>
        </w:rPr>
        <w:t>负责本岗位设施、设备的维护和保养工作，树立节约意识，注意节约水、电、及各种食材原料。</w:t>
      </w:r>
    </w:p>
    <w:p>
      <w:pPr>
        <w:numPr>
          <w:ilvl w:val="0"/>
          <w:numId w:val="216"/>
        </w:numPr>
        <w:spacing w:line="480" w:lineRule="exact"/>
        <w:ind w:left="365" w:hanging="364" w:hangingChars="152"/>
        <w:rPr>
          <w:rFonts w:ascii="宋体" w:cs="宋体"/>
          <w:kern w:val="0"/>
          <w:sz w:val="24"/>
        </w:rPr>
      </w:pPr>
      <w:r>
        <w:rPr>
          <w:rFonts w:hint="eastAsia" w:ascii="宋体" w:cs="宋体"/>
          <w:kern w:val="0"/>
          <w:sz w:val="24"/>
        </w:rPr>
        <w:t>高度重视食品安全，严格遵守菜品加工工艺流程，提高菜品质量。</w:t>
      </w:r>
    </w:p>
    <w:p>
      <w:pPr>
        <w:numPr>
          <w:ilvl w:val="0"/>
          <w:numId w:val="216"/>
        </w:numPr>
        <w:spacing w:line="480" w:lineRule="exact"/>
        <w:ind w:left="365" w:hanging="364" w:hangingChars="152"/>
        <w:rPr>
          <w:rFonts w:ascii="宋体" w:cs="宋体"/>
          <w:kern w:val="0"/>
          <w:sz w:val="24"/>
        </w:rPr>
      </w:pPr>
      <w:r>
        <w:rPr>
          <w:rFonts w:hint="eastAsia" w:ascii="宋体" w:cs="宋体"/>
          <w:kern w:val="0"/>
          <w:sz w:val="24"/>
        </w:rPr>
        <w:t>及时</w:t>
      </w:r>
      <w:r>
        <w:rPr>
          <w:rFonts w:ascii="宋体" w:cs="宋体"/>
          <w:kern w:val="0"/>
          <w:sz w:val="24"/>
        </w:rPr>
        <w:t>改进</w:t>
      </w:r>
      <w:r>
        <w:rPr>
          <w:rFonts w:hint="eastAsia" w:ascii="宋体" w:cs="宋体"/>
          <w:kern w:val="0"/>
          <w:sz w:val="24"/>
        </w:rPr>
        <w:t>通过信息反馈，餐中检查、餐后巡查发现的菜品质量问题。</w:t>
      </w:r>
    </w:p>
    <w:p>
      <w:pPr>
        <w:numPr>
          <w:ilvl w:val="0"/>
          <w:numId w:val="216"/>
        </w:numPr>
        <w:spacing w:line="480" w:lineRule="exact"/>
        <w:ind w:left="365" w:hanging="364" w:hangingChars="152"/>
        <w:rPr>
          <w:rFonts w:ascii="宋体" w:cs="宋体"/>
          <w:kern w:val="0"/>
          <w:sz w:val="24"/>
        </w:rPr>
      </w:pPr>
      <w:r>
        <w:rPr>
          <w:rFonts w:hint="eastAsia" w:ascii="宋体" w:cs="宋体"/>
          <w:kern w:val="0"/>
          <w:sz w:val="24"/>
        </w:rPr>
        <w:t>厨师</w:t>
      </w:r>
      <w:r>
        <w:rPr>
          <w:rFonts w:ascii="宋体" w:cs="宋体"/>
          <w:kern w:val="0"/>
          <w:sz w:val="24"/>
        </w:rPr>
        <w:t>长交付</w:t>
      </w:r>
      <w:r>
        <w:rPr>
          <w:rFonts w:hint="eastAsia" w:ascii="宋体" w:cs="宋体"/>
          <w:kern w:val="0"/>
          <w:sz w:val="24"/>
        </w:rPr>
        <w:t>的其他</w:t>
      </w:r>
      <w:r>
        <w:rPr>
          <w:rFonts w:ascii="宋体" w:cs="宋体"/>
          <w:kern w:val="0"/>
          <w:sz w:val="24"/>
        </w:rPr>
        <w:t>工作</w:t>
      </w:r>
      <w:r>
        <w:rPr>
          <w:rFonts w:hint="eastAsia" w:ascii="宋体" w:cs="宋体"/>
          <w:kern w:val="0"/>
          <w:sz w:val="24"/>
        </w:rPr>
        <w:t>完成。</w:t>
      </w:r>
    </w:p>
    <w:p>
      <w:pPr>
        <w:spacing w:line="480" w:lineRule="exact"/>
        <w:rPr>
          <w:rFonts w:ascii="宋体" w:cs="宋体"/>
          <w:bCs/>
          <w:kern w:val="0"/>
          <w:sz w:val="24"/>
        </w:rPr>
      </w:pPr>
      <w:r>
        <w:rPr>
          <w:rFonts w:hint="eastAsia" w:ascii="宋体" w:cs="宋体"/>
          <w:kern w:val="0"/>
          <w:sz w:val="24"/>
        </w:rPr>
        <w:t>9，实</w:t>
      </w:r>
      <w:r>
        <w:rPr>
          <w:rFonts w:hint="eastAsia" w:ascii="宋体" w:cs="宋体"/>
          <w:bCs/>
          <w:kern w:val="0"/>
          <w:sz w:val="24"/>
        </w:rPr>
        <w:t>际操作中不认真负责导致食品没有加工熟透出现食物中毒事件自己负全部责任。</w:t>
      </w:r>
    </w:p>
    <w:p>
      <w:pPr>
        <w:spacing w:line="480" w:lineRule="exact"/>
        <w:rPr>
          <w:rFonts w:ascii="宋体" w:cs="宋体"/>
          <w:bCs/>
          <w:kern w:val="0"/>
          <w:sz w:val="24"/>
        </w:rPr>
      </w:pPr>
      <w:r>
        <w:rPr>
          <w:rFonts w:hint="eastAsia" w:ascii="宋体" w:cs="宋体"/>
          <w:bCs/>
          <w:kern w:val="0"/>
          <w:sz w:val="24"/>
        </w:rPr>
        <w:t>10，实际操作中大意马虎没有认真检查食物原材料 或者发现食物原材料质量问题没有报告厨师长擅自使用。 导致出现食物中毒事件自己负全部责任。</w:t>
      </w:r>
    </w:p>
    <w:p>
      <w:pPr>
        <w:spacing w:line="480" w:lineRule="exact"/>
        <w:rPr>
          <w:rFonts w:ascii="宋体" w:cs="宋体"/>
          <w:b/>
          <w:bCs/>
          <w:kern w:val="0"/>
          <w:sz w:val="24"/>
        </w:rPr>
      </w:pPr>
      <w:r>
        <w:rPr>
          <w:rFonts w:hint="eastAsia" w:ascii="宋体" w:cs="宋体"/>
          <w:b/>
          <w:bCs/>
          <w:kern w:val="0"/>
          <w:sz w:val="24"/>
        </w:rPr>
        <w:t>2</w:t>
      </w:r>
      <w:r>
        <w:rPr>
          <w:rFonts w:ascii="宋体" w:cs="宋体"/>
          <w:b/>
          <w:bCs/>
          <w:kern w:val="0"/>
          <w:sz w:val="24"/>
        </w:rPr>
        <w:t>.3</w:t>
      </w:r>
      <w:r>
        <w:rPr>
          <w:rFonts w:hint="eastAsia" w:ascii="宋体" w:cs="宋体"/>
          <w:b/>
          <w:bCs/>
          <w:kern w:val="0"/>
          <w:sz w:val="24"/>
        </w:rPr>
        <w:t>副厨切配岗位人员：</w:t>
      </w:r>
    </w:p>
    <w:p>
      <w:pPr>
        <w:spacing w:line="480" w:lineRule="exact"/>
        <w:rPr>
          <w:rFonts w:ascii="宋体" w:cs="宋体"/>
          <w:kern w:val="0"/>
          <w:sz w:val="24"/>
        </w:rPr>
      </w:pPr>
      <w:r>
        <w:rPr>
          <w:rFonts w:hint="eastAsia" w:ascii="宋体" w:cs="宋体"/>
          <w:kern w:val="0"/>
          <w:sz w:val="24"/>
        </w:rPr>
        <w:t>1.</w:t>
      </w:r>
      <w:r>
        <w:rPr>
          <w:rFonts w:hint="eastAsia" w:ascii="宋体" w:cs="宋体"/>
          <w:kern w:val="0"/>
          <w:sz w:val="24"/>
        </w:rPr>
        <w:tab/>
      </w:r>
      <w:r>
        <w:rPr>
          <w:rFonts w:hint="eastAsia" w:ascii="宋体" w:cs="宋体"/>
          <w:kern w:val="0"/>
          <w:sz w:val="24"/>
        </w:rPr>
        <w:t>负责组织原料的切配及部分菜品的提前腌制工作。</w:t>
      </w:r>
    </w:p>
    <w:p>
      <w:pPr>
        <w:spacing w:line="480" w:lineRule="exact"/>
        <w:rPr>
          <w:rFonts w:ascii="宋体" w:cs="宋体"/>
          <w:kern w:val="0"/>
          <w:sz w:val="24"/>
        </w:rPr>
      </w:pPr>
      <w:r>
        <w:rPr>
          <w:rFonts w:hint="eastAsia" w:ascii="宋体" w:cs="宋体"/>
          <w:kern w:val="0"/>
          <w:sz w:val="24"/>
        </w:rPr>
        <w:t>2.</w:t>
      </w:r>
      <w:r>
        <w:rPr>
          <w:rFonts w:hint="eastAsia" w:ascii="宋体" w:cs="宋体"/>
          <w:kern w:val="0"/>
          <w:sz w:val="24"/>
        </w:rPr>
        <w:tab/>
      </w:r>
      <w:r>
        <w:rPr>
          <w:rFonts w:hint="eastAsia" w:ascii="宋体" w:cs="宋体"/>
          <w:kern w:val="0"/>
          <w:sz w:val="24"/>
        </w:rPr>
        <w:t>负责所需食材原料的领取并掌握库存情况，负责本小组验货工作。及冰柜中原料的保管。规范化放置。</w:t>
      </w:r>
    </w:p>
    <w:p>
      <w:pPr>
        <w:spacing w:line="480" w:lineRule="exact"/>
        <w:rPr>
          <w:rFonts w:ascii="宋体" w:cs="宋体"/>
          <w:kern w:val="0"/>
          <w:sz w:val="24"/>
        </w:rPr>
      </w:pPr>
      <w:r>
        <w:rPr>
          <w:rFonts w:hint="eastAsia" w:ascii="宋体" w:cs="宋体"/>
          <w:kern w:val="0"/>
          <w:sz w:val="24"/>
        </w:rPr>
        <w:t>3.</w:t>
      </w:r>
      <w:r>
        <w:rPr>
          <w:rFonts w:hint="eastAsia" w:ascii="宋体" w:cs="宋体"/>
          <w:kern w:val="0"/>
          <w:sz w:val="24"/>
        </w:rPr>
        <w:tab/>
      </w:r>
      <w:r>
        <w:rPr>
          <w:rFonts w:hint="eastAsia" w:ascii="宋体" w:cs="宋体"/>
          <w:kern w:val="0"/>
          <w:sz w:val="24"/>
        </w:rPr>
        <w:t>按菜单和标准菜谱的要求切配食材原料。物尽其用，杜绝浪费。</w:t>
      </w:r>
    </w:p>
    <w:p>
      <w:pPr>
        <w:spacing w:line="480" w:lineRule="exact"/>
        <w:rPr>
          <w:rFonts w:ascii="宋体" w:cs="宋体"/>
          <w:kern w:val="0"/>
          <w:sz w:val="24"/>
        </w:rPr>
      </w:pPr>
      <w:r>
        <w:rPr>
          <w:rFonts w:hint="eastAsia" w:ascii="宋体" w:cs="宋体"/>
          <w:kern w:val="0"/>
          <w:sz w:val="24"/>
        </w:rPr>
        <w:t>4.</w:t>
      </w:r>
      <w:r>
        <w:rPr>
          <w:rFonts w:hint="eastAsia" w:ascii="宋体" w:cs="宋体"/>
          <w:kern w:val="0"/>
          <w:sz w:val="24"/>
        </w:rPr>
        <w:tab/>
      </w:r>
      <w:r>
        <w:rPr>
          <w:rFonts w:hint="eastAsia" w:ascii="宋体" w:cs="宋体"/>
          <w:kern w:val="0"/>
          <w:sz w:val="24"/>
        </w:rPr>
        <w:t>注意个人卫生，负责厨房的清洁卫生，要求菜架、墙面、地面，冰箱和工作台干净整洁，没有污渍，抹布、刀、菜板每天下班前清洗干净并消毒。</w:t>
      </w:r>
    </w:p>
    <w:p>
      <w:pPr>
        <w:spacing w:line="480" w:lineRule="exact"/>
        <w:rPr>
          <w:rFonts w:ascii="宋体" w:cs="宋体"/>
          <w:kern w:val="0"/>
          <w:sz w:val="24"/>
        </w:rPr>
      </w:pPr>
      <w:r>
        <w:rPr>
          <w:rFonts w:hint="eastAsia" w:ascii="宋体" w:cs="宋体"/>
          <w:kern w:val="0"/>
          <w:sz w:val="24"/>
        </w:rPr>
        <w:t>5.</w:t>
      </w:r>
      <w:r>
        <w:rPr>
          <w:rFonts w:hint="eastAsia" w:ascii="宋体" w:cs="宋体"/>
          <w:kern w:val="0"/>
          <w:sz w:val="24"/>
        </w:rPr>
        <w:tab/>
      </w:r>
      <w:r>
        <w:rPr>
          <w:rFonts w:hint="eastAsia" w:ascii="宋体" w:cs="宋体"/>
          <w:kern w:val="0"/>
          <w:sz w:val="24"/>
        </w:rPr>
        <w:t>负责本岗位区域设备设施的安全检查工作</w:t>
      </w:r>
    </w:p>
    <w:p>
      <w:pPr>
        <w:spacing w:line="480" w:lineRule="exact"/>
        <w:rPr>
          <w:rFonts w:ascii="宋体" w:cs="宋体"/>
          <w:kern w:val="0"/>
          <w:sz w:val="24"/>
        </w:rPr>
      </w:pPr>
      <w:r>
        <w:rPr>
          <w:rFonts w:hint="eastAsia" w:ascii="宋体" w:cs="宋体"/>
          <w:kern w:val="0"/>
          <w:sz w:val="24"/>
        </w:rPr>
        <w:t>6.</w:t>
      </w:r>
      <w:r>
        <w:rPr>
          <w:rFonts w:hint="eastAsia" w:ascii="宋体" w:cs="宋体"/>
          <w:kern w:val="0"/>
          <w:sz w:val="24"/>
        </w:rPr>
        <w:tab/>
      </w:r>
      <w:r>
        <w:rPr>
          <w:rFonts w:hint="eastAsia" w:ascii="宋体" w:cs="宋体"/>
          <w:kern w:val="0"/>
          <w:sz w:val="24"/>
        </w:rPr>
        <w:t xml:space="preserve">严格执行菜品的工艺量化标准， </w:t>
      </w:r>
    </w:p>
    <w:p>
      <w:pPr>
        <w:spacing w:line="480" w:lineRule="exact"/>
        <w:rPr>
          <w:rFonts w:ascii="宋体" w:cs="宋体"/>
          <w:kern w:val="0"/>
          <w:sz w:val="24"/>
        </w:rPr>
      </w:pPr>
      <w:r>
        <w:rPr>
          <w:rFonts w:hint="eastAsia" w:ascii="宋体" w:cs="宋体"/>
          <w:kern w:val="0"/>
          <w:sz w:val="24"/>
        </w:rPr>
        <w:t>7.</w:t>
      </w:r>
      <w:r>
        <w:rPr>
          <w:rFonts w:hint="eastAsia" w:ascii="宋体" w:cs="宋体"/>
          <w:kern w:val="0"/>
          <w:sz w:val="24"/>
        </w:rPr>
        <w:tab/>
      </w:r>
      <w:r>
        <w:rPr>
          <w:rFonts w:hint="eastAsia" w:ascii="宋体" w:cs="宋体"/>
          <w:kern w:val="0"/>
          <w:sz w:val="24"/>
        </w:rPr>
        <w:t xml:space="preserve">在餐前备齐备足原料，禁止菜品沽清， 每餐前检查冰柜、保险柜原料是否变质，腐烂，异味存在。 </w:t>
      </w:r>
    </w:p>
    <w:p>
      <w:pPr>
        <w:spacing w:line="480" w:lineRule="exact"/>
        <w:rPr>
          <w:rFonts w:ascii="宋体" w:cs="宋体"/>
          <w:kern w:val="0"/>
          <w:sz w:val="24"/>
        </w:rPr>
      </w:pPr>
      <w:r>
        <w:rPr>
          <w:rFonts w:hint="eastAsia" w:ascii="宋体" w:cs="宋体"/>
          <w:kern w:val="0"/>
          <w:sz w:val="24"/>
        </w:rPr>
        <w:t>8.</w:t>
      </w:r>
      <w:r>
        <w:rPr>
          <w:rFonts w:hint="eastAsia" w:ascii="宋体" w:cs="宋体"/>
          <w:kern w:val="0"/>
          <w:sz w:val="24"/>
        </w:rPr>
        <w:tab/>
      </w:r>
      <w:r>
        <w:rPr>
          <w:rFonts w:hint="eastAsia" w:ascii="宋体" w:cs="宋体"/>
          <w:kern w:val="0"/>
          <w:sz w:val="24"/>
        </w:rPr>
        <w:t>必须在餐前检查身上有无毛发，杜绝菜品异物出现。</w:t>
      </w:r>
    </w:p>
    <w:p>
      <w:pPr>
        <w:spacing w:line="480" w:lineRule="exact"/>
        <w:rPr>
          <w:rFonts w:ascii="宋体" w:cs="宋体"/>
          <w:kern w:val="0"/>
          <w:sz w:val="24"/>
        </w:rPr>
      </w:pPr>
      <w:r>
        <w:rPr>
          <w:rFonts w:hint="eastAsia" w:ascii="宋体" w:cs="宋体"/>
          <w:kern w:val="0"/>
          <w:sz w:val="24"/>
        </w:rPr>
        <w:t>9.</w:t>
      </w:r>
      <w:r>
        <w:rPr>
          <w:rFonts w:hint="eastAsia" w:ascii="宋体" w:cs="宋体"/>
          <w:kern w:val="0"/>
          <w:sz w:val="24"/>
        </w:rPr>
        <w:tab/>
      </w:r>
      <w:r>
        <w:rPr>
          <w:rFonts w:hint="eastAsia" w:ascii="宋体" w:cs="宋体"/>
          <w:kern w:val="0"/>
          <w:sz w:val="24"/>
        </w:rPr>
        <w:t>协助厨师长做好成本控制，完成厨师长交代的其他任务。</w:t>
      </w:r>
    </w:p>
    <w:p>
      <w:pPr>
        <w:spacing w:line="480" w:lineRule="exact"/>
        <w:rPr>
          <w:rFonts w:ascii="宋体" w:cs="宋体"/>
          <w:kern w:val="0"/>
          <w:sz w:val="24"/>
        </w:rPr>
      </w:pPr>
      <w:r>
        <w:rPr>
          <w:rFonts w:hint="eastAsia" w:ascii="宋体" w:cs="宋体"/>
          <w:kern w:val="0"/>
          <w:sz w:val="24"/>
        </w:rPr>
        <w:t>10，实际操作中大意马虎没有认真检查食物原材料 或者发现食物原材料质量问题没有报告厨师长擅自使用 导致出现食物中毒事件自己负全部责任。</w:t>
      </w:r>
    </w:p>
    <w:p>
      <w:pPr>
        <w:spacing w:line="480" w:lineRule="exact"/>
        <w:rPr>
          <w:rFonts w:ascii="宋体" w:cs="宋体"/>
          <w:b/>
          <w:kern w:val="0"/>
          <w:sz w:val="24"/>
        </w:rPr>
      </w:pPr>
      <w:r>
        <w:rPr>
          <w:rFonts w:hint="eastAsia" w:ascii="宋体" w:cs="宋体"/>
          <w:b/>
          <w:kern w:val="0"/>
          <w:sz w:val="24"/>
        </w:rPr>
        <w:t>2</w:t>
      </w:r>
      <w:r>
        <w:rPr>
          <w:rFonts w:ascii="宋体" w:cs="宋体"/>
          <w:b/>
          <w:kern w:val="0"/>
          <w:sz w:val="24"/>
        </w:rPr>
        <w:t>.4</w:t>
      </w:r>
      <w:r>
        <w:rPr>
          <w:rFonts w:hint="eastAsia" w:ascii="宋体" w:cs="宋体"/>
          <w:b/>
          <w:kern w:val="0"/>
          <w:sz w:val="24"/>
        </w:rPr>
        <w:t>厨房帮工岗位职责</w:t>
      </w:r>
    </w:p>
    <w:p>
      <w:pPr>
        <w:spacing w:line="480" w:lineRule="exact"/>
        <w:rPr>
          <w:rFonts w:ascii="宋体" w:cs="宋体"/>
          <w:kern w:val="0"/>
          <w:sz w:val="24"/>
        </w:rPr>
      </w:pPr>
      <w:r>
        <w:rPr>
          <w:rFonts w:ascii="宋体" w:cs="宋体"/>
          <w:kern w:val="0"/>
          <w:sz w:val="24"/>
        </w:rPr>
        <w:t>1.</w:t>
      </w:r>
      <w:r>
        <w:rPr>
          <w:rFonts w:hint="eastAsia" w:ascii="宋体" w:cs="宋体"/>
          <w:kern w:val="0"/>
          <w:sz w:val="24"/>
        </w:rPr>
        <w:t xml:space="preserve">开餐前须二次更衣，洗手消毒，穿戴好整洁的衣、帽、手套和口罩。 </w:t>
      </w:r>
    </w:p>
    <w:p>
      <w:pPr>
        <w:spacing w:line="480" w:lineRule="exact"/>
        <w:rPr>
          <w:rFonts w:ascii="宋体" w:cs="宋体"/>
          <w:kern w:val="0"/>
          <w:sz w:val="24"/>
        </w:rPr>
      </w:pPr>
      <w:r>
        <w:rPr>
          <w:rFonts w:ascii="宋体" w:cs="宋体"/>
          <w:kern w:val="0"/>
          <w:sz w:val="24"/>
        </w:rPr>
        <w:t>2.</w:t>
      </w:r>
      <w:r>
        <w:rPr>
          <w:rFonts w:hint="eastAsia" w:ascii="宋体" w:cs="宋体"/>
          <w:kern w:val="0"/>
          <w:sz w:val="24"/>
        </w:rPr>
        <w:t xml:space="preserve">文明服务、热情接待、有问必答、耐心解释、礼貌用语。 </w:t>
      </w:r>
    </w:p>
    <w:p>
      <w:pPr>
        <w:spacing w:line="480" w:lineRule="exact"/>
        <w:rPr>
          <w:rFonts w:ascii="宋体" w:cs="宋体"/>
          <w:kern w:val="0"/>
          <w:sz w:val="24"/>
        </w:rPr>
      </w:pPr>
      <w:r>
        <w:rPr>
          <w:rFonts w:ascii="宋体" w:cs="宋体"/>
          <w:kern w:val="0"/>
          <w:sz w:val="24"/>
        </w:rPr>
        <w:t>3.</w:t>
      </w:r>
      <w:r>
        <w:rPr>
          <w:rFonts w:hint="eastAsia" w:ascii="宋体" w:cs="宋体"/>
          <w:kern w:val="0"/>
          <w:sz w:val="24"/>
        </w:rPr>
        <w:t xml:space="preserve">买卖公平、三个一样（领导与群众、内部与外部、生人与熟人）不出差错。 </w:t>
      </w:r>
    </w:p>
    <w:p>
      <w:pPr>
        <w:spacing w:line="480" w:lineRule="exact"/>
        <w:rPr>
          <w:rFonts w:ascii="宋体" w:cs="宋体"/>
          <w:kern w:val="0"/>
          <w:sz w:val="24"/>
        </w:rPr>
      </w:pPr>
      <w:r>
        <w:rPr>
          <w:rFonts w:hint="eastAsia" w:ascii="宋体" w:cs="宋体"/>
          <w:kern w:val="0"/>
          <w:sz w:val="24"/>
        </w:rPr>
        <w:t xml:space="preserve">4．对变质饭菜点心不出售。 </w:t>
      </w:r>
    </w:p>
    <w:p>
      <w:pPr>
        <w:spacing w:line="480" w:lineRule="exact"/>
        <w:rPr>
          <w:rFonts w:ascii="宋体" w:cs="宋体"/>
          <w:kern w:val="0"/>
          <w:sz w:val="24"/>
        </w:rPr>
      </w:pPr>
      <w:r>
        <w:rPr>
          <w:rFonts w:hint="eastAsia" w:ascii="宋体" w:cs="宋体"/>
          <w:kern w:val="0"/>
          <w:sz w:val="24"/>
        </w:rPr>
        <w:t>5．开餐中保持良好的服务态度，主动询问员工选择菜样，热情微笑服务。</w:t>
      </w:r>
    </w:p>
    <w:p>
      <w:pPr>
        <w:spacing w:line="480" w:lineRule="exact"/>
        <w:rPr>
          <w:rFonts w:ascii="宋体" w:cs="宋体"/>
          <w:kern w:val="0"/>
          <w:sz w:val="24"/>
        </w:rPr>
      </w:pPr>
      <w:r>
        <w:rPr>
          <w:rFonts w:hint="eastAsia" w:ascii="宋体" w:cs="宋体"/>
          <w:kern w:val="0"/>
          <w:sz w:val="24"/>
        </w:rPr>
        <w:t>6．开餐时间内保证有服务员在熟食间为员工服务。</w:t>
      </w:r>
    </w:p>
    <w:p>
      <w:pPr>
        <w:spacing w:line="480" w:lineRule="exact"/>
        <w:rPr>
          <w:rFonts w:ascii="宋体" w:cs="宋体"/>
          <w:kern w:val="0"/>
          <w:sz w:val="24"/>
        </w:rPr>
      </w:pPr>
      <w:r>
        <w:rPr>
          <w:rFonts w:hint="eastAsia" w:ascii="宋体" w:cs="宋体"/>
          <w:kern w:val="0"/>
          <w:sz w:val="24"/>
        </w:rPr>
        <w:t>7．服从命令、听候调度。</w:t>
      </w:r>
    </w:p>
    <w:p>
      <w:pPr>
        <w:spacing w:line="480" w:lineRule="exact"/>
        <w:rPr>
          <w:rFonts w:ascii="宋体" w:cs="宋体"/>
          <w:kern w:val="0"/>
          <w:sz w:val="24"/>
        </w:rPr>
      </w:pPr>
      <w:r>
        <w:rPr>
          <w:rFonts w:ascii="宋体" w:cs="宋体"/>
          <w:kern w:val="0"/>
          <w:sz w:val="24"/>
        </w:rPr>
        <w:t xml:space="preserve">8. </w:t>
      </w:r>
      <w:r>
        <w:rPr>
          <w:rFonts w:hint="eastAsia" w:ascii="宋体" w:cs="宋体"/>
          <w:kern w:val="0"/>
          <w:sz w:val="24"/>
        </w:rPr>
        <w:t>厅卫生要求保温台水每天更换、工作台、保温台、地面干，整洁没有油渍，抹布每天下班前清洗并消毒。每天下班检查并填好餐厅巡查表有情况及时汇报给厨师长。</w:t>
      </w:r>
    </w:p>
    <w:p>
      <w:pPr>
        <w:spacing w:line="480" w:lineRule="exact"/>
        <w:rPr>
          <w:rFonts w:ascii="宋体" w:cs="宋体"/>
          <w:b/>
          <w:bCs/>
          <w:color w:val="000000"/>
          <w:kern w:val="0"/>
          <w:sz w:val="24"/>
        </w:rPr>
      </w:pPr>
      <w:r>
        <w:rPr>
          <w:rFonts w:ascii="宋体" w:hAnsi="宋体" w:cs="宋体"/>
          <w:b/>
          <w:bCs/>
          <w:color w:val="000000"/>
          <w:kern w:val="0"/>
          <w:sz w:val="24"/>
        </w:rPr>
        <w:t>3.</w:t>
      </w:r>
      <w:r>
        <w:rPr>
          <w:rFonts w:hint="eastAsia" w:ascii="宋体" w:hAnsi="宋体" w:cs="宋体"/>
          <w:b/>
          <w:bCs/>
          <w:color w:val="000000"/>
          <w:kern w:val="0"/>
          <w:sz w:val="24"/>
        </w:rPr>
        <w:t>工作范围</w:t>
      </w:r>
    </w:p>
    <w:p>
      <w:pPr>
        <w:spacing w:line="480" w:lineRule="exac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）工作人员的早餐、中餐、晚餐采用半自助中式快餐。</w:t>
      </w:r>
    </w:p>
    <w:p>
      <w:pPr>
        <w:spacing w:line="480" w:lineRule="exac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）住院病人餐食制作打包，病人家属的就餐供应。</w:t>
      </w:r>
    </w:p>
    <w:p>
      <w:pPr>
        <w:spacing w:line="480" w:lineRule="exact"/>
        <w:rPr>
          <w:rFonts w:ascii="宋体" w:cs="宋体"/>
          <w:color w:val="000000"/>
          <w:kern w:val="0"/>
          <w:sz w:val="24"/>
        </w:rPr>
      </w:pPr>
      <w:r>
        <w:rPr>
          <w:rFonts w:hint="eastAsia"/>
          <w:sz w:val="24"/>
        </w:rPr>
        <w:t>（</w:t>
      </w:r>
      <w:r>
        <w:rPr>
          <w:sz w:val="24"/>
        </w:rPr>
        <w:t>3</w:t>
      </w:r>
      <w:r>
        <w:rPr>
          <w:rFonts w:hint="eastAsia"/>
          <w:sz w:val="24"/>
        </w:rPr>
        <w:t>）其他人员（如医院外来维修人员、上级检查人员等）盒饭的送餐服务。</w:t>
      </w:r>
    </w:p>
    <w:p>
      <w:pPr>
        <w:snapToGrid w:val="0"/>
        <w:spacing w:line="360" w:lineRule="auto"/>
        <w:rPr>
          <w:rFonts w:ascii="宋体"/>
          <w:b/>
          <w:sz w:val="24"/>
        </w:rPr>
      </w:pPr>
      <w:r>
        <w:rPr>
          <w:rFonts w:ascii="宋体" w:hAnsi="宋体"/>
          <w:b/>
          <w:sz w:val="24"/>
        </w:rPr>
        <w:t>4.</w:t>
      </w:r>
      <w:r>
        <w:rPr>
          <w:rFonts w:hint="eastAsia" w:ascii="宋体" w:hAnsi="宋体"/>
          <w:b/>
          <w:sz w:val="24"/>
        </w:rPr>
        <w:t>人员要求</w:t>
      </w:r>
    </w:p>
    <w:p>
      <w:pPr>
        <w:tabs>
          <w:tab w:val="left" w:pos="567"/>
          <w:tab w:val="left" w:pos="851"/>
          <w:tab w:val="left" w:pos="993"/>
          <w:tab w:val="left" w:pos="1134"/>
        </w:tabs>
        <w:spacing w:line="360" w:lineRule="auto"/>
        <w:ind w:firstLine="480" w:firstLineChars="200"/>
        <w:rPr>
          <w:rFonts w:ascii="宋体" w:hAnsi="Calibri"/>
          <w:bCs/>
          <w:sz w:val="24"/>
          <w:szCs w:val="22"/>
        </w:rPr>
      </w:pPr>
      <w:r>
        <w:rPr>
          <w:rFonts w:hint="eastAsia" w:ascii="宋体" w:hAnsi="宋体"/>
          <w:bCs/>
          <w:sz w:val="24"/>
          <w:szCs w:val="22"/>
        </w:rPr>
        <w:t>（</w:t>
      </w:r>
      <w:r>
        <w:rPr>
          <w:rFonts w:ascii="宋体" w:hAnsi="宋体"/>
          <w:bCs/>
          <w:sz w:val="24"/>
          <w:szCs w:val="22"/>
        </w:rPr>
        <w:t>1</w:t>
      </w:r>
      <w:r>
        <w:rPr>
          <w:rFonts w:hint="eastAsia" w:ascii="宋体" w:hAnsi="宋体"/>
          <w:bCs/>
          <w:sz w:val="24"/>
          <w:szCs w:val="22"/>
        </w:rPr>
        <w:t>）学历至少达到初中及以上水平，两年以上同类工作经验；</w:t>
      </w:r>
    </w:p>
    <w:p>
      <w:pPr>
        <w:tabs>
          <w:tab w:val="left" w:pos="567"/>
          <w:tab w:val="left" w:pos="851"/>
          <w:tab w:val="left" w:pos="993"/>
          <w:tab w:val="left" w:pos="1134"/>
        </w:tabs>
        <w:spacing w:line="360" w:lineRule="auto"/>
        <w:ind w:firstLine="482" w:firstLineChars="200"/>
        <w:rPr>
          <w:rFonts w:ascii="宋体" w:hAnsi="Calibri"/>
          <w:b/>
          <w:bCs/>
          <w:sz w:val="24"/>
          <w:szCs w:val="22"/>
        </w:rPr>
      </w:pPr>
      <w:r>
        <w:rPr>
          <w:rFonts w:hint="eastAsia" w:ascii="宋体" w:hAnsi="宋体"/>
          <w:b/>
          <w:bCs/>
          <w:sz w:val="24"/>
          <w:szCs w:val="22"/>
        </w:rPr>
        <w:t>▲（</w:t>
      </w:r>
      <w:r>
        <w:rPr>
          <w:rFonts w:ascii="宋体" w:hAnsi="宋体"/>
          <w:b/>
          <w:bCs/>
          <w:sz w:val="24"/>
          <w:szCs w:val="22"/>
        </w:rPr>
        <w:t>2</w:t>
      </w:r>
      <w:r>
        <w:rPr>
          <w:rFonts w:hint="eastAsia" w:ascii="宋体" w:hAnsi="宋体"/>
          <w:b/>
          <w:bCs/>
          <w:sz w:val="24"/>
          <w:szCs w:val="22"/>
        </w:rPr>
        <w:t>）持餐饮服务健康证上岗；</w:t>
      </w:r>
    </w:p>
    <w:p>
      <w:pPr>
        <w:tabs>
          <w:tab w:val="left" w:pos="567"/>
          <w:tab w:val="left" w:pos="851"/>
          <w:tab w:val="left" w:pos="993"/>
          <w:tab w:val="left" w:pos="1134"/>
        </w:tabs>
        <w:spacing w:line="360" w:lineRule="auto"/>
        <w:ind w:firstLine="480" w:firstLineChars="200"/>
        <w:rPr>
          <w:rFonts w:ascii="宋体" w:hAnsi="Calibri"/>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）爱岗敬业，听从医院方的工作安排及调派；</w:t>
      </w:r>
      <w:r>
        <w:rPr>
          <w:rFonts w:ascii="宋体" w:hAnsi="宋体"/>
          <w:bCs/>
          <w:sz w:val="24"/>
          <w:szCs w:val="22"/>
        </w:rPr>
        <w:t xml:space="preserve"> </w:t>
      </w:r>
    </w:p>
    <w:p>
      <w:pPr>
        <w:tabs>
          <w:tab w:val="left" w:pos="567"/>
          <w:tab w:val="left" w:pos="851"/>
          <w:tab w:val="left" w:pos="993"/>
          <w:tab w:val="left" w:pos="1134"/>
        </w:tabs>
        <w:spacing w:line="360" w:lineRule="auto"/>
        <w:ind w:firstLine="480" w:firstLineChars="200"/>
        <w:rPr>
          <w:rFonts w:ascii="宋体" w:hAnsi="Calibri"/>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）人员要保证稳定，不得随意调换；如确需调换，必须保证新调换的员工操作熟练；</w:t>
      </w:r>
    </w:p>
    <w:p>
      <w:pPr>
        <w:tabs>
          <w:tab w:val="left" w:pos="567"/>
          <w:tab w:val="left" w:pos="851"/>
          <w:tab w:val="left" w:pos="993"/>
          <w:tab w:val="left" w:pos="1134"/>
        </w:tabs>
        <w:spacing w:line="360" w:lineRule="auto"/>
        <w:ind w:firstLine="480" w:firstLineChars="200"/>
        <w:rPr>
          <w:rFonts w:ascii="宋体" w:hAnsi="Calibri"/>
          <w:bCs/>
          <w:sz w:val="24"/>
          <w:szCs w:val="22"/>
        </w:rPr>
      </w:pPr>
      <w:r>
        <w:rPr>
          <w:rFonts w:hint="eastAsia" w:ascii="宋体" w:hAnsi="宋体"/>
          <w:bCs/>
          <w:sz w:val="24"/>
          <w:szCs w:val="22"/>
        </w:rPr>
        <w:t>（</w:t>
      </w:r>
      <w:r>
        <w:rPr>
          <w:rFonts w:ascii="宋体" w:hAnsi="宋体"/>
          <w:bCs/>
          <w:sz w:val="24"/>
          <w:szCs w:val="22"/>
        </w:rPr>
        <w:t>5</w:t>
      </w:r>
      <w:r>
        <w:rPr>
          <w:rFonts w:hint="eastAsia" w:ascii="宋体" w:hAnsi="宋体"/>
          <w:bCs/>
          <w:sz w:val="24"/>
          <w:szCs w:val="22"/>
        </w:rPr>
        <w:t>）具有优秀的职业操守；</w:t>
      </w:r>
    </w:p>
    <w:p>
      <w:pPr>
        <w:tabs>
          <w:tab w:val="left" w:pos="567"/>
          <w:tab w:val="left" w:pos="851"/>
          <w:tab w:val="left" w:pos="993"/>
          <w:tab w:val="left" w:pos="1134"/>
        </w:tabs>
        <w:spacing w:line="360" w:lineRule="auto"/>
        <w:ind w:firstLine="480" w:firstLineChars="200"/>
        <w:rPr>
          <w:rFonts w:ascii="宋体" w:hAnsi="Calibri"/>
          <w:bCs/>
          <w:sz w:val="24"/>
          <w:szCs w:val="22"/>
        </w:rPr>
      </w:pPr>
      <w:r>
        <w:rPr>
          <w:rFonts w:hint="eastAsia" w:ascii="宋体" w:hAnsi="宋体"/>
          <w:bCs/>
          <w:sz w:val="24"/>
          <w:szCs w:val="22"/>
        </w:rPr>
        <w:t>（</w:t>
      </w:r>
      <w:r>
        <w:rPr>
          <w:rFonts w:ascii="宋体" w:hAnsi="宋体"/>
          <w:bCs/>
          <w:sz w:val="24"/>
          <w:szCs w:val="22"/>
        </w:rPr>
        <w:t>6</w:t>
      </w:r>
      <w:r>
        <w:rPr>
          <w:rFonts w:hint="eastAsia" w:ascii="宋体" w:hAnsi="宋体"/>
          <w:bCs/>
          <w:sz w:val="24"/>
          <w:szCs w:val="22"/>
        </w:rPr>
        <w:t>）及时、到位地完成工作任务；</w:t>
      </w:r>
    </w:p>
    <w:p>
      <w:pPr>
        <w:tabs>
          <w:tab w:val="left" w:pos="567"/>
          <w:tab w:val="left" w:pos="851"/>
          <w:tab w:val="left" w:pos="993"/>
          <w:tab w:val="left" w:pos="1134"/>
        </w:tabs>
        <w:spacing w:line="360" w:lineRule="auto"/>
        <w:ind w:firstLine="480" w:firstLineChars="200"/>
        <w:rPr>
          <w:rFonts w:ascii="宋体" w:hAnsi="Calibri"/>
          <w:bCs/>
          <w:sz w:val="24"/>
          <w:szCs w:val="22"/>
        </w:rPr>
      </w:pPr>
      <w:r>
        <w:rPr>
          <w:rFonts w:hint="eastAsia" w:ascii="宋体" w:hAnsi="宋体"/>
          <w:bCs/>
          <w:sz w:val="24"/>
          <w:szCs w:val="22"/>
        </w:rPr>
        <w:t>（</w:t>
      </w:r>
      <w:r>
        <w:rPr>
          <w:rFonts w:ascii="宋体" w:hAnsi="宋体"/>
          <w:bCs/>
          <w:sz w:val="24"/>
          <w:szCs w:val="22"/>
        </w:rPr>
        <w:t>7</w:t>
      </w:r>
      <w:r>
        <w:rPr>
          <w:rFonts w:hint="eastAsia" w:ascii="宋体" w:hAnsi="宋体"/>
          <w:bCs/>
          <w:sz w:val="24"/>
          <w:szCs w:val="22"/>
        </w:rPr>
        <w:t>）年龄要求原则上男性应在55周岁以下，女性应在45周岁以下，培训合格后上岗。</w:t>
      </w:r>
    </w:p>
    <w:p>
      <w:pPr>
        <w:spacing w:line="480" w:lineRule="exact"/>
        <w:rPr>
          <w:rFonts w:ascii="宋体"/>
          <w:b/>
          <w:sz w:val="24"/>
        </w:rPr>
      </w:pPr>
      <w:r>
        <w:rPr>
          <w:rFonts w:ascii="宋体" w:hAnsi="宋体"/>
          <w:b/>
          <w:sz w:val="24"/>
        </w:rPr>
        <w:t>5.</w:t>
      </w:r>
      <w:r>
        <w:rPr>
          <w:rFonts w:hint="eastAsia" w:ascii="宋体" w:hAnsi="宋体"/>
          <w:b/>
          <w:sz w:val="24"/>
        </w:rPr>
        <w:t>餐饮服务质量要求：</w:t>
      </w:r>
    </w:p>
    <w:p>
      <w:pPr>
        <w:spacing w:before="100" w:beforeAutospacing="1" w:line="360" w:lineRule="auto"/>
        <w:jc w:val="left"/>
        <w:rPr>
          <w:bCs/>
          <w:sz w:val="24"/>
        </w:rPr>
      </w:pPr>
      <w:r>
        <w:rPr>
          <w:rFonts w:hint="eastAsia"/>
          <w:bCs/>
          <w:sz w:val="24"/>
        </w:rPr>
        <w:t>（1）建立健全各项管理制度，合法经营。重视卫生防疫、消防、治安等工作，杜绝食品卫生不良事件、消防不良事件及治安、刑事案件的发生</w:t>
      </w:r>
    </w:p>
    <w:p>
      <w:pPr>
        <w:spacing w:before="100" w:beforeAutospacing="1" w:line="360" w:lineRule="auto"/>
        <w:jc w:val="left"/>
        <w:rPr>
          <w:bCs/>
          <w:sz w:val="24"/>
        </w:rPr>
      </w:pPr>
      <w:r>
        <w:rPr>
          <w:rFonts w:hint="eastAsia"/>
          <w:bCs/>
          <w:sz w:val="24"/>
        </w:rPr>
        <w:t>（2）严格遵守《食品安全法》，落实卫生管理制度。从业人员必须持有效的健康证上岗。严把食品卫生、餐具卫生、环境卫生、个人卫生关，各项指标达到A级餐饮单位标准。配合医院通过各项检查（如三甲医院评审，JCI论证以及各级行政卫生监督部门的检查）。</w:t>
      </w:r>
    </w:p>
    <w:p>
      <w:pPr>
        <w:spacing w:before="100" w:beforeAutospacing="1" w:line="360" w:lineRule="auto"/>
        <w:jc w:val="left"/>
        <w:rPr>
          <w:bCs/>
          <w:sz w:val="24"/>
        </w:rPr>
      </w:pPr>
      <w:r>
        <w:rPr>
          <w:rFonts w:hint="eastAsia"/>
          <w:bCs/>
          <w:sz w:val="24"/>
        </w:rPr>
        <w:t>（3）菜肴品种丰富，早餐要求提供不少于8个品种，中餐各提供不少于7个品种的菜肴，晚餐品种不少于5个。</w:t>
      </w:r>
    </w:p>
    <w:p>
      <w:pPr>
        <w:spacing w:before="100" w:beforeAutospacing="1" w:line="360" w:lineRule="auto"/>
        <w:jc w:val="left"/>
        <w:rPr>
          <w:bCs/>
          <w:sz w:val="24"/>
        </w:rPr>
      </w:pPr>
      <w:r>
        <w:rPr>
          <w:rFonts w:hint="eastAsia"/>
          <w:bCs/>
          <w:sz w:val="24"/>
        </w:rPr>
        <w:t>（4）保证一日三餐正点、足量，菜肴品质优异，营养健康，力求色香味俱全。必须做到现烧现卖，做好保温工作。</w:t>
      </w:r>
    </w:p>
    <w:p>
      <w:pPr>
        <w:spacing w:before="100" w:beforeAutospacing="1" w:line="360" w:lineRule="auto"/>
        <w:jc w:val="left"/>
        <w:rPr>
          <w:bCs/>
          <w:sz w:val="24"/>
        </w:rPr>
      </w:pPr>
      <w:r>
        <w:rPr>
          <w:rFonts w:hint="eastAsia"/>
          <w:bCs/>
          <w:sz w:val="24"/>
        </w:rPr>
        <w:t>（5）所有菜品均需明码标价且符合经议定的价格。</w:t>
      </w:r>
    </w:p>
    <w:p>
      <w:pPr>
        <w:spacing w:before="100" w:beforeAutospacing="1" w:line="360" w:lineRule="auto"/>
        <w:jc w:val="left"/>
        <w:rPr>
          <w:bCs/>
          <w:sz w:val="24"/>
        </w:rPr>
      </w:pPr>
      <w:r>
        <w:rPr>
          <w:rFonts w:hint="eastAsia"/>
          <w:bCs/>
          <w:sz w:val="24"/>
        </w:rPr>
        <w:t>（6）工作人员必须统一着装，仪表端正。坚持“安全第一，服务第一”的宗旨，服务要体现两个重点，一是“快”而有序，“出品快、动作快、送餐快”；二是礼貌、温馨、周到，让就餐人员享受到“宾至如归”的礼遇。</w:t>
      </w:r>
    </w:p>
    <w:p>
      <w:pPr>
        <w:spacing w:before="100" w:beforeAutospacing="1" w:line="360" w:lineRule="auto"/>
        <w:jc w:val="left"/>
        <w:rPr>
          <w:bCs/>
          <w:sz w:val="24"/>
        </w:rPr>
      </w:pPr>
      <w:r>
        <w:rPr>
          <w:rFonts w:hint="eastAsia"/>
          <w:bCs/>
          <w:sz w:val="24"/>
        </w:rPr>
        <w:t>（7）在质优价廉的基础上努力控制成本，节能减耗。原则上达到食堂经营收支平衡。</w:t>
      </w:r>
    </w:p>
    <w:p>
      <w:pPr>
        <w:spacing w:before="100" w:beforeAutospacing="1" w:line="360" w:lineRule="auto"/>
        <w:jc w:val="left"/>
        <w:rPr>
          <w:bCs/>
          <w:sz w:val="24"/>
        </w:rPr>
      </w:pPr>
      <w:r>
        <w:rPr>
          <w:rFonts w:hint="eastAsia"/>
          <w:bCs/>
          <w:sz w:val="24"/>
        </w:rPr>
        <w:t>（8）建立各项监管体系，随时接受、积极配合医院职能部门以及膳管会的监督管理工作。平时多收集并听取职工对菜肴品种、卫生质量等各方面的意见及需求，及时落实各项整改措施。配合医院定期进行职工满意度的测评，要求满意率达到85%以上。</w:t>
      </w:r>
    </w:p>
    <w:p>
      <w:pPr>
        <w:spacing w:before="100" w:beforeAutospacing="1" w:line="360" w:lineRule="auto"/>
        <w:jc w:val="left"/>
        <w:rPr>
          <w:bCs/>
          <w:sz w:val="24"/>
        </w:rPr>
      </w:pPr>
      <w:r>
        <w:rPr>
          <w:rFonts w:hint="eastAsia"/>
          <w:bCs/>
          <w:sz w:val="24"/>
        </w:rPr>
        <w:t>（9）服务区域的各项服务工作时间必须符合及满足院方的要求，周末及公众假期，需根据院方需要提供服务。</w:t>
      </w:r>
    </w:p>
    <w:p>
      <w:pPr>
        <w:spacing w:before="100" w:beforeAutospacing="1" w:line="360" w:lineRule="auto"/>
        <w:jc w:val="left"/>
        <w:rPr>
          <w:bCs/>
          <w:sz w:val="24"/>
        </w:rPr>
      </w:pPr>
    </w:p>
    <w:p>
      <w:pPr>
        <w:spacing w:before="100" w:beforeAutospacing="1" w:line="360" w:lineRule="auto"/>
        <w:jc w:val="left"/>
        <w:rPr>
          <w:b/>
          <w:sz w:val="24"/>
        </w:rPr>
      </w:pPr>
      <w:r>
        <w:rPr>
          <w:bCs/>
          <w:sz w:val="24"/>
        </w:rPr>
        <w:t>6.</w:t>
      </w:r>
      <w:r>
        <w:rPr>
          <w:rFonts w:hint="eastAsia"/>
          <w:b/>
          <w:sz w:val="24"/>
        </w:rPr>
        <w:t>其他费用</w:t>
      </w:r>
    </w:p>
    <w:tbl>
      <w:tblPr>
        <w:tblStyle w:val="70"/>
        <w:tblW w:w="937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621"/>
        <w:gridCol w:w="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518" w:type="dxa"/>
            <w:noWrap w:val="0"/>
            <w:vAlign w:val="center"/>
          </w:tcPr>
          <w:p>
            <w:pPr>
              <w:spacing w:before="100" w:beforeAutospacing="1" w:line="360" w:lineRule="auto"/>
              <w:rPr>
                <w:b/>
                <w:sz w:val="24"/>
              </w:rPr>
            </w:pPr>
            <w:r>
              <w:rPr>
                <w:b/>
                <w:sz w:val="24"/>
              </w:rPr>
              <w:t>中标人最低配备要求</w:t>
            </w:r>
          </w:p>
        </w:tc>
        <w:tc>
          <w:tcPr>
            <w:tcW w:w="6621" w:type="dxa"/>
            <w:noWrap w:val="0"/>
            <w:vAlign w:val="center"/>
          </w:tcPr>
          <w:p>
            <w:pPr>
              <w:spacing w:before="100" w:beforeAutospacing="1" w:line="360" w:lineRule="auto"/>
              <w:rPr>
                <w:sz w:val="24"/>
              </w:rPr>
            </w:pPr>
            <w:r>
              <w:rPr>
                <w:sz w:val="24"/>
              </w:rPr>
              <w:t>1、各季统一的工作服、</w:t>
            </w:r>
            <w:r>
              <w:rPr>
                <w:rFonts w:hint="eastAsia"/>
                <w:sz w:val="24"/>
              </w:rPr>
              <w:t>工作</w:t>
            </w:r>
            <w:r>
              <w:rPr>
                <w:sz w:val="24"/>
              </w:rPr>
              <w:t>鞋</w:t>
            </w:r>
            <w:r>
              <w:rPr>
                <w:rFonts w:hint="eastAsia"/>
                <w:sz w:val="24"/>
              </w:rPr>
              <w:t>、工作帽、围裙、口罩。</w:t>
            </w:r>
          </w:p>
        </w:tc>
        <w:tc>
          <w:tcPr>
            <w:tcW w:w="238" w:type="dxa"/>
            <w:noWrap w:val="0"/>
            <w:vAlign w:val="center"/>
          </w:tcPr>
          <w:p>
            <w:pPr>
              <w:spacing w:before="100" w:beforeAutospacing="1" w:line="360" w:lineRule="auto"/>
              <w:rPr>
                <w:b/>
                <w:sz w:val="24"/>
              </w:rPr>
            </w:pPr>
            <w:r>
              <w:rPr>
                <w:b/>
                <w:sz w:val="24"/>
              </w:rPr>
              <w:t xml:space="preserve">                   </w:t>
            </w:r>
          </w:p>
        </w:tc>
      </w:tr>
    </w:tbl>
    <w:p>
      <w:pPr>
        <w:spacing w:after="120" w:afterLines="50" w:line="360" w:lineRule="auto"/>
        <w:rPr>
          <w:rFonts w:ascii="宋体"/>
          <w:b/>
          <w:sz w:val="24"/>
        </w:rPr>
      </w:pPr>
      <w:r>
        <w:rPr>
          <w:rFonts w:ascii="宋体" w:hAnsi="宋体"/>
          <w:kern w:val="0"/>
          <w:sz w:val="24"/>
        </w:rPr>
        <w:t>7.</w:t>
      </w:r>
      <w:r>
        <w:rPr>
          <w:rFonts w:hint="eastAsia" w:ascii="宋体" w:hAnsi="宋体"/>
          <w:kern w:val="0"/>
          <w:sz w:val="24"/>
        </w:rPr>
        <w:t>如招标人在投标文件涉及的工作时间之外继续开展新业务或处理临时突发紧急任务，需要投标人的维修人员加班，加班时间超过半小时以上的经双方确认核实后，加班费按每小时18.5元来计算，法定节假日按每人每小时55.5元计算。</w:t>
      </w:r>
    </w:p>
    <w:p>
      <w:pPr>
        <w:spacing w:after="120" w:afterLines="50" w:line="360" w:lineRule="auto"/>
        <w:rPr>
          <w:rFonts w:ascii="宋体"/>
          <w:b/>
          <w:sz w:val="24"/>
        </w:rPr>
      </w:pPr>
    </w:p>
    <w:p>
      <w:pPr>
        <w:spacing w:after="120" w:afterLines="50" w:line="360" w:lineRule="auto"/>
        <w:rPr>
          <w:rFonts w:ascii="宋体" w:hAnsi="宋体"/>
          <w:b/>
          <w:sz w:val="24"/>
        </w:rPr>
      </w:pPr>
      <w:r>
        <w:rPr>
          <w:rFonts w:ascii="宋体" w:hAnsi="宋体"/>
          <w:b/>
          <w:sz w:val="24"/>
        </w:rPr>
        <w:t>8</w:t>
      </w:r>
      <w:r>
        <w:rPr>
          <w:rFonts w:ascii="宋体"/>
          <w:b/>
          <w:sz w:val="24"/>
        </w:rPr>
        <w:t>.</w:t>
      </w:r>
      <w:r>
        <w:rPr>
          <w:rFonts w:hint="eastAsia" w:ascii="宋体" w:hAnsi="宋体"/>
          <w:b/>
          <w:sz w:val="24"/>
        </w:rPr>
        <w:t>厨房服务质量要求及考核标准</w:t>
      </w:r>
    </w:p>
    <w:p>
      <w:pPr>
        <w:spacing w:line="380" w:lineRule="exact"/>
        <w:rPr>
          <w:rFonts w:ascii="宋体" w:hAnsi="宋体"/>
          <w:b/>
          <w:bCs/>
          <w:color w:val="000000"/>
        </w:rPr>
      </w:pPr>
      <w:r>
        <w:rPr>
          <w:rFonts w:hint="eastAsia" w:ascii="宋体" w:hAnsi="宋体"/>
          <w:b/>
          <w:bCs/>
          <w:color w:val="000000"/>
        </w:rPr>
        <w:t xml:space="preserve">   1、否决性指标：</w:t>
      </w:r>
    </w:p>
    <w:p>
      <w:pPr>
        <w:spacing w:line="380" w:lineRule="exact"/>
        <w:rPr>
          <w:rFonts w:ascii="宋体" w:hAnsi="宋体"/>
          <w:color w:val="000000"/>
        </w:rPr>
      </w:pPr>
      <w:r>
        <w:rPr>
          <w:rFonts w:hint="eastAsia" w:ascii="宋体" w:hAnsi="宋体"/>
          <w:color w:val="000000"/>
        </w:rPr>
        <w:t xml:space="preserve">  （1）严重发生食物中毒事件，致使多人呕吐、腹泻。</w:t>
      </w:r>
    </w:p>
    <w:p>
      <w:pPr>
        <w:spacing w:line="380" w:lineRule="exact"/>
        <w:rPr>
          <w:rFonts w:ascii="宋体" w:hAnsi="宋体"/>
          <w:color w:val="000000"/>
        </w:rPr>
      </w:pPr>
      <w:r>
        <w:rPr>
          <w:rFonts w:hint="eastAsia" w:ascii="宋体" w:hAnsi="宋体"/>
          <w:color w:val="000000"/>
        </w:rPr>
        <w:t xml:space="preserve">  （2）当年餐厅就餐人员发生食源性甲乙类传染病的暴发流行。</w:t>
      </w:r>
    </w:p>
    <w:p>
      <w:pPr>
        <w:spacing w:line="380" w:lineRule="exact"/>
        <w:rPr>
          <w:rFonts w:ascii="宋体" w:hAnsi="宋体"/>
          <w:color w:val="000000"/>
        </w:rPr>
      </w:pPr>
      <w:r>
        <w:rPr>
          <w:rFonts w:hint="eastAsia" w:ascii="宋体" w:hAnsi="宋体"/>
          <w:color w:val="000000"/>
        </w:rPr>
        <w:t xml:space="preserve">  （3）发生因职工失职造成的生产、消防等重大恶性安全事故。</w:t>
      </w:r>
    </w:p>
    <w:p>
      <w:pPr>
        <w:spacing w:line="380" w:lineRule="exact"/>
        <w:ind w:firstLine="210" w:firstLineChars="100"/>
        <w:rPr>
          <w:rFonts w:ascii="宋体"/>
          <w:color w:val="000000"/>
        </w:rPr>
      </w:pPr>
      <w:r>
        <w:rPr>
          <w:rFonts w:ascii="宋体" w:hAnsi="宋体"/>
          <w:color w:val="000000"/>
        </w:rPr>
        <w:t>（4）</w:t>
      </w:r>
      <w:r>
        <w:rPr>
          <w:rFonts w:hint="eastAsia" w:ascii="宋体" w:hAnsi="宋体"/>
          <w:color w:val="000000"/>
        </w:rPr>
        <w:t>中标人在服务期间员工发生治安案件影响较大的。</w:t>
      </w:r>
    </w:p>
    <w:p>
      <w:pPr>
        <w:spacing w:line="380" w:lineRule="exact"/>
        <w:rPr>
          <w:rFonts w:ascii="宋体"/>
          <w:color w:val="000000"/>
        </w:rPr>
      </w:pPr>
      <w:r>
        <w:rPr>
          <w:rFonts w:ascii="宋体" w:hAnsi="宋体"/>
          <w:color w:val="000000"/>
        </w:rPr>
        <w:t xml:space="preserve">  </w:t>
      </w:r>
      <w:r>
        <w:rPr>
          <w:rFonts w:hint="eastAsia" w:ascii="宋体" w:hAnsi="宋体"/>
          <w:color w:val="000000"/>
        </w:rPr>
        <w:t>（</w:t>
      </w:r>
      <w:r>
        <w:rPr>
          <w:rFonts w:ascii="宋体" w:hAnsi="宋体"/>
          <w:color w:val="000000"/>
        </w:rPr>
        <w:t>5</w:t>
      </w:r>
      <w:r>
        <w:rPr>
          <w:rFonts w:hint="eastAsia" w:ascii="宋体" w:hAnsi="宋体"/>
          <w:color w:val="000000"/>
        </w:rPr>
        <w:t>）中标人在服务期间因自身原因造成餐厅供应餐脱节、断供等情况。</w:t>
      </w:r>
    </w:p>
    <w:p>
      <w:pPr>
        <w:spacing w:line="380" w:lineRule="exact"/>
        <w:rPr>
          <w:rFonts w:ascii="宋体"/>
          <w:color w:val="000000"/>
        </w:rPr>
      </w:pPr>
      <w:r>
        <w:rPr>
          <w:rFonts w:ascii="宋体" w:hAnsi="宋体"/>
          <w:color w:val="000000"/>
        </w:rPr>
        <w:t xml:space="preserve">  </w:t>
      </w:r>
      <w:r>
        <w:rPr>
          <w:rFonts w:hint="eastAsia" w:ascii="宋体" w:hAnsi="宋体"/>
          <w:color w:val="000000"/>
        </w:rPr>
        <w:t>（</w:t>
      </w:r>
      <w:r>
        <w:rPr>
          <w:rFonts w:ascii="宋体" w:hAnsi="宋体"/>
          <w:color w:val="000000"/>
        </w:rPr>
        <w:t>6</w:t>
      </w:r>
      <w:r>
        <w:rPr>
          <w:rFonts w:hint="eastAsia" w:ascii="宋体" w:hAnsi="宋体"/>
          <w:color w:val="000000"/>
        </w:rPr>
        <w:t>）中标人以任何不正当利益（金钱、礼品、其他等）馈赠招标人的任何工作人员。</w:t>
      </w:r>
    </w:p>
    <w:p>
      <w:pPr>
        <w:spacing w:line="380" w:lineRule="exact"/>
        <w:ind w:firstLine="420" w:firstLineChars="200"/>
        <w:rPr>
          <w:rFonts w:ascii="宋体" w:hAnsi="宋体"/>
          <w:color w:val="000000"/>
        </w:rPr>
      </w:pPr>
      <w:r>
        <w:rPr>
          <w:rFonts w:hint="eastAsia" w:ascii="宋体" w:hAnsi="宋体"/>
          <w:color w:val="000000"/>
        </w:rPr>
        <w:t>存在上述任何一项指标所列行为的，由中标人赔偿损失，承担一切责任，招标人有权提前解除合同。</w:t>
      </w:r>
    </w:p>
    <w:p>
      <w:pPr>
        <w:spacing w:after="120" w:afterLines="50" w:line="360" w:lineRule="auto"/>
        <w:rPr>
          <w:rFonts w:ascii="宋体"/>
          <w:b/>
          <w:sz w:val="24"/>
        </w:rPr>
      </w:pPr>
    </w:p>
    <w:p>
      <w:pPr>
        <w:adjustRightInd w:val="0"/>
        <w:snapToGrid w:val="0"/>
        <w:spacing w:line="400" w:lineRule="exact"/>
        <w:ind w:firstLine="1928" w:firstLineChars="800"/>
        <w:rPr>
          <w:rFonts w:ascii="Arial" w:hAnsi="宋体" w:cs="Arial"/>
          <w:b/>
          <w:szCs w:val="21"/>
        </w:rPr>
      </w:pPr>
      <w:r>
        <w:rPr>
          <w:rFonts w:hint="eastAsia" w:ascii="Arial" w:hAnsi="Arial" w:cs="Arial"/>
          <w:b/>
          <w:bCs/>
          <w:sz w:val="24"/>
        </w:rPr>
        <w:t>眼视光医院厨房服务考核办法（物业综合厨房部分</w:t>
      </w:r>
      <w:r>
        <w:rPr>
          <w:rFonts w:hint="eastAsia" w:ascii="新宋体" w:hAnsi="新宋体" w:eastAsia="新宋体" w:cs="新宋体"/>
          <w:b/>
          <w:bCs/>
          <w:sz w:val="24"/>
        </w:rPr>
        <w:t>）</w:t>
      </w:r>
    </w:p>
    <w:tbl>
      <w:tblPr>
        <w:tblStyle w:val="70"/>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567"/>
        <w:gridCol w:w="3514"/>
        <w:gridCol w:w="700"/>
        <w:gridCol w:w="564"/>
        <w:gridCol w:w="563"/>
        <w:gridCol w:w="584"/>
        <w:gridCol w:w="584"/>
        <w:gridCol w:w="584"/>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restart"/>
            <w:noWrap w:val="0"/>
            <w:vAlign w:val="center"/>
          </w:tcPr>
          <w:p>
            <w:pPr>
              <w:adjustRightInd w:val="0"/>
              <w:snapToGrid w:val="0"/>
              <w:spacing w:line="400" w:lineRule="exact"/>
              <w:jc w:val="center"/>
              <w:rPr>
                <w:rFonts w:ascii="Arial" w:hAnsi="Arial" w:cs="Arial"/>
                <w:b/>
                <w:bCs/>
                <w:szCs w:val="21"/>
              </w:rPr>
            </w:pPr>
            <w:r>
              <w:rPr>
                <w:rFonts w:hint="eastAsia" w:ascii="Arial" w:hAnsi="Arial" w:cs="Arial"/>
                <w:b/>
                <w:bCs/>
                <w:szCs w:val="21"/>
              </w:rPr>
              <w:t>考核内容</w:t>
            </w:r>
          </w:p>
        </w:tc>
        <w:tc>
          <w:tcPr>
            <w:tcW w:w="4081" w:type="dxa"/>
            <w:gridSpan w:val="2"/>
            <w:vMerge w:val="restart"/>
            <w:noWrap w:val="0"/>
            <w:vAlign w:val="center"/>
          </w:tcPr>
          <w:p>
            <w:pPr>
              <w:adjustRightInd w:val="0"/>
              <w:snapToGrid w:val="0"/>
              <w:spacing w:line="400" w:lineRule="exact"/>
              <w:jc w:val="center"/>
              <w:rPr>
                <w:rFonts w:ascii="Arial" w:hAnsi="Arial" w:cs="Arial"/>
                <w:b/>
                <w:bCs/>
                <w:szCs w:val="21"/>
              </w:rPr>
            </w:pPr>
            <w:r>
              <w:rPr>
                <w:rFonts w:hint="eastAsia" w:ascii="Arial" w:hAnsi="Arial" w:cs="Arial"/>
                <w:b/>
                <w:bCs/>
                <w:szCs w:val="21"/>
              </w:rPr>
              <w:t>考评目标</w:t>
            </w:r>
          </w:p>
        </w:tc>
        <w:tc>
          <w:tcPr>
            <w:tcW w:w="700" w:type="dxa"/>
            <w:vMerge w:val="restart"/>
            <w:noWrap w:val="0"/>
            <w:vAlign w:val="center"/>
          </w:tcPr>
          <w:p>
            <w:pPr>
              <w:adjustRightInd w:val="0"/>
              <w:snapToGrid w:val="0"/>
              <w:spacing w:line="400" w:lineRule="exact"/>
              <w:jc w:val="center"/>
              <w:rPr>
                <w:rFonts w:ascii="Arial" w:hAnsi="Arial" w:cs="Arial"/>
                <w:b/>
                <w:bCs/>
                <w:szCs w:val="21"/>
              </w:rPr>
            </w:pPr>
            <w:r>
              <w:rPr>
                <w:rFonts w:hint="eastAsia" w:ascii="Arial" w:hAnsi="Arial" w:cs="Arial"/>
                <w:b/>
                <w:bCs/>
                <w:szCs w:val="21"/>
              </w:rPr>
              <w:t>分值</w:t>
            </w:r>
          </w:p>
        </w:tc>
        <w:tc>
          <w:tcPr>
            <w:tcW w:w="2879" w:type="dxa"/>
            <w:gridSpan w:val="5"/>
            <w:noWrap w:val="0"/>
            <w:vAlign w:val="center"/>
          </w:tcPr>
          <w:p>
            <w:pPr>
              <w:adjustRightInd w:val="0"/>
              <w:snapToGrid w:val="0"/>
              <w:spacing w:line="400" w:lineRule="exact"/>
              <w:jc w:val="center"/>
              <w:rPr>
                <w:rFonts w:ascii="Arial" w:hAnsi="Arial" w:cs="Arial"/>
                <w:b/>
                <w:bCs/>
                <w:szCs w:val="21"/>
              </w:rPr>
            </w:pPr>
            <w:r>
              <w:rPr>
                <w:rFonts w:hint="eastAsia" w:ascii="Arial" w:hAnsi="Arial" w:cs="Arial"/>
                <w:b/>
                <w:bCs/>
                <w:szCs w:val="21"/>
              </w:rPr>
              <w:t>评分标准</w:t>
            </w:r>
          </w:p>
        </w:tc>
        <w:tc>
          <w:tcPr>
            <w:tcW w:w="561" w:type="dxa"/>
            <w:vMerge w:val="restart"/>
            <w:noWrap w:val="0"/>
            <w:vAlign w:val="top"/>
          </w:tcPr>
          <w:p>
            <w:pPr>
              <w:adjustRightInd w:val="0"/>
              <w:snapToGrid w:val="0"/>
              <w:spacing w:line="400" w:lineRule="exact"/>
              <w:rPr>
                <w:rFonts w:ascii="Arial" w:hAnsi="Arial" w:cs="Arial"/>
                <w:b/>
                <w:bCs/>
                <w:szCs w:val="21"/>
              </w:rPr>
            </w:pPr>
            <w:r>
              <w:rPr>
                <w:rFonts w:hint="eastAsia" w:ascii="Arial" w:hAnsi="Arial" w:cs="Arial"/>
                <w:b/>
                <w:bCs/>
                <w:szCs w:val="21"/>
              </w:rPr>
              <w:t>检查分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center"/>
          </w:tcPr>
          <w:p>
            <w:pPr>
              <w:adjustRightInd w:val="0"/>
              <w:snapToGrid w:val="0"/>
              <w:spacing w:line="400" w:lineRule="exact"/>
              <w:jc w:val="center"/>
              <w:rPr>
                <w:rFonts w:ascii="Arial" w:hAnsi="Arial" w:cs="Arial"/>
                <w:b/>
                <w:bCs/>
                <w:szCs w:val="21"/>
              </w:rPr>
            </w:pPr>
          </w:p>
        </w:tc>
        <w:tc>
          <w:tcPr>
            <w:tcW w:w="4081" w:type="dxa"/>
            <w:gridSpan w:val="2"/>
            <w:vMerge w:val="continue"/>
            <w:noWrap w:val="0"/>
            <w:vAlign w:val="center"/>
          </w:tcPr>
          <w:p>
            <w:pPr>
              <w:adjustRightInd w:val="0"/>
              <w:snapToGrid w:val="0"/>
              <w:spacing w:line="400" w:lineRule="exact"/>
              <w:jc w:val="center"/>
              <w:rPr>
                <w:rFonts w:ascii="Arial" w:hAnsi="Arial" w:cs="Arial"/>
                <w:b/>
                <w:bCs/>
                <w:szCs w:val="21"/>
              </w:rPr>
            </w:pPr>
          </w:p>
        </w:tc>
        <w:tc>
          <w:tcPr>
            <w:tcW w:w="700" w:type="dxa"/>
            <w:vMerge w:val="continue"/>
            <w:noWrap w:val="0"/>
            <w:vAlign w:val="center"/>
          </w:tcPr>
          <w:p>
            <w:pPr>
              <w:adjustRightInd w:val="0"/>
              <w:snapToGrid w:val="0"/>
              <w:spacing w:line="400" w:lineRule="exact"/>
              <w:jc w:val="center"/>
              <w:rPr>
                <w:rFonts w:ascii="Arial" w:hAnsi="Arial" w:cs="Arial"/>
                <w:b/>
                <w:bCs/>
                <w:szCs w:val="21"/>
              </w:rPr>
            </w:pPr>
          </w:p>
        </w:tc>
        <w:tc>
          <w:tcPr>
            <w:tcW w:w="564" w:type="dxa"/>
            <w:noWrap w:val="0"/>
            <w:vAlign w:val="center"/>
          </w:tcPr>
          <w:p>
            <w:pPr>
              <w:adjustRightInd w:val="0"/>
              <w:snapToGrid w:val="0"/>
              <w:spacing w:line="400" w:lineRule="exact"/>
              <w:jc w:val="center"/>
              <w:rPr>
                <w:rFonts w:ascii="Arial" w:hAnsi="Arial" w:cs="Arial"/>
                <w:b/>
                <w:bCs/>
                <w:szCs w:val="21"/>
              </w:rPr>
            </w:pPr>
            <w:r>
              <w:rPr>
                <w:rFonts w:hint="eastAsia" w:ascii="Arial" w:hAnsi="Arial" w:cs="Arial"/>
                <w:b/>
                <w:bCs/>
                <w:szCs w:val="21"/>
              </w:rPr>
              <w:t>好</w:t>
            </w:r>
          </w:p>
        </w:tc>
        <w:tc>
          <w:tcPr>
            <w:tcW w:w="563" w:type="dxa"/>
            <w:noWrap w:val="0"/>
            <w:vAlign w:val="center"/>
          </w:tcPr>
          <w:p>
            <w:pPr>
              <w:adjustRightInd w:val="0"/>
              <w:snapToGrid w:val="0"/>
              <w:spacing w:line="400" w:lineRule="exact"/>
              <w:jc w:val="center"/>
              <w:rPr>
                <w:rFonts w:ascii="Arial" w:hAnsi="Arial" w:cs="Arial"/>
                <w:b/>
                <w:bCs/>
                <w:szCs w:val="21"/>
              </w:rPr>
            </w:pPr>
            <w:r>
              <w:rPr>
                <w:rFonts w:hint="eastAsia" w:ascii="Arial" w:hAnsi="Arial" w:cs="Arial"/>
                <w:b/>
                <w:bCs/>
                <w:szCs w:val="21"/>
              </w:rPr>
              <w:t>较好</w:t>
            </w:r>
          </w:p>
        </w:tc>
        <w:tc>
          <w:tcPr>
            <w:tcW w:w="584" w:type="dxa"/>
            <w:noWrap w:val="0"/>
            <w:vAlign w:val="center"/>
          </w:tcPr>
          <w:p>
            <w:pPr>
              <w:adjustRightInd w:val="0"/>
              <w:snapToGrid w:val="0"/>
              <w:spacing w:line="400" w:lineRule="exact"/>
              <w:jc w:val="center"/>
              <w:rPr>
                <w:rFonts w:ascii="Arial" w:hAnsi="Arial" w:cs="Arial"/>
                <w:b/>
                <w:bCs/>
                <w:szCs w:val="21"/>
              </w:rPr>
            </w:pPr>
            <w:r>
              <w:rPr>
                <w:rFonts w:hint="eastAsia" w:ascii="Arial" w:hAnsi="Arial" w:cs="Arial"/>
                <w:b/>
                <w:bCs/>
                <w:szCs w:val="21"/>
              </w:rPr>
              <w:t>一般</w:t>
            </w:r>
          </w:p>
        </w:tc>
        <w:tc>
          <w:tcPr>
            <w:tcW w:w="584" w:type="dxa"/>
            <w:noWrap w:val="0"/>
            <w:vAlign w:val="center"/>
          </w:tcPr>
          <w:p>
            <w:pPr>
              <w:adjustRightInd w:val="0"/>
              <w:snapToGrid w:val="0"/>
              <w:spacing w:line="400" w:lineRule="exact"/>
              <w:jc w:val="center"/>
              <w:rPr>
                <w:rFonts w:ascii="Arial" w:hAnsi="Arial" w:cs="Arial"/>
                <w:b/>
                <w:bCs/>
                <w:szCs w:val="21"/>
              </w:rPr>
            </w:pPr>
            <w:r>
              <w:rPr>
                <w:rFonts w:hint="eastAsia" w:ascii="Arial" w:hAnsi="Arial" w:cs="Arial"/>
                <w:b/>
                <w:bCs/>
                <w:szCs w:val="21"/>
              </w:rPr>
              <w:t>较差</w:t>
            </w:r>
          </w:p>
        </w:tc>
        <w:tc>
          <w:tcPr>
            <w:tcW w:w="584" w:type="dxa"/>
            <w:noWrap w:val="0"/>
            <w:vAlign w:val="center"/>
          </w:tcPr>
          <w:p>
            <w:pPr>
              <w:adjustRightInd w:val="0"/>
              <w:snapToGrid w:val="0"/>
              <w:spacing w:line="400" w:lineRule="exact"/>
              <w:jc w:val="center"/>
              <w:rPr>
                <w:rFonts w:ascii="Arial" w:hAnsi="Arial" w:cs="Arial"/>
                <w:b/>
                <w:bCs/>
                <w:szCs w:val="21"/>
              </w:rPr>
            </w:pPr>
            <w:r>
              <w:rPr>
                <w:rFonts w:hint="eastAsia" w:ascii="Arial" w:hAnsi="Arial" w:cs="Arial"/>
                <w:b/>
                <w:bCs/>
                <w:szCs w:val="21"/>
              </w:rPr>
              <w:t>差</w:t>
            </w:r>
          </w:p>
        </w:tc>
        <w:tc>
          <w:tcPr>
            <w:tcW w:w="561" w:type="dxa"/>
            <w:vMerge w:val="continue"/>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restart"/>
            <w:noWrap w:val="0"/>
            <w:vAlign w:val="center"/>
          </w:tcPr>
          <w:p>
            <w:pPr>
              <w:adjustRightInd w:val="0"/>
              <w:snapToGrid w:val="0"/>
              <w:spacing w:line="400" w:lineRule="exact"/>
              <w:jc w:val="center"/>
              <w:rPr>
                <w:rFonts w:ascii="Arial" w:hAnsi="Arial" w:cs="Arial"/>
                <w:b/>
                <w:bCs/>
                <w:szCs w:val="21"/>
              </w:rPr>
            </w:pPr>
            <w:r>
              <w:rPr>
                <w:rFonts w:hint="eastAsia" w:ascii="Arial" w:hAnsi="Arial" w:cs="Arial"/>
                <w:b/>
                <w:bCs/>
                <w:szCs w:val="21"/>
              </w:rPr>
              <w:t>制度建设</w:t>
            </w:r>
          </w:p>
        </w:tc>
        <w:tc>
          <w:tcPr>
            <w:tcW w:w="567" w:type="dxa"/>
            <w:noWrap w:val="0"/>
            <w:vAlign w:val="center"/>
          </w:tcPr>
          <w:p>
            <w:pPr>
              <w:jc w:val="center"/>
              <w:rPr>
                <w:rFonts w:ascii="宋体" w:hAnsi="宋体" w:cs="宋体"/>
                <w:sz w:val="24"/>
              </w:rPr>
            </w:pPr>
            <w:r>
              <w:t>1</w:t>
            </w:r>
          </w:p>
        </w:tc>
        <w:tc>
          <w:tcPr>
            <w:tcW w:w="3514" w:type="dxa"/>
            <w:noWrap w:val="0"/>
            <w:vAlign w:val="bottom"/>
          </w:tcPr>
          <w:p>
            <w:pPr>
              <w:rPr>
                <w:rFonts w:ascii="宋体" w:hAnsi="宋体" w:cs="宋体"/>
                <w:sz w:val="24"/>
              </w:rPr>
            </w:pPr>
            <w:r>
              <w:rPr>
                <w:rFonts w:hint="eastAsia"/>
              </w:rPr>
              <w:t>工作人员设置到位，分工明确合理，操作合格，持证上岗，劳动用工合法合规，交缴各类社会保险。</w:t>
            </w:r>
          </w:p>
        </w:tc>
        <w:tc>
          <w:tcPr>
            <w:tcW w:w="700" w:type="dxa"/>
            <w:noWrap w:val="0"/>
            <w:vAlign w:val="center"/>
          </w:tcPr>
          <w:p>
            <w:pPr>
              <w:jc w:val="center"/>
              <w:rPr>
                <w:rFonts w:ascii="宋体" w:hAnsi="宋体" w:cs="宋体"/>
                <w:sz w:val="24"/>
              </w:rPr>
            </w:pPr>
            <w:r>
              <w:t>2</w:t>
            </w:r>
          </w:p>
        </w:tc>
        <w:tc>
          <w:tcPr>
            <w:tcW w:w="564" w:type="dxa"/>
            <w:noWrap w:val="0"/>
            <w:vAlign w:val="center"/>
          </w:tcPr>
          <w:p>
            <w:pPr>
              <w:jc w:val="center"/>
              <w:rPr>
                <w:rFonts w:ascii="宋体" w:hAnsi="宋体" w:cs="宋体"/>
                <w:sz w:val="24"/>
              </w:rPr>
            </w:pPr>
            <w:r>
              <w:t>2</w:t>
            </w:r>
          </w:p>
        </w:tc>
        <w:tc>
          <w:tcPr>
            <w:tcW w:w="563" w:type="dxa"/>
            <w:noWrap w:val="0"/>
            <w:vAlign w:val="center"/>
          </w:tcPr>
          <w:p>
            <w:pPr>
              <w:jc w:val="center"/>
              <w:rPr>
                <w:rFonts w:ascii="宋体" w:hAnsi="宋体" w:cs="宋体"/>
                <w:sz w:val="24"/>
              </w:rPr>
            </w:pPr>
            <w:r>
              <w:t>1.8</w:t>
            </w:r>
          </w:p>
        </w:tc>
        <w:tc>
          <w:tcPr>
            <w:tcW w:w="584" w:type="dxa"/>
            <w:noWrap w:val="0"/>
            <w:vAlign w:val="center"/>
          </w:tcPr>
          <w:p>
            <w:pPr>
              <w:jc w:val="center"/>
              <w:rPr>
                <w:rFonts w:ascii="宋体" w:hAnsi="宋体" w:cs="宋体"/>
                <w:sz w:val="24"/>
              </w:rPr>
            </w:pPr>
            <w:r>
              <w:t>1.4</w:t>
            </w:r>
          </w:p>
        </w:tc>
        <w:tc>
          <w:tcPr>
            <w:tcW w:w="584" w:type="dxa"/>
            <w:noWrap w:val="0"/>
            <w:vAlign w:val="center"/>
          </w:tcPr>
          <w:p>
            <w:pPr>
              <w:jc w:val="center"/>
              <w:rPr>
                <w:rFonts w:ascii="宋体" w:hAnsi="宋体" w:cs="宋体"/>
                <w:sz w:val="24"/>
              </w:rPr>
            </w:pPr>
            <w:r>
              <w:t>1</w:t>
            </w:r>
          </w:p>
        </w:tc>
        <w:tc>
          <w:tcPr>
            <w:tcW w:w="584" w:type="dxa"/>
            <w:noWrap w:val="0"/>
            <w:vAlign w:val="center"/>
          </w:tcPr>
          <w:p>
            <w:pPr>
              <w:jc w:val="center"/>
              <w:rPr>
                <w:rFonts w:ascii="宋体" w:hAnsi="宋体" w:cs="宋体"/>
                <w:sz w:val="24"/>
              </w:rPr>
            </w:pPr>
            <w:r>
              <w:t>0.5</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center"/>
          </w:tcPr>
          <w:p>
            <w:pPr>
              <w:adjustRightInd w:val="0"/>
              <w:snapToGrid w:val="0"/>
              <w:spacing w:line="400" w:lineRule="exact"/>
              <w:jc w:val="center"/>
              <w:rPr>
                <w:rFonts w:ascii="Arial" w:hAnsi="Arial" w:cs="Arial"/>
                <w:b/>
                <w:bCs/>
                <w:szCs w:val="21"/>
              </w:rPr>
            </w:pPr>
          </w:p>
        </w:tc>
        <w:tc>
          <w:tcPr>
            <w:tcW w:w="567" w:type="dxa"/>
            <w:noWrap w:val="0"/>
            <w:vAlign w:val="center"/>
          </w:tcPr>
          <w:p>
            <w:pPr>
              <w:jc w:val="center"/>
              <w:rPr>
                <w:rFonts w:ascii="宋体" w:hAnsi="宋体" w:cs="宋体"/>
                <w:sz w:val="24"/>
              </w:rPr>
            </w:pPr>
            <w:r>
              <w:t>2</w:t>
            </w:r>
          </w:p>
        </w:tc>
        <w:tc>
          <w:tcPr>
            <w:tcW w:w="3514" w:type="dxa"/>
            <w:noWrap w:val="0"/>
            <w:vAlign w:val="bottom"/>
          </w:tcPr>
          <w:p>
            <w:pPr>
              <w:rPr>
                <w:rFonts w:ascii="宋体" w:hAnsi="宋体" w:cs="宋体"/>
                <w:sz w:val="24"/>
              </w:rPr>
            </w:pPr>
            <w:r>
              <w:rPr>
                <w:rFonts w:hint="eastAsia"/>
              </w:rPr>
              <w:t>工作人员着装统一、整洁，佩戴工牌，行为规范。</w:t>
            </w:r>
          </w:p>
        </w:tc>
        <w:tc>
          <w:tcPr>
            <w:tcW w:w="700" w:type="dxa"/>
            <w:noWrap w:val="0"/>
            <w:vAlign w:val="center"/>
          </w:tcPr>
          <w:p>
            <w:pPr>
              <w:jc w:val="center"/>
              <w:rPr>
                <w:rFonts w:ascii="宋体" w:hAnsi="宋体" w:cs="宋体"/>
                <w:sz w:val="24"/>
              </w:rPr>
            </w:pPr>
            <w:r>
              <w:t>2</w:t>
            </w:r>
          </w:p>
        </w:tc>
        <w:tc>
          <w:tcPr>
            <w:tcW w:w="564" w:type="dxa"/>
            <w:noWrap w:val="0"/>
            <w:vAlign w:val="center"/>
          </w:tcPr>
          <w:p>
            <w:pPr>
              <w:jc w:val="center"/>
              <w:rPr>
                <w:rFonts w:ascii="宋体" w:hAnsi="宋体" w:cs="宋体"/>
                <w:sz w:val="24"/>
              </w:rPr>
            </w:pPr>
            <w:r>
              <w:t>2</w:t>
            </w:r>
          </w:p>
        </w:tc>
        <w:tc>
          <w:tcPr>
            <w:tcW w:w="563" w:type="dxa"/>
            <w:noWrap w:val="0"/>
            <w:vAlign w:val="center"/>
          </w:tcPr>
          <w:p>
            <w:pPr>
              <w:jc w:val="center"/>
              <w:rPr>
                <w:rFonts w:ascii="宋体" w:hAnsi="宋体" w:cs="宋体"/>
                <w:sz w:val="24"/>
              </w:rPr>
            </w:pPr>
            <w:r>
              <w:t>1.8</w:t>
            </w:r>
          </w:p>
        </w:tc>
        <w:tc>
          <w:tcPr>
            <w:tcW w:w="584" w:type="dxa"/>
            <w:noWrap w:val="0"/>
            <w:vAlign w:val="center"/>
          </w:tcPr>
          <w:p>
            <w:pPr>
              <w:jc w:val="center"/>
              <w:rPr>
                <w:rFonts w:ascii="宋体" w:hAnsi="宋体" w:cs="宋体"/>
                <w:sz w:val="24"/>
              </w:rPr>
            </w:pPr>
            <w:r>
              <w:t>1.4</w:t>
            </w:r>
          </w:p>
        </w:tc>
        <w:tc>
          <w:tcPr>
            <w:tcW w:w="584" w:type="dxa"/>
            <w:noWrap w:val="0"/>
            <w:vAlign w:val="center"/>
          </w:tcPr>
          <w:p>
            <w:pPr>
              <w:jc w:val="center"/>
              <w:rPr>
                <w:rFonts w:ascii="宋体" w:hAnsi="宋体" w:cs="宋体"/>
                <w:sz w:val="24"/>
              </w:rPr>
            </w:pPr>
            <w:r>
              <w:t>1</w:t>
            </w:r>
          </w:p>
        </w:tc>
        <w:tc>
          <w:tcPr>
            <w:tcW w:w="584" w:type="dxa"/>
            <w:noWrap w:val="0"/>
            <w:vAlign w:val="center"/>
          </w:tcPr>
          <w:p>
            <w:pPr>
              <w:jc w:val="center"/>
              <w:rPr>
                <w:rFonts w:ascii="宋体" w:hAnsi="宋体" w:cs="宋体"/>
                <w:sz w:val="24"/>
              </w:rPr>
            </w:pPr>
            <w:r>
              <w:t>0.5</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center"/>
          </w:tcPr>
          <w:p>
            <w:pPr>
              <w:adjustRightInd w:val="0"/>
              <w:snapToGrid w:val="0"/>
              <w:spacing w:line="400" w:lineRule="exact"/>
              <w:jc w:val="center"/>
              <w:rPr>
                <w:rFonts w:ascii="Arial" w:hAnsi="Arial" w:cs="Arial"/>
                <w:b/>
                <w:bCs/>
                <w:szCs w:val="21"/>
              </w:rPr>
            </w:pPr>
          </w:p>
        </w:tc>
        <w:tc>
          <w:tcPr>
            <w:tcW w:w="567" w:type="dxa"/>
            <w:noWrap w:val="0"/>
            <w:vAlign w:val="center"/>
          </w:tcPr>
          <w:p>
            <w:pPr>
              <w:jc w:val="center"/>
              <w:rPr>
                <w:rFonts w:ascii="宋体" w:hAnsi="宋体" w:cs="宋体"/>
                <w:sz w:val="24"/>
              </w:rPr>
            </w:pPr>
            <w:r>
              <w:t>3</w:t>
            </w:r>
          </w:p>
        </w:tc>
        <w:tc>
          <w:tcPr>
            <w:tcW w:w="3514" w:type="dxa"/>
            <w:noWrap w:val="0"/>
            <w:vAlign w:val="bottom"/>
          </w:tcPr>
          <w:p>
            <w:pPr>
              <w:rPr>
                <w:rFonts w:ascii="宋体" w:hAnsi="宋体" w:cs="宋体"/>
                <w:sz w:val="24"/>
              </w:rPr>
            </w:pPr>
            <w:r>
              <w:rPr>
                <w:rFonts w:hint="eastAsia"/>
              </w:rPr>
              <w:t>制定各类厨房设施设备操作规程及保养制度。</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center"/>
          </w:tcPr>
          <w:p>
            <w:pPr>
              <w:adjustRightInd w:val="0"/>
              <w:snapToGrid w:val="0"/>
              <w:spacing w:line="400" w:lineRule="exact"/>
              <w:jc w:val="center"/>
              <w:rPr>
                <w:rFonts w:ascii="Arial" w:hAnsi="Arial" w:cs="Arial"/>
                <w:b/>
                <w:bCs/>
                <w:szCs w:val="21"/>
              </w:rPr>
            </w:pPr>
          </w:p>
        </w:tc>
        <w:tc>
          <w:tcPr>
            <w:tcW w:w="567" w:type="dxa"/>
            <w:noWrap w:val="0"/>
            <w:vAlign w:val="center"/>
          </w:tcPr>
          <w:p>
            <w:pPr>
              <w:jc w:val="center"/>
              <w:rPr>
                <w:rFonts w:ascii="宋体" w:hAnsi="宋体" w:cs="宋体"/>
                <w:sz w:val="24"/>
              </w:rPr>
            </w:pPr>
            <w:r>
              <w:t>4</w:t>
            </w:r>
          </w:p>
        </w:tc>
        <w:tc>
          <w:tcPr>
            <w:tcW w:w="3514" w:type="dxa"/>
            <w:noWrap w:val="0"/>
            <w:vAlign w:val="bottom"/>
          </w:tcPr>
          <w:p>
            <w:pPr>
              <w:rPr>
                <w:rFonts w:ascii="宋体" w:hAnsi="宋体" w:cs="宋体"/>
                <w:sz w:val="24"/>
              </w:rPr>
            </w:pPr>
            <w:r>
              <w:rPr>
                <w:rFonts w:hint="eastAsia"/>
              </w:rPr>
              <w:t>建立</w:t>
            </w:r>
            <w:r>
              <w:t>24</w:t>
            </w:r>
            <w:r>
              <w:rPr>
                <w:rFonts w:hint="eastAsia"/>
              </w:rPr>
              <w:t>小时值班制度，制定值班人员安排表。</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center"/>
          </w:tcPr>
          <w:p>
            <w:pPr>
              <w:adjustRightInd w:val="0"/>
              <w:snapToGrid w:val="0"/>
              <w:spacing w:line="400" w:lineRule="exact"/>
              <w:jc w:val="center"/>
              <w:rPr>
                <w:rFonts w:ascii="Arial" w:hAnsi="Arial" w:cs="Arial"/>
                <w:b/>
                <w:bCs/>
                <w:szCs w:val="21"/>
              </w:rPr>
            </w:pPr>
          </w:p>
        </w:tc>
        <w:tc>
          <w:tcPr>
            <w:tcW w:w="567" w:type="dxa"/>
            <w:noWrap w:val="0"/>
            <w:vAlign w:val="center"/>
          </w:tcPr>
          <w:p>
            <w:pPr>
              <w:jc w:val="center"/>
              <w:rPr>
                <w:rFonts w:ascii="宋体" w:hAnsi="宋体" w:cs="宋体"/>
                <w:sz w:val="24"/>
              </w:rPr>
            </w:pPr>
            <w:r>
              <w:t>5</w:t>
            </w:r>
          </w:p>
        </w:tc>
        <w:tc>
          <w:tcPr>
            <w:tcW w:w="3514" w:type="dxa"/>
            <w:noWrap w:val="0"/>
            <w:vAlign w:val="bottom"/>
          </w:tcPr>
          <w:p>
            <w:pPr>
              <w:rPr>
                <w:rFonts w:ascii="宋体" w:hAnsi="宋体" w:cs="宋体"/>
                <w:sz w:val="24"/>
              </w:rPr>
            </w:pPr>
            <w:r>
              <w:rPr>
                <w:rFonts w:hint="eastAsia"/>
              </w:rPr>
              <w:t>食材、耗材进销存、工具管理、记录完整，符合物业管理规定要求，建立月报表制度。</w:t>
            </w:r>
          </w:p>
        </w:tc>
        <w:tc>
          <w:tcPr>
            <w:tcW w:w="700" w:type="dxa"/>
            <w:noWrap w:val="0"/>
            <w:vAlign w:val="center"/>
          </w:tcPr>
          <w:p>
            <w:pPr>
              <w:jc w:val="center"/>
              <w:rPr>
                <w:rFonts w:ascii="宋体" w:hAnsi="宋体" w:cs="宋体"/>
                <w:sz w:val="24"/>
              </w:rPr>
            </w:pPr>
            <w:r>
              <w:t>2</w:t>
            </w:r>
          </w:p>
        </w:tc>
        <w:tc>
          <w:tcPr>
            <w:tcW w:w="564" w:type="dxa"/>
            <w:noWrap w:val="0"/>
            <w:vAlign w:val="center"/>
          </w:tcPr>
          <w:p>
            <w:pPr>
              <w:jc w:val="center"/>
              <w:rPr>
                <w:rFonts w:ascii="宋体" w:hAnsi="宋体" w:cs="宋体"/>
                <w:sz w:val="24"/>
              </w:rPr>
            </w:pPr>
            <w:r>
              <w:t>2</w:t>
            </w:r>
          </w:p>
        </w:tc>
        <w:tc>
          <w:tcPr>
            <w:tcW w:w="563" w:type="dxa"/>
            <w:noWrap w:val="0"/>
            <w:vAlign w:val="center"/>
          </w:tcPr>
          <w:p>
            <w:pPr>
              <w:jc w:val="center"/>
              <w:rPr>
                <w:rFonts w:ascii="宋体" w:hAnsi="宋体" w:cs="宋体"/>
                <w:sz w:val="24"/>
              </w:rPr>
            </w:pPr>
            <w:r>
              <w:t>1.8</w:t>
            </w:r>
          </w:p>
        </w:tc>
        <w:tc>
          <w:tcPr>
            <w:tcW w:w="584" w:type="dxa"/>
            <w:noWrap w:val="0"/>
            <w:vAlign w:val="center"/>
          </w:tcPr>
          <w:p>
            <w:pPr>
              <w:jc w:val="center"/>
              <w:rPr>
                <w:rFonts w:ascii="宋体" w:hAnsi="宋体" w:cs="宋体"/>
                <w:sz w:val="24"/>
              </w:rPr>
            </w:pPr>
            <w:r>
              <w:t>1.4</w:t>
            </w:r>
          </w:p>
        </w:tc>
        <w:tc>
          <w:tcPr>
            <w:tcW w:w="584" w:type="dxa"/>
            <w:noWrap w:val="0"/>
            <w:vAlign w:val="center"/>
          </w:tcPr>
          <w:p>
            <w:pPr>
              <w:jc w:val="center"/>
              <w:rPr>
                <w:rFonts w:ascii="宋体" w:hAnsi="宋体" w:cs="宋体"/>
                <w:sz w:val="24"/>
              </w:rPr>
            </w:pPr>
            <w:r>
              <w:t>1</w:t>
            </w:r>
          </w:p>
        </w:tc>
        <w:tc>
          <w:tcPr>
            <w:tcW w:w="584" w:type="dxa"/>
            <w:noWrap w:val="0"/>
            <w:vAlign w:val="center"/>
          </w:tcPr>
          <w:p>
            <w:pPr>
              <w:jc w:val="center"/>
              <w:rPr>
                <w:rFonts w:ascii="宋体" w:hAnsi="宋体" w:cs="宋体"/>
                <w:sz w:val="24"/>
              </w:rPr>
            </w:pPr>
            <w:r>
              <w:t>0.5</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center"/>
          </w:tcPr>
          <w:p>
            <w:pPr>
              <w:adjustRightInd w:val="0"/>
              <w:snapToGrid w:val="0"/>
              <w:spacing w:line="400" w:lineRule="exact"/>
              <w:jc w:val="center"/>
              <w:rPr>
                <w:rFonts w:ascii="Arial" w:hAnsi="Arial" w:cs="Arial"/>
                <w:b/>
                <w:bCs/>
                <w:szCs w:val="21"/>
              </w:rPr>
            </w:pPr>
          </w:p>
        </w:tc>
        <w:tc>
          <w:tcPr>
            <w:tcW w:w="567" w:type="dxa"/>
            <w:noWrap w:val="0"/>
            <w:vAlign w:val="center"/>
          </w:tcPr>
          <w:p>
            <w:pPr>
              <w:jc w:val="center"/>
              <w:rPr>
                <w:rFonts w:ascii="宋体" w:hAnsi="宋体" w:cs="宋体"/>
                <w:sz w:val="24"/>
              </w:rPr>
            </w:pPr>
            <w:r>
              <w:t>6</w:t>
            </w:r>
          </w:p>
        </w:tc>
        <w:tc>
          <w:tcPr>
            <w:tcW w:w="3514" w:type="dxa"/>
            <w:noWrap w:val="0"/>
            <w:vAlign w:val="bottom"/>
          </w:tcPr>
          <w:p>
            <w:pPr>
              <w:rPr>
                <w:rFonts w:ascii="宋体" w:hAnsi="宋体" w:cs="宋体"/>
                <w:sz w:val="24"/>
              </w:rPr>
            </w:pPr>
            <w:r>
              <w:rPr>
                <w:rFonts w:hint="eastAsia"/>
              </w:rPr>
              <w:t>制定医院厨房管理制度。</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center"/>
          </w:tcPr>
          <w:p>
            <w:pPr>
              <w:adjustRightInd w:val="0"/>
              <w:snapToGrid w:val="0"/>
              <w:spacing w:line="400" w:lineRule="exact"/>
              <w:jc w:val="center"/>
              <w:rPr>
                <w:rFonts w:ascii="Arial" w:hAnsi="Arial" w:cs="Arial"/>
                <w:b/>
                <w:bCs/>
                <w:szCs w:val="21"/>
              </w:rPr>
            </w:pPr>
          </w:p>
        </w:tc>
        <w:tc>
          <w:tcPr>
            <w:tcW w:w="567" w:type="dxa"/>
            <w:noWrap w:val="0"/>
            <w:vAlign w:val="center"/>
          </w:tcPr>
          <w:p>
            <w:pPr>
              <w:jc w:val="center"/>
              <w:rPr>
                <w:rFonts w:ascii="宋体" w:hAnsi="宋体" w:cs="宋体"/>
                <w:sz w:val="24"/>
              </w:rPr>
            </w:pPr>
            <w:r>
              <w:t>7</w:t>
            </w:r>
          </w:p>
        </w:tc>
        <w:tc>
          <w:tcPr>
            <w:tcW w:w="3514" w:type="dxa"/>
            <w:noWrap w:val="0"/>
            <w:vAlign w:val="bottom"/>
          </w:tcPr>
          <w:p>
            <w:pPr>
              <w:rPr>
                <w:rFonts w:ascii="宋体" w:hAnsi="宋体" w:cs="宋体"/>
                <w:sz w:val="24"/>
              </w:rPr>
            </w:pPr>
            <w:r>
              <w:rPr>
                <w:rFonts w:hint="eastAsia"/>
              </w:rPr>
              <w:t>建立各岗位职责制度并备案。</w:t>
            </w:r>
          </w:p>
        </w:tc>
        <w:tc>
          <w:tcPr>
            <w:tcW w:w="700" w:type="dxa"/>
            <w:noWrap w:val="0"/>
            <w:vAlign w:val="center"/>
          </w:tcPr>
          <w:p>
            <w:pPr>
              <w:jc w:val="center"/>
              <w:rPr>
                <w:rFonts w:ascii="宋体" w:hAnsi="宋体" w:cs="宋体"/>
                <w:sz w:val="24"/>
              </w:rPr>
            </w:pPr>
            <w:r>
              <w:t>2</w:t>
            </w:r>
          </w:p>
        </w:tc>
        <w:tc>
          <w:tcPr>
            <w:tcW w:w="564" w:type="dxa"/>
            <w:noWrap w:val="0"/>
            <w:vAlign w:val="center"/>
          </w:tcPr>
          <w:p>
            <w:pPr>
              <w:jc w:val="center"/>
              <w:rPr>
                <w:rFonts w:ascii="宋体" w:hAnsi="宋体" w:cs="宋体"/>
                <w:sz w:val="24"/>
              </w:rPr>
            </w:pPr>
            <w:r>
              <w:t>2</w:t>
            </w:r>
          </w:p>
        </w:tc>
        <w:tc>
          <w:tcPr>
            <w:tcW w:w="563" w:type="dxa"/>
            <w:noWrap w:val="0"/>
            <w:vAlign w:val="center"/>
          </w:tcPr>
          <w:p>
            <w:pPr>
              <w:jc w:val="center"/>
              <w:rPr>
                <w:rFonts w:ascii="宋体" w:hAnsi="宋体" w:cs="宋体"/>
                <w:sz w:val="24"/>
              </w:rPr>
            </w:pPr>
            <w:r>
              <w:t>1.8</w:t>
            </w:r>
          </w:p>
        </w:tc>
        <w:tc>
          <w:tcPr>
            <w:tcW w:w="584" w:type="dxa"/>
            <w:noWrap w:val="0"/>
            <w:vAlign w:val="center"/>
          </w:tcPr>
          <w:p>
            <w:pPr>
              <w:jc w:val="center"/>
              <w:rPr>
                <w:rFonts w:ascii="宋体" w:hAnsi="宋体" w:cs="宋体"/>
                <w:sz w:val="24"/>
              </w:rPr>
            </w:pPr>
            <w:r>
              <w:t>1.4</w:t>
            </w:r>
          </w:p>
        </w:tc>
        <w:tc>
          <w:tcPr>
            <w:tcW w:w="584" w:type="dxa"/>
            <w:noWrap w:val="0"/>
            <w:vAlign w:val="center"/>
          </w:tcPr>
          <w:p>
            <w:pPr>
              <w:jc w:val="center"/>
              <w:rPr>
                <w:rFonts w:ascii="宋体" w:hAnsi="宋体" w:cs="宋体"/>
                <w:sz w:val="24"/>
              </w:rPr>
            </w:pPr>
            <w:r>
              <w:t>1</w:t>
            </w:r>
          </w:p>
        </w:tc>
        <w:tc>
          <w:tcPr>
            <w:tcW w:w="584" w:type="dxa"/>
            <w:noWrap w:val="0"/>
            <w:vAlign w:val="center"/>
          </w:tcPr>
          <w:p>
            <w:pPr>
              <w:jc w:val="center"/>
              <w:rPr>
                <w:rFonts w:ascii="宋体" w:hAnsi="宋体" w:cs="宋体"/>
                <w:sz w:val="24"/>
              </w:rPr>
            </w:pPr>
            <w:r>
              <w:t>0.5</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center"/>
          </w:tcPr>
          <w:p>
            <w:pPr>
              <w:adjustRightInd w:val="0"/>
              <w:snapToGrid w:val="0"/>
              <w:spacing w:line="400" w:lineRule="exact"/>
              <w:jc w:val="center"/>
              <w:rPr>
                <w:rFonts w:ascii="Arial" w:hAnsi="Arial" w:cs="Arial"/>
                <w:b/>
                <w:bCs/>
                <w:szCs w:val="21"/>
              </w:rPr>
            </w:pPr>
          </w:p>
        </w:tc>
        <w:tc>
          <w:tcPr>
            <w:tcW w:w="567" w:type="dxa"/>
            <w:noWrap w:val="0"/>
            <w:vAlign w:val="center"/>
          </w:tcPr>
          <w:p>
            <w:pPr>
              <w:jc w:val="center"/>
              <w:rPr>
                <w:rFonts w:ascii="宋体" w:hAnsi="宋体" w:cs="宋体"/>
                <w:sz w:val="24"/>
              </w:rPr>
            </w:pPr>
            <w:r>
              <w:t>8</w:t>
            </w:r>
          </w:p>
        </w:tc>
        <w:tc>
          <w:tcPr>
            <w:tcW w:w="3514" w:type="dxa"/>
            <w:noWrap w:val="0"/>
            <w:vAlign w:val="bottom"/>
          </w:tcPr>
          <w:p>
            <w:pPr>
              <w:rPr>
                <w:rFonts w:ascii="宋体" w:hAnsi="宋体" w:cs="宋体"/>
                <w:sz w:val="24"/>
              </w:rPr>
            </w:pPr>
            <w:r>
              <w:rPr>
                <w:rFonts w:hint="eastAsia"/>
              </w:rPr>
              <w:t>制定各类应急预案（含食物中毒预案、突发意外事件预案、停电停水应急预案等）。</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restart"/>
            <w:noWrap w:val="0"/>
            <w:vAlign w:val="center"/>
          </w:tcPr>
          <w:p>
            <w:pPr>
              <w:adjustRightInd w:val="0"/>
              <w:snapToGrid w:val="0"/>
              <w:spacing w:line="400" w:lineRule="exact"/>
              <w:jc w:val="center"/>
              <w:rPr>
                <w:rFonts w:ascii="Arial" w:hAnsi="Arial" w:cs="Arial"/>
                <w:b/>
                <w:bCs/>
                <w:szCs w:val="21"/>
              </w:rPr>
            </w:pPr>
            <w:r>
              <w:rPr>
                <w:rFonts w:hint="eastAsia" w:ascii="Arial" w:hAnsi="Arial" w:cs="Arial"/>
                <w:b/>
                <w:bCs/>
                <w:szCs w:val="21"/>
              </w:rPr>
              <w:t>基础管理</w:t>
            </w:r>
          </w:p>
        </w:tc>
        <w:tc>
          <w:tcPr>
            <w:tcW w:w="567" w:type="dxa"/>
            <w:noWrap w:val="0"/>
            <w:vAlign w:val="center"/>
          </w:tcPr>
          <w:p>
            <w:pPr>
              <w:jc w:val="center"/>
              <w:rPr>
                <w:rFonts w:ascii="宋体" w:hAnsi="宋体" w:cs="宋体"/>
                <w:sz w:val="24"/>
              </w:rPr>
            </w:pPr>
            <w:r>
              <w:t>9</w:t>
            </w:r>
          </w:p>
        </w:tc>
        <w:tc>
          <w:tcPr>
            <w:tcW w:w="3514" w:type="dxa"/>
            <w:noWrap w:val="0"/>
            <w:vAlign w:val="bottom"/>
          </w:tcPr>
          <w:p>
            <w:pPr>
              <w:rPr>
                <w:rFonts w:ascii="宋体" w:hAnsi="宋体" w:cs="宋体"/>
                <w:sz w:val="24"/>
              </w:rPr>
            </w:pPr>
            <w:r>
              <w:rPr>
                <w:rFonts w:hint="eastAsia"/>
                <w:color w:val="000000"/>
              </w:rPr>
              <w:t>保证各项厨房设备运行正常，满足使用要求。</w:t>
            </w:r>
          </w:p>
        </w:tc>
        <w:tc>
          <w:tcPr>
            <w:tcW w:w="700" w:type="dxa"/>
            <w:noWrap w:val="0"/>
            <w:vAlign w:val="center"/>
          </w:tcPr>
          <w:p>
            <w:pPr>
              <w:jc w:val="center"/>
              <w:rPr>
                <w:rFonts w:ascii="宋体" w:hAnsi="宋体" w:cs="宋体"/>
                <w:sz w:val="24"/>
              </w:rPr>
            </w:pPr>
            <w:r>
              <w:t>4</w:t>
            </w:r>
          </w:p>
        </w:tc>
        <w:tc>
          <w:tcPr>
            <w:tcW w:w="564" w:type="dxa"/>
            <w:noWrap w:val="0"/>
            <w:vAlign w:val="center"/>
          </w:tcPr>
          <w:p>
            <w:pPr>
              <w:jc w:val="center"/>
              <w:rPr>
                <w:rFonts w:ascii="宋体" w:hAnsi="宋体" w:cs="宋体"/>
                <w:sz w:val="24"/>
              </w:rPr>
            </w:pPr>
            <w:r>
              <w:t>4</w:t>
            </w:r>
          </w:p>
        </w:tc>
        <w:tc>
          <w:tcPr>
            <w:tcW w:w="563" w:type="dxa"/>
            <w:noWrap w:val="0"/>
            <w:vAlign w:val="center"/>
          </w:tcPr>
          <w:p>
            <w:pPr>
              <w:jc w:val="center"/>
              <w:rPr>
                <w:rFonts w:ascii="宋体" w:hAnsi="宋体" w:cs="宋体"/>
                <w:sz w:val="24"/>
              </w:rPr>
            </w:pPr>
            <w:r>
              <w:t>3.6</w:t>
            </w:r>
          </w:p>
        </w:tc>
        <w:tc>
          <w:tcPr>
            <w:tcW w:w="584" w:type="dxa"/>
            <w:noWrap w:val="0"/>
            <w:vAlign w:val="center"/>
          </w:tcPr>
          <w:p>
            <w:pPr>
              <w:jc w:val="center"/>
              <w:rPr>
                <w:rFonts w:ascii="宋体" w:hAnsi="宋体" w:cs="宋体"/>
                <w:sz w:val="24"/>
              </w:rPr>
            </w:pPr>
            <w:r>
              <w:t>3</w:t>
            </w:r>
          </w:p>
        </w:tc>
        <w:tc>
          <w:tcPr>
            <w:tcW w:w="584" w:type="dxa"/>
            <w:noWrap w:val="0"/>
            <w:vAlign w:val="center"/>
          </w:tcPr>
          <w:p>
            <w:pPr>
              <w:jc w:val="center"/>
              <w:rPr>
                <w:rFonts w:ascii="宋体" w:hAnsi="宋体" w:cs="宋体"/>
                <w:sz w:val="24"/>
              </w:rPr>
            </w:pPr>
            <w:r>
              <w:t>2</w:t>
            </w:r>
          </w:p>
        </w:tc>
        <w:tc>
          <w:tcPr>
            <w:tcW w:w="584" w:type="dxa"/>
            <w:noWrap w:val="0"/>
            <w:vAlign w:val="center"/>
          </w:tcPr>
          <w:p>
            <w:pPr>
              <w:jc w:val="center"/>
              <w:rPr>
                <w:rFonts w:ascii="宋体" w:hAnsi="宋体" w:cs="宋体"/>
                <w:sz w:val="24"/>
              </w:rPr>
            </w:pPr>
            <w:r>
              <w:t>1</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10</w:t>
            </w:r>
          </w:p>
        </w:tc>
        <w:tc>
          <w:tcPr>
            <w:tcW w:w="3514" w:type="dxa"/>
            <w:noWrap w:val="0"/>
            <w:vAlign w:val="bottom"/>
          </w:tcPr>
          <w:p>
            <w:pPr>
              <w:rPr>
                <w:rFonts w:ascii="宋体" w:hAnsi="宋体" w:cs="宋体"/>
                <w:sz w:val="24"/>
              </w:rPr>
            </w:pPr>
            <w:r>
              <w:rPr>
                <w:rFonts w:hint="eastAsia"/>
              </w:rPr>
              <w:t>制定年度、季度、月度维护设备设施计划。</w:t>
            </w:r>
          </w:p>
        </w:tc>
        <w:tc>
          <w:tcPr>
            <w:tcW w:w="700" w:type="dxa"/>
            <w:noWrap w:val="0"/>
            <w:vAlign w:val="center"/>
          </w:tcPr>
          <w:p>
            <w:pPr>
              <w:jc w:val="center"/>
              <w:rPr>
                <w:rFonts w:ascii="宋体" w:hAnsi="宋体" w:cs="宋体"/>
                <w:sz w:val="24"/>
              </w:rPr>
            </w:pPr>
            <w:r>
              <w:t>2</w:t>
            </w:r>
          </w:p>
        </w:tc>
        <w:tc>
          <w:tcPr>
            <w:tcW w:w="564" w:type="dxa"/>
            <w:noWrap w:val="0"/>
            <w:vAlign w:val="center"/>
          </w:tcPr>
          <w:p>
            <w:pPr>
              <w:jc w:val="center"/>
              <w:rPr>
                <w:rFonts w:ascii="宋体" w:hAnsi="宋体" w:cs="宋体"/>
                <w:sz w:val="24"/>
              </w:rPr>
            </w:pPr>
            <w:r>
              <w:t>2</w:t>
            </w:r>
          </w:p>
        </w:tc>
        <w:tc>
          <w:tcPr>
            <w:tcW w:w="563" w:type="dxa"/>
            <w:noWrap w:val="0"/>
            <w:vAlign w:val="center"/>
          </w:tcPr>
          <w:p>
            <w:pPr>
              <w:jc w:val="center"/>
              <w:rPr>
                <w:rFonts w:ascii="宋体" w:hAnsi="宋体" w:cs="宋体"/>
                <w:sz w:val="24"/>
              </w:rPr>
            </w:pPr>
            <w:r>
              <w:t>1.8</w:t>
            </w:r>
          </w:p>
        </w:tc>
        <w:tc>
          <w:tcPr>
            <w:tcW w:w="584" w:type="dxa"/>
            <w:noWrap w:val="0"/>
            <w:vAlign w:val="center"/>
          </w:tcPr>
          <w:p>
            <w:pPr>
              <w:jc w:val="center"/>
              <w:rPr>
                <w:rFonts w:ascii="宋体" w:hAnsi="宋体" w:cs="宋体"/>
                <w:sz w:val="24"/>
              </w:rPr>
            </w:pPr>
            <w:r>
              <w:t>1.4</w:t>
            </w:r>
          </w:p>
        </w:tc>
        <w:tc>
          <w:tcPr>
            <w:tcW w:w="584" w:type="dxa"/>
            <w:noWrap w:val="0"/>
            <w:vAlign w:val="center"/>
          </w:tcPr>
          <w:p>
            <w:pPr>
              <w:jc w:val="center"/>
              <w:rPr>
                <w:rFonts w:ascii="宋体" w:hAnsi="宋体" w:cs="宋体"/>
                <w:sz w:val="24"/>
              </w:rPr>
            </w:pPr>
            <w:r>
              <w:t>1</w:t>
            </w:r>
          </w:p>
        </w:tc>
        <w:tc>
          <w:tcPr>
            <w:tcW w:w="584" w:type="dxa"/>
            <w:noWrap w:val="0"/>
            <w:vAlign w:val="center"/>
          </w:tcPr>
          <w:p>
            <w:pPr>
              <w:jc w:val="center"/>
              <w:rPr>
                <w:rFonts w:ascii="宋体" w:hAnsi="宋体" w:cs="宋体"/>
                <w:sz w:val="24"/>
              </w:rPr>
            </w:pPr>
            <w:r>
              <w:t>0.5</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11</w:t>
            </w:r>
          </w:p>
        </w:tc>
        <w:tc>
          <w:tcPr>
            <w:tcW w:w="3514" w:type="dxa"/>
            <w:noWrap w:val="0"/>
            <w:vAlign w:val="bottom"/>
          </w:tcPr>
          <w:p>
            <w:pPr>
              <w:rPr>
                <w:rFonts w:ascii="宋体" w:hAnsi="宋体" w:cs="宋体"/>
                <w:sz w:val="24"/>
              </w:rPr>
            </w:pPr>
            <w:r>
              <w:rPr>
                <w:rFonts w:hint="eastAsia"/>
              </w:rPr>
              <w:t>根据计划按时完成设备设施的保养、维护、检测，记录完整。</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12</w:t>
            </w:r>
          </w:p>
        </w:tc>
        <w:tc>
          <w:tcPr>
            <w:tcW w:w="3514" w:type="dxa"/>
            <w:noWrap w:val="0"/>
            <w:vAlign w:val="bottom"/>
          </w:tcPr>
          <w:p>
            <w:pPr>
              <w:rPr>
                <w:rFonts w:ascii="宋体" w:hAnsi="宋体" w:cs="宋体"/>
                <w:sz w:val="24"/>
              </w:rPr>
            </w:pPr>
            <w:r>
              <w:rPr>
                <w:rFonts w:hint="eastAsia"/>
              </w:rPr>
              <w:t>厨房、餐厅操作间干净，整洁。</w:t>
            </w:r>
          </w:p>
        </w:tc>
        <w:tc>
          <w:tcPr>
            <w:tcW w:w="700" w:type="dxa"/>
            <w:noWrap w:val="0"/>
            <w:vAlign w:val="center"/>
          </w:tcPr>
          <w:p>
            <w:pPr>
              <w:jc w:val="center"/>
              <w:rPr>
                <w:rFonts w:ascii="宋体" w:hAnsi="宋体" w:cs="宋体"/>
                <w:sz w:val="24"/>
              </w:rPr>
            </w:pPr>
            <w:r>
              <w:t>2</w:t>
            </w:r>
          </w:p>
        </w:tc>
        <w:tc>
          <w:tcPr>
            <w:tcW w:w="564" w:type="dxa"/>
            <w:noWrap w:val="0"/>
            <w:vAlign w:val="center"/>
          </w:tcPr>
          <w:p>
            <w:pPr>
              <w:jc w:val="center"/>
              <w:rPr>
                <w:rFonts w:ascii="宋体" w:hAnsi="宋体" w:cs="宋体"/>
                <w:sz w:val="24"/>
              </w:rPr>
            </w:pPr>
            <w:r>
              <w:t>2</w:t>
            </w:r>
          </w:p>
        </w:tc>
        <w:tc>
          <w:tcPr>
            <w:tcW w:w="563" w:type="dxa"/>
            <w:noWrap w:val="0"/>
            <w:vAlign w:val="center"/>
          </w:tcPr>
          <w:p>
            <w:pPr>
              <w:jc w:val="center"/>
              <w:rPr>
                <w:rFonts w:ascii="宋体" w:hAnsi="宋体" w:cs="宋体"/>
                <w:sz w:val="24"/>
              </w:rPr>
            </w:pPr>
            <w:r>
              <w:t>1.8</w:t>
            </w:r>
          </w:p>
        </w:tc>
        <w:tc>
          <w:tcPr>
            <w:tcW w:w="584" w:type="dxa"/>
            <w:noWrap w:val="0"/>
            <w:vAlign w:val="center"/>
          </w:tcPr>
          <w:p>
            <w:pPr>
              <w:jc w:val="center"/>
              <w:rPr>
                <w:rFonts w:ascii="宋体" w:hAnsi="宋体" w:cs="宋体"/>
                <w:sz w:val="24"/>
              </w:rPr>
            </w:pPr>
            <w:r>
              <w:t>1.4</w:t>
            </w:r>
          </w:p>
        </w:tc>
        <w:tc>
          <w:tcPr>
            <w:tcW w:w="584" w:type="dxa"/>
            <w:noWrap w:val="0"/>
            <w:vAlign w:val="center"/>
          </w:tcPr>
          <w:p>
            <w:pPr>
              <w:jc w:val="center"/>
              <w:rPr>
                <w:rFonts w:ascii="宋体" w:hAnsi="宋体" w:cs="宋体"/>
                <w:sz w:val="24"/>
              </w:rPr>
            </w:pPr>
            <w:r>
              <w:t>1</w:t>
            </w:r>
          </w:p>
        </w:tc>
        <w:tc>
          <w:tcPr>
            <w:tcW w:w="584" w:type="dxa"/>
            <w:noWrap w:val="0"/>
            <w:vAlign w:val="center"/>
          </w:tcPr>
          <w:p>
            <w:pPr>
              <w:jc w:val="center"/>
              <w:rPr>
                <w:rFonts w:ascii="宋体" w:hAnsi="宋体" w:cs="宋体"/>
                <w:sz w:val="24"/>
              </w:rPr>
            </w:pPr>
            <w:r>
              <w:t>0.5</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13</w:t>
            </w:r>
          </w:p>
        </w:tc>
        <w:tc>
          <w:tcPr>
            <w:tcW w:w="3514" w:type="dxa"/>
            <w:noWrap w:val="0"/>
            <w:vAlign w:val="bottom"/>
          </w:tcPr>
          <w:p>
            <w:pPr>
              <w:rPr>
                <w:rFonts w:ascii="宋体" w:hAnsi="宋体" w:cs="宋体"/>
                <w:sz w:val="24"/>
              </w:rPr>
            </w:pPr>
            <w:r>
              <w:rPr>
                <w:rFonts w:hint="eastAsia"/>
              </w:rPr>
              <w:t>厨房进出入人员记录、留样记录及食材存储记录完整。</w:t>
            </w:r>
          </w:p>
        </w:tc>
        <w:tc>
          <w:tcPr>
            <w:tcW w:w="700" w:type="dxa"/>
            <w:noWrap w:val="0"/>
            <w:vAlign w:val="center"/>
          </w:tcPr>
          <w:p>
            <w:pPr>
              <w:jc w:val="center"/>
              <w:rPr>
                <w:rFonts w:ascii="宋体" w:hAnsi="宋体" w:cs="宋体"/>
                <w:sz w:val="24"/>
              </w:rPr>
            </w:pPr>
            <w:r>
              <w:t>2</w:t>
            </w:r>
          </w:p>
        </w:tc>
        <w:tc>
          <w:tcPr>
            <w:tcW w:w="564" w:type="dxa"/>
            <w:noWrap w:val="0"/>
            <w:vAlign w:val="center"/>
          </w:tcPr>
          <w:p>
            <w:pPr>
              <w:jc w:val="center"/>
              <w:rPr>
                <w:rFonts w:ascii="宋体" w:hAnsi="宋体" w:cs="宋体"/>
                <w:sz w:val="24"/>
              </w:rPr>
            </w:pPr>
            <w:r>
              <w:t>2</w:t>
            </w:r>
          </w:p>
        </w:tc>
        <w:tc>
          <w:tcPr>
            <w:tcW w:w="563" w:type="dxa"/>
            <w:noWrap w:val="0"/>
            <w:vAlign w:val="center"/>
          </w:tcPr>
          <w:p>
            <w:pPr>
              <w:jc w:val="center"/>
              <w:rPr>
                <w:rFonts w:ascii="宋体" w:hAnsi="宋体" w:cs="宋体"/>
                <w:sz w:val="24"/>
              </w:rPr>
            </w:pPr>
            <w:r>
              <w:t>1.8</w:t>
            </w:r>
          </w:p>
        </w:tc>
        <w:tc>
          <w:tcPr>
            <w:tcW w:w="584" w:type="dxa"/>
            <w:noWrap w:val="0"/>
            <w:vAlign w:val="center"/>
          </w:tcPr>
          <w:p>
            <w:pPr>
              <w:jc w:val="center"/>
              <w:rPr>
                <w:rFonts w:ascii="宋体" w:hAnsi="宋体" w:cs="宋体"/>
                <w:sz w:val="24"/>
              </w:rPr>
            </w:pPr>
            <w:r>
              <w:t>1.4</w:t>
            </w:r>
          </w:p>
        </w:tc>
        <w:tc>
          <w:tcPr>
            <w:tcW w:w="584" w:type="dxa"/>
            <w:noWrap w:val="0"/>
            <w:vAlign w:val="center"/>
          </w:tcPr>
          <w:p>
            <w:pPr>
              <w:jc w:val="center"/>
              <w:rPr>
                <w:rFonts w:ascii="宋体" w:hAnsi="宋体" w:cs="宋体"/>
                <w:sz w:val="24"/>
              </w:rPr>
            </w:pPr>
            <w:r>
              <w:t>1</w:t>
            </w:r>
          </w:p>
        </w:tc>
        <w:tc>
          <w:tcPr>
            <w:tcW w:w="584" w:type="dxa"/>
            <w:noWrap w:val="0"/>
            <w:vAlign w:val="center"/>
          </w:tcPr>
          <w:p>
            <w:pPr>
              <w:jc w:val="center"/>
              <w:rPr>
                <w:rFonts w:ascii="宋体" w:hAnsi="宋体" w:cs="宋体"/>
                <w:sz w:val="24"/>
              </w:rPr>
            </w:pPr>
            <w:r>
              <w:t>0.5</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14</w:t>
            </w:r>
          </w:p>
        </w:tc>
        <w:tc>
          <w:tcPr>
            <w:tcW w:w="3514" w:type="dxa"/>
            <w:noWrap w:val="0"/>
            <w:vAlign w:val="bottom"/>
          </w:tcPr>
          <w:p>
            <w:pPr>
              <w:rPr>
                <w:rFonts w:ascii="宋体" w:hAnsi="宋体" w:cs="宋体"/>
                <w:sz w:val="24"/>
              </w:rPr>
            </w:pPr>
            <w:r>
              <w:rPr>
                <w:rFonts w:hint="eastAsia"/>
              </w:rPr>
              <w:t>厨房设备操作规范，按时做好日常维护并记录。</w:t>
            </w:r>
          </w:p>
        </w:tc>
        <w:tc>
          <w:tcPr>
            <w:tcW w:w="700" w:type="dxa"/>
            <w:noWrap w:val="0"/>
            <w:vAlign w:val="center"/>
          </w:tcPr>
          <w:p>
            <w:pPr>
              <w:jc w:val="center"/>
              <w:rPr>
                <w:rFonts w:ascii="宋体" w:hAnsi="宋体" w:cs="宋体"/>
                <w:sz w:val="24"/>
              </w:rPr>
            </w:pPr>
            <w:r>
              <w:t>2</w:t>
            </w:r>
          </w:p>
        </w:tc>
        <w:tc>
          <w:tcPr>
            <w:tcW w:w="564" w:type="dxa"/>
            <w:noWrap w:val="0"/>
            <w:vAlign w:val="center"/>
          </w:tcPr>
          <w:p>
            <w:pPr>
              <w:jc w:val="center"/>
              <w:rPr>
                <w:rFonts w:ascii="宋体" w:hAnsi="宋体" w:cs="宋体"/>
                <w:sz w:val="24"/>
              </w:rPr>
            </w:pPr>
            <w:r>
              <w:t>2</w:t>
            </w:r>
          </w:p>
        </w:tc>
        <w:tc>
          <w:tcPr>
            <w:tcW w:w="563" w:type="dxa"/>
            <w:noWrap w:val="0"/>
            <w:vAlign w:val="center"/>
          </w:tcPr>
          <w:p>
            <w:pPr>
              <w:jc w:val="center"/>
              <w:rPr>
                <w:rFonts w:ascii="宋体" w:hAnsi="宋体" w:cs="宋体"/>
                <w:sz w:val="24"/>
              </w:rPr>
            </w:pPr>
            <w:r>
              <w:t>1.8</w:t>
            </w:r>
          </w:p>
        </w:tc>
        <w:tc>
          <w:tcPr>
            <w:tcW w:w="584" w:type="dxa"/>
            <w:noWrap w:val="0"/>
            <w:vAlign w:val="center"/>
          </w:tcPr>
          <w:p>
            <w:pPr>
              <w:jc w:val="center"/>
              <w:rPr>
                <w:rFonts w:ascii="宋体" w:hAnsi="宋体" w:cs="宋体"/>
                <w:sz w:val="24"/>
              </w:rPr>
            </w:pPr>
            <w:r>
              <w:t>1.4</w:t>
            </w:r>
          </w:p>
        </w:tc>
        <w:tc>
          <w:tcPr>
            <w:tcW w:w="584" w:type="dxa"/>
            <w:noWrap w:val="0"/>
            <w:vAlign w:val="center"/>
          </w:tcPr>
          <w:p>
            <w:pPr>
              <w:jc w:val="center"/>
              <w:rPr>
                <w:rFonts w:ascii="宋体" w:hAnsi="宋体" w:cs="宋体"/>
                <w:sz w:val="24"/>
              </w:rPr>
            </w:pPr>
            <w:r>
              <w:t>1</w:t>
            </w:r>
          </w:p>
        </w:tc>
        <w:tc>
          <w:tcPr>
            <w:tcW w:w="584" w:type="dxa"/>
            <w:noWrap w:val="0"/>
            <w:vAlign w:val="center"/>
          </w:tcPr>
          <w:p>
            <w:pPr>
              <w:jc w:val="center"/>
              <w:rPr>
                <w:rFonts w:ascii="宋体" w:hAnsi="宋体" w:cs="宋体"/>
                <w:sz w:val="24"/>
              </w:rPr>
            </w:pPr>
            <w:r>
              <w:t>0.5</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15</w:t>
            </w:r>
          </w:p>
        </w:tc>
        <w:tc>
          <w:tcPr>
            <w:tcW w:w="3514" w:type="dxa"/>
            <w:noWrap w:val="0"/>
            <w:vAlign w:val="bottom"/>
          </w:tcPr>
          <w:p>
            <w:pPr>
              <w:rPr>
                <w:rFonts w:ascii="宋体" w:hAnsi="宋体" w:cs="宋体"/>
                <w:sz w:val="24"/>
              </w:rPr>
            </w:pPr>
            <w:r>
              <w:rPr>
                <w:rFonts w:hint="eastAsia"/>
              </w:rPr>
              <w:t>做好每月成本报表，登记水电使用台账。</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restart"/>
            <w:noWrap w:val="0"/>
            <w:vAlign w:val="center"/>
          </w:tcPr>
          <w:p>
            <w:pPr>
              <w:adjustRightInd w:val="0"/>
              <w:snapToGrid w:val="0"/>
              <w:spacing w:line="400" w:lineRule="exact"/>
              <w:jc w:val="center"/>
              <w:rPr>
                <w:rFonts w:ascii="Arial" w:hAnsi="Arial" w:cs="Arial"/>
                <w:b/>
                <w:bCs/>
                <w:szCs w:val="21"/>
              </w:rPr>
            </w:pPr>
            <w:r>
              <w:rPr>
                <w:rFonts w:hint="eastAsia" w:ascii="Arial" w:hAnsi="Arial" w:cs="Arial"/>
                <w:b/>
                <w:bCs/>
                <w:szCs w:val="21"/>
              </w:rPr>
              <w:t>日常工作</w:t>
            </w:r>
          </w:p>
        </w:tc>
        <w:tc>
          <w:tcPr>
            <w:tcW w:w="567" w:type="dxa"/>
            <w:noWrap w:val="0"/>
            <w:vAlign w:val="center"/>
          </w:tcPr>
          <w:p>
            <w:pPr>
              <w:jc w:val="center"/>
              <w:rPr>
                <w:rFonts w:ascii="宋体" w:hAnsi="宋体" w:cs="宋体"/>
                <w:sz w:val="24"/>
              </w:rPr>
            </w:pPr>
            <w:r>
              <w:t>16</w:t>
            </w:r>
          </w:p>
        </w:tc>
        <w:tc>
          <w:tcPr>
            <w:tcW w:w="3514" w:type="dxa"/>
            <w:noWrap w:val="0"/>
            <w:vAlign w:val="bottom"/>
          </w:tcPr>
          <w:p>
            <w:pPr>
              <w:rPr>
                <w:rFonts w:ascii="宋体" w:hAnsi="宋体" w:cs="宋体"/>
                <w:sz w:val="24"/>
              </w:rPr>
            </w:pPr>
            <w:r>
              <w:rPr>
                <w:rFonts w:hint="eastAsia"/>
              </w:rPr>
              <w:t>制作安全、色香味俱全的菜品。</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17</w:t>
            </w:r>
          </w:p>
        </w:tc>
        <w:tc>
          <w:tcPr>
            <w:tcW w:w="3514" w:type="dxa"/>
            <w:noWrap w:val="0"/>
            <w:vAlign w:val="bottom"/>
          </w:tcPr>
          <w:p>
            <w:pPr>
              <w:rPr>
                <w:rFonts w:ascii="宋体" w:hAnsi="宋体" w:cs="宋体"/>
                <w:sz w:val="24"/>
              </w:rPr>
            </w:pPr>
            <w:r>
              <w:rPr>
                <w:rFonts w:hint="eastAsia"/>
              </w:rPr>
              <w:t>每两周按时制订菜谱，做好人员的每月排班及考勤。</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18</w:t>
            </w:r>
          </w:p>
        </w:tc>
        <w:tc>
          <w:tcPr>
            <w:tcW w:w="3514" w:type="dxa"/>
            <w:noWrap w:val="0"/>
            <w:vAlign w:val="bottom"/>
          </w:tcPr>
          <w:p>
            <w:pPr>
              <w:rPr>
                <w:rFonts w:ascii="宋体" w:hAnsi="宋体" w:cs="宋体"/>
                <w:szCs w:val="21"/>
              </w:rPr>
            </w:pPr>
            <w:r>
              <w:rPr>
                <w:rFonts w:hint="eastAsia" w:ascii="宋体" w:hAnsi="宋体" w:cs="宋体"/>
                <w:szCs w:val="21"/>
              </w:rPr>
              <w:t>按菜谱做好食材采购清单及收货验收工作。</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19</w:t>
            </w:r>
          </w:p>
        </w:tc>
        <w:tc>
          <w:tcPr>
            <w:tcW w:w="3514" w:type="dxa"/>
            <w:noWrap w:val="0"/>
            <w:vAlign w:val="bottom"/>
          </w:tcPr>
          <w:p>
            <w:pPr>
              <w:rPr>
                <w:rFonts w:ascii="宋体" w:hAnsi="宋体" w:cs="宋体"/>
                <w:szCs w:val="21"/>
              </w:rPr>
            </w:pPr>
            <w:r>
              <w:rPr>
                <w:rFonts w:hint="eastAsia"/>
                <w:szCs w:val="21"/>
              </w:rPr>
              <w:t>做好食堂饮食的营养搭配及花样品种的调剂，按时餐厅规定时间开餐。</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20</w:t>
            </w:r>
          </w:p>
        </w:tc>
        <w:tc>
          <w:tcPr>
            <w:tcW w:w="3514" w:type="dxa"/>
            <w:noWrap w:val="0"/>
            <w:vAlign w:val="bottom"/>
          </w:tcPr>
          <w:p>
            <w:pPr>
              <w:rPr>
                <w:rFonts w:ascii="宋体" w:hAnsi="宋体" w:cs="宋体"/>
                <w:szCs w:val="21"/>
              </w:rPr>
            </w:pPr>
            <w:r>
              <w:rPr>
                <w:rFonts w:hint="eastAsia" w:ascii="宋体" w:hAnsi="宋体" w:cs="宋体"/>
                <w:szCs w:val="21"/>
              </w:rPr>
              <w:t>做好食堂日常开支及成本控制，严格日常开支控制好成本，做好节能工作安排与落实。</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21</w:t>
            </w:r>
          </w:p>
        </w:tc>
        <w:tc>
          <w:tcPr>
            <w:tcW w:w="3514" w:type="dxa"/>
            <w:noWrap w:val="0"/>
            <w:vAlign w:val="bottom"/>
          </w:tcPr>
          <w:p>
            <w:pPr>
              <w:rPr>
                <w:rFonts w:ascii="宋体" w:hAnsi="宋体" w:cs="宋体"/>
                <w:sz w:val="24"/>
              </w:rPr>
            </w:pPr>
            <w:r>
              <w:rPr>
                <w:rFonts w:hint="eastAsia"/>
                <w:color w:val="000000"/>
              </w:rPr>
              <w:t>负责做好食品卫生安全管理和食堂规范作业，把好食品卫生关，贯彻执行食品卫生法规，防止食物中毒。</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22</w:t>
            </w:r>
          </w:p>
        </w:tc>
        <w:tc>
          <w:tcPr>
            <w:tcW w:w="3514" w:type="dxa"/>
            <w:noWrap w:val="0"/>
            <w:vAlign w:val="bottom"/>
          </w:tcPr>
          <w:p>
            <w:pPr>
              <w:rPr>
                <w:rFonts w:ascii="宋体" w:hAnsi="宋体" w:cs="宋体"/>
                <w:sz w:val="24"/>
              </w:rPr>
            </w:pPr>
            <w:r>
              <w:rPr>
                <w:rFonts w:hint="eastAsia"/>
              </w:rPr>
              <w:t>做好每日小扫除，每周大扫除的卫生清洁工作。</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23</w:t>
            </w:r>
          </w:p>
        </w:tc>
        <w:tc>
          <w:tcPr>
            <w:tcW w:w="3514" w:type="dxa"/>
            <w:noWrap w:val="0"/>
            <w:vAlign w:val="bottom"/>
          </w:tcPr>
          <w:p>
            <w:pPr>
              <w:rPr>
                <w:rFonts w:ascii="宋体" w:hAnsi="宋体" w:cs="宋体"/>
                <w:szCs w:val="21"/>
              </w:rPr>
            </w:pPr>
            <w:r>
              <w:rPr>
                <w:rFonts w:hint="eastAsia" w:ascii="宋体" w:hAnsi="宋体"/>
                <w:color w:val="000000"/>
                <w:szCs w:val="21"/>
              </w:rPr>
              <w:t>人员有无兼职情况。</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24</w:t>
            </w:r>
          </w:p>
        </w:tc>
        <w:tc>
          <w:tcPr>
            <w:tcW w:w="3514" w:type="dxa"/>
            <w:noWrap w:val="0"/>
            <w:vAlign w:val="bottom"/>
          </w:tcPr>
          <w:p>
            <w:pPr>
              <w:rPr>
                <w:rFonts w:ascii="宋体" w:hAnsi="宋体" w:cs="宋体"/>
                <w:szCs w:val="21"/>
              </w:rPr>
            </w:pPr>
            <w:r>
              <w:rPr>
                <w:rFonts w:hint="eastAsia" w:ascii="宋体" w:hAnsi="宋体" w:cs="宋体"/>
                <w:szCs w:val="21"/>
              </w:rPr>
              <w:t>负责做好食堂其他人员的工作催办。</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25</w:t>
            </w:r>
          </w:p>
        </w:tc>
        <w:tc>
          <w:tcPr>
            <w:tcW w:w="3514" w:type="dxa"/>
            <w:noWrap w:val="0"/>
            <w:vAlign w:val="bottom"/>
          </w:tcPr>
          <w:p>
            <w:pPr>
              <w:rPr>
                <w:rFonts w:ascii="宋体" w:hAnsi="宋体" w:cs="宋体"/>
                <w:szCs w:val="21"/>
              </w:rPr>
            </w:pPr>
            <w:r>
              <w:rPr>
                <w:rFonts w:hint="eastAsia" w:ascii="宋体" w:hAnsi="宋体" w:cs="宋体"/>
                <w:szCs w:val="21"/>
              </w:rPr>
              <w:t>督促当班人员的工作，对督促不到位的，承担连带责任。</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26</w:t>
            </w:r>
          </w:p>
        </w:tc>
        <w:tc>
          <w:tcPr>
            <w:tcW w:w="3514" w:type="dxa"/>
            <w:noWrap w:val="0"/>
            <w:vAlign w:val="center"/>
          </w:tcPr>
          <w:p>
            <w:pPr>
              <w:rPr>
                <w:rFonts w:ascii="宋体" w:hAnsi="宋体" w:cs="宋体"/>
                <w:szCs w:val="21"/>
              </w:rPr>
            </w:pPr>
            <w:r>
              <w:rPr>
                <w:rFonts w:hint="eastAsia" w:ascii="宋体" w:hAnsi="宋体"/>
                <w:szCs w:val="21"/>
              </w:rPr>
              <w:t>负责做好后勤食堂人员的业务技能培训和指导工作。</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27</w:t>
            </w:r>
          </w:p>
        </w:tc>
        <w:tc>
          <w:tcPr>
            <w:tcW w:w="3514" w:type="dxa"/>
            <w:noWrap w:val="0"/>
            <w:vAlign w:val="bottom"/>
          </w:tcPr>
          <w:p>
            <w:pPr>
              <w:rPr>
                <w:rFonts w:ascii="宋体" w:hAnsi="宋体" w:cs="宋体"/>
                <w:szCs w:val="21"/>
              </w:rPr>
            </w:pPr>
            <w:r>
              <w:rPr>
                <w:rFonts w:hint="eastAsia" w:ascii="宋体" w:hAnsi="宋体"/>
                <w:szCs w:val="21"/>
              </w:rPr>
              <w:t>确保人员工作清晰，培训到位，熟练掌握岗位技能</w:t>
            </w:r>
          </w:p>
        </w:tc>
        <w:tc>
          <w:tcPr>
            <w:tcW w:w="700" w:type="dxa"/>
            <w:noWrap w:val="0"/>
            <w:vAlign w:val="center"/>
          </w:tcPr>
          <w:p>
            <w:pPr>
              <w:jc w:val="center"/>
              <w:rPr>
                <w:rFonts w:ascii="宋体" w:hAnsi="宋体" w:cs="宋体"/>
                <w:sz w:val="24"/>
              </w:rPr>
            </w:pPr>
            <w:r>
              <w:t>5</w:t>
            </w:r>
          </w:p>
        </w:tc>
        <w:tc>
          <w:tcPr>
            <w:tcW w:w="564" w:type="dxa"/>
            <w:noWrap w:val="0"/>
            <w:vAlign w:val="center"/>
          </w:tcPr>
          <w:p>
            <w:pPr>
              <w:jc w:val="center"/>
              <w:rPr>
                <w:rFonts w:ascii="宋体" w:hAnsi="宋体" w:cs="宋体"/>
                <w:sz w:val="24"/>
              </w:rPr>
            </w:pPr>
            <w:r>
              <w:t>5</w:t>
            </w:r>
          </w:p>
        </w:tc>
        <w:tc>
          <w:tcPr>
            <w:tcW w:w="563" w:type="dxa"/>
            <w:noWrap w:val="0"/>
            <w:vAlign w:val="center"/>
          </w:tcPr>
          <w:p>
            <w:pPr>
              <w:jc w:val="center"/>
              <w:rPr>
                <w:rFonts w:ascii="宋体" w:hAnsi="宋体" w:cs="宋体"/>
                <w:sz w:val="24"/>
              </w:rPr>
            </w:pPr>
            <w:r>
              <w:t>4.5</w:t>
            </w:r>
          </w:p>
        </w:tc>
        <w:tc>
          <w:tcPr>
            <w:tcW w:w="584" w:type="dxa"/>
            <w:noWrap w:val="0"/>
            <w:vAlign w:val="center"/>
          </w:tcPr>
          <w:p>
            <w:pPr>
              <w:jc w:val="center"/>
              <w:rPr>
                <w:rFonts w:ascii="宋体" w:hAnsi="宋体" w:cs="宋体"/>
                <w:sz w:val="24"/>
              </w:rPr>
            </w:pPr>
            <w:r>
              <w:t>4</w:t>
            </w:r>
          </w:p>
        </w:tc>
        <w:tc>
          <w:tcPr>
            <w:tcW w:w="584" w:type="dxa"/>
            <w:noWrap w:val="0"/>
            <w:vAlign w:val="center"/>
          </w:tcPr>
          <w:p>
            <w:pPr>
              <w:jc w:val="center"/>
              <w:rPr>
                <w:rFonts w:ascii="宋体" w:hAnsi="宋体" w:cs="宋体"/>
                <w:sz w:val="24"/>
              </w:rPr>
            </w:pPr>
            <w:r>
              <w:t>3</w:t>
            </w:r>
          </w:p>
        </w:tc>
        <w:tc>
          <w:tcPr>
            <w:tcW w:w="584" w:type="dxa"/>
            <w:noWrap w:val="0"/>
            <w:vAlign w:val="center"/>
          </w:tcPr>
          <w:p>
            <w:pPr>
              <w:jc w:val="center"/>
              <w:rPr>
                <w:rFonts w:ascii="宋体" w:hAnsi="宋体" w:cs="宋体"/>
                <w:sz w:val="24"/>
              </w:rPr>
            </w:pPr>
            <w:r>
              <w:t>1.5</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28</w:t>
            </w:r>
          </w:p>
        </w:tc>
        <w:tc>
          <w:tcPr>
            <w:tcW w:w="3514" w:type="dxa"/>
            <w:noWrap w:val="0"/>
            <w:vAlign w:val="bottom"/>
          </w:tcPr>
          <w:p>
            <w:pPr>
              <w:rPr>
                <w:rFonts w:ascii="宋体" w:hAnsi="宋体" w:cs="宋体"/>
                <w:szCs w:val="21"/>
              </w:rPr>
            </w:pPr>
            <w:r>
              <w:rPr>
                <w:rFonts w:hint="eastAsia" w:ascii="宋体" w:hAnsi="宋体" w:cs="宋体"/>
                <w:szCs w:val="21"/>
              </w:rPr>
              <w:t>按一洗、二清、三消毒，做到餐具无饭渣、无菜叶、无杂物、无污渍。</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29</w:t>
            </w:r>
          </w:p>
        </w:tc>
        <w:tc>
          <w:tcPr>
            <w:tcW w:w="3514" w:type="dxa"/>
            <w:noWrap w:val="0"/>
            <w:vAlign w:val="center"/>
          </w:tcPr>
          <w:p>
            <w:pPr>
              <w:rPr>
                <w:rFonts w:ascii="宋体" w:hAnsi="宋体" w:cs="宋体"/>
                <w:szCs w:val="21"/>
              </w:rPr>
            </w:pPr>
            <w:r>
              <w:rPr>
                <w:rFonts w:hint="eastAsia" w:ascii="宋体" w:hAnsi="宋体"/>
                <w:szCs w:val="21"/>
              </w:rPr>
              <w:t>洗菜做到及时、迅速、干净、卫生。</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30</w:t>
            </w:r>
          </w:p>
        </w:tc>
        <w:tc>
          <w:tcPr>
            <w:tcW w:w="3514" w:type="dxa"/>
            <w:noWrap w:val="0"/>
            <w:vAlign w:val="center"/>
          </w:tcPr>
          <w:p>
            <w:pPr>
              <w:rPr>
                <w:rFonts w:ascii="宋体" w:hAnsi="宋体" w:cs="宋体"/>
                <w:szCs w:val="21"/>
              </w:rPr>
            </w:pPr>
            <w:r>
              <w:rPr>
                <w:rFonts w:hint="eastAsia" w:ascii="宋体" w:hAnsi="宋体"/>
                <w:szCs w:val="21"/>
              </w:rPr>
              <w:t>要求配菜、分菜均匀，份量适中。</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31</w:t>
            </w:r>
          </w:p>
        </w:tc>
        <w:tc>
          <w:tcPr>
            <w:tcW w:w="3514" w:type="dxa"/>
            <w:noWrap w:val="0"/>
            <w:vAlign w:val="center"/>
          </w:tcPr>
          <w:p>
            <w:pPr>
              <w:rPr>
                <w:rFonts w:ascii="宋体" w:hAnsi="宋体" w:cs="宋体"/>
                <w:color w:val="000000"/>
                <w:szCs w:val="21"/>
              </w:rPr>
            </w:pPr>
            <w:r>
              <w:rPr>
                <w:rFonts w:hint="eastAsia" w:ascii="宋体" w:hAnsi="宋体" w:cs="宋体"/>
                <w:color w:val="000000"/>
                <w:szCs w:val="21"/>
              </w:rPr>
              <w:t>按消毒柜高温消毒程序及要求完成，餐具全部消毒到位。</w:t>
            </w:r>
          </w:p>
        </w:tc>
        <w:tc>
          <w:tcPr>
            <w:tcW w:w="700" w:type="dxa"/>
            <w:noWrap w:val="0"/>
            <w:vAlign w:val="center"/>
          </w:tcPr>
          <w:p>
            <w:pPr>
              <w:jc w:val="center"/>
              <w:rPr>
                <w:rFonts w:ascii="宋体" w:hAnsi="宋体" w:cs="宋体"/>
                <w:sz w:val="24"/>
              </w:rPr>
            </w:pPr>
            <w:r>
              <w:t>2</w:t>
            </w:r>
          </w:p>
        </w:tc>
        <w:tc>
          <w:tcPr>
            <w:tcW w:w="564" w:type="dxa"/>
            <w:noWrap w:val="0"/>
            <w:vAlign w:val="center"/>
          </w:tcPr>
          <w:p>
            <w:pPr>
              <w:jc w:val="center"/>
              <w:rPr>
                <w:rFonts w:ascii="宋体" w:hAnsi="宋体" w:cs="宋体"/>
                <w:sz w:val="24"/>
              </w:rPr>
            </w:pPr>
            <w:r>
              <w:t>2</w:t>
            </w:r>
          </w:p>
        </w:tc>
        <w:tc>
          <w:tcPr>
            <w:tcW w:w="563" w:type="dxa"/>
            <w:noWrap w:val="0"/>
            <w:vAlign w:val="center"/>
          </w:tcPr>
          <w:p>
            <w:pPr>
              <w:jc w:val="center"/>
              <w:rPr>
                <w:rFonts w:ascii="宋体" w:hAnsi="宋体" w:cs="宋体"/>
                <w:sz w:val="24"/>
              </w:rPr>
            </w:pPr>
            <w:r>
              <w:t>1.8</w:t>
            </w:r>
          </w:p>
        </w:tc>
        <w:tc>
          <w:tcPr>
            <w:tcW w:w="584" w:type="dxa"/>
            <w:noWrap w:val="0"/>
            <w:vAlign w:val="center"/>
          </w:tcPr>
          <w:p>
            <w:pPr>
              <w:jc w:val="center"/>
              <w:rPr>
                <w:rFonts w:ascii="宋体" w:hAnsi="宋体" w:cs="宋体"/>
                <w:sz w:val="24"/>
              </w:rPr>
            </w:pPr>
            <w:r>
              <w:t>1.4</w:t>
            </w:r>
          </w:p>
        </w:tc>
        <w:tc>
          <w:tcPr>
            <w:tcW w:w="584" w:type="dxa"/>
            <w:noWrap w:val="0"/>
            <w:vAlign w:val="center"/>
          </w:tcPr>
          <w:p>
            <w:pPr>
              <w:jc w:val="center"/>
              <w:rPr>
                <w:rFonts w:ascii="宋体" w:hAnsi="宋体" w:cs="宋体"/>
                <w:sz w:val="24"/>
              </w:rPr>
            </w:pPr>
            <w:r>
              <w:t>1</w:t>
            </w:r>
          </w:p>
        </w:tc>
        <w:tc>
          <w:tcPr>
            <w:tcW w:w="584" w:type="dxa"/>
            <w:noWrap w:val="0"/>
            <w:vAlign w:val="center"/>
          </w:tcPr>
          <w:p>
            <w:pPr>
              <w:jc w:val="center"/>
              <w:rPr>
                <w:rFonts w:ascii="宋体" w:hAnsi="宋体" w:cs="宋体"/>
                <w:sz w:val="24"/>
              </w:rPr>
            </w:pPr>
            <w:r>
              <w:t>0.5</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32</w:t>
            </w:r>
          </w:p>
        </w:tc>
        <w:tc>
          <w:tcPr>
            <w:tcW w:w="3514" w:type="dxa"/>
            <w:noWrap w:val="0"/>
            <w:vAlign w:val="center"/>
          </w:tcPr>
          <w:p>
            <w:pPr>
              <w:rPr>
                <w:rFonts w:ascii="宋体" w:hAnsi="宋体" w:cs="宋体"/>
                <w:color w:val="000000"/>
                <w:szCs w:val="21"/>
              </w:rPr>
            </w:pPr>
            <w:r>
              <w:rPr>
                <w:rFonts w:hint="eastAsia" w:ascii="宋体" w:hAnsi="宋体"/>
                <w:color w:val="000000"/>
                <w:szCs w:val="21"/>
              </w:rPr>
              <w:t>认真做好设备设施日、夜巡查工作。</w:t>
            </w:r>
          </w:p>
        </w:tc>
        <w:tc>
          <w:tcPr>
            <w:tcW w:w="700" w:type="dxa"/>
            <w:noWrap w:val="0"/>
            <w:vAlign w:val="center"/>
          </w:tcPr>
          <w:p>
            <w:pPr>
              <w:jc w:val="center"/>
              <w:rPr>
                <w:rFonts w:ascii="宋体" w:hAnsi="宋体" w:cs="宋体"/>
                <w:sz w:val="24"/>
              </w:rPr>
            </w:pPr>
            <w:r>
              <w:t>5</w:t>
            </w:r>
          </w:p>
        </w:tc>
        <w:tc>
          <w:tcPr>
            <w:tcW w:w="564" w:type="dxa"/>
            <w:noWrap w:val="0"/>
            <w:vAlign w:val="center"/>
          </w:tcPr>
          <w:p>
            <w:pPr>
              <w:jc w:val="center"/>
              <w:rPr>
                <w:rFonts w:ascii="宋体" w:hAnsi="宋体" w:cs="宋体"/>
                <w:sz w:val="24"/>
              </w:rPr>
            </w:pPr>
            <w:r>
              <w:t>5</w:t>
            </w:r>
          </w:p>
        </w:tc>
        <w:tc>
          <w:tcPr>
            <w:tcW w:w="563" w:type="dxa"/>
            <w:noWrap w:val="0"/>
            <w:vAlign w:val="center"/>
          </w:tcPr>
          <w:p>
            <w:pPr>
              <w:jc w:val="center"/>
              <w:rPr>
                <w:rFonts w:ascii="宋体" w:hAnsi="宋体" w:cs="宋体"/>
                <w:sz w:val="24"/>
              </w:rPr>
            </w:pPr>
            <w:r>
              <w:t>4.5</w:t>
            </w:r>
          </w:p>
        </w:tc>
        <w:tc>
          <w:tcPr>
            <w:tcW w:w="584" w:type="dxa"/>
            <w:noWrap w:val="0"/>
            <w:vAlign w:val="center"/>
          </w:tcPr>
          <w:p>
            <w:pPr>
              <w:jc w:val="center"/>
              <w:rPr>
                <w:rFonts w:ascii="宋体" w:hAnsi="宋体" w:cs="宋体"/>
                <w:sz w:val="24"/>
              </w:rPr>
            </w:pPr>
            <w:r>
              <w:t>4</w:t>
            </w:r>
          </w:p>
        </w:tc>
        <w:tc>
          <w:tcPr>
            <w:tcW w:w="584" w:type="dxa"/>
            <w:noWrap w:val="0"/>
            <w:vAlign w:val="center"/>
          </w:tcPr>
          <w:p>
            <w:pPr>
              <w:jc w:val="center"/>
              <w:rPr>
                <w:rFonts w:ascii="宋体" w:hAnsi="宋体" w:cs="宋体"/>
                <w:sz w:val="24"/>
              </w:rPr>
            </w:pPr>
            <w:r>
              <w:t>3</w:t>
            </w:r>
          </w:p>
        </w:tc>
        <w:tc>
          <w:tcPr>
            <w:tcW w:w="584" w:type="dxa"/>
            <w:noWrap w:val="0"/>
            <w:vAlign w:val="center"/>
          </w:tcPr>
          <w:p>
            <w:pPr>
              <w:jc w:val="center"/>
              <w:rPr>
                <w:rFonts w:ascii="宋体" w:hAnsi="宋体" w:cs="宋体"/>
                <w:sz w:val="24"/>
              </w:rPr>
            </w:pPr>
            <w:r>
              <w:t>1.5</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33</w:t>
            </w:r>
          </w:p>
        </w:tc>
        <w:tc>
          <w:tcPr>
            <w:tcW w:w="3514" w:type="dxa"/>
            <w:noWrap w:val="0"/>
            <w:vAlign w:val="center"/>
          </w:tcPr>
          <w:p>
            <w:pPr>
              <w:rPr>
                <w:rFonts w:ascii="宋体" w:hAnsi="宋体" w:cs="宋体"/>
                <w:szCs w:val="21"/>
              </w:rPr>
            </w:pPr>
            <w:r>
              <w:rPr>
                <w:rFonts w:hint="eastAsia" w:ascii="宋体" w:hAnsi="宋体" w:cs="宋体"/>
                <w:szCs w:val="21"/>
              </w:rPr>
              <w:t>每天餐前、餐后分菜间、打饭窗口设备、地面及其他指定设施场地的卫生保持清洁。</w:t>
            </w:r>
          </w:p>
        </w:tc>
        <w:tc>
          <w:tcPr>
            <w:tcW w:w="700" w:type="dxa"/>
            <w:noWrap w:val="0"/>
            <w:vAlign w:val="center"/>
          </w:tcPr>
          <w:p>
            <w:pPr>
              <w:jc w:val="center"/>
              <w:rPr>
                <w:rFonts w:ascii="宋体" w:hAnsi="宋体" w:cs="宋体"/>
                <w:sz w:val="24"/>
              </w:rPr>
            </w:pPr>
            <w:r>
              <w:t>3</w:t>
            </w:r>
          </w:p>
        </w:tc>
        <w:tc>
          <w:tcPr>
            <w:tcW w:w="564" w:type="dxa"/>
            <w:noWrap w:val="0"/>
            <w:vAlign w:val="center"/>
          </w:tcPr>
          <w:p>
            <w:pPr>
              <w:jc w:val="center"/>
              <w:rPr>
                <w:rFonts w:ascii="宋体" w:hAnsi="宋体" w:cs="宋体"/>
                <w:sz w:val="24"/>
              </w:rPr>
            </w:pPr>
            <w:r>
              <w:t>3</w:t>
            </w:r>
          </w:p>
        </w:tc>
        <w:tc>
          <w:tcPr>
            <w:tcW w:w="563" w:type="dxa"/>
            <w:noWrap w:val="0"/>
            <w:vAlign w:val="center"/>
          </w:tcPr>
          <w:p>
            <w:pPr>
              <w:jc w:val="center"/>
              <w:rPr>
                <w:rFonts w:ascii="宋体" w:hAnsi="宋体" w:cs="宋体"/>
                <w:sz w:val="24"/>
              </w:rPr>
            </w:pPr>
            <w:r>
              <w:t>2.7</w:t>
            </w:r>
          </w:p>
        </w:tc>
        <w:tc>
          <w:tcPr>
            <w:tcW w:w="584" w:type="dxa"/>
            <w:noWrap w:val="0"/>
            <w:vAlign w:val="center"/>
          </w:tcPr>
          <w:p>
            <w:pPr>
              <w:jc w:val="center"/>
              <w:rPr>
                <w:rFonts w:ascii="宋体" w:hAnsi="宋体" w:cs="宋体"/>
                <w:sz w:val="24"/>
              </w:rPr>
            </w:pPr>
            <w:r>
              <w:t>2.3</w:t>
            </w:r>
          </w:p>
        </w:tc>
        <w:tc>
          <w:tcPr>
            <w:tcW w:w="584" w:type="dxa"/>
            <w:noWrap w:val="0"/>
            <w:vAlign w:val="center"/>
          </w:tcPr>
          <w:p>
            <w:pPr>
              <w:jc w:val="center"/>
              <w:rPr>
                <w:rFonts w:ascii="宋体" w:hAnsi="宋体" w:cs="宋体"/>
                <w:sz w:val="24"/>
              </w:rPr>
            </w:pPr>
            <w:r>
              <w:t>1.5</w:t>
            </w:r>
          </w:p>
        </w:tc>
        <w:tc>
          <w:tcPr>
            <w:tcW w:w="584" w:type="dxa"/>
            <w:noWrap w:val="0"/>
            <w:vAlign w:val="center"/>
          </w:tcPr>
          <w:p>
            <w:pPr>
              <w:jc w:val="center"/>
              <w:rPr>
                <w:rFonts w:ascii="宋体" w:hAnsi="宋体" w:cs="宋体"/>
                <w:sz w:val="24"/>
              </w:rPr>
            </w:pPr>
            <w:r>
              <w:t>0.9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rPr>
                <w:rFonts w:ascii="宋体" w:hAnsi="宋体" w:cs="宋体"/>
                <w:sz w:val="24"/>
              </w:rPr>
            </w:pPr>
            <w:r>
              <w:t>34</w:t>
            </w:r>
          </w:p>
        </w:tc>
        <w:tc>
          <w:tcPr>
            <w:tcW w:w="3514" w:type="dxa"/>
            <w:noWrap w:val="0"/>
            <w:vAlign w:val="center"/>
          </w:tcPr>
          <w:p>
            <w:pPr>
              <w:rPr>
                <w:rFonts w:ascii="宋体" w:hAnsi="宋体" w:cs="宋体"/>
                <w:szCs w:val="21"/>
              </w:rPr>
            </w:pPr>
            <w:r>
              <w:rPr>
                <w:rFonts w:hint="eastAsia" w:ascii="宋体" w:hAnsi="宋体"/>
                <w:szCs w:val="21"/>
              </w:rPr>
              <w:t>手清洁、指甲、工作服整洁等个人卫生情况。</w:t>
            </w:r>
          </w:p>
        </w:tc>
        <w:tc>
          <w:tcPr>
            <w:tcW w:w="700" w:type="dxa"/>
            <w:noWrap w:val="0"/>
            <w:vAlign w:val="center"/>
          </w:tcPr>
          <w:p>
            <w:pPr>
              <w:jc w:val="center"/>
              <w:rPr>
                <w:rFonts w:ascii="宋体" w:hAnsi="宋体" w:cs="宋体"/>
                <w:sz w:val="24"/>
              </w:rPr>
            </w:pPr>
            <w:r>
              <w:t>5</w:t>
            </w:r>
          </w:p>
        </w:tc>
        <w:tc>
          <w:tcPr>
            <w:tcW w:w="564" w:type="dxa"/>
            <w:noWrap w:val="0"/>
            <w:vAlign w:val="center"/>
          </w:tcPr>
          <w:p>
            <w:pPr>
              <w:jc w:val="center"/>
              <w:rPr>
                <w:rFonts w:ascii="宋体" w:hAnsi="宋体" w:cs="宋体"/>
                <w:sz w:val="24"/>
              </w:rPr>
            </w:pPr>
            <w:r>
              <w:t>5</w:t>
            </w:r>
          </w:p>
        </w:tc>
        <w:tc>
          <w:tcPr>
            <w:tcW w:w="563" w:type="dxa"/>
            <w:noWrap w:val="0"/>
            <w:vAlign w:val="center"/>
          </w:tcPr>
          <w:p>
            <w:pPr>
              <w:jc w:val="center"/>
              <w:rPr>
                <w:rFonts w:ascii="宋体" w:hAnsi="宋体" w:cs="宋体"/>
                <w:sz w:val="24"/>
              </w:rPr>
            </w:pPr>
            <w:r>
              <w:t>4.5</w:t>
            </w:r>
          </w:p>
        </w:tc>
        <w:tc>
          <w:tcPr>
            <w:tcW w:w="584" w:type="dxa"/>
            <w:noWrap w:val="0"/>
            <w:vAlign w:val="center"/>
          </w:tcPr>
          <w:p>
            <w:pPr>
              <w:jc w:val="center"/>
              <w:rPr>
                <w:rFonts w:ascii="宋体" w:hAnsi="宋体" w:cs="宋体"/>
                <w:sz w:val="24"/>
              </w:rPr>
            </w:pPr>
            <w:r>
              <w:t>4</w:t>
            </w:r>
          </w:p>
        </w:tc>
        <w:tc>
          <w:tcPr>
            <w:tcW w:w="584" w:type="dxa"/>
            <w:noWrap w:val="0"/>
            <w:vAlign w:val="center"/>
          </w:tcPr>
          <w:p>
            <w:pPr>
              <w:jc w:val="center"/>
              <w:rPr>
                <w:rFonts w:ascii="宋体" w:hAnsi="宋体" w:cs="宋体"/>
                <w:sz w:val="24"/>
              </w:rPr>
            </w:pPr>
            <w:r>
              <w:t>3</w:t>
            </w:r>
          </w:p>
        </w:tc>
        <w:tc>
          <w:tcPr>
            <w:tcW w:w="584" w:type="dxa"/>
            <w:noWrap w:val="0"/>
            <w:vAlign w:val="center"/>
          </w:tcPr>
          <w:p>
            <w:pPr>
              <w:jc w:val="center"/>
              <w:rPr>
                <w:rFonts w:ascii="宋体" w:hAnsi="宋体" w:cs="宋体"/>
                <w:sz w:val="24"/>
              </w:rPr>
            </w:pPr>
            <w:r>
              <w:t>1.5</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noWrap w:val="0"/>
            <w:vAlign w:val="top"/>
          </w:tcPr>
          <w:p>
            <w:pPr>
              <w:adjustRightInd w:val="0"/>
              <w:snapToGrid w:val="0"/>
              <w:spacing w:line="400" w:lineRule="exact"/>
              <w:rPr>
                <w:rFonts w:ascii="Arial" w:hAnsi="Arial" w:cs="Arial"/>
                <w:b/>
                <w:bCs/>
                <w:szCs w:val="21"/>
              </w:rPr>
            </w:pPr>
            <w:r>
              <w:rPr>
                <w:rFonts w:hint="eastAsia" w:ascii="Arial" w:hAnsi="Arial" w:cs="Arial"/>
                <w:b/>
                <w:bCs/>
                <w:szCs w:val="21"/>
              </w:rPr>
              <w:t>分数小计</w:t>
            </w:r>
          </w:p>
        </w:tc>
        <w:tc>
          <w:tcPr>
            <w:tcW w:w="567" w:type="dxa"/>
            <w:noWrap w:val="0"/>
            <w:vAlign w:val="center"/>
          </w:tcPr>
          <w:p>
            <w:pPr>
              <w:jc w:val="center"/>
            </w:pPr>
          </w:p>
        </w:tc>
        <w:tc>
          <w:tcPr>
            <w:tcW w:w="3514" w:type="dxa"/>
            <w:noWrap w:val="0"/>
            <w:vAlign w:val="bottom"/>
          </w:tcPr>
          <w:p/>
        </w:tc>
        <w:tc>
          <w:tcPr>
            <w:tcW w:w="700" w:type="dxa"/>
            <w:noWrap w:val="0"/>
            <w:vAlign w:val="center"/>
          </w:tcPr>
          <w:p>
            <w:pPr>
              <w:jc w:val="center"/>
              <w:rPr>
                <w:rFonts w:ascii="宋体" w:hAnsi="宋体" w:cs="宋体"/>
                <w:sz w:val="24"/>
              </w:rPr>
            </w:pPr>
            <w:r>
              <w:t>100</w:t>
            </w:r>
          </w:p>
        </w:tc>
        <w:tc>
          <w:tcPr>
            <w:tcW w:w="564" w:type="dxa"/>
            <w:noWrap w:val="0"/>
            <w:vAlign w:val="center"/>
          </w:tcPr>
          <w:p>
            <w:pPr>
              <w:jc w:val="center"/>
              <w:rPr>
                <w:rFonts w:ascii="宋体" w:hAnsi="宋体" w:cs="宋体"/>
                <w:sz w:val="24"/>
              </w:rPr>
            </w:pPr>
            <w:r>
              <w:t>100</w:t>
            </w:r>
          </w:p>
        </w:tc>
        <w:tc>
          <w:tcPr>
            <w:tcW w:w="563" w:type="dxa"/>
            <w:noWrap w:val="0"/>
            <w:vAlign w:val="center"/>
          </w:tcPr>
          <w:p>
            <w:pPr>
              <w:jc w:val="center"/>
              <w:rPr>
                <w:rFonts w:ascii="宋体" w:hAnsi="宋体" w:cs="宋体"/>
                <w:sz w:val="24"/>
              </w:rPr>
            </w:pPr>
            <w:r>
              <w:t>90</w:t>
            </w:r>
          </w:p>
        </w:tc>
        <w:tc>
          <w:tcPr>
            <w:tcW w:w="584" w:type="dxa"/>
            <w:noWrap w:val="0"/>
            <w:vAlign w:val="center"/>
          </w:tcPr>
          <w:p>
            <w:pPr>
              <w:jc w:val="center"/>
              <w:rPr>
                <w:rFonts w:ascii="宋体" w:hAnsi="宋体" w:cs="宋体"/>
                <w:sz w:val="24"/>
              </w:rPr>
            </w:pPr>
            <w:r>
              <w:t>75.9</w:t>
            </w:r>
          </w:p>
        </w:tc>
        <w:tc>
          <w:tcPr>
            <w:tcW w:w="584" w:type="dxa"/>
            <w:noWrap w:val="0"/>
            <w:vAlign w:val="center"/>
          </w:tcPr>
          <w:p>
            <w:pPr>
              <w:jc w:val="center"/>
              <w:rPr>
                <w:rFonts w:ascii="宋体" w:hAnsi="宋体" w:cs="宋体"/>
                <w:sz w:val="24"/>
              </w:rPr>
            </w:pPr>
            <w:r>
              <w:t>51.5</w:t>
            </w:r>
          </w:p>
        </w:tc>
        <w:tc>
          <w:tcPr>
            <w:tcW w:w="584" w:type="dxa"/>
            <w:noWrap w:val="0"/>
            <w:vAlign w:val="center"/>
          </w:tcPr>
          <w:p>
            <w:pPr>
              <w:jc w:val="center"/>
              <w:rPr>
                <w:rFonts w:ascii="宋体" w:hAnsi="宋体" w:cs="宋体"/>
                <w:sz w:val="24"/>
              </w:rPr>
            </w:pPr>
            <w:r>
              <w:t>28.9</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restart"/>
            <w:noWrap w:val="0"/>
            <w:vAlign w:val="top"/>
          </w:tcPr>
          <w:p>
            <w:pPr>
              <w:adjustRightInd w:val="0"/>
              <w:snapToGrid w:val="0"/>
              <w:spacing w:line="400" w:lineRule="exact"/>
              <w:rPr>
                <w:rFonts w:ascii="Arial" w:hAnsi="Arial" w:cs="Arial"/>
                <w:b/>
                <w:bCs/>
                <w:szCs w:val="21"/>
              </w:rPr>
            </w:pPr>
            <w:r>
              <w:rPr>
                <w:rFonts w:hint="eastAsia" w:ascii="Arial" w:hAnsi="Arial" w:cs="Arial"/>
                <w:b/>
                <w:bCs/>
                <w:szCs w:val="21"/>
              </w:rPr>
              <w:t>日常检查扣分项目</w:t>
            </w:r>
          </w:p>
        </w:tc>
        <w:tc>
          <w:tcPr>
            <w:tcW w:w="567" w:type="dxa"/>
            <w:noWrap w:val="0"/>
            <w:vAlign w:val="center"/>
          </w:tcPr>
          <w:p>
            <w:pPr>
              <w:jc w:val="center"/>
            </w:pPr>
          </w:p>
        </w:tc>
        <w:tc>
          <w:tcPr>
            <w:tcW w:w="3514" w:type="dxa"/>
            <w:noWrap w:val="0"/>
            <w:vAlign w:val="bottom"/>
          </w:tcPr>
          <w:p>
            <w:pPr>
              <w:rPr>
                <w:rFonts w:ascii="宋体" w:hAnsi="宋体" w:cs="宋体"/>
                <w:sz w:val="24"/>
              </w:rPr>
            </w:pPr>
            <w:r>
              <w:t>1</w:t>
            </w:r>
            <w:r>
              <w:rPr>
                <w:rFonts w:hint="eastAsia"/>
              </w:rPr>
              <w:t>、由于工作不到位被服务对象投诉的。</w:t>
            </w:r>
          </w:p>
        </w:tc>
        <w:tc>
          <w:tcPr>
            <w:tcW w:w="3579" w:type="dxa"/>
            <w:gridSpan w:val="6"/>
            <w:noWrap w:val="0"/>
            <w:vAlign w:val="center"/>
          </w:tcPr>
          <w:p>
            <w:pPr>
              <w:jc w:val="center"/>
              <w:rPr>
                <w:rFonts w:ascii="宋体" w:hAnsi="宋体" w:cs="宋体"/>
                <w:sz w:val="24"/>
              </w:rPr>
            </w:pPr>
            <w:r>
              <w:rPr>
                <w:rFonts w:hint="eastAsia"/>
              </w:rPr>
              <w:t>投诉一次扣</w:t>
            </w:r>
            <w:r>
              <w:t>1</w:t>
            </w:r>
            <w:r>
              <w:rPr>
                <w:rFonts w:hint="eastAsia"/>
              </w:rPr>
              <w:t>分，限扣</w:t>
            </w:r>
            <w:r>
              <w:t>3</w:t>
            </w:r>
            <w:r>
              <w:rPr>
                <w:rFonts w:hint="eastAsia"/>
              </w:rPr>
              <w:t>分</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pPr>
          </w:p>
        </w:tc>
        <w:tc>
          <w:tcPr>
            <w:tcW w:w="3514" w:type="dxa"/>
            <w:noWrap w:val="0"/>
            <w:vAlign w:val="bottom"/>
          </w:tcPr>
          <w:p>
            <w:pPr>
              <w:rPr>
                <w:rFonts w:ascii="宋体" w:hAnsi="宋体" w:cs="宋体"/>
                <w:sz w:val="24"/>
              </w:rPr>
            </w:pPr>
            <w:r>
              <w:t>2</w:t>
            </w:r>
            <w:r>
              <w:rPr>
                <w:rFonts w:hint="eastAsia"/>
              </w:rPr>
              <w:t>、对监管部门（人员）提出的整改意见落实不到位的。</w:t>
            </w:r>
          </w:p>
        </w:tc>
        <w:tc>
          <w:tcPr>
            <w:tcW w:w="3579" w:type="dxa"/>
            <w:gridSpan w:val="6"/>
            <w:noWrap w:val="0"/>
            <w:vAlign w:val="center"/>
          </w:tcPr>
          <w:p>
            <w:pPr>
              <w:jc w:val="center"/>
              <w:rPr>
                <w:rFonts w:ascii="宋体" w:hAnsi="宋体" w:cs="宋体"/>
                <w:sz w:val="24"/>
              </w:rPr>
            </w:pPr>
            <w:r>
              <w:rPr>
                <w:rFonts w:hint="eastAsia"/>
              </w:rPr>
              <w:t>出现一次扣</w:t>
            </w:r>
            <w:r>
              <w:t>1</w:t>
            </w:r>
            <w:r>
              <w:rPr>
                <w:rFonts w:hint="eastAsia"/>
              </w:rPr>
              <w:t>分，限扣</w:t>
            </w:r>
            <w:r>
              <w:t>5</w:t>
            </w:r>
            <w:r>
              <w:rPr>
                <w:rFonts w:hint="eastAsia"/>
              </w:rPr>
              <w:t>分</w:t>
            </w:r>
          </w:p>
        </w:tc>
        <w:tc>
          <w:tcPr>
            <w:tcW w:w="561" w:type="dxa"/>
            <w:noWrap w:val="0"/>
            <w:vAlign w:val="top"/>
          </w:tcPr>
          <w:p>
            <w:pPr>
              <w:adjustRightInd w:val="0"/>
              <w:snapToGrid w:val="0"/>
              <w:spacing w:line="400" w:lineRule="exact"/>
              <w:rPr>
                <w:rFonts w:ascii="Arial" w:hAnsi="Arial" w:cs="Arial"/>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pPr>
              <w:adjustRightInd w:val="0"/>
              <w:snapToGrid w:val="0"/>
              <w:spacing w:line="400" w:lineRule="exact"/>
              <w:rPr>
                <w:rFonts w:ascii="Arial" w:hAnsi="Arial" w:cs="Arial"/>
                <w:b/>
                <w:bCs/>
                <w:szCs w:val="21"/>
              </w:rPr>
            </w:pPr>
          </w:p>
        </w:tc>
        <w:tc>
          <w:tcPr>
            <w:tcW w:w="567" w:type="dxa"/>
            <w:noWrap w:val="0"/>
            <w:vAlign w:val="center"/>
          </w:tcPr>
          <w:p>
            <w:pPr>
              <w:jc w:val="center"/>
            </w:pPr>
          </w:p>
        </w:tc>
        <w:tc>
          <w:tcPr>
            <w:tcW w:w="3514" w:type="dxa"/>
            <w:noWrap w:val="0"/>
            <w:vAlign w:val="bottom"/>
          </w:tcPr>
          <w:p>
            <w:pPr>
              <w:rPr>
                <w:rFonts w:ascii="宋体" w:hAnsi="宋体" w:cs="宋体"/>
                <w:sz w:val="24"/>
              </w:rPr>
            </w:pPr>
            <w:r>
              <w:t>3</w:t>
            </w:r>
            <w:r>
              <w:rPr>
                <w:rFonts w:hint="eastAsia"/>
              </w:rPr>
              <w:t>、由于工作失误或管理不善，造成不良影响或损失的。造成集体食物中毒事件应承担相关法律及刑事责任。</w:t>
            </w:r>
          </w:p>
        </w:tc>
        <w:tc>
          <w:tcPr>
            <w:tcW w:w="3579" w:type="dxa"/>
            <w:gridSpan w:val="6"/>
            <w:noWrap w:val="0"/>
            <w:vAlign w:val="center"/>
          </w:tcPr>
          <w:p>
            <w:pPr>
              <w:jc w:val="center"/>
              <w:rPr>
                <w:rFonts w:ascii="宋体" w:hAnsi="宋体" w:cs="宋体"/>
                <w:sz w:val="24"/>
              </w:rPr>
            </w:pPr>
            <w:r>
              <w:rPr>
                <w:rFonts w:hint="eastAsia"/>
              </w:rPr>
              <w:t>视情况严重性扣</w:t>
            </w:r>
            <w:r>
              <w:t>1-10</w:t>
            </w:r>
            <w:r>
              <w:rPr>
                <w:rFonts w:hint="eastAsia"/>
              </w:rPr>
              <w:t>分或清0</w:t>
            </w:r>
          </w:p>
        </w:tc>
        <w:tc>
          <w:tcPr>
            <w:tcW w:w="561" w:type="dxa"/>
            <w:noWrap w:val="0"/>
            <w:vAlign w:val="top"/>
          </w:tcPr>
          <w:p>
            <w:pPr>
              <w:adjustRightInd w:val="0"/>
              <w:snapToGrid w:val="0"/>
              <w:spacing w:line="400" w:lineRule="exact"/>
              <w:rPr>
                <w:rFonts w:ascii="Arial" w:hAnsi="Arial" w:cs="Arial"/>
                <w:b/>
                <w:bCs/>
                <w:szCs w:val="21"/>
              </w:rPr>
            </w:pPr>
          </w:p>
        </w:tc>
      </w:tr>
    </w:tbl>
    <w:p>
      <w:pPr>
        <w:widowControl/>
        <w:jc w:val="left"/>
        <w:rPr>
          <w:rFonts w:ascii="宋体" w:hAnsi="宋体"/>
          <w:b/>
          <w:bCs/>
          <w:sz w:val="28"/>
        </w:rPr>
      </w:pPr>
    </w:p>
    <w:p>
      <w:pPr>
        <w:widowControl/>
        <w:jc w:val="left"/>
        <w:rPr>
          <w:rFonts w:ascii="宋体"/>
          <w:b/>
          <w:bCs/>
          <w:sz w:val="24"/>
        </w:rPr>
      </w:pPr>
      <w:r>
        <w:rPr>
          <w:rFonts w:hint="eastAsia" w:ascii="宋体" w:hAnsi="宋体"/>
          <w:b/>
          <w:bCs/>
          <w:sz w:val="24"/>
        </w:rPr>
        <w:t>三、月度绩效考核奖罚标准</w:t>
      </w:r>
    </w:p>
    <w:p>
      <w:pPr>
        <w:widowControl/>
        <w:ind w:firstLine="480" w:firstLineChars="200"/>
        <w:jc w:val="left"/>
        <w:rPr>
          <w:rFonts w:ascii="宋体"/>
          <w:b/>
          <w:bCs/>
          <w:sz w:val="24"/>
        </w:rPr>
      </w:pPr>
      <w:r>
        <w:rPr>
          <w:rFonts w:hint="eastAsia"/>
          <w:sz w:val="24"/>
        </w:rPr>
        <w:t>招标人组织各相关科室参与卫生保洁、配送、勤杂、维修工、厨房等各岗位的打分，汇总</w:t>
      </w:r>
      <w:r>
        <w:rPr>
          <w:rFonts w:hint="eastAsia" w:ascii="宋体" w:hAnsi="宋体"/>
          <w:bCs/>
          <w:sz w:val="24"/>
        </w:rPr>
        <w:t>平均值作为中标人月度绩效考核得分，中标人</w:t>
      </w:r>
      <w:r>
        <w:rPr>
          <w:rFonts w:hint="eastAsia"/>
          <w:sz w:val="24"/>
        </w:rPr>
        <w:t>年度绩效考核得分为各月考核得分的平均值。</w:t>
      </w:r>
    </w:p>
    <w:p>
      <w:pPr>
        <w:widowControl/>
        <w:spacing w:before="100" w:beforeAutospacing="1"/>
        <w:jc w:val="left"/>
        <w:rPr>
          <w:rFonts w:ascii="宋体"/>
          <w:b/>
          <w:bCs/>
          <w:sz w:val="24"/>
        </w:rPr>
      </w:pPr>
      <w:r>
        <w:rPr>
          <w:rFonts w:hint="eastAsia" w:ascii="宋体" w:hAnsi="宋体"/>
          <w:b/>
          <w:bCs/>
          <w:sz w:val="24"/>
        </w:rPr>
        <w:t>处罚方法</w:t>
      </w:r>
    </w:p>
    <w:tbl>
      <w:tblPr>
        <w:tblStyle w:val="70"/>
        <w:tblW w:w="9188"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1"/>
        <w:gridCol w:w="4735"/>
        <w:gridCol w:w="30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11" w:type="dxa"/>
            <w:tcBorders>
              <w:top w:val="single" w:color="auto" w:sz="4" w:space="0"/>
              <w:bottom w:val="single" w:color="auto" w:sz="4" w:space="0"/>
              <w:right w:val="single" w:color="auto" w:sz="4" w:space="0"/>
            </w:tcBorders>
            <w:noWrap w:val="0"/>
            <w:vAlign w:val="center"/>
          </w:tcPr>
          <w:p>
            <w:pPr>
              <w:widowControl/>
              <w:jc w:val="center"/>
              <w:rPr>
                <w:rFonts w:ascii="宋体" w:hAnsi="宋体"/>
                <w:b/>
                <w:bCs/>
                <w:sz w:val="24"/>
              </w:rPr>
            </w:pPr>
            <w:r>
              <w:rPr>
                <w:rFonts w:hint="eastAsia" w:ascii="宋体" w:hAnsi="宋体"/>
                <w:b/>
                <w:bCs/>
                <w:sz w:val="24"/>
              </w:rPr>
              <w:t>序号</w:t>
            </w:r>
          </w:p>
        </w:tc>
        <w:tc>
          <w:tcPr>
            <w:tcW w:w="4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bCs/>
                <w:sz w:val="24"/>
              </w:rPr>
            </w:pPr>
            <w:r>
              <w:rPr>
                <w:rFonts w:hint="eastAsia" w:ascii="宋体" w:hAnsi="宋体"/>
                <w:b/>
                <w:bCs/>
                <w:sz w:val="24"/>
              </w:rPr>
              <w:t>月度评分</w:t>
            </w:r>
          </w:p>
        </w:tc>
        <w:tc>
          <w:tcPr>
            <w:tcW w:w="3042" w:type="dxa"/>
            <w:tcBorders>
              <w:top w:val="single" w:color="auto" w:sz="4" w:space="0"/>
              <w:left w:val="single" w:color="auto" w:sz="4" w:space="0"/>
              <w:bottom w:val="single" w:color="auto" w:sz="4" w:space="0"/>
            </w:tcBorders>
            <w:noWrap w:val="0"/>
            <w:vAlign w:val="center"/>
          </w:tcPr>
          <w:p>
            <w:pPr>
              <w:widowControl/>
              <w:jc w:val="center"/>
              <w:rPr>
                <w:rFonts w:ascii="宋体" w:hAnsi="宋体"/>
                <w:b/>
                <w:bCs/>
                <w:sz w:val="24"/>
              </w:rPr>
            </w:pPr>
            <w:r>
              <w:rPr>
                <w:rFonts w:hint="eastAsia" w:ascii="宋体" w:hAnsi="宋体"/>
                <w:b/>
                <w:bCs/>
                <w:sz w:val="24"/>
              </w:rPr>
              <w:t>扣款标准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11" w:type="dxa"/>
            <w:tcBorders>
              <w:top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ascii="宋体" w:hAnsi="宋体"/>
                <w:sz w:val="24"/>
              </w:rPr>
              <w:t xml:space="preserve">1 </w:t>
            </w:r>
          </w:p>
        </w:tc>
        <w:tc>
          <w:tcPr>
            <w:tcW w:w="4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ascii="宋体" w:hAnsi="宋体"/>
                <w:sz w:val="24"/>
              </w:rPr>
              <w:t>89</w:t>
            </w:r>
            <w:r>
              <w:rPr>
                <w:rFonts w:hint="eastAsia" w:ascii="宋体" w:hAnsi="宋体"/>
                <w:sz w:val="24"/>
              </w:rPr>
              <w:t>分（含）以上</w:t>
            </w:r>
          </w:p>
        </w:tc>
        <w:tc>
          <w:tcPr>
            <w:tcW w:w="3042" w:type="dxa"/>
            <w:tcBorders>
              <w:top w:val="single" w:color="auto" w:sz="4" w:space="0"/>
              <w:left w:val="single" w:color="auto" w:sz="4" w:space="0"/>
              <w:bottom w:val="single" w:color="auto" w:sz="4" w:space="0"/>
            </w:tcBorders>
            <w:noWrap w:val="0"/>
            <w:vAlign w:val="center"/>
          </w:tcPr>
          <w:p>
            <w:pPr>
              <w:widowControl/>
              <w:jc w:val="left"/>
              <w:rPr>
                <w:rFonts w:ascii="宋体" w:hAnsi="宋体"/>
                <w:sz w:val="24"/>
              </w:rPr>
            </w:pPr>
            <w:r>
              <w:rPr>
                <w:rFonts w:hint="eastAsia" w:ascii="宋体" w:hAnsi="宋体"/>
                <w:sz w:val="24"/>
              </w:rPr>
              <w:t>支付全部月度合同金额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11" w:type="dxa"/>
            <w:tcBorders>
              <w:top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ascii="宋体" w:hAnsi="宋体"/>
                <w:sz w:val="24"/>
              </w:rPr>
              <w:t xml:space="preserve">2 </w:t>
            </w:r>
          </w:p>
        </w:tc>
        <w:tc>
          <w:tcPr>
            <w:tcW w:w="4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ascii="宋体" w:hAnsi="宋体"/>
                <w:sz w:val="24"/>
              </w:rPr>
              <w:t>89</w:t>
            </w:r>
            <w:r>
              <w:rPr>
                <w:rFonts w:hint="eastAsia" w:ascii="宋体" w:hAnsi="宋体"/>
                <w:sz w:val="24"/>
              </w:rPr>
              <w:t>分以下，</w:t>
            </w:r>
            <w:r>
              <w:rPr>
                <w:rFonts w:ascii="宋体" w:hAnsi="宋体"/>
                <w:sz w:val="24"/>
              </w:rPr>
              <w:t>84</w:t>
            </w:r>
            <w:r>
              <w:rPr>
                <w:rFonts w:hint="eastAsia" w:ascii="宋体" w:hAnsi="宋体"/>
                <w:sz w:val="24"/>
              </w:rPr>
              <w:t>分（含）以上</w:t>
            </w:r>
          </w:p>
        </w:tc>
        <w:tc>
          <w:tcPr>
            <w:tcW w:w="3042" w:type="dxa"/>
            <w:tcBorders>
              <w:top w:val="single" w:color="auto" w:sz="4" w:space="0"/>
              <w:left w:val="single" w:color="auto" w:sz="4" w:space="0"/>
              <w:bottom w:val="single" w:color="auto" w:sz="4" w:space="0"/>
            </w:tcBorders>
            <w:noWrap w:val="0"/>
            <w:vAlign w:val="center"/>
          </w:tcPr>
          <w:p>
            <w:pPr>
              <w:widowControl/>
              <w:jc w:val="left"/>
              <w:rPr>
                <w:rFonts w:ascii="宋体" w:hAnsi="宋体"/>
                <w:sz w:val="24"/>
              </w:rPr>
            </w:pPr>
            <w:r>
              <w:rPr>
                <w:rFonts w:hint="eastAsia" w:ascii="宋体" w:hAnsi="宋体"/>
                <w:sz w:val="24"/>
              </w:rPr>
              <w:t>扣款为月度合同金额</w:t>
            </w:r>
            <w:r>
              <w:rPr>
                <w:rFonts w:ascii="宋体" w:hAnsi="宋体"/>
                <w:sz w:val="24"/>
              </w:rPr>
              <w:t>2.5%</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11" w:type="dxa"/>
            <w:tcBorders>
              <w:top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ascii="宋体" w:hAnsi="宋体"/>
                <w:sz w:val="24"/>
              </w:rPr>
              <w:t xml:space="preserve">3 </w:t>
            </w:r>
          </w:p>
        </w:tc>
        <w:tc>
          <w:tcPr>
            <w:tcW w:w="4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ascii="宋体" w:hAnsi="宋体"/>
                <w:sz w:val="24"/>
              </w:rPr>
              <w:t>84</w:t>
            </w:r>
            <w:r>
              <w:rPr>
                <w:rFonts w:hint="eastAsia" w:ascii="宋体" w:hAnsi="宋体"/>
                <w:sz w:val="24"/>
              </w:rPr>
              <w:t>分以下，</w:t>
            </w:r>
            <w:r>
              <w:rPr>
                <w:rFonts w:ascii="宋体" w:hAnsi="宋体"/>
                <w:sz w:val="24"/>
              </w:rPr>
              <w:t>79</w:t>
            </w:r>
            <w:r>
              <w:rPr>
                <w:rFonts w:hint="eastAsia" w:ascii="宋体" w:hAnsi="宋体"/>
                <w:sz w:val="24"/>
              </w:rPr>
              <w:t>分（含）以上</w:t>
            </w:r>
          </w:p>
        </w:tc>
        <w:tc>
          <w:tcPr>
            <w:tcW w:w="3042" w:type="dxa"/>
            <w:tcBorders>
              <w:top w:val="single" w:color="auto" w:sz="4" w:space="0"/>
              <w:left w:val="single" w:color="auto" w:sz="4" w:space="0"/>
              <w:bottom w:val="single" w:color="auto" w:sz="4" w:space="0"/>
            </w:tcBorders>
            <w:noWrap w:val="0"/>
            <w:vAlign w:val="center"/>
          </w:tcPr>
          <w:p>
            <w:pPr>
              <w:widowControl/>
              <w:jc w:val="left"/>
              <w:rPr>
                <w:rFonts w:ascii="宋体" w:hAnsi="宋体"/>
                <w:sz w:val="24"/>
              </w:rPr>
            </w:pPr>
            <w:r>
              <w:rPr>
                <w:rFonts w:hint="eastAsia" w:ascii="宋体" w:hAnsi="宋体"/>
                <w:sz w:val="24"/>
              </w:rPr>
              <w:t>扣款为月度合同金额</w:t>
            </w:r>
            <w:r>
              <w:rPr>
                <w:rFonts w:ascii="宋体" w:hAnsi="宋体"/>
                <w:sz w:val="24"/>
              </w:rPr>
              <w:t>5%</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11" w:type="dxa"/>
            <w:tcBorders>
              <w:top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ascii="宋体" w:hAnsi="宋体"/>
                <w:sz w:val="24"/>
              </w:rPr>
              <w:t xml:space="preserve">4 </w:t>
            </w:r>
          </w:p>
        </w:tc>
        <w:tc>
          <w:tcPr>
            <w:tcW w:w="4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ascii="宋体" w:hAnsi="宋体"/>
                <w:sz w:val="24"/>
              </w:rPr>
              <w:t>79</w:t>
            </w:r>
            <w:r>
              <w:rPr>
                <w:rFonts w:hint="eastAsia" w:ascii="宋体" w:hAnsi="宋体"/>
                <w:sz w:val="24"/>
              </w:rPr>
              <w:t>分以下</w:t>
            </w:r>
          </w:p>
        </w:tc>
        <w:tc>
          <w:tcPr>
            <w:tcW w:w="3042" w:type="dxa"/>
            <w:tcBorders>
              <w:top w:val="single" w:color="auto" w:sz="4" w:space="0"/>
              <w:left w:val="single" w:color="auto" w:sz="4" w:space="0"/>
              <w:bottom w:val="single" w:color="auto" w:sz="4" w:space="0"/>
            </w:tcBorders>
            <w:noWrap w:val="0"/>
            <w:vAlign w:val="center"/>
          </w:tcPr>
          <w:p>
            <w:pPr>
              <w:widowControl/>
              <w:jc w:val="left"/>
              <w:rPr>
                <w:rFonts w:ascii="宋体" w:hAnsi="宋体"/>
                <w:sz w:val="24"/>
              </w:rPr>
            </w:pPr>
            <w:r>
              <w:rPr>
                <w:rFonts w:hint="eastAsia" w:ascii="宋体" w:hAnsi="宋体"/>
                <w:sz w:val="24"/>
              </w:rPr>
              <w:t>扣款为月度合同金额</w:t>
            </w:r>
            <w:r>
              <w:rPr>
                <w:rFonts w:ascii="宋体" w:hAnsi="宋体"/>
                <w:sz w:val="24"/>
              </w:rPr>
              <w:t>10%</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11" w:type="dxa"/>
            <w:tcBorders>
              <w:top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ascii="宋体" w:hAnsi="宋体"/>
                <w:sz w:val="24"/>
              </w:rPr>
              <w:t>5</w:t>
            </w:r>
          </w:p>
        </w:tc>
        <w:tc>
          <w:tcPr>
            <w:tcW w:w="4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hint="eastAsia" w:ascii="宋体" w:hAnsi="宋体"/>
                <w:sz w:val="24"/>
              </w:rPr>
              <w:t>服务期限内有</w:t>
            </w:r>
            <w:r>
              <w:rPr>
                <w:rFonts w:ascii="宋体" w:hAnsi="宋体"/>
                <w:sz w:val="24"/>
              </w:rPr>
              <w:t>5</w:t>
            </w:r>
            <w:r>
              <w:rPr>
                <w:rFonts w:hint="eastAsia" w:ascii="宋体" w:hAnsi="宋体"/>
                <w:sz w:val="24"/>
              </w:rPr>
              <w:t>次低于</w:t>
            </w:r>
            <w:r>
              <w:rPr>
                <w:rFonts w:ascii="宋体" w:hAnsi="宋体"/>
                <w:sz w:val="24"/>
              </w:rPr>
              <w:t>89</w:t>
            </w:r>
            <w:r>
              <w:rPr>
                <w:rFonts w:hint="eastAsia" w:ascii="宋体" w:hAnsi="宋体"/>
                <w:sz w:val="24"/>
              </w:rPr>
              <w:t>分</w:t>
            </w:r>
          </w:p>
        </w:tc>
        <w:tc>
          <w:tcPr>
            <w:tcW w:w="3042" w:type="dxa"/>
            <w:tcBorders>
              <w:top w:val="single" w:color="auto" w:sz="4" w:space="0"/>
              <w:left w:val="single" w:color="auto" w:sz="4" w:space="0"/>
              <w:bottom w:val="single" w:color="auto" w:sz="4" w:space="0"/>
            </w:tcBorders>
            <w:noWrap w:val="0"/>
            <w:vAlign w:val="center"/>
          </w:tcPr>
          <w:p>
            <w:pPr>
              <w:widowControl/>
              <w:jc w:val="left"/>
              <w:rPr>
                <w:rFonts w:ascii="宋体" w:hAnsi="宋体"/>
                <w:sz w:val="24"/>
              </w:rPr>
            </w:pPr>
            <w:r>
              <w:rPr>
                <w:rFonts w:hint="eastAsia" w:ascii="宋体" w:hAnsi="宋体"/>
                <w:sz w:val="24"/>
              </w:rPr>
              <w:t>没收全部履约保证金</w:t>
            </w:r>
            <w:r>
              <w:rPr>
                <w:rFonts w:ascii="宋体" w:hAnsi="宋体"/>
                <w:sz w:val="24"/>
              </w:rPr>
              <w:t>,</w:t>
            </w:r>
            <w:r>
              <w:rPr>
                <w:rFonts w:hint="eastAsia" w:ascii="宋体" w:hAnsi="宋体"/>
                <w:sz w:val="24"/>
              </w:rPr>
              <w:t>并终止合同；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11" w:type="dxa"/>
            <w:tcBorders>
              <w:top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ascii="宋体" w:hAnsi="宋体"/>
                <w:sz w:val="24"/>
              </w:rPr>
              <w:t>6</w:t>
            </w:r>
          </w:p>
        </w:tc>
        <w:tc>
          <w:tcPr>
            <w:tcW w:w="4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hint="eastAsia" w:ascii="宋体" w:hAnsi="宋体"/>
                <w:sz w:val="24"/>
              </w:rPr>
              <w:t>服务期限内有</w:t>
            </w:r>
            <w:r>
              <w:rPr>
                <w:rFonts w:ascii="宋体" w:hAnsi="宋体"/>
                <w:sz w:val="24"/>
              </w:rPr>
              <w:t>2</w:t>
            </w:r>
            <w:r>
              <w:rPr>
                <w:rFonts w:hint="eastAsia" w:ascii="宋体" w:hAnsi="宋体"/>
                <w:sz w:val="24"/>
              </w:rPr>
              <w:t>次低于</w:t>
            </w:r>
            <w:r>
              <w:rPr>
                <w:rFonts w:ascii="宋体" w:hAnsi="宋体"/>
                <w:sz w:val="24"/>
              </w:rPr>
              <w:t>79</w:t>
            </w:r>
            <w:r>
              <w:rPr>
                <w:rFonts w:hint="eastAsia" w:ascii="宋体" w:hAnsi="宋体"/>
                <w:sz w:val="24"/>
              </w:rPr>
              <w:t>分</w:t>
            </w:r>
          </w:p>
        </w:tc>
        <w:tc>
          <w:tcPr>
            <w:tcW w:w="3042" w:type="dxa"/>
            <w:tcBorders>
              <w:top w:val="single" w:color="auto" w:sz="4" w:space="0"/>
              <w:left w:val="single" w:color="auto" w:sz="4" w:space="0"/>
              <w:bottom w:val="single" w:color="auto" w:sz="4" w:space="0"/>
            </w:tcBorders>
            <w:noWrap w:val="0"/>
            <w:vAlign w:val="center"/>
          </w:tcPr>
          <w:p>
            <w:pPr>
              <w:widowControl/>
              <w:jc w:val="left"/>
              <w:rPr>
                <w:rFonts w:ascii="宋体" w:hAnsi="宋体"/>
                <w:sz w:val="24"/>
              </w:rPr>
            </w:pPr>
            <w:r>
              <w:rPr>
                <w:rFonts w:hint="eastAsia" w:ascii="宋体" w:hAnsi="宋体"/>
                <w:sz w:val="24"/>
              </w:rPr>
              <w:t>没收全部履约保证金</w:t>
            </w:r>
            <w:r>
              <w:rPr>
                <w:rFonts w:ascii="宋体" w:hAnsi="宋体"/>
                <w:sz w:val="24"/>
              </w:rPr>
              <w:t>,</w:t>
            </w:r>
            <w:r>
              <w:rPr>
                <w:rFonts w:hint="eastAsia" w:ascii="宋体" w:hAnsi="宋体"/>
                <w:sz w:val="24"/>
              </w:rPr>
              <w:t>并终止合同；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146" w:type="dxa"/>
            <w:gridSpan w:val="2"/>
            <w:tcBorders>
              <w:top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hint="eastAsia" w:ascii="宋体" w:hAnsi="宋体"/>
                <w:sz w:val="24"/>
              </w:rPr>
              <w:t>备注</w:t>
            </w:r>
          </w:p>
        </w:tc>
        <w:tc>
          <w:tcPr>
            <w:tcW w:w="3042" w:type="dxa"/>
            <w:tcBorders>
              <w:top w:val="single" w:color="auto" w:sz="4" w:space="0"/>
              <w:left w:val="single" w:color="auto" w:sz="4" w:space="0"/>
              <w:bottom w:val="single" w:color="auto" w:sz="4" w:space="0"/>
            </w:tcBorders>
            <w:noWrap w:val="0"/>
            <w:vAlign w:val="center"/>
          </w:tcPr>
          <w:p>
            <w:pPr>
              <w:widowControl/>
              <w:jc w:val="left"/>
              <w:rPr>
                <w:rFonts w:ascii="宋体" w:hAnsi="宋体"/>
                <w:sz w:val="24"/>
              </w:rPr>
            </w:pPr>
            <w:r>
              <w:rPr>
                <w:rFonts w:hint="eastAsia" w:ascii="宋体" w:hAnsi="宋体"/>
                <w:sz w:val="24"/>
              </w:rPr>
              <w:t>以上评分标准按照百分制进行，每月初恢复百分制。</w:t>
            </w:r>
          </w:p>
        </w:tc>
      </w:tr>
    </w:tbl>
    <w:p>
      <w:pPr>
        <w:spacing w:before="120" w:beforeLines="50" w:after="120" w:afterLines="50"/>
        <w:rPr>
          <w:rFonts w:hint="eastAsia"/>
          <w:sz w:val="32"/>
          <w:szCs w:val="32"/>
        </w:rPr>
      </w:pPr>
    </w:p>
    <w:p>
      <w:pPr>
        <w:spacing w:before="120" w:beforeLines="50" w:after="120" w:afterLines="50"/>
        <w:jc w:val="center"/>
        <w:rPr>
          <w:sz w:val="30"/>
          <w:szCs w:val="30"/>
        </w:rPr>
        <w:sectPr>
          <w:pgSz w:w="11906" w:h="16838"/>
          <w:pgMar w:top="1588" w:right="1588" w:bottom="1588" w:left="1588" w:header="851" w:footer="992" w:gutter="0"/>
          <w:cols w:space="720" w:num="1"/>
          <w:docGrid w:linePitch="602" w:charSpace="-1675"/>
        </w:sectPr>
      </w:pPr>
    </w:p>
    <w:p>
      <w:pPr>
        <w:spacing w:before="120" w:beforeLines="50" w:after="120" w:afterLines="50"/>
        <w:jc w:val="center"/>
        <w:outlineLvl w:val="0"/>
        <w:rPr>
          <w:bCs/>
          <w:szCs w:val="21"/>
        </w:rPr>
      </w:pPr>
      <w:bookmarkStart w:id="39" w:name="_Toc18854422"/>
      <w:r>
        <w:rPr>
          <w:sz w:val="30"/>
          <w:szCs w:val="30"/>
        </w:rPr>
        <w:t xml:space="preserve">第五章  </w:t>
      </w:r>
      <w:r>
        <w:rPr>
          <w:bCs/>
          <w:sz w:val="30"/>
          <w:szCs w:val="30"/>
        </w:rPr>
        <w:t>合同主要条款</w:t>
      </w:r>
      <w:bookmarkEnd w:id="39"/>
    </w:p>
    <w:p>
      <w:pPr>
        <w:tabs>
          <w:tab w:val="left" w:pos="567"/>
        </w:tabs>
        <w:spacing w:line="360" w:lineRule="auto"/>
        <w:jc w:val="center"/>
        <w:outlineLvl w:val="1"/>
        <w:rPr>
          <w:b/>
          <w:sz w:val="32"/>
          <w:szCs w:val="32"/>
        </w:rPr>
      </w:pPr>
      <w:bookmarkStart w:id="40" w:name="_Toc18854423"/>
      <w:bookmarkStart w:id="41" w:name="_Toc514139868"/>
      <w:r>
        <w:rPr>
          <w:b/>
          <w:sz w:val="32"/>
          <w:szCs w:val="32"/>
        </w:rPr>
        <w:t>保洁、</w:t>
      </w:r>
      <w:r>
        <w:rPr>
          <w:rFonts w:hint="eastAsia"/>
          <w:b/>
          <w:sz w:val="32"/>
          <w:szCs w:val="32"/>
        </w:rPr>
        <w:t>安保等物业</w:t>
      </w:r>
      <w:r>
        <w:rPr>
          <w:b/>
          <w:sz w:val="32"/>
          <w:szCs w:val="32"/>
        </w:rPr>
        <w:t>合同主要条款</w:t>
      </w:r>
      <w:bookmarkEnd w:id="40"/>
      <w:bookmarkEnd w:id="41"/>
    </w:p>
    <w:p>
      <w:pPr>
        <w:tabs>
          <w:tab w:val="left" w:pos="567"/>
        </w:tabs>
        <w:spacing w:line="360" w:lineRule="auto"/>
        <w:jc w:val="center"/>
        <w:rPr>
          <w:b/>
          <w:sz w:val="32"/>
          <w:szCs w:val="32"/>
        </w:rPr>
      </w:pPr>
      <w:r>
        <w:rPr>
          <w:b/>
          <w:sz w:val="32"/>
          <w:szCs w:val="32"/>
        </w:rPr>
        <w:t>（仅供签合同时参考）</w:t>
      </w:r>
    </w:p>
    <w:p>
      <w:pPr>
        <w:tabs>
          <w:tab w:val="left" w:pos="5954"/>
        </w:tabs>
        <w:snapToGrid w:val="0"/>
        <w:spacing w:before="120" w:beforeLines="50" w:after="120" w:afterLines="50" w:line="360" w:lineRule="auto"/>
        <w:ind w:firstLine="480" w:firstLineChars="200"/>
        <w:jc w:val="left"/>
        <w:rPr>
          <w:sz w:val="24"/>
        </w:rPr>
      </w:pPr>
      <w:r>
        <w:rPr>
          <w:sz w:val="24"/>
        </w:rPr>
        <w:t>项目编号：</w:t>
      </w:r>
    </w:p>
    <w:p>
      <w:pPr>
        <w:tabs>
          <w:tab w:val="left" w:pos="5812"/>
        </w:tabs>
        <w:spacing w:line="360" w:lineRule="auto"/>
        <w:ind w:firstLine="460" w:firstLineChars="192"/>
        <w:rPr>
          <w:sz w:val="24"/>
        </w:rPr>
      </w:pPr>
      <w:r>
        <w:rPr>
          <w:sz w:val="24"/>
        </w:rPr>
        <w:t xml:space="preserve">甲方（发包方）： </w:t>
      </w:r>
    </w:p>
    <w:p>
      <w:pPr>
        <w:spacing w:after="120" w:afterLines="50" w:line="360" w:lineRule="auto"/>
        <w:ind w:firstLine="460" w:firstLineChars="192"/>
        <w:rPr>
          <w:sz w:val="24"/>
        </w:rPr>
      </w:pPr>
      <w:r>
        <w:rPr>
          <w:sz w:val="24"/>
        </w:rPr>
        <w:t xml:space="preserve">乙方（承包方）： </w:t>
      </w:r>
    </w:p>
    <w:p>
      <w:pPr>
        <w:spacing w:line="360" w:lineRule="auto"/>
        <w:ind w:firstLine="480" w:firstLineChars="200"/>
        <w:rPr>
          <w:sz w:val="24"/>
        </w:rPr>
      </w:pPr>
      <w:r>
        <w:rPr>
          <w:sz w:val="24"/>
        </w:rPr>
        <w:t>甲乙双方根据《中华人民共和国合同法》等有关法律法规和本合同的招标文件、投标文件及承诺，经双方友好协商，同意签订本合同，共同遵守。</w:t>
      </w:r>
    </w:p>
    <w:p>
      <w:pPr>
        <w:numPr>
          <w:ilvl w:val="0"/>
          <w:numId w:val="217"/>
        </w:numPr>
        <w:snapToGrid w:val="0"/>
        <w:spacing w:before="120" w:beforeLines="50" w:line="360" w:lineRule="auto"/>
        <w:rPr>
          <w:b/>
          <w:bCs/>
          <w:sz w:val="24"/>
        </w:rPr>
      </w:pPr>
      <w:r>
        <w:rPr>
          <w:bCs/>
          <w:sz w:val="24"/>
        </w:rPr>
        <w:t>承包内容和承包期限</w:t>
      </w:r>
    </w:p>
    <w:p>
      <w:pPr>
        <w:numPr>
          <w:ilvl w:val="1"/>
          <w:numId w:val="217"/>
        </w:numPr>
        <w:snapToGrid w:val="0"/>
        <w:spacing w:line="360" w:lineRule="auto"/>
        <w:rPr>
          <w:b/>
          <w:bCs/>
          <w:sz w:val="24"/>
        </w:rPr>
      </w:pPr>
      <w:r>
        <w:rPr>
          <w:bCs/>
          <w:sz w:val="24"/>
        </w:rPr>
        <w:t>根据招标文件第</w:t>
      </w:r>
      <w:r>
        <w:rPr>
          <w:bCs/>
          <w:sz w:val="24"/>
          <w:u w:val="single"/>
        </w:rPr>
        <w:t xml:space="preserve">   </w:t>
      </w:r>
      <w:r>
        <w:rPr>
          <w:bCs/>
          <w:sz w:val="24"/>
        </w:rPr>
        <w:t>部分的内容；提供卫生保洁（</w:t>
      </w:r>
      <w:r>
        <w:rPr>
          <w:rFonts w:hint="eastAsia"/>
          <w:bCs/>
          <w:sz w:val="24"/>
        </w:rPr>
        <w:t>含</w:t>
      </w:r>
      <w:r>
        <w:rPr>
          <w:bCs/>
          <w:sz w:val="24"/>
        </w:rPr>
        <w:t>配送、勤杂）、</w:t>
      </w:r>
      <w:r>
        <w:rPr>
          <w:rFonts w:hint="eastAsia"/>
          <w:bCs/>
          <w:sz w:val="24"/>
        </w:rPr>
        <w:t>保安、</w:t>
      </w:r>
      <w:r>
        <w:rPr>
          <w:bCs/>
          <w:sz w:val="24"/>
        </w:rPr>
        <w:t>维修、</w:t>
      </w:r>
      <w:r>
        <w:rPr>
          <w:rFonts w:hint="eastAsia"/>
          <w:bCs/>
          <w:sz w:val="24"/>
        </w:rPr>
        <w:t>厨房</w:t>
      </w:r>
      <w:r>
        <w:rPr>
          <w:bCs/>
          <w:sz w:val="24"/>
        </w:rPr>
        <w:t>等</w:t>
      </w:r>
      <w:r>
        <w:rPr>
          <w:sz w:val="24"/>
        </w:rPr>
        <w:t>后勤保障服务。</w:t>
      </w:r>
    </w:p>
    <w:p>
      <w:pPr>
        <w:numPr>
          <w:ilvl w:val="1"/>
          <w:numId w:val="217"/>
        </w:numPr>
        <w:snapToGrid w:val="0"/>
        <w:spacing w:line="360" w:lineRule="auto"/>
        <w:rPr>
          <w:sz w:val="24"/>
        </w:rPr>
      </w:pPr>
      <w:r>
        <w:rPr>
          <w:sz w:val="24"/>
        </w:rPr>
        <w:t>本次合同承包期为</w:t>
      </w:r>
      <w:r>
        <w:rPr>
          <w:rFonts w:hint="eastAsia"/>
          <w:sz w:val="24"/>
          <w:u w:val="single"/>
        </w:rPr>
        <w:t>一</w:t>
      </w:r>
      <w:r>
        <w:rPr>
          <w:sz w:val="24"/>
        </w:rPr>
        <w:t>年，即</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日至</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日，合同一年一签。</w:t>
      </w:r>
    </w:p>
    <w:p>
      <w:pPr>
        <w:numPr>
          <w:ilvl w:val="1"/>
          <w:numId w:val="217"/>
        </w:numPr>
        <w:snapToGrid w:val="0"/>
        <w:spacing w:line="360" w:lineRule="auto"/>
        <w:rPr>
          <w:b/>
          <w:bCs/>
          <w:sz w:val="24"/>
        </w:rPr>
      </w:pPr>
      <w:r>
        <w:rPr>
          <w:sz w:val="24"/>
        </w:rPr>
        <w:t>合同期满后，如乙方达到甲方各项考核目标，经双方协商，可续签合同，否则甲方有权另行选择其他承包方。</w:t>
      </w:r>
    </w:p>
    <w:p>
      <w:pPr>
        <w:numPr>
          <w:ilvl w:val="0"/>
          <w:numId w:val="217"/>
        </w:numPr>
        <w:snapToGrid w:val="0"/>
        <w:spacing w:before="120" w:beforeLines="50" w:line="360" w:lineRule="auto"/>
        <w:rPr>
          <w:sz w:val="24"/>
        </w:rPr>
      </w:pPr>
      <w:r>
        <w:rPr>
          <w:sz w:val="24"/>
        </w:rPr>
        <w:t>合同价格</w:t>
      </w:r>
    </w:p>
    <w:p>
      <w:pPr>
        <w:numPr>
          <w:ilvl w:val="1"/>
          <w:numId w:val="217"/>
        </w:numPr>
        <w:snapToGrid w:val="0"/>
        <w:spacing w:line="360" w:lineRule="auto"/>
        <w:rPr>
          <w:b/>
          <w:bCs/>
          <w:sz w:val="24"/>
        </w:rPr>
      </w:pPr>
      <w:r>
        <w:rPr>
          <w:b/>
          <w:sz w:val="24"/>
        </w:rPr>
        <w:t>本合同为期限一年的承包费用，</w:t>
      </w:r>
      <w:r>
        <w:rPr>
          <w:sz w:val="24"/>
        </w:rPr>
        <w:t>承包总价为人民币</w:t>
      </w:r>
      <w:r>
        <w:rPr>
          <w:sz w:val="24"/>
          <w:u w:val="single"/>
        </w:rPr>
        <w:t xml:space="preserve">            </w:t>
      </w:r>
      <w:r>
        <w:rPr>
          <w:sz w:val="24"/>
        </w:rPr>
        <w:t>万元（大写：    ），本合同项目负责人为：</w:t>
      </w:r>
      <w:r>
        <w:rPr>
          <w:sz w:val="24"/>
          <w:u w:val="single"/>
        </w:rPr>
        <w:t xml:space="preserve">        </w:t>
      </w:r>
      <w:r>
        <w:rPr>
          <w:sz w:val="24"/>
        </w:rPr>
        <w:t>，合同总人数为：</w:t>
      </w:r>
      <w:r>
        <w:rPr>
          <w:sz w:val="24"/>
          <w:u w:val="single"/>
        </w:rPr>
        <w:t xml:space="preserve">    人</w:t>
      </w:r>
      <w:r>
        <w:rPr>
          <w:sz w:val="24"/>
        </w:rPr>
        <w:t>，费用按实际服务人数结算。</w:t>
      </w:r>
    </w:p>
    <w:p>
      <w:pPr>
        <w:numPr>
          <w:ilvl w:val="1"/>
          <w:numId w:val="217"/>
        </w:numPr>
        <w:snapToGrid w:val="0"/>
        <w:spacing w:line="360" w:lineRule="auto"/>
        <w:rPr>
          <w:b/>
          <w:bCs/>
          <w:sz w:val="24"/>
        </w:rPr>
      </w:pPr>
      <w:r>
        <w:rPr>
          <w:bCs/>
          <w:sz w:val="24"/>
        </w:rPr>
        <w:t>项目承包总价必须包括乙方在承包区域内提供相关卫生保洁（</w:t>
      </w:r>
      <w:r>
        <w:rPr>
          <w:rFonts w:hint="eastAsia"/>
          <w:bCs/>
          <w:sz w:val="24"/>
        </w:rPr>
        <w:t>含</w:t>
      </w:r>
      <w:r>
        <w:rPr>
          <w:bCs/>
          <w:sz w:val="24"/>
        </w:rPr>
        <w:t>配送、勤杂）、</w:t>
      </w:r>
      <w:r>
        <w:rPr>
          <w:rFonts w:hint="eastAsia"/>
          <w:bCs/>
          <w:sz w:val="24"/>
        </w:rPr>
        <w:t>被服服务（洗衣房）、保安、</w:t>
      </w:r>
      <w:r>
        <w:rPr>
          <w:bCs/>
          <w:sz w:val="24"/>
        </w:rPr>
        <w:t>维修、</w:t>
      </w:r>
      <w:r>
        <w:rPr>
          <w:rFonts w:hint="eastAsia"/>
          <w:bCs/>
          <w:sz w:val="24"/>
        </w:rPr>
        <w:t>厨房</w:t>
      </w:r>
      <w:r>
        <w:rPr>
          <w:bCs/>
          <w:sz w:val="24"/>
        </w:rPr>
        <w:t>等服务所需的乙方需承担的一切人员工资、奖金、各种加班费、各种社会保险、食宿与交通、设备及工具、器材、消耗材料、仓储、运输、管理费用、税费、利润、完成合同所需的一切本身和不可或缺的所有工作开支、政策性文件规定及合同包含的所有风险、责任等各项全部费用并承担一切风险责任。</w:t>
      </w:r>
    </w:p>
    <w:p>
      <w:pPr>
        <w:numPr>
          <w:ilvl w:val="1"/>
          <w:numId w:val="217"/>
        </w:numPr>
        <w:snapToGrid w:val="0"/>
        <w:spacing w:line="360" w:lineRule="auto"/>
        <w:rPr>
          <w:sz w:val="24"/>
        </w:rPr>
      </w:pPr>
      <w:r>
        <w:rPr>
          <w:b/>
          <w:bCs/>
          <w:sz w:val="24"/>
        </w:rPr>
        <w:t>如因甲方工作需要，各岗位出现确需人数增减的情况，甲方将根据乙方投标报价明细表中的“人工费用”内相应岗位的员工费用报价调整相应费用，其他项费用均保持不变。增减岗位的员工不足1个月，则按天数（每月均以30天计算）计算费用，即（月岗位工资/30天）*实际服务天数*实际增减的服务人数。</w:t>
      </w:r>
    </w:p>
    <w:p>
      <w:pPr>
        <w:numPr>
          <w:ilvl w:val="1"/>
          <w:numId w:val="217"/>
        </w:numPr>
        <w:snapToGrid w:val="0"/>
        <w:spacing w:line="360" w:lineRule="auto"/>
        <w:rPr>
          <w:sz w:val="24"/>
        </w:rPr>
      </w:pPr>
      <w:r>
        <w:rPr>
          <w:kern w:val="0"/>
          <w:sz w:val="24"/>
        </w:rPr>
        <w:t>合同价格在服务期内有效，如</w:t>
      </w:r>
      <w:r>
        <w:rPr>
          <w:rFonts w:hint="eastAsia"/>
          <w:kern w:val="0"/>
          <w:sz w:val="24"/>
        </w:rPr>
        <w:t>杭州</w:t>
      </w:r>
      <w:r>
        <w:rPr>
          <w:kern w:val="0"/>
          <w:sz w:val="24"/>
        </w:rPr>
        <w:t>市最低工资或社保基数发生变化，则合同总价作相应调整（根据人员数量×最低工资调整额或人员数量×单位缴纳部分的调整额），其他在服务期内不作调整，且</w:t>
      </w:r>
      <w:r>
        <w:rPr>
          <w:sz w:val="24"/>
        </w:rPr>
        <w:t>乙方</w:t>
      </w:r>
      <w:r>
        <w:rPr>
          <w:kern w:val="0"/>
          <w:sz w:val="24"/>
        </w:rPr>
        <w:t>应承诺将上述增加的金额支付给该项目的相关员工以激励员工积极性。</w:t>
      </w:r>
    </w:p>
    <w:p>
      <w:pPr>
        <w:numPr>
          <w:ilvl w:val="1"/>
          <w:numId w:val="217"/>
        </w:numPr>
        <w:snapToGrid w:val="0"/>
        <w:spacing w:line="360" w:lineRule="auto"/>
        <w:rPr>
          <w:sz w:val="24"/>
        </w:rPr>
      </w:pPr>
      <w:r>
        <w:rPr>
          <w:sz w:val="24"/>
        </w:rPr>
        <w:t>招标文件、投标文件及有关澄清文件均作为本合同主要依据。</w:t>
      </w:r>
    </w:p>
    <w:p>
      <w:pPr>
        <w:numPr>
          <w:ilvl w:val="0"/>
          <w:numId w:val="217"/>
        </w:numPr>
        <w:snapToGrid w:val="0"/>
        <w:spacing w:before="120" w:beforeLines="50" w:line="360" w:lineRule="auto"/>
        <w:rPr>
          <w:sz w:val="24"/>
        </w:rPr>
      </w:pPr>
      <w:r>
        <w:rPr>
          <w:sz w:val="24"/>
        </w:rPr>
        <w:t>甲方责任条款</w:t>
      </w:r>
    </w:p>
    <w:p>
      <w:pPr>
        <w:numPr>
          <w:ilvl w:val="1"/>
          <w:numId w:val="217"/>
        </w:numPr>
        <w:snapToGrid w:val="0"/>
        <w:spacing w:line="360" w:lineRule="auto"/>
        <w:rPr>
          <w:sz w:val="24"/>
        </w:rPr>
      </w:pPr>
      <w:r>
        <w:rPr>
          <w:sz w:val="24"/>
        </w:rPr>
        <w:t>提供</w:t>
      </w:r>
      <w:r>
        <w:rPr>
          <w:rFonts w:hint="eastAsia"/>
          <w:sz w:val="24"/>
        </w:rPr>
        <w:t>卫生保洁（含配送、勤杂）、被服服务（洗衣房）、保安、维修、厨房</w:t>
      </w:r>
      <w:r>
        <w:rPr>
          <w:sz w:val="24"/>
        </w:rPr>
        <w:t>等的服务质量标准、作业规范及考核办法。</w:t>
      </w:r>
    </w:p>
    <w:p>
      <w:pPr>
        <w:numPr>
          <w:ilvl w:val="1"/>
          <w:numId w:val="217"/>
        </w:numPr>
        <w:snapToGrid w:val="0"/>
        <w:spacing w:line="360" w:lineRule="auto"/>
        <w:rPr>
          <w:sz w:val="24"/>
        </w:rPr>
      </w:pPr>
      <w:r>
        <w:rPr>
          <w:sz w:val="24"/>
        </w:rPr>
        <w:t>检查监督考评乙方日常管理服务质量达标情况和制度执行情况，</w:t>
      </w:r>
      <w:r>
        <w:rPr>
          <w:rFonts w:hint="eastAsia"/>
          <w:sz w:val="24"/>
        </w:rPr>
        <w:t>卫生保洁（含配送、勤杂）、被服服务（洗衣房）、保安、维修、厨房等</w:t>
      </w:r>
      <w:r>
        <w:rPr>
          <w:sz w:val="24"/>
        </w:rPr>
        <w:t>管理工作等。</w:t>
      </w:r>
    </w:p>
    <w:p>
      <w:pPr>
        <w:numPr>
          <w:ilvl w:val="1"/>
          <w:numId w:val="217"/>
        </w:numPr>
        <w:snapToGrid w:val="0"/>
        <w:spacing w:line="360" w:lineRule="auto"/>
        <w:rPr>
          <w:sz w:val="24"/>
        </w:rPr>
      </w:pPr>
      <w:r>
        <w:rPr>
          <w:sz w:val="24"/>
        </w:rPr>
        <w:t>组织对乙方提供服务的考核。</w:t>
      </w:r>
    </w:p>
    <w:p>
      <w:pPr>
        <w:numPr>
          <w:ilvl w:val="1"/>
          <w:numId w:val="217"/>
        </w:numPr>
        <w:snapToGrid w:val="0"/>
        <w:spacing w:line="360" w:lineRule="auto"/>
        <w:rPr>
          <w:sz w:val="24"/>
        </w:rPr>
      </w:pPr>
      <w:r>
        <w:rPr>
          <w:sz w:val="24"/>
        </w:rPr>
        <w:t>提供乙方正常保洁服务所需要的水、电，如经查实乙方人员存在浪费水电的行为，按照50元/次进行罚款。</w:t>
      </w:r>
    </w:p>
    <w:p>
      <w:pPr>
        <w:numPr>
          <w:ilvl w:val="1"/>
          <w:numId w:val="217"/>
        </w:numPr>
        <w:snapToGrid w:val="0"/>
        <w:spacing w:line="360" w:lineRule="auto"/>
        <w:rPr>
          <w:sz w:val="24"/>
        </w:rPr>
      </w:pPr>
      <w:r>
        <w:rPr>
          <w:sz w:val="24"/>
        </w:rPr>
        <w:t>甲方有权要求乙方及其工作人员按甲方各项规章制度进行工作，共同维护甲方环境，爱护甲方设施。</w:t>
      </w:r>
    </w:p>
    <w:p>
      <w:pPr>
        <w:numPr>
          <w:ilvl w:val="1"/>
          <w:numId w:val="217"/>
        </w:numPr>
        <w:snapToGrid w:val="0"/>
        <w:spacing w:line="360" w:lineRule="auto"/>
        <w:rPr>
          <w:sz w:val="24"/>
        </w:rPr>
      </w:pPr>
      <w:r>
        <w:rPr>
          <w:sz w:val="24"/>
        </w:rPr>
        <w:t>甲方发现乙方人员不能胜任工作，有权要求乙方无条件更换符合甲方要求的工作人员。</w:t>
      </w:r>
    </w:p>
    <w:p>
      <w:pPr>
        <w:numPr>
          <w:ilvl w:val="1"/>
          <w:numId w:val="217"/>
        </w:numPr>
        <w:snapToGrid w:val="0"/>
        <w:spacing w:line="360" w:lineRule="auto"/>
        <w:rPr>
          <w:sz w:val="24"/>
        </w:rPr>
      </w:pPr>
      <w:r>
        <w:rPr>
          <w:sz w:val="24"/>
        </w:rPr>
        <w:t>按合同约定支付合同款项。</w:t>
      </w:r>
    </w:p>
    <w:p>
      <w:pPr>
        <w:numPr>
          <w:ilvl w:val="1"/>
          <w:numId w:val="217"/>
        </w:numPr>
        <w:snapToGrid w:val="0"/>
        <w:spacing w:line="360" w:lineRule="auto"/>
        <w:rPr>
          <w:sz w:val="24"/>
        </w:rPr>
      </w:pPr>
      <w:r>
        <w:rPr>
          <w:sz w:val="24"/>
        </w:rPr>
        <w:t>如遇突发事件，协调乙方在作业过程中与其他部门的关系。</w:t>
      </w:r>
    </w:p>
    <w:p>
      <w:pPr>
        <w:numPr>
          <w:ilvl w:val="0"/>
          <w:numId w:val="217"/>
        </w:numPr>
        <w:snapToGrid w:val="0"/>
        <w:spacing w:before="120" w:beforeLines="50" w:line="360" w:lineRule="auto"/>
        <w:rPr>
          <w:sz w:val="24"/>
        </w:rPr>
      </w:pPr>
      <w:r>
        <w:rPr>
          <w:sz w:val="24"/>
        </w:rPr>
        <w:t>乙方责任条款</w:t>
      </w:r>
    </w:p>
    <w:p>
      <w:pPr>
        <w:numPr>
          <w:ilvl w:val="1"/>
          <w:numId w:val="217"/>
        </w:numPr>
        <w:snapToGrid w:val="0"/>
        <w:spacing w:line="360" w:lineRule="auto"/>
        <w:rPr>
          <w:sz w:val="24"/>
        </w:rPr>
      </w:pPr>
      <w:r>
        <w:rPr>
          <w:sz w:val="24"/>
        </w:rPr>
        <w:t>乙方必须严格执行《中华人民共和国劳动合同法》，负责对派遣甲方的服务人员的日常管理，承担我国有关劳动关系的法律、法规所规定的责任。</w:t>
      </w:r>
    </w:p>
    <w:p>
      <w:pPr>
        <w:numPr>
          <w:ilvl w:val="1"/>
          <w:numId w:val="217"/>
        </w:numPr>
        <w:snapToGrid w:val="0"/>
        <w:spacing w:line="360" w:lineRule="auto"/>
        <w:rPr>
          <w:sz w:val="24"/>
        </w:rPr>
      </w:pPr>
      <w:r>
        <w:rPr>
          <w:sz w:val="24"/>
        </w:rPr>
        <w:t>乙方须在投标文件相关内容基础上，严格按照国家和</w:t>
      </w:r>
      <w:r>
        <w:rPr>
          <w:rFonts w:hint="eastAsia"/>
          <w:sz w:val="24"/>
        </w:rPr>
        <w:t>杭州</w:t>
      </w:r>
      <w:r>
        <w:rPr>
          <w:sz w:val="24"/>
        </w:rPr>
        <w:t>市政府规定为派遣员工缴纳各种社会保险（包括养老、医疗、工伤、生育险、失业保险等），如在服务期内乙方与派遣人员之间发生劳动争议，由乙方负责处理及承担全部费用。若被劳动监察部门查实或被媒体曝光，影响甲方形象和声誉的，甲方将对乙方处以扣罚履约保证金总额的10%，再犯加倍扣罚。</w:t>
      </w:r>
    </w:p>
    <w:p>
      <w:pPr>
        <w:numPr>
          <w:ilvl w:val="1"/>
          <w:numId w:val="217"/>
        </w:numPr>
        <w:snapToGrid w:val="0"/>
        <w:spacing w:line="360" w:lineRule="auto"/>
        <w:rPr>
          <w:kern w:val="0"/>
          <w:sz w:val="24"/>
        </w:rPr>
      </w:pPr>
      <w:r>
        <w:rPr>
          <w:sz w:val="24"/>
        </w:rPr>
        <w:t>乙方确定项目负责人、主管人选后向甲方备案，应确保其专职在甲方驻院管理，确保电话通讯畅通。</w:t>
      </w:r>
      <w:r>
        <w:rPr>
          <w:kern w:val="0"/>
          <w:sz w:val="24"/>
        </w:rPr>
        <w:t>本项目负责人必须具有</w:t>
      </w:r>
      <w:r>
        <w:rPr>
          <w:rFonts w:hint="eastAsia"/>
          <w:kern w:val="0"/>
          <w:sz w:val="24"/>
        </w:rPr>
        <w:t>全国物业经理证</w:t>
      </w:r>
      <w:r>
        <w:rPr>
          <w:kern w:val="0"/>
          <w:sz w:val="24"/>
        </w:rPr>
        <w:t>，积极配合甲方管理人员的工作，听从指挥安排，如甲方发现其不能胜任岗位工作的，甲方有权要求更换项目负责人。</w:t>
      </w:r>
    </w:p>
    <w:p>
      <w:pPr>
        <w:numPr>
          <w:ilvl w:val="1"/>
          <w:numId w:val="217"/>
        </w:numPr>
        <w:snapToGrid w:val="0"/>
        <w:spacing w:line="360" w:lineRule="auto"/>
        <w:rPr>
          <w:kern w:val="0"/>
          <w:sz w:val="24"/>
        </w:rPr>
      </w:pPr>
      <w:r>
        <w:rPr>
          <w:sz w:val="24"/>
        </w:rPr>
        <w:t>项目负责人各类假期请假或调休或工作日出差参加各类培训会议、活动等，须以书面形式向甲方请假，原则上批准后方可执行。</w:t>
      </w:r>
    </w:p>
    <w:p>
      <w:pPr>
        <w:numPr>
          <w:ilvl w:val="1"/>
          <w:numId w:val="217"/>
        </w:numPr>
        <w:snapToGrid w:val="0"/>
        <w:spacing w:line="360" w:lineRule="auto"/>
        <w:rPr>
          <w:kern w:val="0"/>
          <w:sz w:val="24"/>
        </w:rPr>
      </w:pPr>
      <w:r>
        <w:rPr>
          <w:kern w:val="0"/>
          <w:sz w:val="24"/>
        </w:rPr>
        <w:t xml:space="preserve">项目负责人每周一需向甲方汇报上周工作总结、整改情况、本周工作计划并附上书面资料。每月参加甲方护士长会议，虚心接受会议提出的意见（甲方以书面形式通知乙方），乙方需一周内整改完毕，如若有特殊情况，双方协商后再定；若整改不及时或未整改，甲方有权按当月绩效考核得分扣10分。 </w:t>
      </w:r>
    </w:p>
    <w:p>
      <w:pPr>
        <w:numPr>
          <w:ilvl w:val="1"/>
          <w:numId w:val="217"/>
        </w:numPr>
        <w:snapToGrid w:val="0"/>
        <w:spacing w:line="360" w:lineRule="auto"/>
        <w:rPr>
          <w:sz w:val="24"/>
        </w:rPr>
      </w:pPr>
      <w:r>
        <w:rPr>
          <w:sz w:val="24"/>
        </w:rPr>
        <w:t>派遣人员年龄必须符合招标文件要求（50岁以下至少要占80%）。</w:t>
      </w:r>
    </w:p>
    <w:p>
      <w:pPr>
        <w:widowControl/>
        <w:tabs>
          <w:tab w:val="left" w:pos="567"/>
          <w:tab w:val="left" w:pos="709"/>
        </w:tabs>
        <w:ind w:left="283" w:firstLine="240" w:firstLineChars="100"/>
        <w:contextualSpacing/>
        <w:jc w:val="left"/>
        <w:rPr>
          <w:rFonts w:ascii="Calibri" w:hAnsi="Calibri"/>
          <w:kern w:val="0"/>
          <w:sz w:val="24"/>
          <w:szCs w:val="22"/>
          <w:lang w:bidi="en-US"/>
        </w:rPr>
      </w:pPr>
      <w:r>
        <w:rPr>
          <w:rFonts w:hint="eastAsia" w:ascii="Calibri" w:hAnsi="Calibri"/>
          <w:kern w:val="0"/>
          <w:sz w:val="24"/>
          <w:szCs w:val="22"/>
          <w:lang w:bidi="en-US"/>
        </w:rPr>
        <w:t>保安人员：</w:t>
      </w:r>
      <w:r>
        <w:rPr>
          <w:kern w:val="0"/>
          <w:sz w:val="24"/>
          <w:lang w:bidi="en-US"/>
        </w:rPr>
        <w:t>年龄18至40岁占80%，年龄40至50岁占20%或整个队伍平均年龄控制在42岁以下；</w:t>
      </w:r>
      <w:r>
        <w:rPr>
          <w:b/>
          <w:kern w:val="0"/>
          <w:sz w:val="24"/>
          <w:lang w:bidi="en-US"/>
        </w:rPr>
        <w:t>持证上岗（所有保安人员持保安证，消控监控岗位要同时具备保安证和消防上岗证）</w:t>
      </w:r>
      <w:r>
        <w:rPr>
          <w:kern w:val="0"/>
          <w:sz w:val="24"/>
          <w:lang w:bidi="en-US"/>
        </w:rPr>
        <w:t>，退役军人应优先录用，具备相关法律法规、安保、消防知识。如确实因为招聘人员困难，新入职的个别保安无保安证的，安保过了一周试用期后，乙方必须安排其完成培训考证的报名，如甲方发现乙方拖延或没有安排无证保安参加培训考试，甲方有权不发放该保安的服务费，并责令其离院。如果保安连续3次考试均不合格，乙方也应该辞退该员工。</w:t>
      </w:r>
    </w:p>
    <w:p>
      <w:pPr>
        <w:numPr>
          <w:ilvl w:val="1"/>
          <w:numId w:val="217"/>
        </w:numPr>
        <w:snapToGrid w:val="0"/>
        <w:spacing w:line="360" w:lineRule="auto"/>
        <w:rPr>
          <w:b/>
          <w:sz w:val="24"/>
        </w:rPr>
      </w:pPr>
      <w:r>
        <w:rPr>
          <w:b/>
          <w:sz w:val="24"/>
        </w:rPr>
        <w:t>为了激励员工，甲、乙双方共同参与管理，乙方应每月评选出数量不低于总人数（除管理人员外）5%的优秀员工并给予总额不低于500元的奖励，评选结果需征求甲方意见，并将奖励金额、优秀员工名单提交至甲方。</w:t>
      </w:r>
    </w:p>
    <w:p>
      <w:pPr>
        <w:numPr>
          <w:ilvl w:val="1"/>
          <w:numId w:val="217"/>
        </w:numPr>
        <w:snapToGrid w:val="0"/>
        <w:spacing w:line="360" w:lineRule="auto"/>
        <w:rPr>
          <w:sz w:val="24"/>
        </w:rPr>
      </w:pPr>
      <w:r>
        <w:rPr>
          <w:sz w:val="24"/>
        </w:rPr>
        <w:t>乙方人员应该做好责任区域资产（如被服、一次性用具等）的管理，如有丢失，则照价赔偿。</w:t>
      </w:r>
    </w:p>
    <w:p>
      <w:pPr>
        <w:numPr>
          <w:ilvl w:val="1"/>
          <w:numId w:val="217"/>
        </w:numPr>
        <w:snapToGrid w:val="0"/>
        <w:spacing w:line="360" w:lineRule="auto"/>
        <w:rPr>
          <w:sz w:val="24"/>
        </w:rPr>
      </w:pPr>
      <w:r>
        <w:rPr>
          <w:sz w:val="24"/>
        </w:rPr>
        <w:t>乙方管理人员须每日进行公共区域巡查，并将巡查过程中发现的各类报修事件当日进行院内维修系统登记。</w:t>
      </w:r>
    </w:p>
    <w:p>
      <w:pPr>
        <w:numPr>
          <w:ilvl w:val="1"/>
          <w:numId w:val="217"/>
        </w:numPr>
        <w:snapToGrid w:val="0"/>
        <w:spacing w:line="360" w:lineRule="auto"/>
        <w:rPr>
          <w:sz w:val="24"/>
        </w:rPr>
      </w:pPr>
      <w:r>
        <w:rPr>
          <w:sz w:val="24"/>
        </w:rPr>
        <w:t>在甲方所在辖区***的规定时间内，上报入离职人员信息，如因未及时上报所造成的经济罚款须由乙方承担。</w:t>
      </w:r>
    </w:p>
    <w:p>
      <w:pPr>
        <w:numPr>
          <w:ilvl w:val="1"/>
          <w:numId w:val="217"/>
        </w:numPr>
        <w:snapToGrid w:val="0"/>
        <w:spacing w:line="360" w:lineRule="auto"/>
        <w:rPr>
          <w:sz w:val="24"/>
        </w:rPr>
      </w:pPr>
      <w:r>
        <w:rPr>
          <w:sz w:val="24"/>
        </w:rPr>
        <w:t>乙方承诺派遣人员的作息时间严格按招标文件执行，中午必须安排人员做好各岗位的在岗值班工作。</w:t>
      </w:r>
    </w:p>
    <w:p>
      <w:pPr>
        <w:numPr>
          <w:ilvl w:val="1"/>
          <w:numId w:val="217"/>
        </w:numPr>
        <w:tabs>
          <w:tab w:val="left" w:pos="709"/>
        </w:tabs>
        <w:snapToGrid w:val="0"/>
        <w:spacing w:line="360" w:lineRule="auto"/>
        <w:rPr>
          <w:sz w:val="24"/>
        </w:rPr>
      </w:pPr>
      <w:r>
        <w:rPr>
          <w:sz w:val="24"/>
        </w:rPr>
        <w:t>积极配合甲方工作，提供合理化建议，协助甲方开展进行精细化管理：</w:t>
      </w:r>
    </w:p>
    <w:p>
      <w:pPr>
        <w:snapToGrid w:val="0"/>
        <w:spacing w:line="360" w:lineRule="auto"/>
        <w:rPr>
          <w:sz w:val="24"/>
        </w:rPr>
      </w:pPr>
      <w:r>
        <w:rPr>
          <w:rFonts w:eastAsia="Arial Unicode MS"/>
          <w:szCs w:val="21"/>
        </w:rPr>
        <w:t xml:space="preserve">4.10.1 </w:t>
      </w:r>
      <w:r>
        <w:rPr>
          <w:sz w:val="24"/>
        </w:rPr>
        <w:t>配合做好劝烟工作；</w:t>
      </w:r>
    </w:p>
    <w:p>
      <w:pPr>
        <w:snapToGrid w:val="0"/>
        <w:spacing w:line="360" w:lineRule="auto"/>
        <w:rPr>
          <w:sz w:val="24"/>
        </w:rPr>
      </w:pPr>
      <w:r>
        <w:rPr>
          <w:rFonts w:eastAsia="Arial Unicode MS"/>
          <w:szCs w:val="21"/>
        </w:rPr>
        <w:t xml:space="preserve">4.10.2 </w:t>
      </w:r>
      <w:r>
        <w:rPr>
          <w:sz w:val="24"/>
        </w:rPr>
        <w:t>协助管理责任区域内的消防或防盗；</w:t>
      </w:r>
    </w:p>
    <w:p>
      <w:pPr>
        <w:snapToGrid w:val="0"/>
        <w:spacing w:line="360" w:lineRule="auto"/>
        <w:rPr>
          <w:sz w:val="24"/>
        </w:rPr>
      </w:pPr>
      <w:r>
        <w:rPr>
          <w:rFonts w:eastAsia="Arial Unicode MS"/>
          <w:szCs w:val="21"/>
        </w:rPr>
        <w:t xml:space="preserve">4.10.3 </w:t>
      </w:r>
      <w:r>
        <w:rPr>
          <w:sz w:val="24"/>
        </w:rPr>
        <w:t>协助管理节水节电，如日常空调（夏天不得低于25℃，冬天不得高于20℃）、</w:t>
      </w:r>
    </w:p>
    <w:p>
      <w:pPr>
        <w:snapToGrid w:val="0"/>
        <w:spacing w:line="360" w:lineRule="auto"/>
        <w:ind w:firstLine="720" w:firstLineChars="300"/>
        <w:rPr>
          <w:sz w:val="24"/>
        </w:rPr>
      </w:pPr>
      <w:r>
        <w:rPr>
          <w:sz w:val="24"/>
        </w:rPr>
        <w:t>电风扇、电灯、水龙头等资源的管理，以及在合理时间给房间通风；</w:t>
      </w:r>
    </w:p>
    <w:p>
      <w:pPr>
        <w:snapToGrid w:val="0"/>
        <w:spacing w:line="360" w:lineRule="auto"/>
        <w:rPr>
          <w:sz w:val="24"/>
        </w:rPr>
      </w:pPr>
      <w:r>
        <w:rPr>
          <w:rFonts w:eastAsia="Arial Unicode MS"/>
          <w:szCs w:val="21"/>
        </w:rPr>
        <w:t xml:space="preserve">4.10.4  </w:t>
      </w:r>
      <w:r>
        <w:rPr>
          <w:sz w:val="24"/>
        </w:rPr>
        <w:t>协助甲方定期进行空调清洗；</w:t>
      </w:r>
    </w:p>
    <w:p>
      <w:pPr>
        <w:snapToGrid w:val="0"/>
        <w:spacing w:line="360" w:lineRule="auto"/>
        <w:rPr>
          <w:sz w:val="24"/>
        </w:rPr>
      </w:pPr>
      <w:r>
        <w:rPr>
          <w:rFonts w:eastAsia="Arial Unicode MS"/>
          <w:szCs w:val="21"/>
        </w:rPr>
        <w:t xml:space="preserve">4.10.5  </w:t>
      </w:r>
      <w:r>
        <w:rPr>
          <w:sz w:val="24"/>
        </w:rPr>
        <w:t>配合做好其他精细化管理工作。</w:t>
      </w:r>
    </w:p>
    <w:p>
      <w:pPr>
        <w:numPr>
          <w:ilvl w:val="1"/>
          <w:numId w:val="217"/>
        </w:numPr>
        <w:snapToGrid w:val="0"/>
        <w:spacing w:line="360" w:lineRule="auto"/>
        <w:rPr>
          <w:sz w:val="24"/>
        </w:rPr>
      </w:pPr>
      <w:r>
        <w:rPr>
          <w:sz w:val="24"/>
        </w:rPr>
        <w:t>专用工具、</w:t>
      </w:r>
      <w:r>
        <w:rPr>
          <w:kern w:val="0"/>
          <w:sz w:val="24"/>
          <w:lang w:val="zh-CN"/>
        </w:rPr>
        <w:t>保洁工具及耗材由</w:t>
      </w:r>
      <w:r>
        <w:rPr>
          <w:sz w:val="24"/>
        </w:rPr>
        <w:t>乙方提供及保管，提供医疗固体废物专职收集人员的防护用品，并由乙方承担折旧、备品、备件及维修材料、维修服务费等一切费用。乙方必须对自己承包范围内的石材及PVC地板进行日常专业护养。</w:t>
      </w:r>
    </w:p>
    <w:p>
      <w:pPr>
        <w:numPr>
          <w:ilvl w:val="1"/>
          <w:numId w:val="217"/>
        </w:numPr>
        <w:snapToGrid w:val="0"/>
        <w:spacing w:line="360" w:lineRule="auto"/>
        <w:rPr>
          <w:b/>
          <w:sz w:val="24"/>
        </w:rPr>
      </w:pPr>
      <w:r>
        <w:rPr>
          <w:b/>
          <w:sz w:val="24"/>
        </w:rPr>
        <w:t>乙方应做好各岗位工作人员的职业防护工作，为其配备个人防护用品或个人工作必需品。</w:t>
      </w:r>
    </w:p>
    <w:p>
      <w:pPr>
        <w:numPr>
          <w:ilvl w:val="1"/>
          <w:numId w:val="217"/>
        </w:numPr>
        <w:snapToGrid w:val="0"/>
        <w:spacing w:line="360" w:lineRule="auto"/>
        <w:rPr>
          <w:b/>
          <w:sz w:val="24"/>
        </w:rPr>
      </w:pPr>
      <w:r>
        <w:rPr>
          <w:b/>
          <w:sz w:val="24"/>
        </w:rPr>
        <w:t>服务区域内的各类管道疏通工作须在1个小时内解决，乙方如无法处理须2小时内自行联系外部专业疏通公司到场解决，由此产生的一切费用由乙方承担。在服务区域内收集的饮料瓶、报纸、纸板、纸箱等物品由乙方负责统一管理、处理。乙方需向甲方支付200元/月的废品处理所得费，每半年缴纳一次。</w:t>
      </w:r>
    </w:p>
    <w:p>
      <w:pPr>
        <w:numPr>
          <w:ilvl w:val="1"/>
          <w:numId w:val="217"/>
        </w:numPr>
        <w:snapToGrid w:val="0"/>
        <w:spacing w:line="360" w:lineRule="auto"/>
        <w:rPr>
          <w:sz w:val="24"/>
        </w:rPr>
      </w:pPr>
      <w:r>
        <w:rPr>
          <w:sz w:val="24"/>
        </w:rPr>
        <w:t>甲方提供的大型保洁设备（洗地机）应专人专用，其耗材和维修费由乙方承担。</w:t>
      </w:r>
    </w:p>
    <w:p>
      <w:pPr>
        <w:numPr>
          <w:ilvl w:val="1"/>
          <w:numId w:val="217"/>
        </w:numPr>
        <w:snapToGrid w:val="0"/>
        <w:spacing w:line="360" w:lineRule="auto"/>
        <w:rPr>
          <w:b/>
          <w:sz w:val="24"/>
        </w:rPr>
      </w:pPr>
      <w:r>
        <w:rPr>
          <w:b/>
          <w:sz w:val="24"/>
        </w:rPr>
        <w:t>各岗位的工作时间原则上按“人员需求一览表”执行，因甲方实际工作需要（如病人手术结束时间迟于下班时间或其他原因）造成的拖班或加班现象，</w:t>
      </w:r>
      <w:r>
        <w:rPr>
          <w:rFonts w:hint="eastAsia"/>
          <w:b/>
          <w:sz w:val="24"/>
        </w:rPr>
        <w:t>半小时内</w:t>
      </w:r>
      <w:r>
        <w:rPr>
          <w:b/>
          <w:sz w:val="24"/>
        </w:rPr>
        <w:t>不另计加班费，</w:t>
      </w:r>
      <w:r>
        <w:rPr>
          <w:rFonts w:hint="eastAsia"/>
          <w:b/>
          <w:sz w:val="24"/>
        </w:rPr>
        <w:t>加班时间超过半小时以上的，双方确认核实后，安排补休或按每人18.5元/小时来计算，法定节假日按每人每小时55.5元计算。</w:t>
      </w:r>
      <w:r>
        <w:rPr>
          <w:b/>
          <w:sz w:val="24"/>
        </w:rPr>
        <w:t>。</w:t>
      </w:r>
    </w:p>
    <w:p>
      <w:pPr>
        <w:numPr>
          <w:ilvl w:val="1"/>
          <w:numId w:val="217"/>
        </w:numPr>
        <w:snapToGrid w:val="0"/>
        <w:spacing w:line="360" w:lineRule="auto"/>
        <w:rPr>
          <w:sz w:val="24"/>
        </w:rPr>
      </w:pPr>
      <w:r>
        <w:rPr>
          <w:sz w:val="24"/>
        </w:rPr>
        <w:t>根据有关法律、法规及本合同的约定，制订各岗位的管理方案、管理制度、年度及月度管理计划和工作质量考核标准，并上交甲方备案。</w:t>
      </w:r>
    </w:p>
    <w:p>
      <w:pPr>
        <w:numPr>
          <w:ilvl w:val="1"/>
          <w:numId w:val="217"/>
        </w:numPr>
        <w:snapToGrid w:val="0"/>
        <w:spacing w:line="360" w:lineRule="auto"/>
        <w:rPr>
          <w:sz w:val="24"/>
        </w:rPr>
      </w:pPr>
      <w:r>
        <w:rPr>
          <w:sz w:val="24"/>
        </w:rPr>
        <w:t>乙方的各岗位员工要统一服装，并由乙方负责其员工工服配备和洗涤。</w:t>
      </w:r>
    </w:p>
    <w:p>
      <w:pPr>
        <w:numPr>
          <w:ilvl w:val="1"/>
          <w:numId w:val="217"/>
        </w:numPr>
        <w:snapToGrid w:val="0"/>
        <w:spacing w:line="360" w:lineRule="auto"/>
        <w:rPr>
          <w:sz w:val="24"/>
        </w:rPr>
      </w:pPr>
      <w:r>
        <w:rPr>
          <w:sz w:val="24"/>
        </w:rPr>
        <w:t>乙方服务人员100%经过岗前培训合格才上岗并将人员入职表提供给甲方备案。各岗位员工必须服从所在科室的安排，服务人员相对稳定，不能因为岗位人员变动影响甲方科室工作。</w:t>
      </w:r>
    </w:p>
    <w:p>
      <w:pPr>
        <w:numPr>
          <w:ilvl w:val="1"/>
          <w:numId w:val="217"/>
        </w:numPr>
        <w:snapToGrid w:val="0"/>
        <w:spacing w:line="360" w:lineRule="auto"/>
        <w:rPr>
          <w:sz w:val="24"/>
        </w:rPr>
      </w:pPr>
      <w:r>
        <w:rPr>
          <w:sz w:val="24"/>
        </w:rPr>
        <w:t>乙方人员发生工伤事故、意外事故（甲方设施设备自身存在质量问题所致除外）等一切后果及费用均由乙方负责，与甲方无关。</w:t>
      </w:r>
    </w:p>
    <w:p>
      <w:pPr>
        <w:numPr>
          <w:ilvl w:val="1"/>
          <w:numId w:val="217"/>
        </w:numPr>
        <w:snapToGrid w:val="0"/>
        <w:spacing w:line="360" w:lineRule="auto"/>
        <w:rPr>
          <w:sz w:val="24"/>
        </w:rPr>
      </w:pPr>
      <w:r>
        <w:rPr>
          <w:sz w:val="24"/>
        </w:rPr>
        <w:t>因乙方工作不当、管理不善等原因造成医院职工或病人跌滑、摔倒等人身伤害的，乙方应积极解决处理，由此产生的一切后果及赔偿费用均由乙方承担，与甲方无关，并将事件列入当月绩效考核。</w:t>
      </w:r>
    </w:p>
    <w:p>
      <w:pPr>
        <w:numPr>
          <w:ilvl w:val="1"/>
          <w:numId w:val="217"/>
        </w:numPr>
        <w:snapToGrid w:val="0"/>
        <w:spacing w:line="360" w:lineRule="auto"/>
        <w:rPr>
          <w:b/>
          <w:sz w:val="24"/>
        </w:rPr>
      </w:pPr>
      <w:r>
        <w:rPr>
          <w:b/>
          <w:sz w:val="24"/>
        </w:rPr>
        <w:t>乙方应积极完成甲方交办的搬运工作，正常上班期间的小型搬运工作不另计费用。</w:t>
      </w:r>
    </w:p>
    <w:p>
      <w:pPr>
        <w:numPr>
          <w:ilvl w:val="1"/>
          <w:numId w:val="217"/>
        </w:numPr>
        <w:snapToGrid w:val="0"/>
        <w:spacing w:line="360" w:lineRule="auto"/>
        <w:rPr>
          <w:sz w:val="24"/>
        </w:rPr>
      </w:pPr>
      <w:r>
        <w:rPr>
          <w:sz w:val="24"/>
        </w:rPr>
        <w:t>垃圾清运工应按时清运及分装垃圾，对医疗垃圾要及时回收，减少污染，并专人、专车、专桶，按规定路线封闭运送。每天生活垃圾集中到暂存处。医疗废物按规定收集后，拉到医疗废物暂存处，由相关医疗固废处置公司专车外运处置，期间必须做好其交接、登记工作。对医疗固体废物专职收集人员如因防护不当等过错引发的纠纷由乙方负责处理，并承担相应责任。</w:t>
      </w:r>
    </w:p>
    <w:p>
      <w:pPr>
        <w:numPr>
          <w:ilvl w:val="1"/>
          <w:numId w:val="217"/>
        </w:numPr>
        <w:snapToGrid w:val="0"/>
        <w:spacing w:line="360" w:lineRule="auto"/>
        <w:rPr>
          <w:sz w:val="24"/>
        </w:rPr>
      </w:pPr>
      <w:r>
        <w:rPr>
          <w:sz w:val="24"/>
        </w:rPr>
        <w:t>遇到突发事件或自然灾害，必须服从甲方指挥与安排。在台风或大雨季节，如要加强抗台抗灾时，乙方要无条件安排值班并协助甲方解决突发情况，由此产生的加班等费用已包括在合同价内。</w:t>
      </w:r>
    </w:p>
    <w:p>
      <w:pPr>
        <w:numPr>
          <w:ilvl w:val="1"/>
          <w:numId w:val="217"/>
        </w:numPr>
        <w:snapToGrid w:val="0"/>
        <w:spacing w:line="360" w:lineRule="auto"/>
        <w:rPr>
          <w:b/>
          <w:sz w:val="24"/>
        </w:rPr>
      </w:pPr>
      <w:r>
        <w:rPr>
          <w:b/>
          <w:sz w:val="24"/>
        </w:rPr>
        <w:t>甲方大型活动、庆典等，乙方工作人员须服从甲方的调度，因此增加的相应人工费、加班费、材料费由乙方承担。</w:t>
      </w:r>
    </w:p>
    <w:p>
      <w:pPr>
        <w:numPr>
          <w:ilvl w:val="1"/>
          <w:numId w:val="217"/>
        </w:numPr>
        <w:snapToGrid w:val="0"/>
        <w:spacing w:line="360" w:lineRule="auto"/>
        <w:rPr>
          <w:b/>
          <w:sz w:val="24"/>
        </w:rPr>
      </w:pPr>
      <w:r>
        <w:rPr>
          <w:b/>
          <w:sz w:val="24"/>
        </w:rPr>
        <w:t>在服务区域内收集的饮料瓶、报纸、纸板、纸箱等物品由乙方负责统一管理、处理。乙方需向甲方支付200元/月的废品处理所得费，每半年缴纳一次。</w:t>
      </w:r>
    </w:p>
    <w:p>
      <w:pPr>
        <w:numPr>
          <w:ilvl w:val="1"/>
          <w:numId w:val="217"/>
        </w:numPr>
        <w:snapToGrid w:val="0"/>
        <w:spacing w:line="360" w:lineRule="auto"/>
        <w:rPr>
          <w:sz w:val="24"/>
        </w:rPr>
      </w:pPr>
      <w:r>
        <w:rPr>
          <w:sz w:val="24"/>
        </w:rPr>
        <w:t>乙方不得以任何理由向甲方工作人员支付小费或赠送实物，违者将终止合同。乙方人员也不得以任何形式向客户或家属索取小费或钱物等。</w:t>
      </w:r>
    </w:p>
    <w:p>
      <w:pPr>
        <w:numPr>
          <w:ilvl w:val="1"/>
          <w:numId w:val="217"/>
        </w:numPr>
        <w:snapToGrid w:val="0"/>
        <w:spacing w:line="360" w:lineRule="auto"/>
        <w:rPr>
          <w:sz w:val="24"/>
        </w:rPr>
      </w:pPr>
      <w:r>
        <w:rPr>
          <w:sz w:val="24"/>
        </w:rPr>
        <w:t>未经甲方同意，乙方不得在承包区域存放易燃物品、挥发性大或气味浓烈的液体等。</w:t>
      </w:r>
    </w:p>
    <w:p>
      <w:pPr>
        <w:numPr>
          <w:ilvl w:val="1"/>
          <w:numId w:val="217"/>
        </w:numPr>
        <w:snapToGrid w:val="0"/>
        <w:spacing w:line="360" w:lineRule="auto"/>
        <w:rPr>
          <w:sz w:val="24"/>
        </w:rPr>
      </w:pPr>
      <w:r>
        <w:rPr>
          <w:sz w:val="24"/>
        </w:rPr>
        <w:t>未经甲方同意，乙方无权在承包区域内从事任何经营活动或类似宣传，甲方有权依照法律法规和甲方相关的规定责令乙方限期改正，并接受处罚。</w:t>
      </w:r>
    </w:p>
    <w:p>
      <w:pPr>
        <w:numPr>
          <w:ilvl w:val="1"/>
          <w:numId w:val="217"/>
        </w:numPr>
        <w:snapToGrid w:val="0"/>
        <w:spacing w:line="440" w:lineRule="exact"/>
        <w:rPr>
          <w:sz w:val="24"/>
        </w:rPr>
      </w:pPr>
      <w:r>
        <w:rPr>
          <w:sz w:val="24"/>
        </w:rPr>
        <w:t>未经甲方同意，乙方不得以任何形式转租、转让、抵押承包区域及承包合同内容，在承包区域内只从事甲方认可的承包工作；否则甲方有权单方面终止合同，并保留进一步追究乙方责任的权利。在承包期间，乙方任何重大变动或法律事宜均应通知甲方。</w:t>
      </w:r>
    </w:p>
    <w:p>
      <w:pPr>
        <w:numPr>
          <w:ilvl w:val="1"/>
          <w:numId w:val="217"/>
        </w:numPr>
        <w:snapToGrid w:val="0"/>
        <w:spacing w:line="440" w:lineRule="exact"/>
        <w:rPr>
          <w:sz w:val="24"/>
        </w:rPr>
      </w:pPr>
      <w:r>
        <w:rPr>
          <w:sz w:val="24"/>
        </w:rPr>
        <w:t>甲方提供的垃圾桶用石英砂（限额一年</w:t>
      </w:r>
      <w:r>
        <w:rPr>
          <w:rFonts w:hint="eastAsia"/>
          <w:sz w:val="24"/>
        </w:rPr>
        <w:t>20</w:t>
      </w:r>
      <w:r>
        <w:rPr>
          <w:sz w:val="24"/>
        </w:rPr>
        <w:t>斤）应由乙方专人负责保管，如发现乙方人员存在任意浪费现象，超出限额的部分应由乙方承担。</w:t>
      </w:r>
    </w:p>
    <w:p>
      <w:pPr>
        <w:numPr>
          <w:ilvl w:val="1"/>
          <w:numId w:val="217"/>
        </w:numPr>
        <w:snapToGrid w:val="0"/>
        <w:spacing w:line="440" w:lineRule="exact"/>
        <w:rPr>
          <w:sz w:val="24"/>
        </w:rPr>
      </w:pPr>
      <w:r>
        <w:rPr>
          <w:sz w:val="24"/>
        </w:rPr>
        <w:t>原由医院劳动合同关系转至现有外包公司的人员，乙方必须继续为其缴纳同等待遇社保，不得以任何理由让其调离现有岗位。</w:t>
      </w:r>
    </w:p>
    <w:p>
      <w:pPr>
        <w:numPr>
          <w:ilvl w:val="1"/>
          <w:numId w:val="217"/>
        </w:numPr>
        <w:snapToGrid w:val="0"/>
        <w:spacing w:line="440" w:lineRule="exact"/>
        <w:rPr>
          <w:sz w:val="24"/>
        </w:rPr>
      </w:pPr>
      <w:r>
        <w:rPr>
          <w:sz w:val="24"/>
        </w:rPr>
        <w:t>完成甲方交办的临时性任务。</w:t>
      </w:r>
    </w:p>
    <w:p>
      <w:pPr>
        <w:numPr>
          <w:ilvl w:val="0"/>
          <w:numId w:val="217"/>
        </w:numPr>
        <w:snapToGrid w:val="0"/>
        <w:spacing w:before="240" w:beforeLines="100" w:line="360" w:lineRule="auto"/>
        <w:rPr>
          <w:sz w:val="24"/>
        </w:rPr>
      </w:pPr>
      <w:r>
        <w:rPr>
          <w:sz w:val="24"/>
        </w:rPr>
        <w:t>服务考核办法</w:t>
      </w:r>
    </w:p>
    <w:p>
      <w:pPr>
        <w:numPr>
          <w:ilvl w:val="1"/>
          <w:numId w:val="217"/>
        </w:numPr>
        <w:snapToGrid w:val="0"/>
        <w:spacing w:line="360" w:lineRule="auto"/>
        <w:rPr>
          <w:sz w:val="24"/>
        </w:rPr>
      </w:pPr>
      <w:r>
        <w:rPr>
          <w:bCs/>
          <w:sz w:val="24"/>
        </w:rPr>
        <w:t>甲方对乙方按考核制度每月进行考核。</w:t>
      </w:r>
    </w:p>
    <w:p>
      <w:pPr>
        <w:numPr>
          <w:ilvl w:val="1"/>
          <w:numId w:val="217"/>
        </w:numPr>
        <w:snapToGrid w:val="0"/>
        <w:spacing w:line="360" w:lineRule="auto"/>
        <w:rPr>
          <w:sz w:val="24"/>
        </w:rPr>
      </w:pPr>
      <w:r>
        <w:rPr>
          <w:bCs/>
          <w:sz w:val="24"/>
        </w:rPr>
        <w:t>日常考勤：</w:t>
      </w:r>
      <w:r>
        <w:rPr>
          <w:sz w:val="24"/>
        </w:rPr>
        <w:t xml:space="preserve"> </w:t>
      </w:r>
      <w:r>
        <w:rPr>
          <w:bCs/>
          <w:sz w:val="24"/>
        </w:rPr>
        <w:t>乙方工作人员必须严格执行上下班指纹或面部扫描考核并纳入甲方考勤系统，甲方每月将对乙方考勤情况进行检查。在服务期间乙方须保证甲方要求的最低上岗人数，</w:t>
      </w:r>
      <w:r>
        <w:rPr>
          <w:sz w:val="24"/>
        </w:rPr>
        <w:t>乙方公司管理员负责每天进行出勤监管，甲方不定期抽查。</w:t>
      </w:r>
    </w:p>
    <w:p>
      <w:pPr>
        <w:numPr>
          <w:ilvl w:val="1"/>
          <w:numId w:val="217"/>
        </w:numPr>
        <w:snapToGrid w:val="0"/>
        <w:spacing w:line="360" w:lineRule="auto"/>
        <w:rPr>
          <w:sz w:val="24"/>
        </w:rPr>
      </w:pPr>
      <w:r>
        <w:rPr>
          <w:bCs/>
          <w:sz w:val="24"/>
        </w:rPr>
        <w:t>人员离职：如因</w:t>
      </w:r>
      <w:r>
        <w:rPr>
          <w:sz w:val="24"/>
        </w:rPr>
        <w:t>保洁、配送、勤杂、维修、</w:t>
      </w:r>
      <w:r>
        <w:rPr>
          <w:rFonts w:hint="eastAsia"/>
          <w:sz w:val="24"/>
        </w:rPr>
        <w:t>食堂</w:t>
      </w:r>
      <w:r>
        <w:rPr>
          <w:sz w:val="24"/>
        </w:rPr>
        <w:t>人员离职所造成的人员缺漏情况，应保证在7天内补齐，否则甲方按200元/人/天标准扣除；如因餐厅勤杂人员离职所造成的人员缺漏情况，应保证在3天内补齐，否则甲方按200元/人/天标准扣除。</w:t>
      </w:r>
    </w:p>
    <w:p>
      <w:pPr>
        <w:numPr>
          <w:ilvl w:val="1"/>
          <w:numId w:val="217"/>
        </w:numPr>
        <w:snapToGrid w:val="0"/>
        <w:spacing w:line="360" w:lineRule="auto"/>
        <w:rPr>
          <w:sz w:val="24"/>
        </w:rPr>
      </w:pPr>
      <w:r>
        <w:rPr>
          <w:sz w:val="24"/>
        </w:rPr>
        <w:t>日常督査考核：甲方在日常巡查中视发现问题的情况将采取口头或书面告知当事人及乙方管理员，要求及时整改并反馈，整改情况将直接影响当月绩效考核得分。每月发现的相同问题书面告知三次未经整改或三次未按要求整改，当月绩效考核得分扣10分。</w:t>
      </w:r>
    </w:p>
    <w:p>
      <w:pPr>
        <w:numPr>
          <w:ilvl w:val="1"/>
          <w:numId w:val="217"/>
        </w:numPr>
        <w:snapToGrid w:val="0"/>
        <w:spacing w:line="360" w:lineRule="auto"/>
        <w:rPr>
          <w:sz w:val="24"/>
        </w:rPr>
      </w:pPr>
      <w:r>
        <w:rPr>
          <w:sz w:val="24"/>
        </w:rPr>
        <w:t>考核方式及内容由甲方组织，考核前通知乙方，并由乙方安排人员共同参加考核。考核结果有记录，参加考核人员应签名。</w:t>
      </w:r>
    </w:p>
    <w:p>
      <w:pPr>
        <w:numPr>
          <w:ilvl w:val="1"/>
          <w:numId w:val="217"/>
        </w:numPr>
        <w:snapToGrid w:val="0"/>
        <w:spacing w:line="360" w:lineRule="auto"/>
        <w:rPr>
          <w:sz w:val="24"/>
        </w:rPr>
      </w:pPr>
      <w:r>
        <w:rPr>
          <w:sz w:val="24"/>
        </w:rPr>
        <w:t>当月的处罚在下月结算服务费时扣除。</w:t>
      </w:r>
    </w:p>
    <w:p>
      <w:pPr>
        <w:numPr>
          <w:ilvl w:val="0"/>
          <w:numId w:val="217"/>
        </w:numPr>
        <w:snapToGrid w:val="0"/>
        <w:spacing w:before="120" w:beforeLines="50" w:line="360" w:lineRule="auto"/>
        <w:rPr>
          <w:sz w:val="24"/>
        </w:rPr>
      </w:pPr>
      <w:r>
        <w:rPr>
          <w:sz w:val="24"/>
        </w:rPr>
        <w:t>考核奖罚标准</w:t>
      </w:r>
    </w:p>
    <w:p>
      <w:pPr>
        <w:numPr>
          <w:ilvl w:val="1"/>
          <w:numId w:val="217"/>
        </w:numPr>
        <w:snapToGrid w:val="0"/>
        <w:spacing w:line="360" w:lineRule="auto"/>
        <w:rPr>
          <w:sz w:val="24"/>
        </w:rPr>
      </w:pPr>
      <w:r>
        <w:rPr>
          <w:bCs/>
          <w:sz w:val="24"/>
        </w:rPr>
        <w:t>月度绩效考核奖励标准：</w:t>
      </w:r>
    </w:p>
    <w:tbl>
      <w:tblPr>
        <w:tblStyle w:val="70"/>
        <w:tblW w:w="0" w:type="auto"/>
        <w:tblInd w:w="72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077"/>
        <w:gridCol w:w="2971"/>
        <w:gridCol w:w="281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3077" w:type="dxa"/>
            <w:noWrap w:val="0"/>
            <w:vAlign w:val="center"/>
          </w:tcPr>
          <w:p>
            <w:pPr>
              <w:widowControl/>
              <w:ind w:left="108" w:hanging="108" w:hangingChars="45"/>
              <w:jc w:val="center"/>
              <w:rPr>
                <w:b/>
                <w:sz w:val="24"/>
              </w:rPr>
            </w:pPr>
            <w:r>
              <w:rPr>
                <w:b/>
                <w:sz w:val="24"/>
              </w:rPr>
              <w:t>得  分</w:t>
            </w:r>
          </w:p>
        </w:tc>
        <w:tc>
          <w:tcPr>
            <w:tcW w:w="2971" w:type="dxa"/>
            <w:noWrap w:val="0"/>
            <w:vAlign w:val="center"/>
          </w:tcPr>
          <w:p>
            <w:pPr>
              <w:widowControl/>
              <w:jc w:val="center"/>
              <w:rPr>
                <w:b/>
                <w:sz w:val="24"/>
              </w:rPr>
            </w:pPr>
            <w:r>
              <w:rPr>
                <w:b/>
                <w:sz w:val="24"/>
              </w:rPr>
              <w:t>奖励标准</w:t>
            </w:r>
          </w:p>
        </w:tc>
        <w:tc>
          <w:tcPr>
            <w:tcW w:w="2814" w:type="dxa"/>
            <w:noWrap w:val="0"/>
            <w:vAlign w:val="center"/>
          </w:tcPr>
          <w:p>
            <w:pPr>
              <w:widowControl/>
              <w:jc w:val="center"/>
              <w:rPr>
                <w:b/>
                <w:sz w:val="24"/>
              </w:rPr>
            </w:pPr>
            <w:r>
              <w:rPr>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2" w:hRule="atLeast"/>
        </w:trPr>
        <w:tc>
          <w:tcPr>
            <w:tcW w:w="3077" w:type="dxa"/>
            <w:noWrap w:val="0"/>
            <w:vAlign w:val="center"/>
          </w:tcPr>
          <w:p>
            <w:pPr>
              <w:widowControl/>
              <w:jc w:val="center"/>
              <w:rPr>
                <w:sz w:val="24"/>
              </w:rPr>
            </w:pPr>
            <w:r>
              <w:rPr>
                <w:sz w:val="24"/>
              </w:rPr>
              <w:t>≥95分</w:t>
            </w:r>
          </w:p>
        </w:tc>
        <w:tc>
          <w:tcPr>
            <w:tcW w:w="2971" w:type="dxa"/>
            <w:noWrap w:val="0"/>
            <w:vAlign w:val="center"/>
          </w:tcPr>
          <w:p>
            <w:pPr>
              <w:widowControl/>
              <w:jc w:val="center"/>
              <w:rPr>
                <w:sz w:val="24"/>
              </w:rPr>
            </w:pPr>
            <w:r>
              <w:rPr>
                <w:sz w:val="24"/>
              </w:rPr>
              <w:t>增加1000元/当月</w:t>
            </w:r>
          </w:p>
        </w:tc>
        <w:tc>
          <w:tcPr>
            <w:tcW w:w="2814" w:type="dxa"/>
            <w:vMerge w:val="restart"/>
            <w:noWrap w:val="0"/>
            <w:vAlign w:val="center"/>
          </w:tcPr>
          <w:p>
            <w:pPr>
              <w:widowControl/>
              <w:jc w:val="left"/>
              <w:rPr>
                <w:sz w:val="24"/>
              </w:rPr>
            </w:pPr>
            <w:r>
              <w:rPr>
                <w:sz w:val="24"/>
              </w:rPr>
              <w:t>当月最高奖励不超过2000元人民币。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6" w:hRule="atLeast"/>
        </w:trPr>
        <w:tc>
          <w:tcPr>
            <w:tcW w:w="3077" w:type="dxa"/>
            <w:noWrap w:val="0"/>
            <w:vAlign w:val="center"/>
          </w:tcPr>
          <w:p>
            <w:pPr>
              <w:widowControl/>
              <w:jc w:val="center"/>
              <w:rPr>
                <w:sz w:val="24"/>
              </w:rPr>
            </w:pPr>
            <w:r>
              <w:rPr>
                <w:sz w:val="24"/>
              </w:rPr>
              <w:t>连续2个月≥95分</w:t>
            </w:r>
          </w:p>
        </w:tc>
        <w:tc>
          <w:tcPr>
            <w:tcW w:w="2971" w:type="dxa"/>
            <w:noWrap w:val="0"/>
            <w:vAlign w:val="center"/>
          </w:tcPr>
          <w:p>
            <w:pPr>
              <w:widowControl/>
              <w:jc w:val="center"/>
              <w:rPr>
                <w:sz w:val="24"/>
              </w:rPr>
            </w:pPr>
            <w:r>
              <w:rPr>
                <w:sz w:val="24"/>
              </w:rPr>
              <w:t>增加1500元/当月</w:t>
            </w:r>
          </w:p>
        </w:tc>
        <w:tc>
          <w:tcPr>
            <w:tcW w:w="2814" w:type="dxa"/>
            <w:vMerge w:val="continue"/>
            <w:noWrap w:val="0"/>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6" w:hRule="atLeast"/>
        </w:trPr>
        <w:tc>
          <w:tcPr>
            <w:tcW w:w="3077" w:type="dxa"/>
            <w:noWrap w:val="0"/>
            <w:vAlign w:val="center"/>
          </w:tcPr>
          <w:p>
            <w:pPr>
              <w:widowControl/>
              <w:jc w:val="center"/>
              <w:rPr>
                <w:sz w:val="24"/>
              </w:rPr>
            </w:pPr>
            <w:r>
              <w:rPr>
                <w:sz w:val="24"/>
              </w:rPr>
              <w:t>连续3个月≥95分</w:t>
            </w:r>
          </w:p>
        </w:tc>
        <w:tc>
          <w:tcPr>
            <w:tcW w:w="2971" w:type="dxa"/>
            <w:noWrap w:val="0"/>
            <w:vAlign w:val="center"/>
          </w:tcPr>
          <w:p>
            <w:pPr>
              <w:widowControl/>
              <w:jc w:val="center"/>
              <w:rPr>
                <w:sz w:val="24"/>
              </w:rPr>
            </w:pPr>
            <w:r>
              <w:rPr>
                <w:sz w:val="24"/>
              </w:rPr>
              <w:t>增加2000元/当月</w:t>
            </w:r>
          </w:p>
        </w:tc>
        <w:tc>
          <w:tcPr>
            <w:tcW w:w="2814" w:type="dxa"/>
            <w:vMerge w:val="continue"/>
            <w:noWrap w:val="0"/>
            <w:vAlign w:val="center"/>
          </w:tcPr>
          <w:p>
            <w:pPr>
              <w:widowControl/>
              <w:jc w:val="left"/>
              <w:rPr>
                <w:sz w:val="24"/>
              </w:rPr>
            </w:pPr>
          </w:p>
        </w:tc>
      </w:tr>
    </w:tbl>
    <w:p>
      <w:pPr>
        <w:numPr>
          <w:ilvl w:val="1"/>
          <w:numId w:val="217"/>
        </w:numPr>
        <w:snapToGrid w:val="0"/>
        <w:spacing w:line="360" w:lineRule="auto"/>
        <w:rPr>
          <w:sz w:val="24"/>
        </w:rPr>
      </w:pPr>
      <w:r>
        <w:rPr>
          <w:bCs/>
          <w:sz w:val="24"/>
        </w:rPr>
        <w:t>月度绩效考核</w:t>
      </w:r>
      <w:r>
        <w:rPr>
          <w:sz w:val="24"/>
        </w:rPr>
        <w:t>处罚标准：</w:t>
      </w:r>
    </w:p>
    <w:tbl>
      <w:tblPr>
        <w:tblStyle w:val="70"/>
        <w:tblW w:w="0" w:type="auto"/>
        <w:tblInd w:w="67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3892"/>
        <w:gridCol w:w="4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sz w:val="24"/>
              </w:rPr>
            </w:pPr>
            <w:r>
              <w:rPr>
                <w:b/>
                <w:bCs/>
                <w:sz w:val="24"/>
              </w:rPr>
              <w:t>序号</w:t>
            </w:r>
          </w:p>
        </w:tc>
        <w:tc>
          <w:tcPr>
            <w:tcW w:w="38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sz w:val="24"/>
              </w:rPr>
            </w:pPr>
            <w:r>
              <w:rPr>
                <w:b/>
                <w:bCs/>
                <w:sz w:val="24"/>
              </w:rPr>
              <w:t>月度评分</w:t>
            </w:r>
          </w:p>
        </w:tc>
        <w:tc>
          <w:tcPr>
            <w:tcW w:w="4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sz w:val="24"/>
              </w:rPr>
            </w:pPr>
            <w:r>
              <w:rPr>
                <w:b/>
                <w:bCs/>
                <w:sz w:val="24"/>
              </w:rPr>
              <w:t>扣款标准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 w:val="24"/>
              </w:rPr>
            </w:pPr>
            <w:r>
              <w:rPr>
                <w:sz w:val="24"/>
              </w:rPr>
              <w:t xml:space="preserve">1 </w:t>
            </w:r>
          </w:p>
        </w:tc>
        <w:tc>
          <w:tcPr>
            <w:tcW w:w="38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 w:val="24"/>
              </w:rPr>
            </w:pPr>
            <w:r>
              <w:rPr>
                <w:sz w:val="24"/>
              </w:rPr>
              <w:t>89分（含）以上</w:t>
            </w:r>
          </w:p>
        </w:tc>
        <w:tc>
          <w:tcPr>
            <w:tcW w:w="42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r>
              <w:rPr>
                <w:sz w:val="24"/>
              </w:rPr>
              <w:t>支付全部月度合同金额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 w:val="24"/>
              </w:rPr>
            </w:pPr>
            <w:r>
              <w:rPr>
                <w:sz w:val="24"/>
              </w:rPr>
              <w:t xml:space="preserve">2 </w:t>
            </w:r>
          </w:p>
        </w:tc>
        <w:tc>
          <w:tcPr>
            <w:tcW w:w="38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 w:val="24"/>
              </w:rPr>
            </w:pPr>
            <w:r>
              <w:rPr>
                <w:sz w:val="24"/>
              </w:rPr>
              <w:t>89分以下，84分（含）以上</w:t>
            </w:r>
          </w:p>
        </w:tc>
        <w:tc>
          <w:tcPr>
            <w:tcW w:w="42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r>
              <w:rPr>
                <w:sz w:val="24"/>
              </w:rPr>
              <w:t>扣款为月度合同金额2.5%；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 w:val="24"/>
              </w:rPr>
            </w:pPr>
            <w:r>
              <w:rPr>
                <w:sz w:val="24"/>
              </w:rPr>
              <w:t xml:space="preserve">3 </w:t>
            </w:r>
          </w:p>
        </w:tc>
        <w:tc>
          <w:tcPr>
            <w:tcW w:w="38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 w:val="24"/>
              </w:rPr>
            </w:pPr>
            <w:r>
              <w:rPr>
                <w:sz w:val="24"/>
              </w:rPr>
              <w:t>84分以下，79分（含）以上</w:t>
            </w:r>
          </w:p>
        </w:tc>
        <w:tc>
          <w:tcPr>
            <w:tcW w:w="42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r>
              <w:rPr>
                <w:sz w:val="24"/>
              </w:rPr>
              <w:t>扣款为月度合同金额5%；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 w:val="24"/>
              </w:rPr>
            </w:pPr>
            <w:r>
              <w:rPr>
                <w:sz w:val="24"/>
              </w:rPr>
              <w:t xml:space="preserve">4 </w:t>
            </w:r>
          </w:p>
        </w:tc>
        <w:tc>
          <w:tcPr>
            <w:tcW w:w="38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 w:val="24"/>
              </w:rPr>
            </w:pPr>
            <w:r>
              <w:rPr>
                <w:sz w:val="24"/>
              </w:rPr>
              <w:t>79分以下</w:t>
            </w:r>
          </w:p>
        </w:tc>
        <w:tc>
          <w:tcPr>
            <w:tcW w:w="42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r>
              <w:rPr>
                <w:sz w:val="24"/>
              </w:rPr>
              <w:t>扣款为月度合同金额10%；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 w:val="24"/>
              </w:rPr>
            </w:pPr>
            <w:r>
              <w:rPr>
                <w:sz w:val="24"/>
              </w:rPr>
              <w:t>5</w:t>
            </w:r>
          </w:p>
        </w:tc>
        <w:tc>
          <w:tcPr>
            <w:tcW w:w="38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 w:val="24"/>
              </w:rPr>
            </w:pPr>
            <w:r>
              <w:rPr>
                <w:sz w:val="24"/>
              </w:rPr>
              <w:t>服务期限内有5次低于89分</w:t>
            </w:r>
          </w:p>
        </w:tc>
        <w:tc>
          <w:tcPr>
            <w:tcW w:w="42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r>
              <w:rPr>
                <w:sz w:val="24"/>
              </w:rPr>
              <w:t>没收全部履约保证金,并终止合同；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 w:val="24"/>
              </w:rPr>
            </w:pPr>
            <w:r>
              <w:rPr>
                <w:sz w:val="24"/>
              </w:rPr>
              <w:t xml:space="preserve">6 </w:t>
            </w:r>
          </w:p>
        </w:tc>
        <w:tc>
          <w:tcPr>
            <w:tcW w:w="38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 w:val="24"/>
              </w:rPr>
            </w:pPr>
            <w:r>
              <w:rPr>
                <w:sz w:val="24"/>
              </w:rPr>
              <w:t>服务期限内有2次低于79分</w:t>
            </w:r>
          </w:p>
        </w:tc>
        <w:tc>
          <w:tcPr>
            <w:tcW w:w="42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r>
              <w:rPr>
                <w:sz w:val="24"/>
              </w:rPr>
              <w:t>没收全部履约保证金,并终止合同；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467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sz w:val="24"/>
              </w:rPr>
            </w:pPr>
            <w:r>
              <w:rPr>
                <w:sz w:val="24"/>
              </w:rPr>
              <w:t>备注</w:t>
            </w:r>
          </w:p>
        </w:tc>
        <w:tc>
          <w:tcPr>
            <w:tcW w:w="42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r>
              <w:rPr>
                <w:sz w:val="24"/>
              </w:rPr>
              <w:t>以上评分标准按照百分制进行，每月初恢复百分制。</w:t>
            </w:r>
          </w:p>
        </w:tc>
      </w:tr>
    </w:tbl>
    <w:p>
      <w:pPr>
        <w:numPr>
          <w:ilvl w:val="1"/>
          <w:numId w:val="217"/>
        </w:numPr>
        <w:snapToGrid w:val="0"/>
        <w:spacing w:line="360" w:lineRule="auto"/>
        <w:rPr>
          <w:sz w:val="24"/>
        </w:rPr>
      </w:pPr>
      <w:r>
        <w:rPr>
          <w:bCs/>
          <w:sz w:val="24"/>
        </w:rPr>
        <w:t>考勤标准：</w:t>
      </w:r>
    </w:p>
    <w:tbl>
      <w:tblPr>
        <w:tblStyle w:val="70"/>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827"/>
        <w:gridCol w:w="851"/>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678" w:type="dxa"/>
            <w:gridSpan w:val="2"/>
            <w:noWrap w:val="0"/>
            <w:vAlign w:val="center"/>
          </w:tcPr>
          <w:p>
            <w:pPr>
              <w:widowControl/>
              <w:jc w:val="center"/>
              <w:rPr>
                <w:b/>
                <w:sz w:val="24"/>
              </w:rPr>
            </w:pPr>
            <w:r>
              <w:rPr>
                <w:b/>
                <w:sz w:val="24"/>
              </w:rPr>
              <w:t>标准</w:t>
            </w:r>
          </w:p>
        </w:tc>
        <w:tc>
          <w:tcPr>
            <w:tcW w:w="4253" w:type="dxa"/>
            <w:gridSpan w:val="2"/>
            <w:noWrap w:val="0"/>
            <w:vAlign w:val="center"/>
          </w:tcPr>
          <w:p>
            <w:pPr>
              <w:widowControl/>
              <w:jc w:val="center"/>
              <w:rPr>
                <w:b/>
                <w:sz w:val="24"/>
              </w:rPr>
            </w:pPr>
            <w:r>
              <w:rPr>
                <w:b/>
                <w:sz w:val="24"/>
              </w:rPr>
              <w:t>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gridSpan w:val="2"/>
            <w:noWrap w:val="0"/>
            <w:vAlign w:val="center"/>
          </w:tcPr>
          <w:p>
            <w:pPr>
              <w:widowControl/>
              <w:jc w:val="center"/>
              <w:rPr>
                <w:sz w:val="24"/>
              </w:rPr>
            </w:pPr>
            <w:r>
              <w:rPr>
                <w:sz w:val="24"/>
              </w:rPr>
              <w:t>迟到或早退5分钟之内（含5分钟）</w:t>
            </w:r>
          </w:p>
        </w:tc>
        <w:tc>
          <w:tcPr>
            <w:tcW w:w="4253" w:type="dxa"/>
            <w:gridSpan w:val="2"/>
            <w:noWrap w:val="0"/>
            <w:vAlign w:val="center"/>
          </w:tcPr>
          <w:p>
            <w:pPr>
              <w:widowControl/>
              <w:jc w:val="center"/>
              <w:rPr>
                <w:sz w:val="24"/>
              </w:rPr>
            </w:pPr>
            <w:r>
              <w:rPr>
                <w:sz w:val="24"/>
              </w:rPr>
              <w:t>5元/人/次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gridSpan w:val="2"/>
            <w:noWrap w:val="0"/>
            <w:vAlign w:val="center"/>
          </w:tcPr>
          <w:p>
            <w:pPr>
              <w:widowControl/>
              <w:jc w:val="center"/>
              <w:rPr>
                <w:sz w:val="24"/>
              </w:rPr>
            </w:pPr>
            <w:r>
              <w:rPr>
                <w:sz w:val="24"/>
              </w:rPr>
              <w:t>迟到或早退5—30分钟（含30分钟）</w:t>
            </w:r>
          </w:p>
        </w:tc>
        <w:tc>
          <w:tcPr>
            <w:tcW w:w="4253" w:type="dxa"/>
            <w:gridSpan w:val="2"/>
            <w:noWrap w:val="0"/>
            <w:vAlign w:val="center"/>
          </w:tcPr>
          <w:p>
            <w:pPr>
              <w:widowControl/>
              <w:jc w:val="center"/>
              <w:rPr>
                <w:sz w:val="24"/>
              </w:rPr>
            </w:pPr>
            <w:r>
              <w:rPr>
                <w:sz w:val="24"/>
              </w:rPr>
              <w:t>10元/人/次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gridSpan w:val="2"/>
            <w:noWrap w:val="0"/>
            <w:vAlign w:val="center"/>
          </w:tcPr>
          <w:p>
            <w:pPr>
              <w:widowControl/>
              <w:jc w:val="center"/>
              <w:rPr>
                <w:sz w:val="24"/>
              </w:rPr>
            </w:pPr>
            <w:r>
              <w:rPr>
                <w:sz w:val="24"/>
              </w:rPr>
              <w:t>迟到或早退30分钟以上</w:t>
            </w:r>
          </w:p>
        </w:tc>
        <w:tc>
          <w:tcPr>
            <w:tcW w:w="4253" w:type="dxa"/>
            <w:gridSpan w:val="2"/>
            <w:noWrap w:val="0"/>
            <w:vAlign w:val="center"/>
          </w:tcPr>
          <w:p>
            <w:pPr>
              <w:widowControl/>
              <w:jc w:val="center"/>
              <w:rPr>
                <w:sz w:val="24"/>
              </w:rPr>
            </w:pPr>
            <w:r>
              <w:rPr>
                <w:sz w:val="24"/>
              </w:rPr>
              <w:t>视同缺岗，200元/人/次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gridSpan w:val="2"/>
            <w:noWrap w:val="0"/>
            <w:vAlign w:val="center"/>
          </w:tcPr>
          <w:p>
            <w:pPr>
              <w:widowControl/>
              <w:jc w:val="center"/>
              <w:rPr>
                <w:sz w:val="24"/>
              </w:rPr>
            </w:pPr>
            <w:r>
              <w:rPr>
                <w:sz w:val="24"/>
              </w:rPr>
              <w:t>未打卡且未于当天及时说明理由者</w:t>
            </w:r>
          </w:p>
        </w:tc>
        <w:tc>
          <w:tcPr>
            <w:tcW w:w="4253" w:type="dxa"/>
            <w:gridSpan w:val="2"/>
            <w:noWrap w:val="0"/>
            <w:vAlign w:val="center"/>
          </w:tcPr>
          <w:p>
            <w:pPr>
              <w:widowControl/>
              <w:jc w:val="center"/>
              <w:rPr>
                <w:sz w:val="24"/>
              </w:rPr>
            </w:pPr>
            <w:r>
              <w:rPr>
                <w:sz w:val="24"/>
              </w:rPr>
              <w:t>视同迟到，5元/人/次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gridSpan w:val="2"/>
            <w:noWrap w:val="0"/>
            <w:vAlign w:val="center"/>
          </w:tcPr>
          <w:p>
            <w:pPr>
              <w:widowControl/>
              <w:jc w:val="center"/>
              <w:rPr>
                <w:sz w:val="24"/>
              </w:rPr>
            </w:pPr>
            <w:r>
              <w:rPr>
                <w:sz w:val="24"/>
              </w:rPr>
              <w:t>缺岗</w:t>
            </w:r>
          </w:p>
        </w:tc>
        <w:tc>
          <w:tcPr>
            <w:tcW w:w="4253" w:type="dxa"/>
            <w:gridSpan w:val="2"/>
            <w:noWrap w:val="0"/>
            <w:vAlign w:val="center"/>
          </w:tcPr>
          <w:p>
            <w:pPr>
              <w:widowControl/>
              <w:jc w:val="center"/>
              <w:rPr>
                <w:sz w:val="24"/>
              </w:rPr>
            </w:pPr>
            <w:r>
              <w:rPr>
                <w:sz w:val="24"/>
              </w:rPr>
              <w:t>200元/人/次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gridSpan w:val="2"/>
            <w:noWrap w:val="0"/>
            <w:vAlign w:val="center"/>
          </w:tcPr>
          <w:p>
            <w:pPr>
              <w:widowControl/>
              <w:jc w:val="center"/>
              <w:rPr>
                <w:sz w:val="24"/>
              </w:rPr>
            </w:pPr>
            <w:r>
              <w:rPr>
                <w:sz w:val="24"/>
              </w:rPr>
              <w:t>当月迟到或早退累计5次及5次以上者</w:t>
            </w:r>
          </w:p>
        </w:tc>
        <w:tc>
          <w:tcPr>
            <w:tcW w:w="4253" w:type="dxa"/>
            <w:gridSpan w:val="2"/>
            <w:noWrap w:val="0"/>
            <w:vAlign w:val="center"/>
          </w:tcPr>
          <w:p>
            <w:pPr>
              <w:widowControl/>
              <w:jc w:val="center"/>
              <w:rPr>
                <w:sz w:val="24"/>
              </w:rPr>
            </w:pPr>
            <w:r>
              <w:rPr>
                <w:sz w:val="24"/>
              </w:rPr>
              <w:t>除按照上述标准扣款外，</w:t>
            </w:r>
          </w:p>
          <w:p>
            <w:pPr>
              <w:widowControl/>
              <w:jc w:val="center"/>
              <w:rPr>
                <w:sz w:val="24"/>
              </w:rPr>
            </w:pPr>
            <w:r>
              <w:rPr>
                <w:sz w:val="24"/>
              </w:rPr>
              <w:t>另扣除60元/人/月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gridSpan w:val="2"/>
            <w:noWrap w:val="0"/>
            <w:vAlign w:val="center"/>
          </w:tcPr>
          <w:p>
            <w:pPr>
              <w:widowControl/>
              <w:jc w:val="center"/>
              <w:rPr>
                <w:sz w:val="24"/>
              </w:rPr>
            </w:pPr>
            <w:r>
              <w:rPr>
                <w:sz w:val="24"/>
              </w:rPr>
              <w:t>考勤系统未排班</w:t>
            </w:r>
          </w:p>
        </w:tc>
        <w:tc>
          <w:tcPr>
            <w:tcW w:w="4253" w:type="dxa"/>
            <w:gridSpan w:val="2"/>
            <w:noWrap w:val="0"/>
            <w:vAlign w:val="center"/>
          </w:tcPr>
          <w:p>
            <w:pPr>
              <w:widowControl/>
              <w:jc w:val="center"/>
              <w:rPr>
                <w:sz w:val="24"/>
              </w:rPr>
            </w:pPr>
            <w:r>
              <w:rPr>
                <w:sz w:val="24"/>
              </w:rPr>
              <w:t>视同缺岗，200元/次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31" w:type="dxa"/>
            <w:gridSpan w:val="4"/>
            <w:noWrap w:val="0"/>
            <w:vAlign w:val="center"/>
          </w:tcPr>
          <w:p>
            <w:pPr>
              <w:widowControl/>
              <w:jc w:val="center"/>
              <w:rPr>
                <w:sz w:val="24"/>
              </w:rPr>
            </w:pPr>
            <w:r>
              <w:rPr>
                <w:b/>
                <w:sz w:val="24"/>
              </w:rPr>
              <w:t>出现下述情况者,另行处罚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widowControl/>
              <w:spacing w:line="360" w:lineRule="auto"/>
              <w:jc w:val="center"/>
              <w:rPr>
                <w:sz w:val="24"/>
              </w:rPr>
            </w:pPr>
            <w:r>
              <w:rPr>
                <w:b/>
                <w:bCs/>
                <w:sz w:val="24"/>
              </w:rPr>
              <w:t>序号</w:t>
            </w:r>
          </w:p>
        </w:tc>
        <w:tc>
          <w:tcPr>
            <w:tcW w:w="4678" w:type="dxa"/>
            <w:gridSpan w:val="2"/>
            <w:noWrap w:val="0"/>
            <w:vAlign w:val="center"/>
          </w:tcPr>
          <w:p>
            <w:pPr>
              <w:widowControl/>
              <w:spacing w:line="360" w:lineRule="auto"/>
              <w:jc w:val="center"/>
              <w:rPr>
                <w:b/>
                <w:sz w:val="24"/>
              </w:rPr>
            </w:pPr>
            <w:r>
              <w:rPr>
                <w:b/>
                <w:sz w:val="24"/>
              </w:rPr>
              <w:t>内容</w:t>
            </w:r>
          </w:p>
        </w:tc>
        <w:tc>
          <w:tcPr>
            <w:tcW w:w="3402" w:type="dxa"/>
            <w:noWrap w:val="0"/>
            <w:vAlign w:val="center"/>
          </w:tcPr>
          <w:p>
            <w:pPr>
              <w:widowControl/>
              <w:spacing w:line="360" w:lineRule="auto"/>
              <w:jc w:val="center"/>
              <w:rPr>
                <w:sz w:val="24"/>
              </w:rPr>
            </w:pPr>
            <w:r>
              <w:rPr>
                <w:b/>
                <w:bCs/>
                <w:sz w:val="24"/>
              </w:rPr>
              <w:t>扣款标准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widowControl/>
              <w:spacing w:line="360" w:lineRule="auto"/>
              <w:jc w:val="center"/>
              <w:rPr>
                <w:sz w:val="24"/>
              </w:rPr>
            </w:pPr>
            <w:r>
              <w:rPr>
                <w:sz w:val="24"/>
              </w:rPr>
              <w:t>1</w:t>
            </w:r>
          </w:p>
        </w:tc>
        <w:tc>
          <w:tcPr>
            <w:tcW w:w="4678" w:type="dxa"/>
            <w:gridSpan w:val="2"/>
            <w:noWrap w:val="0"/>
            <w:vAlign w:val="center"/>
          </w:tcPr>
          <w:p>
            <w:pPr>
              <w:widowControl/>
              <w:jc w:val="left"/>
              <w:rPr>
                <w:sz w:val="24"/>
              </w:rPr>
            </w:pPr>
            <w:r>
              <w:rPr>
                <w:kern w:val="0"/>
                <w:sz w:val="24"/>
              </w:rPr>
              <w:t>上班期间违反劳动规定，或做其他无关工作事情</w:t>
            </w:r>
            <w:r>
              <w:rPr>
                <w:sz w:val="24"/>
              </w:rPr>
              <w:t>（如聚众聊天、织毛衣、睡觉、饮酒等）</w:t>
            </w:r>
          </w:p>
        </w:tc>
        <w:tc>
          <w:tcPr>
            <w:tcW w:w="3402" w:type="dxa"/>
            <w:noWrap w:val="0"/>
            <w:vAlign w:val="center"/>
          </w:tcPr>
          <w:p>
            <w:pPr>
              <w:widowControl/>
              <w:spacing w:line="360" w:lineRule="auto"/>
              <w:jc w:val="center"/>
              <w:rPr>
                <w:sz w:val="24"/>
              </w:rPr>
            </w:pPr>
            <w:r>
              <w:rPr>
                <w:sz w:val="24"/>
              </w:rPr>
              <w:t>发生1次，每次罚款200元。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widowControl/>
              <w:spacing w:line="360" w:lineRule="auto"/>
              <w:jc w:val="center"/>
              <w:rPr>
                <w:sz w:val="24"/>
              </w:rPr>
            </w:pPr>
            <w:r>
              <w:rPr>
                <w:sz w:val="24"/>
              </w:rPr>
              <w:t>2</w:t>
            </w:r>
          </w:p>
        </w:tc>
        <w:tc>
          <w:tcPr>
            <w:tcW w:w="4678" w:type="dxa"/>
            <w:gridSpan w:val="2"/>
            <w:noWrap w:val="0"/>
            <w:vAlign w:val="center"/>
          </w:tcPr>
          <w:p>
            <w:pPr>
              <w:widowControl/>
              <w:jc w:val="left"/>
              <w:rPr>
                <w:kern w:val="0"/>
                <w:sz w:val="24"/>
              </w:rPr>
            </w:pPr>
            <w:r>
              <w:rPr>
                <w:kern w:val="0"/>
                <w:sz w:val="24"/>
              </w:rPr>
              <w:t>私自带走、储存、变卖、赠送餐厅食材，以任何理由拿走餐厅任何物品</w:t>
            </w:r>
          </w:p>
        </w:tc>
        <w:tc>
          <w:tcPr>
            <w:tcW w:w="3402" w:type="dxa"/>
            <w:noWrap w:val="0"/>
            <w:vAlign w:val="center"/>
          </w:tcPr>
          <w:p>
            <w:pPr>
              <w:jc w:val="left"/>
              <w:rPr>
                <w:kern w:val="0"/>
                <w:sz w:val="24"/>
              </w:rPr>
            </w:pPr>
            <w:r>
              <w:rPr>
                <w:kern w:val="0"/>
                <w:sz w:val="24"/>
              </w:rPr>
              <w:t>一旦发现，第一次罚款500元，第二次调离本项目。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widowControl/>
              <w:spacing w:line="360" w:lineRule="auto"/>
              <w:jc w:val="center"/>
              <w:rPr>
                <w:sz w:val="24"/>
              </w:rPr>
            </w:pPr>
            <w:r>
              <w:rPr>
                <w:sz w:val="24"/>
              </w:rPr>
              <w:t>备注</w:t>
            </w:r>
          </w:p>
        </w:tc>
        <w:tc>
          <w:tcPr>
            <w:tcW w:w="8080" w:type="dxa"/>
            <w:gridSpan w:val="3"/>
            <w:noWrap w:val="0"/>
            <w:vAlign w:val="center"/>
          </w:tcPr>
          <w:p>
            <w:pPr>
              <w:jc w:val="left"/>
              <w:rPr>
                <w:kern w:val="0"/>
                <w:sz w:val="24"/>
              </w:rPr>
            </w:pPr>
            <w:r>
              <w:rPr>
                <w:kern w:val="0"/>
                <w:sz w:val="24"/>
              </w:rPr>
              <w:t>上述罚款直接在当月服务费用结算时扣除。</w:t>
            </w:r>
          </w:p>
        </w:tc>
      </w:tr>
    </w:tbl>
    <w:p>
      <w:pPr>
        <w:numPr>
          <w:ilvl w:val="0"/>
          <w:numId w:val="217"/>
        </w:numPr>
        <w:snapToGrid w:val="0"/>
        <w:spacing w:before="120" w:beforeLines="50" w:line="360" w:lineRule="auto"/>
        <w:rPr>
          <w:sz w:val="24"/>
        </w:rPr>
      </w:pPr>
      <w:r>
        <w:rPr>
          <w:sz w:val="24"/>
        </w:rPr>
        <w:t>付款方式</w:t>
      </w:r>
    </w:p>
    <w:p>
      <w:pPr>
        <w:numPr>
          <w:ilvl w:val="1"/>
          <w:numId w:val="217"/>
        </w:numPr>
        <w:snapToGrid w:val="0"/>
        <w:spacing w:line="360" w:lineRule="auto"/>
        <w:rPr>
          <w:sz w:val="24"/>
        </w:rPr>
      </w:pPr>
      <w:r>
        <w:rPr>
          <w:sz w:val="24"/>
        </w:rPr>
        <w:t>付款方式：</w:t>
      </w:r>
      <w:r>
        <w:rPr>
          <w:sz w:val="24"/>
          <w:u w:val="single"/>
        </w:rPr>
        <w:t xml:space="preserve">  以电汇方式进行结算，每月结算一次。    </w:t>
      </w:r>
    </w:p>
    <w:p>
      <w:pPr>
        <w:numPr>
          <w:ilvl w:val="1"/>
          <w:numId w:val="217"/>
        </w:numPr>
        <w:snapToGrid w:val="0"/>
        <w:spacing w:line="360" w:lineRule="auto"/>
        <w:rPr>
          <w:sz w:val="24"/>
        </w:rPr>
      </w:pPr>
      <w:r>
        <w:rPr>
          <w:sz w:val="24"/>
        </w:rPr>
        <w:t>结算流程：</w:t>
      </w:r>
    </w:p>
    <w:p>
      <w:pPr>
        <w:snapToGrid w:val="0"/>
        <w:spacing w:line="360" w:lineRule="auto"/>
        <w:ind w:left="567"/>
        <w:rPr>
          <w:sz w:val="24"/>
        </w:rPr>
      </w:pPr>
      <w:r>
        <w:rPr>
          <w:sz w:val="24"/>
        </w:rPr>
        <w:t>（1）</w:t>
      </w:r>
      <w:r>
        <w:rPr>
          <w:sz w:val="24"/>
        </w:rPr>
        <w:tab/>
      </w:r>
      <w:r>
        <w:rPr>
          <w:sz w:val="24"/>
        </w:rPr>
        <w:t>乙方每月向甲方提交服务区域及人员配置明细表（格式可参照招标文件中“</w:t>
      </w:r>
      <w:r>
        <w:rPr>
          <w:rFonts w:hint="eastAsia"/>
          <w:sz w:val="24"/>
        </w:rPr>
        <w:t>卫生保洁（含配送、勤杂）、被服服务（洗衣房）、保安、维修、厨房</w:t>
      </w:r>
      <w:r>
        <w:rPr>
          <w:sz w:val="24"/>
        </w:rPr>
        <w:t>服务人员配备情况表”）；</w:t>
      </w:r>
    </w:p>
    <w:p>
      <w:pPr>
        <w:snapToGrid w:val="0"/>
        <w:spacing w:line="360" w:lineRule="auto"/>
        <w:ind w:left="567"/>
        <w:rPr>
          <w:sz w:val="24"/>
        </w:rPr>
      </w:pPr>
      <w:r>
        <w:rPr>
          <w:sz w:val="24"/>
        </w:rPr>
        <w:t>（2）</w:t>
      </w:r>
      <w:r>
        <w:rPr>
          <w:sz w:val="24"/>
        </w:rPr>
        <w:tab/>
      </w:r>
      <w:r>
        <w:rPr>
          <w:sz w:val="24"/>
        </w:rPr>
        <w:t>甲方对乙方提交的材料进行复核、确认；</w:t>
      </w:r>
    </w:p>
    <w:p>
      <w:pPr>
        <w:snapToGrid w:val="0"/>
        <w:spacing w:line="360" w:lineRule="auto"/>
        <w:ind w:left="567"/>
        <w:rPr>
          <w:sz w:val="24"/>
        </w:rPr>
      </w:pPr>
      <w:r>
        <w:rPr>
          <w:sz w:val="24"/>
        </w:rPr>
        <w:t>（3）</w:t>
      </w:r>
      <w:r>
        <w:rPr>
          <w:sz w:val="24"/>
        </w:rPr>
        <w:tab/>
      </w:r>
      <w:r>
        <w:rPr>
          <w:sz w:val="24"/>
        </w:rPr>
        <w:t>甲方根据各科室打分的平均值、奖罚情况、实际服务人数、考勤情况及合同罚款条款计算实际月度结算金额；</w:t>
      </w:r>
    </w:p>
    <w:p>
      <w:pPr>
        <w:snapToGrid w:val="0"/>
        <w:spacing w:line="360" w:lineRule="auto"/>
        <w:ind w:left="567"/>
        <w:rPr>
          <w:sz w:val="24"/>
        </w:rPr>
      </w:pPr>
      <w:r>
        <w:rPr>
          <w:sz w:val="24"/>
        </w:rPr>
        <w:t>（4）</w:t>
      </w:r>
      <w:r>
        <w:rPr>
          <w:sz w:val="24"/>
        </w:rPr>
        <w:tab/>
      </w:r>
      <w:r>
        <w:rPr>
          <w:sz w:val="24"/>
        </w:rPr>
        <w:t>实际月度结算金额由双方签字盖章确认；</w:t>
      </w:r>
    </w:p>
    <w:p>
      <w:pPr>
        <w:snapToGrid w:val="0"/>
        <w:spacing w:line="360" w:lineRule="auto"/>
        <w:ind w:left="567"/>
        <w:rPr>
          <w:sz w:val="24"/>
        </w:rPr>
      </w:pPr>
      <w:r>
        <w:rPr>
          <w:sz w:val="24"/>
        </w:rPr>
        <w:t>（5）由乙方提供发票至甲方结算，并附上当月费用明细表。</w:t>
      </w:r>
    </w:p>
    <w:p>
      <w:pPr>
        <w:numPr>
          <w:ilvl w:val="1"/>
          <w:numId w:val="217"/>
        </w:numPr>
        <w:snapToGrid w:val="0"/>
        <w:spacing w:line="360" w:lineRule="auto"/>
        <w:rPr>
          <w:sz w:val="24"/>
        </w:rPr>
      </w:pPr>
      <w:r>
        <w:rPr>
          <w:sz w:val="24"/>
        </w:rPr>
        <w:t>乙方在服务期内有下列行为，造成的不当损失而产生费用，要从当月支付给乙方的费用中扣除：A、乙方要爱护与保管医院财产，如损坏医院设施等，按实际损失价值赔偿；B、没有达到考核标准的，按考核标准中规定的扣除；C、其它因乙方不作为或管理不严等，造成医院不良影响或损失的、部分与招标文件不符的做法的、不履行其投标文件的，甲方直接扣除乙方的当月合同款0.1%-5%。</w:t>
      </w:r>
    </w:p>
    <w:p>
      <w:pPr>
        <w:numPr>
          <w:ilvl w:val="0"/>
          <w:numId w:val="217"/>
        </w:numPr>
        <w:snapToGrid w:val="0"/>
        <w:spacing w:before="120" w:beforeLines="50" w:line="360" w:lineRule="auto"/>
        <w:rPr>
          <w:sz w:val="24"/>
        </w:rPr>
      </w:pPr>
      <w:r>
        <w:rPr>
          <w:sz w:val="24"/>
        </w:rPr>
        <w:t>履约保证金</w:t>
      </w:r>
    </w:p>
    <w:p>
      <w:pPr>
        <w:numPr>
          <w:ilvl w:val="1"/>
          <w:numId w:val="217"/>
        </w:numPr>
        <w:snapToGrid w:val="0"/>
        <w:spacing w:line="360" w:lineRule="auto"/>
        <w:rPr>
          <w:b/>
          <w:sz w:val="24"/>
        </w:rPr>
      </w:pPr>
      <w:r>
        <w:rPr>
          <w:b/>
          <w:sz w:val="24"/>
        </w:rPr>
        <w:t>乙方应在中标通知书发出后10个工作日内与甲方签订合同并缴纳合同总金额5%的履约保证金给甲方。履约保证金以电汇、汇票、支票等方式递交。</w:t>
      </w:r>
    </w:p>
    <w:p>
      <w:pPr>
        <w:numPr>
          <w:ilvl w:val="1"/>
          <w:numId w:val="217"/>
        </w:numPr>
        <w:snapToGrid w:val="0"/>
        <w:spacing w:line="360" w:lineRule="auto"/>
        <w:rPr>
          <w:b/>
          <w:sz w:val="24"/>
        </w:rPr>
      </w:pPr>
      <w:r>
        <w:rPr>
          <w:b/>
          <w:sz w:val="24"/>
        </w:rPr>
        <w:t>合同期结束，且所有合同义务都已履行完毕后30天内，甲方无息退还履约保证金。</w:t>
      </w:r>
    </w:p>
    <w:p>
      <w:pPr>
        <w:numPr>
          <w:ilvl w:val="0"/>
          <w:numId w:val="217"/>
        </w:numPr>
        <w:snapToGrid w:val="0"/>
        <w:spacing w:before="120" w:beforeLines="50" w:line="360" w:lineRule="auto"/>
        <w:rPr>
          <w:sz w:val="24"/>
        </w:rPr>
      </w:pPr>
      <w:r>
        <w:rPr>
          <w:sz w:val="24"/>
        </w:rPr>
        <w:t>违约中止合同及赔偿</w:t>
      </w:r>
    </w:p>
    <w:p>
      <w:pPr>
        <w:numPr>
          <w:ilvl w:val="1"/>
          <w:numId w:val="217"/>
        </w:numPr>
        <w:snapToGrid w:val="0"/>
        <w:spacing w:line="360" w:lineRule="auto"/>
        <w:rPr>
          <w:sz w:val="24"/>
        </w:rPr>
      </w:pPr>
      <w:r>
        <w:rPr>
          <w:sz w:val="24"/>
        </w:rPr>
        <w:t>甲方在乙方存在如下违约情况时，有权单方面终止全部或部分合同，并保留进一步追究乙方责任的权利（包括经济赔偿）。</w:t>
      </w:r>
    </w:p>
    <w:p>
      <w:pPr>
        <w:numPr>
          <w:ilvl w:val="0"/>
          <w:numId w:val="218"/>
        </w:numPr>
        <w:tabs>
          <w:tab w:val="left" w:pos="1260"/>
        </w:tabs>
        <w:spacing w:line="360" w:lineRule="auto"/>
        <w:ind w:left="937"/>
        <w:rPr>
          <w:sz w:val="24"/>
        </w:rPr>
      </w:pPr>
      <w:r>
        <w:rPr>
          <w:sz w:val="24"/>
        </w:rPr>
        <w:t>乙方未能履行合同规定的义务；</w:t>
      </w:r>
    </w:p>
    <w:p>
      <w:pPr>
        <w:numPr>
          <w:ilvl w:val="0"/>
          <w:numId w:val="218"/>
        </w:numPr>
        <w:tabs>
          <w:tab w:val="left" w:pos="1260"/>
        </w:tabs>
        <w:spacing w:line="360" w:lineRule="auto"/>
        <w:ind w:left="937"/>
        <w:rPr>
          <w:sz w:val="24"/>
        </w:rPr>
      </w:pPr>
      <w:r>
        <w:rPr>
          <w:sz w:val="24"/>
        </w:rPr>
        <w:t>一年累计达3次月度考核不合格；</w:t>
      </w:r>
    </w:p>
    <w:p>
      <w:pPr>
        <w:numPr>
          <w:ilvl w:val="0"/>
          <w:numId w:val="218"/>
        </w:numPr>
        <w:tabs>
          <w:tab w:val="left" w:pos="1260"/>
        </w:tabs>
        <w:spacing w:line="360" w:lineRule="auto"/>
        <w:ind w:left="937"/>
        <w:rPr>
          <w:sz w:val="24"/>
        </w:rPr>
      </w:pPr>
      <w:r>
        <w:rPr>
          <w:sz w:val="24"/>
        </w:rPr>
        <w:t>有严重影响医院有关科室的正常工作及医院形象；</w:t>
      </w:r>
    </w:p>
    <w:p>
      <w:pPr>
        <w:numPr>
          <w:ilvl w:val="0"/>
          <w:numId w:val="218"/>
        </w:numPr>
        <w:tabs>
          <w:tab w:val="left" w:pos="1260"/>
        </w:tabs>
        <w:spacing w:line="360" w:lineRule="auto"/>
        <w:ind w:left="937"/>
        <w:rPr>
          <w:sz w:val="24"/>
        </w:rPr>
      </w:pPr>
      <w:r>
        <w:rPr>
          <w:sz w:val="24"/>
        </w:rPr>
        <w:t>与招标文件不符合的做法，或不履行其投标文件的承诺。</w:t>
      </w:r>
    </w:p>
    <w:p>
      <w:pPr>
        <w:numPr>
          <w:ilvl w:val="1"/>
          <w:numId w:val="217"/>
        </w:numPr>
        <w:snapToGrid w:val="0"/>
        <w:spacing w:line="360" w:lineRule="auto"/>
        <w:rPr>
          <w:sz w:val="24"/>
        </w:rPr>
      </w:pPr>
      <w:r>
        <w:rPr>
          <w:sz w:val="24"/>
        </w:rPr>
        <w:t>乙方如要提前中止合同，需提前3个月，并征得甲方同意，否则按合同执行。</w:t>
      </w:r>
    </w:p>
    <w:p>
      <w:pPr>
        <w:numPr>
          <w:ilvl w:val="1"/>
          <w:numId w:val="217"/>
        </w:numPr>
        <w:snapToGrid w:val="0"/>
        <w:spacing w:line="360" w:lineRule="auto"/>
        <w:rPr>
          <w:sz w:val="24"/>
        </w:rPr>
      </w:pPr>
      <w:r>
        <w:rPr>
          <w:sz w:val="24"/>
        </w:rPr>
        <w:t>除不可抗力外以，如发生乙方不能履行合同义务，或甲方发生中途终止合同等情况，应及时以书面形式通知对方。甲乙双方应本着友好的态度进行协商，妥善解决。如协商无效，按下列规定计算并支付违约金：</w:t>
      </w:r>
    </w:p>
    <w:p>
      <w:pPr>
        <w:numPr>
          <w:ilvl w:val="0"/>
          <w:numId w:val="219"/>
        </w:numPr>
        <w:tabs>
          <w:tab w:val="left" w:pos="993"/>
        </w:tabs>
        <w:spacing w:line="360" w:lineRule="auto"/>
        <w:ind w:left="1222" w:hanging="796"/>
        <w:rPr>
          <w:sz w:val="24"/>
        </w:rPr>
      </w:pPr>
      <w:r>
        <w:rPr>
          <w:sz w:val="24"/>
        </w:rPr>
        <w:t>乙方不能履行合同义务，应按未履行部分合同价格的10%向甲方偿付违约金，同时履约保证金不予退还。</w:t>
      </w:r>
    </w:p>
    <w:p>
      <w:pPr>
        <w:numPr>
          <w:ilvl w:val="0"/>
          <w:numId w:val="219"/>
        </w:numPr>
        <w:tabs>
          <w:tab w:val="left" w:pos="993"/>
        </w:tabs>
        <w:spacing w:line="360" w:lineRule="auto"/>
        <w:ind w:left="1222" w:hanging="796"/>
        <w:rPr>
          <w:sz w:val="24"/>
        </w:rPr>
      </w:pPr>
      <w:r>
        <w:rPr>
          <w:sz w:val="24"/>
        </w:rPr>
        <w:t>如乙方未能履行合同规定的任何一项义务，甲方均有权从履约保证金中得到补偿。</w:t>
      </w:r>
    </w:p>
    <w:p>
      <w:pPr>
        <w:numPr>
          <w:ilvl w:val="0"/>
          <w:numId w:val="219"/>
        </w:numPr>
        <w:tabs>
          <w:tab w:val="left" w:pos="993"/>
        </w:tabs>
        <w:spacing w:line="360" w:lineRule="auto"/>
        <w:ind w:left="1222" w:hanging="796"/>
        <w:rPr>
          <w:sz w:val="24"/>
        </w:rPr>
      </w:pPr>
      <w:r>
        <w:rPr>
          <w:sz w:val="24"/>
        </w:rPr>
        <w:t>甲方发生中途终止合同（9.1条原因除外），应向乙方偿付违约金，违约金按未履行部分合同价格的2%计算。</w:t>
      </w:r>
    </w:p>
    <w:p>
      <w:pPr>
        <w:numPr>
          <w:ilvl w:val="0"/>
          <w:numId w:val="219"/>
        </w:numPr>
        <w:tabs>
          <w:tab w:val="left" w:pos="993"/>
        </w:tabs>
        <w:spacing w:line="360" w:lineRule="auto"/>
        <w:ind w:left="1222" w:hanging="796"/>
        <w:rPr>
          <w:sz w:val="24"/>
        </w:rPr>
      </w:pPr>
      <w:r>
        <w:rPr>
          <w:sz w:val="24"/>
        </w:rPr>
        <w:t>经双方协商可终止部分或全部合同的，无须承担违约责任。</w:t>
      </w:r>
    </w:p>
    <w:p>
      <w:pPr>
        <w:numPr>
          <w:ilvl w:val="0"/>
          <w:numId w:val="217"/>
        </w:numPr>
        <w:snapToGrid w:val="0"/>
        <w:spacing w:before="120" w:beforeLines="50" w:line="360" w:lineRule="auto"/>
        <w:rPr>
          <w:sz w:val="24"/>
        </w:rPr>
      </w:pPr>
      <w:r>
        <w:rPr>
          <w:sz w:val="24"/>
        </w:rPr>
        <w:t>破产终止合同</w:t>
      </w:r>
    </w:p>
    <w:p>
      <w:pPr>
        <w:numPr>
          <w:ilvl w:val="1"/>
          <w:numId w:val="217"/>
        </w:numPr>
        <w:snapToGrid w:val="0"/>
        <w:spacing w:line="360" w:lineRule="auto"/>
        <w:rPr>
          <w:sz w:val="24"/>
        </w:rPr>
      </w:pPr>
      <w:r>
        <w:rPr>
          <w:sz w:val="24"/>
        </w:rPr>
        <w:t>如果乙方破产或无清偿能力时，甲方可在任何时候以书面通知乙方终止合同。该终止合同将不损害或影响甲方已经采取或将要采取的补救措施的权利。</w:t>
      </w:r>
    </w:p>
    <w:p>
      <w:pPr>
        <w:numPr>
          <w:ilvl w:val="0"/>
          <w:numId w:val="217"/>
        </w:numPr>
        <w:snapToGrid w:val="0"/>
        <w:spacing w:before="120" w:beforeLines="50" w:line="360" w:lineRule="auto"/>
        <w:rPr>
          <w:sz w:val="24"/>
        </w:rPr>
      </w:pPr>
      <w:r>
        <w:rPr>
          <w:sz w:val="24"/>
        </w:rPr>
        <w:t>仲裁</w:t>
      </w:r>
    </w:p>
    <w:p>
      <w:pPr>
        <w:numPr>
          <w:ilvl w:val="1"/>
          <w:numId w:val="217"/>
        </w:numPr>
        <w:snapToGrid w:val="0"/>
        <w:spacing w:line="360" w:lineRule="auto"/>
        <w:rPr>
          <w:sz w:val="24"/>
        </w:rPr>
      </w:pPr>
      <w:r>
        <w:rPr>
          <w:sz w:val="24"/>
        </w:rPr>
        <w:t>双方在执行合同中所发生的一切争议，应通过协商解决。如协商不成，应向甲方法定地址所在仲裁机构提交仲裁，也可直接向甲方法定地址所在人民法院起诉。</w:t>
      </w:r>
    </w:p>
    <w:p>
      <w:pPr>
        <w:numPr>
          <w:ilvl w:val="1"/>
          <w:numId w:val="217"/>
        </w:numPr>
        <w:snapToGrid w:val="0"/>
        <w:spacing w:line="360" w:lineRule="auto"/>
        <w:rPr>
          <w:sz w:val="24"/>
        </w:rPr>
      </w:pPr>
      <w:r>
        <w:rPr>
          <w:sz w:val="24"/>
        </w:rPr>
        <w:t>在仲裁期间，除正在进行仲裁的部份外，本合同其他部份应继续执行。</w:t>
      </w:r>
    </w:p>
    <w:p>
      <w:pPr>
        <w:numPr>
          <w:ilvl w:val="1"/>
          <w:numId w:val="217"/>
        </w:numPr>
        <w:snapToGrid w:val="0"/>
        <w:spacing w:line="360" w:lineRule="auto"/>
        <w:rPr>
          <w:sz w:val="24"/>
        </w:rPr>
      </w:pPr>
      <w:r>
        <w:rPr>
          <w:sz w:val="24"/>
        </w:rPr>
        <w:t>仲裁费用除仲裁机构另行有裁决外，由败诉方承担。</w:t>
      </w:r>
    </w:p>
    <w:p>
      <w:pPr>
        <w:numPr>
          <w:ilvl w:val="0"/>
          <w:numId w:val="217"/>
        </w:numPr>
        <w:snapToGrid w:val="0"/>
        <w:spacing w:before="120" w:beforeLines="50" w:line="360" w:lineRule="auto"/>
        <w:rPr>
          <w:sz w:val="24"/>
        </w:rPr>
      </w:pPr>
      <w:r>
        <w:rPr>
          <w:sz w:val="24"/>
        </w:rPr>
        <w:t>合同生效及其他</w:t>
      </w:r>
    </w:p>
    <w:p>
      <w:pPr>
        <w:numPr>
          <w:ilvl w:val="1"/>
          <w:numId w:val="217"/>
        </w:numPr>
        <w:snapToGrid w:val="0"/>
        <w:spacing w:line="360" w:lineRule="auto"/>
        <w:rPr>
          <w:sz w:val="24"/>
        </w:rPr>
      </w:pPr>
      <w:r>
        <w:rPr>
          <w:sz w:val="24"/>
        </w:rPr>
        <w:t>合同经双方签字并加盖公章后生效。</w:t>
      </w:r>
    </w:p>
    <w:p>
      <w:pPr>
        <w:numPr>
          <w:ilvl w:val="1"/>
          <w:numId w:val="217"/>
        </w:numPr>
        <w:snapToGrid w:val="0"/>
        <w:spacing w:line="360" w:lineRule="auto"/>
        <w:rPr>
          <w:sz w:val="24"/>
        </w:rPr>
      </w:pPr>
      <w:r>
        <w:rPr>
          <w:sz w:val="24"/>
        </w:rPr>
        <w:t>合同签定地点：合同执行地。</w:t>
      </w:r>
    </w:p>
    <w:p>
      <w:pPr>
        <w:numPr>
          <w:ilvl w:val="1"/>
          <w:numId w:val="217"/>
        </w:numPr>
        <w:snapToGrid w:val="0"/>
        <w:spacing w:line="360" w:lineRule="auto"/>
        <w:rPr>
          <w:sz w:val="24"/>
        </w:rPr>
      </w:pPr>
      <w:r>
        <w:rPr>
          <w:sz w:val="24"/>
        </w:rPr>
        <w:t>合同执行中，如需修改或补充合同内容，经协商，双方应签署书面修改或补充协议。该协议将作为合同不可分割的一部分。</w:t>
      </w:r>
    </w:p>
    <w:p>
      <w:pPr>
        <w:numPr>
          <w:ilvl w:val="0"/>
          <w:numId w:val="217"/>
        </w:numPr>
        <w:snapToGrid w:val="0"/>
        <w:spacing w:before="120" w:beforeLines="50" w:line="360" w:lineRule="auto"/>
        <w:rPr>
          <w:sz w:val="24"/>
        </w:rPr>
      </w:pPr>
      <w:r>
        <w:rPr>
          <w:sz w:val="24"/>
        </w:rPr>
        <w:t>其它</w:t>
      </w:r>
    </w:p>
    <w:p>
      <w:pPr>
        <w:numPr>
          <w:ilvl w:val="1"/>
          <w:numId w:val="217"/>
        </w:numPr>
        <w:snapToGrid w:val="0"/>
        <w:spacing w:line="360" w:lineRule="auto"/>
        <w:rPr>
          <w:sz w:val="24"/>
        </w:rPr>
      </w:pPr>
      <w:r>
        <w:rPr>
          <w:sz w:val="24"/>
        </w:rPr>
        <w:t>招标文件、补充文件、投标文件及询标答疑纪要、中标通知书等作为本合同的附件，与本合同具有同等法律效力。</w:t>
      </w:r>
    </w:p>
    <w:p>
      <w:pPr>
        <w:numPr>
          <w:ilvl w:val="1"/>
          <w:numId w:val="217"/>
        </w:numPr>
        <w:snapToGrid w:val="0"/>
        <w:spacing w:line="360" w:lineRule="auto"/>
        <w:rPr>
          <w:sz w:val="24"/>
        </w:rPr>
      </w:pPr>
      <w:r>
        <w:rPr>
          <w:sz w:val="24"/>
        </w:rPr>
        <w:t>本合同一式四份，双方各执二份，双方签字盖章后生效，违约及其处罚按经济合同法及本合同有关条款执行。</w:t>
      </w:r>
    </w:p>
    <w:p>
      <w:pPr>
        <w:numPr>
          <w:ilvl w:val="1"/>
          <w:numId w:val="217"/>
        </w:numPr>
        <w:snapToGrid w:val="0"/>
        <w:spacing w:line="360" w:lineRule="auto"/>
        <w:rPr>
          <w:sz w:val="24"/>
        </w:rPr>
      </w:pPr>
      <w:r>
        <w:rPr>
          <w:sz w:val="24"/>
        </w:rPr>
        <w:t>以上协议未尽之处，双方协商解决。</w:t>
      </w:r>
    </w:p>
    <w:p>
      <w:pPr>
        <w:tabs>
          <w:tab w:val="left" w:pos="840"/>
        </w:tabs>
        <w:spacing w:before="240" w:beforeLines="100" w:line="360" w:lineRule="auto"/>
        <w:ind w:firstLine="454"/>
        <w:rPr>
          <w:sz w:val="24"/>
        </w:rPr>
      </w:pPr>
    </w:p>
    <w:p>
      <w:pPr>
        <w:tabs>
          <w:tab w:val="left" w:pos="840"/>
        </w:tabs>
        <w:spacing w:before="240" w:beforeLines="100" w:line="360" w:lineRule="auto"/>
        <w:rPr>
          <w:sz w:val="24"/>
        </w:rPr>
      </w:pPr>
      <w:r>
        <w:rPr>
          <w:sz w:val="24"/>
        </w:rPr>
        <w:t>甲方（公章）：                                乙方（公章）：</w:t>
      </w:r>
    </w:p>
    <w:p>
      <w:pPr>
        <w:tabs>
          <w:tab w:val="left" w:pos="840"/>
        </w:tabs>
        <w:spacing w:line="360" w:lineRule="auto"/>
        <w:rPr>
          <w:sz w:val="24"/>
        </w:rPr>
      </w:pPr>
      <w:r>
        <w:rPr>
          <w:sz w:val="24"/>
        </w:rPr>
        <w:t>法定代表人或受委托人（签字或盖章）：   法定代表人或受委托人（签字或盖章）：</w:t>
      </w:r>
    </w:p>
    <w:p>
      <w:pPr>
        <w:tabs>
          <w:tab w:val="left" w:pos="840"/>
        </w:tabs>
        <w:spacing w:line="360" w:lineRule="auto"/>
        <w:rPr>
          <w:sz w:val="24"/>
        </w:rPr>
      </w:pPr>
      <w:r>
        <w:rPr>
          <w:sz w:val="24"/>
        </w:rPr>
        <w:t xml:space="preserve">地址：                               地址： </w:t>
      </w:r>
    </w:p>
    <w:p>
      <w:pPr>
        <w:tabs>
          <w:tab w:val="left" w:pos="840"/>
        </w:tabs>
        <w:spacing w:line="360" w:lineRule="auto"/>
        <w:rPr>
          <w:sz w:val="24"/>
        </w:rPr>
      </w:pPr>
      <w:r>
        <w:rPr>
          <w:sz w:val="24"/>
        </w:rPr>
        <w:t>电话：                                      电话：</w:t>
      </w:r>
    </w:p>
    <w:p>
      <w:pPr>
        <w:widowControl/>
        <w:spacing w:line="440" w:lineRule="exact"/>
        <w:rPr>
          <w:b/>
          <w:snapToGrid w:val="0"/>
          <w:kern w:val="0"/>
          <w:szCs w:val="21"/>
        </w:rPr>
      </w:pPr>
      <w:r>
        <w:rPr>
          <w:b/>
          <w:snapToGrid w:val="0"/>
          <w:kern w:val="0"/>
          <w:szCs w:val="21"/>
        </w:rPr>
        <w:t>注：此合同做为范本参考，具体以双方签订合同为准。</w:t>
      </w:r>
    </w:p>
    <w:p>
      <w:pPr>
        <w:widowControl/>
        <w:spacing w:line="440" w:lineRule="exact"/>
        <w:rPr>
          <w:b/>
          <w:snapToGrid w:val="0"/>
          <w:color w:val="FF0000"/>
          <w:kern w:val="0"/>
          <w:szCs w:val="21"/>
        </w:rPr>
      </w:pPr>
    </w:p>
    <w:p>
      <w:pPr>
        <w:adjustRightInd w:val="0"/>
        <w:spacing w:line="360" w:lineRule="auto"/>
        <w:jc w:val="center"/>
        <w:outlineLvl w:val="0"/>
        <w:rPr>
          <w:sz w:val="30"/>
          <w:szCs w:val="30"/>
        </w:rPr>
      </w:pPr>
      <w:r>
        <w:rPr>
          <w:color w:val="FF0000"/>
          <w:sz w:val="30"/>
          <w:szCs w:val="30"/>
        </w:rPr>
        <w:br w:type="page"/>
      </w:r>
      <w:bookmarkStart w:id="42" w:name="_Toc18854424"/>
      <w:r>
        <w:rPr>
          <w:sz w:val="30"/>
          <w:szCs w:val="30"/>
        </w:rPr>
        <w:t>第六章　投标文件格式</w:t>
      </w:r>
      <w:bookmarkEnd w:id="42"/>
    </w:p>
    <w:p>
      <w:pPr>
        <w:snapToGrid w:val="0"/>
        <w:spacing w:before="120" w:beforeLines="50" w:after="50" w:line="360" w:lineRule="auto"/>
        <w:rPr>
          <w:b/>
          <w:sz w:val="24"/>
        </w:rPr>
      </w:pPr>
    </w:p>
    <w:p>
      <w:pPr>
        <w:snapToGrid w:val="0"/>
        <w:spacing w:before="120" w:beforeLines="50" w:after="50" w:line="360" w:lineRule="auto"/>
        <w:outlineLvl w:val="1"/>
        <w:rPr>
          <w:b/>
          <w:bCs/>
          <w:sz w:val="24"/>
          <w:szCs w:val="20"/>
        </w:rPr>
      </w:pPr>
      <w:bookmarkStart w:id="43" w:name="_Toc18854425"/>
      <w:r>
        <w:rPr>
          <w:b/>
          <w:sz w:val="24"/>
        </w:rPr>
        <w:t>1.资格证明文件/商务技术文件/报价</w:t>
      </w:r>
      <w:r>
        <w:rPr>
          <w:b/>
          <w:bCs/>
          <w:sz w:val="24"/>
        </w:rPr>
        <w:t>文件的外包装封面格式</w:t>
      </w:r>
      <w:bookmarkEnd w:id="43"/>
    </w:p>
    <w:p>
      <w:pPr>
        <w:snapToGrid w:val="0"/>
        <w:spacing w:before="120" w:beforeLines="50" w:after="50" w:line="360" w:lineRule="auto"/>
        <w:rPr>
          <w:bCs/>
          <w:sz w:val="24"/>
          <w:szCs w:val="20"/>
        </w:rPr>
      </w:pPr>
    </w:p>
    <w:p>
      <w:pPr>
        <w:snapToGrid w:val="0"/>
        <w:spacing w:before="120" w:beforeLines="50" w:after="50" w:line="360" w:lineRule="auto"/>
        <w:jc w:val="center"/>
        <w:rPr>
          <w:b/>
          <w:bCs/>
          <w:sz w:val="52"/>
          <w:szCs w:val="52"/>
        </w:rPr>
      </w:pPr>
      <w:r>
        <w:rPr>
          <w:b/>
          <w:bCs/>
          <w:sz w:val="52"/>
          <w:szCs w:val="52"/>
        </w:rPr>
        <w:t>资格证明文件/商务技术文件/报价文件</w:t>
      </w:r>
    </w:p>
    <w:p>
      <w:pPr>
        <w:snapToGrid w:val="0"/>
        <w:spacing w:before="120" w:beforeLines="50" w:after="50" w:line="360" w:lineRule="auto"/>
        <w:rPr>
          <w:bCs/>
          <w:sz w:val="24"/>
          <w:szCs w:val="20"/>
        </w:rPr>
      </w:pPr>
    </w:p>
    <w:p>
      <w:pPr>
        <w:snapToGrid w:val="0"/>
        <w:spacing w:before="120" w:beforeLines="50" w:after="50" w:line="360" w:lineRule="auto"/>
        <w:ind w:firstLine="1246" w:firstLineChars="445"/>
        <w:rPr>
          <w:bCs/>
          <w:sz w:val="28"/>
          <w:szCs w:val="28"/>
        </w:rPr>
      </w:pPr>
      <w:r>
        <w:rPr>
          <w:bCs/>
          <w:sz w:val="28"/>
          <w:szCs w:val="28"/>
        </w:rPr>
        <w:t>项目名称：</w:t>
      </w:r>
    </w:p>
    <w:p>
      <w:pPr>
        <w:snapToGrid w:val="0"/>
        <w:spacing w:before="120" w:beforeLines="50" w:after="50" w:line="360" w:lineRule="auto"/>
        <w:ind w:firstLine="1246" w:firstLineChars="445"/>
        <w:rPr>
          <w:bCs/>
          <w:sz w:val="28"/>
          <w:szCs w:val="28"/>
        </w:rPr>
      </w:pPr>
      <w:r>
        <w:rPr>
          <w:bCs/>
          <w:sz w:val="28"/>
          <w:szCs w:val="28"/>
        </w:rPr>
        <w:t>项目编号：</w:t>
      </w:r>
      <w:r>
        <w:rPr>
          <w:bCs/>
          <w:sz w:val="28"/>
          <w:szCs w:val="28"/>
          <w:highlight w:val="yellow"/>
        </w:rPr>
        <w:t>0625-19215758</w:t>
      </w:r>
    </w:p>
    <w:p>
      <w:pPr>
        <w:snapToGrid w:val="0"/>
        <w:spacing w:before="120" w:beforeLines="50" w:after="50" w:line="360" w:lineRule="auto"/>
        <w:ind w:firstLine="1246" w:firstLineChars="445"/>
        <w:rPr>
          <w:bCs/>
          <w:sz w:val="28"/>
          <w:szCs w:val="28"/>
        </w:rPr>
      </w:pPr>
      <w:r>
        <w:rPr>
          <w:bCs/>
          <w:sz w:val="28"/>
          <w:szCs w:val="28"/>
        </w:rPr>
        <w:t>采购单位：</w:t>
      </w:r>
    </w:p>
    <w:p>
      <w:pPr>
        <w:snapToGrid w:val="0"/>
        <w:spacing w:before="120" w:beforeLines="50" w:after="50" w:line="360" w:lineRule="auto"/>
        <w:ind w:firstLine="1246" w:firstLineChars="445"/>
        <w:rPr>
          <w:bCs/>
          <w:sz w:val="28"/>
          <w:szCs w:val="28"/>
        </w:rPr>
      </w:pPr>
      <w:r>
        <w:rPr>
          <w:bCs/>
          <w:sz w:val="28"/>
          <w:szCs w:val="28"/>
        </w:rPr>
        <w:t>代理机构：</w:t>
      </w:r>
    </w:p>
    <w:p>
      <w:pPr>
        <w:pStyle w:val="10"/>
        <w:snapToGrid w:val="0"/>
        <w:spacing w:before="50" w:after="50" w:line="360" w:lineRule="auto"/>
        <w:ind w:firstLine="1260" w:firstLineChars="450"/>
        <w:rPr>
          <w:bCs/>
          <w:sz w:val="28"/>
          <w:szCs w:val="28"/>
        </w:rPr>
      </w:pPr>
    </w:p>
    <w:p>
      <w:pPr>
        <w:pStyle w:val="10"/>
        <w:snapToGrid w:val="0"/>
        <w:spacing w:before="50" w:after="50" w:line="360" w:lineRule="auto"/>
        <w:ind w:firstLine="1260" w:firstLineChars="450"/>
        <w:rPr>
          <w:bCs/>
          <w:sz w:val="28"/>
          <w:szCs w:val="28"/>
        </w:rPr>
      </w:pPr>
    </w:p>
    <w:p>
      <w:pPr>
        <w:pStyle w:val="10"/>
        <w:snapToGrid w:val="0"/>
        <w:spacing w:before="50" w:after="50" w:line="360" w:lineRule="auto"/>
        <w:ind w:firstLine="1260" w:firstLineChars="450"/>
        <w:rPr>
          <w:bCs/>
          <w:sz w:val="28"/>
          <w:szCs w:val="28"/>
        </w:rPr>
      </w:pPr>
    </w:p>
    <w:p>
      <w:pPr>
        <w:pStyle w:val="10"/>
        <w:snapToGrid w:val="0"/>
        <w:spacing w:before="50" w:after="50" w:line="360" w:lineRule="auto"/>
        <w:ind w:firstLine="1260" w:firstLineChars="450"/>
        <w:rPr>
          <w:bCs/>
          <w:sz w:val="28"/>
          <w:szCs w:val="28"/>
        </w:rPr>
      </w:pPr>
      <w:r>
        <w:rPr>
          <w:bCs/>
          <w:sz w:val="28"/>
          <w:szCs w:val="28"/>
        </w:rPr>
        <w:t>投标人名称：</w:t>
      </w:r>
    </w:p>
    <w:p>
      <w:pPr>
        <w:pStyle w:val="10"/>
        <w:tabs>
          <w:tab w:val="left" w:pos="4215"/>
        </w:tabs>
        <w:snapToGrid w:val="0"/>
        <w:spacing w:before="50" w:after="50" w:line="360" w:lineRule="auto"/>
        <w:ind w:firstLine="1260" w:firstLineChars="450"/>
        <w:rPr>
          <w:bCs/>
          <w:sz w:val="28"/>
          <w:szCs w:val="28"/>
        </w:rPr>
      </w:pPr>
      <w:r>
        <w:rPr>
          <w:bCs/>
          <w:sz w:val="28"/>
          <w:szCs w:val="28"/>
        </w:rPr>
        <w:t>投标人地址：</w:t>
      </w:r>
      <w:r>
        <w:rPr>
          <w:bCs/>
          <w:sz w:val="28"/>
          <w:szCs w:val="28"/>
        </w:rPr>
        <w:tab/>
      </w:r>
    </w:p>
    <w:p>
      <w:pPr>
        <w:pStyle w:val="10"/>
        <w:snapToGrid w:val="0"/>
        <w:spacing w:before="50" w:after="50" w:line="360" w:lineRule="auto"/>
        <w:ind w:firstLine="1260" w:firstLineChars="450"/>
        <w:rPr>
          <w:bCs/>
          <w:sz w:val="28"/>
          <w:szCs w:val="28"/>
        </w:rPr>
      </w:pPr>
      <w:r>
        <w:rPr>
          <w:bCs/>
          <w:sz w:val="28"/>
          <w:szCs w:val="28"/>
        </w:rPr>
        <w:t>在  年  月  日  时  分之前不得启封</w:t>
      </w:r>
    </w:p>
    <w:p>
      <w:pPr>
        <w:pStyle w:val="10"/>
        <w:snapToGrid w:val="0"/>
        <w:spacing w:before="50" w:after="50" w:line="360" w:lineRule="auto"/>
        <w:ind w:firstLine="1164" w:firstLineChars="416"/>
        <w:rPr>
          <w:sz w:val="28"/>
          <w:szCs w:val="28"/>
        </w:rPr>
      </w:pPr>
    </w:p>
    <w:p>
      <w:pPr>
        <w:snapToGrid w:val="0"/>
        <w:spacing w:before="120" w:beforeLines="50" w:after="50" w:line="360" w:lineRule="auto"/>
        <w:ind w:firstLine="645"/>
        <w:rPr>
          <w:sz w:val="24"/>
          <w:szCs w:val="20"/>
        </w:rPr>
      </w:pPr>
      <w:r>
        <w:rPr>
          <w:sz w:val="28"/>
          <w:szCs w:val="28"/>
        </w:rPr>
        <w:t xml:space="preserve">                        年  月  日</w:t>
      </w:r>
    </w:p>
    <w:p>
      <w:pPr>
        <w:snapToGrid w:val="0"/>
        <w:spacing w:before="120" w:beforeLines="50" w:after="50" w:line="360" w:lineRule="auto"/>
        <w:outlineLvl w:val="1"/>
        <w:rPr>
          <w:b/>
          <w:sz w:val="24"/>
          <w:szCs w:val="20"/>
        </w:rPr>
      </w:pPr>
      <w:r>
        <w:rPr>
          <w:b/>
          <w:sz w:val="24"/>
        </w:rPr>
        <w:br w:type="page"/>
      </w:r>
      <w:bookmarkStart w:id="44" w:name="_Toc18854426"/>
      <w:r>
        <w:rPr>
          <w:b/>
          <w:sz w:val="24"/>
        </w:rPr>
        <w:t>2.</w:t>
      </w:r>
      <w:r>
        <w:t xml:space="preserve"> </w:t>
      </w:r>
      <w:r>
        <w:rPr>
          <w:b/>
          <w:sz w:val="24"/>
        </w:rPr>
        <w:t>资格证明文件/商务技术文件/报价</w:t>
      </w:r>
      <w:r>
        <w:rPr>
          <w:b/>
          <w:bCs/>
          <w:sz w:val="24"/>
        </w:rPr>
        <w:t>文件</w:t>
      </w:r>
      <w:r>
        <w:rPr>
          <w:b/>
          <w:sz w:val="24"/>
        </w:rPr>
        <w:t>封面格式</w:t>
      </w:r>
      <w:bookmarkEnd w:id="44"/>
      <w:r>
        <w:rPr>
          <w:b/>
          <w:sz w:val="24"/>
        </w:rPr>
        <w:t xml:space="preserve"> </w:t>
      </w:r>
    </w:p>
    <w:p>
      <w:pPr>
        <w:snapToGrid w:val="0"/>
        <w:spacing w:before="120" w:beforeLines="50" w:after="50" w:line="360" w:lineRule="auto"/>
        <w:rPr>
          <w:b/>
          <w:bCs/>
          <w:sz w:val="32"/>
          <w:szCs w:val="20"/>
        </w:rPr>
      </w:pPr>
      <w:r>
        <w:rPr>
          <w:sz w:val="24"/>
        </w:rPr>
        <w:t xml:space="preserve">                                                    </w:t>
      </w:r>
      <w:r>
        <w:rPr>
          <w:b/>
          <w:bCs/>
        </w:rPr>
        <w:t>正本/副本</w:t>
      </w:r>
    </w:p>
    <w:p>
      <w:pPr>
        <w:snapToGrid w:val="0"/>
        <w:spacing w:before="120" w:beforeLines="50" w:after="50" w:line="360" w:lineRule="auto"/>
        <w:jc w:val="center"/>
        <w:rPr>
          <w:bCs/>
          <w:sz w:val="24"/>
          <w:szCs w:val="20"/>
        </w:rPr>
      </w:pPr>
    </w:p>
    <w:p>
      <w:pPr>
        <w:snapToGrid w:val="0"/>
        <w:spacing w:before="120" w:beforeLines="50" w:after="50" w:line="360" w:lineRule="auto"/>
        <w:jc w:val="center"/>
        <w:rPr>
          <w:b/>
          <w:bCs/>
          <w:sz w:val="52"/>
          <w:szCs w:val="52"/>
        </w:rPr>
      </w:pPr>
      <w:r>
        <w:rPr>
          <w:b/>
          <w:bCs/>
          <w:sz w:val="52"/>
          <w:szCs w:val="52"/>
        </w:rPr>
        <w:t>资格证明文件/商务技术文件/报价文件</w:t>
      </w:r>
    </w:p>
    <w:p>
      <w:pPr>
        <w:snapToGrid w:val="0"/>
        <w:spacing w:before="120" w:beforeLines="50" w:after="50" w:line="360" w:lineRule="auto"/>
        <w:rPr>
          <w:bCs/>
          <w:sz w:val="24"/>
          <w:szCs w:val="20"/>
        </w:rPr>
      </w:pPr>
    </w:p>
    <w:p>
      <w:pPr>
        <w:snapToGrid w:val="0"/>
        <w:spacing w:before="120" w:beforeLines="50" w:after="50" w:line="360" w:lineRule="auto"/>
        <w:ind w:firstLine="1246" w:firstLineChars="445"/>
        <w:rPr>
          <w:bCs/>
          <w:sz w:val="28"/>
          <w:szCs w:val="28"/>
        </w:rPr>
      </w:pPr>
      <w:r>
        <w:rPr>
          <w:bCs/>
          <w:sz w:val="28"/>
          <w:szCs w:val="28"/>
        </w:rPr>
        <w:t>项目名称：</w:t>
      </w:r>
    </w:p>
    <w:p>
      <w:pPr>
        <w:snapToGrid w:val="0"/>
        <w:spacing w:before="120" w:beforeLines="50" w:after="50" w:line="360" w:lineRule="auto"/>
        <w:ind w:firstLine="1246" w:firstLineChars="445"/>
        <w:rPr>
          <w:bCs/>
          <w:sz w:val="28"/>
          <w:szCs w:val="28"/>
        </w:rPr>
      </w:pPr>
      <w:r>
        <w:rPr>
          <w:bCs/>
          <w:sz w:val="28"/>
          <w:szCs w:val="28"/>
        </w:rPr>
        <w:t>项目编号：</w:t>
      </w:r>
      <w:r>
        <w:rPr>
          <w:bCs/>
          <w:sz w:val="28"/>
          <w:szCs w:val="28"/>
          <w:highlight w:val="yellow"/>
        </w:rPr>
        <w:t>0625-19215758</w:t>
      </w:r>
    </w:p>
    <w:p>
      <w:pPr>
        <w:snapToGrid w:val="0"/>
        <w:spacing w:before="120" w:beforeLines="50" w:after="50" w:line="360" w:lineRule="auto"/>
        <w:ind w:firstLine="1246" w:firstLineChars="445"/>
        <w:rPr>
          <w:bCs/>
          <w:sz w:val="28"/>
          <w:szCs w:val="28"/>
        </w:rPr>
      </w:pPr>
      <w:r>
        <w:rPr>
          <w:bCs/>
          <w:sz w:val="28"/>
          <w:szCs w:val="28"/>
        </w:rPr>
        <w:t>采购单位：</w:t>
      </w:r>
    </w:p>
    <w:p>
      <w:pPr>
        <w:snapToGrid w:val="0"/>
        <w:spacing w:before="120" w:beforeLines="50" w:after="50" w:line="360" w:lineRule="auto"/>
        <w:ind w:firstLine="1246" w:firstLineChars="445"/>
        <w:rPr>
          <w:bCs/>
          <w:sz w:val="28"/>
          <w:szCs w:val="28"/>
        </w:rPr>
      </w:pPr>
      <w:r>
        <w:rPr>
          <w:bCs/>
          <w:sz w:val="28"/>
          <w:szCs w:val="28"/>
        </w:rPr>
        <w:t>代理机构：</w:t>
      </w:r>
    </w:p>
    <w:p>
      <w:pPr>
        <w:pStyle w:val="10"/>
        <w:snapToGrid w:val="0"/>
        <w:spacing w:before="50" w:after="50" w:line="360" w:lineRule="auto"/>
        <w:ind w:firstLine="1260" w:firstLineChars="450"/>
        <w:rPr>
          <w:bCs/>
          <w:sz w:val="28"/>
          <w:szCs w:val="28"/>
        </w:rPr>
      </w:pPr>
    </w:p>
    <w:p>
      <w:pPr>
        <w:pStyle w:val="10"/>
        <w:snapToGrid w:val="0"/>
        <w:spacing w:before="50" w:after="50" w:line="360" w:lineRule="auto"/>
        <w:ind w:firstLine="1260" w:firstLineChars="450"/>
        <w:rPr>
          <w:bCs/>
          <w:sz w:val="28"/>
          <w:szCs w:val="28"/>
        </w:rPr>
      </w:pPr>
    </w:p>
    <w:p>
      <w:pPr>
        <w:pStyle w:val="10"/>
        <w:snapToGrid w:val="0"/>
        <w:spacing w:before="50" w:after="50" w:line="360" w:lineRule="auto"/>
        <w:ind w:firstLine="1260" w:firstLineChars="450"/>
        <w:rPr>
          <w:bCs/>
          <w:sz w:val="28"/>
          <w:szCs w:val="28"/>
        </w:rPr>
      </w:pPr>
    </w:p>
    <w:p>
      <w:pPr>
        <w:pStyle w:val="10"/>
        <w:snapToGrid w:val="0"/>
        <w:spacing w:before="50" w:after="50" w:line="360" w:lineRule="auto"/>
        <w:ind w:firstLine="1260" w:firstLineChars="450"/>
        <w:rPr>
          <w:bCs/>
          <w:sz w:val="28"/>
          <w:szCs w:val="28"/>
        </w:rPr>
      </w:pPr>
    </w:p>
    <w:p>
      <w:pPr>
        <w:pStyle w:val="10"/>
        <w:snapToGrid w:val="0"/>
        <w:spacing w:before="50" w:after="50" w:line="360" w:lineRule="auto"/>
        <w:ind w:firstLine="1260" w:firstLineChars="450"/>
        <w:rPr>
          <w:bCs/>
          <w:sz w:val="28"/>
          <w:szCs w:val="28"/>
        </w:rPr>
      </w:pPr>
      <w:r>
        <w:rPr>
          <w:bCs/>
          <w:sz w:val="28"/>
          <w:szCs w:val="28"/>
        </w:rPr>
        <w:t>投标人名称：</w:t>
      </w:r>
    </w:p>
    <w:p>
      <w:pPr>
        <w:pStyle w:val="10"/>
        <w:snapToGrid w:val="0"/>
        <w:spacing w:before="50" w:after="50" w:line="360" w:lineRule="auto"/>
        <w:ind w:firstLine="1260" w:firstLineChars="450"/>
        <w:rPr>
          <w:bCs/>
          <w:sz w:val="28"/>
          <w:szCs w:val="28"/>
        </w:rPr>
      </w:pPr>
      <w:r>
        <w:rPr>
          <w:bCs/>
          <w:sz w:val="28"/>
          <w:szCs w:val="28"/>
        </w:rPr>
        <w:t>投标人地址：</w:t>
      </w:r>
    </w:p>
    <w:p>
      <w:pPr>
        <w:snapToGrid w:val="0"/>
        <w:spacing w:before="120" w:beforeLines="50" w:after="50" w:line="360" w:lineRule="auto"/>
        <w:ind w:firstLine="645"/>
        <w:jc w:val="center"/>
        <w:rPr>
          <w:sz w:val="28"/>
          <w:szCs w:val="28"/>
        </w:rPr>
      </w:pPr>
    </w:p>
    <w:p>
      <w:pPr>
        <w:snapToGrid w:val="0"/>
        <w:spacing w:before="120" w:beforeLines="50" w:after="50" w:line="360" w:lineRule="auto"/>
        <w:ind w:firstLine="645"/>
        <w:jc w:val="center"/>
        <w:rPr>
          <w:sz w:val="24"/>
          <w:szCs w:val="20"/>
        </w:rPr>
      </w:pPr>
      <w:r>
        <w:rPr>
          <w:sz w:val="28"/>
          <w:szCs w:val="28"/>
        </w:rPr>
        <w:t>年  月  日</w:t>
      </w:r>
    </w:p>
    <w:p>
      <w:pPr>
        <w:snapToGrid w:val="0"/>
        <w:spacing w:before="50" w:after="50" w:line="360" w:lineRule="auto"/>
        <w:outlineLvl w:val="1"/>
        <w:rPr>
          <w:b/>
          <w:sz w:val="24"/>
        </w:rPr>
      </w:pPr>
      <w:r>
        <w:br w:type="page"/>
      </w:r>
      <w:bookmarkStart w:id="45" w:name="_Toc18854427"/>
      <w:r>
        <w:rPr>
          <w:b/>
          <w:sz w:val="24"/>
        </w:rPr>
        <w:t>3. 资格证明文件目录</w:t>
      </w:r>
      <w:bookmarkEnd w:id="45"/>
    </w:p>
    <w:p>
      <w:pPr>
        <w:snapToGrid w:val="0"/>
        <w:spacing w:line="360" w:lineRule="auto"/>
        <w:ind w:firstLine="470" w:firstLineChars="196"/>
        <w:jc w:val="left"/>
        <w:rPr>
          <w:bCs/>
          <w:sz w:val="24"/>
        </w:rPr>
      </w:pPr>
      <w:r>
        <w:rPr>
          <w:bCs/>
          <w:sz w:val="24"/>
        </w:rPr>
        <w:t>▲（1）法人或者其他组织的营业执照等证明文件复印件，自然人的身份证复印件；</w:t>
      </w:r>
    </w:p>
    <w:p>
      <w:pPr>
        <w:snapToGrid w:val="0"/>
        <w:spacing w:line="360" w:lineRule="auto"/>
        <w:ind w:firstLine="470" w:firstLineChars="196"/>
        <w:rPr>
          <w:bCs/>
          <w:sz w:val="24"/>
        </w:rPr>
      </w:pPr>
      <w:r>
        <w:rPr>
          <w:bCs/>
          <w:sz w:val="24"/>
        </w:rPr>
        <w:t>▲（2）具有良好的商业信誉和健全的财务会计制度：须提供上一年度经第三方审计的财务报告（须包括“四表一注”，即资产负债表、利润表、现金流量表、所有者权益变动表及其附注）或其基本开户银行出具的资信证明或财政部门认可的采购专业担保机构出具的投标担保函；</w:t>
      </w:r>
    </w:p>
    <w:p>
      <w:pPr>
        <w:snapToGrid w:val="0"/>
        <w:spacing w:line="360" w:lineRule="auto"/>
        <w:ind w:firstLine="470" w:firstLineChars="196"/>
        <w:jc w:val="left"/>
        <w:rPr>
          <w:bCs/>
          <w:sz w:val="24"/>
        </w:rPr>
      </w:pPr>
      <w:r>
        <w:rPr>
          <w:bCs/>
          <w:sz w:val="24"/>
        </w:rPr>
        <w:t>▲（3）具备履行合同所必需的设备和专业技术能力的证明材料：须提供相关证明（说明）材料，内容自拟，证明材料可以是：同类项目实施案例或投标人为其缴纳社保的人员资质或投标人的资产、规模证明等。</w:t>
      </w:r>
    </w:p>
    <w:p>
      <w:pPr>
        <w:snapToGrid w:val="0"/>
        <w:spacing w:line="360" w:lineRule="auto"/>
        <w:ind w:firstLine="470" w:firstLineChars="196"/>
        <w:rPr>
          <w:sz w:val="24"/>
        </w:rPr>
      </w:pPr>
      <w:r>
        <w:rPr>
          <w:bCs/>
          <w:sz w:val="24"/>
        </w:rPr>
        <w:t>▲（4）依法缴纳税收和社会保障资金的相关材料：1、须提供税务登记证（多证合一提供营业执照复印件即可）及投标截止时间前 6 个月内的依法缴纳税收的记录；2、须提供社保登记证及投标截止时间前6个月内的缴纳社会保险的记录（如专用收据或社会保险缴纳清单）。</w:t>
      </w:r>
    </w:p>
    <w:p>
      <w:pPr>
        <w:snapToGrid w:val="0"/>
        <w:spacing w:line="360" w:lineRule="auto"/>
        <w:ind w:firstLine="470" w:firstLineChars="196"/>
        <w:jc w:val="left"/>
        <w:rPr>
          <w:sz w:val="24"/>
        </w:rPr>
      </w:pPr>
      <w:r>
        <w:rPr>
          <w:bCs/>
          <w:sz w:val="24"/>
        </w:rPr>
        <w:t>▲</w:t>
      </w:r>
      <w:r>
        <w:rPr>
          <w:sz w:val="24"/>
        </w:rPr>
        <w:t>（5）投标声明书（格式见第六章）；</w:t>
      </w:r>
    </w:p>
    <w:p>
      <w:pPr>
        <w:snapToGrid w:val="0"/>
        <w:spacing w:line="360" w:lineRule="auto"/>
        <w:ind w:firstLine="470" w:firstLineChars="196"/>
        <w:rPr>
          <w:sz w:val="24"/>
        </w:rPr>
      </w:pPr>
      <w:r>
        <w:rPr>
          <w:bCs/>
          <w:sz w:val="24"/>
        </w:rPr>
        <w:t>▲</w:t>
      </w:r>
      <w:r>
        <w:rPr>
          <w:sz w:val="24"/>
        </w:rPr>
        <w:t>（6）参加政府采购活动前三年内，在经营活动中没有重大违法记录。请在投标声明书中如实填写。</w:t>
      </w:r>
    </w:p>
    <w:p>
      <w:pPr>
        <w:snapToGrid w:val="0"/>
        <w:spacing w:line="360" w:lineRule="auto"/>
        <w:ind w:firstLine="470" w:firstLineChars="196"/>
        <w:rPr>
          <w:sz w:val="24"/>
        </w:rPr>
      </w:pPr>
      <w:r>
        <w:rPr>
          <w:sz w:val="24"/>
        </w:rPr>
        <w:t>▲（7）截至投标截止日前1日历天17:00（北京时间），投标人未被列入“信用中国”网(</w:t>
      </w:r>
      <w:r>
        <w:rPr>
          <w:sz w:val="24"/>
        </w:rPr>
        <w:fldChar w:fldCharType="begin"/>
      </w:r>
      <w:r>
        <w:rPr>
          <w:sz w:val="24"/>
        </w:rPr>
        <w:instrText xml:space="preserve"> HYPERLINK "http://www.creditchina.gov.cn" </w:instrText>
      </w:r>
      <w:r>
        <w:rPr>
          <w:sz w:val="24"/>
        </w:rPr>
        <w:fldChar w:fldCharType="separate"/>
      </w:r>
      <w:r>
        <w:rPr>
          <w:rStyle w:val="77"/>
          <w:sz w:val="24"/>
        </w:rPr>
        <w:t>www.creditchina.gov.cn</w:t>
      </w:r>
      <w:r>
        <w:rPr>
          <w:sz w:val="24"/>
        </w:rPr>
        <w:fldChar w:fldCharType="end"/>
      </w:r>
      <w:r>
        <w:rPr>
          <w:sz w:val="24"/>
        </w:rPr>
        <w:t>)和“中国政府采购网”（www.ccgp.gov.cn）失信被执行人、重大税收违法案件当事人名单、政府采购严重违法失信行为记录名单且尚处于禁止参加政府采购活动期内。请在投标声明书在如实填写。</w:t>
      </w:r>
    </w:p>
    <w:p>
      <w:pPr>
        <w:snapToGrid w:val="0"/>
        <w:spacing w:before="50" w:after="50" w:line="360" w:lineRule="auto"/>
        <w:outlineLvl w:val="1"/>
        <w:rPr>
          <w:b/>
          <w:sz w:val="24"/>
        </w:rPr>
      </w:pPr>
    </w:p>
    <w:p>
      <w:pPr>
        <w:snapToGrid w:val="0"/>
        <w:spacing w:before="50" w:after="120" w:afterLines="50" w:line="360" w:lineRule="auto"/>
        <w:jc w:val="left"/>
        <w:outlineLvl w:val="1"/>
        <w:rPr>
          <w:b/>
          <w:sz w:val="24"/>
          <w:szCs w:val="20"/>
        </w:rPr>
      </w:pPr>
      <w:r>
        <w:rPr>
          <w:b/>
          <w:sz w:val="24"/>
        </w:rPr>
        <w:br w:type="page"/>
      </w:r>
      <w:bookmarkStart w:id="46" w:name="_Toc18854428"/>
      <w:r>
        <w:rPr>
          <w:b/>
          <w:sz w:val="24"/>
        </w:rPr>
        <w:t>4.投标声明书格式</w:t>
      </w:r>
      <w:bookmarkEnd w:id="46"/>
    </w:p>
    <w:p>
      <w:pPr>
        <w:snapToGrid w:val="0"/>
        <w:spacing w:before="120" w:beforeLines="50" w:after="50" w:line="360" w:lineRule="auto"/>
        <w:jc w:val="center"/>
        <w:rPr>
          <w:b/>
          <w:sz w:val="24"/>
          <w:szCs w:val="20"/>
        </w:rPr>
      </w:pPr>
      <w:r>
        <w:rPr>
          <w:b/>
          <w:sz w:val="30"/>
        </w:rPr>
        <w:t>投标声明书</w:t>
      </w:r>
    </w:p>
    <w:p>
      <w:pPr>
        <w:snapToGrid w:val="0"/>
        <w:spacing w:before="120" w:beforeLines="50" w:after="50" w:line="288" w:lineRule="auto"/>
        <w:rPr>
          <w:sz w:val="24"/>
          <w:szCs w:val="20"/>
        </w:rPr>
      </w:pPr>
      <w:r>
        <w:rPr>
          <w:sz w:val="24"/>
        </w:rPr>
        <w:t>致：</w:t>
      </w:r>
      <w:r>
        <w:rPr>
          <w:sz w:val="24"/>
          <w:u w:val="single"/>
        </w:rPr>
        <w:t>温州医科大学附属眼视光医院、杭州眼视光科技有限公司、浙江省国际技术设备招标有限公司</w:t>
      </w:r>
      <w:r>
        <w:rPr>
          <w:sz w:val="24"/>
        </w:rPr>
        <w:t>：</w:t>
      </w:r>
    </w:p>
    <w:p>
      <w:pPr>
        <w:snapToGrid w:val="0"/>
        <w:spacing w:before="120" w:beforeLines="50" w:after="50" w:line="360" w:lineRule="auto"/>
        <w:ind w:firstLine="720" w:firstLineChars="300"/>
        <w:rPr>
          <w:sz w:val="24"/>
          <w:szCs w:val="20"/>
        </w:rPr>
      </w:pPr>
      <w:r>
        <w:rPr>
          <w:sz w:val="24"/>
          <w:u w:val="single"/>
        </w:rPr>
        <w:t xml:space="preserve">                      </w:t>
      </w:r>
      <w:r>
        <w:rPr>
          <w:sz w:val="24"/>
        </w:rPr>
        <w:t>（投标人名称）系中华人民共和国合法企业，经营地址</w:t>
      </w:r>
      <w:r>
        <w:rPr>
          <w:sz w:val="24"/>
          <w:u w:val="single"/>
        </w:rPr>
        <w:t xml:space="preserve">                               </w:t>
      </w:r>
      <w:r>
        <w:rPr>
          <w:sz w:val="24"/>
        </w:rPr>
        <w:t>。</w:t>
      </w:r>
    </w:p>
    <w:p>
      <w:pPr>
        <w:snapToGrid w:val="0"/>
        <w:spacing w:before="120" w:beforeLines="50" w:after="50" w:line="360" w:lineRule="auto"/>
        <w:ind w:firstLine="645"/>
        <w:rPr>
          <w:sz w:val="24"/>
          <w:szCs w:val="20"/>
        </w:rPr>
      </w:pPr>
      <w:r>
        <w:rPr>
          <w:sz w:val="24"/>
        </w:rPr>
        <w:t>我</w:t>
      </w:r>
      <w:r>
        <w:rPr>
          <w:sz w:val="24"/>
          <w:u w:val="single"/>
        </w:rPr>
        <w:t xml:space="preserve">          </w:t>
      </w:r>
      <w:r>
        <w:rPr>
          <w:sz w:val="24"/>
        </w:rPr>
        <w:t>（姓名）系</w:t>
      </w:r>
      <w:r>
        <w:rPr>
          <w:sz w:val="24"/>
          <w:u w:val="single"/>
        </w:rPr>
        <w:t xml:space="preserve">           </w:t>
      </w:r>
      <w:r>
        <w:rPr>
          <w:sz w:val="24"/>
        </w:rPr>
        <w:t>（投标人名称）的法定代表人/授权委托人，我方愿意参加贵方组织的</w:t>
      </w:r>
      <w:r>
        <w:rPr>
          <w:sz w:val="24"/>
          <w:u w:val="single"/>
        </w:rPr>
        <w:t xml:space="preserve">                   </w:t>
      </w:r>
      <w:r>
        <w:rPr>
          <w:sz w:val="24"/>
        </w:rPr>
        <w:t>（项目编号：</w:t>
      </w:r>
      <w:r>
        <w:rPr>
          <w:sz w:val="24"/>
          <w:u w:val="single"/>
        </w:rPr>
        <w:t xml:space="preserve">           </w:t>
      </w:r>
      <w:r>
        <w:rPr>
          <w:sz w:val="24"/>
        </w:rPr>
        <w:t>）项目的投标，提交商务文件、技术文件、报价文件正本各一份、副本</w:t>
      </w:r>
      <w:r>
        <w:rPr>
          <w:sz w:val="24"/>
          <w:u w:val="single"/>
        </w:rPr>
        <w:t xml:space="preserve"> 5 </w:t>
      </w:r>
      <w:r>
        <w:rPr>
          <w:sz w:val="24"/>
        </w:rPr>
        <w:t>份。为便于贵方公正、择优地确定中标人及其投标产品和服务，我方就本次投标有关事项郑重声明如下：</w:t>
      </w:r>
    </w:p>
    <w:p>
      <w:pPr>
        <w:snapToGrid w:val="0"/>
        <w:spacing w:line="360" w:lineRule="auto"/>
        <w:ind w:firstLine="480" w:firstLineChars="200"/>
        <w:rPr>
          <w:sz w:val="24"/>
        </w:rPr>
      </w:pPr>
      <w:r>
        <w:rPr>
          <w:sz w:val="24"/>
        </w:rPr>
        <w:t>1.投标人已详细审查全部“招标文件”，包括修改、澄清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sz w:val="24"/>
        </w:rPr>
      </w:pPr>
      <w:r>
        <w:rPr>
          <w:sz w:val="24"/>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sz w:val="24"/>
          <w:szCs w:val="20"/>
        </w:rPr>
      </w:pPr>
      <w:r>
        <w:rPr>
          <w:sz w:val="24"/>
        </w:rPr>
        <w:t>3.本投标有效期自开标日起</w:t>
      </w:r>
      <w:r>
        <w:rPr>
          <w:sz w:val="24"/>
          <w:u w:val="single"/>
        </w:rPr>
        <w:t>90</w:t>
      </w:r>
      <w:r>
        <w:rPr>
          <w:sz w:val="24"/>
        </w:rPr>
        <w:t>日。</w:t>
      </w:r>
    </w:p>
    <w:p>
      <w:pPr>
        <w:snapToGrid w:val="0"/>
        <w:spacing w:line="360" w:lineRule="auto"/>
        <w:ind w:firstLine="480" w:firstLineChars="200"/>
        <w:rPr>
          <w:sz w:val="24"/>
          <w:szCs w:val="20"/>
        </w:rPr>
      </w:pPr>
      <w:r>
        <w:rPr>
          <w:sz w:val="24"/>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sz w:val="24"/>
          <w:szCs w:val="20"/>
        </w:rPr>
      </w:pPr>
      <w:r>
        <w:rPr>
          <w:sz w:val="24"/>
        </w:rPr>
        <w:t>5.投标人同意按照贵方要求提供与投标有关的一切数据或资料。</w:t>
      </w:r>
    </w:p>
    <w:p>
      <w:pPr>
        <w:snapToGrid w:val="0"/>
        <w:spacing w:line="360" w:lineRule="auto"/>
        <w:ind w:firstLine="480" w:firstLineChars="200"/>
        <w:rPr>
          <w:sz w:val="24"/>
          <w:szCs w:val="20"/>
        </w:rPr>
      </w:pPr>
      <w:r>
        <w:rPr>
          <w:sz w:val="24"/>
        </w:rPr>
        <w:t>6.我方向贵方提交的所有投标文件、资料都是准确的和真实的。</w:t>
      </w:r>
    </w:p>
    <w:p>
      <w:pPr>
        <w:snapToGrid w:val="0"/>
        <w:spacing w:before="120" w:beforeLines="50" w:line="360" w:lineRule="auto"/>
        <w:ind w:firstLine="480" w:firstLineChars="200"/>
        <w:rPr>
          <w:sz w:val="24"/>
          <w:szCs w:val="20"/>
        </w:rPr>
      </w:pPr>
      <w:r>
        <w:rPr>
          <w:sz w:val="24"/>
        </w:rPr>
        <w:t>7.我方不是采购人的附属机构；在获知本项目采购信息后，与采购人聘请的为此项目提供咨询服务的公司及其附属机构没有任何联系。</w:t>
      </w:r>
    </w:p>
    <w:p>
      <w:pPr>
        <w:snapToGrid w:val="0"/>
        <w:spacing w:before="120" w:beforeLines="50" w:line="360" w:lineRule="auto"/>
        <w:ind w:firstLine="480" w:firstLineChars="200"/>
        <w:rPr>
          <w:sz w:val="24"/>
        </w:rPr>
      </w:pPr>
      <w:r>
        <w:rPr>
          <w:sz w:val="24"/>
        </w:rPr>
        <w:t>8.</w:t>
      </w:r>
      <w:r>
        <w:t xml:space="preserve"> </w:t>
      </w:r>
      <w:r>
        <w:rPr>
          <w:sz w:val="24"/>
        </w:rPr>
        <w:t>在参加本项目前三年内没有因违法经营受到刑事处罚或者责令停产停业、吊销许可证或者执照、较大数额罚款等行政处罚或处罚。</w:t>
      </w:r>
    </w:p>
    <w:p>
      <w:pPr>
        <w:snapToGrid w:val="0"/>
        <w:spacing w:before="120" w:beforeLines="50"/>
        <w:ind w:firstLine="480" w:firstLineChars="200"/>
        <w:rPr>
          <w:sz w:val="24"/>
          <w:u w:val="single"/>
        </w:rPr>
      </w:pPr>
      <w:r>
        <w:rPr>
          <w:sz w:val="24"/>
          <w:u w:val="single"/>
        </w:rPr>
        <w:t>　如有，说明具体情况，否则删除本行　　</w:t>
      </w:r>
    </w:p>
    <w:p>
      <w:pPr>
        <w:snapToGrid w:val="0"/>
        <w:spacing w:before="120" w:beforeLines="50" w:line="360" w:lineRule="auto"/>
        <w:ind w:firstLine="480" w:firstLineChars="200"/>
        <w:rPr>
          <w:sz w:val="24"/>
        </w:rPr>
      </w:pPr>
      <w:r>
        <w:rPr>
          <w:sz w:val="24"/>
        </w:rPr>
        <w:t>9.在投标截止前未被“信用中国”网站(www.creditchina.gov.cn)列入失信被执行人、重大税收违法案件当事人名单；未被“中国政府采购网”(www.ccgp.gov.cn)列入政府采购严重违法失信行为记录名单。</w:t>
      </w:r>
    </w:p>
    <w:p>
      <w:pPr>
        <w:snapToGrid w:val="0"/>
        <w:spacing w:before="120" w:beforeLines="50"/>
        <w:ind w:firstLine="480" w:firstLineChars="200"/>
        <w:rPr>
          <w:sz w:val="24"/>
          <w:u w:val="single"/>
        </w:rPr>
      </w:pPr>
      <w:r>
        <w:rPr>
          <w:sz w:val="24"/>
          <w:u w:val="single"/>
        </w:rPr>
        <w:t>　如被列入，说明具体情况，否则删除本行　　</w:t>
      </w:r>
    </w:p>
    <w:p>
      <w:pPr>
        <w:snapToGrid w:val="0"/>
        <w:spacing w:line="360" w:lineRule="auto"/>
        <w:ind w:firstLine="480" w:firstLineChars="200"/>
        <w:rPr>
          <w:sz w:val="24"/>
          <w:szCs w:val="20"/>
        </w:rPr>
      </w:pPr>
      <w:r>
        <w:rPr>
          <w:sz w:val="24"/>
        </w:rPr>
        <w:t>10.以上事项如有虚假或隐瞒，我方愿意承担一切后果，并不再寻求任何旨在减轻或免除法律责任的辩解。</w:t>
      </w:r>
    </w:p>
    <w:p>
      <w:pPr>
        <w:snapToGrid w:val="0"/>
        <w:spacing w:line="360" w:lineRule="auto"/>
        <w:ind w:firstLine="480" w:firstLineChars="200"/>
        <w:rPr>
          <w:sz w:val="24"/>
          <w:szCs w:val="20"/>
        </w:rPr>
      </w:pPr>
      <w:r>
        <w:rPr>
          <w:sz w:val="24"/>
        </w:rPr>
        <w:t>11.本投标有关的一切正式往来信函请寄：</w:t>
      </w:r>
    </w:p>
    <w:p>
      <w:pPr>
        <w:snapToGrid w:val="0"/>
        <w:spacing w:line="360" w:lineRule="auto"/>
        <w:rPr>
          <w:sz w:val="24"/>
        </w:rPr>
      </w:pPr>
    </w:p>
    <w:p>
      <w:pPr>
        <w:snapToGrid w:val="0"/>
        <w:spacing w:line="360" w:lineRule="auto"/>
        <w:rPr>
          <w:sz w:val="24"/>
          <w:szCs w:val="20"/>
        </w:rPr>
      </w:pPr>
      <w:r>
        <w:rPr>
          <w:sz w:val="24"/>
        </w:rPr>
        <w:t>地址：</w:t>
      </w:r>
      <w:r>
        <w:rPr>
          <w:sz w:val="24"/>
          <w:u w:val="single"/>
        </w:rPr>
        <w:t xml:space="preserve">                     </w:t>
      </w:r>
      <w:r>
        <w:rPr>
          <w:sz w:val="24"/>
        </w:rPr>
        <w:t>邮编：</w:t>
      </w:r>
      <w:r>
        <w:rPr>
          <w:sz w:val="24"/>
          <w:u w:val="single"/>
        </w:rPr>
        <w:t xml:space="preserve">            </w:t>
      </w:r>
      <w:r>
        <w:rPr>
          <w:sz w:val="24"/>
        </w:rPr>
        <w:t xml:space="preserve">   电话：</w:t>
      </w:r>
      <w:r>
        <w:rPr>
          <w:sz w:val="24"/>
          <w:u w:val="single"/>
        </w:rPr>
        <w:t xml:space="preserve">               </w:t>
      </w:r>
    </w:p>
    <w:p>
      <w:pPr>
        <w:snapToGrid w:val="0"/>
        <w:spacing w:line="360" w:lineRule="auto"/>
        <w:rPr>
          <w:sz w:val="24"/>
          <w:szCs w:val="20"/>
        </w:rPr>
      </w:pPr>
      <w:r>
        <w:rPr>
          <w:sz w:val="24"/>
        </w:rPr>
        <w:t>传真：______________投标人代表姓名 ___________  职务：</w:t>
      </w:r>
      <w:r>
        <w:rPr>
          <w:sz w:val="24"/>
          <w:u w:val="single"/>
        </w:rPr>
        <w:t xml:space="preserve">            </w:t>
      </w:r>
    </w:p>
    <w:p>
      <w:pPr>
        <w:snapToGrid w:val="0"/>
        <w:spacing w:line="360" w:lineRule="auto"/>
        <w:rPr>
          <w:sz w:val="24"/>
          <w:szCs w:val="20"/>
        </w:rPr>
      </w:pPr>
      <w:r>
        <w:rPr>
          <w:sz w:val="24"/>
        </w:rPr>
        <w:t>投标人名称（公章）：___________________</w:t>
      </w:r>
    </w:p>
    <w:p>
      <w:pPr>
        <w:snapToGrid w:val="0"/>
        <w:spacing w:line="360" w:lineRule="auto"/>
        <w:rPr>
          <w:sz w:val="24"/>
          <w:szCs w:val="20"/>
        </w:rPr>
      </w:pPr>
      <w:r>
        <w:rPr>
          <w:sz w:val="24"/>
        </w:rPr>
        <w:t>开户银行：</w:t>
      </w:r>
      <w:r>
        <w:rPr>
          <w:sz w:val="24"/>
          <w:u w:val="single"/>
        </w:rPr>
        <w:t xml:space="preserve">                      </w:t>
      </w:r>
      <w:r>
        <w:rPr>
          <w:sz w:val="24"/>
        </w:rPr>
        <w:t xml:space="preserve">   银行帐号：</w:t>
      </w:r>
      <w:r>
        <w:rPr>
          <w:sz w:val="24"/>
          <w:u w:val="single"/>
        </w:rPr>
        <w:t xml:space="preserve">                  </w:t>
      </w:r>
      <w:r>
        <w:rPr>
          <w:sz w:val="24"/>
        </w:rPr>
        <w:t xml:space="preserve"> </w:t>
      </w:r>
    </w:p>
    <w:p>
      <w:pPr>
        <w:snapToGrid w:val="0"/>
        <w:spacing w:line="360" w:lineRule="auto"/>
        <w:rPr>
          <w:sz w:val="24"/>
        </w:rPr>
      </w:pPr>
      <w:r>
        <w:rPr>
          <w:sz w:val="24"/>
        </w:rPr>
        <w:t>法定代表人或授权委托人签字：</w:t>
      </w:r>
      <w:r>
        <w:rPr>
          <w:sz w:val="24"/>
          <w:u w:val="single"/>
        </w:rPr>
        <w:t xml:space="preserve">                  </w:t>
      </w:r>
      <w:r>
        <w:rPr>
          <w:sz w:val="24"/>
        </w:rPr>
        <w:t xml:space="preserve">                 </w:t>
      </w:r>
    </w:p>
    <w:p>
      <w:pPr>
        <w:snapToGrid w:val="0"/>
        <w:spacing w:line="360" w:lineRule="auto"/>
        <w:rPr>
          <w:sz w:val="30"/>
          <w:szCs w:val="20"/>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napToGrid w:val="0"/>
        <w:spacing w:before="50" w:after="50" w:line="360" w:lineRule="auto"/>
        <w:outlineLvl w:val="1"/>
        <w:rPr>
          <w:b/>
          <w:sz w:val="24"/>
          <w:szCs w:val="20"/>
        </w:rPr>
      </w:pPr>
      <w:r>
        <w:rPr>
          <w:sz w:val="24"/>
          <w:szCs w:val="20"/>
        </w:rPr>
        <w:br w:type="page"/>
      </w:r>
      <w:bookmarkStart w:id="47" w:name="_Toc18854429"/>
      <w:r>
        <w:rPr>
          <w:sz w:val="24"/>
          <w:szCs w:val="20"/>
        </w:rPr>
        <w:t xml:space="preserve">5. </w:t>
      </w:r>
      <w:r>
        <w:rPr>
          <w:b/>
          <w:sz w:val="24"/>
        </w:rPr>
        <w:t>商务、技术文</w:t>
      </w:r>
      <w:r>
        <w:rPr>
          <w:b/>
          <w:bCs/>
          <w:sz w:val="24"/>
        </w:rPr>
        <w:t>件目录</w:t>
      </w:r>
      <w:bookmarkEnd w:id="47"/>
    </w:p>
    <w:p>
      <w:pPr>
        <w:snapToGrid w:val="0"/>
        <w:spacing w:line="360" w:lineRule="auto"/>
        <w:ind w:firstLine="470" w:firstLineChars="196"/>
        <w:jc w:val="left"/>
        <w:rPr>
          <w:sz w:val="24"/>
          <w:szCs w:val="20"/>
        </w:rPr>
      </w:pPr>
      <w:r>
        <w:rPr>
          <w:sz w:val="24"/>
        </w:rPr>
        <w:t>（1）投标保证金交付凭证；</w:t>
      </w:r>
    </w:p>
    <w:p>
      <w:pPr>
        <w:snapToGrid w:val="0"/>
        <w:spacing w:line="360" w:lineRule="auto"/>
        <w:ind w:firstLine="470" w:firstLineChars="196"/>
        <w:jc w:val="left"/>
        <w:rPr>
          <w:sz w:val="24"/>
          <w:szCs w:val="20"/>
        </w:rPr>
      </w:pPr>
      <w:r>
        <w:rPr>
          <w:bCs/>
          <w:sz w:val="24"/>
        </w:rPr>
        <w:t>▲</w:t>
      </w:r>
      <w:r>
        <w:rPr>
          <w:sz w:val="24"/>
        </w:rPr>
        <w:t>（2）法定代表人授权委托书（格式见第六章）；</w:t>
      </w:r>
    </w:p>
    <w:p>
      <w:pPr>
        <w:snapToGrid w:val="0"/>
        <w:spacing w:line="360" w:lineRule="auto"/>
        <w:ind w:firstLine="470" w:firstLineChars="196"/>
        <w:jc w:val="left"/>
        <w:rPr>
          <w:sz w:val="24"/>
          <w:szCs w:val="20"/>
        </w:rPr>
      </w:pPr>
      <w:r>
        <w:rPr>
          <w:sz w:val="24"/>
        </w:rPr>
        <w:t>（3）投标人营业执照；</w:t>
      </w:r>
    </w:p>
    <w:p>
      <w:pPr>
        <w:snapToGrid w:val="0"/>
        <w:spacing w:line="360" w:lineRule="auto"/>
        <w:ind w:firstLine="470" w:firstLineChars="196"/>
        <w:jc w:val="left"/>
        <w:rPr>
          <w:kern w:val="0"/>
          <w:sz w:val="24"/>
        </w:rPr>
      </w:pPr>
      <w:r>
        <w:rPr>
          <w:kern w:val="0"/>
          <w:sz w:val="24"/>
        </w:rPr>
        <w:t>（4）法律、法规等规定投标人从事本项目所列服务等要求具备的资质，提供相关证明材料；（如有）</w:t>
      </w:r>
    </w:p>
    <w:p>
      <w:pPr>
        <w:snapToGrid w:val="0"/>
        <w:spacing w:line="360" w:lineRule="auto"/>
        <w:ind w:firstLine="470" w:firstLineChars="196"/>
        <w:jc w:val="left"/>
        <w:rPr>
          <w:sz w:val="24"/>
        </w:rPr>
      </w:pPr>
      <w:r>
        <w:rPr>
          <w:sz w:val="24"/>
        </w:rPr>
        <w:t>（5）技术响应表（格式见第六章）；</w:t>
      </w:r>
    </w:p>
    <w:p>
      <w:pPr>
        <w:snapToGrid w:val="0"/>
        <w:spacing w:line="360" w:lineRule="auto"/>
        <w:ind w:firstLine="470" w:firstLineChars="196"/>
        <w:jc w:val="left"/>
        <w:rPr>
          <w:sz w:val="24"/>
        </w:rPr>
      </w:pPr>
      <w:r>
        <w:rPr>
          <w:sz w:val="24"/>
        </w:rPr>
        <w:t>（6）商务响应表（格式见第六章）；</w:t>
      </w:r>
    </w:p>
    <w:p>
      <w:pPr>
        <w:snapToGrid w:val="0"/>
        <w:spacing w:line="360" w:lineRule="auto"/>
        <w:ind w:firstLine="470" w:firstLineChars="196"/>
        <w:jc w:val="left"/>
        <w:rPr>
          <w:sz w:val="24"/>
        </w:rPr>
      </w:pPr>
      <w:r>
        <w:rPr>
          <w:sz w:val="24"/>
        </w:rPr>
        <w:t>（7）公司简介（格式见第六章）；</w:t>
      </w:r>
    </w:p>
    <w:p>
      <w:pPr>
        <w:snapToGrid w:val="0"/>
        <w:spacing w:line="360" w:lineRule="auto"/>
        <w:ind w:firstLine="470" w:firstLineChars="196"/>
        <w:jc w:val="left"/>
        <w:rPr>
          <w:sz w:val="24"/>
        </w:rPr>
      </w:pPr>
      <w:r>
        <w:rPr>
          <w:sz w:val="24"/>
        </w:rPr>
        <w:t>（8）最近一个年度经第三方审计的财务报告；</w:t>
      </w:r>
    </w:p>
    <w:p>
      <w:pPr>
        <w:snapToGrid w:val="0"/>
        <w:spacing w:line="360" w:lineRule="auto"/>
        <w:ind w:firstLine="470" w:firstLineChars="196"/>
        <w:jc w:val="left"/>
        <w:rPr>
          <w:sz w:val="24"/>
          <w:szCs w:val="18"/>
        </w:rPr>
      </w:pPr>
      <w:r>
        <w:rPr>
          <w:sz w:val="24"/>
        </w:rPr>
        <w:t>（9）有效期内的ISO9001质量管理体系认证、OHSAS18001职业健康安全管理体系认证、ISO14001环境管理体系认证</w:t>
      </w:r>
      <w:r>
        <w:rPr>
          <w:sz w:val="24"/>
          <w:szCs w:val="18"/>
        </w:rPr>
        <w:t>（详见评分标准要求）；</w:t>
      </w:r>
    </w:p>
    <w:p>
      <w:pPr>
        <w:snapToGrid w:val="0"/>
        <w:spacing w:line="360" w:lineRule="auto"/>
        <w:ind w:firstLine="470" w:firstLineChars="196"/>
        <w:jc w:val="left"/>
        <w:rPr>
          <w:sz w:val="24"/>
          <w:szCs w:val="18"/>
        </w:rPr>
      </w:pPr>
      <w:r>
        <w:rPr>
          <w:rFonts w:hint="eastAsia"/>
          <w:sz w:val="24"/>
          <w:szCs w:val="18"/>
        </w:rPr>
        <w:t>（10）投标人综合情况说明（详见评分标准要求）；</w:t>
      </w:r>
    </w:p>
    <w:p>
      <w:pPr>
        <w:snapToGrid w:val="0"/>
        <w:spacing w:line="360" w:lineRule="auto"/>
        <w:ind w:firstLine="470" w:firstLineChars="196"/>
        <w:jc w:val="left"/>
        <w:rPr>
          <w:sz w:val="24"/>
        </w:rPr>
      </w:pPr>
      <w:r>
        <w:rPr>
          <w:rFonts w:hint="eastAsia"/>
          <w:sz w:val="24"/>
          <w:szCs w:val="18"/>
        </w:rPr>
        <w:t>（11）</w:t>
      </w:r>
      <w:r>
        <w:rPr>
          <w:sz w:val="24"/>
          <w:szCs w:val="18"/>
        </w:rPr>
        <w:t>省级及以上市场监督管理局颁发的守合同重信用企业证明（详见评分标准要求）</w:t>
      </w:r>
      <w:r>
        <w:rPr>
          <w:sz w:val="24"/>
        </w:rPr>
        <w:t>；</w:t>
      </w:r>
    </w:p>
    <w:p>
      <w:pPr>
        <w:snapToGrid w:val="0"/>
        <w:spacing w:line="360" w:lineRule="auto"/>
        <w:ind w:firstLine="470" w:firstLineChars="196"/>
        <w:jc w:val="left"/>
        <w:rPr>
          <w:rFonts w:hint="eastAsia"/>
          <w:sz w:val="24"/>
          <w:szCs w:val="18"/>
        </w:rPr>
      </w:pPr>
      <w:r>
        <w:rPr>
          <w:rFonts w:hint="eastAsia"/>
          <w:sz w:val="24"/>
          <w:szCs w:val="18"/>
        </w:rPr>
        <w:t>（12）拟投入的设备、工具、消耗材料配备情况；</w:t>
      </w:r>
      <w:r>
        <w:rPr>
          <w:sz w:val="24"/>
          <w:szCs w:val="18"/>
        </w:rPr>
        <w:t>（</w:t>
      </w:r>
      <w:r>
        <w:rPr>
          <w:sz w:val="24"/>
        </w:rPr>
        <w:t>格式见第六章</w:t>
      </w:r>
      <w:r>
        <w:rPr>
          <w:sz w:val="24"/>
          <w:szCs w:val="18"/>
        </w:rPr>
        <w:t>，要求详见评分标准要求）</w:t>
      </w:r>
      <w:r>
        <w:rPr>
          <w:sz w:val="24"/>
        </w:rPr>
        <w:t>；</w:t>
      </w:r>
    </w:p>
    <w:p>
      <w:pPr>
        <w:snapToGrid w:val="0"/>
        <w:spacing w:line="360" w:lineRule="auto"/>
        <w:ind w:firstLine="470" w:firstLineChars="196"/>
        <w:jc w:val="left"/>
        <w:rPr>
          <w:sz w:val="24"/>
        </w:rPr>
      </w:pPr>
      <w:r>
        <w:rPr>
          <w:sz w:val="24"/>
          <w:szCs w:val="18"/>
        </w:rPr>
        <w:t>（13）</w:t>
      </w:r>
      <w:r>
        <w:rPr>
          <w:sz w:val="24"/>
        </w:rPr>
        <w:t>同类项目业绩（详见评分标准要求）；</w:t>
      </w:r>
    </w:p>
    <w:p>
      <w:pPr>
        <w:snapToGrid w:val="0"/>
        <w:spacing w:line="360" w:lineRule="auto"/>
        <w:ind w:firstLine="470" w:firstLineChars="196"/>
        <w:jc w:val="left"/>
        <w:rPr>
          <w:sz w:val="24"/>
        </w:rPr>
      </w:pPr>
      <w:r>
        <w:rPr>
          <w:sz w:val="24"/>
        </w:rPr>
        <w:t>（14）履约评价（详见评分标准要求）；</w:t>
      </w:r>
    </w:p>
    <w:p>
      <w:pPr>
        <w:snapToGrid w:val="0"/>
        <w:spacing w:line="360" w:lineRule="auto"/>
        <w:ind w:firstLine="470" w:firstLineChars="196"/>
        <w:jc w:val="left"/>
        <w:rPr>
          <w:sz w:val="24"/>
        </w:rPr>
      </w:pPr>
      <w:r>
        <w:rPr>
          <w:sz w:val="24"/>
        </w:rPr>
        <w:t>（15）人员配置要求（</w:t>
      </w:r>
      <w:r>
        <w:rPr>
          <w:sz w:val="24"/>
          <w:szCs w:val="18"/>
        </w:rPr>
        <w:t>详见评分标准要求，</w:t>
      </w:r>
      <w:r>
        <w:rPr>
          <w:sz w:val="24"/>
        </w:rPr>
        <w:t>格式见第六章）；</w:t>
      </w:r>
    </w:p>
    <w:p>
      <w:pPr>
        <w:snapToGrid w:val="0"/>
        <w:spacing w:line="360" w:lineRule="auto"/>
        <w:ind w:firstLine="470" w:firstLineChars="196"/>
        <w:jc w:val="left"/>
        <w:rPr>
          <w:sz w:val="24"/>
        </w:rPr>
      </w:pPr>
      <w:r>
        <w:rPr>
          <w:sz w:val="24"/>
        </w:rPr>
        <w:t>（16）</w:t>
      </w:r>
      <w:r>
        <w:rPr>
          <w:rFonts w:hint="eastAsia"/>
          <w:sz w:val="24"/>
        </w:rPr>
        <w:t>清洁卫生管理服务要求</w:t>
      </w:r>
    </w:p>
    <w:p>
      <w:pPr>
        <w:snapToGrid w:val="0"/>
        <w:spacing w:line="360" w:lineRule="auto"/>
        <w:ind w:firstLine="470" w:firstLineChars="196"/>
        <w:jc w:val="left"/>
        <w:rPr>
          <w:sz w:val="24"/>
        </w:rPr>
      </w:pPr>
      <w:r>
        <w:rPr>
          <w:sz w:val="24"/>
        </w:rPr>
        <w:t>（17）拟安排的项目负责人和团队成员情况（详见评分标准要求；自行列表并提供证明材料）；</w:t>
      </w:r>
    </w:p>
    <w:p>
      <w:pPr>
        <w:snapToGrid w:val="0"/>
        <w:spacing w:line="360" w:lineRule="auto"/>
        <w:ind w:firstLine="470" w:firstLineChars="196"/>
        <w:jc w:val="left"/>
        <w:rPr>
          <w:sz w:val="24"/>
        </w:rPr>
      </w:pPr>
      <w:r>
        <w:rPr>
          <w:sz w:val="24"/>
        </w:rPr>
        <w:t>（18）</w:t>
      </w:r>
      <w:r>
        <w:rPr>
          <w:rFonts w:hint="eastAsia"/>
          <w:sz w:val="24"/>
        </w:rPr>
        <w:t>食堂物流及管理资质（详见评分标准要求）；</w:t>
      </w:r>
    </w:p>
    <w:p>
      <w:pPr>
        <w:snapToGrid w:val="0"/>
        <w:spacing w:line="360" w:lineRule="auto"/>
        <w:ind w:firstLine="470" w:firstLineChars="196"/>
        <w:jc w:val="left"/>
        <w:rPr>
          <w:sz w:val="24"/>
        </w:rPr>
      </w:pPr>
      <w:r>
        <w:rPr>
          <w:sz w:val="24"/>
        </w:rPr>
        <w:t>（19）各项管理服务分项工作的流程、标准，具体实施计划和方案</w:t>
      </w:r>
      <w:r>
        <w:rPr>
          <w:sz w:val="24"/>
          <w:szCs w:val="18"/>
        </w:rPr>
        <w:t>（详见评分标准要求）</w:t>
      </w:r>
      <w:r>
        <w:rPr>
          <w:sz w:val="24"/>
        </w:rPr>
        <w:t>；</w:t>
      </w:r>
    </w:p>
    <w:p>
      <w:pPr>
        <w:snapToGrid w:val="0"/>
        <w:spacing w:line="360" w:lineRule="auto"/>
        <w:ind w:firstLine="470" w:firstLineChars="196"/>
        <w:jc w:val="left"/>
        <w:rPr>
          <w:sz w:val="24"/>
        </w:rPr>
      </w:pPr>
      <w:r>
        <w:rPr>
          <w:sz w:val="24"/>
        </w:rPr>
        <w:t>（20）员工队伍建设</w:t>
      </w:r>
      <w:r>
        <w:rPr>
          <w:sz w:val="24"/>
          <w:szCs w:val="18"/>
        </w:rPr>
        <w:t>（详见评分标准要求）</w:t>
      </w:r>
      <w:r>
        <w:rPr>
          <w:sz w:val="24"/>
        </w:rPr>
        <w:t>；</w:t>
      </w:r>
    </w:p>
    <w:p>
      <w:pPr>
        <w:snapToGrid w:val="0"/>
        <w:spacing w:line="360" w:lineRule="auto"/>
        <w:ind w:firstLine="470" w:firstLineChars="196"/>
        <w:jc w:val="left"/>
        <w:rPr>
          <w:sz w:val="24"/>
        </w:rPr>
      </w:pPr>
      <w:r>
        <w:rPr>
          <w:sz w:val="24"/>
        </w:rPr>
        <w:t>（21）突发事件应急处理措施</w:t>
      </w:r>
      <w:r>
        <w:rPr>
          <w:sz w:val="24"/>
          <w:szCs w:val="18"/>
        </w:rPr>
        <w:t>（详见评分标准要求）</w:t>
      </w:r>
      <w:r>
        <w:rPr>
          <w:sz w:val="24"/>
        </w:rPr>
        <w:t>；</w:t>
      </w:r>
    </w:p>
    <w:p>
      <w:pPr>
        <w:snapToGrid w:val="0"/>
        <w:spacing w:line="360" w:lineRule="auto"/>
        <w:ind w:firstLine="470" w:firstLineChars="196"/>
        <w:jc w:val="left"/>
        <w:rPr>
          <w:sz w:val="24"/>
        </w:rPr>
      </w:pPr>
      <w:r>
        <w:rPr>
          <w:sz w:val="24"/>
        </w:rPr>
        <w:t>（22）针对此项目合理化建议及优惠措施</w:t>
      </w:r>
      <w:r>
        <w:rPr>
          <w:sz w:val="24"/>
          <w:szCs w:val="18"/>
        </w:rPr>
        <w:t>（详见评分标准要求）</w:t>
      </w:r>
      <w:r>
        <w:rPr>
          <w:sz w:val="24"/>
        </w:rPr>
        <w:t>；</w:t>
      </w:r>
    </w:p>
    <w:p>
      <w:pPr>
        <w:snapToGrid w:val="0"/>
        <w:spacing w:line="360" w:lineRule="auto"/>
        <w:ind w:firstLine="470" w:firstLineChars="196"/>
        <w:jc w:val="left"/>
        <w:rPr>
          <w:sz w:val="24"/>
        </w:rPr>
      </w:pPr>
      <w:r>
        <w:rPr>
          <w:sz w:val="24"/>
        </w:rPr>
        <w:t>（23）政府采购政策情况表（格式见第六章）；</w:t>
      </w:r>
    </w:p>
    <w:p>
      <w:pPr>
        <w:snapToGrid w:val="0"/>
        <w:spacing w:line="360" w:lineRule="auto"/>
        <w:ind w:firstLine="470" w:firstLineChars="196"/>
        <w:jc w:val="left"/>
        <w:rPr>
          <w:sz w:val="24"/>
        </w:rPr>
      </w:pPr>
      <w:r>
        <w:rPr>
          <w:sz w:val="24"/>
        </w:rPr>
        <w:t>（24）中小企业的相关证明材料（如投标人为小型和微型企业）：</w:t>
      </w:r>
    </w:p>
    <w:p>
      <w:pPr>
        <w:snapToGrid w:val="0"/>
        <w:spacing w:line="360" w:lineRule="auto"/>
        <w:ind w:firstLine="1132" w:firstLineChars="472"/>
        <w:jc w:val="left"/>
        <w:rPr>
          <w:sz w:val="24"/>
        </w:rPr>
      </w:pPr>
      <w:r>
        <w:rPr>
          <w:sz w:val="24"/>
        </w:rPr>
        <w:t>① 中小企业声明函（格式见第六章）；</w:t>
      </w:r>
    </w:p>
    <w:p>
      <w:pPr>
        <w:snapToGrid w:val="0"/>
        <w:spacing w:line="360" w:lineRule="auto"/>
        <w:ind w:firstLine="1132" w:firstLineChars="472"/>
        <w:jc w:val="left"/>
        <w:rPr>
          <w:sz w:val="24"/>
        </w:rPr>
      </w:pPr>
      <w:r>
        <w:rPr>
          <w:sz w:val="24"/>
        </w:rPr>
        <w:t>② 各级经信部门或中小企业局出具的中小企业资格证明材料；</w:t>
      </w:r>
    </w:p>
    <w:p>
      <w:pPr>
        <w:snapToGrid w:val="0"/>
        <w:spacing w:line="360" w:lineRule="auto"/>
        <w:ind w:firstLine="1132" w:firstLineChars="472"/>
        <w:jc w:val="left"/>
        <w:rPr>
          <w:sz w:val="24"/>
        </w:rPr>
      </w:pPr>
      <w:r>
        <w:rPr>
          <w:sz w:val="24"/>
        </w:rPr>
        <w:t>③ 投标人已通过浙江政府采购网申请注册并成为正式入库供应商的相关证明材料。</w:t>
      </w:r>
    </w:p>
    <w:p>
      <w:pPr>
        <w:snapToGrid w:val="0"/>
        <w:spacing w:line="360" w:lineRule="auto"/>
        <w:ind w:firstLine="470" w:firstLineChars="196"/>
        <w:jc w:val="left"/>
        <w:rPr>
          <w:sz w:val="24"/>
        </w:rPr>
      </w:pPr>
      <w:r>
        <w:rPr>
          <w:sz w:val="24"/>
        </w:rPr>
        <w:t>（25）残疾人福利性单位的相关证明材料（如投标人为残疾人福利性单位）：</w:t>
      </w:r>
    </w:p>
    <w:p>
      <w:pPr>
        <w:snapToGrid w:val="0"/>
        <w:spacing w:line="360" w:lineRule="auto"/>
        <w:ind w:firstLine="1132" w:firstLineChars="472"/>
        <w:jc w:val="left"/>
        <w:rPr>
          <w:sz w:val="24"/>
        </w:rPr>
      </w:pPr>
      <w:r>
        <w:rPr>
          <w:sz w:val="24"/>
        </w:rPr>
        <w:t>① 残疾人福利性单位声明函（格式见第六章）；</w:t>
      </w:r>
    </w:p>
    <w:p>
      <w:pPr>
        <w:snapToGrid w:val="0"/>
        <w:spacing w:line="360" w:lineRule="auto"/>
        <w:ind w:firstLine="1132" w:firstLineChars="472"/>
        <w:jc w:val="left"/>
        <w:rPr>
          <w:sz w:val="24"/>
        </w:rPr>
      </w:pPr>
      <w:r>
        <w:rPr>
          <w:sz w:val="24"/>
        </w:rPr>
        <w:t>② 各级民政部门出具的残疾人福利性单位证明材料。</w:t>
      </w:r>
    </w:p>
    <w:p>
      <w:pPr>
        <w:snapToGrid w:val="0"/>
        <w:spacing w:line="360" w:lineRule="auto"/>
        <w:ind w:firstLine="470" w:firstLineChars="196"/>
        <w:jc w:val="left"/>
        <w:rPr>
          <w:sz w:val="24"/>
        </w:rPr>
      </w:pPr>
      <w:r>
        <w:rPr>
          <w:sz w:val="24"/>
        </w:rPr>
        <w:t>（26）监狱企业的相关证明材料（如投标人为监狱企业）：</w:t>
      </w:r>
    </w:p>
    <w:p>
      <w:pPr>
        <w:snapToGrid w:val="0"/>
        <w:spacing w:line="360" w:lineRule="auto"/>
        <w:ind w:firstLine="1132" w:firstLineChars="472"/>
        <w:jc w:val="left"/>
        <w:rPr>
          <w:sz w:val="24"/>
        </w:rPr>
      </w:pPr>
      <w:r>
        <w:rPr>
          <w:sz w:val="24"/>
        </w:rPr>
        <w:t>① 由省级以上监狱管理局、戒毒管理局（含新疆生产建设兵团）出具的属于监狱企业的证明文件。</w:t>
      </w:r>
    </w:p>
    <w:p>
      <w:pPr>
        <w:snapToGrid w:val="0"/>
        <w:spacing w:line="360" w:lineRule="auto"/>
        <w:ind w:firstLine="470" w:firstLineChars="196"/>
        <w:jc w:val="left"/>
        <w:rPr>
          <w:kern w:val="0"/>
          <w:sz w:val="24"/>
        </w:rPr>
      </w:pPr>
      <w:r>
        <w:rPr>
          <w:kern w:val="0"/>
          <w:sz w:val="24"/>
        </w:rPr>
        <w:t>（27）</w:t>
      </w:r>
      <w:r>
        <w:rPr>
          <w:rFonts w:hint="eastAsia"/>
          <w:kern w:val="0"/>
          <w:sz w:val="24"/>
        </w:rPr>
        <w:t>招标文件要求提供的其他文件、</w:t>
      </w:r>
      <w:r>
        <w:rPr>
          <w:kern w:val="0"/>
          <w:sz w:val="24"/>
        </w:rPr>
        <w:t>投标人认为需要提供的其他文件。</w:t>
      </w:r>
    </w:p>
    <w:p>
      <w:pPr>
        <w:snapToGrid w:val="0"/>
        <w:spacing w:line="360" w:lineRule="auto"/>
        <w:ind w:firstLine="470" w:firstLineChars="196"/>
        <w:jc w:val="left"/>
        <w:rPr>
          <w:kern w:val="0"/>
          <w:sz w:val="24"/>
        </w:rPr>
      </w:pPr>
    </w:p>
    <w:p>
      <w:pPr>
        <w:snapToGrid w:val="0"/>
        <w:spacing w:before="120" w:beforeLines="50" w:after="50" w:line="360" w:lineRule="auto"/>
        <w:outlineLvl w:val="1"/>
        <w:rPr>
          <w:b/>
          <w:sz w:val="24"/>
          <w:szCs w:val="20"/>
        </w:rPr>
      </w:pPr>
      <w:r>
        <w:br w:type="page"/>
      </w:r>
      <w:bookmarkStart w:id="48" w:name="_Toc18854430"/>
      <w:r>
        <w:rPr>
          <w:b/>
          <w:sz w:val="24"/>
        </w:rPr>
        <w:t>6.法定代表人授权委托书格式</w:t>
      </w:r>
      <w:bookmarkEnd w:id="48"/>
    </w:p>
    <w:p>
      <w:pPr>
        <w:snapToGrid w:val="0"/>
        <w:spacing w:before="120" w:beforeLines="50" w:after="50" w:line="360" w:lineRule="auto"/>
        <w:jc w:val="center"/>
        <w:rPr>
          <w:sz w:val="30"/>
          <w:szCs w:val="20"/>
        </w:rPr>
      </w:pPr>
    </w:p>
    <w:p>
      <w:pPr>
        <w:snapToGrid w:val="0"/>
        <w:spacing w:before="120" w:beforeLines="50" w:after="50" w:line="360" w:lineRule="auto"/>
        <w:jc w:val="center"/>
        <w:rPr>
          <w:b/>
          <w:sz w:val="30"/>
          <w:szCs w:val="30"/>
        </w:rPr>
      </w:pPr>
      <w:r>
        <w:rPr>
          <w:b/>
          <w:sz w:val="30"/>
          <w:szCs w:val="30"/>
        </w:rPr>
        <w:t>法定代表人授权委托书</w:t>
      </w:r>
    </w:p>
    <w:p>
      <w:pPr>
        <w:snapToGrid w:val="0"/>
        <w:spacing w:before="120" w:beforeLines="50" w:after="50" w:line="360" w:lineRule="auto"/>
        <w:rPr>
          <w:b/>
          <w:bCs/>
          <w:sz w:val="24"/>
          <w:szCs w:val="20"/>
        </w:rPr>
      </w:pPr>
      <w:r>
        <w:rPr>
          <w:bCs/>
          <w:sz w:val="24"/>
        </w:rPr>
        <w:t>致：</w:t>
      </w:r>
      <w:r>
        <w:rPr>
          <w:sz w:val="24"/>
          <w:u w:val="single"/>
        </w:rPr>
        <w:t xml:space="preserve">           </w:t>
      </w:r>
      <w:r>
        <w:rPr>
          <w:b/>
          <w:bCs/>
          <w:sz w:val="24"/>
        </w:rPr>
        <w:t xml:space="preserve"> </w:t>
      </w:r>
      <w:r>
        <w:rPr>
          <w:sz w:val="24"/>
        </w:rPr>
        <w:t>：</w:t>
      </w:r>
    </w:p>
    <w:p>
      <w:pPr>
        <w:snapToGrid w:val="0"/>
        <w:spacing w:before="120" w:beforeLines="50" w:after="50" w:line="360" w:lineRule="auto"/>
        <w:ind w:firstLine="720" w:firstLineChars="300"/>
        <w:rPr>
          <w:sz w:val="24"/>
          <w:u w:val="single"/>
        </w:rPr>
      </w:pPr>
      <w:r>
        <w:rPr>
          <w:sz w:val="24"/>
        </w:rPr>
        <w:t>我</w:t>
      </w:r>
      <w:r>
        <w:rPr>
          <w:sz w:val="24"/>
          <w:u w:val="single"/>
        </w:rPr>
        <w:t xml:space="preserve">           </w:t>
      </w:r>
      <w:r>
        <w:rPr>
          <w:sz w:val="24"/>
        </w:rPr>
        <w:t>（姓名）系</w:t>
      </w:r>
      <w:r>
        <w:rPr>
          <w:sz w:val="24"/>
          <w:u w:val="single"/>
        </w:rPr>
        <w:t xml:space="preserve">              </w:t>
      </w:r>
      <w:r>
        <w:rPr>
          <w:sz w:val="24"/>
        </w:rPr>
        <w:t xml:space="preserve">（投标人名称）的法定代表人，现授权委托本单位在职职工 </w:t>
      </w:r>
      <w:r>
        <w:rPr>
          <w:sz w:val="24"/>
          <w:u w:val="single"/>
        </w:rPr>
        <w:t xml:space="preserve">           </w:t>
      </w:r>
      <w:r>
        <w:rPr>
          <w:sz w:val="24"/>
        </w:rPr>
        <w:t>（姓名）以我方的名义参加</w:t>
      </w:r>
      <w:r>
        <w:rPr>
          <w:sz w:val="24"/>
          <w:u w:val="single"/>
        </w:rPr>
        <w:t xml:space="preserve">                          </w:t>
      </w:r>
      <w:r>
        <w:rPr>
          <w:sz w:val="24"/>
        </w:rPr>
        <w:t>项目的投标活动，并代表我方全权办理针对上述项目的投标、开标、评标、签约等具体事务和签署相关文件。</w:t>
      </w:r>
    </w:p>
    <w:p>
      <w:pPr>
        <w:snapToGrid w:val="0"/>
        <w:spacing w:before="120" w:beforeLines="50" w:after="50" w:line="360" w:lineRule="auto"/>
        <w:rPr>
          <w:sz w:val="24"/>
          <w:szCs w:val="20"/>
        </w:rPr>
      </w:pPr>
      <w:r>
        <w:rPr>
          <w:sz w:val="24"/>
        </w:rPr>
        <w:t xml:space="preserve">    我方对被授权人的签名事项负全部责任。</w:t>
      </w:r>
    </w:p>
    <w:p>
      <w:pPr>
        <w:snapToGrid w:val="0"/>
        <w:spacing w:before="120" w:beforeLines="50" w:after="50" w:line="360" w:lineRule="auto"/>
        <w:ind w:firstLine="480"/>
        <w:rPr>
          <w:sz w:val="24"/>
          <w:szCs w:val="20"/>
        </w:rPr>
      </w:pPr>
      <w:r>
        <w:rPr>
          <w:sz w:val="24"/>
          <w:u w:val="single"/>
        </w:rPr>
        <w:t>在撤销授权的书面通知以前，本授权书一直有效。</w:t>
      </w:r>
      <w:r>
        <w:rPr>
          <w:sz w:val="24"/>
        </w:rPr>
        <w:t>被授权人在授权书有效期内签署的所有文件不因授权的撤销而失效。</w:t>
      </w:r>
    </w:p>
    <w:p>
      <w:pPr>
        <w:snapToGrid w:val="0"/>
        <w:spacing w:before="120" w:beforeLines="50" w:after="50" w:line="360" w:lineRule="auto"/>
        <w:ind w:firstLine="480"/>
        <w:rPr>
          <w:sz w:val="24"/>
          <w:szCs w:val="20"/>
        </w:rPr>
      </w:pPr>
      <w:r>
        <w:rPr>
          <w:sz w:val="24"/>
        </w:rPr>
        <w:t>被授权人无转委托权，特此委托。</w:t>
      </w:r>
    </w:p>
    <w:p>
      <w:pPr>
        <w:snapToGrid w:val="0"/>
        <w:spacing w:before="120" w:beforeLines="50" w:after="50" w:line="360" w:lineRule="auto"/>
        <w:rPr>
          <w:sz w:val="24"/>
          <w:szCs w:val="20"/>
        </w:rPr>
      </w:pPr>
    </w:p>
    <w:p>
      <w:pPr>
        <w:snapToGrid w:val="0"/>
        <w:spacing w:before="120" w:beforeLines="50" w:after="50" w:line="360" w:lineRule="auto"/>
        <w:rPr>
          <w:sz w:val="24"/>
          <w:szCs w:val="20"/>
          <w:u w:val="single"/>
        </w:rPr>
      </w:pPr>
      <w:r>
        <w:rPr>
          <w:sz w:val="24"/>
        </w:rPr>
        <w:t>被授权人签名：</w:t>
      </w:r>
      <w:r>
        <w:rPr>
          <w:sz w:val="24"/>
          <w:u w:val="single"/>
        </w:rPr>
        <w:t xml:space="preserve">               </w:t>
      </w:r>
      <w:r>
        <w:rPr>
          <w:sz w:val="24"/>
        </w:rPr>
        <w:t xml:space="preserve">              法定代表人签名：</w:t>
      </w:r>
      <w:r>
        <w:rPr>
          <w:sz w:val="24"/>
          <w:u w:val="single"/>
        </w:rPr>
        <w:t xml:space="preserve">          </w:t>
      </w:r>
    </w:p>
    <w:p>
      <w:pPr>
        <w:snapToGrid w:val="0"/>
        <w:spacing w:before="120" w:beforeLines="50" w:after="50" w:line="360" w:lineRule="auto"/>
        <w:rPr>
          <w:sz w:val="24"/>
          <w:szCs w:val="20"/>
        </w:rPr>
      </w:pPr>
      <w:r>
        <w:rPr>
          <w:sz w:val="24"/>
        </w:rPr>
        <w:t>职务：</w:t>
      </w:r>
      <w:r>
        <w:rPr>
          <w:sz w:val="24"/>
          <w:u w:val="single"/>
        </w:rPr>
        <w:t xml:space="preserve">           </w:t>
      </w:r>
      <w:r>
        <w:rPr>
          <w:sz w:val="24"/>
        </w:rPr>
        <w:t xml:space="preserve">                          职务：</w:t>
      </w:r>
      <w:r>
        <w:rPr>
          <w:sz w:val="24"/>
          <w:u w:val="single"/>
        </w:rPr>
        <w:t xml:space="preserve">           </w:t>
      </w:r>
    </w:p>
    <w:p>
      <w:pPr>
        <w:snapToGrid w:val="0"/>
        <w:spacing w:before="120" w:beforeLines="50" w:after="50" w:line="360" w:lineRule="auto"/>
        <w:rPr>
          <w:sz w:val="24"/>
        </w:rPr>
      </w:pPr>
      <w:r>
        <w:rPr>
          <w:sz w:val="24"/>
        </w:rPr>
        <w:t>被授权人身份证号码：</w:t>
      </w:r>
      <w:r>
        <w:rPr>
          <w:sz w:val="24"/>
          <w:u w:val="single"/>
        </w:rPr>
        <w:t xml:space="preserve">                             </w:t>
      </w:r>
      <w:r>
        <w:rPr>
          <w:sz w:val="24"/>
        </w:rPr>
        <w:t xml:space="preserve"> </w:t>
      </w:r>
    </w:p>
    <w:p>
      <w:pPr>
        <w:snapToGrid w:val="0"/>
        <w:spacing w:before="120" w:beforeLines="50" w:after="50" w:line="360" w:lineRule="auto"/>
        <w:rPr>
          <w:sz w:val="24"/>
          <w:szCs w:val="20"/>
        </w:rPr>
      </w:pPr>
      <w:r>
        <w:rPr>
          <w:sz w:val="24"/>
        </w:rPr>
        <w:t>（附被授权人身份证正反双面复印件）</w:t>
      </w:r>
    </w:p>
    <w:p>
      <w:pPr>
        <w:snapToGrid w:val="0"/>
        <w:spacing w:before="120" w:beforeLines="50" w:after="50" w:line="360" w:lineRule="auto"/>
        <w:rPr>
          <w:sz w:val="24"/>
          <w:szCs w:val="20"/>
        </w:rPr>
      </w:pPr>
      <w:r>
        <w:rPr>
          <w:sz w:val="24"/>
        </w:rPr>
        <w:t xml:space="preserve">                                     投标人公章：</w:t>
      </w:r>
    </w:p>
    <w:p>
      <w:pPr>
        <w:snapToGrid w:val="0"/>
        <w:spacing w:before="120" w:beforeLines="50" w:after="50" w:line="360" w:lineRule="auto"/>
        <w:jc w:val="center"/>
        <w:rPr>
          <w:sz w:val="24"/>
        </w:rPr>
      </w:pPr>
      <w:r>
        <w:rPr>
          <w:sz w:val="24"/>
        </w:rPr>
        <w:t xml:space="preserve">                                        年    月    日</w:t>
      </w:r>
    </w:p>
    <w:p>
      <w:pPr>
        <w:spacing w:line="360" w:lineRule="auto"/>
        <w:ind w:right="-21" w:rightChars="-10"/>
        <w:outlineLvl w:val="1"/>
        <w:rPr>
          <w:bCs/>
        </w:rPr>
        <w:sectPr>
          <w:footerReference r:id="rId9" w:type="default"/>
          <w:pgSz w:w="11907" w:h="16840"/>
          <w:pgMar w:top="1418" w:right="1418" w:bottom="1418" w:left="1418" w:header="851" w:footer="992" w:gutter="0"/>
          <w:cols w:space="720" w:num="1"/>
          <w:docGrid w:linePitch="312" w:charSpace="0"/>
        </w:sectPr>
      </w:pPr>
    </w:p>
    <w:p>
      <w:pPr>
        <w:spacing w:line="360" w:lineRule="auto"/>
        <w:ind w:right="-21" w:rightChars="-10"/>
        <w:outlineLvl w:val="1"/>
        <w:rPr>
          <w:b/>
          <w:bCs/>
          <w:sz w:val="24"/>
        </w:rPr>
      </w:pPr>
      <w:bookmarkStart w:id="49" w:name="_Toc477975955"/>
      <w:bookmarkStart w:id="50" w:name="_Toc18854431"/>
      <w:r>
        <w:rPr>
          <w:b/>
          <w:bCs/>
          <w:sz w:val="24"/>
        </w:rPr>
        <w:t>7.投标货物一览表</w:t>
      </w:r>
      <w:bookmarkEnd w:id="49"/>
      <w:bookmarkEnd w:id="50"/>
    </w:p>
    <w:p>
      <w:pPr>
        <w:spacing w:line="360" w:lineRule="auto"/>
        <w:jc w:val="center"/>
        <w:rPr>
          <w:b/>
          <w:bCs/>
          <w:spacing w:val="20"/>
          <w:sz w:val="24"/>
        </w:rPr>
      </w:pPr>
      <w:r>
        <w:rPr>
          <w:b/>
          <w:bCs/>
          <w:spacing w:val="20"/>
          <w:sz w:val="24"/>
        </w:rPr>
        <w:t>投标货物一览表</w:t>
      </w:r>
    </w:p>
    <w:p>
      <w:pPr>
        <w:spacing w:line="360" w:lineRule="auto"/>
        <w:rPr>
          <w:b/>
          <w:bCs/>
          <w:spacing w:val="20"/>
        </w:rPr>
      </w:pPr>
    </w:p>
    <w:p>
      <w:pPr>
        <w:spacing w:line="360" w:lineRule="auto"/>
        <w:rPr>
          <w:b/>
          <w:bCs/>
          <w:spacing w:val="20"/>
          <w:sz w:val="24"/>
        </w:rPr>
      </w:pPr>
      <w:r>
        <w:rPr>
          <w:b/>
          <w:bCs/>
          <w:spacing w:val="20"/>
          <w:sz w:val="24"/>
        </w:rPr>
        <w:t>招标编号：</w:t>
      </w:r>
      <w:r>
        <w:rPr>
          <w:b/>
          <w:bCs/>
          <w:spacing w:val="20"/>
          <w:sz w:val="24"/>
          <w:u w:val="single"/>
        </w:rPr>
        <w:t xml:space="preserve">                     </w:t>
      </w:r>
      <w:r>
        <w:rPr>
          <w:b/>
          <w:bCs/>
          <w:spacing w:val="20"/>
          <w:sz w:val="24"/>
        </w:rPr>
        <w:t xml:space="preserve">     </w:t>
      </w:r>
      <w:r>
        <w:rPr>
          <w:b/>
          <w:bCs/>
          <w:sz w:val="24"/>
        </w:rPr>
        <w:t>项目名称：</w:t>
      </w:r>
      <w:r>
        <w:rPr>
          <w:bCs/>
          <w:sz w:val="24"/>
          <w:u w:val="single"/>
        </w:rPr>
        <w:t xml:space="preserve">              </w:t>
      </w:r>
    </w:p>
    <w:tbl>
      <w:tblPr>
        <w:tblStyle w:val="70"/>
        <w:tblW w:w="868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293"/>
        <w:gridCol w:w="3497"/>
        <w:gridCol w:w="2245"/>
        <w:gridCol w:w="16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wBefore w:w="0" w:type="dxa"/>
          <w:wAfter w:w="0" w:type="dxa"/>
          <w:trHeight w:val="694" w:hRule="atLeast"/>
          <w:jc w:val="center"/>
        </w:trPr>
        <w:tc>
          <w:tcPr>
            <w:tcW w:w="1293" w:type="dxa"/>
            <w:noWrap w:val="0"/>
            <w:vAlign w:val="center"/>
          </w:tcPr>
          <w:p>
            <w:pPr>
              <w:jc w:val="center"/>
              <w:rPr>
                <w:b/>
                <w:bCs/>
                <w:szCs w:val="21"/>
              </w:rPr>
            </w:pPr>
            <w:r>
              <w:rPr>
                <w:b/>
                <w:bCs/>
                <w:szCs w:val="21"/>
              </w:rPr>
              <w:t>序号</w:t>
            </w:r>
          </w:p>
        </w:tc>
        <w:tc>
          <w:tcPr>
            <w:tcW w:w="3497" w:type="dxa"/>
            <w:noWrap w:val="0"/>
            <w:vAlign w:val="center"/>
          </w:tcPr>
          <w:p>
            <w:pPr>
              <w:jc w:val="center"/>
              <w:rPr>
                <w:b/>
                <w:bCs/>
                <w:szCs w:val="21"/>
              </w:rPr>
            </w:pPr>
            <w:r>
              <w:rPr>
                <w:b/>
                <w:bCs/>
                <w:szCs w:val="21"/>
              </w:rPr>
              <w:t>服务名称</w:t>
            </w:r>
          </w:p>
        </w:tc>
        <w:tc>
          <w:tcPr>
            <w:tcW w:w="2245" w:type="dxa"/>
            <w:noWrap w:val="0"/>
            <w:vAlign w:val="center"/>
          </w:tcPr>
          <w:p>
            <w:pPr>
              <w:jc w:val="center"/>
              <w:rPr>
                <w:b/>
                <w:bCs/>
                <w:szCs w:val="21"/>
              </w:rPr>
            </w:pPr>
            <w:r>
              <w:rPr>
                <w:b/>
                <w:bCs/>
                <w:szCs w:val="21"/>
              </w:rPr>
              <w:t>项目负责人</w:t>
            </w:r>
          </w:p>
        </w:tc>
        <w:tc>
          <w:tcPr>
            <w:tcW w:w="1654" w:type="dxa"/>
            <w:noWrap w:val="0"/>
            <w:vAlign w:val="center"/>
          </w:tcPr>
          <w:p>
            <w:pPr>
              <w:jc w:val="center"/>
              <w:rPr>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wBefore w:w="0" w:type="dxa"/>
          <w:wAfter w:w="0" w:type="dxa"/>
          <w:trHeight w:val="775" w:hRule="atLeast"/>
          <w:jc w:val="center"/>
        </w:trPr>
        <w:tc>
          <w:tcPr>
            <w:tcW w:w="1293" w:type="dxa"/>
            <w:noWrap w:val="0"/>
            <w:vAlign w:val="center"/>
          </w:tcPr>
          <w:p>
            <w:pPr>
              <w:jc w:val="center"/>
              <w:rPr>
                <w:szCs w:val="21"/>
              </w:rPr>
            </w:pPr>
          </w:p>
        </w:tc>
        <w:tc>
          <w:tcPr>
            <w:tcW w:w="3497" w:type="dxa"/>
            <w:noWrap w:val="0"/>
            <w:vAlign w:val="center"/>
          </w:tcPr>
          <w:p>
            <w:pPr>
              <w:jc w:val="center"/>
              <w:rPr>
                <w:szCs w:val="21"/>
              </w:rPr>
            </w:pPr>
          </w:p>
        </w:tc>
        <w:tc>
          <w:tcPr>
            <w:tcW w:w="2245" w:type="dxa"/>
            <w:noWrap w:val="0"/>
            <w:vAlign w:val="center"/>
          </w:tcPr>
          <w:p>
            <w:pPr>
              <w:jc w:val="center"/>
              <w:rPr>
                <w:szCs w:val="21"/>
              </w:rPr>
            </w:pPr>
          </w:p>
        </w:tc>
        <w:tc>
          <w:tcPr>
            <w:tcW w:w="1654" w:type="dxa"/>
            <w:noWrap w:val="0"/>
            <w:vAlign w:val="center"/>
          </w:tcPr>
          <w:p>
            <w:pPr>
              <w:jc w:val="center"/>
              <w:rPr>
                <w:szCs w:val="21"/>
              </w:rPr>
            </w:pPr>
          </w:p>
        </w:tc>
      </w:tr>
    </w:tbl>
    <w:p>
      <w:pPr>
        <w:spacing w:line="360" w:lineRule="auto"/>
        <w:ind w:right="-21" w:rightChars="-10"/>
        <w:rPr>
          <w:bCs/>
          <w:sz w:val="24"/>
        </w:rPr>
      </w:pPr>
      <w:r>
        <w:rPr>
          <w:bCs/>
          <w:sz w:val="24"/>
        </w:rPr>
        <w:t>注：1、上表内容应与报价文件中的《开标一览表》一致；</w:t>
      </w:r>
    </w:p>
    <w:p>
      <w:pPr>
        <w:spacing w:line="360" w:lineRule="auto"/>
        <w:rPr>
          <w:bCs/>
          <w:spacing w:val="20"/>
        </w:rPr>
      </w:pPr>
    </w:p>
    <w:p>
      <w:pPr>
        <w:snapToGrid w:val="0"/>
        <w:spacing w:before="50" w:after="50" w:line="360" w:lineRule="auto"/>
        <w:rPr>
          <w:bCs/>
          <w:sz w:val="24"/>
        </w:rPr>
      </w:pPr>
      <w:r>
        <w:rPr>
          <w:bCs/>
          <w:sz w:val="24"/>
        </w:rPr>
        <w:t xml:space="preserve">法定代表人或授权代表（签字或盖章）：                    </w:t>
      </w:r>
    </w:p>
    <w:p>
      <w:pPr>
        <w:snapToGrid w:val="0"/>
        <w:spacing w:before="50" w:after="50" w:line="360" w:lineRule="auto"/>
        <w:rPr>
          <w:bCs/>
          <w:sz w:val="24"/>
        </w:rPr>
      </w:pPr>
      <w:r>
        <w:rPr>
          <w:bCs/>
          <w:sz w:val="24"/>
        </w:rPr>
        <w:t>投标人名称（盖章）：</w:t>
      </w:r>
    </w:p>
    <w:p>
      <w:pPr>
        <w:snapToGrid w:val="0"/>
        <w:spacing w:before="50" w:after="50" w:line="360" w:lineRule="auto"/>
        <w:ind w:right="-817" w:rightChars="-389"/>
        <w:rPr>
          <w:bCs/>
        </w:rPr>
      </w:pPr>
      <w:r>
        <w:rPr>
          <w:bCs/>
          <w:sz w:val="24"/>
        </w:rPr>
        <w:t>日期：    年   月   日</w:t>
      </w:r>
    </w:p>
    <w:p>
      <w:pPr>
        <w:snapToGrid w:val="0"/>
        <w:spacing w:before="50" w:after="120" w:afterLines="50" w:line="360" w:lineRule="auto"/>
        <w:jc w:val="left"/>
        <w:rPr>
          <w:sz w:val="24"/>
        </w:rPr>
        <w:sectPr>
          <w:headerReference r:id="rId10" w:type="first"/>
          <w:footerReference r:id="rId12" w:type="first"/>
          <w:footerReference r:id="rId11" w:type="even"/>
          <w:pgSz w:w="11906" w:h="16838"/>
          <w:pgMar w:top="1474" w:right="1588" w:bottom="1474" w:left="1588" w:header="851" w:footer="851" w:gutter="0"/>
          <w:cols w:space="720" w:num="1"/>
          <w:docGrid w:linePitch="312" w:charSpace="0"/>
        </w:sectPr>
      </w:pPr>
    </w:p>
    <w:p>
      <w:pPr>
        <w:pStyle w:val="37"/>
        <w:spacing w:before="120" w:after="120" w:line="360" w:lineRule="auto"/>
        <w:outlineLvl w:val="1"/>
        <w:rPr>
          <w:rFonts w:ascii="Times New Roman" w:hAnsi="Times New Roman"/>
          <w:b/>
        </w:rPr>
      </w:pPr>
      <w:bookmarkStart w:id="51" w:name="_Toc18854432"/>
      <w:r>
        <w:rPr>
          <w:rFonts w:ascii="Times New Roman" w:hAnsi="Times New Roman"/>
          <w:b/>
        </w:rPr>
        <w:t>8. 公司简介</w:t>
      </w:r>
      <w:bookmarkEnd w:id="51"/>
    </w:p>
    <w:p>
      <w:pPr>
        <w:spacing w:line="360" w:lineRule="auto"/>
        <w:jc w:val="center"/>
        <w:rPr>
          <w:b/>
          <w:sz w:val="28"/>
          <w:szCs w:val="28"/>
        </w:rPr>
      </w:pPr>
      <w:r>
        <w:rPr>
          <w:b/>
          <w:sz w:val="28"/>
          <w:szCs w:val="28"/>
        </w:rPr>
        <w:t>公司简介</w:t>
      </w:r>
    </w:p>
    <w:p>
      <w:pPr>
        <w:spacing w:line="360" w:lineRule="auto"/>
        <w:jc w:val="center"/>
        <w:rPr>
          <w:b/>
          <w:sz w:val="28"/>
          <w:szCs w:val="28"/>
        </w:rPr>
      </w:pPr>
    </w:p>
    <w:tbl>
      <w:tblPr>
        <w:tblStyle w:val="7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11"/>
        <w:gridCol w:w="1756"/>
        <w:gridCol w:w="2334"/>
        <w:gridCol w:w="7"/>
        <w:gridCol w:w="360"/>
        <w:gridCol w:w="1441"/>
        <w:gridCol w:w="22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wAfter w:w="0" w:type="dxa"/>
          <w:trHeight w:val="645" w:hRule="atLeast"/>
        </w:trPr>
        <w:tc>
          <w:tcPr>
            <w:tcW w:w="611" w:type="dxa"/>
            <w:noWrap w:val="0"/>
            <w:vAlign w:val="center"/>
          </w:tcPr>
          <w:p>
            <w:pPr>
              <w:pStyle w:val="10"/>
              <w:overflowPunct w:val="0"/>
              <w:ind w:firstLine="0"/>
              <w:jc w:val="center"/>
              <w:rPr>
                <w:sz w:val="24"/>
              </w:rPr>
            </w:pPr>
            <w:r>
              <w:rPr>
                <w:sz w:val="24"/>
              </w:rPr>
              <w:t>1</w:t>
            </w:r>
          </w:p>
        </w:tc>
        <w:tc>
          <w:tcPr>
            <w:tcW w:w="1756" w:type="dxa"/>
            <w:tcBorders>
              <w:right w:val="single" w:color="auto" w:sz="4" w:space="0"/>
            </w:tcBorders>
            <w:noWrap w:val="0"/>
            <w:vAlign w:val="center"/>
          </w:tcPr>
          <w:p>
            <w:pPr>
              <w:pStyle w:val="10"/>
              <w:overflowPunct w:val="0"/>
              <w:ind w:firstLine="0"/>
              <w:jc w:val="center"/>
              <w:rPr>
                <w:sz w:val="24"/>
              </w:rPr>
            </w:pPr>
            <w:r>
              <w:rPr>
                <w:sz w:val="24"/>
              </w:rPr>
              <w:t>企业法人</w:t>
            </w:r>
          </w:p>
        </w:tc>
        <w:tc>
          <w:tcPr>
            <w:tcW w:w="2334" w:type="dxa"/>
            <w:tcBorders>
              <w:left w:val="single" w:color="auto" w:sz="4" w:space="0"/>
            </w:tcBorders>
            <w:noWrap w:val="0"/>
            <w:vAlign w:val="center"/>
          </w:tcPr>
          <w:p>
            <w:pPr>
              <w:pStyle w:val="10"/>
              <w:overflowPunct w:val="0"/>
              <w:ind w:firstLine="0"/>
              <w:jc w:val="center"/>
              <w:rPr>
                <w:sz w:val="24"/>
              </w:rPr>
            </w:pPr>
          </w:p>
        </w:tc>
        <w:tc>
          <w:tcPr>
            <w:tcW w:w="1808" w:type="dxa"/>
            <w:gridSpan w:val="3"/>
            <w:noWrap w:val="0"/>
            <w:vAlign w:val="center"/>
          </w:tcPr>
          <w:p>
            <w:pPr>
              <w:pStyle w:val="10"/>
              <w:overflowPunct w:val="0"/>
              <w:ind w:firstLine="0"/>
              <w:rPr>
                <w:sz w:val="24"/>
              </w:rPr>
            </w:pPr>
            <w:r>
              <w:rPr>
                <w:sz w:val="24"/>
              </w:rPr>
              <w:t>公司成立日期</w:t>
            </w:r>
          </w:p>
        </w:tc>
        <w:tc>
          <w:tcPr>
            <w:tcW w:w="2278" w:type="dxa"/>
            <w:noWrap w:val="0"/>
            <w:vAlign w:val="center"/>
          </w:tcPr>
          <w:p>
            <w:pPr>
              <w:pStyle w:val="10"/>
              <w:overflowPunct w:val="0"/>
              <w:ind w:firstLine="0"/>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wAfter w:w="0" w:type="dxa"/>
          <w:trHeight w:val="645" w:hRule="atLeast"/>
        </w:trPr>
        <w:tc>
          <w:tcPr>
            <w:tcW w:w="611" w:type="dxa"/>
            <w:noWrap w:val="0"/>
            <w:vAlign w:val="center"/>
          </w:tcPr>
          <w:p>
            <w:pPr>
              <w:pStyle w:val="10"/>
              <w:overflowPunct w:val="0"/>
              <w:ind w:firstLine="0"/>
              <w:jc w:val="center"/>
              <w:rPr>
                <w:sz w:val="24"/>
              </w:rPr>
            </w:pPr>
            <w:r>
              <w:rPr>
                <w:sz w:val="24"/>
              </w:rPr>
              <w:t>2</w:t>
            </w:r>
          </w:p>
        </w:tc>
        <w:tc>
          <w:tcPr>
            <w:tcW w:w="1756" w:type="dxa"/>
            <w:tcBorders>
              <w:right w:val="single" w:color="auto" w:sz="4" w:space="0"/>
            </w:tcBorders>
            <w:noWrap w:val="0"/>
            <w:vAlign w:val="center"/>
          </w:tcPr>
          <w:p>
            <w:pPr>
              <w:pStyle w:val="10"/>
              <w:overflowPunct w:val="0"/>
              <w:ind w:firstLine="0"/>
              <w:jc w:val="center"/>
              <w:rPr>
                <w:sz w:val="24"/>
              </w:rPr>
            </w:pPr>
            <w:r>
              <w:rPr>
                <w:sz w:val="24"/>
              </w:rPr>
              <w:t>总部地址</w:t>
            </w:r>
          </w:p>
        </w:tc>
        <w:tc>
          <w:tcPr>
            <w:tcW w:w="6420" w:type="dxa"/>
            <w:gridSpan w:val="5"/>
            <w:tcBorders>
              <w:left w:val="single" w:color="auto" w:sz="4" w:space="0"/>
            </w:tcBorders>
            <w:noWrap w:val="0"/>
            <w:vAlign w:val="center"/>
          </w:tcPr>
          <w:p>
            <w:pPr>
              <w:pStyle w:val="10"/>
              <w:overflowPunct w:val="0"/>
              <w:ind w:firstLine="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wAfter w:w="0" w:type="dxa"/>
          <w:trHeight w:val="645" w:hRule="atLeast"/>
        </w:trPr>
        <w:tc>
          <w:tcPr>
            <w:tcW w:w="611" w:type="dxa"/>
            <w:noWrap w:val="0"/>
            <w:vAlign w:val="center"/>
          </w:tcPr>
          <w:p>
            <w:pPr>
              <w:pStyle w:val="10"/>
              <w:overflowPunct w:val="0"/>
              <w:ind w:firstLine="0"/>
              <w:jc w:val="center"/>
              <w:rPr>
                <w:sz w:val="24"/>
              </w:rPr>
            </w:pPr>
            <w:r>
              <w:rPr>
                <w:sz w:val="24"/>
              </w:rPr>
              <w:t>3</w:t>
            </w:r>
          </w:p>
        </w:tc>
        <w:tc>
          <w:tcPr>
            <w:tcW w:w="1756" w:type="dxa"/>
            <w:tcBorders>
              <w:right w:val="single" w:color="auto" w:sz="4" w:space="0"/>
            </w:tcBorders>
            <w:noWrap w:val="0"/>
            <w:vAlign w:val="center"/>
          </w:tcPr>
          <w:p>
            <w:pPr>
              <w:pStyle w:val="10"/>
              <w:overflowPunct w:val="0"/>
              <w:ind w:firstLine="0"/>
              <w:rPr>
                <w:sz w:val="24"/>
              </w:rPr>
            </w:pPr>
            <w:r>
              <w:rPr>
                <w:sz w:val="24"/>
              </w:rPr>
              <w:t>当地代表处地址</w:t>
            </w:r>
          </w:p>
        </w:tc>
        <w:tc>
          <w:tcPr>
            <w:tcW w:w="6420" w:type="dxa"/>
            <w:gridSpan w:val="5"/>
            <w:tcBorders>
              <w:left w:val="single" w:color="auto" w:sz="4" w:space="0"/>
            </w:tcBorders>
            <w:noWrap w:val="0"/>
            <w:vAlign w:val="center"/>
          </w:tcPr>
          <w:p>
            <w:pPr>
              <w:pStyle w:val="10"/>
              <w:overflowPunct w:val="0"/>
              <w:ind w:firstLine="0"/>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wAfter w:w="0" w:type="dxa"/>
          <w:trHeight w:val="645" w:hRule="atLeast"/>
        </w:trPr>
        <w:tc>
          <w:tcPr>
            <w:tcW w:w="611" w:type="dxa"/>
            <w:noWrap w:val="0"/>
            <w:vAlign w:val="center"/>
          </w:tcPr>
          <w:p>
            <w:pPr>
              <w:pStyle w:val="10"/>
              <w:overflowPunct w:val="0"/>
              <w:ind w:firstLine="0"/>
              <w:jc w:val="center"/>
              <w:rPr>
                <w:sz w:val="24"/>
              </w:rPr>
            </w:pPr>
            <w:r>
              <w:rPr>
                <w:sz w:val="24"/>
              </w:rPr>
              <w:t>4</w:t>
            </w:r>
          </w:p>
        </w:tc>
        <w:tc>
          <w:tcPr>
            <w:tcW w:w="1756" w:type="dxa"/>
            <w:tcBorders>
              <w:right w:val="single" w:color="auto" w:sz="4" w:space="0"/>
            </w:tcBorders>
            <w:noWrap w:val="0"/>
            <w:vAlign w:val="center"/>
          </w:tcPr>
          <w:p>
            <w:pPr>
              <w:pStyle w:val="10"/>
              <w:overflowPunct w:val="0"/>
              <w:ind w:firstLine="0"/>
              <w:jc w:val="center"/>
              <w:rPr>
                <w:sz w:val="24"/>
              </w:rPr>
            </w:pPr>
            <w:r>
              <w:rPr>
                <w:sz w:val="24"/>
              </w:rPr>
              <w:t>电话</w:t>
            </w:r>
          </w:p>
        </w:tc>
        <w:tc>
          <w:tcPr>
            <w:tcW w:w="2341" w:type="dxa"/>
            <w:gridSpan w:val="2"/>
            <w:tcBorders>
              <w:left w:val="single" w:color="auto" w:sz="4" w:space="0"/>
            </w:tcBorders>
            <w:noWrap w:val="0"/>
            <w:vAlign w:val="center"/>
          </w:tcPr>
          <w:p>
            <w:pPr>
              <w:pStyle w:val="10"/>
              <w:overflowPunct w:val="0"/>
              <w:ind w:firstLine="0"/>
              <w:rPr>
                <w:sz w:val="24"/>
              </w:rPr>
            </w:pPr>
          </w:p>
        </w:tc>
        <w:tc>
          <w:tcPr>
            <w:tcW w:w="1801" w:type="dxa"/>
            <w:gridSpan w:val="2"/>
            <w:tcBorders>
              <w:right w:val="single" w:color="auto" w:sz="4" w:space="0"/>
            </w:tcBorders>
            <w:noWrap w:val="0"/>
            <w:vAlign w:val="center"/>
          </w:tcPr>
          <w:p>
            <w:pPr>
              <w:pStyle w:val="10"/>
              <w:overflowPunct w:val="0"/>
              <w:ind w:firstLine="0"/>
              <w:jc w:val="center"/>
              <w:rPr>
                <w:sz w:val="24"/>
              </w:rPr>
            </w:pPr>
            <w:r>
              <w:rPr>
                <w:sz w:val="24"/>
              </w:rPr>
              <w:t>联系人</w:t>
            </w:r>
          </w:p>
        </w:tc>
        <w:tc>
          <w:tcPr>
            <w:tcW w:w="2278" w:type="dxa"/>
            <w:tcBorders>
              <w:left w:val="single" w:color="auto" w:sz="4" w:space="0"/>
            </w:tcBorders>
            <w:noWrap w:val="0"/>
            <w:vAlign w:val="center"/>
          </w:tcPr>
          <w:p>
            <w:pPr>
              <w:pStyle w:val="10"/>
              <w:overflowPunct w:val="0"/>
              <w:ind w:firstLine="0"/>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wAfter w:w="0" w:type="dxa"/>
          <w:trHeight w:val="625" w:hRule="atLeast"/>
        </w:trPr>
        <w:tc>
          <w:tcPr>
            <w:tcW w:w="611" w:type="dxa"/>
            <w:noWrap w:val="0"/>
            <w:vAlign w:val="center"/>
          </w:tcPr>
          <w:p>
            <w:pPr>
              <w:pStyle w:val="10"/>
              <w:overflowPunct w:val="0"/>
              <w:ind w:firstLine="0"/>
              <w:jc w:val="center"/>
              <w:rPr>
                <w:sz w:val="24"/>
              </w:rPr>
            </w:pPr>
            <w:r>
              <w:rPr>
                <w:sz w:val="24"/>
              </w:rPr>
              <w:t>5</w:t>
            </w:r>
          </w:p>
        </w:tc>
        <w:tc>
          <w:tcPr>
            <w:tcW w:w="1756" w:type="dxa"/>
            <w:tcBorders>
              <w:right w:val="single" w:color="auto" w:sz="4" w:space="0"/>
            </w:tcBorders>
            <w:noWrap w:val="0"/>
            <w:vAlign w:val="center"/>
          </w:tcPr>
          <w:p>
            <w:pPr>
              <w:pStyle w:val="10"/>
              <w:overflowPunct w:val="0"/>
              <w:ind w:firstLine="0"/>
              <w:jc w:val="center"/>
              <w:rPr>
                <w:sz w:val="24"/>
              </w:rPr>
            </w:pPr>
            <w:r>
              <w:rPr>
                <w:sz w:val="24"/>
              </w:rPr>
              <w:t>传真</w:t>
            </w:r>
          </w:p>
        </w:tc>
        <w:tc>
          <w:tcPr>
            <w:tcW w:w="2341" w:type="dxa"/>
            <w:gridSpan w:val="2"/>
            <w:tcBorders>
              <w:left w:val="single" w:color="auto" w:sz="4" w:space="0"/>
            </w:tcBorders>
            <w:noWrap w:val="0"/>
            <w:vAlign w:val="center"/>
          </w:tcPr>
          <w:p>
            <w:pPr>
              <w:pStyle w:val="10"/>
              <w:overflowPunct w:val="0"/>
              <w:ind w:firstLine="0"/>
              <w:rPr>
                <w:sz w:val="24"/>
              </w:rPr>
            </w:pPr>
          </w:p>
        </w:tc>
        <w:tc>
          <w:tcPr>
            <w:tcW w:w="1801" w:type="dxa"/>
            <w:gridSpan w:val="2"/>
            <w:tcBorders>
              <w:right w:val="single" w:color="auto" w:sz="4" w:space="0"/>
            </w:tcBorders>
            <w:noWrap w:val="0"/>
            <w:vAlign w:val="center"/>
          </w:tcPr>
          <w:p>
            <w:pPr>
              <w:pStyle w:val="10"/>
              <w:overflowPunct w:val="0"/>
              <w:ind w:firstLine="0"/>
              <w:jc w:val="center"/>
              <w:rPr>
                <w:sz w:val="24"/>
              </w:rPr>
            </w:pPr>
            <w:r>
              <w:rPr>
                <w:sz w:val="24"/>
              </w:rPr>
              <w:t>电子邮箱</w:t>
            </w:r>
          </w:p>
        </w:tc>
        <w:tc>
          <w:tcPr>
            <w:tcW w:w="2278" w:type="dxa"/>
            <w:tcBorders>
              <w:left w:val="single" w:color="auto" w:sz="4" w:space="0"/>
            </w:tcBorders>
            <w:noWrap w:val="0"/>
            <w:vAlign w:val="center"/>
          </w:tcPr>
          <w:p>
            <w:pPr>
              <w:pStyle w:val="10"/>
              <w:overflowPunct w:val="0"/>
              <w:ind w:firstLine="0"/>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wAfter w:w="0" w:type="dxa"/>
          <w:trHeight w:val="645" w:hRule="atLeast"/>
        </w:trPr>
        <w:tc>
          <w:tcPr>
            <w:tcW w:w="611" w:type="dxa"/>
            <w:noWrap w:val="0"/>
            <w:vAlign w:val="center"/>
          </w:tcPr>
          <w:p>
            <w:pPr>
              <w:pStyle w:val="10"/>
              <w:overflowPunct w:val="0"/>
              <w:ind w:firstLine="0"/>
              <w:jc w:val="center"/>
              <w:rPr>
                <w:sz w:val="24"/>
              </w:rPr>
            </w:pPr>
            <w:r>
              <w:rPr>
                <w:sz w:val="24"/>
              </w:rPr>
              <w:t>6</w:t>
            </w:r>
          </w:p>
        </w:tc>
        <w:tc>
          <w:tcPr>
            <w:tcW w:w="1756" w:type="dxa"/>
            <w:tcBorders>
              <w:right w:val="single" w:color="auto" w:sz="4" w:space="0"/>
            </w:tcBorders>
            <w:noWrap w:val="0"/>
            <w:vAlign w:val="center"/>
          </w:tcPr>
          <w:p>
            <w:pPr>
              <w:pStyle w:val="10"/>
              <w:overflowPunct w:val="0"/>
              <w:ind w:firstLine="0"/>
              <w:jc w:val="center"/>
              <w:rPr>
                <w:sz w:val="24"/>
              </w:rPr>
            </w:pPr>
            <w:r>
              <w:rPr>
                <w:sz w:val="24"/>
              </w:rPr>
              <w:t>注册地</w:t>
            </w:r>
          </w:p>
        </w:tc>
        <w:tc>
          <w:tcPr>
            <w:tcW w:w="2341" w:type="dxa"/>
            <w:gridSpan w:val="2"/>
            <w:tcBorders>
              <w:left w:val="single" w:color="auto" w:sz="4" w:space="0"/>
            </w:tcBorders>
            <w:noWrap w:val="0"/>
            <w:vAlign w:val="center"/>
          </w:tcPr>
          <w:p>
            <w:pPr>
              <w:pStyle w:val="10"/>
              <w:overflowPunct w:val="0"/>
              <w:ind w:firstLine="0"/>
              <w:rPr>
                <w:sz w:val="24"/>
              </w:rPr>
            </w:pPr>
          </w:p>
        </w:tc>
        <w:tc>
          <w:tcPr>
            <w:tcW w:w="1801" w:type="dxa"/>
            <w:gridSpan w:val="2"/>
            <w:tcBorders>
              <w:right w:val="single" w:color="auto" w:sz="4" w:space="0"/>
            </w:tcBorders>
            <w:noWrap w:val="0"/>
            <w:vAlign w:val="center"/>
          </w:tcPr>
          <w:p>
            <w:pPr>
              <w:pStyle w:val="10"/>
              <w:overflowPunct w:val="0"/>
              <w:ind w:firstLine="0"/>
              <w:jc w:val="center"/>
              <w:rPr>
                <w:sz w:val="24"/>
              </w:rPr>
            </w:pPr>
            <w:r>
              <w:rPr>
                <w:sz w:val="24"/>
              </w:rPr>
              <w:t>注册年份</w:t>
            </w:r>
          </w:p>
        </w:tc>
        <w:tc>
          <w:tcPr>
            <w:tcW w:w="2278" w:type="dxa"/>
            <w:tcBorders>
              <w:left w:val="single" w:color="auto" w:sz="4" w:space="0"/>
            </w:tcBorders>
            <w:noWrap w:val="0"/>
            <w:vAlign w:val="center"/>
          </w:tcPr>
          <w:p>
            <w:pPr>
              <w:pStyle w:val="10"/>
              <w:overflowPunct w:val="0"/>
              <w:ind w:left="437" w:firstLine="0"/>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wAfter w:w="0" w:type="dxa"/>
          <w:trHeight w:val="645" w:hRule="atLeast"/>
        </w:trPr>
        <w:tc>
          <w:tcPr>
            <w:tcW w:w="611" w:type="dxa"/>
            <w:noWrap w:val="0"/>
            <w:vAlign w:val="center"/>
          </w:tcPr>
          <w:p>
            <w:pPr>
              <w:pStyle w:val="10"/>
              <w:overflowPunct w:val="0"/>
              <w:ind w:firstLine="0"/>
              <w:jc w:val="center"/>
              <w:rPr>
                <w:sz w:val="24"/>
              </w:rPr>
            </w:pPr>
            <w:r>
              <w:rPr>
                <w:sz w:val="24"/>
              </w:rPr>
              <w:t>7</w:t>
            </w:r>
          </w:p>
        </w:tc>
        <w:tc>
          <w:tcPr>
            <w:tcW w:w="1756" w:type="dxa"/>
            <w:tcBorders>
              <w:right w:val="single" w:color="auto" w:sz="4" w:space="0"/>
            </w:tcBorders>
            <w:noWrap w:val="0"/>
            <w:vAlign w:val="center"/>
          </w:tcPr>
          <w:p>
            <w:pPr>
              <w:pStyle w:val="10"/>
              <w:overflowPunct w:val="0"/>
              <w:ind w:firstLine="0"/>
              <w:rPr>
                <w:sz w:val="24"/>
              </w:rPr>
            </w:pPr>
            <w:r>
              <w:rPr>
                <w:sz w:val="24"/>
              </w:rPr>
              <w:t>单位职工人数</w:t>
            </w:r>
          </w:p>
        </w:tc>
        <w:tc>
          <w:tcPr>
            <w:tcW w:w="2341" w:type="dxa"/>
            <w:gridSpan w:val="2"/>
            <w:tcBorders>
              <w:left w:val="single" w:color="auto" w:sz="4" w:space="0"/>
            </w:tcBorders>
            <w:noWrap w:val="0"/>
            <w:vAlign w:val="center"/>
          </w:tcPr>
          <w:p>
            <w:pPr>
              <w:pStyle w:val="10"/>
              <w:overflowPunct w:val="0"/>
              <w:ind w:firstLine="780" w:firstLineChars="325"/>
              <w:rPr>
                <w:sz w:val="24"/>
              </w:rPr>
            </w:pPr>
            <w:r>
              <w:rPr>
                <w:sz w:val="24"/>
              </w:rPr>
              <w:t>人</w:t>
            </w:r>
          </w:p>
        </w:tc>
        <w:tc>
          <w:tcPr>
            <w:tcW w:w="1801" w:type="dxa"/>
            <w:gridSpan w:val="2"/>
            <w:tcBorders>
              <w:right w:val="single" w:color="auto" w:sz="4" w:space="0"/>
            </w:tcBorders>
            <w:noWrap w:val="0"/>
            <w:vAlign w:val="center"/>
          </w:tcPr>
          <w:p>
            <w:pPr>
              <w:pStyle w:val="10"/>
              <w:overflowPunct w:val="0"/>
              <w:ind w:firstLine="0"/>
              <w:rPr>
                <w:sz w:val="24"/>
              </w:rPr>
            </w:pPr>
            <w:r>
              <w:rPr>
                <w:sz w:val="24"/>
              </w:rPr>
              <w:t>最近一个会计年度经审计营业总收入</w:t>
            </w:r>
          </w:p>
        </w:tc>
        <w:tc>
          <w:tcPr>
            <w:tcW w:w="2278" w:type="dxa"/>
            <w:tcBorders>
              <w:left w:val="single" w:color="auto" w:sz="4" w:space="0"/>
            </w:tcBorders>
            <w:noWrap w:val="0"/>
            <w:vAlign w:val="center"/>
          </w:tcPr>
          <w:p>
            <w:pPr>
              <w:pStyle w:val="10"/>
              <w:overflowPunct w:val="0"/>
              <w:ind w:left="1112" w:firstLine="0"/>
              <w:rPr>
                <w:sz w:val="24"/>
              </w:rPr>
            </w:pPr>
            <w:r>
              <w:rPr>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wAfter w:w="0" w:type="dxa"/>
          <w:trHeight w:val="645" w:hRule="atLeast"/>
        </w:trPr>
        <w:tc>
          <w:tcPr>
            <w:tcW w:w="611" w:type="dxa"/>
            <w:noWrap w:val="0"/>
            <w:vAlign w:val="center"/>
          </w:tcPr>
          <w:p>
            <w:pPr>
              <w:pStyle w:val="10"/>
              <w:overflowPunct w:val="0"/>
              <w:ind w:firstLine="0"/>
              <w:jc w:val="center"/>
              <w:rPr>
                <w:sz w:val="24"/>
              </w:rPr>
            </w:pPr>
            <w:r>
              <w:rPr>
                <w:sz w:val="24"/>
              </w:rPr>
              <w:t>8</w:t>
            </w:r>
          </w:p>
        </w:tc>
        <w:tc>
          <w:tcPr>
            <w:tcW w:w="1756" w:type="dxa"/>
            <w:tcBorders>
              <w:right w:val="single" w:color="auto" w:sz="4" w:space="0"/>
            </w:tcBorders>
            <w:noWrap w:val="0"/>
            <w:vAlign w:val="center"/>
          </w:tcPr>
          <w:p>
            <w:pPr>
              <w:pStyle w:val="10"/>
              <w:overflowPunct w:val="0"/>
              <w:ind w:firstLine="0"/>
              <w:rPr>
                <w:sz w:val="24"/>
              </w:rPr>
            </w:pPr>
            <w:r>
              <w:rPr>
                <w:sz w:val="24"/>
              </w:rPr>
              <w:t>最近一个会计年度经审计的资产总额</w:t>
            </w:r>
          </w:p>
        </w:tc>
        <w:tc>
          <w:tcPr>
            <w:tcW w:w="2341" w:type="dxa"/>
            <w:gridSpan w:val="2"/>
            <w:tcBorders>
              <w:left w:val="single" w:color="auto" w:sz="4" w:space="0"/>
            </w:tcBorders>
            <w:noWrap w:val="0"/>
            <w:vAlign w:val="center"/>
          </w:tcPr>
          <w:p>
            <w:pPr>
              <w:pStyle w:val="10"/>
              <w:overflowPunct w:val="0"/>
              <w:ind w:firstLine="780" w:firstLineChars="325"/>
              <w:rPr>
                <w:sz w:val="24"/>
              </w:rPr>
            </w:pPr>
          </w:p>
        </w:tc>
        <w:tc>
          <w:tcPr>
            <w:tcW w:w="1801" w:type="dxa"/>
            <w:gridSpan w:val="2"/>
            <w:tcBorders>
              <w:right w:val="single" w:color="auto" w:sz="4" w:space="0"/>
            </w:tcBorders>
            <w:noWrap w:val="0"/>
            <w:vAlign w:val="center"/>
          </w:tcPr>
          <w:p>
            <w:pPr>
              <w:pStyle w:val="10"/>
              <w:overflowPunct w:val="0"/>
              <w:ind w:firstLine="0"/>
              <w:rPr>
                <w:sz w:val="24"/>
              </w:rPr>
            </w:pPr>
            <w:r>
              <w:rPr>
                <w:sz w:val="24"/>
              </w:rPr>
              <w:t>最近一个会计年度经审计的净资产总额</w:t>
            </w:r>
          </w:p>
        </w:tc>
        <w:tc>
          <w:tcPr>
            <w:tcW w:w="2278" w:type="dxa"/>
            <w:tcBorders>
              <w:left w:val="single" w:color="auto" w:sz="4" w:space="0"/>
            </w:tcBorders>
            <w:noWrap w:val="0"/>
            <w:vAlign w:val="center"/>
          </w:tcPr>
          <w:p>
            <w:pPr>
              <w:pStyle w:val="10"/>
              <w:overflowPunct w:val="0"/>
              <w:ind w:left="1112" w:firstLine="0"/>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wAfter w:w="0" w:type="dxa"/>
          <w:cantSplit/>
          <w:trHeight w:val="645" w:hRule="atLeast"/>
        </w:trPr>
        <w:tc>
          <w:tcPr>
            <w:tcW w:w="611" w:type="dxa"/>
            <w:noWrap w:val="0"/>
            <w:vAlign w:val="center"/>
          </w:tcPr>
          <w:p>
            <w:pPr>
              <w:pStyle w:val="10"/>
              <w:overflowPunct w:val="0"/>
              <w:ind w:firstLine="0"/>
              <w:jc w:val="center"/>
              <w:rPr>
                <w:sz w:val="24"/>
              </w:rPr>
            </w:pPr>
            <w:r>
              <w:rPr>
                <w:sz w:val="24"/>
              </w:rPr>
              <w:t>9</w:t>
            </w:r>
          </w:p>
        </w:tc>
        <w:tc>
          <w:tcPr>
            <w:tcW w:w="8176" w:type="dxa"/>
            <w:gridSpan w:val="6"/>
            <w:noWrap w:val="0"/>
            <w:vAlign w:val="center"/>
          </w:tcPr>
          <w:p>
            <w:pPr>
              <w:pStyle w:val="10"/>
              <w:overflowPunct w:val="0"/>
              <w:ind w:firstLine="0"/>
              <w:rPr>
                <w:sz w:val="24"/>
              </w:rPr>
            </w:pPr>
            <w:r>
              <w:rPr>
                <w:sz w:val="24"/>
              </w:rPr>
              <w:t>企业或社会团体办公场所的面积：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wAfter w:w="0" w:type="dxa"/>
          <w:trHeight w:val="1339" w:hRule="atLeast"/>
        </w:trPr>
        <w:tc>
          <w:tcPr>
            <w:tcW w:w="611" w:type="dxa"/>
            <w:noWrap w:val="0"/>
            <w:vAlign w:val="center"/>
          </w:tcPr>
          <w:p>
            <w:pPr>
              <w:pStyle w:val="10"/>
              <w:overflowPunct w:val="0"/>
              <w:ind w:firstLine="0"/>
              <w:jc w:val="center"/>
              <w:rPr>
                <w:sz w:val="24"/>
              </w:rPr>
            </w:pPr>
            <w:r>
              <w:rPr>
                <w:sz w:val="24"/>
              </w:rPr>
              <w:t>10</w:t>
            </w:r>
          </w:p>
        </w:tc>
        <w:tc>
          <w:tcPr>
            <w:tcW w:w="8176" w:type="dxa"/>
            <w:gridSpan w:val="6"/>
            <w:noWrap w:val="0"/>
            <w:vAlign w:val="center"/>
          </w:tcPr>
          <w:p>
            <w:pPr>
              <w:pStyle w:val="10"/>
              <w:overflowPunct w:val="0"/>
              <w:ind w:firstLine="0"/>
              <w:rPr>
                <w:sz w:val="24"/>
              </w:rPr>
            </w:pPr>
            <w:r>
              <w:rPr>
                <w:sz w:val="24"/>
              </w:rPr>
              <w:t>主营范围</w:t>
            </w:r>
          </w:p>
          <w:p>
            <w:pPr>
              <w:pStyle w:val="10"/>
              <w:overflowPunct w:val="0"/>
              <w:ind w:firstLine="0"/>
              <w:rPr>
                <w:sz w:val="24"/>
              </w:rPr>
            </w:pPr>
            <w:r>
              <w:rPr>
                <w:sz w:val="24"/>
              </w:rPr>
              <w:t>1、_____________________________________</w:t>
            </w:r>
          </w:p>
          <w:p>
            <w:pPr>
              <w:pStyle w:val="10"/>
              <w:overflowPunct w:val="0"/>
              <w:ind w:firstLine="0"/>
              <w:rPr>
                <w:sz w:val="24"/>
              </w:rPr>
            </w:pPr>
            <w:r>
              <w:rPr>
                <w:sz w:val="24"/>
              </w:rPr>
              <w:t>2、____________________________________</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wAfter w:w="0" w:type="dxa"/>
          <w:trHeight w:val="871" w:hRule="atLeast"/>
        </w:trPr>
        <w:tc>
          <w:tcPr>
            <w:tcW w:w="611" w:type="dxa"/>
            <w:noWrap w:val="0"/>
            <w:vAlign w:val="center"/>
          </w:tcPr>
          <w:p>
            <w:pPr>
              <w:pStyle w:val="10"/>
              <w:overflowPunct w:val="0"/>
              <w:ind w:firstLine="0"/>
              <w:jc w:val="center"/>
              <w:rPr>
                <w:sz w:val="24"/>
              </w:rPr>
            </w:pPr>
            <w:r>
              <w:rPr>
                <w:sz w:val="24"/>
              </w:rPr>
              <w:t>11</w:t>
            </w:r>
          </w:p>
        </w:tc>
        <w:tc>
          <w:tcPr>
            <w:tcW w:w="4457" w:type="dxa"/>
            <w:gridSpan w:val="4"/>
            <w:noWrap w:val="0"/>
            <w:vAlign w:val="center"/>
          </w:tcPr>
          <w:p>
            <w:pPr>
              <w:pStyle w:val="10"/>
              <w:overflowPunct w:val="0"/>
              <w:ind w:firstLine="0"/>
              <w:rPr>
                <w:sz w:val="24"/>
              </w:rPr>
            </w:pPr>
            <w:r>
              <w:rPr>
                <w:sz w:val="24"/>
              </w:rPr>
              <w:t>最近3年内在经营过程中受到何种奖励或处分</w:t>
            </w:r>
          </w:p>
        </w:tc>
        <w:tc>
          <w:tcPr>
            <w:tcW w:w="3719" w:type="dxa"/>
            <w:gridSpan w:val="2"/>
            <w:noWrap w:val="0"/>
            <w:vAlign w:val="center"/>
          </w:tcPr>
          <w:p>
            <w:pPr>
              <w:pStyle w:val="10"/>
              <w:overflowPunct w:val="0"/>
              <w:ind w:firstLine="0"/>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wAfter w:w="0" w:type="dxa"/>
          <w:trHeight w:val="847" w:hRule="atLeast"/>
        </w:trPr>
        <w:tc>
          <w:tcPr>
            <w:tcW w:w="611" w:type="dxa"/>
            <w:noWrap w:val="0"/>
            <w:vAlign w:val="center"/>
          </w:tcPr>
          <w:p>
            <w:pPr>
              <w:pStyle w:val="10"/>
              <w:overflowPunct w:val="0"/>
              <w:ind w:firstLine="0"/>
              <w:jc w:val="center"/>
              <w:rPr>
                <w:sz w:val="24"/>
              </w:rPr>
            </w:pPr>
            <w:r>
              <w:rPr>
                <w:sz w:val="24"/>
              </w:rPr>
              <w:t>12</w:t>
            </w:r>
          </w:p>
        </w:tc>
        <w:tc>
          <w:tcPr>
            <w:tcW w:w="4457" w:type="dxa"/>
            <w:gridSpan w:val="4"/>
            <w:noWrap w:val="0"/>
            <w:vAlign w:val="center"/>
          </w:tcPr>
          <w:p>
            <w:pPr>
              <w:pStyle w:val="10"/>
              <w:overflowPunct w:val="0"/>
              <w:ind w:firstLine="0"/>
              <w:rPr>
                <w:sz w:val="24"/>
              </w:rPr>
            </w:pPr>
            <w:r>
              <w:rPr>
                <w:sz w:val="24"/>
              </w:rPr>
              <w:t>最近3年内有无被业主投诉或起诉的情况及说明</w:t>
            </w:r>
          </w:p>
        </w:tc>
        <w:tc>
          <w:tcPr>
            <w:tcW w:w="3719" w:type="dxa"/>
            <w:gridSpan w:val="2"/>
            <w:noWrap w:val="0"/>
            <w:vAlign w:val="center"/>
          </w:tcPr>
          <w:p>
            <w:pPr>
              <w:pStyle w:val="10"/>
              <w:overflowPunct w:val="0"/>
              <w:ind w:firstLine="0"/>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wAfter w:w="0" w:type="dxa"/>
          <w:trHeight w:val="618" w:hRule="atLeast"/>
        </w:trPr>
        <w:tc>
          <w:tcPr>
            <w:tcW w:w="611" w:type="dxa"/>
            <w:noWrap w:val="0"/>
            <w:vAlign w:val="center"/>
          </w:tcPr>
          <w:p>
            <w:pPr>
              <w:pStyle w:val="10"/>
              <w:overflowPunct w:val="0"/>
              <w:ind w:firstLine="0"/>
              <w:jc w:val="center"/>
              <w:rPr>
                <w:sz w:val="24"/>
              </w:rPr>
            </w:pPr>
            <w:r>
              <w:rPr>
                <w:sz w:val="24"/>
              </w:rPr>
              <w:t>13</w:t>
            </w:r>
          </w:p>
        </w:tc>
        <w:tc>
          <w:tcPr>
            <w:tcW w:w="8176" w:type="dxa"/>
            <w:gridSpan w:val="6"/>
            <w:noWrap w:val="0"/>
            <w:vAlign w:val="center"/>
          </w:tcPr>
          <w:p>
            <w:pPr>
              <w:pStyle w:val="10"/>
              <w:overflowPunct w:val="0"/>
              <w:ind w:firstLine="0"/>
              <w:rPr>
                <w:sz w:val="24"/>
              </w:rPr>
            </w:pPr>
            <w:r>
              <w:rPr>
                <w:sz w:val="24"/>
              </w:rPr>
              <w:t>其他需要说明的情况</w:t>
            </w:r>
          </w:p>
        </w:tc>
      </w:tr>
    </w:tbl>
    <w:p>
      <w:pPr>
        <w:spacing w:line="360" w:lineRule="auto"/>
        <w:rPr>
          <w:sz w:val="24"/>
        </w:rPr>
      </w:pPr>
      <w:r>
        <w:rPr>
          <w:spacing w:val="20"/>
          <w:sz w:val="24"/>
        </w:rPr>
        <w:t xml:space="preserve">                                            </w:t>
      </w:r>
    </w:p>
    <w:p>
      <w:pPr>
        <w:adjustRightInd w:val="0"/>
        <w:snapToGrid w:val="0"/>
        <w:spacing w:line="360" w:lineRule="auto"/>
        <w:rPr>
          <w:sz w:val="24"/>
        </w:rPr>
      </w:pPr>
      <w:r>
        <w:rPr>
          <w:sz w:val="24"/>
        </w:rPr>
        <w:t xml:space="preserve">供应商：（盖章）       </w:t>
      </w:r>
    </w:p>
    <w:p>
      <w:pPr>
        <w:adjustRightInd w:val="0"/>
        <w:snapToGrid w:val="0"/>
        <w:spacing w:line="360" w:lineRule="auto"/>
        <w:rPr>
          <w:sz w:val="24"/>
        </w:rPr>
      </w:pPr>
      <w:r>
        <w:rPr>
          <w:sz w:val="24"/>
        </w:rPr>
        <w:t>法定代表人或授权代表人：（签字或盖章）</w:t>
      </w:r>
    </w:p>
    <w:p>
      <w:pPr>
        <w:spacing w:line="360" w:lineRule="auto"/>
        <w:rPr>
          <w:b/>
          <w:sz w:val="24"/>
        </w:rPr>
      </w:pPr>
      <w:r>
        <w:rPr>
          <w:sz w:val="24"/>
        </w:rPr>
        <w:t>日期</w:t>
      </w:r>
    </w:p>
    <w:p>
      <w:pPr>
        <w:snapToGrid w:val="0"/>
        <w:spacing w:before="50" w:after="120" w:afterLines="50" w:line="360" w:lineRule="auto"/>
        <w:jc w:val="left"/>
        <w:outlineLvl w:val="1"/>
        <w:rPr>
          <w:b/>
          <w:sz w:val="24"/>
          <w:szCs w:val="20"/>
        </w:rPr>
      </w:pPr>
      <w:r>
        <w:rPr>
          <w:b/>
          <w:sz w:val="24"/>
        </w:rPr>
        <w:br w:type="page"/>
      </w:r>
      <w:bookmarkStart w:id="52" w:name="_Toc18854433"/>
      <w:r>
        <w:rPr>
          <w:b/>
          <w:sz w:val="24"/>
        </w:rPr>
        <w:t>9.技术响应表格式</w:t>
      </w:r>
      <w:bookmarkEnd w:id="52"/>
    </w:p>
    <w:p>
      <w:pPr>
        <w:snapToGrid w:val="0"/>
        <w:spacing w:before="50" w:after="120" w:afterLines="50" w:line="360" w:lineRule="auto"/>
        <w:jc w:val="center"/>
        <w:rPr>
          <w:b/>
          <w:sz w:val="30"/>
          <w:szCs w:val="30"/>
        </w:rPr>
      </w:pPr>
      <w:r>
        <w:rPr>
          <w:b/>
          <w:sz w:val="30"/>
          <w:szCs w:val="30"/>
        </w:rPr>
        <w:t>技术响应表</w:t>
      </w:r>
    </w:p>
    <w:p>
      <w:pPr>
        <w:snapToGrid w:val="0"/>
        <w:spacing w:before="50" w:after="120" w:afterLines="50" w:line="360" w:lineRule="auto"/>
        <w:jc w:val="left"/>
        <w:rPr>
          <w:sz w:val="24"/>
          <w:szCs w:val="20"/>
        </w:rPr>
      </w:pPr>
      <w:r>
        <w:rPr>
          <w:sz w:val="24"/>
        </w:rPr>
        <w:t>项目编号</w:t>
      </w:r>
      <w:r>
        <w:t>：</w:t>
      </w:r>
      <w:r>
        <w:rPr>
          <w:u w:val="single"/>
        </w:rPr>
        <w:t xml:space="preserve">              </w:t>
      </w:r>
    </w:p>
    <w:tbl>
      <w:tblPr>
        <w:tblStyle w:val="7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0"/>
        <w:gridCol w:w="3238"/>
        <w:gridCol w:w="3960"/>
        <w:gridCol w:w="12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top"/>
          </w:tcPr>
          <w:p>
            <w:pPr>
              <w:jc w:val="center"/>
              <w:rPr>
                <w:sz w:val="24"/>
              </w:rPr>
            </w:pPr>
            <w:r>
              <w:rPr>
                <w:sz w:val="24"/>
              </w:rPr>
              <w:t>序号</w:t>
            </w:r>
          </w:p>
        </w:tc>
        <w:tc>
          <w:tcPr>
            <w:tcW w:w="3238" w:type="dxa"/>
            <w:tcBorders>
              <w:top w:val="single" w:color="auto" w:sz="4" w:space="0"/>
              <w:left w:val="single" w:color="auto" w:sz="4" w:space="0"/>
              <w:bottom w:val="single" w:color="auto" w:sz="4" w:space="0"/>
              <w:right w:val="single" w:color="auto" w:sz="4" w:space="0"/>
            </w:tcBorders>
            <w:noWrap w:val="0"/>
            <w:vAlign w:val="top"/>
          </w:tcPr>
          <w:p>
            <w:pPr>
              <w:jc w:val="center"/>
              <w:rPr>
                <w:sz w:val="24"/>
              </w:rPr>
            </w:pPr>
            <w:r>
              <w:rPr>
                <w:sz w:val="24"/>
              </w:rPr>
              <w:t>招标文件要求</w:t>
            </w:r>
          </w:p>
        </w:tc>
        <w:tc>
          <w:tcPr>
            <w:tcW w:w="3960" w:type="dxa"/>
            <w:tcBorders>
              <w:top w:val="single" w:color="auto" w:sz="4" w:space="0"/>
              <w:left w:val="single" w:color="auto" w:sz="4" w:space="0"/>
              <w:bottom w:val="single" w:color="auto" w:sz="4" w:space="0"/>
              <w:right w:val="single" w:color="auto" w:sz="4" w:space="0"/>
            </w:tcBorders>
            <w:noWrap w:val="0"/>
            <w:vAlign w:val="top"/>
          </w:tcPr>
          <w:p>
            <w:pPr>
              <w:jc w:val="center"/>
              <w:rPr>
                <w:sz w:val="24"/>
              </w:rPr>
            </w:pPr>
            <w:r>
              <w:rPr>
                <w:sz w:val="24"/>
              </w:rPr>
              <w:t>投标文件响应</w:t>
            </w:r>
          </w:p>
        </w:tc>
        <w:tc>
          <w:tcPr>
            <w:tcW w:w="1220" w:type="dxa"/>
            <w:tcBorders>
              <w:top w:val="single" w:color="auto" w:sz="4" w:space="0"/>
              <w:left w:val="single" w:color="auto" w:sz="4" w:space="0"/>
              <w:bottom w:val="single" w:color="auto" w:sz="4" w:space="0"/>
              <w:right w:val="single" w:color="auto" w:sz="4" w:space="0"/>
            </w:tcBorders>
            <w:noWrap w:val="0"/>
            <w:vAlign w:val="top"/>
          </w:tcPr>
          <w:p>
            <w:pPr>
              <w:jc w:val="center"/>
              <w:rPr>
                <w:sz w:val="24"/>
              </w:rPr>
            </w:pPr>
            <w:r>
              <w:rPr>
                <w:sz w:val="24"/>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tc>
        <w:tc>
          <w:tcPr>
            <w:tcW w:w="3238" w:type="dxa"/>
            <w:tcBorders>
              <w:top w:val="single" w:color="auto" w:sz="4" w:space="0"/>
              <w:left w:val="single" w:color="auto" w:sz="4" w:space="0"/>
              <w:bottom w:val="single" w:color="auto" w:sz="4" w:space="0"/>
              <w:right w:val="single" w:color="auto" w:sz="4" w:space="0"/>
            </w:tcBorders>
            <w:noWrap w:val="0"/>
            <w:vAlign w:val="center"/>
          </w:tcP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tc>
        <w:tc>
          <w:tcPr>
            <w:tcW w:w="3238" w:type="dxa"/>
            <w:tcBorders>
              <w:top w:val="single" w:color="auto" w:sz="4" w:space="0"/>
              <w:left w:val="single" w:color="auto" w:sz="4" w:space="0"/>
              <w:bottom w:val="single" w:color="auto" w:sz="4" w:space="0"/>
              <w:right w:val="single" w:color="auto" w:sz="4" w:space="0"/>
            </w:tcBorders>
            <w:noWrap w:val="0"/>
            <w:vAlign w:val="center"/>
          </w:tcP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top"/>
          </w:tcPr>
          <w:p/>
        </w:tc>
        <w:tc>
          <w:tcPr>
            <w:tcW w:w="3238" w:type="dxa"/>
            <w:tcBorders>
              <w:top w:val="single" w:color="auto" w:sz="4" w:space="0"/>
              <w:left w:val="single" w:color="auto" w:sz="4" w:space="0"/>
              <w:bottom w:val="single" w:color="auto" w:sz="4" w:space="0"/>
              <w:right w:val="single" w:color="auto" w:sz="4" w:space="0"/>
            </w:tcBorders>
            <w:noWrap w:val="0"/>
            <w:vAlign w:val="top"/>
          </w:tcP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top"/>
          </w:tcPr>
          <w:p/>
        </w:tc>
        <w:tc>
          <w:tcPr>
            <w:tcW w:w="3238" w:type="dxa"/>
            <w:tcBorders>
              <w:top w:val="single" w:color="auto" w:sz="4" w:space="0"/>
              <w:left w:val="single" w:color="auto" w:sz="4" w:space="0"/>
              <w:bottom w:val="single" w:color="auto" w:sz="4" w:space="0"/>
              <w:right w:val="single" w:color="auto" w:sz="4" w:space="0"/>
            </w:tcBorders>
            <w:noWrap w:val="0"/>
            <w:vAlign w:val="top"/>
          </w:tcP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top"/>
          </w:tcPr>
          <w:p/>
        </w:tc>
        <w:tc>
          <w:tcPr>
            <w:tcW w:w="3238" w:type="dxa"/>
            <w:tcBorders>
              <w:top w:val="single" w:color="auto" w:sz="4" w:space="0"/>
              <w:left w:val="single" w:color="auto" w:sz="4" w:space="0"/>
              <w:bottom w:val="single" w:color="auto" w:sz="4" w:space="0"/>
              <w:right w:val="single" w:color="auto" w:sz="4" w:space="0"/>
            </w:tcBorders>
            <w:noWrap w:val="0"/>
            <w:vAlign w:val="top"/>
          </w:tcP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top"/>
          </w:tcPr>
          <w:p/>
        </w:tc>
        <w:tc>
          <w:tcPr>
            <w:tcW w:w="3238" w:type="dxa"/>
            <w:tcBorders>
              <w:top w:val="single" w:color="auto" w:sz="4" w:space="0"/>
              <w:left w:val="single" w:color="auto" w:sz="4" w:space="0"/>
              <w:bottom w:val="single" w:color="auto" w:sz="4" w:space="0"/>
              <w:right w:val="single" w:color="auto" w:sz="4" w:space="0"/>
            </w:tcBorders>
            <w:noWrap w:val="0"/>
            <w:vAlign w:val="top"/>
          </w:tcP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top"/>
          </w:tcPr>
          <w:p/>
        </w:tc>
        <w:tc>
          <w:tcPr>
            <w:tcW w:w="3238" w:type="dxa"/>
            <w:tcBorders>
              <w:top w:val="single" w:color="auto" w:sz="4" w:space="0"/>
              <w:left w:val="single" w:color="auto" w:sz="4" w:space="0"/>
              <w:bottom w:val="single" w:color="auto" w:sz="4" w:space="0"/>
              <w:right w:val="single" w:color="auto" w:sz="4" w:space="0"/>
            </w:tcBorders>
            <w:noWrap w:val="0"/>
            <w:vAlign w:val="top"/>
          </w:tcP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top"/>
          </w:tcPr>
          <w:p/>
        </w:tc>
        <w:tc>
          <w:tcPr>
            <w:tcW w:w="3238" w:type="dxa"/>
            <w:tcBorders>
              <w:top w:val="single" w:color="auto" w:sz="4" w:space="0"/>
              <w:left w:val="single" w:color="auto" w:sz="4" w:space="0"/>
              <w:bottom w:val="single" w:color="auto" w:sz="4" w:space="0"/>
              <w:right w:val="single" w:color="auto" w:sz="4" w:space="0"/>
            </w:tcBorders>
            <w:noWrap w:val="0"/>
            <w:vAlign w:val="top"/>
          </w:tcP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top"/>
          </w:tcPr>
          <w:p/>
        </w:tc>
        <w:tc>
          <w:tcPr>
            <w:tcW w:w="3238" w:type="dxa"/>
            <w:tcBorders>
              <w:top w:val="single" w:color="auto" w:sz="4" w:space="0"/>
              <w:left w:val="single" w:color="auto" w:sz="4" w:space="0"/>
              <w:bottom w:val="single" w:color="auto" w:sz="4" w:space="0"/>
              <w:right w:val="single" w:color="auto" w:sz="4" w:space="0"/>
            </w:tcBorders>
            <w:noWrap w:val="0"/>
            <w:vAlign w:val="top"/>
          </w:tcP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top"/>
          </w:tcPr>
          <w:p/>
        </w:tc>
        <w:tc>
          <w:tcPr>
            <w:tcW w:w="3238" w:type="dxa"/>
            <w:tcBorders>
              <w:top w:val="single" w:color="auto" w:sz="4" w:space="0"/>
              <w:left w:val="single" w:color="auto" w:sz="4" w:space="0"/>
              <w:bottom w:val="single" w:color="auto" w:sz="4" w:space="0"/>
              <w:right w:val="single" w:color="auto" w:sz="4" w:space="0"/>
            </w:tcBorders>
            <w:noWrap w:val="0"/>
            <w:vAlign w:val="top"/>
          </w:tcP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top"/>
          </w:tcPr>
          <w:p/>
        </w:tc>
        <w:tc>
          <w:tcPr>
            <w:tcW w:w="3238" w:type="dxa"/>
            <w:tcBorders>
              <w:top w:val="single" w:color="auto" w:sz="4" w:space="0"/>
              <w:left w:val="single" w:color="auto" w:sz="4" w:space="0"/>
              <w:bottom w:val="single" w:color="auto" w:sz="4" w:space="0"/>
              <w:right w:val="single" w:color="auto" w:sz="4" w:space="0"/>
            </w:tcBorders>
            <w:noWrap w:val="0"/>
            <w:vAlign w:val="top"/>
          </w:tcP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7"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top"/>
          </w:tcPr>
          <w:p/>
        </w:tc>
        <w:tc>
          <w:tcPr>
            <w:tcW w:w="3238" w:type="dxa"/>
            <w:tcBorders>
              <w:top w:val="single" w:color="auto" w:sz="4" w:space="0"/>
              <w:left w:val="single" w:color="auto" w:sz="4" w:space="0"/>
              <w:bottom w:val="single" w:color="auto" w:sz="4" w:space="0"/>
              <w:right w:val="single" w:color="auto" w:sz="4" w:space="0"/>
            </w:tcBorders>
            <w:noWrap w:val="0"/>
            <w:vAlign w:val="top"/>
          </w:tcPr>
          <w:p>
            <w:r>
              <w:t>...</w:t>
            </w: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bl>
    <w:p>
      <w:pPr>
        <w:pStyle w:val="25"/>
        <w:spacing w:line="360" w:lineRule="auto"/>
        <w:rPr>
          <w:rFonts w:hAnsi="Times New Roman"/>
        </w:rPr>
      </w:pPr>
      <w:r>
        <w:rPr>
          <w:rFonts w:hAnsi="Times New Roman"/>
        </w:rPr>
        <w:t>注：</w:t>
      </w:r>
    </w:p>
    <w:p>
      <w:pPr>
        <w:pStyle w:val="25"/>
        <w:numPr>
          <w:ilvl w:val="1"/>
          <w:numId w:val="2"/>
        </w:numPr>
        <w:tabs>
          <w:tab w:val="left" w:pos="540"/>
          <w:tab w:val="clear" w:pos="1440"/>
        </w:tabs>
        <w:spacing w:line="360" w:lineRule="auto"/>
        <w:ind w:left="540" w:hanging="540"/>
        <w:rPr>
          <w:rFonts w:hAnsi="Times New Roman"/>
        </w:rPr>
      </w:pPr>
      <w:r>
        <w:rPr>
          <w:rFonts w:hAnsi="Times New Roman"/>
        </w:rPr>
        <w:t>投标人应对照招标文件要求一一对应如实填写技术响应表，在“偏离情况”栏注明“正偏离”、“负偏离”或“无偏离”。未按要求填写的，有可能作负偏离处理。</w:t>
      </w:r>
    </w:p>
    <w:p>
      <w:pPr>
        <w:snapToGrid w:val="0"/>
        <w:spacing w:before="50" w:after="50" w:line="360" w:lineRule="auto"/>
        <w:rPr>
          <w:b/>
          <w:bCs/>
          <w:sz w:val="24"/>
          <w:szCs w:val="20"/>
        </w:rPr>
      </w:pPr>
    </w:p>
    <w:p>
      <w:pPr>
        <w:snapToGrid w:val="0"/>
        <w:spacing w:before="50" w:after="50" w:line="360" w:lineRule="auto"/>
        <w:rPr>
          <w:b/>
          <w:bCs/>
          <w:sz w:val="24"/>
          <w:szCs w:val="20"/>
        </w:rPr>
      </w:pPr>
    </w:p>
    <w:p>
      <w:pPr>
        <w:snapToGrid w:val="0"/>
        <w:spacing w:before="50" w:after="50" w:line="360" w:lineRule="auto"/>
        <w:ind w:firstLine="480" w:firstLineChars="200"/>
        <w:rPr>
          <w:spacing w:val="20"/>
          <w:sz w:val="24"/>
          <w:szCs w:val="20"/>
          <w:u w:val="single"/>
        </w:rPr>
      </w:pPr>
      <w:r>
        <w:rPr>
          <w:sz w:val="24"/>
        </w:rPr>
        <w:t>法定代表人或授权委托人</w:t>
      </w:r>
      <w:r>
        <w:rPr>
          <w:spacing w:val="20"/>
          <w:sz w:val="24"/>
        </w:rPr>
        <w:t>签名：</w:t>
      </w:r>
      <w:r>
        <w:rPr>
          <w:spacing w:val="20"/>
          <w:sz w:val="24"/>
          <w:u w:val="single"/>
        </w:rPr>
        <w:t xml:space="preserve">        </w:t>
      </w:r>
    </w:p>
    <w:p>
      <w:pPr>
        <w:snapToGrid w:val="0"/>
        <w:spacing w:before="50" w:after="120" w:afterLines="50" w:line="360" w:lineRule="auto"/>
        <w:ind w:firstLine="420" w:firstLineChars="150"/>
        <w:jc w:val="left"/>
        <w:rPr>
          <w:sz w:val="24"/>
        </w:rPr>
      </w:pPr>
      <w:r>
        <w:rPr>
          <w:spacing w:val="20"/>
          <w:sz w:val="24"/>
        </w:rPr>
        <w:t>投标人盖章：</w:t>
      </w:r>
      <w:r>
        <w:rPr>
          <w:spacing w:val="20"/>
          <w:sz w:val="24"/>
          <w:u w:val="single"/>
        </w:rPr>
        <w:t xml:space="preserve">            </w:t>
      </w:r>
      <w:r>
        <w:rPr>
          <w:spacing w:val="20"/>
          <w:sz w:val="24"/>
        </w:rPr>
        <w:t xml:space="preserve">              日 期：</w:t>
      </w:r>
      <w:r>
        <w:rPr>
          <w:spacing w:val="20"/>
          <w:sz w:val="24"/>
          <w:u w:val="single"/>
        </w:rPr>
        <w:t xml:space="preserve">          </w:t>
      </w:r>
    </w:p>
    <w:p>
      <w:pPr>
        <w:snapToGrid w:val="0"/>
        <w:spacing w:before="50" w:line="360" w:lineRule="auto"/>
        <w:jc w:val="left"/>
        <w:outlineLvl w:val="1"/>
        <w:rPr>
          <w:b/>
          <w:sz w:val="24"/>
          <w:szCs w:val="20"/>
        </w:rPr>
      </w:pPr>
      <w:r>
        <w:br w:type="page"/>
      </w:r>
      <w:bookmarkStart w:id="53" w:name="_Toc18854434"/>
      <w:r>
        <w:rPr>
          <w:b/>
          <w:sz w:val="24"/>
        </w:rPr>
        <w:t>10.商务响应表格式</w:t>
      </w:r>
      <w:bookmarkEnd w:id="53"/>
    </w:p>
    <w:p>
      <w:pPr>
        <w:snapToGrid w:val="0"/>
        <w:spacing w:before="50" w:line="360" w:lineRule="auto"/>
        <w:jc w:val="left"/>
        <w:rPr>
          <w:sz w:val="24"/>
        </w:rPr>
      </w:pPr>
    </w:p>
    <w:p>
      <w:pPr>
        <w:snapToGrid w:val="0"/>
        <w:spacing w:before="50" w:line="360" w:lineRule="auto"/>
        <w:jc w:val="center"/>
        <w:rPr>
          <w:b/>
          <w:sz w:val="30"/>
          <w:szCs w:val="30"/>
        </w:rPr>
      </w:pPr>
      <w:r>
        <w:rPr>
          <w:b/>
          <w:sz w:val="30"/>
          <w:szCs w:val="30"/>
        </w:rPr>
        <w:t>商务响应表</w:t>
      </w:r>
    </w:p>
    <w:p>
      <w:pPr>
        <w:snapToGrid w:val="0"/>
        <w:spacing w:before="50" w:line="360" w:lineRule="auto"/>
        <w:jc w:val="left"/>
        <w:rPr>
          <w:sz w:val="24"/>
          <w:szCs w:val="20"/>
          <w:u w:val="single"/>
        </w:rPr>
      </w:pPr>
      <w:r>
        <w:rPr>
          <w:sz w:val="24"/>
        </w:rPr>
        <w:t>项目编号：</w:t>
      </w:r>
      <w:r>
        <w:rPr>
          <w:sz w:val="24"/>
          <w:u w:val="single"/>
        </w:rPr>
        <w:t xml:space="preserve">              </w:t>
      </w:r>
    </w:p>
    <w:tbl>
      <w:tblPr>
        <w:tblStyle w:val="7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0"/>
        <w:gridCol w:w="3517"/>
        <w:gridCol w:w="3681"/>
        <w:gridCol w:w="12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top"/>
          </w:tcPr>
          <w:p>
            <w:pPr>
              <w:jc w:val="center"/>
              <w:rPr>
                <w:sz w:val="24"/>
              </w:rPr>
            </w:pPr>
            <w:r>
              <w:rPr>
                <w:sz w:val="24"/>
              </w:rPr>
              <w:t>序号</w:t>
            </w:r>
          </w:p>
        </w:tc>
        <w:tc>
          <w:tcPr>
            <w:tcW w:w="3517" w:type="dxa"/>
            <w:tcBorders>
              <w:top w:val="single" w:color="auto" w:sz="4" w:space="0"/>
              <w:left w:val="single" w:color="auto" w:sz="4" w:space="0"/>
              <w:bottom w:val="single" w:color="auto" w:sz="4" w:space="0"/>
              <w:right w:val="single" w:color="auto" w:sz="4" w:space="0"/>
            </w:tcBorders>
            <w:noWrap w:val="0"/>
            <w:vAlign w:val="top"/>
          </w:tcPr>
          <w:p>
            <w:pPr>
              <w:jc w:val="center"/>
              <w:rPr>
                <w:sz w:val="24"/>
              </w:rPr>
            </w:pPr>
            <w:r>
              <w:rPr>
                <w:sz w:val="24"/>
              </w:rPr>
              <w:t>招标文件要求</w:t>
            </w:r>
          </w:p>
        </w:tc>
        <w:tc>
          <w:tcPr>
            <w:tcW w:w="3681" w:type="dxa"/>
            <w:tcBorders>
              <w:top w:val="single" w:color="auto" w:sz="4" w:space="0"/>
              <w:left w:val="single" w:color="auto" w:sz="4" w:space="0"/>
              <w:bottom w:val="single" w:color="auto" w:sz="4" w:space="0"/>
              <w:right w:val="single" w:color="auto" w:sz="4" w:space="0"/>
            </w:tcBorders>
            <w:noWrap w:val="0"/>
            <w:vAlign w:val="top"/>
          </w:tcPr>
          <w:p>
            <w:pPr>
              <w:jc w:val="center"/>
              <w:rPr>
                <w:sz w:val="24"/>
              </w:rPr>
            </w:pPr>
            <w:r>
              <w:rPr>
                <w:sz w:val="24"/>
              </w:rPr>
              <w:t>投标文件响应</w:t>
            </w:r>
          </w:p>
        </w:tc>
        <w:tc>
          <w:tcPr>
            <w:tcW w:w="1220" w:type="dxa"/>
            <w:tcBorders>
              <w:top w:val="single" w:color="auto" w:sz="4" w:space="0"/>
              <w:left w:val="single" w:color="auto" w:sz="4" w:space="0"/>
              <w:bottom w:val="single" w:color="auto" w:sz="4" w:space="0"/>
              <w:right w:val="single" w:color="auto" w:sz="4" w:space="0"/>
            </w:tcBorders>
            <w:noWrap w:val="0"/>
            <w:vAlign w:val="top"/>
          </w:tcPr>
          <w:p>
            <w:pPr>
              <w:jc w:val="center"/>
              <w:rPr>
                <w:sz w:val="24"/>
              </w:rPr>
            </w:pPr>
            <w:r>
              <w:rPr>
                <w:sz w:val="24"/>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3517" w:type="dxa"/>
            <w:tcBorders>
              <w:top w:val="single" w:color="auto" w:sz="4" w:space="0"/>
              <w:left w:val="single" w:color="auto" w:sz="4" w:space="0"/>
              <w:bottom w:val="single" w:color="auto" w:sz="4" w:space="0"/>
              <w:right w:val="single" w:color="auto" w:sz="4" w:space="0"/>
            </w:tcBorders>
            <w:noWrap w:val="0"/>
            <w:vAlign w:val="center"/>
          </w:tcPr>
          <w:p/>
        </w:tc>
        <w:tc>
          <w:tcPr>
            <w:tcW w:w="3681"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3517" w:type="dxa"/>
            <w:tcBorders>
              <w:top w:val="single" w:color="auto" w:sz="4" w:space="0"/>
              <w:left w:val="single" w:color="auto" w:sz="4" w:space="0"/>
              <w:bottom w:val="single" w:color="auto" w:sz="4" w:space="0"/>
              <w:right w:val="single" w:color="auto" w:sz="4" w:space="0"/>
            </w:tcBorders>
            <w:noWrap w:val="0"/>
            <w:vAlign w:val="center"/>
          </w:tcPr>
          <w:p/>
        </w:tc>
        <w:tc>
          <w:tcPr>
            <w:tcW w:w="3681"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3517" w:type="dxa"/>
            <w:tcBorders>
              <w:top w:val="single" w:color="auto" w:sz="4" w:space="0"/>
              <w:left w:val="single" w:color="auto" w:sz="4" w:space="0"/>
              <w:bottom w:val="single" w:color="auto" w:sz="4" w:space="0"/>
              <w:right w:val="single" w:color="auto" w:sz="4" w:space="0"/>
            </w:tcBorders>
            <w:noWrap w:val="0"/>
            <w:vAlign w:val="top"/>
          </w:tcPr>
          <w:p/>
        </w:tc>
        <w:tc>
          <w:tcPr>
            <w:tcW w:w="3681"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3517" w:type="dxa"/>
            <w:tcBorders>
              <w:top w:val="single" w:color="auto" w:sz="4" w:space="0"/>
              <w:left w:val="single" w:color="auto" w:sz="4" w:space="0"/>
              <w:bottom w:val="single" w:color="auto" w:sz="4" w:space="0"/>
              <w:right w:val="single" w:color="auto" w:sz="4" w:space="0"/>
            </w:tcBorders>
            <w:noWrap w:val="0"/>
            <w:vAlign w:val="top"/>
          </w:tcPr>
          <w:p/>
        </w:tc>
        <w:tc>
          <w:tcPr>
            <w:tcW w:w="3681"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3517" w:type="dxa"/>
            <w:tcBorders>
              <w:top w:val="single" w:color="auto" w:sz="4" w:space="0"/>
              <w:left w:val="single" w:color="auto" w:sz="4" w:space="0"/>
              <w:bottom w:val="single" w:color="auto" w:sz="4" w:space="0"/>
              <w:right w:val="single" w:color="auto" w:sz="4" w:space="0"/>
            </w:tcBorders>
            <w:noWrap w:val="0"/>
            <w:vAlign w:val="top"/>
          </w:tcPr>
          <w:p/>
        </w:tc>
        <w:tc>
          <w:tcPr>
            <w:tcW w:w="3681"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3517" w:type="dxa"/>
            <w:tcBorders>
              <w:top w:val="single" w:color="auto" w:sz="4" w:space="0"/>
              <w:left w:val="single" w:color="auto" w:sz="4" w:space="0"/>
              <w:bottom w:val="single" w:color="auto" w:sz="4" w:space="0"/>
              <w:right w:val="single" w:color="auto" w:sz="4" w:space="0"/>
            </w:tcBorders>
            <w:noWrap w:val="0"/>
            <w:vAlign w:val="top"/>
          </w:tcPr>
          <w:p/>
        </w:tc>
        <w:tc>
          <w:tcPr>
            <w:tcW w:w="3681"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3517" w:type="dxa"/>
            <w:tcBorders>
              <w:top w:val="single" w:color="auto" w:sz="4" w:space="0"/>
              <w:left w:val="single" w:color="auto" w:sz="4" w:space="0"/>
              <w:bottom w:val="single" w:color="auto" w:sz="4" w:space="0"/>
              <w:right w:val="single" w:color="auto" w:sz="4" w:space="0"/>
            </w:tcBorders>
            <w:noWrap w:val="0"/>
            <w:vAlign w:val="top"/>
          </w:tcPr>
          <w:p/>
        </w:tc>
        <w:tc>
          <w:tcPr>
            <w:tcW w:w="3681"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3517" w:type="dxa"/>
            <w:tcBorders>
              <w:top w:val="single" w:color="auto" w:sz="4" w:space="0"/>
              <w:left w:val="single" w:color="auto" w:sz="4" w:space="0"/>
              <w:bottom w:val="single" w:color="auto" w:sz="4" w:space="0"/>
              <w:right w:val="single" w:color="auto" w:sz="4" w:space="0"/>
            </w:tcBorders>
            <w:noWrap w:val="0"/>
            <w:vAlign w:val="top"/>
          </w:tcPr>
          <w:p/>
        </w:tc>
        <w:tc>
          <w:tcPr>
            <w:tcW w:w="3681"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3517" w:type="dxa"/>
            <w:tcBorders>
              <w:top w:val="single" w:color="auto" w:sz="4" w:space="0"/>
              <w:left w:val="single" w:color="auto" w:sz="4" w:space="0"/>
              <w:bottom w:val="single" w:color="auto" w:sz="4" w:space="0"/>
              <w:right w:val="single" w:color="auto" w:sz="4" w:space="0"/>
            </w:tcBorders>
            <w:noWrap w:val="0"/>
            <w:vAlign w:val="top"/>
          </w:tcPr>
          <w:p/>
        </w:tc>
        <w:tc>
          <w:tcPr>
            <w:tcW w:w="3681"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3517" w:type="dxa"/>
            <w:tcBorders>
              <w:top w:val="single" w:color="auto" w:sz="4" w:space="0"/>
              <w:left w:val="single" w:color="auto" w:sz="4" w:space="0"/>
              <w:bottom w:val="single" w:color="auto" w:sz="4" w:space="0"/>
              <w:right w:val="single" w:color="auto" w:sz="4" w:space="0"/>
            </w:tcBorders>
            <w:noWrap w:val="0"/>
            <w:vAlign w:val="top"/>
          </w:tcPr>
          <w:p/>
        </w:tc>
        <w:tc>
          <w:tcPr>
            <w:tcW w:w="3681"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3517" w:type="dxa"/>
            <w:tcBorders>
              <w:top w:val="single" w:color="auto" w:sz="4" w:space="0"/>
              <w:left w:val="single" w:color="auto" w:sz="4" w:space="0"/>
              <w:bottom w:val="single" w:color="auto" w:sz="4" w:space="0"/>
              <w:right w:val="single" w:color="auto" w:sz="4" w:space="0"/>
            </w:tcBorders>
            <w:noWrap w:val="0"/>
            <w:vAlign w:val="top"/>
          </w:tcPr>
          <w:p/>
        </w:tc>
        <w:tc>
          <w:tcPr>
            <w:tcW w:w="3681"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7"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3517" w:type="dxa"/>
            <w:tcBorders>
              <w:top w:val="single" w:color="auto" w:sz="4" w:space="0"/>
              <w:left w:val="single" w:color="auto" w:sz="4" w:space="0"/>
              <w:bottom w:val="single" w:color="auto" w:sz="4" w:space="0"/>
              <w:right w:val="single" w:color="auto" w:sz="4" w:space="0"/>
            </w:tcBorders>
            <w:noWrap w:val="0"/>
            <w:vAlign w:val="top"/>
          </w:tcPr>
          <w:p>
            <w:r>
              <w:t>特别声明：</w:t>
            </w:r>
          </w:p>
          <w:p>
            <w:r>
              <w:t>是否完全同意按招标文件《第五章合同主要条款》中所列条款签订合同？</w:t>
            </w:r>
          </w:p>
        </w:tc>
        <w:tc>
          <w:tcPr>
            <w:tcW w:w="3681"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bl>
    <w:p>
      <w:pPr>
        <w:snapToGrid w:val="0"/>
        <w:spacing w:before="120" w:beforeLines="50" w:line="360" w:lineRule="auto"/>
        <w:rPr>
          <w:sz w:val="24"/>
          <w:szCs w:val="20"/>
        </w:rPr>
      </w:pPr>
    </w:p>
    <w:p>
      <w:pPr>
        <w:snapToGrid w:val="0"/>
        <w:spacing w:before="50" w:after="50" w:line="360" w:lineRule="auto"/>
        <w:rPr>
          <w:spacing w:val="20"/>
          <w:sz w:val="24"/>
          <w:szCs w:val="20"/>
          <w:u w:val="single"/>
        </w:rPr>
      </w:pPr>
      <w:r>
        <w:rPr>
          <w:sz w:val="24"/>
        </w:rPr>
        <w:t>法定代表人或授权委托人</w:t>
      </w:r>
      <w:r>
        <w:rPr>
          <w:spacing w:val="20"/>
          <w:sz w:val="24"/>
        </w:rPr>
        <w:t>签名：</w:t>
      </w:r>
      <w:r>
        <w:rPr>
          <w:spacing w:val="20"/>
          <w:sz w:val="24"/>
          <w:u w:val="single"/>
        </w:rPr>
        <w:t xml:space="preserve">          </w:t>
      </w:r>
    </w:p>
    <w:p>
      <w:pPr>
        <w:snapToGrid w:val="0"/>
        <w:spacing w:before="50" w:after="50" w:line="360" w:lineRule="auto"/>
        <w:rPr>
          <w:sz w:val="24"/>
          <w:szCs w:val="20"/>
        </w:rPr>
      </w:pPr>
      <w:r>
        <w:rPr>
          <w:spacing w:val="20"/>
          <w:sz w:val="24"/>
        </w:rPr>
        <w:t>投标人盖章：</w:t>
      </w:r>
      <w:r>
        <w:rPr>
          <w:spacing w:val="20"/>
          <w:sz w:val="24"/>
          <w:u w:val="single"/>
        </w:rPr>
        <w:t xml:space="preserve">            </w:t>
      </w:r>
      <w:r>
        <w:rPr>
          <w:spacing w:val="20"/>
          <w:sz w:val="24"/>
        </w:rPr>
        <w:t xml:space="preserve">              日  期：</w:t>
      </w:r>
      <w:r>
        <w:rPr>
          <w:spacing w:val="20"/>
          <w:sz w:val="24"/>
          <w:u w:val="single"/>
        </w:rPr>
        <w:t xml:space="preserve">          </w:t>
      </w:r>
    </w:p>
    <w:p>
      <w:pPr>
        <w:spacing w:line="360" w:lineRule="auto"/>
        <w:ind w:right="-21" w:rightChars="-10"/>
        <w:outlineLvl w:val="1"/>
        <w:rPr>
          <w:bCs/>
        </w:rPr>
        <w:sectPr>
          <w:footerReference r:id="rId13" w:type="default"/>
          <w:pgSz w:w="11907" w:h="16840"/>
          <w:pgMar w:top="1418" w:right="1418" w:bottom="1418" w:left="1418" w:header="851" w:footer="680" w:gutter="0"/>
          <w:cols w:space="720" w:num="1"/>
          <w:docGrid w:linePitch="312" w:charSpace="0"/>
        </w:sectPr>
      </w:pPr>
    </w:p>
    <w:p>
      <w:pPr>
        <w:snapToGrid w:val="0"/>
        <w:spacing w:before="50" w:after="120" w:afterLines="50" w:line="360" w:lineRule="auto"/>
        <w:jc w:val="left"/>
        <w:outlineLvl w:val="1"/>
        <w:rPr>
          <w:b/>
          <w:sz w:val="24"/>
          <w:szCs w:val="20"/>
        </w:rPr>
      </w:pPr>
      <w:bookmarkStart w:id="54" w:name="_Toc18854435"/>
      <w:r>
        <w:rPr>
          <w:b/>
          <w:sz w:val="24"/>
        </w:rPr>
        <w:t>11.</w:t>
      </w:r>
      <w:r>
        <w:t xml:space="preserve"> </w:t>
      </w:r>
      <w:r>
        <w:rPr>
          <w:b/>
          <w:sz w:val="24"/>
        </w:rPr>
        <w:t>拟安排的项目负责人和团队成员情况概况表</w:t>
      </w:r>
      <w:bookmarkEnd w:id="54"/>
    </w:p>
    <w:p>
      <w:pPr>
        <w:snapToGrid w:val="0"/>
        <w:spacing w:before="120" w:beforeLines="50" w:after="50" w:line="360" w:lineRule="auto"/>
        <w:jc w:val="center"/>
        <w:rPr>
          <w:b/>
          <w:sz w:val="30"/>
          <w:szCs w:val="30"/>
        </w:rPr>
      </w:pPr>
      <w:r>
        <w:rPr>
          <w:b/>
          <w:sz w:val="30"/>
          <w:szCs w:val="30"/>
        </w:rPr>
        <w:t>拟安排的项目负责人和团队成员情况概况表</w:t>
      </w:r>
    </w:p>
    <w:p>
      <w:pPr>
        <w:snapToGrid w:val="0"/>
        <w:spacing w:before="120" w:beforeLines="50" w:after="50" w:line="360" w:lineRule="auto"/>
        <w:rPr>
          <w:sz w:val="24"/>
          <w:szCs w:val="20"/>
        </w:rPr>
      </w:pPr>
      <w:r>
        <w:rPr>
          <w:sz w:val="24"/>
        </w:rPr>
        <w:t>项目编号</w:t>
      </w:r>
      <w:r>
        <w:t>：</w:t>
      </w:r>
      <w:r>
        <w:rPr>
          <w:u w:val="single"/>
        </w:rPr>
        <w:t xml:space="preserve">              </w:t>
      </w:r>
    </w:p>
    <w:tbl>
      <w:tblPr>
        <w:tblStyle w:val="7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80"/>
        <w:gridCol w:w="780"/>
        <w:gridCol w:w="780"/>
        <w:gridCol w:w="780"/>
        <w:gridCol w:w="780"/>
        <w:gridCol w:w="1982"/>
        <w:gridCol w:w="1238"/>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 w:hRule="atLeast"/>
          <w:jc w:val="center"/>
        </w:trPr>
        <w:tc>
          <w:tcPr>
            <w:tcW w:w="780" w:type="dxa"/>
            <w:noWrap w:val="0"/>
            <w:vAlign w:val="center"/>
          </w:tcPr>
          <w:p>
            <w:pPr>
              <w:spacing w:line="360" w:lineRule="auto"/>
              <w:jc w:val="center"/>
              <w:rPr>
                <w:sz w:val="24"/>
              </w:rPr>
            </w:pPr>
            <w:r>
              <w:rPr>
                <w:sz w:val="24"/>
              </w:rPr>
              <w:t>序号</w:t>
            </w:r>
          </w:p>
        </w:tc>
        <w:tc>
          <w:tcPr>
            <w:tcW w:w="780" w:type="dxa"/>
            <w:noWrap w:val="0"/>
            <w:vAlign w:val="center"/>
          </w:tcPr>
          <w:p>
            <w:pPr>
              <w:spacing w:line="360" w:lineRule="auto"/>
              <w:jc w:val="center"/>
              <w:rPr>
                <w:sz w:val="24"/>
              </w:rPr>
            </w:pPr>
            <w:r>
              <w:rPr>
                <w:sz w:val="24"/>
              </w:rPr>
              <w:t>姓名</w:t>
            </w:r>
          </w:p>
        </w:tc>
        <w:tc>
          <w:tcPr>
            <w:tcW w:w="780" w:type="dxa"/>
            <w:noWrap w:val="0"/>
            <w:vAlign w:val="center"/>
          </w:tcPr>
          <w:p>
            <w:pPr>
              <w:spacing w:line="360" w:lineRule="auto"/>
              <w:jc w:val="center"/>
              <w:rPr>
                <w:sz w:val="24"/>
              </w:rPr>
            </w:pPr>
            <w:r>
              <w:rPr>
                <w:sz w:val="24"/>
              </w:rPr>
              <w:t>年龄</w:t>
            </w:r>
          </w:p>
        </w:tc>
        <w:tc>
          <w:tcPr>
            <w:tcW w:w="780" w:type="dxa"/>
            <w:noWrap w:val="0"/>
            <w:vAlign w:val="center"/>
          </w:tcPr>
          <w:p>
            <w:pPr>
              <w:spacing w:line="360" w:lineRule="auto"/>
              <w:jc w:val="center"/>
              <w:rPr>
                <w:sz w:val="24"/>
              </w:rPr>
            </w:pPr>
            <w:r>
              <w:rPr>
                <w:sz w:val="24"/>
              </w:rPr>
              <w:t>学历</w:t>
            </w:r>
          </w:p>
        </w:tc>
        <w:tc>
          <w:tcPr>
            <w:tcW w:w="780" w:type="dxa"/>
            <w:noWrap w:val="0"/>
            <w:vAlign w:val="center"/>
          </w:tcPr>
          <w:p>
            <w:pPr>
              <w:spacing w:line="360" w:lineRule="auto"/>
              <w:jc w:val="center"/>
              <w:rPr>
                <w:sz w:val="24"/>
              </w:rPr>
            </w:pPr>
            <w:r>
              <w:rPr>
                <w:sz w:val="24"/>
              </w:rPr>
              <w:t>资格证书</w:t>
            </w:r>
          </w:p>
        </w:tc>
        <w:tc>
          <w:tcPr>
            <w:tcW w:w="780" w:type="dxa"/>
            <w:noWrap w:val="0"/>
            <w:vAlign w:val="center"/>
          </w:tcPr>
          <w:p>
            <w:pPr>
              <w:spacing w:line="360" w:lineRule="auto"/>
              <w:jc w:val="center"/>
              <w:rPr>
                <w:sz w:val="24"/>
              </w:rPr>
            </w:pPr>
            <w:r>
              <w:rPr>
                <w:sz w:val="24"/>
              </w:rPr>
              <w:t>主要资历</w:t>
            </w:r>
          </w:p>
        </w:tc>
        <w:tc>
          <w:tcPr>
            <w:tcW w:w="1982" w:type="dxa"/>
            <w:noWrap w:val="0"/>
            <w:vAlign w:val="center"/>
          </w:tcPr>
          <w:p>
            <w:pPr>
              <w:spacing w:line="360" w:lineRule="auto"/>
              <w:jc w:val="center"/>
              <w:rPr>
                <w:sz w:val="24"/>
              </w:rPr>
            </w:pPr>
            <w:r>
              <w:rPr>
                <w:sz w:val="24"/>
              </w:rPr>
              <w:t>在何三</w:t>
            </w:r>
            <w:r>
              <w:rPr>
                <w:rFonts w:hint="eastAsia"/>
                <w:sz w:val="24"/>
              </w:rPr>
              <w:t>甲</w:t>
            </w:r>
            <w:r>
              <w:rPr>
                <w:sz w:val="24"/>
              </w:rPr>
              <w:t>医院从事过何种工作</w:t>
            </w:r>
          </w:p>
        </w:tc>
        <w:tc>
          <w:tcPr>
            <w:tcW w:w="1238" w:type="dxa"/>
            <w:noWrap w:val="0"/>
            <w:vAlign w:val="center"/>
          </w:tcPr>
          <w:p>
            <w:pPr>
              <w:spacing w:line="360" w:lineRule="auto"/>
              <w:jc w:val="center"/>
              <w:rPr>
                <w:sz w:val="24"/>
              </w:rPr>
            </w:pPr>
            <w:r>
              <w:rPr>
                <w:sz w:val="24"/>
              </w:rPr>
              <w:t>现正从事的工作</w:t>
            </w:r>
          </w:p>
        </w:tc>
        <w:tc>
          <w:tcPr>
            <w:tcW w:w="1177" w:type="dxa"/>
            <w:noWrap w:val="0"/>
            <w:vAlign w:val="center"/>
          </w:tcPr>
          <w:p>
            <w:pPr>
              <w:spacing w:line="360" w:lineRule="auto"/>
              <w:jc w:val="center"/>
              <w:rPr>
                <w:sz w:val="24"/>
              </w:rPr>
            </w:pPr>
            <w:r>
              <w:rPr>
                <w:sz w:val="24"/>
              </w:rPr>
              <w:t>拟担任何工作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 w:hRule="atLeast"/>
          <w:jc w:val="center"/>
        </w:trPr>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1982" w:type="dxa"/>
            <w:noWrap w:val="0"/>
            <w:vAlign w:val="top"/>
          </w:tcPr>
          <w:p>
            <w:pPr>
              <w:spacing w:line="360" w:lineRule="auto"/>
              <w:jc w:val="center"/>
              <w:rPr>
                <w:sz w:val="24"/>
              </w:rPr>
            </w:pPr>
          </w:p>
        </w:tc>
        <w:tc>
          <w:tcPr>
            <w:tcW w:w="1238" w:type="dxa"/>
            <w:noWrap w:val="0"/>
            <w:vAlign w:val="top"/>
          </w:tcPr>
          <w:p>
            <w:pPr>
              <w:spacing w:line="360" w:lineRule="auto"/>
              <w:jc w:val="center"/>
              <w:rPr>
                <w:sz w:val="24"/>
              </w:rPr>
            </w:pPr>
          </w:p>
        </w:tc>
        <w:tc>
          <w:tcPr>
            <w:tcW w:w="1177" w:type="dxa"/>
            <w:noWrap w:val="0"/>
            <w:vAlign w:val="top"/>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 w:hRule="atLeast"/>
          <w:jc w:val="center"/>
        </w:trPr>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1982" w:type="dxa"/>
            <w:noWrap w:val="0"/>
            <w:vAlign w:val="top"/>
          </w:tcPr>
          <w:p>
            <w:pPr>
              <w:spacing w:line="360" w:lineRule="auto"/>
              <w:jc w:val="center"/>
              <w:rPr>
                <w:sz w:val="24"/>
              </w:rPr>
            </w:pPr>
          </w:p>
        </w:tc>
        <w:tc>
          <w:tcPr>
            <w:tcW w:w="1238" w:type="dxa"/>
            <w:noWrap w:val="0"/>
            <w:vAlign w:val="top"/>
          </w:tcPr>
          <w:p>
            <w:pPr>
              <w:spacing w:line="360" w:lineRule="auto"/>
              <w:jc w:val="center"/>
              <w:rPr>
                <w:sz w:val="24"/>
              </w:rPr>
            </w:pPr>
          </w:p>
        </w:tc>
        <w:tc>
          <w:tcPr>
            <w:tcW w:w="1177" w:type="dxa"/>
            <w:noWrap w:val="0"/>
            <w:vAlign w:val="top"/>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 w:hRule="atLeast"/>
          <w:jc w:val="center"/>
        </w:trPr>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1982" w:type="dxa"/>
            <w:noWrap w:val="0"/>
            <w:vAlign w:val="top"/>
          </w:tcPr>
          <w:p>
            <w:pPr>
              <w:spacing w:line="360" w:lineRule="auto"/>
              <w:jc w:val="center"/>
              <w:rPr>
                <w:sz w:val="24"/>
              </w:rPr>
            </w:pPr>
          </w:p>
        </w:tc>
        <w:tc>
          <w:tcPr>
            <w:tcW w:w="1238" w:type="dxa"/>
            <w:noWrap w:val="0"/>
            <w:vAlign w:val="top"/>
          </w:tcPr>
          <w:p>
            <w:pPr>
              <w:spacing w:line="360" w:lineRule="auto"/>
              <w:jc w:val="center"/>
              <w:rPr>
                <w:sz w:val="24"/>
              </w:rPr>
            </w:pPr>
          </w:p>
        </w:tc>
        <w:tc>
          <w:tcPr>
            <w:tcW w:w="1177" w:type="dxa"/>
            <w:noWrap w:val="0"/>
            <w:vAlign w:val="top"/>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 w:hRule="atLeast"/>
          <w:jc w:val="center"/>
        </w:trPr>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1982" w:type="dxa"/>
            <w:noWrap w:val="0"/>
            <w:vAlign w:val="top"/>
          </w:tcPr>
          <w:p>
            <w:pPr>
              <w:spacing w:line="360" w:lineRule="auto"/>
              <w:jc w:val="center"/>
              <w:rPr>
                <w:sz w:val="24"/>
              </w:rPr>
            </w:pPr>
          </w:p>
        </w:tc>
        <w:tc>
          <w:tcPr>
            <w:tcW w:w="1238" w:type="dxa"/>
            <w:noWrap w:val="0"/>
            <w:vAlign w:val="top"/>
          </w:tcPr>
          <w:p>
            <w:pPr>
              <w:spacing w:line="360" w:lineRule="auto"/>
              <w:jc w:val="center"/>
              <w:rPr>
                <w:sz w:val="24"/>
              </w:rPr>
            </w:pPr>
          </w:p>
        </w:tc>
        <w:tc>
          <w:tcPr>
            <w:tcW w:w="1177" w:type="dxa"/>
            <w:noWrap w:val="0"/>
            <w:vAlign w:val="top"/>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 w:hRule="atLeast"/>
          <w:jc w:val="center"/>
        </w:trPr>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1982" w:type="dxa"/>
            <w:noWrap w:val="0"/>
            <w:vAlign w:val="top"/>
          </w:tcPr>
          <w:p>
            <w:pPr>
              <w:spacing w:line="360" w:lineRule="auto"/>
              <w:jc w:val="center"/>
              <w:rPr>
                <w:sz w:val="24"/>
              </w:rPr>
            </w:pPr>
          </w:p>
        </w:tc>
        <w:tc>
          <w:tcPr>
            <w:tcW w:w="1238" w:type="dxa"/>
            <w:noWrap w:val="0"/>
            <w:vAlign w:val="top"/>
          </w:tcPr>
          <w:p>
            <w:pPr>
              <w:spacing w:line="360" w:lineRule="auto"/>
              <w:jc w:val="center"/>
              <w:rPr>
                <w:sz w:val="24"/>
              </w:rPr>
            </w:pPr>
          </w:p>
        </w:tc>
        <w:tc>
          <w:tcPr>
            <w:tcW w:w="1177" w:type="dxa"/>
            <w:noWrap w:val="0"/>
            <w:vAlign w:val="top"/>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 w:hRule="atLeast"/>
          <w:jc w:val="center"/>
        </w:trPr>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1982" w:type="dxa"/>
            <w:noWrap w:val="0"/>
            <w:vAlign w:val="top"/>
          </w:tcPr>
          <w:p>
            <w:pPr>
              <w:spacing w:line="360" w:lineRule="auto"/>
              <w:jc w:val="center"/>
              <w:rPr>
                <w:sz w:val="24"/>
              </w:rPr>
            </w:pPr>
          </w:p>
        </w:tc>
        <w:tc>
          <w:tcPr>
            <w:tcW w:w="1238" w:type="dxa"/>
            <w:noWrap w:val="0"/>
            <w:vAlign w:val="top"/>
          </w:tcPr>
          <w:p>
            <w:pPr>
              <w:spacing w:line="360" w:lineRule="auto"/>
              <w:jc w:val="center"/>
              <w:rPr>
                <w:sz w:val="24"/>
              </w:rPr>
            </w:pPr>
          </w:p>
        </w:tc>
        <w:tc>
          <w:tcPr>
            <w:tcW w:w="1177" w:type="dxa"/>
            <w:noWrap w:val="0"/>
            <w:vAlign w:val="top"/>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 w:hRule="atLeast"/>
          <w:jc w:val="center"/>
        </w:trPr>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1982" w:type="dxa"/>
            <w:noWrap w:val="0"/>
            <w:vAlign w:val="top"/>
          </w:tcPr>
          <w:p>
            <w:pPr>
              <w:spacing w:line="360" w:lineRule="auto"/>
              <w:jc w:val="center"/>
              <w:rPr>
                <w:sz w:val="24"/>
              </w:rPr>
            </w:pPr>
          </w:p>
        </w:tc>
        <w:tc>
          <w:tcPr>
            <w:tcW w:w="1238" w:type="dxa"/>
            <w:noWrap w:val="0"/>
            <w:vAlign w:val="top"/>
          </w:tcPr>
          <w:p>
            <w:pPr>
              <w:spacing w:line="360" w:lineRule="auto"/>
              <w:jc w:val="center"/>
              <w:rPr>
                <w:sz w:val="24"/>
              </w:rPr>
            </w:pPr>
          </w:p>
        </w:tc>
        <w:tc>
          <w:tcPr>
            <w:tcW w:w="1177" w:type="dxa"/>
            <w:noWrap w:val="0"/>
            <w:vAlign w:val="top"/>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 w:hRule="atLeast"/>
          <w:jc w:val="center"/>
        </w:trPr>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1982" w:type="dxa"/>
            <w:noWrap w:val="0"/>
            <w:vAlign w:val="top"/>
          </w:tcPr>
          <w:p>
            <w:pPr>
              <w:spacing w:line="360" w:lineRule="auto"/>
              <w:jc w:val="center"/>
              <w:rPr>
                <w:sz w:val="24"/>
              </w:rPr>
            </w:pPr>
          </w:p>
        </w:tc>
        <w:tc>
          <w:tcPr>
            <w:tcW w:w="1238" w:type="dxa"/>
            <w:noWrap w:val="0"/>
            <w:vAlign w:val="top"/>
          </w:tcPr>
          <w:p>
            <w:pPr>
              <w:spacing w:line="360" w:lineRule="auto"/>
              <w:jc w:val="center"/>
              <w:rPr>
                <w:sz w:val="24"/>
              </w:rPr>
            </w:pPr>
          </w:p>
        </w:tc>
        <w:tc>
          <w:tcPr>
            <w:tcW w:w="1177" w:type="dxa"/>
            <w:noWrap w:val="0"/>
            <w:vAlign w:val="top"/>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 w:hRule="atLeast"/>
          <w:jc w:val="center"/>
        </w:trPr>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780" w:type="dxa"/>
            <w:noWrap w:val="0"/>
            <w:vAlign w:val="top"/>
          </w:tcPr>
          <w:p>
            <w:pPr>
              <w:spacing w:line="360" w:lineRule="auto"/>
              <w:jc w:val="center"/>
              <w:rPr>
                <w:sz w:val="24"/>
              </w:rPr>
            </w:pPr>
          </w:p>
        </w:tc>
        <w:tc>
          <w:tcPr>
            <w:tcW w:w="1982" w:type="dxa"/>
            <w:noWrap w:val="0"/>
            <w:vAlign w:val="top"/>
          </w:tcPr>
          <w:p>
            <w:pPr>
              <w:spacing w:line="360" w:lineRule="auto"/>
              <w:jc w:val="center"/>
              <w:rPr>
                <w:sz w:val="24"/>
              </w:rPr>
            </w:pPr>
          </w:p>
        </w:tc>
        <w:tc>
          <w:tcPr>
            <w:tcW w:w="1238" w:type="dxa"/>
            <w:noWrap w:val="0"/>
            <w:vAlign w:val="top"/>
          </w:tcPr>
          <w:p>
            <w:pPr>
              <w:spacing w:line="360" w:lineRule="auto"/>
              <w:jc w:val="center"/>
              <w:rPr>
                <w:sz w:val="24"/>
              </w:rPr>
            </w:pPr>
          </w:p>
        </w:tc>
        <w:tc>
          <w:tcPr>
            <w:tcW w:w="1177" w:type="dxa"/>
            <w:noWrap w:val="0"/>
            <w:vAlign w:val="top"/>
          </w:tcPr>
          <w:p>
            <w:pPr>
              <w:spacing w:line="360" w:lineRule="auto"/>
              <w:jc w:val="center"/>
              <w:rPr>
                <w:sz w:val="24"/>
              </w:rPr>
            </w:pPr>
          </w:p>
        </w:tc>
      </w:tr>
    </w:tbl>
    <w:p>
      <w:pPr>
        <w:snapToGrid w:val="0"/>
        <w:spacing w:before="50" w:after="120" w:afterLines="50" w:line="360" w:lineRule="auto"/>
        <w:jc w:val="left"/>
        <w:rPr>
          <w:sz w:val="24"/>
        </w:rPr>
      </w:pPr>
      <w:r>
        <w:rPr>
          <w:sz w:val="24"/>
        </w:rPr>
        <w:t>注：在填写时，如本表格不适合投标单位的实际情况，可根据本表格式自行划表填写。</w:t>
      </w:r>
    </w:p>
    <w:p>
      <w:pPr>
        <w:snapToGrid w:val="0"/>
        <w:spacing w:before="50" w:after="120" w:afterLines="50" w:line="360" w:lineRule="auto"/>
        <w:jc w:val="left"/>
        <w:rPr>
          <w:sz w:val="24"/>
        </w:rPr>
      </w:pPr>
      <w:r>
        <w:rPr>
          <w:sz w:val="24"/>
        </w:rPr>
        <w:t>相关证明材料需提供复印件，原件备查。</w:t>
      </w:r>
    </w:p>
    <w:p>
      <w:pPr>
        <w:snapToGrid w:val="0"/>
        <w:spacing w:before="50" w:after="120" w:afterLines="50" w:line="360" w:lineRule="auto"/>
        <w:jc w:val="left"/>
        <w:rPr>
          <w:sz w:val="24"/>
        </w:rPr>
      </w:pPr>
    </w:p>
    <w:p>
      <w:pPr>
        <w:snapToGrid w:val="0"/>
        <w:spacing w:before="50" w:after="120" w:afterLines="50" w:line="360" w:lineRule="auto"/>
        <w:jc w:val="left"/>
        <w:rPr>
          <w:sz w:val="24"/>
          <w:szCs w:val="20"/>
        </w:rPr>
      </w:pPr>
    </w:p>
    <w:p>
      <w:pPr>
        <w:snapToGrid w:val="0"/>
        <w:spacing w:before="50" w:after="50" w:line="360" w:lineRule="auto"/>
        <w:rPr>
          <w:spacing w:val="20"/>
          <w:sz w:val="24"/>
          <w:szCs w:val="20"/>
          <w:u w:val="single"/>
        </w:rPr>
      </w:pPr>
      <w:r>
        <w:rPr>
          <w:sz w:val="24"/>
        </w:rPr>
        <w:t>法定代表人或授权委托人</w:t>
      </w:r>
      <w:r>
        <w:rPr>
          <w:spacing w:val="20"/>
          <w:sz w:val="24"/>
        </w:rPr>
        <w:t>签名：</w:t>
      </w:r>
      <w:r>
        <w:rPr>
          <w:spacing w:val="20"/>
          <w:sz w:val="24"/>
          <w:u w:val="single"/>
        </w:rPr>
        <w:t xml:space="preserve">            </w:t>
      </w:r>
    </w:p>
    <w:p>
      <w:pPr>
        <w:snapToGrid w:val="0"/>
        <w:spacing w:before="50" w:after="120" w:afterLines="50" w:line="360" w:lineRule="auto"/>
        <w:jc w:val="left"/>
        <w:rPr>
          <w:spacing w:val="20"/>
          <w:sz w:val="24"/>
          <w:u w:val="single"/>
        </w:rPr>
      </w:pPr>
      <w:r>
        <w:rPr>
          <w:spacing w:val="20"/>
          <w:sz w:val="24"/>
        </w:rPr>
        <w:t>投标人盖章：</w:t>
      </w:r>
      <w:r>
        <w:rPr>
          <w:spacing w:val="20"/>
          <w:sz w:val="24"/>
          <w:u w:val="single"/>
        </w:rPr>
        <w:t xml:space="preserve">            </w:t>
      </w:r>
      <w:r>
        <w:rPr>
          <w:spacing w:val="20"/>
          <w:sz w:val="24"/>
        </w:rPr>
        <w:t xml:space="preserve">             日  期：</w:t>
      </w:r>
      <w:r>
        <w:rPr>
          <w:spacing w:val="20"/>
          <w:sz w:val="24"/>
          <w:u w:val="single"/>
        </w:rPr>
        <w:t xml:space="preserve">        </w:t>
      </w:r>
    </w:p>
    <w:p>
      <w:pPr>
        <w:snapToGrid w:val="0"/>
        <w:spacing w:before="50" w:after="120" w:afterLines="50" w:line="360" w:lineRule="auto"/>
        <w:jc w:val="left"/>
        <w:outlineLvl w:val="1"/>
        <w:rPr>
          <w:b/>
          <w:sz w:val="24"/>
        </w:rPr>
      </w:pPr>
      <w:r>
        <w:rPr>
          <w:spacing w:val="20"/>
          <w:sz w:val="24"/>
          <w:u w:val="single"/>
        </w:rPr>
        <w:br w:type="page"/>
      </w:r>
      <w:bookmarkStart w:id="55" w:name="_Toc18854436"/>
      <w:r>
        <w:rPr>
          <w:b/>
          <w:sz w:val="24"/>
        </w:rPr>
        <w:t>12.</w:t>
      </w:r>
      <w:r>
        <w:t xml:space="preserve"> </w:t>
      </w:r>
      <w:r>
        <w:rPr>
          <w:b/>
          <w:sz w:val="24"/>
        </w:rPr>
        <w:t>拟投入的消耗材料配备情况</w:t>
      </w:r>
      <w:bookmarkEnd w:id="55"/>
    </w:p>
    <w:p>
      <w:pPr>
        <w:spacing w:line="360" w:lineRule="auto"/>
        <w:jc w:val="center"/>
        <w:rPr>
          <w:b/>
          <w:bCs/>
          <w:sz w:val="28"/>
          <w:szCs w:val="28"/>
        </w:rPr>
      </w:pPr>
      <w:r>
        <w:rPr>
          <w:b/>
          <w:bCs/>
          <w:sz w:val="28"/>
          <w:szCs w:val="28"/>
        </w:rPr>
        <w:t>拟投入的消耗材料配备情况表</w:t>
      </w:r>
    </w:p>
    <w:p>
      <w:pPr>
        <w:spacing w:line="360" w:lineRule="auto"/>
        <w:rPr>
          <w:sz w:val="24"/>
          <w:lang w:val="zh-CN"/>
        </w:rPr>
      </w:pPr>
      <w:r>
        <w:rPr>
          <w:sz w:val="24"/>
        </w:rPr>
        <w:t>项目编号：</w:t>
      </w:r>
    </w:p>
    <w:p>
      <w:pPr>
        <w:spacing w:line="360" w:lineRule="auto"/>
        <w:rPr>
          <w:sz w:val="24"/>
        </w:rPr>
      </w:pPr>
      <w:r>
        <w:rPr>
          <w:sz w:val="24"/>
          <w:lang w:val="zh-CN"/>
        </w:rPr>
        <w:t>项目名称：</w:t>
      </w:r>
    </w:p>
    <w:tbl>
      <w:tblPr>
        <w:tblStyle w:val="70"/>
        <w:tblW w:w="9467"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620"/>
        <w:gridCol w:w="1935"/>
        <w:gridCol w:w="1620"/>
        <w:gridCol w:w="900"/>
        <w:gridCol w:w="148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0" w:hRule="atLeast"/>
        </w:trPr>
        <w:tc>
          <w:tcPr>
            <w:tcW w:w="825" w:type="dxa"/>
            <w:noWrap w:val="0"/>
            <w:vAlign w:val="center"/>
          </w:tcPr>
          <w:p>
            <w:pPr>
              <w:spacing w:line="360" w:lineRule="auto"/>
              <w:jc w:val="center"/>
              <w:rPr>
                <w:sz w:val="24"/>
              </w:rPr>
            </w:pPr>
            <w:r>
              <w:rPr>
                <w:sz w:val="24"/>
              </w:rPr>
              <w:t>序号</w:t>
            </w:r>
          </w:p>
        </w:tc>
        <w:tc>
          <w:tcPr>
            <w:tcW w:w="1620" w:type="dxa"/>
            <w:noWrap w:val="0"/>
            <w:vAlign w:val="center"/>
          </w:tcPr>
          <w:p>
            <w:pPr>
              <w:spacing w:line="360" w:lineRule="auto"/>
              <w:jc w:val="center"/>
              <w:rPr>
                <w:sz w:val="24"/>
              </w:rPr>
            </w:pPr>
            <w:r>
              <w:rPr>
                <w:sz w:val="24"/>
              </w:rPr>
              <w:t>名称</w:t>
            </w:r>
          </w:p>
        </w:tc>
        <w:tc>
          <w:tcPr>
            <w:tcW w:w="1935" w:type="dxa"/>
            <w:noWrap w:val="0"/>
            <w:vAlign w:val="center"/>
          </w:tcPr>
          <w:p>
            <w:pPr>
              <w:spacing w:line="360" w:lineRule="auto"/>
              <w:jc w:val="center"/>
              <w:rPr>
                <w:sz w:val="24"/>
              </w:rPr>
            </w:pPr>
            <w:r>
              <w:rPr>
                <w:sz w:val="24"/>
              </w:rPr>
              <w:t>品牌规格</w:t>
            </w:r>
          </w:p>
        </w:tc>
        <w:tc>
          <w:tcPr>
            <w:tcW w:w="1620" w:type="dxa"/>
            <w:noWrap w:val="0"/>
            <w:vAlign w:val="center"/>
          </w:tcPr>
          <w:p>
            <w:pPr>
              <w:spacing w:line="360" w:lineRule="auto"/>
              <w:jc w:val="center"/>
              <w:rPr>
                <w:sz w:val="24"/>
              </w:rPr>
            </w:pPr>
            <w:r>
              <w:rPr>
                <w:sz w:val="24"/>
              </w:rPr>
              <w:t>生产厂家</w:t>
            </w:r>
          </w:p>
        </w:tc>
        <w:tc>
          <w:tcPr>
            <w:tcW w:w="900" w:type="dxa"/>
            <w:noWrap w:val="0"/>
            <w:vAlign w:val="center"/>
          </w:tcPr>
          <w:p>
            <w:pPr>
              <w:spacing w:line="360" w:lineRule="auto"/>
              <w:jc w:val="center"/>
              <w:rPr>
                <w:sz w:val="24"/>
              </w:rPr>
            </w:pPr>
            <w:r>
              <w:rPr>
                <w:sz w:val="24"/>
              </w:rPr>
              <w:t>计量单位</w:t>
            </w:r>
          </w:p>
        </w:tc>
        <w:tc>
          <w:tcPr>
            <w:tcW w:w="1487" w:type="dxa"/>
            <w:noWrap w:val="0"/>
            <w:vAlign w:val="center"/>
          </w:tcPr>
          <w:p>
            <w:pPr>
              <w:spacing w:line="360" w:lineRule="auto"/>
              <w:jc w:val="center"/>
              <w:rPr>
                <w:sz w:val="24"/>
              </w:rPr>
            </w:pPr>
            <w:r>
              <w:rPr>
                <w:sz w:val="24"/>
              </w:rPr>
              <w:t>估计1个年度使用数量</w:t>
            </w:r>
          </w:p>
        </w:tc>
        <w:tc>
          <w:tcPr>
            <w:tcW w:w="1080" w:type="dxa"/>
            <w:noWrap w:val="0"/>
            <w:vAlign w:val="center"/>
          </w:tcPr>
          <w:p>
            <w:pPr>
              <w:spacing w:line="360" w:lineRule="auto"/>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0" w:hRule="atLeast"/>
        </w:trPr>
        <w:tc>
          <w:tcPr>
            <w:tcW w:w="825" w:type="dxa"/>
            <w:noWrap w:val="0"/>
            <w:vAlign w:val="center"/>
          </w:tcPr>
          <w:p>
            <w:pPr>
              <w:spacing w:line="360" w:lineRule="auto"/>
              <w:jc w:val="center"/>
              <w:rPr>
                <w:sz w:val="24"/>
              </w:rPr>
            </w:pPr>
          </w:p>
        </w:tc>
        <w:tc>
          <w:tcPr>
            <w:tcW w:w="1620" w:type="dxa"/>
            <w:noWrap w:val="0"/>
            <w:vAlign w:val="center"/>
          </w:tcPr>
          <w:p>
            <w:pPr>
              <w:spacing w:line="360" w:lineRule="auto"/>
              <w:jc w:val="center"/>
              <w:rPr>
                <w:sz w:val="24"/>
              </w:rPr>
            </w:pPr>
          </w:p>
        </w:tc>
        <w:tc>
          <w:tcPr>
            <w:tcW w:w="1935" w:type="dxa"/>
            <w:noWrap w:val="0"/>
            <w:vAlign w:val="center"/>
          </w:tcPr>
          <w:p>
            <w:pPr>
              <w:spacing w:line="360" w:lineRule="auto"/>
              <w:jc w:val="center"/>
              <w:rPr>
                <w:sz w:val="24"/>
              </w:rPr>
            </w:pPr>
          </w:p>
        </w:tc>
        <w:tc>
          <w:tcPr>
            <w:tcW w:w="1620" w:type="dxa"/>
            <w:noWrap w:val="0"/>
            <w:vAlign w:val="center"/>
          </w:tcPr>
          <w:p>
            <w:pPr>
              <w:spacing w:line="360" w:lineRule="auto"/>
              <w:jc w:val="center"/>
              <w:rPr>
                <w:sz w:val="24"/>
              </w:rPr>
            </w:pPr>
          </w:p>
        </w:tc>
        <w:tc>
          <w:tcPr>
            <w:tcW w:w="900" w:type="dxa"/>
            <w:noWrap w:val="0"/>
            <w:vAlign w:val="center"/>
          </w:tcPr>
          <w:p>
            <w:pPr>
              <w:spacing w:line="360" w:lineRule="auto"/>
              <w:jc w:val="center"/>
              <w:rPr>
                <w:sz w:val="24"/>
              </w:rPr>
            </w:pPr>
          </w:p>
        </w:tc>
        <w:tc>
          <w:tcPr>
            <w:tcW w:w="1487" w:type="dxa"/>
            <w:noWrap w:val="0"/>
            <w:vAlign w:val="center"/>
          </w:tcPr>
          <w:p>
            <w:pPr>
              <w:spacing w:line="360" w:lineRule="auto"/>
              <w:jc w:val="center"/>
              <w:rPr>
                <w:sz w:val="24"/>
              </w:rPr>
            </w:pPr>
          </w:p>
        </w:tc>
        <w:tc>
          <w:tcPr>
            <w:tcW w:w="1080" w:type="dxa"/>
            <w:noWrap w:val="0"/>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0" w:hRule="atLeast"/>
        </w:trPr>
        <w:tc>
          <w:tcPr>
            <w:tcW w:w="825" w:type="dxa"/>
            <w:noWrap w:val="0"/>
            <w:vAlign w:val="center"/>
          </w:tcPr>
          <w:p>
            <w:pPr>
              <w:spacing w:line="360" w:lineRule="auto"/>
              <w:jc w:val="center"/>
              <w:rPr>
                <w:sz w:val="24"/>
              </w:rPr>
            </w:pPr>
          </w:p>
        </w:tc>
        <w:tc>
          <w:tcPr>
            <w:tcW w:w="1620" w:type="dxa"/>
            <w:noWrap w:val="0"/>
            <w:vAlign w:val="center"/>
          </w:tcPr>
          <w:p>
            <w:pPr>
              <w:spacing w:line="360" w:lineRule="auto"/>
              <w:jc w:val="center"/>
              <w:rPr>
                <w:sz w:val="24"/>
              </w:rPr>
            </w:pPr>
          </w:p>
        </w:tc>
        <w:tc>
          <w:tcPr>
            <w:tcW w:w="1935" w:type="dxa"/>
            <w:noWrap w:val="0"/>
            <w:vAlign w:val="center"/>
          </w:tcPr>
          <w:p>
            <w:pPr>
              <w:spacing w:line="360" w:lineRule="auto"/>
              <w:jc w:val="center"/>
              <w:rPr>
                <w:sz w:val="24"/>
              </w:rPr>
            </w:pPr>
          </w:p>
        </w:tc>
        <w:tc>
          <w:tcPr>
            <w:tcW w:w="1620" w:type="dxa"/>
            <w:noWrap w:val="0"/>
            <w:vAlign w:val="center"/>
          </w:tcPr>
          <w:p>
            <w:pPr>
              <w:spacing w:line="360" w:lineRule="auto"/>
              <w:jc w:val="center"/>
              <w:rPr>
                <w:sz w:val="24"/>
              </w:rPr>
            </w:pPr>
          </w:p>
        </w:tc>
        <w:tc>
          <w:tcPr>
            <w:tcW w:w="900" w:type="dxa"/>
            <w:noWrap w:val="0"/>
            <w:vAlign w:val="center"/>
          </w:tcPr>
          <w:p>
            <w:pPr>
              <w:spacing w:line="360" w:lineRule="auto"/>
              <w:jc w:val="center"/>
              <w:rPr>
                <w:sz w:val="24"/>
              </w:rPr>
            </w:pPr>
          </w:p>
        </w:tc>
        <w:tc>
          <w:tcPr>
            <w:tcW w:w="1487" w:type="dxa"/>
            <w:noWrap w:val="0"/>
            <w:vAlign w:val="center"/>
          </w:tcPr>
          <w:p>
            <w:pPr>
              <w:spacing w:line="360" w:lineRule="auto"/>
              <w:jc w:val="center"/>
              <w:rPr>
                <w:sz w:val="24"/>
              </w:rPr>
            </w:pPr>
          </w:p>
        </w:tc>
        <w:tc>
          <w:tcPr>
            <w:tcW w:w="1080" w:type="dxa"/>
            <w:noWrap w:val="0"/>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0" w:hRule="atLeast"/>
        </w:trPr>
        <w:tc>
          <w:tcPr>
            <w:tcW w:w="825" w:type="dxa"/>
            <w:noWrap w:val="0"/>
            <w:vAlign w:val="center"/>
          </w:tcPr>
          <w:p>
            <w:pPr>
              <w:spacing w:line="360" w:lineRule="auto"/>
              <w:jc w:val="center"/>
              <w:rPr>
                <w:sz w:val="24"/>
              </w:rPr>
            </w:pPr>
          </w:p>
        </w:tc>
        <w:tc>
          <w:tcPr>
            <w:tcW w:w="1620" w:type="dxa"/>
            <w:noWrap w:val="0"/>
            <w:vAlign w:val="center"/>
          </w:tcPr>
          <w:p>
            <w:pPr>
              <w:spacing w:line="360" w:lineRule="auto"/>
              <w:jc w:val="center"/>
              <w:rPr>
                <w:sz w:val="24"/>
              </w:rPr>
            </w:pPr>
          </w:p>
        </w:tc>
        <w:tc>
          <w:tcPr>
            <w:tcW w:w="1935" w:type="dxa"/>
            <w:noWrap w:val="0"/>
            <w:vAlign w:val="center"/>
          </w:tcPr>
          <w:p>
            <w:pPr>
              <w:spacing w:line="360" w:lineRule="auto"/>
              <w:jc w:val="center"/>
              <w:rPr>
                <w:sz w:val="24"/>
              </w:rPr>
            </w:pPr>
          </w:p>
        </w:tc>
        <w:tc>
          <w:tcPr>
            <w:tcW w:w="1620" w:type="dxa"/>
            <w:noWrap w:val="0"/>
            <w:vAlign w:val="center"/>
          </w:tcPr>
          <w:p>
            <w:pPr>
              <w:spacing w:line="360" w:lineRule="auto"/>
              <w:jc w:val="center"/>
              <w:rPr>
                <w:sz w:val="24"/>
              </w:rPr>
            </w:pPr>
          </w:p>
        </w:tc>
        <w:tc>
          <w:tcPr>
            <w:tcW w:w="900" w:type="dxa"/>
            <w:noWrap w:val="0"/>
            <w:vAlign w:val="center"/>
          </w:tcPr>
          <w:p>
            <w:pPr>
              <w:spacing w:line="360" w:lineRule="auto"/>
              <w:jc w:val="center"/>
              <w:rPr>
                <w:sz w:val="24"/>
              </w:rPr>
            </w:pPr>
          </w:p>
        </w:tc>
        <w:tc>
          <w:tcPr>
            <w:tcW w:w="1487" w:type="dxa"/>
            <w:noWrap w:val="0"/>
            <w:vAlign w:val="center"/>
          </w:tcPr>
          <w:p>
            <w:pPr>
              <w:spacing w:line="360" w:lineRule="auto"/>
              <w:jc w:val="center"/>
              <w:rPr>
                <w:sz w:val="24"/>
              </w:rPr>
            </w:pPr>
          </w:p>
        </w:tc>
        <w:tc>
          <w:tcPr>
            <w:tcW w:w="1080" w:type="dxa"/>
            <w:noWrap w:val="0"/>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0" w:hRule="atLeast"/>
        </w:trPr>
        <w:tc>
          <w:tcPr>
            <w:tcW w:w="825" w:type="dxa"/>
            <w:noWrap w:val="0"/>
            <w:vAlign w:val="center"/>
          </w:tcPr>
          <w:p>
            <w:pPr>
              <w:spacing w:line="360" w:lineRule="auto"/>
              <w:jc w:val="center"/>
              <w:rPr>
                <w:sz w:val="24"/>
              </w:rPr>
            </w:pPr>
          </w:p>
        </w:tc>
        <w:tc>
          <w:tcPr>
            <w:tcW w:w="1620" w:type="dxa"/>
            <w:noWrap w:val="0"/>
            <w:vAlign w:val="center"/>
          </w:tcPr>
          <w:p>
            <w:pPr>
              <w:spacing w:line="360" w:lineRule="auto"/>
              <w:jc w:val="center"/>
              <w:rPr>
                <w:sz w:val="24"/>
              </w:rPr>
            </w:pPr>
          </w:p>
        </w:tc>
        <w:tc>
          <w:tcPr>
            <w:tcW w:w="1935" w:type="dxa"/>
            <w:noWrap w:val="0"/>
            <w:vAlign w:val="center"/>
          </w:tcPr>
          <w:p>
            <w:pPr>
              <w:spacing w:line="360" w:lineRule="auto"/>
              <w:jc w:val="center"/>
              <w:rPr>
                <w:sz w:val="24"/>
              </w:rPr>
            </w:pPr>
          </w:p>
        </w:tc>
        <w:tc>
          <w:tcPr>
            <w:tcW w:w="1620" w:type="dxa"/>
            <w:noWrap w:val="0"/>
            <w:vAlign w:val="center"/>
          </w:tcPr>
          <w:p>
            <w:pPr>
              <w:spacing w:line="360" w:lineRule="auto"/>
              <w:jc w:val="center"/>
              <w:rPr>
                <w:sz w:val="24"/>
              </w:rPr>
            </w:pPr>
          </w:p>
        </w:tc>
        <w:tc>
          <w:tcPr>
            <w:tcW w:w="900" w:type="dxa"/>
            <w:noWrap w:val="0"/>
            <w:vAlign w:val="center"/>
          </w:tcPr>
          <w:p>
            <w:pPr>
              <w:spacing w:line="360" w:lineRule="auto"/>
              <w:jc w:val="center"/>
              <w:rPr>
                <w:sz w:val="24"/>
              </w:rPr>
            </w:pPr>
          </w:p>
        </w:tc>
        <w:tc>
          <w:tcPr>
            <w:tcW w:w="1487" w:type="dxa"/>
            <w:noWrap w:val="0"/>
            <w:vAlign w:val="center"/>
          </w:tcPr>
          <w:p>
            <w:pPr>
              <w:spacing w:line="360" w:lineRule="auto"/>
              <w:jc w:val="center"/>
              <w:rPr>
                <w:sz w:val="24"/>
              </w:rPr>
            </w:pPr>
          </w:p>
        </w:tc>
        <w:tc>
          <w:tcPr>
            <w:tcW w:w="1080" w:type="dxa"/>
            <w:noWrap w:val="0"/>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0" w:hRule="atLeast"/>
        </w:trPr>
        <w:tc>
          <w:tcPr>
            <w:tcW w:w="825" w:type="dxa"/>
            <w:noWrap w:val="0"/>
            <w:vAlign w:val="center"/>
          </w:tcPr>
          <w:p>
            <w:pPr>
              <w:spacing w:line="360" w:lineRule="auto"/>
              <w:jc w:val="center"/>
              <w:rPr>
                <w:sz w:val="24"/>
              </w:rPr>
            </w:pPr>
          </w:p>
        </w:tc>
        <w:tc>
          <w:tcPr>
            <w:tcW w:w="1620" w:type="dxa"/>
            <w:noWrap w:val="0"/>
            <w:vAlign w:val="center"/>
          </w:tcPr>
          <w:p>
            <w:pPr>
              <w:spacing w:line="360" w:lineRule="auto"/>
              <w:jc w:val="center"/>
              <w:rPr>
                <w:sz w:val="24"/>
              </w:rPr>
            </w:pPr>
          </w:p>
        </w:tc>
        <w:tc>
          <w:tcPr>
            <w:tcW w:w="1935" w:type="dxa"/>
            <w:noWrap w:val="0"/>
            <w:vAlign w:val="center"/>
          </w:tcPr>
          <w:p>
            <w:pPr>
              <w:spacing w:line="360" w:lineRule="auto"/>
              <w:jc w:val="center"/>
              <w:rPr>
                <w:sz w:val="24"/>
              </w:rPr>
            </w:pPr>
          </w:p>
        </w:tc>
        <w:tc>
          <w:tcPr>
            <w:tcW w:w="1620" w:type="dxa"/>
            <w:noWrap w:val="0"/>
            <w:vAlign w:val="center"/>
          </w:tcPr>
          <w:p>
            <w:pPr>
              <w:spacing w:line="360" w:lineRule="auto"/>
              <w:jc w:val="center"/>
              <w:rPr>
                <w:sz w:val="24"/>
              </w:rPr>
            </w:pPr>
          </w:p>
        </w:tc>
        <w:tc>
          <w:tcPr>
            <w:tcW w:w="900" w:type="dxa"/>
            <w:noWrap w:val="0"/>
            <w:vAlign w:val="center"/>
          </w:tcPr>
          <w:p>
            <w:pPr>
              <w:spacing w:line="360" w:lineRule="auto"/>
              <w:jc w:val="center"/>
              <w:rPr>
                <w:sz w:val="24"/>
              </w:rPr>
            </w:pPr>
          </w:p>
        </w:tc>
        <w:tc>
          <w:tcPr>
            <w:tcW w:w="1487" w:type="dxa"/>
            <w:noWrap w:val="0"/>
            <w:vAlign w:val="center"/>
          </w:tcPr>
          <w:p>
            <w:pPr>
              <w:spacing w:line="360" w:lineRule="auto"/>
              <w:jc w:val="center"/>
              <w:rPr>
                <w:sz w:val="24"/>
              </w:rPr>
            </w:pPr>
          </w:p>
        </w:tc>
        <w:tc>
          <w:tcPr>
            <w:tcW w:w="1080" w:type="dxa"/>
            <w:noWrap w:val="0"/>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0" w:hRule="atLeast"/>
        </w:trPr>
        <w:tc>
          <w:tcPr>
            <w:tcW w:w="825" w:type="dxa"/>
            <w:noWrap w:val="0"/>
            <w:vAlign w:val="center"/>
          </w:tcPr>
          <w:p>
            <w:pPr>
              <w:spacing w:line="360" w:lineRule="auto"/>
              <w:jc w:val="center"/>
              <w:rPr>
                <w:sz w:val="24"/>
              </w:rPr>
            </w:pPr>
          </w:p>
        </w:tc>
        <w:tc>
          <w:tcPr>
            <w:tcW w:w="1620" w:type="dxa"/>
            <w:noWrap w:val="0"/>
            <w:vAlign w:val="center"/>
          </w:tcPr>
          <w:p>
            <w:pPr>
              <w:spacing w:line="360" w:lineRule="auto"/>
              <w:jc w:val="center"/>
              <w:rPr>
                <w:sz w:val="24"/>
              </w:rPr>
            </w:pPr>
          </w:p>
        </w:tc>
        <w:tc>
          <w:tcPr>
            <w:tcW w:w="1935" w:type="dxa"/>
            <w:noWrap w:val="0"/>
            <w:vAlign w:val="center"/>
          </w:tcPr>
          <w:p>
            <w:pPr>
              <w:spacing w:line="360" w:lineRule="auto"/>
              <w:jc w:val="center"/>
              <w:rPr>
                <w:sz w:val="24"/>
              </w:rPr>
            </w:pPr>
          </w:p>
        </w:tc>
        <w:tc>
          <w:tcPr>
            <w:tcW w:w="1620" w:type="dxa"/>
            <w:noWrap w:val="0"/>
            <w:vAlign w:val="center"/>
          </w:tcPr>
          <w:p>
            <w:pPr>
              <w:spacing w:line="360" w:lineRule="auto"/>
              <w:jc w:val="center"/>
              <w:rPr>
                <w:sz w:val="24"/>
              </w:rPr>
            </w:pPr>
          </w:p>
        </w:tc>
        <w:tc>
          <w:tcPr>
            <w:tcW w:w="900" w:type="dxa"/>
            <w:noWrap w:val="0"/>
            <w:vAlign w:val="center"/>
          </w:tcPr>
          <w:p>
            <w:pPr>
              <w:spacing w:line="360" w:lineRule="auto"/>
              <w:jc w:val="center"/>
              <w:rPr>
                <w:sz w:val="24"/>
              </w:rPr>
            </w:pPr>
          </w:p>
        </w:tc>
        <w:tc>
          <w:tcPr>
            <w:tcW w:w="1487" w:type="dxa"/>
            <w:noWrap w:val="0"/>
            <w:vAlign w:val="center"/>
          </w:tcPr>
          <w:p>
            <w:pPr>
              <w:spacing w:line="360" w:lineRule="auto"/>
              <w:jc w:val="center"/>
              <w:rPr>
                <w:sz w:val="24"/>
              </w:rPr>
            </w:pPr>
          </w:p>
        </w:tc>
        <w:tc>
          <w:tcPr>
            <w:tcW w:w="1080" w:type="dxa"/>
            <w:noWrap w:val="0"/>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0" w:hRule="atLeast"/>
        </w:trPr>
        <w:tc>
          <w:tcPr>
            <w:tcW w:w="825" w:type="dxa"/>
            <w:noWrap w:val="0"/>
            <w:vAlign w:val="center"/>
          </w:tcPr>
          <w:p>
            <w:pPr>
              <w:spacing w:line="360" w:lineRule="auto"/>
              <w:jc w:val="center"/>
              <w:rPr>
                <w:sz w:val="24"/>
              </w:rPr>
            </w:pPr>
          </w:p>
        </w:tc>
        <w:tc>
          <w:tcPr>
            <w:tcW w:w="1620" w:type="dxa"/>
            <w:noWrap w:val="0"/>
            <w:vAlign w:val="center"/>
          </w:tcPr>
          <w:p>
            <w:pPr>
              <w:spacing w:line="360" w:lineRule="auto"/>
              <w:jc w:val="center"/>
              <w:rPr>
                <w:sz w:val="24"/>
              </w:rPr>
            </w:pPr>
          </w:p>
        </w:tc>
        <w:tc>
          <w:tcPr>
            <w:tcW w:w="1935" w:type="dxa"/>
            <w:noWrap w:val="0"/>
            <w:vAlign w:val="center"/>
          </w:tcPr>
          <w:p>
            <w:pPr>
              <w:spacing w:line="360" w:lineRule="auto"/>
              <w:jc w:val="center"/>
              <w:rPr>
                <w:sz w:val="24"/>
              </w:rPr>
            </w:pPr>
          </w:p>
        </w:tc>
        <w:tc>
          <w:tcPr>
            <w:tcW w:w="1620" w:type="dxa"/>
            <w:noWrap w:val="0"/>
            <w:vAlign w:val="center"/>
          </w:tcPr>
          <w:p>
            <w:pPr>
              <w:spacing w:line="360" w:lineRule="auto"/>
              <w:jc w:val="center"/>
              <w:rPr>
                <w:sz w:val="24"/>
              </w:rPr>
            </w:pPr>
          </w:p>
        </w:tc>
        <w:tc>
          <w:tcPr>
            <w:tcW w:w="900" w:type="dxa"/>
            <w:noWrap w:val="0"/>
            <w:vAlign w:val="center"/>
          </w:tcPr>
          <w:p>
            <w:pPr>
              <w:spacing w:line="360" w:lineRule="auto"/>
              <w:jc w:val="center"/>
              <w:rPr>
                <w:sz w:val="24"/>
              </w:rPr>
            </w:pPr>
          </w:p>
        </w:tc>
        <w:tc>
          <w:tcPr>
            <w:tcW w:w="1487" w:type="dxa"/>
            <w:noWrap w:val="0"/>
            <w:vAlign w:val="center"/>
          </w:tcPr>
          <w:p>
            <w:pPr>
              <w:spacing w:line="360" w:lineRule="auto"/>
              <w:jc w:val="center"/>
              <w:rPr>
                <w:sz w:val="24"/>
              </w:rPr>
            </w:pPr>
          </w:p>
        </w:tc>
        <w:tc>
          <w:tcPr>
            <w:tcW w:w="1080" w:type="dxa"/>
            <w:noWrap w:val="0"/>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0" w:hRule="atLeast"/>
        </w:trPr>
        <w:tc>
          <w:tcPr>
            <w:tcW w:w="825" w:type="dxa"/>
            <w:noWrap w:val="0"/>
            <w:vAlign w:val="center"/>
          </w:tcPr>
          <w:p>
            <w:pPr>
              <w:spacing w:line="360" w:lineRule="auto"/>
              <w:jc w:val="center"/>
              <w:rPr>
                <w:sz w:val="24"/>
              </w:rPr>
            </w:pPr>
          </w:p>
        </w:tc>
        <w:tc>
          <w:tcPr>
            <w:tcW w:w="1620" w:type="dxa"/>
            <w:noWrap w:val="0"/>
            <w:vAlign w:val="center"/>
          </w:tcPr>
          <w:p>
            <w:pPr>
              <w:spacing w:line="360" w:lineRule="auto"/>
              <w:jc w:val="center"/>
              <w:rPr>
                <w:sz w:val="24"/>
              </w:rPr>
            </w:pPr>
          </w:p>
        </w:tc>
        <w:tc>
          <w:tcPr>
            <w:tcW w:w="1935" w:type="dxa"/>
            <w:noWrap w:val="0"/>
            <w:vAlign w:val="center"/>
          </w:tcPr>
          <w:p>
            <w:pPr>
              <w:spacing w:line="360" w:lineRule="auto"/>
              <w:jc w:val="center"/>
              <w:rPr>
                <w:sz w:val="24"/>
              </w:rPr>
            </w:pPr>
          </w:p>
        </w:tc>
        <w:tc>
          <w:tcPr>
            <w:tcW w:w="1620" w:type="dxa"/>
            <w:noWrap w:val="0"/>
            <w:vAlign w:val="center"/>
          </w:tcPr>
          <w:p>
            <w:pPr>
              <w:spacing w:line="360" w:lineRule="auto"/>
              <w:jc w:val="center"/>
              <w:rPr>
                <w:sz w:val="24"/>
              </w:rPr>
            </w:pPr>
          </w:p>
        </w:tc>
        <w:tc>
          <w:tcPr>
            <w:tcW w:w="900" w:type="dxa"/>
            <w:noWrap w:val="0"/>
            <w:vAlign w:val="center"/>
          </w:tcPr>
          <w:p>
            <w:pPr>
              <w:spacing w:line="360" w:lineRule="auto"/>
              <w:jc w:val="center"/>
              <w:rPr>
                <w:sz w:val="24"/>
              </w:rPr>
            </w:pPr>
          </w:p>
        </w:tc>
        <w:tc>
          <w:tcPr>
            <w:tcW w:w="1487" w:type="dxa"/>
            <w:noWrap w:val="0"/>
            <w:vAlign w:val="center"/>
          </w:tcPr>
          <w:p>
            <w:pPr>
              <w:spacing w:line="360" w:lineRule="auto"/>
              <w:jc w:val="center"/>
              <w:rPr>
                <w:sz w:val="24"/>
              </w:rPr>
            </w:pPr>
          </w:p>
        </w:tc>
        <w:tc>
          <w:tcPr>
            <w:tcW w:w="1080" w:type="dxa"/>
            <w:noWrap w:val="0"/>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0" w:hRule="atLeast"/>
        </w:trPr>
        <w:tc>
          <w:tcPr>
            <w:tcW w:w="825" w:type="dxa"/>
            <w:noWrap w:val="0"/>
            <w:vAlign w:val="center"/>
          </w:tcPr>
          <w:p>
            <w:pPr>
              <w:spacing w:line="360" w:lineRule="auto"/>
              <w:jc w:val="center"/>
              <w:rPr>
                <w:sz w:val="24"/>
              </w:rPr>
            </w:pPr>
          </w:p>
        </w:tc>
        <w:tc>
          <w:tcPr>
            <w:tcW w:w="1620" w:type="dxa"/>
            <w:noWrap w:val="0"/>
            <w:vAlign w:val="center"/>
          </w:tcPr>
          <w:p>
            <w:pPr>
              <w:spacing w:line="360" w:lineRule="auto"/>
              <w:jc w:val="center"/>
              <w:rPr>
                <w:sz w:val="24"/>
              </w:rPr>
            </w:pPr>
          </w:p>
        </w:tc>
        <w:tc>
          <w:tcPr>
            <w:tcW w:w="1935" w:type="dxa"/>
            <w:noWrap w:val="0"/>
            <w:vAlign w:val="center"/>
          </w:tcPr>
          <w:p>
            <w:pPr>
              <w:spacing w:line="360" w:lineRule="auto"/>
              <w:jc w:val="center"/>
              <w:rPr>
                <w:sz w:val="24"/>
              </w:rPr>
            </w:pPr>
          </w:p>
        </w:tc>
        <w:tc>
          <w:tcPr>
            <w:tcW w:w="1620" w:type="dxa"/>
            <w:noWrap w:val="0"/>
            <w:vAlign w:val="center"/>
          </w:tcPr>
          <w:p>
            <w:pPr>
              <w:spacing w:line="360" w:lineRule="auto"/>
              <w:jc w:val="center"/>
              <w:rPr>
                <w:sz w:val="24"/>
              </w:rPr>
            </w:pPr>
          </w:p>
        </w:tc>
        <w:tc>
          <w:tcPr>
            <w:tcW w:w="900" w:type="dxa"/>
            <w:noWrap w:val="0"/>
            <w:vAlign w:val="center"/>
          </w:tcPr>
          <w:p>
            <w:pPr>
              <w:spacing w:line="360" w:lineRule="auto"/>
              <w:jc w:val="center"/>
              <w:rPr>
                <w:sz w:val="24"/>
              </w:rPr>
            </w:pPr>
          </w:p>
        </w:tc>
        <w:tc>
          <w:tcPr>
            <w:tcW w:w="1487" w:type="dxa"/>
            <w:noWrap w:val="0"/>
            <w:vAlign w:val="center"/>
          </w:tcPr>
          <w:p>
            <w:pPr>
              <w:spacing w:line="360" w:lineRule="auto"/>
              <w:jc w:val="center"/>
              <w:rPr>
                <w:sz w:val="24"/>
              </w:rPr>
            </w:pPr>
          </w:p>
        </w:tc>
        <w:tc>
          <w:tcPr>
            <w:tcW w:w="1080" w:type="dxa"/>
            <w:noWrap w:val="0"/>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0" w:hRule="atLeast"/>
        </w:trPr>
        <w:tc>
          <w:tcPr>
            <w:tcW w:w="825" w:type="dxa"/>
            <w:noWrap w:val="0"/>
            <w:vAlign w:val="center"/>
          </w:tcPr>
          <w:p>
            <w:pPr>
              <w:spacing w:line="360" w:lineRule="auto"/>
              <w:jc w:val="center"/>
              <w:rPr>
                <w:sz w:val="24"/>
              </w:rPr>
            </w:pPr>
          </w:p>
        </w:tc>
        <w:tc>
          <w:tcPr>
            <w:tcW w:w="1620" w:type="dxa"/>
            <w:noWrap w:val="0"/>
            <w:vAlign w:val="center"/>
          </w:tcPr>
          <w:p>
            <w:pPr>
              <w:spacing w:line="360" w:lineRule="auto"/>
              <w:jc w:val="center"/>
              <w:rPr>
                <w:sz w:val="24"/>
              </w:rPr>
            </w:pPr>
          </w:p>
        </w:tc>
        <w:tc>
          <w:tcPr>
            <w:tcW w:w="1935" w:type="dxa"/>
            <w:noWrap w:val="0"/>
            <w:vAlign w:val="center"/>
          </w:tcPr>
          <w:p>
            <w:pPr>
              <w:spacing w:line="360" w:lineRule="auto"/>
              <w:jc w:val="center"/>
              <w:rPr>
                <w:sz w:val="24"/>
              </w:rPr>
            </w:pPr>
          </w:p>
        </w:tc>
        <w:tc>
          <w:tcPr>
            <w:tcW w:w="1620" w:type="dxa"/>
            <w:noWrap w:val="0"/>
            <w:vAlign w:val="center"/>
          </w:tcPr>
          <w:p>
            <w:pPr>
              <w:spacing w:line="360" w:lineRule="auto"/>
              <w:jc w:val="center"/>
              <w:rPr>
                <w:sz w:val="24"/>
              </w:rPr>
            </w:pPr>
          </w:p>
        </w:tc>
        <w:tc>
          <w:tcPr>
            <w:tcW w:w="900" w:type="dxa"/>
            <w:noWrap w:val="0"/>
            <w:vAlign w:val="center"/>
          </w:tcPr>
          <w:p>
            <w:pPr>
              <w:spacing w:line="360" w:lineRule="auto"/>
              <w:jc w:val="center"/>
              <w:rPr>
                <w:sz w:val="24"/>
              </w:rPr>
            </w:pPr>
          </w:p>
        </w:tc>
        <w:tc>
          <w:tcPr>
            <w:tcW w:w="1487" w:type="dxa"/>
            <w:noWrap w:val="0"/>
            <w:vAlign w:val="center"/>
          </w:tcPr>
          <w:p>
            <w:pPr>
              <w:spacing w:line="360" w:lineRule="auto"/>
              <w:jc w:val="center"/>
              <w:rPr>
                <w:sz w:val="24"/>
              </w:rPr>
            </w:pPr>
          </w:p>
        </w:tc>
        <w:tc>
          <w:tcPr>
            <w:tcW w:w="1080" w:type="dxa"/>
            <w:noWrap w:val="0"/>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0" w:hRule="atLeast"/>
        </w:trPr>
        <w:tc>
          <w:tcPr>
            <w:tcW w:w="825" w:type="dxa"/>
            <w:noWrap w:val="0"/>
            <w:vAlign w:val="center"/>
          </w:tcPr>
          <w:p>
            <w:pPr>
              <w:spacing w:line="360" w:lineRule="auto"/>
              <w:jc w:val="center"/>
              <w:rPr>
                <w:sz w:val="24"/>
              </w:rPr>
            </w:pPr>
          </w:p>
        </w:tc>
        <w:tc>
          <w:tcPr>
            <w:tcW w:w="1620" w:type="dxa"/>
            <w:noWrap w:val="0"/>
            <w:vAlign w:val="center"/>
          </w:tcPr>
          <w:p>
            <w:pPr>
              <w:spacing w:line="360" w:lineRule="auto"/>
              <w:jc w:val="center"/>
              <w:rPr>
                <w:sz w:val="24"/>
              </w:rPr>
            </w:pPr>
          </w:p>
        </w:tc>
        <w:tc>
          <w:tcPr>
            <w:tcW w:w="1935" w:type="dxa"/>
            <w:noWrap w:val="0"/>
            <w:vAlign w:val="center"/>
          </w:tcPr>
          <w:p>
            <w:pPr>
              <w:spacing w:line="360" w:lineRule="auto"/>
              <w:jc w:val="center"/>
              <w:rPr>
                <w:sz w:val="24"/>
              </w:rPr>
            </w:pPr>
          </w:p>
        </w:tc>
        <w:tc>
          <w:tcPr>
            <w:tcW w:w="1620" w:type="dxa"/>
            <w:noWrap w:val="0"/>
            <w:vAlign w:val="center"/>
          </w:tcPr>
          <w:p>
            <w:pPr>
              <w:spacing w:line="360" w:lineRule="auto"/>
              <w:jc w:val="center"/>
              <w:rPr>
                <w:sz w:val="24"/>
              </w:rPr>
            </w:pPr>
          </w:p>
        </w:tc>
        <w:tc>
          <w:tcPr>
            <w:tcW w:w="900" w:type="dxa"/>
            <w:noWrap w:val="0"/>
            <w:vAlign w:val="center"/>
          </w:tcPr>
          <w:p>
            <w:pPr>
              <w:spacing w:line="360" w:lineRule="auto"/>
              <w:jc w:val="center"/>
              <w:rPr>
                <w:sz w:val="24"/>
              </w:rPr>
            </w:pPr>
          </w:p>
        </w:tc>
        <w:tc>
          <w:tcPr>
            <w:tcW w:w="1487" w:type="dxa"/>
            <w:noWrap w:val="0"/>
            <w:vAlign w:val="center"/>
          </w:tcPr>
          <w:p>
            <w:pPr>
              <w:spacing w:line="360" w:lineRule="auto"/>
              <w:jc w:val="center"/>
              <w:rPr>
                <w:sz w:val="24"/>
              </w:rPr>
            </w:pPr>
          </w:p>
        </w:tc>
        <w:tc>
          <w:tcPr>
            <w:tcW w:w="1080" w:type="dxa"/>
            <w:noWrap w:val="0"/>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0" w:hRule="atLeast"/>
        </w:trPr>
        <w:tc>
          <w:tcPr>
            <w:tcW w:w="825" w:type="dxa"/>
            <w:noWrap w:val="0"/>
            <w:vAlign w:val="center"/>
          </w:tcPr>
          <w:p>
            <w:pPr>
              <w:spacing w:line="360" w:lineRule="auto"/>
              <w:jc w:val="center"/>
              <w:rPr>
                <w:sz w:val="24"/>
              </w:rPr>
            </w:pPr>
          </w:p>
        </w:tc>
        <w:tc>
          <w:tcPr>
            <w:tcW w:w="1620" w:type="dxa"/>
            <w:noWrap w:val="0"/>
            <w:vAlign w:val="center"/>
          </w:tcPr>
          <w:p>
            <w:pPr>
              <w:spacing w:line="360" w:lineRule="auto"/>
              <w:jc w:val="center"/>
              <w:rPr>
                <w:sz w:val="24"/>
              </w:rPr>
            </w:pPr>
          </w:p>
        </w:tc>
        <w:tc>
          <w:tcPr>
            <w:tcW w:w="1935" w:type="dxa"/>
            <w:noWrap w:val="0"/>
            <w:vAlign w:val="center"/>
          </w:tcPr>
          <w:p>
            <w:pPr>
              <w:spacing w:line="360" w:lineRule="auto"/>
              <w:jc w:val="center"/>
              <w:rPr>
                <w:sz w:val="24"/>
              </w:rPr>
            </w:pPr>
          </w:p>
        </w:tc>
        <w:tc>
          <w:tcPr>
            <w:tcW w:w="1620" w:type="dxa"/>
            <w:noWrap w:val="0"/>
            <w:vAlign w:val="center"/>
          </w:tcPr>
          <w:p>
            <w:pPr>
              <w:spacing w:line="360" w:lineRule="auto"/>
              <w:jc w:val="center"/>
              <w:rPr>
                <w:sz w:val="24"/>
              </w:rPr>
            </w:pPr>
          </w:p>
        </w:tc>
        <w:tc>
          <w:tcPr>
            <w:tcW w:w="900" w:type="dxa"/>
            <w:noWrap w:val="0"/>
            <w:vAlign w:val="center"/>
          </w:tcPr>
          <w:p>
            <w:pPr>
              <w:spacing w:line="360" w:lineRule="auto"/>
              <w:jc w:val="center"/>
              <w:rPr>
                <w:sz w:val="24"/>
              </w:rPr>
            </w:pPr>
          </w:p>
        </w:tc>
        <w:tc>
          <w:tcPr>
            <w:tcW w:w="1487" w:type="dxa"/>
            <w:noWrap w:val="0"/>
            <w:vAlign w:val="center"/>
          </w:tcPr>
          <w:p>
            <w:pPr>
              <w:spacing w:line="360" w:lineRule="auto"/>
              <w:jc w:val="center"/>
              <w:rPr>
                <w:sz w:val="24"/>
              </w:rPr>
            </w:pPr>
          </w:p>
        </w:tc>
        <w:tc>
          <w:tcPr>
            <w:tcW w:w="1080" w:type="dxa"/>
            <w:noWrap w:val="0"/>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0" w:hRule="atLeast"/>
        </w:trPr>
        <w:tc>
          <w:tcPr>
            <w:tcW w:w="825" w:type="dxa"/>
            <w:noWrap w:val="0"/>
            <w:vAlign w:val="center"/>
          </w:tcPr>
          <w:p>
            <w:pPr>
              <w:spacing w:line="360" w:lineRule="auto"/>
              <w:jc w:val="center"/>
              <w:rPr>
                <w:sz w:val="24"/>
              </w:rPr>
            </w:pPr>
          </w:p>
        </w:tc>
        <w:tc>
          <w:tcPr>
            <w:tcW w:w="1620" w:type="dxa"/>
            <w:noWrap w:val="0"/>
            <w:vAlign w:val="center"/>
          </w:tcPr>
          <w:p>
            <w:pPr>
              <w:spacing w:line="360" w:lineRule="auto"/>
              <w:jc w:val="center"/>
              <w:rPr>
                <w:sz w:val="24"/>
              </w:rPr>
            </w:pPr>
          </w:p>
        </w:tc>
        <w:tc>
          <w:tcPr>
            <w:tcW w:w="1935" w:type="dxa"/>
            <w:noWrap w:val="0"/>
            <w:vAlign w:val="center"/>
          </w:tcPr>
          <w:p>
            <w:pPr>
              <w:spacing w:line="360" w:lineRule="auto"/>
              <w:jc w:val="center"/>
              <w:rPr>
                <w:sz w:val="24"/>
              </w:rPr>
            </w:pPr>
          </w:p>
        </w:tc>
        <w:tc>
          <w:tcPr>
            <w:tcW w:w="1620" w:type="dxa"/>
            <w:noWrap w:val="0"/>
            <w:vAlign w:val="center"/>
          </w:tcPr>
          <w:p>
            <w:pPr>
              <w:spacing w:line="360" w:lineRule="auto"/>
              <w:jc w:val="center"/>
              <w:rPr>
                <w:sz w:val="24"/>
              </w:rPr>
            </w:pPr>
          </w:p>
        </w:tc>
        <w:tc>
          <w:tcPr>
            <w:tcW w:w="900" w:type="dxa"/>
            <w:noWrap w:val="0"/>
            <w:vAlign w:val="center"/>
          </w:tcPr>
          <w:p>
            <w:pPr>
              <w:spacing w:line="360" w:lineRule="auto"/>
              <w:jc w:val="center"/>
              <w:rPr>
                <w:sz w:val="24"/>
              </w:rPr>
            </w:pPr>
          </w:p>
        </w:tc>
        <w:tc>
          <w:tcPr>
            <w:tcW w:w="1487" w:type="dxa"/>
            <w:noWrap w:val="0"/>
            <w:vAlign w:val="center"/>
          </w:tcPr>
          <w:p>
            <w:pPr>
              <w:spacing w:line="360" w:lineRule="auto"/>
              <w:jc w:val="center"/>
              <w:rPr>
                <w:sz w:val="24"/>
              </w:rPr>
            </w:pPr>
          </w:p>
        </w:tc>
        <w:tc>
          <w:tcPr>
            <w:tcW w:w="1080" w:type="dxa"/>
            <w:noWrap w:val="0"/>
            <w:vAlign w:val="center"/>
          </w:tcPr>
          <w:p>
            <w:pPr>
              <w:spacing w:line="360" w:lineRule="auto"/>
              <w:jc w:val="center"/>
              <w:rPr>
                <w:sz w:val="24"/>
              </w:rPr>
            </w:pPr>
          </w:p>
        </w:tc>
      </w:tr>
    </w:tbl>
    <w:p>
      <w:pPr>
        <w:adjustRightInd w:val="0"/>
        <w:snapToGrid w:val="0"/>
        <w:spacing w:line="360" w:lineRule="auto"/>
        <w:rPr>
          <w:sz w:val="24"/>
        </w:rPr>
      </w:pPr>
      <w:r>
        <w:rPr>
          <w:sz w:val="24"/>
        </w:rPr>
        <w:t>备注：本表可扩展使用。</w:t>
      </w:r>
    </w:p>
    <w:p>
      <w:pPr>
        <w:adjustRightInd w:val="0"/>
        <w:snapToGrid w:val="0"/>
        <w:spacing w:line="360" w:lineRule="auto"/>
        <w:rPr>
          <w:sz w:val="24"/>
        </w:rPr>
      </w:pPr>
    </w:p>
    <w:p>
      <w:pPr>
        <w:adjustRightInd w:val="0"/>
        <w:snapToGrid w:val="0"/>
        <w:spacing w:line="360" w:lineRule="auto"/>
        <w:rPr>
          <w:sz w:val="24"/>
        </w:rPr>
      </w:pPr>
      <w:r>
        <w:rPr>
          <w:sz w:val="24"/>
        </w:rPr>
        <w:t xml:space="preserve">供应商：（盖章）       </w:t>
      </w:r>
    </w:p>
    <w:p>
      <w:pPr>
        <w:adjustRightInd w:val="0"/>
        <w:snapToGrid w:val="0"/>
        <w:spacing w:line="360" w:lineRule="auto"/>
        <w:rPr>
          <w:sz w:val="24"/>
        </w:rPr>
      </w:pPr>
    </w:p>
    <w:p>
      <w:pPr>
        <w:adjustRightInd w:val="0"/>
        <w:snapToGrid w:val="0"/>
        <w:spacing w:line="360" w:lineRule="auto"/>
        <w:rPr>
          <w:sz w:val="24"/>
        </w:rPr>
      </w:pPr>
      <w:r>
        <w:rPr>
          <w:sz w:val="24"/>
        </w:rPr>
        <w:t>法定代表人或授权代表人：（签字或盖章）</w:t>
      </w:r>
    </w:p>
    <w:p>
      <w:pPr>
        <w:adjustRightInd w:val="0"/>
        <w:snapToGrid w:val="0"/>
        <w:spacing w:line="360" w:lineRule="auto"/>
        <w:rPr>
          <w:sz w:val="24"/>
        </w:rPr>
      </w:pPr>
    </w:p>
    <w:p>
      <w:pPr>
        <w:adjustRightInd w:val="0"/>
        <w:snapToGrid w:val="0"/>
        <w:spacing w:line="360" w:lineRule="auto"/>
        <w:rPr>
          <w:sz w:val="24"/>
        </w:rPr>
      </w:pPr>
      <w:r>
        <w:rPr>
          <w:sz w:val="24"/>
        </w:rPr>
        <w:t>日期：</w:t>
      </w:r>
    </w:p>
    <w:p>
      <w:pPr>
        <w:pStyle w:val="37"/>
        <w:adjustRightInd w:val="0"/>
        <w:snapToGrid w:val="0"/>
        <w:spacing w:before="120" w:after="120" w:line="360" w:lineRule="auto"/>
        <w:outlineLvl w:val="1"/>
        <w:rPr>
          <w:rFonts w:ascii="Times New Roman" w:hAnsi="Times New Roman"/>
          <w:b/>
        </w:rPr>
      </w:pPr>
      <w:r>
        <w:rPr>
          <w:rFonts w:ascii="Times New Roman" w:hAnsi="Times New Roman"/>
          <w:b/>
        </w:rPr>
        <w:br w:type="page"/>
      </w:r>
      <w:bookmarkStart w:id="56" w:name="_Toc18854437"/>
      <w:r>
        <w:rPr>
          <w:rFonts w:ascii="Times New Roman" w:hAnsi="Times New Roman"/>
          <w:b/>
        </w:rPr>
        <w:t>13. 拟为本项目实施配备的主要设备、工器具表</w:t>
      </w:r>
      <w:bookmarkEnd w:id="56"/>
    </w:p>
    <w:p>
      <w:pPr>
        <w:spacing w:line="360" w:lineRule="auto"/>
        <w:jc w:val="center"/>
        <w:rPr>
          <w:b/>
          <w:sz w:val="28"/>
          <w:szCs w:val="28"/>
        </w:rPr>
      </w:pPr>
      <w:r>
        <w:rPr>
          <w:b/>
          <w:sz w:val="28"/>
          <w:szCs w:val="28"/>
        </w:rPr>
        <w:t>拟为本项目实施配备的主要设备、工器具表</w:t>
      </w:r>
    </w:p>
    <w:p>
      <w:pPr>
        <w:spacing w:line="360" w:lineRule="auto"/>
        <w:rPr>
          <w:sz w:val="24"/>
        </w:rPr>
      </w:pPr>
    </w:p>
    <w:p>
      <w:pPr>
        <w:spacing w:line="360" w:lineRule="auto"/>
        <w:rPr>
          <w:sz w:val="24"/>
          <w:lang w:val="zh-CN"/>
        </w:rPr>
      </w:pPr>
      <w:r>
        <w:rPr>
          <w:sz w:val="24"/>
        </w:rPr>
        <w:t>项目编号:</w:t>
      </w:r>
    </w:p>
    <w:p>
      <w:pPr>
        <w:spacing w:line="360" w:lineRule="auto"/>
        <w:rPr>
          <w:sz w:val="24"/>
        </w:rPr>
      </w:pPr>
      <w:r>
        <w:rPr>
          <w:sz w:val="24"/>
          <w:lang w:val="zh-CN"/>
        </w:rPr>
        <w:t>项目名称：</w:t>
      </w:r>
      <w:r>
        <w:rPr>
          <w:sz w:val="24"/>
        </w:rPr>
        <w:t xml:space="preserve"> </w:t>
      </w:r>
    </w:p>
    <w:tbl>
      <w:tblPr>
        <w:tblStyle w:val="70"/>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60"/>
        <w:gridCol w:w="900"/>
        <w:gridCol w:w="1100"/>
        <w:gridCol w:w="700"/>
        <w:gridCol w:w="720"/>
        <w:gridCol w:w="1800"/>
        <w:gridCol w:w="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15" w:hRule="atLeast"/>
        </w:trPr>
        <w:tc>
          <w:tcPr>
            <w:tcW w:w="900" w:type="dxa"/>
            <w:noWrap w:val="0"/>
            <w:vAlign w:val="center"/>
          </w:tcPr>
          <w:p>
            <w:pPr>
              <w:spacing w:line="360" w:lineRule="auto"/>
              <w:jc w:val="center"/>
              <w:rPr>
                <w:sz w:val="24"/>
              </w:rPr>
            </w:pPr>
            <w:r>
              <w:rPr>
                <w:sz w:val="24"/>
              </w:rPr>
              <w:t>序号</w:t>
            </w:r>
          </w:p>
        </w:tc>
        <w:tc>
          <w:tcPr>
            <w:tcW w:w="1260" w:type="dxa"/>
            <w:noWrap w:val="0"/>
            <w:vAlign w:val="center"/>
          </w:tcPr>
          <w:p>
            <w:pPr>
              <w:spacing w:line="360" w:lineRule="auto"/>
              <w:jc w:val="center"/>
              <w:rPr>
                <w:sz w:val="24"/>
              </w:rPr>
            </w:pPr>
            <w:r>
              <w:rPr>
                <w:sz w:val="24"/>
              </w:rPr>
              <w:t>设备、工器具名称</w:t>
            </w:r>
          </w:p>
        </w:tc>
        <w:tc>
          <w:tcPr>
            <w:tcW w:w="900" w:type="dxa"/>
            <w:noWrap w:val="0"/>
            <w:vAlign w:val="center"/>
          </w:tcPr>
          <w:p>
            <w:pPr>
              <w:spacing w:line="360" w:lineRule="auto"/>
              <w:jc w:val="center"/>
              <w:rPr>
                <w:sz w:val="24"/>
              </w:rPr>
            </w:pPr>
            <w:r>
              <w:rPr>
                <w:sz w:val="24"/>
              </w:rPr>
              <w:t>型号规格</w:t>
            </w:r>
          </w:p>
        </w:tc>
        <w:tc>
          <w:tcPr>
            <w:tcW w:w="1100" w:type="dxa"/>
            <w:noWrap w:val="0"/>
            <w:vAlign w:val="center"/>
          </w:tcPr>
          <w:p>
            <w:pPr>
              <w:spacing w:line="360" w:lineRule="auto"/>
              <w:jc w:val="center"/>
              <w:rPr>
                <w:sz w:val="24"/>
              </w:rPr>
            </w:pPr>
            <w:r>
              <w:rPr>
                <w:sz w:val="24"/>
              </w:rPr>
              <w:t>拟投入数来那个数量</w:t>
            </w:r>
          </w:p>
        </w:tc>
        <w:tc>
          <w:tcPr>
            <w:tcW w:w="700" w:type="dxa"/>
            <w:noWrap w:val="0"/>
            <w:vAlign w:val="center"/>
          </w:tcPr>
          <w:p>
            <w:pPr>
              <w:spacing w:line="360" w:lineRule="auto"/>
              <w:jc w:val="center"/>
              <w:rPr>
                <w:sz w:val="24"/>
              </w:rPr>
            </w:pPr>
            <w:r>
              <w:rPr>
                <w:sz w:val="24"/>
              </w:rPr>
              <w:t>国别产地</w:t>
            </w:r>
          </w:p>
        </w:tc>
        <w:tc>
          <w:tcPr>
            <w:tcW w:w="720" w:type="dxa"/>
            <w:noWrap w:val="0"/>
            <w:vAlign w:val="center"/>
          </w:tcPr>
          <w:p>
            <w:pPr>
              <w:spacing w:line="360" w:lineRule="auto"/>
              <w:jc w:val="center"/>
              <w:rPr>
                <w:sz w:val="24"/>
              </w:rPr>
            </w:pPr>
            <w:r>
              <w:rPr>
                <w:sz w:val="24"/>
              </w:rPr>
              <w:t>制造年份</w:t>
            </w:r>
          </w:p>
        </w:tc>
        <w:tc>
          <w:tcPr>
            <w:tcW w:w="1800" w:type="dxa"/>
            <w:noWrap w:val="0"/>
            <w:vAlign w:val="center"/>
          </w:tcPr>
          <w:p>
            <w:pPr>
              <w:spacing w:line="360" w:lineRule="auto"/>
              <w:jc w:val="center"/>
              <w:rPr>
                <w:sz w:val="24"/>
              </w:rPr>
            </w:pPr>
            <w:r>
              <w:rPr>
                <w:sz w:val="24"/>
              </w:rPr>
              <w:t>额定功率</w:t>
            </w:r>
          </w:p>
          <w:p>
            <w:pPr>
              <w:spacing w:line="360" w:lineRule="auto"/>
              <w:jc w:val="center"/>
              <w:rPr>
                <w:sz w:val="24"/>
              </w:rPr>
            </w:pPr>
            <w:r>
              <w:rPr>
                <w:sz w:val="24"/>
              </w:rPr>
              <w:t>（KW）或其他主要技术参数</w:t>
            </w:r>
          </w:p>
        </w:tc>
        <w:tc>
          <w:tcPr>
            <w:tcW w:w="720" w:type="dxa"/>
            <w:noWrap w:val="0"/>
            <w:vAlign w:val="center"/>
          </w:tcPr>
          <w:p>
            <w:pPr>
              <w:spacing w:line="360" w:lineRule="auto"/>
              <w:jc w:val="center"/>
              <w:rPr>
                <w:sz w:val="24"/>
              </w:rPr>
            </w:pPr>
            <w:r>
              <w:rPr>
                <w:sz w:val="24"/>
              </w:rPr>
              <w:t>生产能力</w:t>
            </w:r>
          </w:p>
        </w:tc>
        <w:tc>
          <w:tcPr>
            <w:tcW w:w="1260" w:type="dxa"/>
            <w:noWrap w:val="0"/>
            <w:vAlign w:val="center"/>
          </w:tcPr>
          <w:p>
            <w:pPr>
              <w:spacing w:line="360" w:lineRule="auto"/>
              <w:jc w:val="center"/>
              <w:rPr>
                <w:sz w:val="24"/>
              </w:rPr>
            </w:pPr>
            <w:r>
              <w:rPr>
                <w:sz w:val="24"/>
              </w:rPr>
              <w:t>备注</w:t>
            </w:r>
          </w:p>
          <w:p>
            <w:pPr>
              <w:spacing w:line="360" w:lineRule="auto"/>
              <w:jc w:val="center"/>
              <w:rPr>
                <w:sz w:val="24"/>
              </w:rPr>
            </w:pPr>
            <w:r>
              <w:rPr>
                <w:sz w:val="24"/>
              </w:rPr>
              <w:t>（写明自有或租赁或其他）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 w:hRule="atLeast"/>
        </w:trPr>
        <w:tc>
          <w:tcPr>
            <w:tcW w:w="900" w:type="dxa"/>
            <w:noWrap w:val="0"/>
            <w:vAlign w:val="top"/>
          </w:tcPr>
          <w:p>
            <w:pPr>
              <w:spacing w:line="360" w:lineRule="auto"/>
              <w:jc w:val="center"/>
              <w:rPr>
                <w:sz w:val="24"/>
              </w:rPr>
            </w:pPr>
          </w:p>
        </w:tc>
        <w:tc>
          <w:tcPr>
            <w:tcW w:w="1260" w:type="dxa"/>
            <w:noWrap w:val="0"/>
            <w:vAlign w:val="top"/>
          </w:tcPr>
          <w:p>
            <w:pPr>
              <w:spacing w:line="360" w:lineRule="auto"/>
              <w:jc w:val="center"/>
              <w:rPr>
                <w:sz w:val="24"/>
              </w:rPr>
            </w:pPr>
          </w:p>
        </w:tc>
        <w:tc>
          <w:tcPr>
            <w:tcW w:w="900" w:type="dxa"/>
            <w:noWrap w:val="0"/>
            <w:vAlign w:val="top"/>
          </w:tcPr>
          <w:p>
            <w:pPr>
              <w:spacing w:line="360" w:lineRule="auto"/>
              <w:jc w:val="center"/>
              <w:rPr>
                <w:sz w:val="24"/>
              </w:rPr>
            </w:pPr>
          </w:p>
        </w:tc>
        <w:tc>
          <w:tcPr>
            <w:tcW w:w="1100" w:type="dxa"/>
            <w:noWrap w:val="0"/>
            <w:vAlign w:val="top"/>
          </w:tcPr>
          <w:p>
            <w:pPr>
              <w:spacing w:line="360" w:lineRule="auto"/>
              <w:jc w:val="center"/>
              <w:rPr>
                <w:sz w:val="24"/>
              </w:rPr>
            </w:pPr>
          </w:p>
        </w:tc>
        <w:tc>
          <w:tcPr>
            <w:tcW w:w="700" w:type="dxa"/>
            <w:noWrap w:val="0"/>
            <w:vAlign w:val="top"/>
          </w:tcPr>
          <w:p>
            <w:pPr>
              <w:spacing w:line="360" w:lineRule="auto"/>
              <w:jc w:val="center"/>
              <w:rPr>
                <w:sz w:val="24"/>
              </w:rPr>
            </w:pPr>
          </w:p>
        </w:tc>
        <w:tc>
          <w:tcPr>
            <w:tcW w:w="720" w:type="dxa"/>
            <w:noWrap w:val="0"/>
            <w:vAlign w:val="top"/>
          </w:tcPr>
          <w:p>
            <w:pPr>
              <w:spacing w:line="360" w:lineRule="auto"/>
              <w:jc w:val="center"/>
              <w:rPr>
                <w:sz w:val="24"/>
              </w:rPr>
            </w:pPr>
          </w:p>
        </w:tc>
        <w:tc>
          <w:tcPr>
            <w:tcW w:w="1800" w:type="dxa"/>
            <w:noWrap w:val="0"/>
            <w:vAlign w:val="top"/>
          </w:tcPr>
          <w:p>
            <w:pPr>
              <w:spacing w:line="360" w:lineRule="auto"/>
              <w:jc w:val="center"/>
              <w:rPr>
                <w:sz w:val="24"/>
              </w:rPr>
            </w:pPr>
          </w:p>
        </w:tc>
        <w:tc>
          <w:tcPr>
            <w:tcW w:w="720" w:type="dxa"/>
            <w:noWrap w:val="0"/>
            <w:vAlign w:val="top"/>
          </w:tcPr>
          <w:p>
            <w:pPr>
              <w:spacing w:line="360" w:lineRule="auto"/>
              <w:jc w:val="center"/>
              <w:rPr>
                <w:sz w:val="24"/>
              </w:rPr>
            </w:pPr>
          </w:p>
        </w:tc>
        <w:tc>
          <w:tcPr>
            <w:tcW w:w="1260" w:type="dxa"/>
            <w:noWrap w:val="0"/>
            <w:vAlign w:val="top"/>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 w:hRule="atLeast"/>
        </w:trPr>
        <w:tc>
          <w:tcPr>
            <w:tcW w:w="900" w:type="dxa"/>
            <w:noWrap w:val="0"/>
            <w:vAlign w:val="top"/>
          </w:tcPr>
          <w:p>
            <w:pPr>
              <w:spacing w:line="360" w:lineRule="auto"/>
              <w:jc w:val="center"/>
              <w:rPr>
                <w:sz w:val="24"/>
              </w:rPr>
            </w:pPr>
          </w:p>
        </w:tc>
        <w:tc>
          <w:tcPr>
            <w:tcW w:w="1260" w:type="dxa"/>
            <w:noWrap w:val="0"/>
            <w:vAlign w:val="top"/>
          </w:tcPr>
          <w:p>
            <w:pPr>
              <w:spacing w:line="360" w:lineRule="auto"/>
              <w:jc w:val="center"/>
              <w:rPr>
                <w:sz w:val="24"/>
              </w:rPr>
            </w:pPr>
          </w:p>
        </w:tc>
        <w:tc>
          <w:tcPr>
            <w:tcW w:w="900" w:type="dxa"/>
            <w:noWrap w:val="0"/>
            <w:vAlign w:val="top"/>
          </w:tcPr>
          <w:p>
            <w:pPr>
              <w:spacing w:line="360" w:lineRule="auto"/>
              <w:jc w:val="center"/>
              <w:rPr>
                <w:sz w:val="24"/>
              </w:rPr>
            </w:pPr>
          </w:p>
        </w:tc>
        <w:tc>
          <w:tcPr>
            <w:tcW w:w="1100" w:type="dxa"/>
            <w:noWrap w:val="0"/>
            <w:vAlign w:val="top"/>
          </w:tcPr>
          <w:p>
            <w:pPr>
              <w:spacing w:line="360" w:lineRule="auto"/>
              <w:jc w:val="center"/>
              <w:rPr>
                <w:sz w:val="24"/>
              </w:rPr>
            </w:pPr>
          </w:p>
        </w:tc>
        <w:tc>
          <w:tcPr>
            <w:tcW w:w="700" w:type="dxa"/>
            <w:noWrap w:val="0"/>
            <w:vAlign w:val="top"/>
          </w:tcPr>
          <w:p>
            <w:pPr>
              <w:spacing w:line="360" w:lineRule="auto"/>
              <w:jc w:val="center"/>
              <w:rPr>
                <w:sz w:val="24"/>
              </w:rPr>
            </w:pPr>
          </w:p>
        </w:tc>
        <w:tc>
          <w:tcPr>
            <w:tcW w:w="720" w:type="dxa"/>
            <w:noWrap w:val="0"/>
            <w:vAlign w:val="top"/>
          </w:tcPr>
          <w:p>
            <w:pPr>
              <w:spacing w:line="360" w:lineRule="auto"/>
              <w:jc w:val="center"/>
              <w:rPr>
                <w:sz w:val="24"/>
              </w:rPr>
            </w:pPr>
          </w:p>
        </w:tc>
        <w:tc>
          <w:tcPr>
            <w:tcW w:w="1800" w:type="dxa"/>
            <w:noWrap w:val="0"/>
            <w:vAlign w:val="top"/>
          </w:tcPr>
          <w:p>
            <w:pPr>
              <w:spacing w:line="360" w:lineRule="auto"/>
              <w:jc w:val="center"/>
              <w:rPr>
                <w:sz w:val="24"/>
              </w:rPr>
            </w:pPr>
          </w:p>
        </w:tc>
        <w:tc>
          <w:tcPr>
            <w:tcW w:w="720" w:type="dxa"/>
            <w:noWrap w:val="0"/>
            <w:vAlign w:val="top"/>
          </w:tcPr>
          <w:p>
            <w:pPr>
              <w:spacing w:line="360" w:lineRule="auto"/>
              <w:jc w:val="center"/>
              <w:rPr>
                <w:sz w:val="24"/>
              </w:rPr>
            </w:pPr>
          </w:p>
        </w:tc>
        <w:tc>
          <w:tcPr>
            <w:tcW w:w="1260" w:type="dxa"/>
            <w:noWrap w:val="0"/>
            <w:vAlign w:val="top"/>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 w:hRule="atLeast"/>
        </w:trPr>
        <w:tc>
          <w:tcPr>
            <w:tcW w:w="900" w:type="dxa"/>
            <w:noWrap w:val="0"/>
            <w:vAlign w:val="top"/>
          </w:tcPr>
          <w:p>
            <w:pPr>
              <w:spacing w:line="360" w:lineRule="auto"/>
              <w:jc w:val="center"/>
              <w:rPr>
                <w:sz w:val="24"/>
              </w:rPr>
            </w:pPr>
          </w:p>
        </w:tc>
        <w:tc>
          <w:tcPr>
            <w:tcW w:w="1260" w:type="dxa"/>
            <w:noWrap w:val="0"/>
            <w:vAlign w:val="top"/>
          </w:tcPr>
          <w:p>
            <w:pPr>
              <w:spacing w:line="360" w:lineRule="auto"/>
              <w:jc w:val="center"/>
              <w:rPr>
                <w:sz w:val="24"/>
              </w:rPr>
            </w:pPr>
          </w:p>
        </w:tc>
        <w:tc>
          <w:tcPr>
            <w:tcW w:w="900" w:type="dxa"/>
            <w:noWrap w:val="0"/>
            <w:vAlign w:val="top"/>
          </w:tcPr>
          <w:p>
            <w:pPr>
              <w:spacing w:line="360" w:lineRule="auto"/>
              <w:jc w:val="center"/>
              <w:rPr>
                <w:sz w:val="24"/>
              </w:rPr>
            </w:pPr>
          </w:p>
        </w:tc>
        <w:tc>
          <w:tcPr>
            <w:tcW w:w="1100" w:type="dxa"/>
            <w:noWrap w:val="0"/>
            <w:vAlign w:val="top"/>
          </w:tcPr>
          <w:p>
            <w:pPr>
              <w:spacing w:line="360" w:lineRule="auto"/>
              <w:jc w:val="center"/>
              <w:rPr>
                <w:sz w:val="24"/>
              </w:rPr>
            </w:pPr>
          </w:p>
        </w:tc>
        <w:tc>
          <w:tcPr>
            <w:tcW w:w="700" w:type="dxa"/>
            <w:noWrap w:val="0"/>
            <w:vAlign w:val="top"/>
          </w:tcPr>
          <w:p>
            <w:pPr>
              <w:spacing w:line="360" w:lineRule="auto"/>
              <w:jc w:val="center"/>
              <w:rPr>
                <w:sz w:val="24"/>
              </w:rPr>
            </w:pPr>
          </w:p>
        </w:tc>
        <w:tc>
          <w:tcPr>
            <w:tcW w:w="720" w:type="dxa"/>
            <w:noWrap w:val="0"/>
            <w:vAlign w:val="top"/>
          </w:tcPr>
          <w:p>
            <w:pPr>
              <w:spacing w:line="360" w:lineRule="auto"/>
              <w:jc w:val="center"/>
              <w:rPr>
                <w:sz w:val="24"/>
              </w:rPr>
            </w:pPr>
          </w:p>
        </w:tc>
        <w:tc>
          <w:tcPr>
            <w:tcW w:w="1800" w:type="dxa"/>
            <w:noWrap w:val="0"/>
            <w:vAlign w:val="top"/>
          </w:tcPr>
          <w:p>
            <w:pPr>
              <w:spacing w:line="360" w:lineRule="auto"/>
              <w:jc w:val="center"/>
              <w:rPr>
                <w:sz w:val="24"/>
              </w:rPr>
            </w:pPr>
          </w:p>
        </w:tc>
        <w:tc>
          <w:tcPr>
            <w:tcW w:w="720" w:type="dxa"/>
            <w:noWrap w:val="0"/>
            <w:vAlign w:val="top"/>
          </w:tcPr>
          <w:p>
            <w:pPr>
              <w:spacing w:line="360" w:lineRule="auto"/>
              <w:jc w:val="center"/>
              <w:rPr>
                <w:sz w:val="24"/>
              </w:rPr>
            </w:pPr>
          </w:p>
        </w:tc>
        <w:tc>
          <w:tcPr>
            <w:tcW w:w="1260" w:type="dxa"/>
            <w:noWrap w:val="0"/>
            <w:vAlign w:val="top"/>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 w:hRule="atLeast"/>
        </w:trPr>
        <w:tc>
          <w:tcPr>
            <w:tcW w:w="900" w:type="dxa"/>
            <w:noWrap w:val="0"/>
            <w:vAlign w:val="top"/>
          </w:tcPr>
          <w:p>
            <w:pPr>
              <w:spacing w:line="360" w:lineRule="auto"/>
              <w:jc w:val="center"/>
              <w:rPr>
                <w:sz w:val="24"/>
              </w:rPr>
            </w:pPr>
          </w:p>
        </w:tc>
        <w:tc>
          <w:tcPr>
            <w:tcW w:w="1260" w:type="dxa"/>
            <w:noWrap w:val="0"/>
            <w:vAlign w:val="top"/>
          </w:tcPr>
          <w:p>
            <w:pPr>
              <w:spacing w:line="360" w:lineRule="auto"/>
              <w:jc w:val="center"/>
              <w:rPr>
                <w:sz w:val="24"/>
              </w:rPr>
            </w:pPr>
          </w:p>
        </w:tc>
        <w:tc>
          <w:tcPr>
            <w:tcW w:w="900" w:type="dxa"/>
            <w:noWrap w:val="0"/>
            <w:vAlign w:val="top"/>
          </w:tcPr>
          <w:p>
            <w:pPr>
              <w:spacing w:line="360" w:lineRule="auto"/>
              <w:jc w:val="center"/>
              <w:rPr>
                <w:sz w:val="24"/>
              </w:rPr>
            </w:pPr>
          </w:p>
        </w:tc>
        <w:tc>
          <w:tcPr>
            <w:tcW w:w="1100" w:type="dxa"/>
            <w:noWrap w:val="0"/>
            <w:vAlign w:val="top"/>
          </w:tcPr>
          <w:p>
            <w:pPr>
              <w:spacing w:line="360" w:lineRule="auto"/>
              <w:jc w:val="center"/>
              <w:rPr>
                <w:sz w:val="24"/>
              </w:rPr>
            </w:pPr>
          </w:p>
        </w:tc>
        <w:tc>
          <w:tcPr>
            <w:tcW w:w="700" w:type="dxa"/>
            <w:noWrap w:val="0"/>
            <w:vAlign w:val="top"/>
          </w:tcPr>
          <w:p>
            <w:pPr>
              <w:spacing w:line="360" w:lineRule="auto"/>
              <w:jc w:val="center"/>
              <w:rPr>
                <w:sz w:val="24"/>
              </w:rPr>
            </w:pPr>
          </w:p>
        </w:tc>
        <w:tc>
          <w:tcPr>
            <w:tcW w:w="720" w:type="dxa"/>
            <w:noWrap w:val="0"/>
            <w:vAlign w:val="top"/>
          </w:tcPr>
          <w:p>
            <w:pPr>
              <w:spacing w:line="360" w:lineRule="auto"/>
              <w:jc w:val="center"/>
              <w:rPr>
                <w:sz w:val="24"/>
              </w:rPr>
            </w:pPr>
          </w:p>
        </w:tc>
        <w:tc>
          <w:tcPr>
            <w:tcW w:w="1800" w:type="dxa"/>
            <w:noWrap w:val="0"/>
            <w:vAlign w:val="top"/>
          </w:tcPr>
          <w:p>
            <w:pPr>
              <w:spacing w:line="360" w:lineRule="auto"/>
              <w:jc w:val="center"/>
              <w:rPr>
                <w:sz w:val="24"/>
              </w:rPr>
            </w:pPr>
          </w:p>
        </w:tc>
        <w:tc>
          <w:tcPr>
            <w:tcW w:w="720" w:type="dxa"/>
            <w:noWrap w:val="0"/>
            <w:vAlign w:val="top"/>
          </w:tcPr>
          <w:p>
            <w:pPr>
              <w:spacing w:line="360" w:lineRule="auto"/>
              <w:jc w:val="center"/>
              <w:rPr>
                <w:sz w:val="24"/>
              </w:rPr>
            </w:pPr>
          </w:p>
        </w:tc>
        <w:tc>
          <w:tcPr>
            <w:tcW w:w="1260" w:type="dxa"/>
            <w:noWrap w:val="0"/>
            <w:vAlign w:val="top"/>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 w:hRule="atLeast"/>
        </w:trPr>
        <w:tc>
          <w:tcPr>
            <w:tcW w:w="900" w:type="dxa"/>
            <w:noWrap w:val="0"/>
            <w:vAlign w:val="top"/>
          </w:tcPr>
          <w:p>
            <w:pPr>
              <w:spacing w:line="360" w:lineRule="auto"/>
              <w:jc w:val="center"/>
              <w:rPr>
                <w:sz w:val="24"/>
              </w:rPr>
            </w:pPr>
          </w:p>
        </w:tc>
        <w:tc>
          <w:tcPr>
            <w:tcW w:w="1260" w:type="dxa"/>
            <w:noWrap w:val="0"/>
            <w:vAlign w:val="top"/>
          </w:tcPr>
          <w:p>
            <w:pPr>
              <w:spacing w:line="360" w:lineRule="auto"/>
              <w:jc w:val="center"/>
              <w:rPr>
                <w:sz w:val="24"/>
              </w:rPr>
            </w:pPr>
          </w:p>
        </w:tc>
        <w:tc>
          <w:tcPr>
            <w:tcW w:w="900" w:type="dxa"/>
            <w:noWrap w:val="0"/>
            <w:vAlign w:val="top"/>
          </w:tcPr>
          <w:p>
            <w:pPr>
              <w:spacing w:line="360" w:lineRule="auto"/>
              <w:jc w:val="center"/>
              <w:rPr>
                <w:sz w:val="24"/>
              </w:rPr>
            </w:pPr>
          </w:p>
        </w:tc>
        <w:tc>
          <w:tcPr>
            <w:tcW w:w="1100" w:type="dxa"/>
            <w:noWrap w:val="0"/>
            <w:vAlign w:val="top"/>
          </w:tcPr>
          <w:p>
            <w:pPr>
              <w:spacing w:line="360" w:lineRule="auto"/>
              <w:jc w:val="center"/>
              <w:rPr>
                <w:sz w:val="24"/>
              </w:rPr>
            </w:pPr>
          </w:p>
        </w:tc>
        <w:tc>
          <w:tcPr>
            <w:tcW w:w="700" w:type="dxa"/>
            <w:noWrap w:val="0"/>
            <w:vAlign w:val="top"/>
          </w:tcPr>
          <w:p>
            <w:pPr>
              <w:spacing w:line="360" w:lineRule="auto"/>
              <w:jc w:val="center"/>
              <w:rPr>
                <w:sz w:val="24"/>
              </w:rPr>
            </w:pPr>
          </w:p>
        </w:tc>
        <w:tc>
          <w:tcPr>
            <w:tcW w:w="720" w:type="dxa"/>
            <w:noWrap w:val="0"/>
            <w:vAlign w:val="top"/>
          </w:tcPr>
          <w:p>
            <w:pPr>
              <w:spacing w:line="360" w:lineRule="auto"/>
              <w:jc w:val="center"/>
              <w:rPr>
                <w:sz w:val="24"/>
              </w:rPr>
            </w:pPr>
          </w:p>
        </w:tc>
        <w:tc>
          <w:tcPr>
            <w:tcW w:w="1800" w:type="dxa"/>
            <w:noWrap w:val="0"/>
            <w:vAlign w:val="top"/>
          </w:tcPr>
          <w:p>
            <w:pPr>
              <w:spacing w:line="360" w:lineRule="auto"/>
              <w:jc w:val="center"/>
              <w:rPr>
                <w:sz w:val="24"/>
              </w:rPr>
            </w:pPr>
          </w:p>
        </w:tc>
        <w:tc>
          <w:tcPr>
            <w:tcW w:w="720" w:type="dxa"/>
            <w:noWrap w:val="0"/>
            <w:vAlign w:val="top"/>
          </w:tcPr>
          <w:p>
            <w:pPr>
              <w:spacing w:line="360" w:lineRule="auto"/>
              <w:jc w:val="center"/>
              <w:rPr>
                <w:sz w:val="24"/>
              </w:rPr>
            </w:pPr>
          </w:p>
        </w:tc>
        <w:tc>
          <w:tcPr>
            <w:tcW w:w="1260" w:type="dxa"/>
            <w:noWrap w:val="0"/>
            <w:vAlign w:val="top"/>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 w:hRule="atLeast"/>
        </w:trPr>
        <w:tc>
          <w:tcPr>
            <w:tcW w:w="900" w:type="dxa"/>
            <w:noWrap w:val="0"/>
            <w:vAlign w:val="top"/>
          </w:tcPr>
          <w:p>
            <w:pPr>
              <w:spacing w:line="360" w:lineRule="auto"/>
              <w:jc w:val="center"/>
              <w:rPr>
                <w:sz w:val="24"/>
              </w:rPr>
            </w:pPr>
          </w:p>
        </w:tc>
        <w:tc>
          <w:tcPr>
            <w:tcW w:w="1260" w:type="dxa"/>
            <w:noWrap w:val="0"/>
            <w:vAlign w:val="top"/>
          </w:tcPr>
          <w:p>
            <w:pPr>
              <w:spacing w:line="360" w:lineRule="auto"/>
              <w:jc w:val="center"/>
              <w:rPr>
                <w:sz w:val="24"/>
              </w:rPr>
            </w:pPr>
          </w:p>
        </w:tc>
        <w:tc>
          <w:tcPr>
            <w:tcW w:w="900" w:type="dxa"/>
            <w:noWrap w:val="0"/>
            <w:vAlign w:val="top"/>
          </w:tcPr>
          <w:p>
            <w:pPr>
              <w:spacing w:line="360" w:lineRule="auto"/>
              <w:jc w:val="center"/>
              <w:rPr>
                <w:sz w:val="24"/>
              </w:rPr>
            </w:pPr>
          </w:p>
        </w:tc>
        <w:tc>
          <w:tcPr>
            <w:tcW w:w="1100" w:type="dxa"/>
            <w:noWrap w:val="0"/>
            <w:vAlign w:val="top"/>
          </w:tcPr>
          <w:p>
            <w:pPr>
              <w:spacing w:line="360" w:lineRule="auto"/>
              <w:jc w:val="center"/>
              <w:rPr>
                <w:sz w:val="24"/>
              </w:rPr>
            </w:pPr>
          </w:p>
        </w:tc>
        <w:tc>
          <w:tcPr>
            <w:tcW w:w="700" w:type="dxa"/>
            <w:noWrap w:val="0"/>
            <w:vAlign w:val="top"/>
          </w:tcPr>
          <w:p>
            <w:pPr>
              <w:spacing w:line="360" w:lineRule="auto"/>
              <w:jc w:val="center"/>
              <w:rPr>
                <w:sz w:val="24"/>
              </w:rPr>
            </w:pPr>
          </w:p>
        </w:tc>
        <w:tc>
          <w:tcPr>
            <w:tcW w:w="720" w:type="dxa"/>
            <w:noWrap w:val="0"/>
            <w:vAlign w:val="top"/>
          </w:tcPr>
          <w:p>
            <w:pPr>
              <w:spacing w:line="360" w:lineRule="auto"/>
              <w:jc w:val="center"/>
              <w:rPr>
                <w:sz w:val="24"/>
              </w:rPr>
            </w:pPr>
          </w:p>
        </w:tc>
        <w:tc>
          <w:tcPr>
            <w:tcW w:w="1800" w:type="dxa"/>
            <w:noWrap w:val="0"/>
            <w:vAlign w:val="top"/>
          </w:tcPr>
          <w:p>
            <w:pPr>
              <w:spacing w:line="360" w:lineRule="auto"/>
              <w:jc w:val="center"/>
              <w:rPr>
                <w:sz w:val="24"/>
              </w:rPr>
            </w:pPr>
          </w:p>
        </w:tc>
        <w:tc>
          <w:tcPr>
            <w:tcW w:w="720" w:type="dxa"/>
            <w:noWrap w:val="0"/>
            <w:vAlign w:val="top"/>
          </w:tcPr>
          <w:p>
            <w:pPr>
              <w:spacing w:line="360" w:lineRule="auto"/>
              <w:jc w:val="center"/>
              <w:rPr>
                <w:sz w:val="24"/>
              </w:rPr>
            </w:pPr>
          </w:p>
        </w:tc>
        <w:tc>
          <w:tcPr>
            <w:tcW w:w="1260" w:type="dxa"/>
            <w:noWrap w:val="0"/>
            <w:vAlign w:val="top"/>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 w:hRule="atLeast"/>
        </w:trPr>
        <w:tc>
          <w:tcPr>
            <w:tcW w:w="900" w:type="dxa"/>
            <w:noWrap w:val="0"/>
            <w:vAlign w:val="top"/>
          </w:tcPr>
          <w:p>
            <w:pPr>
              <w:spacing w:line="360" w:lineRule="auto"/>
              <w:jc w:val="center"/>
              <w:rPr>
                <w:sz w:val="24"/>
              </w:rPr>
            </w:pPr>
          </w:p>
        </w:tc>
        <w:tc>
          <w:tcPr>
            <w:tcW w:w="1260" w:type="dxa"/>
            <w:noWrap w:val="0"/>
            <w:vAlign w:val="top"/>
          </w:tcPr>
          <w:p>
            <w:pPr>
              <w:spacing w:line="360" w:lineRule="auto"/>
              <w:jc w:val="center"/>
              <w:rPr>
                <w:sz w:val="24"/>
              </w:rPr>
            </w:pPr>
          </w:p>
        </w:tc>
        <w:tc>
          <w:tcPr>
            <w:tcW w:w="900" w:type="dxa"/>
            <w:noWrap w:val="0"/>
            <w:vAlign w:val="top"/>
          </w:tcPr>
          <w:p>
            <w:pPr>
              <w:spacing w:line="360" w:lineRule="auto"/>
              <w:jc w:val="center"/>
              <w:rPr>
                <w:sz w:val="24"/>
              </w:rPr>
            </w:pPr>
          </w:p>
        </w:tc>
        <w:tc>
          <w:tcPr>
            <w:tcW w:w="1100" w:type="dxa"/>
            <w:noWrap w:val="0"/>
            <w:vAlign w:val="top"/>
          </w:tcPr>
          <w:p>
            <w:pPr>
              <w:spacing w:line="360" w:lineRule="auto"/>
              <w:jc w:val="center"/>
              <w:rPr>
                <w:sz w:val="24"/>
              </w:rPr>
            </w:pPr>
          </w:p>
        </w:tc>
        <w:tc>
          <w:tcPr>
            <w:tcW w:w="700" w:type="dxa"/>
            <w:noWrap w:val="0"/>
            <w:vAlign w:val="top"/>
          </w:tcPr>
          <w:p>
            <w:pPr>
              <w:spacing w:line="360" w:lineRule="auto"/>
              <w:jc w:val="center"/>
              <w:rPr>
                <w:sz w:val="24"/>
              </w:rPr>
            </w:pPr>
          </w:p>
        </w:tc>
        <w:tc>
          <w:tcPr>
            <w:tcW w:w="720" w:type="dxa"/>
            <w:noWrap w:val="0"/>
            <w:vAlign w:val="top"/>
          </w:tcPr>
          <w:p>
            <w:pPr>
              <w:spacing w:line="360" w:lineRule="auto"/>
              <w:jc w:val="center"/>
              <w:rPr>
                <w:sz w:val="24"/>
              </w:rPr>
            </w:pPr>
          </w:p>
        </w:tc>
        <w:tc>
          <w:tcPr>
            <w:tcW w:w="1800" w:type="dxa"/>
            <w:noWrap w:val="0"/>
            <w:vAlign w:val="top"/>
          </w:tcPr>
          <w:p>
            <w:pPr>
              <w:spacing w:line="360" w:lineRule="auto"/>
              <w:jc w:val="center"/>
              <w:rPr>
                <w:sz w:val="24"/>
              </w:rPr>
            </w:pPr>
          </w:p>
        </w:tc>
        <w:tc>
          <w:tcPr>
            <w:tcW w:w="720" w:type="dxa"/>
            <w:noWrap w:val="0"/>
            <w:vAlign w:val="top"/>
          </w:tcPr>
          <w:p>
            <w:pPr>
              <w:spacing w:line="360" w:lineRule="auto"/>
              <w:jc w:val="center"/>
              <w:rPr>
                <w:sz w:val="24"/>
              </w:rPr>
            </w:pPr>
          </w:p>
        </w:tc>
        <w:tc>
          <w:tcPr>
            <w:tcW w:w="1260" w:type="dxa"/>
            <w:noWrap w:val="0"/>
            <w:vAlign w:val="top"/>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 w:hRule="atLeast"/>
        </w:trPr>
        <w:tc>
          <w:tcPr>
            <w:tcW w:w="900" w:type="dxa"/>
            <w:noWrap w:val="0"/>
            <w:vAlign w:val="top"/>
          </w:tcPr>
          <w:p>
            <w:pPr>
              <w:spacing w:line="360" w:lineRule="auto"/>
              <w:jc w:val="center"/>
              <w:rPr>
                <w:sz w:val="24"/>
              </w:rPr>
            </w:pPr>
          </w:p>
        </w:tc>
        <w:tc>
          <w:tcPr>
            <w:tcW w:w="1260" w:type="dxa"/>
            <w:noWrap w:val="0"/>
            <w:vAlign w:val="top"/>
          </w:tcPr>
          <w:p>
            <w:pPr>
              <w:spacing w:line="360" w:lineRule="auto"/>
              <w:jc w:val="center"/>
              <w:rPr>
                <w:sz w:val="24"/>
              </w:rPr>
            </w:pPr>
          </w:p>
        </w:tc>
        <w:tc>
          <w:tcPr>
            <w:tcW w:w="900" w:type="dxa"/>
            <w:noWrap w:val="0"/>
            <w:vAlign w:val="top"/>
          </w:tcPr>
          <w:p>
            <w:pPr>
              <w:spacing w:line="360" w:lineRule="auto"/>
              <w:jc w:val="center"/>
              <w:rPr>
                <w:sz w:val="24"/>
              </w:rPr>
            </w:pPr>
          </w:p>
        </w:tc>
        <w:tc>
          <w:tcPr>
            <w:tcW w:w="1100" w:type="dxa"/>
            <w:noWrap w:val="0"/>
            <w:vAlign w:val="top"/>
          </w:tcPr>
          <w:p>
            <w:pPr>
              <w:spacing w:line="360" w:lineRule="auto"/>
              <w:jc w:val="center"/>
              <w:rPr>
                <w:sz w:val="24"/>
              </w:rPr>
            </w:pPr>
          </w:p>
        </w:tc>
        <w:tc>
          <w:tcPr>
            <w:tcW w:w="700" w:type="dxa"/>
            <w:noWrap w:val="0"/>
            <w:vAlign w:val="top"/>
          </w:tcPr>
          <w:p>
            <w:pPr>
              <w:spacing w:line="360" w:lineRule="auto"/>
              <w:jc w:val="center"/>
              <w:rPr>
                <w:sz w:val="24"/>
              </w:rPr>
            </w:pPr>
          </w:p>
        </w:tc>
        <w:tc>
          <w:tcPr>
            <w:tcW w:w="720" w:type="dxa"/>
            <w:noWrap w:val="0"/>
            <w:vAlign w:val="top"/>
          </w:tcPr>
          <w:p>
            <w:pPr>
              <w:spacing w:line="360" w:lineRule="auto"/>
              <w:jc w:val="center"/>
              <w:rPr>
                <w:sz w:val="24"/>
              </w:rPr>
            </w:pPr>
          </w:p>
        </w:tc>
        <w:tc>
          <w:tcPr>
            <w:tcW w:w="1800" w:type="dxa"/>
            <w:noWrap w:val="0"/>
            <w:vAlign w:val="top"/>
          </w:tcPr>
          <w:p>
            <w:pPr>
              <w:spacing w:line="360" w:lineRule="auto"/>
              <w:jc w:val="center"/>
              <w:rPr>
                <w:sz w:val="24"/>
              </w:rPr>
            </w:pPr>
          </w:p>
        </w:tc>
        <w:tc>
          <w:tcPr>
            <w:tcW w:w="720" w:type="dxa"/>
            <w:noWrap w:val="0"/>
            <w:vAlign w:val="top"/>
          </w:tcPr>
          <w:p>
            <w:pPr>
              <w:spacing w:line="360" w:lineRule="auto"/>
              <w:jc w:val="center"/>
              <w:rPr>
                <w:sz w:val="24"/>
              </w:rPr>
            </w:pPr>
          </w:p>
        </w:tc>
        <w:tc>
          <w:tcPr>
            <w:tcW w:w="1260" w:type="dxa"/>
            <w:noWrap w:val="0"/>
            <w:vAlign w:val="top"/>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 w:hRule="atLeast"/>
        </w:trPr>
        <w:tc>
          <w:tcPr>
            <w:tcW w:w="900" w:type="dxa"/>
            <w:noWrap w:val="0"/>
            <w:vAlign w:val="top"/>
          </w:tcPr>
          <w:p>
            <w:pPr>
              <w:spacing w:line="360" w:lineRule="auto"/>
              <w:jc w:val="center"/>
              <w:rPr>
                <w:sz w:val="24"/>
              </w:rPr>
            </w:pPr>
          </w:p>
        </w:tc>
        <w:tc>
          <w:tcPr>
            <w:tcW w:w="1260" w:type="dxa"/>
            <w:noWrap w:val="0"/>
            <w:vAlign w:val="top"/>
          </w:tcPr>
          <w:p>
            <w:pPr>
              <w:spacing w:line="360" w:lineRule="auto"/>
              <w:jc w:val="center"/>
              <w:rPr>
                <w:sz w:val="24"/>
              </w:rPr>
            </w:pPr>
          </w:p>
        </w:tc>
        <w:tc>
          <w:tcPr>
            <w:tcW w:w="900" w:type="dxa"/>
            <w:noWrap w:val="0"/>
            <w:vAlign w:val="top"/>
          </w:tcPr>
          <w:p>
            <w:pPr>
              <w:spacing w:line="360" w:lineRule="auto"/>
              <w:jc w:val="center"/>
              <w:rPr>
                <w:sz w:val="24"/>
              </w:rPr>
            </w:pPr>
          </w:p>
        </w:tc>
        <w:tc>
          <w:tcPr>
            <w:tcW w:w="1100" w:type="dxa"/>
            <w:noWrap w:val="0"/>
            <w:vAlign w:val="top"/>
          </w:tcPr>
          <w:p>
            <w:pPr>
              <w:spacing w:line="360" w:lineRule="auto"/>
              <w:jc w:val="center"/>
              <w:rPr>
                <w:sz w:val="24"/>
              </w:rPr>
            </w:pPr>
          </w:p>
        </w:tc>
        <w:tc>
          <w:tcPr>
            <w:tcW w:w="700" w:type="dxa"/>
            <w:noWrap w:val="0"/>
            <w:vAlign w:val="top"/>
          </w:tcPr>
          <w:p>
            <w:pPr>
              <w:spacing w:line="360" w:lineRule="auto"/>
              <w:jc w:val="center"/>
              <w:rPr>
                <w:sz w:val="24"/>
              </w:rPr>
            </w:pPr>
          </w:p>
        </w:tc>
        <w:tc>
          <w:tcPr>
            <w:tcW w:w="720" w:type="dxa"/>
            <w:noWrap w:val="0"/>
            <w:vAlign w:val="top"/>
          </w:tcPr>
          <w:p>
            <w:pPr>
              <w:spacing w:line="360" w:lineRule="auto"/>
              <w:jc w:val="center"/>
              <w:rPr>
                <w:sz w:val="24"/>
              </w:rPr>
            </w:pPr>
          </w:p>
        </w:tc>
        <w:tc>
          <w:tcPr>
            <w:tcW w:w="1800" w:type="dxa"/>
            <w:noWrap w:val="0"/>
            <w:vAlign w:val="top"/>
          </w:tcPr>
          <w:p>
            <w:pPr>
              <w:spacing w:line="360" w:lineRule="auto"/>
              <w:jc w:val="center"/>
              <w:rPr>
                <w:sz w:val="24"/>
              </w:rPr>
            </w:pPr>
          </w:p>
        </w:tc>
        <w:tc>
          <w:tcPr>
            <w:tcW w:w="720" w:type="dxa"/>
            <w:noWrap w:val="0"/>
            <w:vAlign w:val="top"/>
          </w:tcPr>
          <w:p>
            <w:pPr>
              <w:spacing w:line="360" w:lineRule="auto"/>
              <w:jc w:val="center"/>
              <w:rPr>
                <w:sz w:val="24"/>
              </w:rPr>
            </w:pPr>
          </w:p>
        </w:tc>
        <w:tc>
          <w:tcPr>
            <w:tcW w:w="1260" w:type="dxa"/>
            <w:noWrap w:val="0"/>
            <w:vAlign w:val="top"/>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 w:hRule="atLeast"/>
        </w:trPr>
        <w:tc>
          <w:tcPr>
            <w:tcW w:w="900" w:type="dxa"/>
            <w:noWrap w:val="0"/>
            <w:vAlign w:val="top"/>
          </w:tcPr>
          <w:p>
            <w:pPr>
              <w:spacing w:line="360" w:lineRule="auto"/>
              <w:jc w:val="center"/>
              <w:rPr>
                <w:sz w:val="24"/>
              </w:rPr>
            </w:pPr>
          </w:p>
        </w:tc>
        <w:tc>
          <w:tcPr>
            <w:tcW w:w="1260" w:type="dxa"/>
            <w:noWrap w:val="0"/>
            <w:vAlign w:val="top"/>
          </w:tcPr>
          <w:p>
            <w:pPr>
              <w:spacing w:line="360" w:lineRule="auto"/>
              <w:jc w:val="center"/>
              <w:rPr>
                <w:sz w:val="24"/>
              </w:rPr>
            </w:pPr>
          </w:p>
        </w:tc>
        <w:tc>
          <w:tcPr>
            <w:tcW w:w="900" w:type="dxa"/>
            <w:noWrap w:val="0"/>
            <w:vAlign w:val="top"/>
          </w:tcPr>
          <w:p>
            <w:pPr>
              <w:spacing w:line="360" w:lineRule="auto"/>
              <w:jc w:val="center"/>
              <w:rPr>
                <w:sz w:val="24"/>
              </w:rPr>
            </w:pPr>
          </w:p>
        </w:tc>
        <w:tc>
          <w:tcPr>
            <w:tcW w:w="1100" w:type="dxa"/>
            <w:noWrap w:val="0"/>
            <w:vAlign w:val="top"/>
          </w:tcPr>
          <w:p>
            <w:pPr>
              <w:spacing w:line="360" w:lineRule="auto"/>
              <w:jc w:val="center"/>
              <w:rPr>
                <w:sz w:val="24"/>
              </w:rPr>
            </w:pPr>
          </w:p>
        </w:tc>
        <w:tc>
          <w:tcPr>
            <w:tcW w:w="700" w:type="dxa"/>
            <w:noWrap w:val="0"/>
            <w:vAlign w:val="top"/>
          </w:tcPr>
          <w:p>
            <w:pPr>
              <w:spacing w:line="360" w:lineRule="auto"/>
              <w:jc w:val="center"/>
              <w:rPr>
                <w:sz w:val="24"/>
              </w:rPr>
            </w:pPr>
          </w:p>
        </w:tc>
        <w:tc>
          <w:tcPr>
            <w:tcW w:w="720" w:type="dxa"/>
            <w:noWrap w:val="0"/>
            <w:vAlign w:val="top"/>
          </w:tcPr>
          <w:p>
            <w:pPr>
              <w:spacing w:line="360" w:lineRule="auto"/>
              <w:jc w:val="center"/>
              <w:rPr>
                <w:sz w:val="24"/>
              </w:rPr>
            </w:pPr>
          </w:p>
        </w:tc>
        <w:tc>
          <w:tcPr>
            <w:tcW w:w="1800" w:type="dxa"/>
            <w:noWrap w:val="0"/>
            <w:vAlign w:val="top"/>
          </w:tcPr>
          <w:p>
            <w:pPr>
              <w:spacing w:line="360" w:lineRule="auto"/>
              <w:jc w:val="center"/>
              <w:rPr>
                <w:sz w:val="24"/>
              </w:rPr>
            </w:pPr>
          </w:p>
        </w:tc>
        <w:tc>
          <w:tcPr>
            <w:tcW w:w="720" w:type="dxa"/>
            <w:noWrap w:val="0"/>
            <w:vAlign w:val="top"/>
          </w:tcPr>
          <w:p>
            <w:pPr>
              <w:spacing w:line="360" w:lineRule="auto"/>
              <w:jc w:val="center"/>
              <w:rPr>
                <w:sz w:val="24"/>
              </w:rPr>
            </w:pPr>
          </w:p>
        </w:tc>
        <w:tc>
          <w:tcPr>
            <w:tcW w:w="1260" w:type="dxa"/>
            <w:noWrap w:val="0"/>
            <w:vAlign w:val="top"/>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 w:hRule="atLeast"/>
        </w:trPr>
        <w:tc>
          <w:tcPr>
            <w:tcW w:w="900" w:type="dxa"/>
            <w:noWrap w:val="0"/>
            <w:vAlign w:val="top"/>
          </w:tcPr>
          <w:p>
            <w:pPr>
              <w:spacing w:line="360" w:lineRule="auto"/>
              <w:jc w:val="center"/>
              <w:rPr>
                <w:sz w:val="24"/>
              </w:rPr>
            </w:pPr>
          </w:p>
        </w:tc>
        <w:tc>
          <w:tcPr>
            <w:tcW w:w="1260" w:type="dxa"/>
            <w:noWrap w:val="0"/>
            <w:vAlign w:val="top"/>
          </w:tcPr>
          <w:p>
            <w:pPr>
              <w:spacing w:line="360" w:lineRule="auto"/>
              <w:jc w:val="center"/>
              <w:rPr>
                <w:sz w:val="24"/>
              </w:rPr>
            </w:pPr>
          </w:p>
        </w:tc>
        <w:tc>
          <w:tcPr>
            <w:tcW w:w="900" w:type="dxa"/>
            <w:noWrap w:val="0"/>
            <w:vAlign w:val="top"/>
          </w:tcPr>
          <w:p>
            <w:pPr>
              <w:spacing w:line="360" w:lineRule="auto"/>
              <w:jc w:val="center"/>
              <w:rPr>
                <w:sz w:val="24"/>
              </w:rPr>
            </w:pPr>
          </w:p>
        </w:tc>
        <w:tc>
          <w:tcPr>
            <w:tcW w:w="1100" w:type="dxa"/>
            <w:noWrap w:val="0"/>
            <w:vAlign w:val="top"/>
          </w:tcPr>
          <w:p>
            <w:pPr>
              <w:spacing w:line="360" w:lineRule="auto"/>
              <w:jc w:val="center"/>
              <w:rPr>
                <w:sz w:val="24"/>
              </w:rPr>
            </w:pPr>
          </w:p>
        </w:tc>
        <w:tc>
          <w:tcPr>
            <w:tcW w:w="700" w:type="dxa"/>
            <w:noWrap w:val="0"/>
            <w:vAlign w:val="top"/>
          </w:tcPr>
          <w:p>
            <w:pPr>
              <w:spacing w:line="360" w:lineRule="auto"/>
              <w:jc w:val="center"/>
              <w:rPr>
                <w:sz w:val="24"/>
              </w:rPr>
            </w:pPr>
          </w:p>
        </w:tc>
        <w:tc>
          <w:tcPr>
            <w:tcW w:w="720" w:type="dxa"/>
            <w:noWrap w:val="0"/>
            <w:vAlign w:val="top"/>
          </w:tcPr>
          <w:p>
            <w:pPr>
              <w:spacing w:line="360" w:lineRule="auto"/>
              <w:jc w:val="center"/>
              <w:rPr>
                <w:sz w:val="24"/>
              </w:rPr>
            </w:pPr>
          </w:p>
        </w:tc>
        <w:tc>
          <w:tcPr>
            <w:tcW w:w="1800" w:type="dxa"/>
            <w:noWrap w:val="0"/>
            <w:vAlign w:val="top"/>
          </w:tcPr>
          <w:p>
            <w:pPr>
              <w:spacing w:line="360" w:lineRule="auto"/>
              <w:jc w:val="center"/>
              <w:rPr>
                <w:sz w:val="24"/>
              </w:rPr>
            </w:pPr>
          </w:p>
        </w:tc>
        <w:tc>
          <w:tcPr>
            <w:tcW w:w="720" w:type="dxa"/>
            <w:noWrap w:val="0"/>
            <w:vAlign w:val="top"/>
          </w:tcPr>
          <w:p>
            <w:pPr>
              <w:spacing w:line="360" w:lineRule="auto"/>
              <w:jc w:val="center"/>
              <w:rPr>
                <w:sz w:val="24"/>
              </w:rPr>
            </w:pPr>
          </w:p>
        </w:tc>
        <w:tc>
          <w:tcPr>
            <w:tcW w:w="1260" w:type="dxa"/>
            <w:noWrap w:val="0"/>
            <w:vAlign w:val="top"/>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 w:hRule="atLeast"/>
        </w:trPr>
        <w:tc>
          <w:tcPr>
            <w:tcW w:w="900" w:type="dxa"/>
            <w:noWrap w:val="0"/>
            <w:vAlign w:val="top"/>
          </w:tcPr>
          <w:p>
            <w:pPr>
              <w:spacing w:line="360" w:lineRule="auto"/>
              <w:jc w:val="center"/>
              <w:rPr>
                <w:sz w:val="24"/>
              </w:rPr>
            </w:pPr>
          </w:p>
        </w:tc>
        <w:tc>
          <w:tcPr>
            <w:tcW w:w="1260" w:type="dxa"/>
            <w:noWrap w:val="0"/>
            <w:vAlign w:val="top"/>
          </w:tcPr>
          <w:p>
            <w:pPr>
              <w:spacing w:line="360" w:lineRule="auto"/>
              <w:jc w:val="center"/>
              <w:rPr>
                <w:sz w:val="24"/>
              </w:rPr>
            </w:pPr>
          </w:p>
        </w:tc>
        <w:tc>
          <w:tcPr>
            <w:tcW w:w="900" w:type="dxa"/>
            <w:noWrap w:val="0"/>
            <w:vAlign w:val="top"/>
          </w:tcPr>
          <w:p>
            <w:pPr>
              <w:spacing w:line="360" w:lineRule="auto"/>
              <w:jc w:val="center"/>
              <w:rPr>
                <w:sz w:val="24"/>
              </w:rPr>
            </w:pPr>
          </w:p>
        </w:tc>
        <w:tc>
          <w:tcPr>
            <w:tcW w:w="1100" w:type="dxa"/>
            <w:noWrap w:val="0"/>
            <w:vAlign w:val="top"/>
          </w:tcPr>
          <w:p>
            <w:pPr>
              <w:spacing w:line="360" w:lineRule="auto"/>
              <w:jc w:val="center"/>
              <w:rPr>
                <w:sz w:val="24"/>
              </w:rPr>
            </w:pPr>
          </w:p>
        </w:tc>
        <w:tc>
          <w:tcPr>
            <w:tcW w:w="700" w:type="dxa"/>
            <w:noWrap w:val="0"/>
            <w:vAlign w:val="top"/>
          </w:tcPr>
          <w:p>
            <w:pPr>
              <w:spacing w:line="360" w:lineRule="auto"/>
              <w:jc w:val="center"/>
              <w:rPr>
                <w:sz w:val="24"/>
              </w:rPr>
            </w:pPr>
          </w:p>
        </w:tc>
        <w:tc>
          <w:tcPr>
            <w:tcW w:w="720" w:type="dxa"/>
            <w:noWrap w:val="0"/>
            <w:vAlign w:val="top"/>
          </w:tcPr>
          <w:p>
            <w:pPr>
              <w:spacing w:line="360" w:lineRule="auto"/>
              <w:jc w:val="center"/>
              <w:rPr>
                <w:sz w:val="24"/>
              </w:rPr>
            </w:pPr>
          </w:p>
        </w:tc>
        <w:tc>
          <w:tcPr>
            <w:tcW w:w="1800" w:type="dxa"/>
            <w:noWrap w:val="0"/>
            <w:vAlign w:val="top"/>
          </w:tcPr>
          <w:p>
            <w:pPr>
              <w:spacing w:line="360" w:lineRule="auto"/>
              <w:jc w:val="center"/>
              <w:rPr>
                <w:sz w:val="24"/>
              </w:rPr>
            </w:pPr>
          </w:p>
        </w:tc>
        <w:tc>
          <w:tcPr>
            <w:tcW w:w="720" w:type="dxa"/>
            <w:noWrap w:val="0"/>
            <w:vAlign w:val="top"/>
          </w:tcPr>
          <w:p>
            <w:pPr>
              <w:spacing w:line="360" w:lineRule="auto"/>
              <w:jc w:val="center"/>
              <w:rPr>
                <w:sz w:val="24"/>
              </w:rPr>
            </w:pPr>
          </w:p>
        </w:tc>
        <w:tc>
          <w:tcPr>
            <w:tcW w:w="1260" w:type="dxa"/>
            <w:noWrap w:val="0"/>
            <w:vAlign w:val="top"/>
          </w:tcPr>
          <w:p>
            <w:pPr>
              <w:spacing w:line="360" w:lineRule="auto"/>
              <w:jc w:val="center"/>
              <w:rPr>
                <w:sz w:val="24"/>
              </w:rPr>
            </w:pPr>
          </w:p>
        </w:tc>
      </w:tr>
    </w:tbl>
    <w:p>
      <w:pPr>
        <w:spacing w:line="360" w:lineRule="auto"/>
        <w:rPr>
          <w:sz w:val="24"/>
        </w:rPr>
      </w:pPr>
      <w:r>
        <w:rPr>
          <w:sz w:val="24"/>
        </w:rPr>
        <w:t>注：可另附文字说明及证明材料复印件。本表可扩展使用。</w:t>
      </w:r>
    </w:p>
    <w:p>
      <w:pPr>
        <w:adjustRightInd w:val="0"/>
        <w:snapToGrid w:val="0"/>
        <w:spacing w:line="360" w:lineRule="auto"/>
        <w:rPr>
          <w:sz w:val="24"/>
        </w:rPr>
      </w:pPr>
      <w:r>
        <w:rPr>
          <w:sz w:val="24"/>
        </w:rPr>
        <w:t xml:space="preserve">供应商：（盖章）       </w:t>
      </w:r>
    </w:p>
    <w:p>
      <w:pPr>
        <w:adjustRightInd w:val="0"/>
        <w:snapToGrid w:val="0"/>
        <w:spacing w:line="360" w:lineRule="auto"/>
        <w:rPr>
          <w:sz w:val="24"/>
        </w:rPr>
      </w:pPr>
    </w:p>
    <w:p>
      <w:pPr>
        <w:adjustRightInd w:val="0"/>
        <w:snapToGrid w:val="0"/>
        <w:spacing w:line="360" w:lineRule="auto"/>
        <w:rPr>
          <w:sz w:val="24"/>
        </w:rPr>
      </w:pPr>
      <w:r>
        <w:rPr>
          <w:sz w:val="24"/>
        </w:rPr>
        <w:t>法定代表人或授权代表人：（签字或盖章）</w:t>
      </w:r>
    </w:p>
    <w:p>
      <w:pPr>
        <w:adjustRightInd w:val="0"/>
        <w:snapToGrid w:val="0"/>
        <w:spacing w:line="360" w:lineRule="auto"/>
        <w:rPr>
          <w:sz w:val="24"/>
        </w:rPr>
      </w:pPr>
    </w:p>
    <w:p>
      <w:pPr>
        <w:adjustRightInd w:val="0"/>
        <w:snapToGrid w:val="0"/>
        <w:spacing w:line="360" w:lineRule="auto"/>
        <w:rPr>
          <w:sz w:val="24"/>
        </w:rPr>
      </w:pPr>
      <w:r>
        <w:rPr>
          <w:sz w:val="24"/>
        </w:rPr>
        <w:t>日期：</w:t>
      </w:r>
    </w:p>
    <w:p>
      <w:pPr>
        <w:spacing w:line="360" w:lineRule="auto"/>
        <w:outlineLvl w:val="1"/>
        <w:rPr>
          <w:b/>
          <w:sz w:val="24"/>
        </w:rPr>
      </w:pPr>
      <w:r>
        <w:rPr>
          <w:b/>
          <w:szCs w:val="28"/>
        </w:rPr>
        <w:br w:type="page"/>
      </w:r>
      <w:bookmarkStart w:id="57" w:name="_Toc18854438"/>
      <w:r>
        <w:rPr>
          <w:b/>
          <w:sz w:val="24"/>
        </w:rPr>
        <w:t>14.</w:t>
      </w:r>
      <w:r>
        <w:t xml:space="preserve"> </w:t>
      </w:r>
      <w:r>
        <w:rPr>
          <w:b/>
          <w:sz w:val="24"/>
        </w:rPr>
        <w:t>同类项目业绩</w:t>
      </w:r>
      <w:bookmarkEnd w:id="57"/>
    </w:p>
    <w:p>
      <w:pPr>
        <w:spacing w:line="360" w:lineRule="auto"/>
        <w:jc w:val="center"/>
        <w:rPr>
          <w:b/>
          <w:sz w:val="28"/>
          <w:szCs w:val="28"/>
        </w:rPr>
      </w:pPr>
      <w:r>
        <w:rPr>
          <w:b/>
          <w:sz w:val="28"/>
          <w:szCs w:val="28"/>
        </w:rPr>
        <w:t>同类项目业绩表</w:t>
      </w:r>
    </w:p>
    <w:p>
      <w:pPr>
        <w:spacing w:line="360" w:lineRule="auto"/>
        <w:rPr>
          <w:sz w:val="24"/>
        </w:rPr>
      </w:pPr>
    </w:p>
    <w:p>
      <w:pPr>
        <w:spacing w:line="360" w:lineRule="auto"/>
        <w:rPr>
          <w:sz w:val="24"/>
          <w:lang w:val="zh-CN"/>
        </w:rPr>
      </w:pPr>
      <w:r>
        <w:rPr>
          <w:sz w:val="24"/>
        </w:rPr>
        <w:t>项目编号:</w:t>
      </w:r>
    </w:p>
    <w:p>
      <w:pPr>
        <w:spacing w:line="360" w:lineRule="auto"/>
        <w:rPr>
          <w:sz w:val="24"/>
        </w:rPr>
      </w:pPr>
      <w:r>
        <w:rPr>
          <w:sz w:val="24"/>
          <w:lang w:val="zh-CN"/>
        </w:rPr>
        <w:t>项目名称：</w:t>
      </w:r>
      <w:r>
        <w:rPr>
          <w:sz w:val="24"/>
        </w:rPr>
        <w:t xml:space="preserve"> </w:t>
      </w:r>
    </w:p>
    <w:tbl>
      <w:tblPr>
        <w:tblStyle w:val="7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650"/>
        <w:gridCol w:w="2048"/>
        <w:gridCol w:w="1560"/>
        <w:gridCol w:w="1694"/>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jc w:val="center"/>
        </w:trPr>
        <w:tc>
          <w:tcPr>
            <w:tcW w:w="750" w:type="dxa"/>
            <w:noWrap w:val="0"/>
            <w:vAlign w:val="center"/>
          </w:tcPr>
          <w:p>
            <w:pPr>
              <w:spacing w:line="360" w:lineRule="auto"/>
              <w:jc w:val="center"/>
              <w:rPr>
                <w:sz w:val="24"/>
              </w:rPr>
            </w:pPr>
            <w:r>
              <w:rPr>
                <w:sz w:val="24"/>
              </w:rPr>
              <w:t>序号</w:t>
            </w:r>
          </w:p>
        </w:tc>
        <w:tc>
          <w:tcPr>
            <w:tcW w:w="1650" w:type="dxa"/>
            <w:noWrap w:val="0"/>
            <w:vAlign w:val="center"/>
          </w:tcPr>
          <w:p>
            <w:pPr>
              <w:spacing w:line="360" w:lineRule="auto"/>
              <w:jc w:val="center"/>
              <w:rPr>
                <w:sz w:val="24"/>
              </w:rPr>
            </w:pPr>
            <w:r>
              <w:rPr>
                <w:sz w:val="24"/>
              </w:rPr>
              <w:t>业主单位</w:t>
            </w:r>
          </w:p>
        </w:tc>
        <w:tc>
          <w:tcPr>
            <w:tcW w:w="2048" w:type="dxa"/>
            <w:noWrap w:val="0"/>
            <w:vAlign w:val="center"/>
          </w:tcPr>
          <w:p>
            <w:pPr>
              <w:spacing w:line="360" w:lineRule="auto"/>
              <w:jc w:val="center"/>
              <w:rPr>
                <w:sz w:val="24"/>
              </w:rPr>
            </w:pPr>
            <w:r>
              <w:rPr>
                <w:sz w:val="24"/>
              </w:rPr>
              <w:t>项目名称及内容</w:t>
            </w:r>
          </w:p>
        </w:tc>
        <w:tc>
          <w:tcPr>
            <w:tcW w:w="1560" w:type="dxa"/>
            <w:noWrap w:val="0"/>
            <w:vAlign w:val="center"/>
          </w:tcPr>
          <w:p>
            <w:pPr>
              <w:spacing w:line="360" w:lineRule="auto"/>
              <w:jc w:val="center"/>
              <w:rPr>
                <w:sz w:val="24"/>
              </w:rPr>
            </w:pPr>
            <w:r>
              <w:rPr>
                <w:sz w:val="24"/>
              </w:rPr>
              <w:t>签约日期</w:t>
            </w:r>
          </w:p>
        </w:tc>
        <w:tc>
          <w:tcPr>
            <w:tcW w:w="1694" w:type="dxa"/>
            <w:noWrap w:val="0"/>
            <w:vAlign w:val="center"/>
          </w:tcPr>
          <w:p>
            <w:pPr>
              <w:spacing w:line="360" w:lineRule="auto"/>
              <w:jc w:val="center"/>
              <w:rPr>
                <w:sz w:val="24"/>
              </w:rPr>
            </w:pPr>
            <w:r>
              <w:rPr>
                <w:sz w:val="24"/>
              </w:rPr>
              <w:t>合同总价</w:t>
            </w:r>
          </w:p>
        </w:tc>
        <w:tc>
          <w:tcPr>
            <w:tcW w:w="1426" w:type="dxa"/>
            <w:noWrap w:val="0"/>
            <w:vAlign w:val="center"/>
          </w:tcPr>
          <w:p>
            <w:pPr>
              <w:spacing w:line="360" w:lineRule="auto"/>
              <w:jc w:val="center"/>
              <w:rPr>
                <w:sz w:val="24"/>
              </w:rPr>
            </w:pPr>
            <w:r>
              <w:rPr>
                <w:sz w:val="24"/>
              </w:rPr>
              <w:t>业主联系人及电话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jc w:val="center"/>
        </w:trPr>
        <w:tc>
          <w:tcPr>
            <w:tcW w:w="750" w:type="dxa"/>
            <w:noWrap w:val="0"/>
            <w:vAlign w:val="top"/>
          </w:tcPr>
          <w:p>
            <w:pPr>
              <w:spacing w:line="360" w:lineRule="auto"/>
              <w:rPr>
                <w:sz w:val="24"/>
              </w:rPr>
            </w:pPr>
          </w:p>
        </w:tc>
        <w:tc>
          <w:tcPr>
            <w:tcW w:w="1650" w:type="dxa"/>
            <w:noWrap w:val="0"/>
            <w:vAlign w:val="top"/>
          </w:tcPr>
          <w:p>
            <w:pPr>
              <w:spacing w:line="360" w:lineRule="auto"/>
              <w:rPr>
                <w:sz w:val="24"/>
              </w:rPr>
            </w:pPr>
          </w:p>
        </w:tc>
        <w:tc>
          <w:tcPr>
            <w:tcW w:w="2048" w:type="dxa"/>
            <w:noWrap w:val="0"/>
            <w:vAlign w:val="top"/>
          </w:tcPr>
          <w:p>
            <w:pPr>
              <w:spacing w:line="360" w:lineRule="auto"/>
              <w:rPr>
                <w:sz w:val="24"/>
              </w:rPr>
            </w:pPr>
          </w:p>
        </w:tc>
        <w:tc>
          <w:tcPr>
            <w:tcW w:w="1560" w:type="dxa"/>
            <w:noWrap w:val="0"/>
            <w:vAlign w:val="top"/>
          </w:tcPr>
          <w:p>
            <w:pPr>
              <w:spacing w:line="360" w:lineRule="auto"/>
              <w:rPr>
                <w:sz w:val="24"/>
              </w:rPr>
            </w:pPr>
          </w:p>
        </w:tc>
        <w:tc>
          <w:tcPr>
            <w:tcW w:w="1694" w:type="dxa"/>
            <w:noWrap w:val="0"/>
            <w:vAlign w:val="top"/>
          </w:tcPr>
          <w:p>
            <w:pPr>
              <w:spacing w:line="360" w:lineRule="auto"/>
              <w:rPr>
                <w:sz w:val="24"/>
              </w:rPr>
            </w:pPr>
          </w:p>
        </w:tc>
        <w:tc>
          <w:tcPr>
            <w:tcW w:w="1426" w:type="dxa"/>
            <w:noWrap w:val="0"/>
            <w:vAlign w:val="top"/>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jc w:val="center"/>
        </w:trPr>
        <w:tc>
          <w:tcPr>
            <w:tcW w:w="750" w:type="dxa"/>
            <w:noWrap w:val="0"/>
            <w:vAlign w:val="top"/>
          </w:tcPr>
          <w:p>
            <w:pPr>
              <w:spacing w:line="360" w:lineRule="auto"/>
              <w:rPr>
                <w:sz w:val="24"/>
              </w:rPr>
            </w:pPr>
          </w:p>
        </w:tc>
        <w:tc>
          <w:tcPr>
            <w:tcW w:w="1650" w:type="dxa"/>
            <w:noWrap w:val="0"/>
            <w:vAlign w:val="top"/>
          </w:tcPr>
          <w:p>
            <w:pPr>
              <w:spacing w:line="360" w:lineRule="auto"/>
              <w:rPr>
                <w:sz w:val="24"/>
              </w:rPr>
            </w:pPr>
          </w:p>
        </w:tc>
        <w:tc>
          <w:tcPr>
            <w:tcW w:w="2048" w:type="dxa"/>
            <w:noWrap w:val="0"/>
            <w:vAlign w:val="top"/>
          </w:tcPr>
          <w:p>
            <w:pPr>
              <w:spacing w:line="360" w:lineRule="auto"/>
              <w:rPr>
                <w:sz w:val="24"/>
              </w:rPr>
            </w:pPr>
          </w:p>
        </w:tc>
        <w:tc>
          <w:tcPr>
            <w:tcW w:w="1560" w:type="dxa"/>
            <w:noWrap w:val="0"/>
            <w:vAlign w:val="top"/>
          </w:tcPr>
          <w:p>
            <w:pPr>
              <w:spacing w:line="360" w:lineRule="auto"/>
              <w:rPr>
                <w:sz w:val="24"/>
              </w:rPr>
            </w:pPr>
          </w:p>
        </w:tc>
        <w:tc>
          <w:tcPr>
            <w:tcW w:w="1694" w:type="dxa"/>
            <w:noWrap w:val="0"/>
            <w:vAlign w:val="top"/>
          </w:tcPr>
          <w:p>
            <w:pPr>
              <w:spacing w:line="360" w:lineRule="auto"/>
              <w:rPr>
                <w:sz w:val="24"/>
              </w:rPr>
            </w:pPr>
          </w:p>
        </w:tc>
        <w:tc>
          <w:tcPr>
            <w:tcW w:w="1426" w:type="dxa"/>
            <w:noWrap w:val="0"/>
            <w:vAlign w:val="top"/>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jc w:val="center"/>
        </w:trPr>
        <w:tc>
          <w:tcPr>
            <w:tcW w:w="750" w:type="dxa"/>
            <w:noWrap w:val="0"/>
            <w:vAlign w:val="top"/>
          </w:tcPr>
          <w:p>
            <w:pPr>
              <w:spacing w:line="360" w:lineRule="auto"/>
              <w:rPr>
                <w:sz w:val="24"/>
              </w:rPr>
            </w:pPr>
          </w:p>
        </w:tc>
        <w:tc>
          <w:tcPr>
            <w:tcW w:w="1650" w:type="dxa"/>
            <w:noWrap w:val="0"/>
            <w:vAlign w:val="top"/>
          </w:tcPr>
          <w:p>
            <w:pPr>
              <w:spacing w:line="360" w:lineRule="auto"/>
              <w:rPr>
                <w:sz w:val="24"/>
              </w:rPr>
            </w:pPr>
          </w:p>
        </w:tc>
        <w:tc>
          <w:tcPr>
            <w:tcW w:w="2048" w:type="dxa"/>
            <w:noWrap w:val="0"/>
            <w:vAlign w:val="top"/>
          </w:tcPr>
          <w:p>
            <w:pPr>
              <w:spacing w:line="360" w:lineRule="auto"/>
              <w:rPr>
                <w:sz w:val="24"/>
              </w:rPr>
            </w:pPr>
          </w:p>
        </w:tc>
        <w:tc>
          <w:tcPr>
            <w:tcW w:w="1560" w:type="dxa"/>
            <w:noWrap w:val="0"/>
            <w:vAlign w:val="top"/>
          </w:tcPr>
          <w:p>
            <w:pPr>
              <w:spacing w:line="360" w:lineRule="auto"/>
              <w:rPr>
                <w:sz w:val="24"/>
              </w:rPr>
            </w:pPr>
          </w:p>
        </w:tc>
        <w:tc>
          <w:tcPr>
            <w:tcW w:w="1694" w:type="dxa"/>
            <w:noWrap w:val="0"/>
            <w:vAlign w:val="top"/>
          </w:tcPr>
          <w:p>
            <w:pPr>
              <w:spacing w:line="360" w:lineRule="auto"/>
              <w:rPr>
                <w:sz w:val="24"/>
              </w:rPr>
            </w:pPr>
          </w:p>
        </w:tc>
        <w:tc>
          <w:tcPr>
            <w:tcW w:w="1426" w:type="dxa"/>
            <w:noWrap w:val="0"/>
            <w:vAlign w:val="top"/>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jc w:val="center"/>
        </w:trPr>
        <w:tc>
          <w:tcPr>
            <w:tcW w:w="750" w:type="dxa"/>
            <w:noWrap w:val="0"/>
            <w:vAlign w:val="top"/>
          </w:tcPr>
          <w:p>
            <w:pPr>
              <w:spacing w:line="360" w:lineRule="auto"/>
              <w:rPr>
                <w:sz w:val="24"/>
              </w:rPr>
            </w:pPr>
          </w:p>
        </w:tc>
        <w:tc>
          <w:tcPr>
            <w:tcW w:w="1650" w:type="dxa"/>
            <w:noWrap w:val="0"/>
            <w:vAlign w:val="top"/>
          </w:tcPr>
          <w:p>
            <w:pPr>
              <w:spacing w:line="360" w:lineRule="auto"/>
              <w:rPr>
                <w:sz w:val="24"/>
              </w:rPr>
            </w:pPr>
          </w:p>
        </w:tc>
        <w:tc>
          <w:tcPr>
            <w:tcW w:w="2048" w:type="dxa"/>
            <w:noWrap w:val="0"/>
            <w:vAlign w:val="top"/>
          </w:tcPr>
          <w:p>
            <w:pPr>
              <w:spacing w:line="360" w:lineRule="auto"/>
              <w:rPr>
                <w:sz w:val="24"/>
              </w:rPr>
            </w:pPr>
          </w:p>
        </w:tc>
        <w:tc>
          <w:tcPr>
            <w:tcW w:w="1560" w:type="dxa"/>
            <w:noWrap w:val="0"/>
            <w:vAlign w:val="top"/>
          </w:tcPr>
          <w:p>
            <w:pPr>
              <w:spacing w:line="360" w:lineRule="auto"/>
              <w:rPr>
                <w:sz w:val="24"/>
              </w:rPr>
            </w:pPr>
          </w:p>
        </w:tc>
        <w:tc>
          <w:tcPr>
            <w:tcW w:w="1694" w:type="dxa"/>
            <w:noWrap w:val="0"/>
            <w:vAlign w:val="top"/>
          </w:tcPr>
          <w:p>
            <w:pPr>
              <w:spacing w:line="360" w:lineRule="auto"/>
              <w:rPr>
                <w:sz w:val="24"/>
              </w:rPr>
            </w:pPr>
          </w:p>
        </w:tc>
        <w:tc>
          <w:tcPr>
            <w:tcW w:w="1426" w:type="dxa"/>
            <w:noWrap w:val="0"/>
            <w:vAlign w:val="top"/>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jc w:val="center"/>
        </w:trPr>
        <w:tc>
          <w:tcPr>
            <w:tcW w:w="750" w:type="dxa"/>
            <w:noWrap w:val="0"/>
            <w:vAlign w:val="top"/>
          </w:tcPr>
          <w:p>
            <w:pPr>
              <w:spacing w:line="360" w:lineRule="auto"/>
              <w:rPr>
                <w:sz w:val="24"/>
              </w:rPr>
            </w:pPr>
          </w:p>
        </w:tc>
        <w:tc>
          <w:tcPr>
            <w:tcW w:w="1650" w:type="dxa"/>
            <w:noWrap w:val="0"/>
            <w:vAlign w:val="top"/>
          </w:tcPr>
          <w:p>
            <w:pPr>
              <w:spacing w:line="360" w:lineRule="auto"/>
              <w:rPr>
                <w:sz w:val="24"/>
              </w:rPr>
            </w:pPr>
          </w:p>
        </w:tc>
        <w:tc>
          <w:tcPr>
            <w:tcW w:w="2048" w:type="dxa"/>
            <w:noWrap w:val="0"/>
            <w:vAlign w:val="top"/>
          </w:tcPr>
          <w:p>
            <w:pPr>
              <w:spacing w:line="360" w:lineRule="auto"/>
              <w:rPr>
                <w:sz w:val="24"/>
              </w:rPr>
            </w:pPr>
          </w:p>
        </w:tc>
        <w:tc>
          <w:tcPr>
            <w:tcW w:w="1560" w:type="dxa"/>
            <w:noWrap w:val="0"/>
            <w:vAlign w:val="top"/>
          </w:tcPr>
          <w:p>
            <w:pPr>
              <w:spacing w:line="360" w:lineRule="auto"/>
              <w:rPr>
                <w:sz w:val="24"/>
              </w:rPr>
            </w:pPr>
          </w:p>
        </w:tc>
        <w:tc>
          <w:tcPr>
            <w:tcW w:w="1694" w:type="dxa"/>
            <w:noWrap w:val="0"/>
            <w:vAlign w:val="top"/>
          </w:tcPr>
          <w:p>
            <w:pPr>
              <w:spacing w:line="360" w:lineRule="auto"/>
              <w:rPr>
                <w:sz w:val="24"/>
              </w:rPr>
            </w:pPr>
          </w:p>
        </w:tc>
        <w:tc>
          <w:tcPr>
            <w:tcW w:w="1426" w:type="dxa"/>
            <w:noWrap w:val="0"/>
            <w:vAlign w:val="top"/>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jc w:val="center"/>
        </w:trPr>
        <w:tc>
          <w:tcPr>
            <w:tcW w:w="750" w:type="dxa"/>
            <w:noWrap w:val="0"/>
            <w:vAlign w:val="top"/>
          </w:tcPr>
          <w:p>
            <w:pPr>
              <w:spacing w:line="360" w:lineRule="auto"/>
              <w:rPr>
                <w:sz w:val="24"/>
              </w:rPr>
            </w:pPr>
          </w:p>
        </w:tc>
        <w:tc>
          <w:tcPr>
            <w:tcW w:w="1650" w:type="dxa"/>
            <w:noWrap w:val="0"/>
            <w:vAlign w:val="top"/>
          </w:tcPr>
          <w:p>
            <w:pPr>
              <w:spacing w:line="360" w:lineRule="auto"/>
              <w:rPr>
                <w:sz w:val="24"/>
              </w:rPr>
            </w:pPr>
          </w:p>
        </w:tc>
        <w:tc>
          <w:tcPr>
            <w:tcW w:w="2048" w:type="dxa"/>
            <w:noWrap w:val="0"/>
            <w:vAlign w:val="top"/>
          </w:tcPr>
          <w:p>
            <w:pPr>
              <w:spacing w:line="360" w:lineRule="auto"/>
              <w:rPr>
                <w:sz w:val="24"/>
              </w:rPr>
            </w:pPr>
          </w:p>
        </w:tc>
        <w:tc>
          <w:tcPr>
            <w:tcW w:w="1560" w:type="dxa"/>
            <w:noWrap w:val="0"/>
            <w:vAlign w:val="top"/>
          </w:tcPr>
          <w:p>
            <w:pPr>
              <w:spacing w:line="360" w:lineRule="auto"/>
              <w:rPr>
                <w:sz w:val="24"/>
              </w:rPr>
            </w:pPr>
          </w:p>
        </w:tc>
        <w:tc>
          <w:tcPr>
            <w:tcW w:w="1694" w:type="dxa"/>
            <w:noWrap w:val="0"/>
            <w:vAlign w:val="top"/>
          </w:tcPr>
          <w:p>
            <w:pPr>
              <w:spacing w:line="360" w:lineRule="auto"/>
              <w:rPr>
                <w:sz w:val="24"/>
              </w:rPr>
            </w:pPr>
          </w:p>
        </w:tc>
        <w:tc>
          <w:tcPr>
            <w:tcW w:w="1426" w:type="dxa"/>
            <w:noWrap w:val="0"/>
            <w:vAlign w:val="top"/>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jc w:val="center"/>
        </w:trPr>
        <w:tc>
          <w:tcPr>
            <w:tcW w:w="750" w:type="dxa"/>
            <w:noWrap w:val="0"/>
            <w:vAlign w:val="top"/>
          </w:tcPr>
          <w:p>
            <w:pPr>
              <w:spacing w:line="360" w:lineRule="auto"/>
              <w:rPr>
                <w:sz w:val="24"/>
              </w:rPr>
            </w:pPr>
          </w:p>
        </w:tc>
        <w:tc>
          <w:tcPr>
            <w:tcW w:w="1650" w:type="dxa"/>
            <w:noWrap w:val="0"/>
            <w:vAlign w:val="top"/>
          </w:tcPr>
          <w:p>
            <w:pPr>
              <w:spacing w:line="360" w:lineRule="auto"/>
              <w:rPr>
                <w:sz w:val="24"/>
              </w:rPr>
            </w:pPr>
          </w:p>
        </w:tc>
        <w:tc>
          <w:tcPr>
            <w:tcW w:w="2048" w:type="dxa"/>
            <w:noWrap w:val="0"/>
            <w:vAlign w:val="top"/>
          </w:tcPr>
          <w:p>
            <w:pPr>
              <w:spacing w:line="360" w:lineRule="auto"/>
              <w:rPr>
                <w:sz w:val="24"/>
              </w:rPr>
            </w:pPr>
          </w:p>
        </w:tc>
        <w:tc>
          <w:tcPr>
            <w:tcW w:w="1560" w:type="dxa"/>
            <w:noWrap w:val="0"/>
            <w:vAlign w:val="top"/>
          </w:tcPr>
          <w:p>
            <w:pPr>
              <w:spacing w:line="360" w:lineRule="auto"/>
              <w:rPr>
                <w:sz w:val="24"/>
              </w:rPr>
            </w:pPr>
          </w:p>
        </w:tc>
        <w:tc>
          <w:tcPr>
            <w:tcW w:w="1694" w:type="dxa"/>
            <w:noWrap w:val="0"/>
            <w:vAlign w:val="top"/>
          </w:tcPr>
          <w:p>
            <w:pPr>
              <w:spacing w:line="360" w:lineRule="auto"/>
              <w:rPr>
                <w:sz w:val="24"/>
              </w:rPr>
            </w:pPr>
          </w:p>
        </w:tc>
        <w:tc>
          <w:tcPr>
            <w:tcW w:w="1426" w:type="dxa"/>
            <w:noWrap w:val="0"/>
            <w:vAlign w:val="top"/>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jc w:val="center"/>
        </w:trPr>
        <w:tc>
          <w:tcPr>
            <w:tcW w:w="750" w:type="dxa"/>
            <w:noWrap w:val="0"/>
            <w:vAlign w:val="top"/>
          </w:tcPr>
          <w:p>
            <w:pPr>
              <w:spacing w:line="360" w:lineRule="auto"/>
              <w:rPr>
                <w:sz w:val="24"/>
              </w:rPr>
            </w:pPr>
          </w:p>
        </w:tc>
        <w:tc>
          <w:tcPr>
            <w:tcW w:w="1650" w:type="dxa"/>
            <w:noWrap w:val="0"/>
            <w:vAlign w:val="top"/>
          </w:tcPr>
          <w:p>
            <w:pPr>
              <w:spacing w:line="360" w:lineRule="auto"/>
              <w:rPr>
                <w:sz w:val="24"/>
              </w:rPr>
            </w:pPr>
          </w:p>
        </w:tc>
        <w:tc>
          <w:tcPr>
            <w:tcW w:w="2048" w:type="dxa"/>
            <w:noWrap w:val="0"/>
            <w:vAlign w:val="top"/>
          </w:tcPr>
          <w:p>
            <w:pPr>
              <w:spacing w:line="360" w:lineRule="auto"/>
              <w:rPr>
                <w:sz w:val="24"/>
              </w:rPr>
            </w:pPr>
          </w:p>
        </w:tc>
        <w:tc>
          <w:tcPr>
            <w:tcW w:w="1560" w:type="dxa"/>
            <w:noWrap w:val="0"/>
            <w:vAlign w:val="top"/>
          </w:tcPr>
          <w:p>
            <w:pPr>
              <w:spacing w:line="360" w:lineRule="auto"/>
              <w:rPr>
                <w:sz w:val="24"/>
              </w:rPr>
            </w:pPr>
          </w:p>
        </w:tc>
        <w:tc>
          <w:tcPr>
            <w:tcW w:w="1694" w:type="dxa"/>
            <w:noWrap w:val="0"/>
            <w:vAlign w:val="top"/>
          </w:tcPr>
          <w:p>
            <w:pPr>
              <w:spacing w:line="360" w:lineRule="auto"/>
              <w:rPr>
                <w:sz w:val="24"/>
              </w:rPr>
            </w:pPr>
          </w:p>
        </w:tc>
        <w:tc>
          <w:tcPr>
            <w:tcW w:w="1426" w:type="dxa"/>
            <w:noWrap w:val="0"/>
            <w:vAlign w:val="top"/>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77" w:hRule="atLeast"/>
          <w:jc w:val="center"/>
        </w:trPr>
        <w:tc>
          <w:tcPr>
            <w:tcW w:w="750" w:type="dxa"/>
            <w:noWrap w:val="0"/>
            <w:vAlign w:val="top"/>
          </w:tcPr>
          <w:p>
            <w:pPr>
              <w:spacing w:line="360" w:lineRule="auto"/>
              <w:rPr>
                <w:sz w:val="24"/>
              </w:rPr>
            </w:pPr>
          </w:p>
        </w:tc>
        <w:tc>
          <w:tcPr>
            <w:tcW w:w="1650" w:type="dxa"/>
            <w:noWrap w:val="0"/>
            <w:vAlign w:val="top"/>
          </w:tcPr>
          <w:p>
            <w:pPr>
              <w:spacing w:line="360" w:lineRule="auto"/>
              <w:rPr>
                <w:sz w:val="24"/>
              </w:rPr>
            </w:pPr>
          </w:p>
        </w:tc>
        <w:tc>
          <w:tcPr>
            <w:tcW w:w="2048" w:type="dxa"/>
            <w:noWrap w:val="0"/>
            <w:vAlign w:val="top"/>
          </w:tcPr>
          <w:p>
            <w:pPr>
              <w:spacing w:line="360" w:lineRule="auto"/>
              <w:rPr>
                <w:sz w:val="24"/>
              </w:rPr>
            </w:pPr>
          </w:p>
        </w:tc>
        <w:tc>
          <w:tcPr>
            <w:tcW w:w="1560" w:type="dxa"/>
            <w:noWrap w:val="0"/>
            <w:vAlign w:val="top"/>
          </w:tcPr>
          <w:p>
            <w:pPr>
              <w:spacing w:line="360" w:lineRule="auto"/>
              <w:rPr>
                <w:sz w:val="24"/>
              </w:rPr>
            </w:pPr>
          </w:p>
        </w:tc>
        <w:tc>
          <w:tcPr>
            <w:tcW w:w="1694" w:type="dxa"/>
            <w:noWrap w:val="0"/>
            <w:vAlign w:val="top"/>
          </w:tcPr>
          <w:p>
            <w:pPr>
              <w:spacing w:line="360" w:lineRule="auto"/>
              <w:rPr>
                <w:sz w:val="24"/>
              </w:rPr>
            </w:pPr>
          </w:p>
        </w:tc>
        <w:tc>
          <w:tcPr>
            <w:tcW w:w="1426" w:type="dxa"/>
            <w:noWrap w:val="0"/>
            <w:vAlign w:val="top"/>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jc w:val="center"/>
        </w:trPr>
        <w:tc>
          <w:tcPr>
            <w:tcW w:w="750" w:type="dxa"/>
            <w:noWrap w:val="0"/>
            <w:vAlign w:val="top"/>
          </w:tcPr>
          <w:p>
            <w:pPr>
              <w:spacing w:line="360" w:lineRule="auto"/>
              <w:rPr>
                <w:sz w:val="24"/>
              </w:rPr>
            </w:pPr>
          </w:p>
        </w:tc>
        <w:tc>
          <w:tcPr>
            <w:tcW w:w="1650" w:type="dxa"/>
            <w:noWrap w:val="0"/>
            <w:vAlign w:val="top"/>
          </w:tcPr>
          <w:p>
            <w:pPr>
              <w:spacing w:line="360" w:lineRule="auto"/>
              <w:rPr>
                <w:sz w:val="24"/>
              </w:rPr>
            </w:pPr>
          </w:p>
        </w:tc>
        <w:tc>
          <w:tcPr>
            <w:tcW w:w="2048" w:type="dxa"/>
            <w:noWrap w:val="0"/>
            <w:vAlign w:val="top"/>
          </w:tcPr>
          <w:p>
            <w:pPr>
              <w:spacing w:line="360" w:lineRule="auto"/>
              <w:rPr>
                <w:sz w:val="24"/>
              </w:rPr>
            </w:pPr>
          </w:p>
        </w:tc>
        <w:tc>
          <w:tcPr>
            <w:tcW w:w="1560" w:type="dxa"/>
            <w:noWrap w:val="0"/>
            <w:vAlign w:val="top"/>
          </w:tcPr>
          <w:p>
            <w:pPr>
              <w:spacing w:line="360" w:lineRule="auto"/>
              <w:rPr>
                <w:sz w:val="24"/>
              </w:rPr>
            </w:pPr>
          </w:p>
        </w:tc>
        <w:tc>
          <w:tcPr>
            <w:tcW w:w="1694" w:type="dxa"/>
            <w:noWrap w:val="0"/>
            <w:vAlign w:val="top"/>
          </w:tcPr>
          <w:p>
            <w:pPr>
              <w:spacing w:line="360" w:lineRule="auto"/>
              <w:rPr>
                <w:sz w:val="24"/>
              </w:rPr>
            </w:pPr>
          </w:p>
        </w:tc>
        <w:tc>
          <w:tcPr>
            <w:tcW w:w="1426" w:type="dxa"/>
            <w:noWrap w:val="0"/>
            <w:vAlign w:val="top"/>
          </w:tcPr>
          <w:p>
            <w:pPr>
              <w:spacing w:line="360" w:lineRule="auto"/>
              <w:rPr>
                <w:sz w:val="24"/>
              </w:rPr>
            </w:pPr>
          </w:p>
        </w:tc>
      </w:tr>
    </w:tbl>
    <w:p>
      <w:pPr>
        <w:spacing w:line="360" w:lineRule="auto"/>
        <w:rPr>
          <w:sz w:val="24"/>
        </w:rPr>
      </w:pPr>
      <w:r>
        <w:rPr>
          <w:sz w:val="24"/>
        </w:rPr>
        <w:t>备注：业绩须附合同复印件或业主证明，原件备查。本表可扩展使用。</w:t>
      </w:r>
    </w:p>
    <w:p>
      <w:pPr>
        <w:spacing w:line="360" w:lineRule="auto"/>
        <w:rPr>
          <w:sz w:val="24"/>
        </w:rPr>
      </w:pPr>
    </w:p>
    <w:p>
      <w:pPr>
        <w:adjustRightInd w:val="0"/>
        <w:snapToGrid w:val="0"/>
        <w:spacing w:line="360" w:lineRule="auto"/>
        <w:rPr>
          <w:sz w:val="24"/>
        </w:rPr>
      </w:pPr>
      <w:r>
        <w:rPr>
          <w:sz w:val="24"/>
        </w:rPr>
        <w:t xml:space="preserve">供应商：（盖章）       </w:t>
      </w:r>
    </w:p>
    <w:p>
      <w:pPr>
        <w:adjustRightInd w:val="0"/>
        <w:snapToGrid w:val="0"/>
        <w:spacing w:line="360" w:lineRule="auto"/>
        <w:rPr>
          <w:sz w:val="24"/>
        </w:rPr>
      </w:pPr>
    </w:p>
    <w:p>
      <w:pPr>
        <w:adjustRightInd w:val="0"/>
        <w:snapToGrid w:val="0"/>
        <w:spacing w:line="360" w:lineRule="auto"/>
        <w:rPr>
          <w:sz w:val="24"/>
        </w:rPr>
      </w:pPr>
      <w:r>
        <w:rPr>
          <w:sz w:val="24"/>
        </w:rPr>
        <w:t>法定代表人或授权代表人：（签字或盖章）</w:t>
      </w:r>
    </w:p>
    <w:p>
      <w:pPr>
        <w:adjustRightInd w:val="0"/>
        <w:snapToGrid w:val="0"/>
        <w:spacing w:line="360" w:lineRule="auto"/>
        <w:rPr>
          <w:sz w:val="24"/>
        </w:rPr>
      </w:pPr>
    </w:p>
    <w:p>
      <w:pPr>
        <w:adjustRightInd w:val="0"/>
        <w:snapToGrid w:val="0"/>
        <w:spacing w:line="360" w:lineRule="auto"/>
        <w:rPr>
          <w:sz w:val="24"/>
        </w:rPr>
      </w:pPr>
      <w:r>
        <w:rPr>
          <w:sz w:val="24"/>
        </w:rPr>
        <w:t>日期：</w:t>
      </w:r>
    </w:p>
    <w:p>
      <w:pPr>
        <w:snapToGrid w:val="0"/>
        <w:spacing w:line="360" w:lineRule="auto"/>
        <w:jc w:val="left"/>
        <w:outlineLvl w:val="1"/>
        <w:rPr>
          <w:b/>
          <w:sz w:val="24"/>
          <w:szCs w:val="20"/>
        </w:rPr>
      </w:pPr>
      <w:r>
        <w:rPr>
          <w:b/>
        </w:rPr>
        <w:br w:type="page"/>
      </w:r>
      <w:bookmarkStart w:id="58" w:name="_Toc18854439"/>
      <w:r>
        <w:rPr>
          <w:b/>
          <w:sz w:val="24"/>
        </w:rPr>
        <w:t>15.报价文件目录</w:t>
      </w:r>
      <w:bookmarkEnd w:id="58"/>
    </w:p>
    <w:p>
      <w:pPr>
        <w:pStyle w:val="41"/>
        <w:snapToGrid w:val="0"/>
        <w:spacing w:line="360" w:lineRule="auto"/>
        <w:ind w:leftChars="0" w:firstLine="480" w:firstLineChars="200"/>
        <w:rPr>
          <w:rFonts w:eastAsia="宋体"/>
          <w:sz w:val="24"/>
          <w:szCs w:val="24"/>
        </w:rPr>
      </w:pPr>
      <w:r>
        <w:rPr>
          <w:rFonts w:eastAsia="宋体"/>
          <w:sz w:val="24"/>
          <w:szCs w:val="24"/>
        </w:rPr>
        <w:t>（1）开标一览表（格式见第六章）；</w:t>
      </w:r>
    </w:p>
    <w:p>
      <w:pPr>
        <w:pStyle w:val="41"/>
        <w:snapToGrid w:val="0"/>
        <w:spacing w:line="360" w:lineRule="auto"/>
        <w:ind w:leftChars="0" w:firstLine="480" w:firstLineChars="200"/>
        <w:rPr>
          <w:rFonts w:eastAsia="宋体"/>
          <w:sz w:val="24"/>
          <w:szCs w:val="24"/>
        </w:rPr>
      </w:pPr>
      <w:r>
        <w:rPr>
          <w:rFonts w:eastAsia="宋体"/>
          <w:sz w:val="24"/>
          <w:szCs w:val="24"/>
        </w:rPr>
        <w:t>（2）投标报价明细表（格式见第六章）；</w:t>
      </w:r>
    </w:p>
    <w:p>
      <w:pPr>
        <w:pStyle w:val="41"/>
        <w:snapToGrid w:val="0"/>
        <w:spacing w:line="360" w:lineRule="auto"/>
        <w:ind w:leftChars="0" w:firstLine="480" w:firstLineChars="200"/>
        <w:rPr>
          <w:rFonts w:eastAsia="宋体"/>
          <w:sz w:val="24"/>
          <w:szCs w:val="24"/>
        </w:rPr>
        <w:sectPr>
          <w:footerReference r:id="rId14" w:type="default"/>
          <w:footerReference r:id="rId15" w:type="even"/>
          <w:pgSz w:w="11906" w:h="16838"/>
          <w:pgMar w:top="1588" w:right="1474" w:bottom="1588" w:left="1474" w:header="851" w:footer="992" w:gutter="0"/>
          <w:cols w:space="720" w:num="1"/>
          <w:docGrid w:linePitch="602" w:charSpace="-1675"/>
        </w:sectPr>
      </w:pPr>
      <w:r>
        <w:rPr>
          <w:rFonts w:eastAsia="宋体"/>
          <w:sz w:val="24"/>
          <w:szCs w:val="24"/>
        </w:rPr>
        <w:t>（3）投标人针对报价需要说明的其他文件和说明（如有）。</w:t>
      </w:r>
    </w:p>
    <w:p>
      <w:pPr>
        <w:pStyle w:val="37"/>
        <w:snapToGrid w:val="0"/>
        <w:spacing w:before="295" w:beforeLines="0" w:after="295" w:afterLines="0" w:line="240" w:lineRule="auto"/>
        <w:outlineLvl w:val="1"/>
        <w:rPr>
          <w:rFonts w:ascii="Times New Roman" w:hAnsi="Times New Roman"/>
          <w:b/>
          <w:szCs w:val="20"/>
        </w:rPr>
      </w:pPr>
      <w:bookmarkStart w:id="59" w:name="_Toc18854440"/>
      <w:r>
        <w:rPr>
          <w:rFonts w:ascii="Times New Roman" w:hAnsi="Times New Roman"/>
          <w:b/>
        </w:rPr>
        <w:t>16.开标一览表</w:t>
      </w:r>
      <w:bookmarkEnd w:id="59"/>
    </w:p>
    <w:p>
      <w:pPr>
        <w:spacing w:line="360" w:lineRule="auto"/>
        <w:jc w:val="center"/>
        <w:rPr>
          <w:spacing w:val="20"/>
          <w:sz w:val="32"/>
          <w:szCs w:val="32"/>
        </w:rPr>
      </w:pPr>
      <w:r>
        <w:rPr>
          <w:spacing w:val="20"/>
          <w:sz w:val="32"/>
          <w:szCs w:val="32"/>
        </w:rPr>
        <w:t>开标一览表</w:t>
      </w:r>
    </w:p>
    <w:p>
      <w:pPr>
        <w:spacing w:line="360" w:lineRule="auto"/>
        <w:rPr>
          <w:spacing w:val="20"/>
        </w:rPr>
      </w:pPr>
    </w:p>
    <w:p>
      <w:pPr>
        <w:spacing w:line="360" w:lineRule="auto"/>
        <w:rPr>
          <w:spacing w:val="20"/>
          <w:sz w:val="24"/>
        </w:rPr>
      </w:pPr>
      <w:r>
        <w:rPr>
          <w:sz w:val="24"/>
        </w:rPr>
        <w:t>招标编号：</w:t>
      </w:r>
      <w:r>
        <w:rPr>
          <w:spacing w:val="20"/>
          <w:sz w:val="24"/>
          <w:u w:val="single"/>
        </w:rPr>
        <w:t xml:space="preserve">                       </w:t>
      </w:r>
      <w:r>
        <w:rPr>
          <w:spacing w:val="20"/>
          <w:sz w:val="24"/>
        </w:rPr>
        <w:t xml:space="preserve">     </w:t>
      </w:r>
      <w:r>
        <w:rPr>
          <w:sz w:val="24"/>
        </w:rPr>
        <w:t>项目名称：</w:t>
      </w:r>
      <w:r>
        <w:rPr>
          <w:sz w:val="24"/>
          <w:u w:val="single"/>
        </w:rPr>
        <w:t xml:space="preserve">               </w:t>
      </w:r>
    </w:p>
    <w:tbl>
      <w:tblPr>
        <w:tblStyle w:val="70"/>
        <w:tblW w:w="97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628"/>
        <w:gridCol w:w="2516"/>
        <w:gridCol w:w="1746"/>
        <w:gridCol w:w="1117"/>
        <w:gridCol w:w="1279"/>
        <w:gridCol w:w="1239"/>
        <w:gridCol w:w="1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wBefore w:w="0" w:type="dxa"/>
          <w:trHeight w:val="694" w:hRule="atLeast"/>
          <w:jc w:val="center"/>
        </w:trPr>
        <w:tc>
          <w:tcPr>
            <w:tcW w:w="629" w:type="dxa"/>
            <w:noWrap w:val="0"/>
            <w:vAlign w:val="center"/>
          </w:tcPr>
          <w:p>
            <w:pPr>
              <w:jc w:val="center"/>
              <w:rPr>
                <w:b/>
                <w:bCs/>
                <w:szCs w:val="21"/>
              </w:rPr>
            </w:pPr>
            <w:r>
              <w:rPr>
                <w:b/>
                <w:bCs/>
                <w:szCs w:val="21"/>
              </w:rPr>
              <w:t>序号</w:t>
            </w:r>
          </w:p>
        </w:tc>
        <w:tc>
          <w:tcPr>
            <w:tcW w:w="2516" w:type="dxa"/>
            <w:noWrap w:val="0"/>
            <w:vAlign w:val="center"/>
          </w:tcPr>
          <w:p>
            <w:pPr>
              <w:jc w:val="center"/>
              <w:rPr>
                <w:b/>
                <w:bCs/>
                <w:szCs w:val="21"/>
              </w:rPr>
            </w:pPr>
            <w:r>
              <w:rPr>
                <w:b/>
                <w:bCs/>
                <w:szCs w:val="21"/>
              </w:rPr>
              <w:t>采购单位</w:t>
            </w:r>
          </w:p>
        </w:tc>
        <w:tc>
          <w:tcPr>
            <w:tcW w:w="1746" w:type="dxa"/>
            <w:tcBorders>
              <w:right w:val="single" w:color="auto" w:sz="4" w:space="0"/>
            </w:tcBorders>
            <w:noWrap w:val="0"/>
            <w:vAlign w:val="center"/>
          </w:tcPr>
          <w:p>
            <w:pPr>
              <w:jc w:val="center"/>
              <w:rPr>
                <w:b/>
                <w:bCs/>
                <w:szCs w:val="21"/>
              </w:rPr>
            </w:pPr>
            <w:r>
              <w:rPr>
                <w:b/>
                <w:bCs/>
                <w:szCs w:val="21"/>
              </w:rPr>
              <w:t>服务名称</w:t>
            </w:r>
          </w:p>
        </w:tc>
        <w:tc>
          <w:tcPr>
            <w:tcW w:w="1116" w:type="dxa"/>
            <w:tcBorders>
              <w:left w:val="single" w:color="auto" w:sz="4" w:space="0"/>
            </w:tcBorders>
            <w:noWrap w:val="0"/>
            <w:vAlign w:val="center"/>
          </w:tcPr>
          <w:p>
            <w:pPr>
              <w:jc w:val="center"/>
              <w:rPr>
                <w:b/>
                <w:bCs/>
                <w:szCs w:val="21"/>
              </w:rPr>
            </w:pPr>
            <w:r>
              <w:rPr>
                <w:rFonts w:hint="eastAsia"/>
                <w:b/>
                <w:bCs/>
                <w:szCs w:val="21"/>
              </w:rPr>
              <w:t>第1年总价</w:t>
            </w:r>
          </w:p>
        </w:tc>
        <w:tc>
          <w:tcPr>
            <w:tcW w:w="1279" w:type="dxa"/>
            <w:noWrap w:val="0"/>
            <w:vAlign w:val="center"/>
          </w:tcPr>
          <w:p>
            <w:pPr>
              <w:jc w:val="center"/>
              <w:rPr>
                <w:b/>
                <w:bCs/>
                <w:szCs w:val="21"/>
              </w:rPr>
            </w:pPr>
            <w:r>
              <w:rPr>
                <w:rFonts w:hint="eastAsia"/>
                <w:b/>
                <w:bCs/>
                <w:szCs w:val="21"/>
              </w:rPr>
              <w:t>第2</w:t>
            </w:r>
            <w:r>
              <w:rPr>
                <w:b/>
                <w:bCs/>
                <w:szCs w:val="21"/>
              </w:rPr>
              <w:t>年总价</w:t>
            </w:r>
          </w:p>
        </w:tc>
        <w:tc>
          <w:tcPr>
            <w:tcW w:w="1239" w:type="dxa"/>
            <w:noWrap w:val="0"/>
            <w:vAlign w:val="center"/>
          </w:tcPr>
          <w:p>
            <w:pPr>
              <w:jc w:val="center"/>
              <w:rPr>
                <w:b/>
                <w:bCs/>
                <w:szCs w:val="21"/>
              </w:rPr>
            </w:pPr>
            <w:r>
              <w:rPr>
                <w:rFonts w:hint="eastAsia"/>
                <w:b/>
                <w:bCs/>
                <w:szCs w:val="21"/>
              </w:rPr>
              <w:t>2年总价</w:t>
            </w:r>
          </w:p>
        </w:tc>
        <w:tc>
          <w:tcPr>
            <w:tcW w:w="1239" w:type="dxa"/>
            <w:noWrap w:val="0"/>
            <w:vAlign w:val="center"/>
          </w:tcPr>
          <w:p>
            <w:pPr>
              <w:jc w:val="center"/>
              <w:rPr>
                <w:b/>
                <w:bCs/>
                <w:szCs w:val="21"/>
              </w:rPr>
            </w:pPr>
            <w:r>
              <w:rPr>
                <w:b/>
                <w:bCs/>
                <w:szCs w:val="21"/>
              </w:rPr>
              <w:t>项目负责人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wBefore w:w="0" w:type="dxa"/>
          <w:trHeight w:val="775" w:hRule="atLeast"/>
          <w:jc w:val="center"/>
        </w:trPr>
        <w:tc>
          <w:tcPr>
            <w:tcW w:w="629" w:type="dxa"/>
            <w:noWrap w:val="0"/>
            <w:vAlign w:val="center"/>
          </w:tcPr>
          <w:p>
            <w:pPr>
              <w:jc w:val="center"/>
              <w:rPr>
                <w:szCs w:val="21"/>
              </w:rPr>
            </w:pPr>
            <w:r>
              <w:rPr>
                <w:szCs w:val="21"/>
              </w:rPr>
              <w:t>1</w:t>
            </w:r>
          </w:p>
        </w:tc>
        <w:tc>
          <w:tcPr>
            <w:tcW w:w="2516" w:type="dxa"/>
            <w:noWrap w:val="0"/>
            <w:vAlign w:val="center"/>
          </w:tcPr>
          <w:p>
            <w:pPr>
              <w:jc w:val="center"/>
              <w:rPr>
                <w:bCs/>
                <w:szCs w:val="21"/>
              </w:rPr>
            </w:pPr>
            <w:r>
              <w:rPr>
                <w:bCs/>
                <w:szCs w:val="21"/>
              </w:rPr>
              <w:t>温州医科大学附属眼视光医院</w:t>
            </w:r>
            <w:r>
              <w:rPr>
                <w:rFonts w:hint="eastAsia"/>
                <w:bCs/>
                <w:szCs w:val="21"/>
              </w:rPr>
              <w:t>（杭州院区）</w:t>
            </w:r>
          </w:p>
        </w:tc>
        <w:tc>
          <w:tcPr>
            <w:tcW w:w="1746" w:type="dxa"/>
            <w:tcBorders>
              <w:right w:val="single" w:color="auto" w:sz="4" w:space="0"/>
            </w:tcBorders>
            <w:noWrap w:val="0"/>
            <w:vAlign w:val="center"/>
          </w:tcPr>
          <w:p>
            <w:pPr>
              <w:jc w:val="center"/>
              <w:rPr>
                <w:bCs/>
                <w:szCs w:val="21"/>
              </w:rPr>
            </w:pPr>
          </w:p>
        </w:tc>
        <w:tc>
          <w:tcPr>
            <w:tcW w:w="1116" w:type="dxa"/>
            <w:tcBorders>
              <w:left w:val="single" w:color="auto" w:sz="4" w:space="0"/>
            </w:tcBorders>
            <w:noWrap w:val="0"/>
            <w:vAlign w:val="center"/>
          </w:tcPr>
          <w:p>
            <w:pPr>
              <w:jc w:val="center"/>
              <w:rPr>
                <w:bCs/>
                <w:szCs w:val="21"/>
              </w:rPr>
            </w:pPr>
          </w:p>
        </w:tc>
        <w:tc>
          <w:tcPr>
            <w:tcW w:w="1279" w:type="dxa"/>
            <w:noWrap w:val="0"/>
            <w:vAlign w:val="center"/>
          </w:tcPr>
          <w:p>
            <w:pPr>
              <w:jc w:val="center"/>
              <w:rPr>
                <w:szCs w:val="21"/>
              </w:rPr>
            </w:pPr>
          </w:p>
        </w:tc>
        <w:tc>
          <w:tcPr>
            <w:tcW w:w="1239" w:type="dxa"/>
            <w:noWrap w:val="0"/>
            <w:vAlign w:val="center"/>
          </w:tcPr>
          <w:p>
            <w:pPr>
              <w:jc w:val="center"/>
              <w:rPr>
                <w:szCs w:val="21"/>
              </w:rPr>
            </w:pPr>
          </w:p>
        </w:tc>
        <w:tc>
          <w:tcPr>
            <w:tcW w:w="1239" w:type="dxa"/>
            <w:vMerge w:val="restart"/>
            <w:noWrap w:val="0"/>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wBefore w:w="0" w:type="dxa"/>
          <w:trHeight w:val="775" w:hRule="atLeast"/>
          <w:jc w:val="center"/>
        </w:trPr>
        <w:tc>
          <w:tcPr>
            <w:tcW w:w="629" w:type="dxa"/>
            <w:noWrap w:val="0"/>
            <w:vAlign w:val="center"/>
          </w:tcPr>
          <w:p>
            <w:pPr>
              <w:jc w:val="center"/>
              <w:rPr>
                <w:szCs w:val="21"/>
              </w:rPr>
            </w:pPr>
            <w:r>
              <w:rPr>
                <w:szCs w:val="21"/>
              </w:rPr>
              <w:t>2</w:t>
            </w:r>
          </w:p>
        </w:tc>
        <w:tc>
          <w:tcPr>
            <w:tcW w:w="2516" w:type="dxa"/>
            <w:noWrap w:val="0"/>
            <w:vAlign w:val="center"/>
          </w:tcPr>
          <w:p>
            <w:pPr>
              <w:jc w:val="center"/>
              <w:rPr>
                <w:bCs/>
                <w:szCs w:val="21"/>
              </w:rPr>
            </w:pPr>
            <w:r>
              <w:rPr>
                <w:rFonts w:hint="eastAsia"/>
                <w:bCs/>
                <w:szCs w:val="21"/>
              </w:rPr>
              <w:t>杭州眼视光科技有限公司</w:t>
            </w:r>
          </w:p>
        </w:tc>
        <w:tc>
          <w:tcPr>
            <w:tcW w:w="1746" w:type="dxa"/>
            <w:tcBorders>
              <w:right w:val="single" w:color="auto" w:sz="4" w:space="0"/>
            </w:tcBorders>
            <w:noWrap w:val="0"/>
            <w:vAlign w:val="center"/>
          </w:tcPr>
          <w:p>
            <w:pPr>
              <w:jc w:val="center"/>
              <w:rPr>
                <w:bCs/>
                <w:szCs w:val="21"/>
              </w:rPr>
            </w:pPr>
          </w:p>
        </w:tc>
        <w:tc>
          <w:tcPr>
            <w:tcW w:w="1116" w:type="dxa"/>
            <w:tcBorders>
              <w:left w:val="single" w:color="auto" w:sz="4" w:space="0"/>
            </w:tcBorders>
            <w:noWrap w:val="0"/>
            <w:vAlign w:val="center"/>
          </w:tcPr>
          <w:p>
            <w:pPr>
              <w:jc w:val="center"/>
              <w:rPr>
                <w:bCs/>
                <w:szCs w:val="21"/>
              </w:rPr>
            </w:pPr>
          </w:p>
        </w:tc>
        <w:tc>
          <w:tcPr>
            <w:tcW w:w="1279" w:type="dxa"/>
            <w:noWrap w:val="0"/>
            <w:vAlign w:val="center"/>
          </w:tcPr>
          <w:p>
            <w:pPr>
              <w:jc w:val="center"/>
              <w:rPr>
                <w:szCs w:val="21"/>
              </w:rPr>
            </w:pPr>
          </w:p>
        </w:tc>
        <w:tc>
          <w:tcPr>
            <w:tcW w:w="1239" w:type="dxa"/>
            <w:noWrap w:val="0"/>
            <w:vAlign w:val="center"/>
          </w:tcPr>
          <w:p>
            <w:pPr>
              <w:jc w:val="center"/>
              <w:rPr>
                <w:szCs w:val="21"/>
              </w:rPr>
            </w:pPr>
          </w:p>
        </w:tc>
        <w:tc>
          <w:tcPr>
            <w:tcW w:w="1239" w:type="dxa"/>
            <w:vMerge w:val="continue"/>
            <w:noWrap w:val="0"/>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wBefore w:w="0" w:type="dxa"/>
          <w:wAfter w:w="0" w:type="dxa"/>
          <w:trHeight w:val="775" w:hRule="atLeast"/>
          <w:jc w:val="center"/>
        </w:trPr>
        <w:tc>
          <w:tcPr>
            <w:tcW w:w="4890" w:type="dxa"/>
            <w:gridSpan w:val="3"/>
            <w:tcBorders>
              <w:right w:val="single" w:color="auto" w:sz="4" w:space="0"/>
            </w:tcBorders>
            <w:noWrap w:val="0"/>
            <w:vAlign w:val="center"/>
          </w:tcPr>
          <w:p>
            <w:pPr>
              <w:jc w:val="center"/>
              <w:rPr>
                <w:szCs w:val="21"/>
              </w:rPr>
            </w:pPr>
            <w:r>
              <w:rPr>
                <w:szCs w:val="21"/>
              </w:rPr>
              <w:t>投标总价</w:t>
            </w:r>
          </w:p>
        </w:tc>
        <w:tc>
          <w:tcPr>
            <w:tcW w:w="1117" w:type="dxa"/>
            <w:tcBorders>
              <w:left w:val="single" w:color="auto" w:sz="4" w:space="0"/>
            </w:tcBorders>
            <w:noWrap w:val="0"/>
            <w:vAlign w:val="center"/>
          </w:tcPr>
          <w:p>
            <w:pPr>
              <w:jc w:val="center"/>
              <w:rPr>
                <w:szCs w:val="21"/>
              </w:rPr>
            </w:pPr>
          </w:p>
        </w:tc>
        <w:tc>
          <w:tcPr>
            <w:tcW w:w="1279" w:type="dxa"/>
            <w:noWrap w:val="0"/>
            <w:vAlign w:val="center"/>
          </w:tcPr>
          <w:p>
            <w:pPr>
              <w:jc w:val="center"/>
              <w:rPr>
                <w:szCs w:val="21"/>
              </w:rPr>
            </w:pPr>
          </w:p>
        </w:tc>
        <w:tc>
          <w:tcPr>
            <w:tcW w:w="1239" w:type="dxa"/>
            <w:noWrap w:val="0"/>
            <w:vAlign w:val="center"/>
          </w:tcPr>
          <w:p>
            <w:pPr>
              <w:jc w:val="center"/>
              <w:rPr>
                <w:szCs w:val="21"/>
              </w:rPr>
            </w:pPr>
          </w:p>
        </w:tc>
        <w:tc>
          <w:tcPr>
            <w:tcW w:w="1239" w:type="dxa"/>
            <w:noWrap w:val="0"/>
            <w:vAlign w:val="center"/>
          </w:tcPr>
          <w:p>
            <w:pPr>
              <w:jc w:val="center"/>
              <w:rPr>
                <w:szCs w:val="21"/>
              </w:rPr>
            </w:pPr>
            <w:r>
              <w:rPr>
                <w:szCs w:val="21"/>
              </w:rPr>
              <w:t>/</w:t>
            </w:r>
          </w:p>
        </w:tc>
      </w:tr>
    </w:tbl>
    <w:p>
      <w:pPr>
        <w:spacing w:line="360" w:lineRule="auto"/>
        <w:rPr>
          <w:spacing w:val="20"/>
        </w:rPr>
      </w:pPr>
    </w:p>
    <w:p>
      <w:pPr>
        <w:spacing w:line="360" w:lineRule="auto"/>
        <w:rPr>
          <w:b/>
          <w:bCs/>
          <w:kern w:val="0"/>
          <w:szCs w:val="21"/>
        </w:rPr>
      </w:pPr>
      <w:r>
        <w:rPr>
          <w:b/>
          <w:bCs/>
          <w:kern w:val="0"/>
          <w:szCs w:val="21"/>
        </w:rPr>
        <w:t>1.评标委员会对本次报价的合理性进行核查，包括是否包含基本工资、社保、税费、耗材、设备投入、服装、培训费、办公费、投标人利润、其他费用等所有费用。报价明显低于其他投标人的、不满足本次招标文件要求的、恶意低价竞争的，需投标人出示相关说明，不能提供者其投标可能被判定为无效投标。</w:t>
      </w:r>
    </w:p>
    <w:p>
      <w:pPr>
        <w:spacing w:line="360" w:lineRule="auto"/>
        <w:rPr>
          <w:b/>
          <w:bCs/>
          <w:kern w:val="0"/>
          <w:szCs w:val="21"/>
        </w:rPr>
      </w:pPr>
      <w:r>
        <w:rPr>
          <w:b/>
          <w:bCs/>
          <w:kern w:val="0"/>
          <w:szCs w:val="21"/>
        </w:rPr>
        <w:t>2.上述</w:t>
      </w:r>
      <w:r>
        <w:rPr>
          <w:rFonts w:hint="eastAsia"/>
          <w:b/>
          <w:bCs/>
          <w:kern w:val="0"/>
          <w:szCs w:val="21"/>
        </w:rPr>
        <w:t>2</w:t>
      </w:r>
      <w:r>
        <w:rPr>
          <w:b/>
          <w:bCs/>
          <w:kern w:val="0"/>
          <w:szCs w:val="21"/>
        </w:rPr>
        <w:t>年总价必须区分出最终各单位的结算总价，且该总价不能超过各单位各分项的预算价格（详见招标公告）。</w:t>
      </w:r>
    </w:p>
    <w:p>
      <w:pPr>
        <w:spacing w:line="360" w:lineRule="auto"/>
        <w:rPr>
          <w:b/>
          <w:bCs/>
          <w:kern w:val="0"/>
          <w:szCs w:val="21"/>
        </w:rPr>
      </w:pPr>
      <w:r>
        <w:rPr>
          <w:b/>
          <w:bCs/>
          <w:kern w:val="0"/>
          <w:szCs w:val="21"/>
        </w:rPr>
        <w:t>3.投标人的有效报价不得低于</w:t>
      </w:r>
      <w:r>
        <w:rPr>
          <w:rFonts w:hint="eastAsia"/>
          <w:b/>
          <w:bCs/>
          <w:kern w:val="0"/>
          <w:szCs w:val="21"/>
        </w:rPr>
        <w:t>杭州</w:t>
      </w:r>
      <w:r>
        <w:rPr>
          <w:b/>
          <w:bCs/>
          <w:kern w:val="0"/>
          <w:szCs w:val="21"/>
        </w:rPr>
        <w:t>市最低工资标准和最低社保标准，同时不得低于现有工资水平。</w:t>
      </w:r>
    </w:p>
    <w:p>
      <w:pPr>
        <w:spacing w:line="360" w:lineRule="auto"/>
        <w:rPr>
          <w:spacing w:val="20"/>
        </w:rPr>
      </w:pPr>
    </w:p>
    <w:p>
      <w:pPr>
        <w:snapToGrid w:val="0"/>
        <w:spacing w:before="50" w:after="50" w:line="360" w:lineRule="auto"/>
        <w:rPr>
          <w:sz w:val="24"/>
        </w:rPr>
      </w:pPr>
      <w:r>
        <w:rPr>
          <w:sz w:val="24"/>
        </w:rPr>
        <w:t xml:space="preserve">法定代表人或授权代表（签字或盖章）：                    </w:t>
      </w:r>
    </w:p>
    <w:p>
      <w:pPr>
        <w:snapToGrid w:val="0"/>
        <w:spacing w:before="50" w:after="50" w:line="360" w:lineRule="auto"/>
        <w:rPr>
          <w:sz w:val="24"/>
        </w:rPr>
      </w:pPr>
      <w:r>
        <w:rPr>
          <w:sz w:val="24"/>
        </w:rPr>
        <w:t>投标人名称（盖章）：</w:t>
      </w:r>
    </w:p>
    <w:p>
      <w:pPr>
        <w:snapToGrid w:val="0"/>
        <w:spacing w:before="50" w:after="50" w:line="360" w:lineRule="auto"/>
        <w:rPr>
          <w:sz w:val="24"/>
        </w:rPr>
        <w:sectPr>
          <w:pgSz w:w="11906" w:h="16838"/>
          <w:pgMar w:top="1588" w:right="1474" w:bottom="1588" w:left="1474" w:header="851" w:footer="992" w:gutter="0"/>
          <w:cols w:space="720" w:num="1"/>
          <w:docGrid w:linePitch="602" w:charSpace="-1675"/>
        </w:sectPr>
      </w:pPr>
      <w:r>
        <w:rPr>
          <w:sz w:val="24"/>
        </w:rPr>
        <w:t>日期：    年   月   日</w:t>
      </w:r>
    </w:p>
    <w:p>
      <w:pPr>
        <w:pStyle w:val="37"/>
        <w:snapToGrid w:val="0"/>
        <w:spacing w:before="295" w:beforeLines="0" w:after="295" w:afterLines="0" w:line="360" w:lineRule="auto"/>
        <w:outlineLvl w:val="1"/>
        <w:rPr>
          <w:rFonts w:ascii="Times New Roman" w:hAnsi="Times New Roman"/>
        </w:rPr>
      </w:pPr>
      <w:bookmarkStart w:id="60" w:name="_Toc18854441"/>
      <w:r>
        <w:rPr>
          <w:rFonts w:ascii="Times New Roman" w:hAnsi="Times New Roman"/>
          <w:b/>
        </w:rPr>
        <w:t>17.投标报价明细表格式（适用于货物类项目）</w:t>
      </w:r>
      <w:bookmarkEnd w:id="60"/>
    </w:p>
    <w:p>
      <w:pPr>
        <w:pStyle w:val="37"/>
        <w:snapToGrid w:val="0"/>
        <w:spacing w:before="295" w:beforeLines="0" w:after="295" w:afterLines="0" w:line="240" w:lineRule="auto"/>
        <w:jc w:val="center"/>
        <w:rPr>
          <w:rFonts w:ascii="Times New Roman" w:hAnsi="Times New Roman"/>
          <w:b/>
          <w:sz w:val="30"/>
          <w:szCs w:val="30"/>
        </w:rPr>
      </w:pPr>
      <w:r>
        <w:rPr>
          <w:rFonts w:ascii="Times New Roman" w:hAnsi="Times New Roman"/>
          <w:b/>
          <w:sz w:val="30"/>
          <w:szCs w:val="30"/>
        </w:rPr>
        <w:t>投标报价明细表</w:t>
      </w:r>
    </w:p>
    <w:p>
      <w:pPr>
        <w:pStyle w:val="37"/>
        <w:snapToGrid w:val="0"/>
        <w:spacing w:before="295" w:beforeLines="0" w:after="295" w:afterLines="0" w:line="240" w:lineRule="auto"/>
        <w:rPr>
          <w:rFonts w:ascii="Times New Roman" w:hAnsi="Times New Roman"/>
          <w:szCs w:val="21"/>
        </w:rPr>
      </w:pPr>
      <w:r>
        <w:rPr>
          <w:rFonts w:ascii="Times New Roman" w:hAnsi="Times New Roman"/>
        </w:rPr>
        <w:t>项目编号：</w:t>
      </w:r>
      <w:r>
        <w:rPr>
          <w:rFonts w:ascii="Times New Roman" w:hAnsi="Times New Roman"/>
          <w:u w:val="single"/>
        </w:rPr>
        <w:t xml:space="preserve">              </w:t>
      </w:r>
      <w:r>
        <w:rPr>
          <w:rFonts w:ascii="Times New Roman" w:hAnsi="Times New Roman"/>
          <w:sz w:val="30"/>
        </w:rPr>
        <w:t xml:space="preserve">                   </w:t>
      </w:r>
      <w:r>
        <w:rPr>
          <w:rFonts w:ascii="Times New Roman" w:hAnsi="Times New Roman"/>
          <w:szCs w:val="21"/>
        </w:rPr>
        <w:t>金额单位：人民币（元）</w:t>
      </w:r>
    </w:p>
    <w:p>
      <w:pPr>
        <w:spacing w:line="360" w:lineRule="auto"/>
        <w:rPr>
          <w:sz w:val="24"/>
        </w:rPr>
      </w:pPr>
      <w:r>
        <w:rPr>
          <w:sz w:val="24"/>
        </w:rPr>
        <w:t>注：</w:t>
      </w:r>
      <w:r>
        <w:rPr>
          <w:rFonts w:hint="eastAsia"/>
          <w:sz w:val="24"/>
        </w:rPr>
        <w:t>按年度编制报价明细表，即第一年、第二年各1份。</w:t>
      </w:r>
    </w:p>
    <w:p>
      <w:pPr>
        <w:spacing w:line="360" w:lineRule="auto"/>
        <w:rPr>
          <w:sz w:val="24"/>
        </w:rPr>
      </w:pPr>
      <w:r>
        <w:rPr>
          <w:sz w:val="24"/>
        </w:rPr>
        <w:t>下表可根据各项服务内容单独编制。</w:t>
      </w:r>
    </w:p>
    <w:tbl>
      <w:tblPr>
        <w:tblStyle w:val="70"/>
        <w:tblW w:w="90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181"/>
        <w:gridCol w:w="360"/>
        <w:gridCol w:w="540"/>
        <w:gridCol w:w="1980"/>
        <w:gridCol w:w="1260"/>
        <w:gridCol w:w="900"/>
        <w:gridCol w:w="90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99" w:type="dxa"/>
            <w:noWrap w:val="0"/>
            <w:vAlign w:val="center"/>
          </w:tcPr>
          <w:p>
            <w:pPr>
              <w:jc w:val="center"/>
              <w:rPr>
                <w:sz w:val="24"/>
              </w:rPr>
            </w:pPr>
            <w:r>
              <w:rPr>
                <w:sz w:val="24"/>
              </w:rPr>
              <w:t>序号</w:t>
            </w:r>
          </w:p>
        </w:tc>
        <w:tc>
          <w:tcPr>
            <w:tcW w:w="4061" w:type="dxa"/>
            <w:gridSpan w:val="4"/>
            <w:noWrap w:val="0"/>
            <w:vAlign w:val="center"/>
          </w:tcPr>
          <w:p>
            <w:pPr>
              <w:adjustRightInd w:val="0"/>
              <w:snapToGrid w:val="0"/>
              <w:jc w:val="center"/>
              <w:rPr>
                <w:sz w:val="24"/>
              </w:rPr>
            </w:pPr>
            <w:r>
              <w:rPr>
                <w:sz w:val="24"/>
              </w:rPr>
              <w:t>组成总报价的</w:t>
            </w:r>
          </w:p>
          <w:p>
            <w:pPr>
              <w:adjustRightInd w:val="0"/>
              <w:snapToGrid w:val="0"/>
              <w:jc w:val="center"/>
              <w:rPr>
                <w:sz w:val="24"/>
              </w:rPr>
            </w:pPr>
            <w:r>
              <w:rPr>
                <w:sz w:val="24"/>
              </w:rPr>
              <w:t>各项费用</w:t>
            </w:r>
          </w:p>
        </w:tc>
        <w:tc>
          <w:tcPr>
            <w:tcW w:w="1260" w:type="dxa"/>
            <w:noWrap w:val="0"/>
            <w:vAlign w:val="center"/>
          </w:tcPr>
          <w:p>
            <w:pPr>
              <w:adjustRightInd w:val="0"/>
              <w:snapToGrid w:val="0"/>
              <w:jc w:val="center"/>
              <w:rPr>
                <w:sz w:val="24"/>
              </w:rPr>
            </w:pPr>
            <w:r>
              <w:rPr>
                <w:sz w:val="24"/>
              </w:rPr>
              <w:t>单价</w:t>
            </w:r>
          </w:p>
          <w:p>
            <w:pPr>
              <w:adjustRightInd w:val="0"/>
              <w:snapToGrid w:val="0"/>
              <w:jc w:val="center"/>
              <w:rPr>
                <w:sz w:val="24"/>
              </w:rPr>
            </w:pPr>
            <w:r>
              <w:rPr>
                <w:sz w:val="24"/>
              </w:rPr>
              <w:t>（元）</w:t>
            </w:r>
          </w:p>
        </w:tc>
        <w:tc>
          <w:tcPr>
            <w:tcW w:w="900" w:type="dxa"/>
            <w:noWrap w:val="0"/>
            <w:vAlign w:val="center"/>
          </w:tcPr>
          <w:p>
            <w:pPr>
              <w:adjustRightInd w:val="0"/>
              <w:snapToGrid w:val="0"/>
              <w:jc w:val="center"/>
              <w:rPr>
                <w:sz w:val="24"/>
              </w:rPr>
            </w:pPr>
            <w:r>
              <w:rPr>
                <w:sz w:val="24"/>
              </w:rPr>
              <w:t>数量</w:t>
            </w:r>
          </w:p>
        </w:tc>
        <w:tc>
          <w:tcPr>
            <w:tcW w:w="900" w:type="dxa"/>
            <w:noWrap w:val="0"/>
            <w:vAlign w:val="center"/>
          </w:tcPr>
          <w:p>
            <w:pPr>
              <w:adjustRightInd w:val="0"/>
              <w:snapToGrid w:val="0"/>
              <w:jc w:val="center"/>
              <w:rPr>
                <w:sz w:val="24"/>
              </w:rPr>
            </w:pPr>
            <w:r>
              <w:rPr>
                <w:sz w:val="24"/>
              </w:rPr>
              <w:t>合价</w:t>
            </w:r>
          </w:p>
          <w:p>
            <w:pPr>
              <w:adjustRightInd w:val="0"/>
              <w:snapToGrid w:val="0"/>
              <w:jc w:val="center"/>
              <w:rPr>
                <w:sz w:val="24"/>
              </w:rPr>
            </w:pPr>
            <w:r>
              <w:rPr>
                <w:sz w:val="24"/>
              </w:rPr>
              <w:t>（元）</w:t>
            </w:r>
          </w:p>
        </w:tc>
        <w:tc>
          <w:tcPr>
            <w:tcW w:w="1170" w:type="dxa"/>
            <w:noWrap w:val="0"/>
            <w:vAlign w:val="center"/>
          </w:tcPr>
          <w:p>
            <w:pPr>
              <w:adjustRightInd w:val="0"/>
              <w:snapToGrid w:val="0"/>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99" w:type="dxa"/>
            <w:noWrap w:val="0"/>
            <w:vAlign w:val="center"/>
          </w:tcPr>
          <w:p>
            <w:pPr>
              <w:pStyle w:val="22"/>
              <w:adjustRightInd w:val="0"/>
              <w:snapToGrid w:val="0"/>
              <w:spacing w:before="0"/>
              <w:jc w:val="center"/>
              <w:rPr>
                <w:rFonts w:ascii="Times New Roman" w:hAnsi="Times New Roman" w:cs="Times New Roman"/>
              </w:rPr>
            </w:pPr>
            <w:r>
              <w:rPr>
                <w:rFonts w:ascii="Times New Roman" w:hAnsi="Times New Roman" w:cs="Times New Roman"/>
              </w:rPr>
              <w:t>1</w:t>
            </w:r>
          </w:p>
        </w:tc>
        <w:tc>
          <w:tcPr>
            <w:tcW w:w="4061" w:type="dxa"/>
            <w:gridSpan w:val="4"/>
            <w:noWrap w:val="0"/>
            <w:vAlign w:val="center"/>
          </w:tcPr>
          <w:p>
            <w:pPr>
              <w:adjustRightInd w:val="0"/>
              <w:snapToGrid w:val="0"/>
              <w:rPr>
                <w:sz w:val="24"/>
              </w:rPr>
            </w:pPr>
            <w:r>
              <w:rPr>
                <w:sz w:val="24"/>
              </w:rPr>
              <w:t>本项目管理人员平均工资</w:t>
            </w:r>
          </w:p>
        </w:tc>
        <w:tc>
          <w:tcPr>
            <w:tcW w:w="1260" w:type="dxa"/>
            <w:noWrap w:val="0"/>
            <w:vAlign w:val="center"/>
          </w:tcPr>
          <w:p>
            <w:pPr>
              <w:jc w:val="center"/>
              <w:rPr>
                <w:sz w:val="24"/>
              </w:rPr>
            </w:pPr>
            <w:r>
              <w:rPr>
                <w:sz w:val="24"/>
              </w:rPr>
              <w:t>元/人.月</w:t>
            </w:r>
          </w:p>
        </w:tc>
        <w:tc>
          <w:tcPr>
            <w:tcW w:w="900" w:type="dxa"/>
            <w:noWrap w:val="0"/>
            <w:vAlign w:val="center"/>
          </w:tcPr>
          <w:p>
            <w:pPr>
              <w:jc w:val="center"/>
              <w:rPr>
                <w:sz w:val="24"/>
              </w:rPr>
            </w:pPr>
          </w:p>
        </w:tc>
        <w:tc>
          <w:tcPr>
            <w:tcW w:w="900" w:type="dxa"/>
            <w:noWrap w:val="0"/>
            <w:vAlign w:val="center"/>
          </w:tcPr>
          <w:p>
            <w:pPr>
              <w:jc w:val="center"/>
              <w:rPr>
                <w:sz w:val="24"/>
              </w:rPr>
            </w:pPr>
          </w:p>
        </w:tc>
        <w:tc>
          <w:tcPr>
            <w:tcW w:w="1170" w:type="dxa"/>
            <w:vMerge w:val="restart"/>
            <w:noWrap w:val="0"/>
            <w:vAlign w:val="center"/>
          </w:tcPr>
          <w:p>
            <w:pPr>
              <w:jc w:val="center"/>
              <w:rPr>
                <w:sz w:val="24"/>
              </w:rPr>
            </w:pPr>
            <w:r>
              <w:rPr>
                <w:sz w:val="24"/>
              </w:rPr>
              <w:t>合计派驻本项目的服务团队总人数为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99" w:type="dxa"/>
            <w:noWrap w:val="0"/>
            <w:vAlign w:val="center"/>
          </w:tcPr>
          <w:p>
            <w:pPr>
              <w:adjustRightInd w:val="0"/>
              <w:snapToGrid w:val="0"/>
              <w:jc w:val="center"/>
              <w:rPr>
                <w:sz w:val="24"/>
              </w:rPr>
            </w:pPr>
            <w:r>
              <w:rPr>
                <w:sz w:val="24"/>
              </w:rPr>
              <w:t>2</w:t>
            </w:r>
          </w:p>
        </w:tc>
        <w:tc>
          <w:tcPr>
            <w:tcW w:w="4061" w:type="dxa"/>
            <w:gridSpan w:val="4"/>
            <w:noWrap w:val="0"/>
            <w:vAlign w:val="center"/>
          </w:tcPr>
          <w:p>
            <w:pPr>
              <w:adjustRightInd w:val="0"/>
              <w:snapToGrid w:val="0"/>
              <w:rPr>
                <w:sz w:val="24"/>
              </w:rPr>
            </w:pPr>
            <w:r>
              <w:rPr>
                <w:sz w:val="24"/>
              </w:rPr>
              <w:t>本项目一般服务人员平均工资</w:t>
            </w:r>
          </w:p>
        </w:tc>
        <w:tc>
          <w:tcPr>
            <w:tcW w:w="1260" w:type="dxa"/>
            <w:noWrap w:val="0"/>
            <w:vAlign w:val="center"/>
          </w:tcPr>
          <w:p>
            <w:pPr>
              <w:jc w:val="center"/>
              <w:rPr>
                <w:sz w:val="24"/>
              </w:rPr>
            </w:pPr>
            <w:r>
              <w:rPr>
                <w:sz w:val="24"/>
              </w:rPr>
              <w:t>元/人.月</w:t>
            </w:r>
          </w:p>
        </w:tc>
        <w:tc>
          <w:tcPr>
            <w:tcW w:w="900" w:type="dxa"/>
            <w:noWrap w:val="0"/>
            <w:vAlign w:val="center"/>
          </w:tcPr>
          <w:p>
            <w:pPr>
              <w:jc w:val="center"/>
              <w:rPr>
                <w:sz w:val="24"/>
              </w:rPr>
            </w:pPr>
          </w:p>
        </w:tc>
        <w:tc>
          <w:tcPr>
            <w:tcW w:w="900" w:type="dxa"/>
            <w:noWrap w:val="0"/>
            <w:vAlign w:val="center"/>
          </w:tcPr>
          <w:p>
            <w:pPr>
              <w:jc w:val="center"/>
              <w:rPr>
                <w:sz w:val="24"/>
              </w:rPr>
            </w:pPr>
          </w:p>
        </w:tc>
        <w:tc>
          <w:tcPr>
            <w:tcW w:w="1170" w:type="dxa"/>
            <w:vMerge w:val="continue"/>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99" w:type="dxa"/>
            <w:noWrap w:val="0"/>
            <w:vAlign w:val="center"/>
          </w:tcPr>
          <w:p>
            <w:pPr>
              <w:adjustRightInd w:val="0"/>
              <w:snapToGrid w:val="0"/>
              <w:jc w:val="center"/>
              <w:rPr>
                <w:sz w:val="24"/>
              </w:rPr>
            </w:pPr>
            <w:r>
              <w:rPr>
                <w:sz w:val="24"/>
              </w:rPr>
              <w:t>3</w:t>
            </w:r>
          </w:p>
        </w:tc>
        <w:tc>
          <w:tcPr>
            <w:tcW w:w="4061" w:type="dxa"/>
            <w:gridSpan w:val="4"/>
            <w:noWrap w:val="0"/>
            <w:vAlign w:val="center"/>
          </w:tcPr>
          <w:p>
            <w:pPr>
              <w:adjustRightInd w:val="0"/>
              <w:snapToGrid w:val="0"/>
              <w:rPr>
                <w:sz w:val="24"/>
              </w:rPr>
            </w:pPr>
            <w:r>
              <w:rPr>
                <w:sz w:val="24"/>
              </w:rPr>
              <w:t>本项目部分特殊岗位服务人员平均工资（如有，可列明岗位或工种）</w:t>
            </w:r>
          </w:p>
        </w:tc>
        <w:tc>
          <w:tcPr>
            <w:tcW w:w="1260" w:type="dxa"/>
            <w:noWrap w:val="0"/>
            <w:vAlign w:val="center"/>
          </w:tcPr>
          <w:p>
            <w:pPr>
              <w:jc w:val="center"/>
              <w:rPr>
                <w:sz w:val="24"/>
              </w:rPr>
            </w:pPr>
            <w:r>
              <w:rPr>
                <w:sz w:val="24"/>
              </w:rPr>
              <w:t>元/人.月</w:t>
            </w:r>
          </w:p>
        </w:tc>
        <w:tc>
          <w:tcPr>
            <w:tcW w:w="900" w:type="dxa"/>
            <w:noWrap w:val="0"/>
            <w:vAlign w:val="center"/>
          </w:tcPr>
          <w:p>
            <w:pPr>
              <w:jc w:val="center"/>
              <w:rPr>
                <w:sz w:val="24"/>
              </w:rPr>
            </w:pPr>
          </w:p>
        </w:tc>
        <w:tc>
          <w:tcPr>
            <w:tcW w:w="900" w:type="dxa"/>
            <w:noWrap w:val="0"/>
            <w:vAlign w:val="center"/>
          </w:tcPr>
          <w:p>
            <w:pPr>
              <w:jc w:val="center"/>
              <w:rPr>
                <w:sz w:val="24"/>
              </w:rPr>
            </w:pPr>
          </w:p>
        </w:tc>
        <w:tc>
          <w:tcPr>
            <w:tcW w:w="1170" w:type="dxa"/>
            <w:vMerge w:val="continue"/>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99" w:type="dxa"/>
            <w:vMerge w:val="restart"/>
            <w:noWrap w:val="0"/>
            <w:vAlign w:val="center"/>
          </w:tcPr>
          <w:p>
            <w:pPr>
              <w:adjustRightInd w:val="0"/>
              <w:snapToGrid w:val="0"/>
              <w:jc w:val="center"/>
              <w:rPr>
                <w:sz w:val="24"/>
              </w:rPr>
            </w:pPr>
            <w:r>
              <w:rPr>
                <w:sz w:val="24"/>
              </w:rPr>
              <w:t>4</w:t>
            </w:r>
          </w:p>
        </w:tc>
        <w:tc>
          <w:tcPr>
            <w:tcW w:w="1541" w:type="dxa"/>
            <w:gridSpan w:val="2"/>
            <w:vMerge w:val="restart"/>
            <w:noWrap w:val="0"/>
            <w:vAlign w:val="center"/>
          </w:tcPr>
          <w:p>
            <w:pPr>
              <w:adjustRightInd w:val="0"/>
              <w:snapToGrid w:val="0"/>
              <w:rPr>
                <w:sz w:val="24"/>
              </w:rPr>
            </w:pPr>
            <w:r>
              <w:rPr>
                <w:sz w:val="24"/>
              </w:rPr>
              <w:t>计划投入的设备、工器具费（仅指供应商拟用于本项目的固定资产折旧和递延资产摊销费用或租赁费）</w:t>
            </w:r>
          </w:p>
        </w:tc>
        <w:tc>
          <w:tcPr>
            <w:tcW w:w="2520" w:type="dxa"/>
            <w:gridSpan w:val="2"/>
            <w:noWrap w:val="0"/>
            <w:vAlign w:val="center"/>
          </w:tcPr>
          <w:p>
            <w:pPr>
              <w:adjustRightInd w:val="0"/>
              <w:snapToGrid w:val="0"/>
              <w:rPr>
                <w:sz w:val="24"/>
              </w:rPr>
            </w:pPr>
            <w:r>
              <w:rPr>
                <w:sz w:val="24"/>
              </w:rPr>
              <w:t>(协商时按需要使用的设备、工器具的具体情况一一列出名称、注明自有还是租赁、规格型号等)</w:t>
            </w:r>
          </w:p>
        </w:tc>
        <w:tc>
          <w:tcPr>
            <w:tcW w:w="1260" w:type="dxa"/>
            <w:noWrap w:val="0"/>
            <w:vAlign w:val="center"/>
          </w:tcPr>
          <w:p>
            <w:pPr>
              <w:jc w:val="center"/>
              <w:rPr>
                <w:sz w:val="24"/>
              </w:rPr>
            </w:pPr>
          </w:p>
        </w:tc>
        <w:tc>
          <w:tcPr>
            <w:tcW w:w="900" w:type="dxa"/>
            <w:noWrap w:val="0"/>
            <w:vAlign w:val="center"/>
          </w:tcPr>
          <w:p>
            <w:pPr>
              <w:jc w:val="center"/>
              <w:rPr>
                <w:sz w:val="24"/>
              </w:rPr>
            </w:pPr>
          </w:p>
        </w:tc>
        <w:tc>
          <w:tcPr>
            <w:tcW w:w="900" w:type="dxa"/>
            <w:noWrap w:val="0"/>
            <w:vAlign w:val="center"/>
          </w:tcPr>
          <w:p>
            <w:pPr>
              <w:jc w:val="center"/>
              <w:rPr>
                <w:sz w:val="24"/>
              </w:rPr>
            </w:pPr>
          </w:p>
        </w:tc>
        <w:tc>
          <w:tcPr>
            <w:tcW w:w="117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99" w:type="dxa"/>
            <w:vMerge w:val="continue"/>
            <w:noWrap w:val="0"/>
            <w:vAlign w:val="center"/>
          </w:tcPr>
          <w:p>
            <w:pPr>
              <w:adjustRightInd w:val="0"/>
              <w:snapToGrid w:val="0"/>
              <w:jc w:val="center"/>
              <w:rPr>
                <w:sz w:val="24"/>
              </w:rPr>
            </w:pPr>
          </w:p>
        </w:tc>
        <w:tc>
          <w:tcPr>
            <w:tcW w:w="1541" w:type="dxa"/>
            <w:gridSpan w:val="2"/>
            <w:vMerge w:val="continue"/>
            <w:noWrap w:val="0"/>
            <w:vAlign w:val="center"/>
          </w:tcPr>
          <w:p>
            <w:pPr>
              <w:adjustRightInd w:val="0"/>
              <w:snapToGrid w:val="0"/>
              <w:rPr>
                <w:sz w:val="24"/>
              </w:rPr>
            </w:pPr>
          </w:p>
        </w:tc>
        <w:tc>
          <w:tcPr>
            <w:tcW w:w="2520" w:type="dxa"/>
            <w:gridSpan w:val="2"/>
            <w:noWrap w:val="0"/>
            <w:vAlign w:val="center"/>
          </w:tcPr>
          <w:p>
            <w:pPr>
              <w:adjustRightInd w:val="0"/>
              <w:snapToGrid w:val="0"/>
              <w:rPr>
                <w:sz w:val="24"/>
              </w:rPr>
            </w:pPr>
          </w:p>
        </w:tc>
        <w:tc>
          <w:tcPr>
            <w:tcW w:w="1260" w:type="dxa"/>
            <w:noWrap w:val="0"/>
            <w:vAlign w:val="center"/>
          </w:tcPr>
          <w:p>
            <w:pPr>
              <w:jc w:val="center"/>
              <w:rPr>
                <w:sz w:val="24"/>
              </w:rPr>
            </w:pPr>
          </w:p>
        </w:tc>
        <w:tc>
          <w:tcPr>
            <w:tcW w:w="900" w:type="dxa"/>
            <w:noWrap w:val="0"/>
            <w:vAlign w:val="center"/>
          </w:tcPr>
          <w:p>
            <w:pPr>
              <w:jc w:val="center"/>
              <w:rPr>
                <w:sz w:val="24"/>
              </w:rPr>
            </w:pPr>
          </w:p>
        </w:tc>
        <w:tc>
          <w:tcPr>
            <w:tcW w:w="900" w:type="dxa"/>
            <w:noWrap w:val="0"/>
            <w:vAlign w:val="center"/>
          </w:tcPr>
          <w:p>
            <w:pPr>
              <w:jc w:val="center"/>
              <w:rPr>
                <w:sz w:val="24"/>
              </w:rPr>
            </w:pPr>
          </w:p>
        </w:tc>
        <w:tc>
          <w:tcPr>
            <w:tcW w:w="117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99" w:type="dxa"/>
            <w:vMerge w:val="continue"/>
            <w:noWrap w:val="0"/>
            <w:vAlign w:val="center"/>
          </w:tcPr>
          <w:p>
            <w:pPr>
              <w:adjustRightInd w:val="0"/>
              <w:snapToGrid w:val="0"/>
              <w:jc w:val="center"/>
              <w:rPr>
                <w:sz w:val="24"/>
              </w:rPr>
            </w:pPr>
          </w:p>
        </w:tc>
        <w:tc>
          <w:tcPr>
            <w:tcW w:w="1541" w:type="dxa"/>
            <w:gridSpan w:val="2"/>
            <w:vMerge w:val="continue"/>
            <w:noWrap w:val="0"/>
            <w:vAlign w:val="center"/>
          </w:tcPr>
          <w:p>
            <w:pPr>
              <w:adjustRightInd w:val="0"/>
              <w:snapToGrid w:val="0"/>
              <w:rPr>
                <w:sz w:val="24"/>
              </w:rPr>
            </w:pPr>
          </w:p>
        </w:tc>
        <w:tc>
          <w:tcPr>
            <w:tcW w:w="2520" w:type="dxa"/>
            <w:gridSpan w:val="2"/>
            <w:noWrap w:val="0"/>
            <w:vAlign w:val="center"/>
          </w:tcPr>
          <w:p>
            <w:pPr>
              <w:adjustRightInd w:val="0"/>
              <w:snapToGrid w:val="0"/>
              <w:rPr>
                <w:sz w:val="24"/>
              </w:rPr>
            </w:pPr>
          </w:p>
        </w:tc>
        <w:tc>
          <w:tcPr>
            <w:tcW w:w="1260" w:type="dxa"/>
            <w:noWrap w:val="0"/>
            <w:vAlign w:val="center"/>
          </w:tcPr>
          <w:p>
            <w:pPr>
              <w:jc w:val="center"/>
              <w:rPr>
                <w:sz w:val="24"/>
              </w:rPr>
            </w:pPr>
          </w:p>
        </w:tc>
        <w:tc>
          <w:tcPr>
            <w:tcW w:w="900" w:type="dxa"/>
            <w:noWrap w:val="0"/>
            <w:vAlign w:val="center"/>
          </w:tcPr>
          <w:p>
            <w:pPr>
              <w:jc w:val="center"/>
              <w:rPr>
                <w:sz w:val="24"/>
              </w:rPr>
            </w:pPr>
          </w:p>
        </w:tc>
        <w:tc>
          <w:tcPr>
            <w:tcW w:w="900" w:type="dxa"/>
            <w:noWrap w:val="0"/>
            <w:vAlign w:val="center"/>
          </w:tcPr>
          <w:p>
            <w:pPr>
              <w:jc w:val="center"/>
              <w:rPr>
                <w:sz w:val="24"/>
              </w:rPr>
            </w:pPr>
          </w:p>
        </w:tc>
        <w:tc>
          <w:tcPr>
            <w:tcW w:w="117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99" w:type="dxa"/>
            <w:vMerge w:val="continue"/>
            <w:noWrap w:val="0"/>
            <w:vAlign w:val="center"/>
          </w:tcPr>
          <w:p>
            <w:pPr>
              <w:adjustRightInd w:val="0"/>
              <w:snapToGrid w:val="0"/>
              <w:jc w:val="center"/>
              <w:rPr>
                <w:sz w:val="24"/>
              </w:rPr>
            </w:pPr>
          </w:p>
        </w:tc>
        <w:tc>
          <w:tcPr>
            <w:tcW w:w="1541" w:type="dxa"/>
            <w:gridSpan w:val="2"/>
            <w:vMerge w:val="continue"/>
            <w:noWrap w:val="0"/>
            <w:vAlign w:val="center"/>
          </w:tcPr>
          <w:p>
            <w:pPr>
              <w:adjustRightInd w:val="0"/>
              <w:snapToGrid w:val="0"/>
              <w:rPr>
                <w:sz w:val="24"/>
              </w:rPr>
            </w:pPr>
          </w:p>
        </w:tc>
        <w:tc>
          <w:tcPr>
            <w:tcW w:w="2520" w:type="dxa"/>
            <w:gridSpan w:val="2"/>
            <w:noWrap w:val="0"/>
            <w:vAlign w:val="center"/>
          </w:tcPr>
          <w:p>
            <w:pPr>
              <w:adjustRightInd w:val="0"/>
              <w:snapToGrid w:val="0"/>
              <w:rPr>
                <w:sz w:val="24"/>
              </w:rPr>
            </w:pPr>
          </w:p>
        </w:tc>
        <w:tc>
          <w:tcPr>
            <w:tcW w:w="1260" w:type="dxa"/>
            <w:noWrap w:val="0"/>
            <w:vAlign w:val="center"/>
          </w:tcPr>
          <w:p>
            <w:pPr>
              <w:jc w:val="center"/>
              <w:rPr>
                <w:sz w:val="24"/>
              </w:rPr>
            </w:pPr>
          </w:p>
        </w:tc>
        <w:tc>
          <w:tcPr>
            <w:tcW w:w="900" w:type="dxa"/>
            <w:noWrap w:val="0"/>
            <w:vAlign w:val="center"/>
          </w:tcPr>
          <w:p>
            <w:pPr>
              <w:jc w:val="center"/>
              <w:rPr>
                <w:sz w:val="24"/>
              </w:rPr>
            </w:pPr>
          </w:p>
        </w:tc>
        <w:tc>
          <w:tcPr>
            <w:tcW w:w="900" w:type="dxa"/>
            <w:noWrap w:val="0"/>
            <w:vAlign w:val="center"/>
          </w:tcPr>
          <w:p>
            <w:pPr>
              <w:jc w:val="center"/>
              <w:rPr>
                <w:sz w:val="24"/>
              </w:rPr>
            </w:pPr>
          </w:p>
        </w:tc>
        <w:tc>
          <w:tcPr>
            <w:tcW w:w="117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99" w:type="dxa"/>
            <w:vMerge w:val="continue"/>
            <w:noWrap w:val="0"/>
            <w:vAlign w:val="center"/>
          </w:tcPr>
          <w:p>
            <w:pPr>
              <w:adjustRightInd w:val="0"/>
              <w:snapToGrid w:val="0"/>
              <w:jc w:val="center"/>
              <w:rPr>
                <w:sz w:val="24"/>
              </w:rPr>
            </w:pPr>
          </w:p>
        </w:tc>
        <w:tc>
          <w:tcPr>
            <w:tcW w:w="1541" w:type="dxa"/>
            <w:gridSpan w:val="2"/>
            <w:vMerge w:val="continue"/>
            <w:noWrap w:val="0"/>
            <w:vAlign w:val="center"/>
          </w:tcPr>
          <w:p>
            <w:pPr>
              <w:adjustRightInd w:val="0"/>
              <w:snapToGrid w:val="0"/>
              <w:rPr>
                <w:sz w:val="24"/>
              </w:rPr>
            </w:pPr>
          </w:p>
        </w:tc>
        <w:tc>
          <w:tcPr>
            <w:tcW w:w="2520" w:type="dxa"/>
            <w:gridSpan w:val="2"/>
            <w:noWrap w:val="0"/>
            <w:vAlign w:val="center"/>
          </w:tcPr>
          <w:p>
            <w:pPr>
              <w:adjustRightInd w:val="0"/>
              <w:snapToGrid w:val="0"/>
              <w:rPr>
                <w:sz w:val="24"/>
              </w:rPr>
            </w:pPr>
          </w:p>
        </w:tc>
        <w:tc>
          <w:tcPr>
            <w:tcW w:w="1260" w:type="dxa"/>
            <w:noWrap w:val="0"/>
            <w:vAlign w:val="center"/>
          </w:tcPr>
          <w:p>
            <w:pPr>
              <w:jc w:val="center"/>
              <w:rPr>
                <w:sz w:val="24"/>
              </w:rPr>
            </w:pPr>
          </w:p>
        </w:tc>
        <w:tc>
          <w:tcPr>
            <w:tcW w:w="900" w:type="dxa"/>
            <w:noWrap w:val="0"/>
            <w:vAlign w:val="center"/>
          </w:tcPr>
          <w:p>
            <w:pPr>
              <w:jc w:val="center"/>
              <w:rPr>
                <w:sz w:val="24"/>
              </w:rPr>
            </w:pPr>
          </w:p>
        </w:tc>
        <w:tc>
          <w:tcPr>
            <w:tcW w:w="900" w:type="dxa"/>
            <w:noWrap w:val="0"/>
            <w:vAlign w:val="center"/>
          </w:tcPr>
          <w:p>
            <w:pPr>
              <w:jc w:val="center"/>
              <w:rPr>
                <w:sz w:val="24"/>
              </w:rPr>
            </w:pPr>
          </w:p>
        </w:tc>
        <w:tc>
          <w:tcPr>
            <w:tcW w:w="117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99" w:type="dxa"/>
            <w:noWrap w:val="0"/>
            <w:vAlign w:val="center"/>
          </w:tcPr>
          <w:p>
            <w:pPr>
              <w:adjustRightInd w:val="0"/>
              <w:snapToGrid w:val="0"/>
              <w:jc w:val="center"/>
              <w:rPr>
                <w:sz w:val="24"/>
              </w:rPr>
            </w:pPr>
            <w:r>
              <w:rPr>
                <w:sz w:val="24"/>
              </w:rPr>
              <w:t>5</w:t>
            </w:r>
          </w:p>
        </w:tc>
        <w:tc>
          <w:tcPr>
            <w:tcW w:w="4061" w:type="dxa"/>
            <w:gridSpan w:val="4"/>
            <w:noWrap w:val="0"/>
            <w:vAlign w:val="center"/>
          </w:tcPr>
          <w:p>
            <w:pPr>
              <w:adjustRightInd w:val="0"/>
              <w:snapToGrid w:val="0"/>
              <w:rPr>
                <w:sz w:val="24"/>
              </w:rPr>
            </w:pPr>
            <w:r>
              <w:rPr>
                <w:sz w:val="24"/>
              </w:rPr>
              <w:t>耗材（按月消耗量计，可单独另行列表，格式自拟）</w:t>
            </w:r>
          </w:p>
        </w:tc>
        <w:tc>
          <w:tcPr>
            <w:tcW w:w="1260" w:type="dxa"/>
            <w:noWrap w:val="0"/>
            <w:vAlign w:val="center"/>
          </w:tcPr>
          <w:p>
            <w:pPr>
              <w:jc w:val="center"/>
              <w:rPr>
                <w:sz w:val="24"/>
              </w:rPr>
            </w:pPr>
            <w:r>
              <w:rPr>
                <w:sz w:val="24"/>
              </w:rPr>
              <w:t>元/月</w:t>
            </w:r>
          </w:p>
        </w:tc>
        <w:tc>
          <w:tcPr>
            <w:tcW w:w="900" w:type="dxa"/>
            <w:noWrap w:val="0"/>
            <w:vAlign w:val="center"/>
          </w:tcPr>
          <w:p>
            <w:pPr>
              <w:jc w:val="center"/>
              <w:rPr>
                <w:sz w:val="24"/>
              </w:rPr>
            </w:pPr>
            <w:r>
              <w:rPr>
                <w:sz w:val="24"/>
              </w:rPr>
              <w:t>12个月</w:t>
            </w:r>
          </w:p>
        </w:tc>
        <w:tc>
          <w:tcPr>
            <w:tcW w:w="900" w:type="dxa"/>
            <w:noWrap w:val="0"/>
            <w:vAlign w:val="center"/>
          </w:tcPr>
          <w:p>
            <w:pPr>
              <w:jc w:val="center"/>
              <w:rPr>
                <w:sz w:val="24"/>
              </w:rPr>
            </w:pPr>
          </w:p>
        </w:tc>
        <w:tc>
          <w:tcPr>
            <w:tcW w:w="117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99" w:type="dxa"/>
            <w:noWrap w:val="0"/>
            <w:vAlign w:val="center"/>
          </w:tcPr>
          <w:p>
            <w:pPr>
              <w:adjustRightInd w:val="0"/>
              <w:snapToGrid w:val="0"/>
              <w:jc w:val="center"/>
              <w:rPr>
                <w:sz w:val="24"/>
              </w:rPr>
            </w:pPr>
            <w:r>
              <w:rPr>
                <w:sz w:val="24"/>
              </w:rPr>
              <w:t>6</w:t>
            </w:r>
          </w:p>
        </w:tc>
        <w:tc>
          <w:tcPr>
            <w:tcW w:w="4061" w:type="dxa"/>
            <w:gridSpan w:val="4"/>
            <w:noWrap w:val="0"/>
            <w:vAlign w:val="center"/>
          </w:tcPr>
          <w:p>
            <w:pPr>
              <w:adjustRightInd w:val="0"/>
              <w:snapToGrid w:val="0"/>
              <w:rPr>
                <w:sz w:val="24"/>
              </w:rPr>
            </w:pPr>
            <w:r>
              <w:rPr>
                <w:sz w:val="24"/>
              </w:rPr>
              <w:t>为完成本项目管理、服务需要的通讯设备及通讯费</w:t>
            </w:r>
          </w:p>
        </w:tc>
        <w:tc>
          <w:tcPr>
            <w:tcW w:w="1260" w:type="dxa"/>
            <w:noWrap w:val="0"/>
            <w:vAlign w:val="center"/>
          </w:tcPr>
          <w:p>
            <w:pPr>
              <w:jc w:val="center"/>
              <w:rPr>
                <w:sz w:val="24"/>
              </w:rPr>
            </w:pPr>
          </w:p>
        </w:tc>
        <w:tc>
          <w:tcPr>
            <w:tcW w:w="900" w:type="dxa"/>
            <w:noWrap w:val="0"/>
            <w:vAlign w:val="center"/>
          </w:tcPr>
          <w:p>
            <w:pPr>
              <w:jc w:val="center"/>
              <w:rPr>
                <w:sz w:val="24"/>
              </w:rPr>
            </w:pPr>
          </w:p>
        </w:tc>
        <w:tc>
          <w:tcPr>
            <w:tcW w:w="900" w:type="dxa"/>
            <w:noWrap w:val="0"/>
            <w:vAlign w:val="center"/>
          </w:tcPr>
          <w:p>
            <w:pPr>
              <w:jc w:val="center"/>
              <w:rPr>
                <w:sz w:val="24"/>
              </w:rPr>
            </w:pPr>
          </w:p>
        </w:tc>
        <w:tc>
          <w:tcPr>
            <w:tcW w:w="117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99" w:type="dxa"/>
            <w:noWrap w:val="0"/>
            <w:vAlign w:val="center"/>
          </w:tcPr>
          <w:p>
            <w:pPr>
              <w:adjustRightInd w:val="0"/>
              <w:snapToGrid w:val="0"/>
              <w:jc w:val="center"/>
              <w:rPr>
                <w:sz w:val="24"/>
              </w:rPr>
            </w:pPr>
            <w:r>
              <w:rPr>
                <w:sz w:val="24"/>
              </w:rPr>
              <w:t>7</w:t>
            </w:r>
          </w:p>
        </w:tc>
        <w:tc>
          <w:tcPr>
            <w:tcW w:w="4061" w:type="dxa"/>
            <w:gridSpan w:val="4"/>
            <w:noWrap w:val="0"/>
            <w:vAlign w:val="center"/>
          </w:tcPr>
          <w:p>
            <w:pPr>
              <w:adjustRightInd w:val="0"/>
              <w:snapToGrid w:val="0"/>
              <w:rPr>
                <w:sz w:val="24"/>
              </w:rPr>
            </w:pPr>
            <w:r>
              <w:rPr>
                <w:sz w:val="24"/>
              </w:rPr>
              <w:t>员工的业务培训教育费、特殊岗位的上岗培训取证费</w:t>
            </w:r>
          </w:p>
        </w:tc>
        <w:tc>
          <w:tcPr>
            <w:tcW w:w="1260" w:type="dxa"/>
            <w:noWrap w:val="0"/>
            <w:vAlign w:val="center"/>
          </w:tcPr>
          <w:p>
            <w:pPr>
              <w:jc w:val="center"/>
              <w:rPr>
                <w:sz w:val="24"/>
              </w:rPr>
            </w:pPr>
          </w:p>
        </w:tc>
        <w:tc>
          <w:tcPr>
            <w:tcW w:w="900" w:type="dxa"/>
            <w:noWrap w:val="0"/>
            <w:vAlign w:val="center"/>
          </w:tcPr>
          <w:p>
            <w:pPr>
              <w:jc w:val="center"/>
              <w:rPr>
                <w:sz w:val="24"/>
              </w:rPr>
            </w:pPr>
          </w:p>
        </w:tc>
        <w:tc>
          <w:tcPr>
            <w:tcW w:w="900" w:type="dxa"/>
            <w:noWrap w:val="0"/>
            <w:vAlign w:val="center"/>
          </w:tcPr>
          <w:p>
            <w:pPr>
              <w:jc w:val="center"/>
              <w:rPr>
                <w:sz w:val="24"/>
              </w:rPr>
            </w:pPr>
          </w:p>
        </w:tc>
        <w:tc>
          <w:tcPr>
            <w:tcW w:w="117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99" w:type="dxa"/>
            <w:noWrap w:val="0"/>
            <w:vAlign w:val="center"/>
          </w:tcPr>
          <w:p>
            <w:pPr>
              <w:adjustRightInd w:val="0"/>
              <w:snapToGrid w:val="0"/>
              <w:jc w:val="center"/>
              <w:rPr>
                <w:sz w:val="24"/>
              </w:rPr>
            </w:pPr>
            <w:r>
              <w:rPr>
                <w:sz w:val="24"/>
              </w:rPr>
              <w:t>8</w:t>
            </w:r>
          </w:p>
        </w:tc>
        <w:tc>
          <w:tcPr>
            <w:tcW w:w="4061" w:type="dxa"/>
            <w:gridSpan w:val="4"/>
            <w:noWrap w:val="0"/>
            <w:vAlign w:val="center"/>
          </w:tcPr>
          <w:p>
            <w:pPr>
              <w:adjustRightInd w:val="0"/>
              <w:snapToGrid w:val="0"/>
              <w:rPr>
                <w:sz w:val="24"/>
              </w:rPr>
            </w:pPr>
            <w:r>
              <w:rPr>
                <w:sz w:val="24"/>
              </w:rPr>
              <w:t>安全措施、劳保用品费</w:t>
            </w:r>
          </w:p>
        </w:tc>
        <w:tc>
          <w:tcPr>
            <w:tcW w:w="1260" w:type="dxa"/>
            <w:noWrap w:val="0"/>
            <w:vAlign w:val="center"/>
          </w:tcPr>
          <w:p>
            <w:pPr>
              <w:jc w:val="center"/>
              <w:rPr>
                <w:sz w:val="24"/>
              </w:rPr>
            </w:pPr>
          </w:p>
        </w:tc>
        <w:tc>
          <w:tcPr>
            <w:tcW w:w="900" w:type="dxa"/>
            <w:noWrap w:val="0"/>
            <w:vAlign w:val="center"/>
          </w:tcPr>
          <w:p>
            <w:pPr>
              <w:jc w:val="center"/>
              <w:rPr>
                <w:sz w:val="24"/>
              </w:rPr>
            </w:pPr>
          </w:p>
        </w:tc>
        <w:tc>
          <w:tcPr>
            <w:tcW w:w="900" w:type="dxa"/>
            <w:noWrap w:val="0"/>
            <w:vAlign w:val="center"/>
          </w:tcPr>
          <w:p>
            <w:pPr>
              <w:jc w:val="center"/>
              <w:rPr>
                <w:sz w:val="24"/>
              </w:rPr>
            </w:pPr>
          </w:p>
        </w:tc>
        <w:tc>
          <w:tcPr>
            <w:tcW w:w="117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99" w:type="dxa"/>
            <w:vMerge w:val="restart"/>
            <w:noWrap w:val="0"/>
            <w:vAlign w:val="center"/>
          </w:tcPr>
          <w:p>
            <w:pPr>
              <w:adjustRightInd w:val="0"/>
              <w:snapToGrid w:val="0"/>
              <w:jc w:val="center"/>
              <w:rPr>
                <w:sz w:val="24"/>
              </w:rPr>
            </w:pPr>
            <w:r>
              <w:rPr>
                <w:sz w:val="24"/>
              </w:rPr>
              <w:t>9</w:t>
            </w:r>
          </w:p>
        </w:tc>
        <w:tc>
          <w:tcPr>
            <w:tcW w:w="1181" w:type="dxa"/>
            <w:vMerge w:val="restart"/>
            <w:noWrap w:val="0"/>
            <w:vAlign w:val="center"/>
          </w:tcPr>
          <w:p>
            <w:pPr>
              <w:adjustRightInd w:val="0"/>
              <w:snapToGrid w:val="0"/>
              <w:rPr>
                <w:sz w:val="24"/>
              </w:rPr>
            </w:pPr>
            <w:r>
              <w:rPr>
                <w:sz w:val="24"/>
              </w:rPr>
              <w:t>项目开办费</w:t>
            </w:r>
          </w:p>
        </w:tc>
        <w:tc>
          <w:tcPr>
            <w:tcW w:w="2880" w:type="dxa"/>
            <w:gridSpan w:val="3"/>
            <w:noWrap w:val="0"/>
            <w:vAlign w:val="center"/>
          </w:tcPr>
          <w:p>
            <w:pPr>
              <w:adjustRightInd w:val="0"/>
              <w:snapToGrid w:val="0"/>
              <w:rPr>
                <w:sz w:val="24"/>
              </w:rPr>
            </w:pPr>
            <w:r>
              <w:rPr>
                <w:sz w:val="24"/>
              </w:rPr>
              <w:t>办公场所</w:t>
            </w:r>
          </w:p>
        </w:tc>
        <w:tc>
          <w:tcPr>
            <w:tcW w:w="1260" w:type="dxa"/>
            <w:noWrap w:val="0"/>
            <w:vAlign w:val="center"/>
          </w:tcPr>
          <w:p>
            <w:pPr>
              <w:jc w:val="center"/>
              <w:rPr>
                <w:sz w:val="24"/>
              </w:rPr>
            </w:pPr>
          </w:p>
        </w:tc>
        <w:tc>
          <w:tcPr>
            <w:tcW w:w="900" w:type="dxa"/>
            <w:noWrap w:val="0"/>
            <w:vAlign w:val="center"/>
          </w:tcPr>
          <w:p>
            <w:pPr>
              <w:jc w:val="center"/>
              <w:rPr>
                <w:sz w:val="24"/>
              </w:rPr>
            </w:pPr>
          </w:p>
        </w:tc>
        <w:tc>
          <w:tcPr>
            <w:tcW w:w="900" w:type="dxa"/>
            <w:noWrap w:val="0"/>
            <w:vAlign w:val="center"/>
          </w:tcPr>
          <w:p>
            <w:pPr>
              <w:jc w:val="center"/>
              <w:rPr>
                <w:sz w:val="24"/>
              </w:rPr>
            </w:pPr>
          </w:p>
        </w:tc>
        <w:tc>
          <w:tcPr>
            <w:tcW w:w="117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99" w:type="dxa"/>
            <w:vMerge w:val="continue"/>
            <w:noWrap w:val="0"/>
            <w:vAlign w:val="center"/>
          </w:tcPr>
          <w:p>
            <w:pPr>
              <w:adjustRightInd w:val="0"/>
              <w:snapToGrid w:val="0"/>
              <w:jc w:val="center"/>
              <w:rPr>
                <w:sz w:val="24"/>
              </w:rPr>
            </w:pPr>
          </w:p>
        </w:tc>
        <w:tc>
          <w:tcPr>
            <w:tcW w:w="1181" w:type="dxa"/>
            <w:vMerge w:val="continue"/>
            <w:noWrap w:val="0"/>
            <w:vAlign w:val="center"/>
          </w:tcPr>
          <w:p>
            <w:pPr>
              <w:adjustRightInd w:val="0"/>
              <w:snapToGrid w:val="0"/>
              <w:rPr>
                <w:sz w:val="24"/>
              </w:rPr>
            </w:pPr>
          </w:p>
        </w:tc>
        <w:tc>
          <w:tcPr>
            <w:tcW w:w="2880" w:type="dxa"/>
            <w:gridSpan w:val="3"/>
            <w:noWrap w:val="0"/>
            <w:vAlign w:val="center"/>
          </w:tcPr>
          <w:p>
            <w:pPr>
              <w:adjustRightInd w:val="0"/>
              <w:snapToGrid w:val="0"/>
              <w:rPr>
                <w:sz w:val="24"/>
              </w:rPr>
            </w:pPr>
            <w:r>
              <w:rPr>
                <w:sz w:val="24"/>
              </w:rPr>
              <w:t>办公设备和设施（仅指供应商拟用于本项目的固定资产折旧和递延资产摊销费用或租赁费）</w:t>
            </w:r>
          </w:p>
        </w:tc>
        <w:tc>
          <w:tcPr>
            <w:tcW w:w="1260" w:type="dxa"/>
            <w:noWrap w:val="0"/>
            <w:vAlign w:val="center"/>
          </w:tcPr>
          <w:p>
            <w:pPr>
              <w:jc w:val="center"/>
              <w:rPr>
                <w:sz w:val="24"/>
              </w:rPr>
            </w:pPr>
          </w:p>
        </w:tc>
        <w:tc>
          <w:tcPr>
            <w:tcW w:w="900" w:type="dxa"/>
            <w:noWrap w:val="0"/>
            <w:vAlign w:val="center"/>
          </w:tcPr>
          <w:p>
            <w:pPr>
              <w:jc w:val="center"/>
              <w:rPr>
                <w:sz w:val="24"/>
              </w:rPr>
            </w:pPr>
          </w:p>
        </w:tc>
        <w:tc>
          <w:tcPr>
            <w:tcW w:w="900" w:type="dxa"/>
            <w:noWrap w:val="0"/>
            <w:vAlign w:val="center"/>
          </w:tcPr>
          <w:p>
            <w:pPr>
              <w:jc w:val="center"/>
              <w:rPr>
                <w:sz w:val="24"/>
              </w:rPr>
            </w:pPr>
          </w:p>
        </w:tc>
        <w:tc>
          <w:tcPr>
            <w:tcW w:w="117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99" w:type="dxa"/>
            <w:vMerge w:val="continue"/>
            <w:noWrap w:val="0"/>
            <w:vAlign w:val="center"/>
          </w:tcPr>
          <w:p>
            <w:pPr>
              <w:adjustRightInd w:val="0"/>
              <w:snapToGrid w:val="0"/>
              <w:jc w:val="center"/>
              <w:rPr>
                <w:sz w:val="24"/>
              </w:rPr>
            </w:pPr>
          </w:p>
        </w:tc>
        <w:tc>
          <w:tcPr>
            <w:tcW w:w="1181" w:type="dxa"/>
            <w:vMerge w:val="continue"/>
            <w:noWrap w:val="0"/>
            <w:vAlign w:val="center"/>
          </w:tcPr>
          <w:p>
            <w:pPr>
              <w:adjustRightInd w:val="0"/>
              <w:snapToGrid w:val="0"/>
              <w:rPr>
                <w:sz w:val="24"/>
              </w:rPr>
            </w:pPr>
          </w:p>
        </w:tc>
        <w:tc>
          <w:tcPr>
            <w:tcW w:w="2880" w:type="dxa"/>
            <w:gridSpan w:val="3"/>
            <w:noWrap w:val="0"/>
            <w:vAlign w:val="center"/>
          </w:tcPr>
          <w:p>
            <w:pPr>
              <w:adjustRightInd w:val="0"/>
              <w:snapToGrid w:val="0"/>
              <w:rPr>
                <w:sz w:val="24"/>
              </w:rPr>
            </w:pPr>
            <w:r>
              <w:rPr>
                <w:sz w:val="24"/>
              </w:rPr>
              <w:t>员工休息场所</w:t>
            </w:r>
          </w:p>
        </w:tc>
        <w:tc>
          <w:tcPr>
            <w:tcW w:w="1260" w:type="dxa"/>
            <w:noWrap w:val="0"/>
            <w:vAlign w:val="center"/>
          </w:tcPr>
          <w:p>
            <w:pPr>
              <w:jc w:val="center"/>
              <w:rPr>
                <w:sz w:val="24"/>
              </w:rPr>
            </w:pPr>
          </w:p>
        </w:tc>
        <w:tc>
          <w:tcPr>
            <w:tcW w:w="900" w:type="dxa"/>
            <w:noWrap w:val="0"/>
            <w:vAlign w:val="center"/>
          </w:tcPr>
          <w:p>
            <w:pPr>
              <w:jc w:val="center"/>
              <w:rPr>
                <w:sz w:val="24"/>
              </w:rPr>
            </w:pPr>
          </w:p>
        </w:tc>
        <w:tc>
          <w:tcPr>
            <w:tcW w:w="900" w:type="dxa"/>
            <w:noWrap w:val="0"/>
            <w:vAlign w:val="center"/>
          </w:tcPr>
          <w:p>
            <w:pPr>
              <w:jc w:val="center"/>
              <w:rPr>
                <w:sz w:val="24"/>
              </w:rPr>
            </w:pPr>
          </w:p>
        </w:tc>
        <w:tc>
          <w:tcPr>
            <w:tcW w:w="117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99" w:type="dxa"/>
            <w:vMerge w:val="continue"/>
            <w:noWrap w:val="0"/>
            <w:vAlign w:val="center"/>
          </w:tcPr>
          <w:p>
            <w:pPr>
              <w:adjustRightInd w:val="0"/>
              <w:snapToGrid w:val="0"/>
              <w:jc w:val="center"/>
              <w:rPr>
                <w:sz w:val="24"/>
              </w:rPr>
            </w:pPr>
          </w:p>
        </w:tc>
        <w:tc>
          <w:tcPr>
            <w:tcW w:w="1181" w:type="dxa"/>
            <w:vMerge w:val="continue"/>
            <w:noWrap w:val="0"/>
            <w:vAlign w:val="center"/>
          </w:tcPr>
          <w:p>
            <w:pPr>
              <w:adjustRightInd w:val="0"/>
              <w:snapToGrid w:val="0"/>
              <w:rPr>
                <w:sz w:val="24"/>
              </w:rPr>
            </w:pPr>
          </w:p>
        </w:tc>
        <w:tc>
          <w:tcPr>
            <w:tcW w:w="2880" w:type="dxa"/>
            <w:gridSpan w:val="3"/>
            <w:noWrap w:val="0"/>
            <w:vAlign w:val="center"/>
          </w:tcPr>
          <w:p>
            <w:pPr>
              <w:adjustRightInd w:val="0"/>
              <w:snapToGrid w:val="0"/>
              <w:rPr>
                <w:sz w:val="24"/>
              </w:rPr>
            </w:pPr>
            <w:r>
              <w:rPr>
                <w:sz w:val="24"/>
              </w:rPr>
              <w:t>工器具存放仓库</w:t>
            </w:r>
          </w:p>
        </w:tc>
        <w:tc>
          <w:tcPr>
            <w:tcW w:w="1260" w:type="dxa"/>
            <w:noWrap w:val="0"/>
            <w:vAlign w:val="center"/>
          </w:tcPr>
          <w:p>
            <w:pPr>
              <w:jc w:val="center"/>
              <w:rPr>
                <w:sz w:val="24"/>
              </w:rPr>
            </w:pPr>
          </w:p>
        </w:tc>
        <w:tc>
          <w:tcPr>
            <w:tcW w:w="900" w:type="dxa"/>
            <w:noWrap w:val="0"/>
            <w:vAlign w:val="center"/>
          </w:tcPr>
          <w:p>
            <w:pPr>
              <w:jc w:val="center"/>
              <w:rPr>
                <w:sz w:val="24"/>
              </w:rPr>
            </w:pPr>
          </w:p>
        </w:tc>
        <w:tc>
          <w:tcPr>
            <w:tcW w:w="900" w:type="dxa"/>
            <w:noWrap w:val="0"/>
            <w:vAlign w:val="center"/>
          </w:tcPr>
          <w:p>
            <w:pPr>
              <w:jc w:val="center"/>
              <w:rPr>
                <w:sz w:val="24"/>
              </w:rPr>
            </w:pPr>
          </w:p>
        </w:tc>
        <w:tc>
          <w:tcPr>
            <w:tcW w:w="117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99" w:type="dxa"/>
            <w:vMerge w:val="continue"/>
            <w:noWrap w:val="0"/>
            <w:vAlign w:val="center"/>
          </w:tcPr>
          <w:p>
            <w:pPr>
              <w:adjustRightInd w:val="0"/>
              <w:snapToGrid w:val="0"/>
              <w:jc w:val="center"/>
              <w:rPr>
                <w:sz w:val="24"/>
              </w:rPr>
            </w:pPr>
          </w:p>
        </w:tc>
        <w:tc>
          <w:tcPr>
            <w:tcW w:w="1181" w:type="dxa"/>
            <w:vMerge w:val="continue"/>
            <w:noWrap w:val="0"/>
            <w:vAlign w:val="center"/>
          </w:tcPr>
          <w:p>
            <w:pPr>
              <w:adjustRightInd w:val="0"/>
              <w:snapToGrid w:val="0"/>
              <w:rPr>
                <w:sz w:val="24"/>
              </w:rPr>
            </w:pPr>
          </w:p>
        </w:tc>
        <w:tc>
          <w:tcPr>
            <w:tcW w:w="2880" w:type="dxa"/>
            <w:gridSpan w:val="3"/>
            <w:noWrap w:val="0"/>
            <w:vAlign w:val="center"/>
          </w:tcPr>
          <w:p>
            <w:pPr>
              <w:adjustRightInd w:val="0"/>
              <w:snapToGrid w:val="0"/>
              <w:rPr>
                <w:sz w:val="24"/>
              </w:rPr>
            </w:pPr>
            <w:r>
              <w:rPr>
                <w:sz w:val="24"/>
              </w:rPr>
              <w:t>材料及消耗品仓库</w:t>
            </w:r>
          </w:p>
        </w:tc>
        <w:tc>
          <w:tcPr>
            <w:tcW w:w="1260" w:type="dxa"/>
            <w:noWrap w:val="0"/>
            <w:vAlign w:val="center"/>
          </w:tcPr>
          <w:p>
            <w:pPr>
              <w:jc w:val="center"/>
              <w:rPr>
                <w:sz w:val="24"/>
              </w:rPr>
            </w:pPr>
          </w:p>
        </w:tc>
        <w:tc>
          <w:tcPr>
            <w:tcW w:w="900" w:type="dxa"/>
            <w:noWrap w:val="0"/>
            <w:vAlign w:val="center"/>
          </w:tcPr>
          <w:p>
            <w:pPr>
              <w:jc w:val="center"/>
              <w:rPr>
                <w:sz w:val="24"/>
              </w:rPr>
            </w:pPr>
          </w:p>
        </w:tc>
        <w:tc>
          <w:tcPr>
            <w:tcW w:w="900" w:type="dxa"/>
            <w:noWrap w:val="0"/>
            <w:vAlign w:val="center"/>
          </w:tcPr>
          <w:p>
            <w:pPr>
              <w:jc w:val="center"/>
              <w:rPr>
                <w:sz w:val="24"/>
              </w:rPr>
            </w:pPr>
          </w:p>
        </w:tc>
        <w:tc>
          <w:tcPr>
            <w:tcW w:w="117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99" w:type="dxa"/>
            <w:vMerge w:val="continue"/>
            <w:noWrap w:val="0"/>
            <w:vAlign w:val="center"/>
          </w:tcPr>
          <w:p>
            <w:pPr>
              <w:adjustRightInd w:val="0"/>
              <w:snapToGrid w:val="0"/>
              <w:jc w:val="center"/>
              <w:rPr>
                <w:sz w:val="24"/>
              </w:rPr>
            </w:pPr>
          </w:p>
        </w:tc>
        <w:tc>
          <w:tcPr>
            <w:tcW w:w="1181" w:type="dxa"/>
            <w:vMerge w:val="continue"/>
            <w:noWrap w:val="0"/>
            <w:vAlign w:val="center"/>
          </w:tcPr>
          <w:p>
            <w:pPr>
              <w:adjustRightInd w:val="0"/>
              <w:snapToGrid w:val="0"/>
              <w:rPr>
                <w:sz w:val="24"/>
              </w:rPr>
            </w:pPr>
          </w:p>
        </w:tc>
        <w:tc>
          <w:tcPr>
            <w:tcW w:w="2880" w:type="dxa"/>
            <w:gridSpan w:val="3"/>
            <w:noWrap w:val="0"/>
            <w:vAlign w:val="center"/>
          </w:tcPr>
          <w:p>
            <w:pPr>
              <w:adjustRightInd w:val="0"/>
              <w:snapToGrid w:val="0"/>
              <w:rPr>
                <w:sz w:val="24"/>
              </w:rPr>
            </w:pPr>
            <w:r>
              <w:rPr>
                <w:sz w:val="24"/>
              </w:rPr>
              <w:t>（其他如有可补充列明）</w:t>
            </w:r>
          </w:p>
        </w:tc>
        <w:tc>
          <w:tcPr>
            <w:tcW w:w="1260" w:type="dxa"/>
            <w:noWrap w:val="0"/>
            <w:vAlign w:val="center"/>
          </w:tcPr>
          <w:p>
            <w:pPr>
              <w:jc w:val="center"/>
              <w:rPr>
                <w:sz w:val="24"/>
              </w:rPr>
            </w:pPr>
          </w:p>
        </w:tc>
        <w:tc>
          <w:tcPr>
            <w:tcW w:w="900" w:type="dxa"/>
            <w:noWrap w:val="0"/>
            <w:vAlign w:val="center"/>
          </w:tcPr>
          <w:p>
            <w:pPr>
              <w:jc w:val="center"/>
              <w:rPr>
                <w:sz w:val="24"/>
              </w:rPr>
            </w:pPr>
          </w:p>
        </w:tc>
        <w:tc>
          <w:tcPr>
            <w:tcW w:w="900" w:type="dxa"/>
            <w:noWrap w:val="0"/>
            <w:vAlign w:val="center"/>
          </w:tcPr>
          <w:p>
            <w:pPr>
              <w:jc w:val="center"/>
              <w:rPr>
                <w:sz w:val="24"/>
              </w:rPr>
            </w:pPr>
          </w:p>
        </w:tc>
        <w:tc>
          <w:tcPr>
            <w:tcW w:w="117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99" w:type="dxa"/>
            <w:noWrap w:val="0"/>
            <w:vAlign w:val="center"/>
          </w:tcPr>
          <w:p>
            <w:pPr>
              <w:adjustRightInd w:val="0"/>
              <w:snapToGrid w:val="0"/>
              <w:jc w:val="center"/>
              <w:rPr>
                <w:sz w:val="24"/>
              </w:rPr>
            </w:pPr>
            <w:r>
              <w:rPr>
                <w:sz w:val="24"/>
              </w:rPr>
              <w:t>10</w:t>
            </w:r>
          </w:p>
        </w:tc>
        <w:tc>
          <w:tcPr>
            <w:tcW w:w="4061" w:type="dxa"/>
            <w:gridSpan w:val="4"/>
            <w:noWrap w:val="0"/>
            <w:vAlign w:val="center"/>
          </w:tcPr>
          <w:p>
            <w:pPr>
              <w:adjustRightInd w:val="0"/>
              <w:snapToGrid w:val="0"/>
              <w:rPr>
                <w:sz w:val="24"/>
              </w:rPr>
            </w:pPr>
            <w:r>
              <w:rPr>
                <w:bCs/>
                <w:sz w:val="24"/>
              </w:rPr>
              <w:t>其他可能的风险费用（政策性文件规定引起的费用风险除外）</w:t>
            </w:r>
          </w:p>
        </w:tc>
        <w:tc>
          <w:tcPr>
            <w:tcW w:w="1260" w:type="dxa"/>
            <w:noWrap w:val="0"/>
            <w:vAlign w:val="center"/>
          </w:tcPr>
          <w:p>
            <w:pPr>
              <w:jc w:val="center"/>
              <w:rPr>
                <w:sz w:val="24"/>
              </w:rPr>
            </w:pPr>
          </w:p>
        </w:tc>
        <w:tc>
          <w:tcPr>
            <w:tcW w:w="900" w:type="dxa"/>
            <w:noWrap w:val="0"/>
            <w:vAlign w:val="center"/>
          </w:tcPr>
          <w:p>
            <w:pPr>
              <w:jc w:val="center"/>
              <w:rPr>
                <w:sz w:val="24"/>
              </w:rPr>
            </w:pPr>
          </w:p>
        </w:tc>
        <w:tc>
          <w:tcPr>
            <w:tcW w:w="900" w:type="dxa"/>
            <w:noWrap w:val="0"/>
            <w:vAlign w:val="center"/>
          </w:tcPr>
          <w:p>
            <w:pPr>
              <w:jc w:val="center"/>
              <w:rPr>
                <w:sz w:val="24"/>
              </w:rPr>
            </w:pPr>
          </w:p>
        </w:tc>
        <w:tc>
          <w:tcPr>
            <w:tcW w:w="117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99" w:type="dxa"/>
            <w:noWrap w:val="0"/>
            <w:vAlign w:val="center"/>
          </w:tcPr>
          <w:p>
            <w:pPr>
              <w:adjustRightInd w:val="0"/>
              <w:snapToGrid w:val="0"/>
              <w:jc w:val="center"/>
              <w:rPr>
                <w:sz w:val="24"/>
              </w:rPr>
            </w:pPr>
            <w:r>
              <w:rPr>
                <w:sz w:val="24"/>
              </w:rPr>
              <w:t>11</w:t>
            </w:r>
          </w:p>
        </w:tc>
        <w:tc>
          <w:tcPr>
            <w:tcW w:w="4061" w:type="dxa"/>
            <w:gridSpan w:val="4"/>
            <w:noWrap w:val="0"/>
            <w:vAlign w:val="center"/>
          </w:tcPr>
          <w:p>
            <w:pPr>
              <w:adjustRightInd w:val="0"/>
              <w:snapToGrid w:val="0"/>
              <w:rPr>
                <w:sz w:val="24"/>
              </w:rPr>
            </w:pPr>
            <w:r>
              <w:rPr>
                <w:sz w:val="24"/>
              </w:rPr>
              <w:t>利润</w:t>
            </w:r>
          </w:p>
        </w:tc>
        <w:tc>
          <w:tcPr>
            <w:tcW w:w="1260" w:type="dxa"/>
            <w:noWrap w:val="0"/>
            <w:vAlign w:val="center"/>
          </w:tcPr>
          <w:p>
            <w:pPr>
              <w:jc w:val="center"/>
              <w:rPr>
                <w:sz w:val="24"/>
              </w:rPr>
            </w:pPr>
          </w:p>
        </w:tc>
        <w:tc>
          <w:tcPr>
            <w:tcW w:w="900" w:type="dxa"/>
            <w:noWrap w:val="0"/>
            <w:vAlign w:val="center"/>
          </w:tcPr>
          <w:p>
            <w:pPr>
              <w:jc w:val="center"/>
              <w:rPr>
                <w:sz w:val="24"/>
              </w:rPr>
            </w:pPr>
          </w:p>
        </w:tc>
        <w:tc>
          <w:tcPr>
            <w:tcW w:w="900" w:type="dxa"/>
            <w:noWrap w:val="0"/>
            <w:vAlign w:val="center"/>
          </w:tcPr>
          <w:p>
            <w:pPr>
              <w:jc w:val="center"/>
              <w:rPr>
                <w:sz w:val="24"/>
              </w:rPr>
            </w:pPr>
          </w:p>
        </w:tc>
        <w:tc>
          <w:tcPr>
            <w:tcW w:w="117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99" w:type="dxa"/>
            <w:noWrap w:val="0"/>
            <w:vAlign w:val="center"/>
          </w:tcPr>
          <w:p>
            <w:pPr>
              <w:adjustRightInd w:val="0"/>
              <w:snapToGrid w:val="0"/>
              <w:jc w:val="center"/>
              <w:rPr>
                <w:sz w:val="24"/>
              </w:rPr>
            </w:pPr>
            <w:r>
              <w:rPr>
                <w:sz w:val="24"/>
              </w:rPr>
              <w:t>12</w:t>
            </w:r>
          </w:p>
        </w:tc>
        <w:tc>
          <w:tcPr>
            <w:tcW w:w="4061" w:type="dxa"/>
            <w:gridSpan w:val="4"/>
            <w:noWrap w:val="0"/>
            <w:vAlign w:val="center"/>
          </w:tcPr>
          <w:p>
            <w:pPr>
              <w:adjustRightInd w:val="0"/>
              <w:snapToGrid w:val="0"/>
              <w:rPr>
                <w:sz w:val="24"/>
              </w:rPr>
            </w:pPr>
            <w:r>
              <w:rPr>
                <w:sz w:val="24"/>
              </w:rPr>
              <w:t>税金</w:t>
            </w:r>
          </w:p>
        </w:tc>
        <w:tc>
          <w:tcPr>
            <w:tcW w:w="1260" w:type="dxa"/>
            <w:noWrap w:val="0"/>
            <w:vAlign w:val="center"/>
          </w:tcPr>
          <w:p>
            <w:pPr>
              <w:jc w:val="center"/>
              <w:rPr>
                <w:sz w:val="24"/>
              </w:rPr>
            </w:pPr>
          </w:p>
        </w:tc>
        <w:tc>
          <w:tcPr>
            <w:tcW w:w="900" w:type="dxa"/>
            <w:noWrap w:val="0"/>
            <w:vAlign w:val="center"/>
          </w:tcPr>
          <w:p>
            <w:pPr>
              <w:jc w:val="center"/>
              <w:rPr>
                <w:sz w:val="24"/>
              </w:rPr>
            </w:pPr>
          </w:p>
        </w:tc>
        <w:tc>
          <w:tcPr>
            <w:tcW w:w="900" w:type="dxa"/>
            <w:noWrap w:val="0"/>
            <w:vAlign w:val="center"/>
          </w:tcPr>
          <w:p>
            <w:pPr>
              <w:jc w:val="center"/>
              <w:rPr>
                <w:sz w:val="24"/>
              </w:rPr>
            </w:pPr>
          </w:p>
        </w:tc>
        <w:tc>
          <w:tcPr>
            <w:tcW w:w="117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020" w:type="dxa"/>
            <w:gridSpan w:val="7"/>
            <w:noWrap w:val="0"/>
            <w:vAlign w:val="center"/>
          </w:tcPr>
          <w:p>
            <w:pPr>
              <w:jc w:val="center"/>
              <w:rPr>
                <w:sz w:val="24"/>
              </w:rPr>
            </w:pPr>
            <w:r>
              <w:rPr>
                <w:sz w:val="24"/>
              </w:rPr>
              <w:t>合计</w:t>
            </w:r>
          </w:p>
        </w:tc>
        <w:tc>
          <w:tcPr>
            <w:tcW w:w="2070" w:type="dxa"/>
            <w:gridSpan w:val="2"/>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80" w:type="dxa"/>
            <w:gridSpan w:val="4"/>
            <w:noWrap w:val="0"/>
            <w:vAlign w:val="center"/>
          </w:tcPr>
          <w:p>
            <w:pPr>
              <w:rPr>
                <w:sz w:val="24"/>
              </w:rPr>
            </w:pPr>
            <w:r>
              <w:rPr>
                <w:sz w:val="24"/>
              </w:rPr>
              <w:t>总报价</w:t>
            </w:r>
          </w:p>
        </w:tc>
        <w:tc>
          <w:tcPr>
            <w:tcW w:w="6210" w:type="dxa"/>
            <w:gridSpan w:val="5"/>
            <w:noWrap w:val="0"/>
            <w:vAlign w:val="center"/>
          </w:tcPr>
          <w:p>
            <w:pPr>
              <w:rPr>
                <w:sz w:val="24"/>
              </w:rPr>
            </w:pPr>
            <w:r>
              <w:rPr>
                <w:sz w:val="24"/>
              </w:rPr>
              <w:t>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80" w:type="dxa"/>
            <w:gridSpan w:val="4"/>
            <w:noWrap w:val="0"/>
            <w:vAlign w:val="center"/>
          </w:tcPr>
          <w:p>
            <w:pPr>
              <w:rPr>
                <w:sz w:val="24"/>
              </w:rPr>
            </w:pPr>
            <w:r>
              <w:rPr>
                <w:sz w:val="24"/>
              </w:rPr>
              <w:t>服务期</w:t>
            </w:r>
          </w:p>
        </w:tc>
        <w:tc>
          <w:tcPr>
            <w:tcW w:w="6210" w:type="dxa"/>
            <w:gridSpan w:val="5"/>
            <w:noWrap w:val="0"/>
            <w:vAlign w:val="center"/>
          </w:tcPr>
          <w:p>
            <w:pPr>
              <w:rPr>
                <w:sz w:val="24"/>
              </w:rPr>
            </w:pPr>
            <w:r>
              <w:rPr>
                <w:sz w:val="24"/>
              </w:rPr>
              <w:t>个年度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80" w:type="dxa"/>
            <w:gridSpan w:val="4"/>
            <w:noWrap w:val="0"/>
            <w:vAlign w:val="center"/>
          </w:tcPr>
          <w:p>
            <w:pPr>
              <w:rPr>
                <w:sz w:val="24"/>
              </w:rPr>
            </w:pPr>
            <w:r>
              <w:rPr>
                <w:sz w:val="24"/>
              </w:rPr>
              <w:t>对所附合同格式的条款是否有异议</w:t>
            </w:r>
          </w:p>
        </w:tc>
        <w:tc>
          <w:tcPr>
            <w:tcW w:w="6210" w:type="dxa"/>
            <w:gridSpan w:val="5"/>
            <w:noWrap w:val="0"/>
            <w:vAlign w:val="center"/>
          </w:tcPr>
          <w:p>
            <w:pPr>
              <w:ind w:firstLine="3480" w:firstLineChars="1450"/>
              <w:rPr>
                <w:sz w:val="24"/>
              </w:rPr>
            </w:pPr>
          </w:p>
        </w:tc>
      </w:tr>
    </w:tbl>
    <w:p>
      <w:pPr>
        <w:spacing w:line="360" w:lineRule="auto"/>
        <w:ind w:firstLine="480" w:firstLineChars="200"/>
        <w:rPr>
          <w:sz w:val="24"/>
        </w:rPr>
      </w:pPr>
      <w:r>
        <w:rPr>
          <w:sz w:val="24"/>
        </w:rPr>
        <w:t>备注：1、本表中内容允许供应商按其报价组成进行局部调整、补充、扩展，未在“报价表”中列出的报价项目或未填报的单价合价将被视作已包含在其他分项报价和总报价中，评审和结算过程将按不利于供应商的方式进行。</w:t>
      </w:r>
    </w:p>
    <w:p>
      <w:pPr>
        <w:spacing w:line="360" w:lineRule="auto"/>
        <w:ind w:firstLine="480" w:firstLineChars="200"/>
        <w:rPr>
          <w:sz w:val="24"/>
        </w:rPr>
      </w:pPr>
      <w:r>
        <w:rPr>
          <w:sz w:val="24"/>
        </w:rPr>
        <w:t>2、表中未注明计量单位的项目，供应商须按服务方案自行列明。</w:t>
      </w:r>
    </w:p>
    <w:p>
      <w:pPr>
        <w:spacing w:line="360" w:lineRule="auto"/>
        <w:ind w:firstLine="480" w:firstLineChars="200"/>
        <w:rPr>
          <w:sz w:val="24"/>
        </w:rPr>
      </w:pPr>
      <w:r>
        <w:rPr>
          <w:sz w:val="24"/>
        </w:rPr>
        <w:t>3、表中“工资”指按国家及项目所在地相关规定需要支付给员工的各种工资、加班费、特殊岗位津贴、奖金、</w:t>
      </w:r>
      <w:r>
        <w:rPr>
          <w:sz w:val="24"/>
        </w:rPr>
        <w:fldChar w:fldCharType="begin"/>
      </w:r>
      <w:r>
        <w:rPr>
          <w:sz w:val="24"/>
        </w:rPr>
        <w:instrText xml:space="preserve"> HYPERLINK "http://baike.baidu.com/view/46715.htm" \t "_blank" </w:instrText>
      </w:r>
      <w:r>
        <w:rPr>
          <w:sz w:val="24"/>
        </w:rPr>
        <w:fldChar w:fldCharType="separate"/>
      </w:r>
      <w:r>
        <w:rPr>
          <w:sz w:val="24"/>
        </w:rPr>
        <w:t>养老保险</w:t>
      </w:r>
      <w:r>
        <w:rPr>
          <w:sz w:val="24"/>
        </w:rPr>
        <w:fldChar w:fldCharType="end"/>
      </w:r>
      <w:r>
        <w:rPr>
          <w:sz w:val="24"/>
        </w:rPr>
        <w:t>、</w:t>
      </w:r>
      <w:r>
        <w:rPr>
          <w:sz w:val="24"/>
        </w:rPr>
        <w:fldChar w:fldCharType="begin"/>
      </w:r>
      <w:r>
        <w:rPr>
          <w:sz w:val="24"/>
        </w:rPr>
        <w:instrText xml:space="preserve"> HYPERLINK "http://baike.baidu.com/view/34297.htm" \t "_blank" </w:instrText>
      </w:r>
      <w:r>
        <w:rPr>
          <w:sz w:val="24"/>
        </w:rPr>
        <w:fldChar w:fldCharType="separate"/>
      </w:r>
      <w:r>
        <w:rPr>
          <w:sz w:val="24"/>
        </w:rPr>
        <w:t>医疗保险</w:t>
      </w:r>
      <w:r>
        <w:rPr>
          <w:sz w:val="24"/>
        </w:rPr>
        <w:fldChar w:fldCharType="end"/>
      </w:r>
      <w:r>
        <w:rPr>
          <w:sz w:val="24"/>
        </w:rPr>
        <w:t>、</w:t>
      </w:r>
      <w:r>
        <w:rPr>
          <w:sz w:val="24"/>
        </w:rPr>
        <w:fldChar w:fldCharType="begin"/>
      </w:r>
      <w:r>
        <w:rPr>
          <w:sz w:val="24"/>
        </w:rPr>
        <w:instrText xml:space="preserve"> HYPERLINK "http://baike.baidu.com/view/316.htm" \t "_blank" </w:instrText>
      </w:r>
      <w:r>
        <w:rPr>
          <w:sz w:val="24"/>
        </w:rPr>
        <w:fldChar w:fldCharType="separate"/>
      </w:r>
      <w:r>
        <w:rPr>
          <w:sz w:val="24"/>
        </w:rPr>
        <w:t>失业保险</w:t>
      </w:r>
      <w:r>
        <w:rPr>
          <w:sz w:val="24"/>
        </w:rPr>
        <w:fldChar w:fldCharType="end"/>
      </w:r>
      <w:r>
        <w:rPr>
          <w:sz w:val="24"/>
        </w:rPr>
        <w:t>、</w:t>
      </w:r>
      <w:r>
        <w:rPr>
          <w:sz w:val="24"/>
        </w:rPr>
        <w:fldChar w:fldCharType="begin"/>
      </w:r>
      <w:r>
        <w:rPr>
          <w:sz w:val="24"/>
        </w:rPr>
        <w:instrText xml:space="preserve"> HYPERLINK "http://baike.baidu.com/view/101706.htm" \t "_blank" </w:instrText>
      </w:r>
      <w:r>
        <w:rPr>
          <w:sz w:val="24"/>
        </w:rPr>
        <w:fldChar w:fldCharType="separate"/>
      </w:r>
      <w:r>
        <w:rPr>
          <w:sz w:val="24"/>
        </w:rPr>
        <w:t>工伤保险</w:t>
      </w:r>
      <w:r>
        <w:rPr>
          <w:sz w:val="24"/>
        </w:rPr>
        <w:fldChar w:fldCharType="end"/>
      </w:r>
      <w:r>
        <w:rPr>
          <w:sz w:val="24"/>
        </w:rPr>
        <w:t>、</w:t>
      </w:r>
      <w:r>
        <w:rPr>
          <w:sz w:val="24"/>
        </w:rPr>
        <w:fldChar w:fldCharType="begin"/>
      </w:r>
      <w:r>
        <w:rPr>
          <w:sz w:val="24"/>
        </w:rPr>
        <w:instrText xml:space="preserve"> HYPERLINK "http://baike.baidu.com/view/101839.htm" \t "_blank" </w:instrText>
      </w:r>
      <w:r>
        <w:rPr>
          <w:sz w:val="24"/>
        </w:rPr>
        <w:fldChar w:fldCharType="separate"/>
      </w:r>
      <w:r>
        <w:rPr>
          <w:sz w:val="24"/>
        </w:rPr>
        <w:t>生育保险</w:t>
      </w:r>
      <w:r>
        <w:rPr>
          <w:sz w:val="24"/>
        </w:rPr>
        <w:fldChar w:fldCharType="end"/>
      </w:r>
      <w:r>
        <w:rPr>
          <w:sz w:val="24"/>
        </w:rPr>
        <w:t>等。</w:t>
      </w:r>
    </w:p>
    <w:p>
      <w:pPr>
        <w:spacing w:line="360" w:lineRule="auto"/>
        <w:ind w:firstLine="480" w:firstLineChars="200"/>
        <w:rPr>
          <w:sz w:val="24"/>
        </w:rPr>
      </w:pPr>
      <w:r>
        <w:rPr>
          <w:sz w:val="24"/>
        </w:rPr>
        <w:t>4、保洁运送服务人员中部分固定驻守岗位人员的工资计划另附表分岗位说明。</w:t>
      </w:r>
    </w:p>
    <w:p>
      <w:pPr>
        <w:spacing w:line="360" w:lineRule="auto"/>
        <w:ind w:firstLine="480" w:firstLineChars="200"/>
        <w:rPr>
          <w:sz w:val="24"/>
        </w:rPr>
      </w:pPr>
      <w:r>
        <w:rPr>
          <w:sz w:val="24"/>
        </w:rPr>
        <w:t>5、表中“设备、工器具费”、“办公设备和设施”费等非消耗品的费用仅指供应商拟用于本项目的固定资产折旧和递延资产摊销费用或租赁费。</w:t>
      </w:r>
    </w:p>
    <w:p>
      <w:pPr>
        <w:tabs>
          <w:tab w:val="left" w:pos="1320"/>
        </w:tabs>
        <w:spacing w:line="360" w:lineRule="auto"/>
        <w:rPr>
          <w:sz w:val="24"/>
        </w:rPr>
      </w:pPr>
    </w:p>
    <w:p>
      <w:pPr>
        <w:tabs>
          <w:tab w:val="left" w:pos="1320"/>
        </w:tabs>
        <w:spacing w:line="360" w:lineRule="auto"/>
        <w:rPr>
          <w:sz w:val="24"/>
        </w:rPr>
      </w:pPr>
      <w:r>
        <w:rPr>
          <w:sz w:val="24"/>
        </w:rPr>
        <w:t xml:space="preserve">供应商：（盖章）       </w:t>
      </w:r>
    </w:p>
    <w:p>
      <w:pPr>
        <w:adjustRightInd w:val="0"/>
        <w:snapToGrid w:val="0"/>
        <w:spacing w:line="360" w:lineRule="auto"/>
        <w:rPr>
          <w:sz w:val="24"/>
        </w:rPr>
      </w:pPr>
    </w:p>
    <w:p>
      <w:pPr>
        <w:adjustRightInd w:val="0"/>
        <w:snapToGrid w:val="0"/>
        <w:spacing w:line="360" w:lineRule="auto"/>
        <w:rPr>
          <w:sz w:val="24"/>
        </w:rPr>
      </w:pPr>
      <w:r>
        <w:rPr>
          <w:sz w:val="24"/>
        </w:rPr>
        <w:t>法定代表人或授权代表人：（签字或盖章）</w:t>
      </w:r>
    </w:p>
    <w:p>
      <w:pPr>
        <w:adjustRightInd w:val="0"/>
        <w:snapToGrid w:val="0"/>
        <w:spacing w:line="360" w:lineRule="auto"/>
        <w:rPr>
          <w:sz w:val="24"/>
        </w:rPr>
      </w:pPr>
    </w:p>
    <w:p>
      <w:pPr>
        <w:spacing w:line="360" w:lineRule="auto"/>
        <w:rPr>
          <w:sz w:val="24"/>
        </w:rPr>
      </w:pPr>
      <w:r>
        <w:rPr>
          <w:sz w:val="24"/>
        </w:rPr>
        <w:t xml:space="preserve">日期： </w:t>
      </w:r>
    </w:p>
    <w:p>
      <w:pPr>
        <w:tabs>
          <w:tab w:val="left" w:pos="1418"/>
        </w:tabs>
        <w:snapToGrid w:val="0"/>
        <w:spacing w:before="50" w:after="50" w:line="360" w:lineRule="auto"/>
        <w:rPr>
          <w:spacing w:val="20"/>
          <w:sz w:val="24"/>
          <w:szCs w:val="20"/>
          <w:u w:val="single"/>
        </w:rPr>
      </w:pPr>
    </w:p>
    <w:p>
      <w:pPr>
        <w:pStyle w:val="37"/>
        <w:spacing w:line="360" w:lineRule="auto"/>
        <w:outlineLvl w:val="1"/>
        <w:rPr>
          <w:rFonts w:ascii="Times New Roman" w:hAnsi="Times New Roman"/>
          <w:spacing w:val="20"/>
          <w:u w:val="single"/>
        </w:rPr>
      </w:pPr>
      <w:r>
        <w:rPr>
          <w:rFonts w:ascii="Times New Roman" w:hAnsi="Times New Roman"/>
          <w:spacing w:val="20"/>
          <w:u w:val="single"/>
        </w:rPr>
        <w:br w:type="page"/>
      </w:r>
      <w:bookmarkStart w:id="61" w:name="_Toc18854442"/>
      <w:r>
        <w:rPr>
          <w:rFonts w:ascii="Times New Roman" w:hAnsi="Times New Roman"/>
          <w:b/>
        </w:rPr>
        <w:t>18.</w:t>
      </w:r>
      <w:r>
        <w:rPr>
          <w:rFonts w:ascii="Times New Roman" w:hAnsi="Times New Roman"/>
          <w:b/>
          <w:bCs/>
        </w:rPr>
        <w:t>政府采购政策情况表</w:t>
      </w:r>
      <w:bookmarkEnd w:id="61"/>
    </w:p>
    <w:p>
      <w:pPr>
        <w:pStyle w:val="37"/>
        <w:spacing w:line="240" w:lineRule="auto"/>
        <w:jc w:val="center"/>
        <w:rPr>
          <w:rFonts w:ascii="Times New Roman" w:hAnsi="Times New Roman"/>
          <w:b/>
          <w:bCs/>
          <w:sz w:val="30"/>
          <w:szCs w:val="30"/>
        </w:rPr>
      </w:pPr>
      <w:r>
        <w:rPr>
          <w:rFonts w:ascii="Times New Roman" w:hAnsi="Times New Roman"/>
          <w:b/>
          <w:bCs/>
          <w:sz w:val="30"/>
          <w:szCs w:val="30"/>
        </w:rPr>
        <w:t>政府采购政策情况表</w:t>
      </w:r>
    </w:p>
    <w:p>
      <w:pPr>
        <w:pStyle w:val="37"/>
        <w:spacing w:line="240" w:lineRule="auto"/>
        <w:rPr>
          <w:rFonts w:ascii="Times New Roman" w:hAnsi="Times New Roman"/>
          <w:b/>
          <w:bCs/>
          <w:szCs w:val="21"/>
        </w:rPr>
      </w:pPr>
      <w:r>
        <w:rPr>
          <w:rFonts w:ascii="Times New Roman" w:hAnsi="Times New Roman"/>
          <w:b/>
          <w:bCs/>
          <w:szCs w:val="21"/>
        </w:rPr>
        <w:t xml:space="preserve">项目编号： </w:t>
      </w:r>
    </w:p>
    <w:p>
      <w:pPr>
        <w:rPr>
          <w:b/>
        </w:rPr>
      </w:pPr>
      <w:r>
        <w:rPr>
          <w:b/>
          <w:szCs w:val="21"/>
          <w:lang w:val="en-GB"/>
        </w:rPr>
        <w:t>注：如投标人及投标产品均不能享受政策优惠，则将下面这段话填入首行，可不再填写其他内容及中小企业声明函：本公司及投标产品不能享受政策优惠，特此声明。</w:t>
      </w:r>
    </w:p>
    <w:tbl>
      <w:tblPr>
        <w:tblStyle w:val="7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238"/>
        <w:gridCol w:w="69"/>
        <w:gridCol w:w="196"/>
        <w:gridCol w:w="1376"/>
        <w:gridCol w:w="23"/>
        <w:gridCol w:w="104"/>
        <w:gridCol w:w="1247"/>
        <w:gridCol w:w="11"/>
        <w:gridCol w:w="57"/>
        <w:gridCol w:w="1609"/>
        <w:gridCol w:w="28"/>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5" w:hRule="atLeast"/>
          <w:jc w:val="center"/>
        </w:trPr>
        <w:tc>
          <w:tcPr>
            <w:tcW w:w="1313" w:type="dxa"/>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rPr>
            </w:pPr>
            <w:r>
              <w:rPr>
                <w:szCs w:val="21"/>
              </w:rPr>
              <w:t>声明</w:t>
            </w:r>
          </w:p>
        </w:tc>
        <w:tc>
          <w:tcPr>
            <w:tcW w:w="7520" w:type="dxa"/>
            <w:gridSpan w:val="12"/>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9" w:hRule="atLeast"/>
          <w:jc w:val="center"/>
        </w:trPr>
        <w:tc>
          <w:tcPr>
            <w:tcW w:w="1313" w:type="dxa"/>
            <w:vMerge w:val="restart"/>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bookmarkStart w:id="62" w:name="_Toc470007449"/>
            <w:r>
              <w:rPr>
                <w:szCs w:val="21"/>
              </w:rPr>
              <w:t>小型、微型企业产品</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r>
              <w:rPr>
                <w:szCs w:val="21"/>
                <w:lang w:val="en-GB"/>
              </w:rPr>
              <w:t>产品名称</w:t>
            </w:r>
          </w:p>
        </w:tc>
        <w:tc>
          <w:tcPr>
            <w:tcW w:w="1641" w:type="dxa"/>
            <w:gridSpan w:val="3"/>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r>
              <w:rPr>
                <w:szCs w:val="21"/>
                <w:lang w:val="en-GB"/>
              </w:rPr>
              <w:t>品牌型号</w:t>
            </w:r>
          </w:p>
        </w:tc>
        <w:tc>
          <w:tcPr>
            <w:tcW w:w="1374" w:type="dxa"/>
            <w:gridSpan w:val="3"/>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r>
              <w:rPr>
                <w:szCs w:val="21"/>
                <w:lang w:val="en-GB"/>
              </w:rPr>
              <w:t>制造商</w:t>
            </w:r>
          </w:p>
        </w:tc>
        <w:tc>
          <w:tcPr>
            <w:tcW w:w="1677" w:type="dxa"/>
            <w:gridSpan w:val="3"/>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jc w:val="center"/>
              <w:rPr>
                <w:szCs w:val="21"/>
                <w:lang w:val="en-GB"/>
              </w:rPr>
            </w:pPr>
            <w:r>
              <w:rPr>
                <w:szCs w:val="21"/>
              </w:rPr>
              <w:t>小型/微型企业</w:t>
            </w:r>
          </w:p>
        </w:tc>
        <w:tc>
          <w:tcPr>
            <w:tcW w:w="1590" w:type="dxa"/>
            <w:gridSpan w:val="2"/>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r>
              <w:rPr>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9"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lang w:val="en-GB"/>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p>
        </w:tc>
        <w:tc>
          <w:tcPr>
            <w:tcW w:w="1641" w:type="dxa"/>
            <w:gridSpan w:val="3"/>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p>
        </w:tc>
        <w:tc>
          <w:tcPr>
            <w:tcW w:w="1374" w:type="dxa"/>
            <w:gridSpan w:val="3"/>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p>
        </w:tc>
        <w:tc>
          <w:tcPr>
            <w:tcW w:w="1677" w:type="dxa"/>
            <w:gridSpan w:val="3"/>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p>
        </w:tc>
        <w:tc>
          <w:tcPr>
            <w:tcW w:w="1590" w:type="dxa"/>
            <w:gridSpan w:val="2"/>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lang w:val="en-GB"/>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p>
        </w:tc>
        <w:tc>
          <w:tcPr>
            <w:tcW w:w="1641" w:type="dxa"/>
            <w:gridSpan w:val="3"/>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p>
        </w:tc>
        <w:tc>
          <w:tcPr>
            <w:tcW w:w="1374" w:type="dxa"/>
            <w:gridSpan w:val="3"/>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p>
        </w:tc>
        <w:tc>
          <w:tcPr>
            <w:tcW w:w="1677" w:type="dxa"/>
            <w:gridSpan w:val="3"/>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p>
        </w:tc>
        <w:tc>
          <w:tcPr>
            <w:tcW w:w="1590" w:type="dxa"/>
            <w:gridSpan w:val="2"/>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5"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lang w:val="en-GB"/>
              </w:rPr>
            </w:pPr>
          </w:p>
        </w:tc>
        <w:tc>
          <w:tcPr>
            <w:tcW w:w="5930" w:type="dxa"/>
            <w:gridSpan w:val="10"/>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r>
              <w:rPr>
                <w:szCs w:val="21"/>
              </w:rPr>
              <w:t>小型、微型企业产品</w:t>
            </w:r>
            <w:r>
              <w:rPr>
                <w:szCs w:val="21"/>
                <w:lang w:val="en-GB"/>
              </w:rPr>
              <w:t>金额合计</w:t>
            </w:r>
          </w:p>
        </w:tc>
        <w:tc>
          <w:tcPr>
            <w:tcW w:w="1590" w:type="dxa"/>
            <w:gridSpan w:val="2"/>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5"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lang w:val="en-GB"/>
              </w:rPr>
            </w:pPr>
          </w:p>
        </w:tc>
        <w:tc>
          <w:tcPr>
            <w:tcW w:w="5930" w:type="dxa"/>
            <w:gridSpan w:val="10"/>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r>
              <w:rPr>
                <w:szCs w:val="21"/>
                <w:lang w:val="en-GB"/>
              </w:rPr>
              <w:t>比重（</w:t>
            </w:r>
            <w:r>
              <w:rPr>
                <w:szCs w:val="21"/>
              </w:rPr>
              <w:t>小型、微型企业产品</w:t>
            </w:r>
            <w:r>
              <w:rPr>
                <w:szCs w:val="21"/>
                <w:lang w:val="en-GB"/>
              </w:rPr>
              <w:t>金额/投标总价）</w:t>
            </w:r>
          </w:p>
        </w:tc>
        <w:tc>
          <w:tcPr>
            <w:tcW w:w="1590" w:type="dxa"/>
            <w:gridSpan w:val="2"/>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r>
              <w:rPr>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5"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lang w:val="en-GB"/>
              </w:rPr>
            </w:pPr>
          </w:p>
        </w:tc>
        <w:tc>
          <w:tcPr>
            <w:tcW w:w="7520" w:type="dxa"/>
            <w:gridSpan w:val="12"/>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r>
              <w:rPr>
                <w:szCs w:val="21"/>
              </w:rPr>
              <w:t>小型、微型企业证明材料见投标文件第</w:t>
            </w:r>
            <w:r>
              <w:rPr>
                <w:szCs w:val="21"/>
                <w:u w:val="single"/>
              </w:rPr>
              <w:t xml:space="preserve">   </w:t>
            </w:r>
            <w:r>
              <w:rPr>
                <w:szCs w:val="21"/>
              </w:rPr>
              <w:t>至</w:t>
            </w:r>
            <w:r>
              <w:rPr>
                <w:szCs w:val="21"/>
                <w:u w:val="single"/>
              </w:rPr>
              <w:t xml:space="preserve">   </w:t>
            </w:r>
            <w:r>
              <w:rPr>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r>
              <w:rPr>
                <w:szCs w:val="21"/>
                <w:lang w:val="en-GB"/>
              </w:rPr>
              <w:t>监狱企</w:t>
            </w:r>
          </w:p>
          <w:p>
            <w:pPr>
              <w:pStyle w:val="136"/>
              <w:tabs>
                <w:tab w:val="left" w:pos="1260"/>
              </w:tabs>
              <w:snapToGrid w:val="0"/>
              <w:spacing w:line="360" w:lineRule="auto"/>
              <w:jc w:val="center"/>
              <w:rPr>
                <w:szCs w:val="21"/>
                <w:lang w:val="en-GB"/>
              </w:rPr>
            </w:pPr>
            <w:r>
              <w:rPr>
                <w:szCs w:val="21"/>
                <w:lang w:val="en-GB"/>
              </w:rPr>
              <w:t>业产品</w:t>
            </w:r>
          </w:p>
        </w:tc>
        <w:tc>
          <w:tcPr>
            <w:tcW w:w="1307" w:type="dxa"/>
            <w:gridSpan w:val="2"/>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r>
              <w:rPr>
                <w:szCs w:val="21"/>
                <w:lang w:val="en-GB"/>
              </w:rPr>
              <w:t>产品名称</w:t>
            </w:r>
          </w:p>
        </w:tc>
        <w:tc>
          <w:tcPr>
            <w:tcW w:w="1595" w:type="dxa"/>
            <w:gridSpan w:val="3"/>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r>
              <w:rPr>
                <w:szCs w:val="21"/>
                <w:lang w:val="en-GB"/>
              </w:rPr>
              <w:t>品牌型号</w:t>
            </w:r>
          </w:p>
        </w:tc>
        <w:tc>
          <w:tcPr>
            <w:tcW w:w="1419" w:type="dxa"/>
            <w:gridSpan w:val="4"/>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r>
              <w:rPr>
                <w:szCs w:val="21"/>
                <w:lang w:val="en-GB"/>
              </w:rPr>
              <w:t>制造商</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jc w:val="center"/>
              <w:rPr>
                <w:szCs w:val="21"/>
                <w:lang w:val="en-GB"/>
              </w:rPr>
            </w:pPr>
            <w:r>
              <w:rPr>
                <w:szCs w:val="21"/>
                <w:lang w:val="en-GB"/>
              </w:rPr>
              <w:t>制造商</w:t>
            </w:r>
          </w:p>
          <w:p>
            <w:pPr>
              <w:pStyle w:val="136"/>
              <w:tabs>
                <w:tab w:val="left" w:pos="1260"/>
              </w:tabs>
              <w:snapToGrid w:val="0"/>
              <w:jc w:val="center"/>
              <w:rPr>
                <w:szCs w:val="21"/>
                <w:lang w:val="en-GB"/>
              </w:rPr>
            </w:pPr>
            <w:r>
              <w:rPr>
                <w:szCs w:val="21"/>
                <w:lang w:val="en-GB"/>
              </w:rPr>
              <w:t>企业类型</w:t>
            </w:r>
          </w:p>
        </w:tc>
        <w:tc>
          <w:tcPr>
            <w:tcW w:w="1590" w:type="dxa"/>
            <w:gridSpan w:val="2"/>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r>
              <w:rPr>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lang w:val="en-GB"/>
              </w:rPr>
            </w:pPr>
          </w:p>
        </w:tc>
        <w:tc>
          <w:tcPr>
            <w:tcW w:w="1307" w:type="dxa"/>
            <w:gridSpan w:val="2"/>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rPr>
            </w:pPr>
          </w:p>
        </w:tc>
        <w:tc>
          <w:tcPr>
            <w:tcW w:w="1595" w:type="dxa"/>
            <w:gridSpan w:val="3"/>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rPr>
            </w:pPr>
          </w:p>
        </w:tc>
        <w:tc>
          <w:tcPr>
            <w:tcW w:w="1419" w:type="dxa"/>
            <w:gridSpan w:val="4"/>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rPr>
            </w:pPr>
          </w:p>
        </w:tc>
        <w:tc>
          <w:tcPr>
            <w:tcW w:w="1590" w:type="dxa"/>
            <w:gridSpan w:val="2"/>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lang w:val="en-GB"/>
              </w:rPr>
            </w:pPr>
          </w:p>
        </w:tc>
        <w:tc>
          <w:tcPr>
            <w:tcW w:w="1307" w:type="dxa"/>
            <w:gridSpan w:val="2"/>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rPr>
            </w:pPr>
          </w:p>
        </w:tc>
        <w:tc>
          <w:tcPr>
            <w:tcW w:w="1595" w:type="dxa"/>
            <w:gridSpan w:val="3"/>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rPr>
            </w:pPr>
          </w:p>
        </w:tc>
        <w:tc>
          <w:tcPr>
            <w:tcW w:w="1419" w:type="dxa"/>
            <w:gridSpan w:val="4"/>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rPr>
            </w:pPr>
          </w:p>
        </w:tc>
        <w:tc>
          <w:tcPr>
            <w:tcW w:w="1590" w:type="dxa"/>
            <w:gridSpan w:val="2"/>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5"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lang w:val="en-GB"/>
              </w:rPr>
            </w:pPr>
          </w:p>
        </w:tc>
        <w:tc>
          <w:tcPr>
            <w:tcW w:w="5930" w:type="dxa"/>
            <w:gridSpan w:val="10"/>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r>
              <w:rPr>
                <w:szCs w:val="21"/>
                <w:lang w:val="en-GB"/>
              </w:rPr>
              <w:t>监狱企</w:t>
            </w:r>
            <w:r>
              <w:rPr>
                <w:szCs w:val="21"/>
              </w:rPr>
              <w:t>业产品</w:t>
            </w:r>
            <w:r>
              <w:rPr>
                <w:szCs w:val="21"/>
                <w:lang w:val="en-GB"/>
              </w:rPr>
              <w:t>金额合计</w:t>
            </w:r>
          </w:p>
        </w:tc>
        <w:tc>
          <w:tcPr>
            <w:tcW w:w="1590" w:type="dxa"/>
            <w:gridSpan w:val="2"/>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5"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lang w:val="en-GB"/>
              </w:rPr>
            </w:pPr>
          </w:p>
        </w:tc>
        <w:tc>
          <w:tcPr>
            <w:tcW w:w="5930" w:type="dxa"/>
            <w:gridSpan w:val="10"/>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r>
              <w:rPr>
                <w:szCs w:val="21"/>
                <w:lang w:val="en-GB"/>
              </w:rPr>
              <w:t>比重（监狱企</w:t>
            </w:r>
            <w:r>
              <w:rPr>
                <w:szCs w:val="21"/>
              </w:rPr>
              <w:t>业产品</w:t>
            </w:r>
            <w:r>
              <w:rPr>
                <w:szCs w:val="21"/>
                <w:lang w:val="en-GB"/>
              </w:rPr>
              <w:t>金额/投标总价）</w:t>
            </w:r>
          </w:p>
        </w:tc>
        <w:tc>
          <w:tcPr>
            <w:tcW w:w="1590" w:type="dxa"/>
            <w:gridSpan w:val="2"/>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r>
              <w:rPr>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5"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lang w:val="en-GB"/>
              </w:rPr>
            </w:pPr>
          </w:p>
        </w:tc>
        <w:tc>
          <w:tcPr>
            <w:tcW w:w="7520" w:type="dxa"/>
            <w:gridSpan w:val="12"/>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r>
              <w:rPr>
                <w:szCs w:val="21"/>
                <w:lang w:val="en-GB"/>
              </w:rPr>
              <w:t>监狱企</w:t>
            </w:r>
            <w:r>
              <w:rPr>
                <w:szCs w:val="21"/>
              </w:rPr>
              <w:t>业证明材料见投标文件第</w:t>
            </w:r>
            <w:r>
              <w:rPr>
                <w:szCs w:val="21"/>
                <w:u w:val="single"/>
              </w:rPr>
              <w:t xml:space="preserve">   </w:t>
            </w:r>
            <w:r>
              <w:rPr>
                <w:szCs w:val="21"/>
              </w:rPr>
              <w:t>至</w:t>
            </w:r>
            <w:r>
              <w:rPr>
                <w:szCs w:val="21"/>
                <w:u w:val="single"/>
              </w:rPr>
              <w:t xml:space="preserve">   </w:t>
            </w:r>
            <w:r>
              <w:rPr>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r>
              <w:rPr>
                <w:szCs w:val="21"/>
                <w:lang w:val="en-GB"/>
              </w:rPr>
              <w:t>残疾人福利性单位产品</w:t>
            </w:r>
          </w:p>
        </w:tc>
        <w:tc>
          <w:tcPr>
            <w:tcW w:w="1503" w:type="dxa"/>
            <w:gridSpan w:val="3"/>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r>
              <w:rPr>
                <w:szCs w:val="21"/>
                <w:lang w:val="en-GB"/>
              </w:rPr>
              <w:t>产品名称</w:t>
            </w:r>
          </w:p>
        </w:tc>
        <w:tc>
          <w:tcPr>
            <w:tcW w:w="1503" w:type="dxa"/>
            <w:gridSpan w:val="3"/>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r>
              <w:rPr>
                <w:szCs w:val="21"/>
                <w:lang w:val="en-GB"/>
              </w:rPr>
              <w:t>品牌型号</w:t>
            </w:r>
          </w:p>
        </w:tc>
        <w:tc>
          <w:tcPr>
            <w:tcW w:w="1258" w:type="dxa"/>
            <w:gridSpan w:val="2"/>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r>
              <w:rPr>
                <w:szCs w:val="21"/>
                <w:lang w:val="en-GB"/>
              </w:rPr>
              <w:t>制造商</w:t>
            </w:r>
          </w:p>
        </w:tc>
        <w:tc>
          <w:tcPr>
            <w:tcW w:w="1694" w:type="dxa"/>
            <w:gridSpan w:val="3"/>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jc w:val="center"/>
              <w:rPr>
                <w:szCs w:val="21"/>
                <w:lang w:val="en-GB"/>
              </w:rPr>
            </w:pPr>
            <w:r>
              <w:rPr>
                <w:szCs w:val="21"/>
                <w:lang w:val="en-GB"/>
              </w:rPr>
              <w:t>制造商</w:t>
            </w:r>
          </w:p>
          <w:p>
            <w:pPr>
              <w:pStyle w:val="136"/>
              <w:tabs>
                <w:tab w:val="left" w:pos="1260"/>
              </w:tabs>
              <w:snapToGrid w:val="0"/>
              <w:jc w:val="center"/>
              <w:rPr>
                <w:szCs w:val="21"/>
                <w:lang w:val="en-GB"/>
              </w:rPr>
            </w:pPr>
            <w:r>
              <w:rPr>
                <w:szCs w:val="21"/>
                <w:lang w:val="en-GB"/>
              </w:rPr>
              <w:t>企业类型</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r>
              <w:rPr>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lang w:val="en-GB"/>
              </w:rPr>
            </w:pPr>
          </w:p>
        </w:tc>
        <w:tc>
          <w:tcPr>
            <w:tcW w:w="1503" w:type="dxa"/>
            <w:gridSpan w:val="3"/>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rPr>
            </w:pPr>
          </w:p>
        </w:tc>
        <w:tc>
          <w:tcPr>
            <w:tcW w:w="1503" w:type="dxa"/>
            <w:gridSpan w:val="3"/>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rPr>
            </w:pPr>
          </w:p>
        </w:tc>
        <w:tc>
          <w:tcPr>
            <w:tcW w:w="1258" w:type="dxa"/>
            <w:gridSpan w:val="2"/>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rPr>
            </w:pPr>
          </w:p>
        </w:tc>
        <w:tc>
          <w:tcPr>
            <w:tcW w:w="1694" w:type="dxa"/>
            <w:gridSpan w:val="3"/>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lang w:val="en-GB"/>
              </w:rPr>
            </w:pPr>
          </w:p>
        </w:tc>
        <w:tc>
          <w:tcPr>
            <w:tcW w:w="1503" w:type="dxa"/>
            <w:gridSpan w:val="3"/>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rPr>
            </w:pPr>
          </w:p>
        </w:tc>
        <w:tc>
          <w:tcPr>
            <w:tcW w:w="1503" w:type="dxa"/>
            <w:gridSpan w:val="3"/>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rPr>
            </w:pPr>
          </w:p>
        </w:tc>
        <w:tc>
          <w:tcPr>
            <w:tcW w:w="1258" w:type="dxa"/>
            <w:gridSpan w:val="2"/>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rPr>
            </w:pPr>
          </w:p>
        </w:tc>
        <w:tc>
          <w:tcPr>
            <w:tcW w:w="1694" w:type="dxa"/>
            <w:gridSpan w:val="3"/>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5"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lang w:val="en-GB"/>
              </w:rPr>
            </w:pPr>
          </w:p>
        </w:tc>
        <w:tc>
          <w:tcPr>
            <w:tcW w:w="5958" w:type="dxa"/>
            <w:gridSpan w:val="11"/>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r>
              <w:rPr>
                <w:szCs w:val="21"/>
                <w:lang w:val="en-GB"/>
              </w:rPr>
              <w:t>残疾人福利性单位</w:t>
            </w:r>
            <w:r>
              <w:rPr>
                <w:szCs w:val="21"/>
              </w:rPr>
              <w:t>产品</w:t>
            </w:r>
            <w:r>
              <w:rPr>
                <w:szCs w:val="21"/>
                <w:lang w:val="en-GB"/>
              </w:rPr>
              <w:t>金额合计</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5"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lang w:val="en-GB"/>
              </w:rPr>
            </w:pPr>
          </w:p>
        </w:tc>
        <w:tc>
          <w:tcPr>
            <w:tcW w:w="5958" w:type="dxa"/>
            <w:gridSpan w:val="11"/>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r>
              <w:rPr>
                <w:szCs w:val="21"/>
                <w:lang w:val="en-GB"/>
              </w:rPr>
              <w:t>比重（残疾人福利性单位</w:t>
            </w:r>
            <w:r>
              <w:rPr>
                <w:szCs w:val="21"/>
              </w:rPr>
              <w:t>产品</w:t>
            </w:r>
            <w:r>
              <w:rPr>
                <w:szCs w:val="21"/>
                <w:lang w:val="en-GB"/>
              </w:rPr>
              <w:t>金额/投标总价）</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r>
              <w:rPr>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5"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lang w:val="en-GB"/>
              </w:rPr>
            </w:pPr>
          </w:p>
        </w:tc>
        <w:tc>
          <w:tcPr>
            <w:tcW w:w="7520" w:type="dxa"/>
            <w:gridSpan w:val="12"/>
            <w:tcBorders>
              <w:top w:val="single" w:color="auto" w:sz="4" w:space="0"/>
              <w:left w:val="single" w:color="auto" w:sz="4" w:space="0"/>
              <w:bottom w:val="single" w:color="auto" w:sz="4" w:space="0"/>
              <w:right w:val="single" w:color="auto" w:sz="4" w:space="0"/>
            </w:tcBorders>
            <w:noWrap w:val="0"/>
            <w:vAlign w:val="center"/>
          </w:tcPr>
          <w:p>
            <w:pPr>
              <w:pStyle w:val="136"/>
              <w:tabs>
                <w:tab w:val="left" w:pos="1260"/>
              </w:tabs>
              <w:snapToGrid w:val="0"/>
              <w:spacing w:line="360" w:lineRule="auto"/>
              <w:jc w:val="center"/>
              <w:rPr>
                <w:szCs w:val="21"/>
                <w:lang w:val="en-GB"/>
              </w:rPr>
            </w:pPr>
            <w:r>
              <w:rPr>
                <w:szCs w:val="21"/>
                <w:lang w:val="en-GB"/>
              </w:rPr>
              <w:t>残疾人福利性单位</w:t>
            </w:r>
            <w:r>
              <w:rPr>
                <w:szCs w:val="21"/>
              </w:rPr>
              <w:t>证明材料见投标文件</w:t>
            </w:r>
            <w:r>
              <w:rPr>
                <w:szCs w:val="21"/>
                <w:u w:val="single"/>
              </w:rPr>
              <w:t xml:space="preserve">          </w:t>
            </w:r>
            <w:r>
              <w:rPr>
                <w:szCs w:val="21"/>
              </w:rPr>
              <w:t>部分第</w:t>
            </w:r>
            <w:r>
              <w:rPr>
                <w:szCs w:val="21"/>
                <w:u w:val="single"/>
              </w:rPr>
              <w:t xml:space="preserve">   </w:t>
            </w:r>
            <w:r>
              <w:rPr>
                <w:szCs w:val="21"/>
              </w:rPr>
              <w:t>至</w:t>
            </w:r>
            <w:r>
              <w:rPr>
                <w:szCs w:val="21"/>
                <w:u w:val="single"/>
              </w:rPr>
              <w:t xml:space="preserve">   </w:t>
            </w:r>
            <w:r>
              <w:rPr>
                <w:szCs w:val="21"/>
              </w:rPr>
              <w:t>页。</w:t>
            </w:r>
          </w:p>
        </w:tc>
      </w:tr>
    </w:tbl>
    <w:p>
      <w:pPr>
        <w:spacing w:line="360" w:lineRule="auto"/>
        <w:ind w:firstLine="420" w:firstLineChars="200"/>
        <w:rPr>
          <w:szCs w:val="21"/>
        </w:rPr>
      </w:pPr>
      <w:r>
        <w:rPr>
          <w:szCs w:val="21"/>
        </w:rPr>
        <w:t>填报要求：</w:t>
      </w:r>
      <w:bookmarkEnd w:id="62"/>
    </w:p>
    <w:p>
      <w:pPr>
        <w:spacing w:line="360" w:lineRule="auto"/>
        <w:ind w:firstLine="420" w:firstLineChars="200"/>
        <w:rPr>
          <w:szCs w:val="21"/>
        </w:rPr>
      </w:pPr>
      <w:bookmarkStart w:id="63" w:name="_Toc470007450"/>
      <w:r>
        <w:rPr>
          <w:szCs w:val="21"/>
        </w:rPr>
        <w:t>1. 本表的金额应与《开标一览表》一致。</w:t>
      </w:r>
      <w:bookmarkEnd w:id="63"/>
    </w:p>
    <w:p>
      <w:pPr>
        <w:spacing w:line="360" w:lineRule="auto"/>
        <w:ind w:firstLine="420" w:firstLineChars="200"/>
        <w:rPr>
          <w:szCs w:val="21"/>
        </w:rPr>
      </w:pPr>
      <w:bookmarkStart w:id="64" w:name="_Toc470007451"/>
      <w:r>
        <w:rPr>
          <w:szCs w:val="21"/>
        </w:rPr>
        <w:t>2. 制造商为小型或微型企业时才需要填“制造商企业类型”栏，填写内容为“小型”或“微型”。</w:t>
      </w:r>
      <w:bookmarkEnd w:id="64"/>
    </w:p>
    <w:p>
      <w:pPr>
        <w:spacing w:line="360" w:lineRule="auto"/>
        <w:ind w:firstLine="420" w:firstLineChars="200"/>
        <w:rPr>
          <w:szCs w:val="21"/>
        </w:rPr>
      </w:pPr>
      <w:r>
        <w:rPr>
          <w:szCs w:val="21"/>
        </w:rPr>
        <w:t>3. 制造商为监狱企业时才需要填“制造商企业类型”栏。</w:t>
      </w:r>
    </w:p>
    <w:p>
      <w:pPr>
        <w:spacing w:line="360" w:lineRule="auto"/>
        <w:ind w:firstLine="420" w:firstLineChars="200"/>
        <w:rPr>
          <w:szCs w:val="21"/>
        </w:rPr>
      </w:pPr>
      <w:bookmarkStart w:id="65" w:name="_Toc470007453"/>
      <w:r>
        <w:rPr>
          <w:szCs w:val="21"/>
        </w:rPr>
        <w:t>4. 请投标人正确填写本表，所填内容将作为评分的依据。其内容或数据应与对应的证明资料相符，如果填写不完整或有误，不再享受上述政策优惠。</w:t>
      </w:r>
      <w:bookmarkEnd w:id="65"/>
    </w:p>
    <w:p>
      <w:pPr>
        <w:snapToGrid w:val="0"/>
        <w:spacing w:before="50" w:after="50" w:line="360" w:lineRule="auto"/>
        <w:rPr>
          <w:spacing w:val="20"/>
          <w:sz w:val="24"/>
          <w:szCs w:val="20"/>
          <w:u w:val="single"/>
        </w:rPr>
      </w:pPr>
      <w:r>
        <w:rPr>
          <w:sz w:val="24"/>
        </w:rPr>
        <w:t>法定代表人或授权委托人</w:t>
      </w:r>
      <w:r>
        <w:rPr>
          <w:spacing w:val="20"/>
          <w:sz w:val="24"/>
        </w:rPr>
        <w:t>签名：</w:t>
      </w:r>
      <w:r>
        <w:rPr>
          <w:spacing w:val="20"/>
          <w:sz w:val="24"/>
          <w:u w:val="single"/>
        </w:rPr>
        <w:t xml:space="preserve">          </w:t>
      </w:r>
    </w:p>
    <w:p>
      <w:pPr>
        <w:rPr>
          <w:spacing w:val="20"/>
          <w:sz w:val="24"/>
          <w:u w:val="single"/>
        </w:rPr>
      </w:pPr>
      <w:r>
        <w:rPr>
          <w:spacing w:val="20"/>
          <w:sz w:val="24"/>
        </w:rPr>
        <w:t>投标人盖章：</w:t>
      </w:r>
      <w:r>
        <w:rPr>
          <w:spacing w:val="20"/>
          <w:sz w:val="24"/>
          <w:u w:val="single"/>
        </w:rPr>
        <w:t xml:space="preserve">               </w:t>
      </w:r>
      <w:r>
        <w:rPr>
          <w:spacing w:val="20"/>
          <w:sz w:val="24"/>
        </w:rPr>
        <w:t xml:space="preserve">           日  期：</w:t>
      </w:r>
      <w:r>
        <w:rPr>
          <w:spacing w:val="20"/>
          <w:sz w:val="24"/>
          <w:u w:val="single"/>
        </w:rPr>
        <w:t xml:space="preserve">         </w:t>
      </w:r>
    </w:p>
    <w:p>
      <w:pPr>
        <w:pStyle w:val="37"/>
        <w:spacing w:line="360" w:lineRule="auto"/>
        <w:outlineLvl w:val="1"/>
        <w:rPr>
          <w:rFonts w:ascii="Times New Roman" w:hAnsi="Times New Roman"/>
          <w:b/>
        </w:rPr>
      </w:pPr>
      <w:r>
        <w:rPr>
          <w:rFonts w:ascii="Times New Roman" w:hAnsi="Times New Roman"/>
          <w:spacing w:val="20"/>
          <w:u w:val="single"/>
        </w:rPr>
        <w:br w:type="page"/>
      </w:r>
      <w:bookmarkStart w:id="66" w:name="_Toc18854443"/>
      <w:r>
        <w:rPr>
          <w:rFonts w:ascii="Times New Roman" w:hAnsi="Times New Roman"/>
          <w:b/>
        </w:rPr>
        <w:t>19.中小企业声明函</w:t>
      </w:r>
      <w:bookmarkEnd w:id="66"/>
    </w:p>
    <w:p>
      <w:pPr>
        <w:snapToGrid w:val="0"/>
        <w:spacing w:before="50" w:after="50" w:line="360" w:lineRule="auto"/>
        <w:jc w:val="center"/>
        <w:rPr>
          <w:b/>
          <w:sz w:val="30"/>
          <w:szCs w:val="30"/>
        </w:rPr>
      </w:pPr>
      <w:r>
        <w:rPr>
          <w:b/>
          <w:sz w:val="30"/>
          <w:szCs w:val="30"/>
        </w:rPr>
        <w:t>中小企业声明函</w:t>
      </w:r>
    </w:p>
    <w:p>
      <w:pPr>
        <w:snapToGrid w:val="0"/>
        <w:spacing w:before="50" w:after="50" w:line="360" w:lineRule="auto"/>
        <w:rPr>
          <w:sz w:val="24"/>
        </w:rPr>
      </w:pPr>
    </w:p>
    <w:p>
      <w:pPr>
        <w:snapToGrid w:val="0"/>
        <w:spacing w:before="50" w:after="50" w:line="360" w:lineRule="auto"/>
        <w:ind w:firstLine="480" w:firstLineChars="200"/>
        <w:rPr>
          <w:sz w:val="24"/>
        </w:rPr>
      </w:pPr>
      <w:r>
        <w:rPr>
          <w:sz w:val="24"/>
        </w:rPr>
        <w:t>本公司郑重声明，根据《政府采购促进中小企业发展暂行办法》（财库[2011]181号）的规定，本公司为______（请填写：中型、小型、微型）企业。即，本公司同时满足以下条件：</w:t>
      </w:r>
      <w:r>
        <w:rPr>
          <w:sz w:val="24"/>
        </w:rPr>
        <w:br w:type="textWrapping"/>
      </w:r>
      <w:r>
        <w:rPr>
          <w:sz w:val="24"/>
        </w:rPr>
        <w:t>  1.根据《工业和信息化部、国家统计局、国家发展和改革委员会、财政部关于印发中小企业划型标准规定的通知》（工信部联企业[2011]300号）规定的划分标准，本公司为______（请填写：中型、小型、微型）企业。</w:t>
      </w:r>
      <w:r>
        <w:rPr>
          <w:sz w:val="24"/>
        </w:rPr>
        <w:br w:type="textWrapping"/>
      </w:r>
      <w:r>
        <w:rPr>
          <w:sz w:val="24"/>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sz w:val="24"/>
        </w:rPr>
        <w:br w:type="textWrapping"/>
      </w:r>
      <w:r>
        <w:rPr>
          <w:sz w:val="24"/>
        </w:rPr>
        <w:t>  </w:t>
      </w:r>
    </w:p>
    <w:p>
      <w:pPr>
        <w:snapToGrid w:val="0"/>
        <w:spacing w:before="50" w:after="50" w:line="360" w:lineRule="auto"/>
        <w:ind w:firstLine="480" w:firstLineChars="200"/>
        <w:rPr>
          <w:sz w:val="24"/>
        </w:rPr>
      </w:pPr>
      <w:r>
        <w:rPr>
          <w:sz w:val="24"/>
        </w:rPr>
        <w:t>本公司对上述声明的真实性负责。如有虚假，将依法承担相应责任。</w:t>
      </w:r>
    </w:p>
    <w:p>
      <w:pPr>
        <w:snapToGrid w:val="0"/>
        <w:spacing w:before="50" w:after="50" w:line="360" w:lineRule="auto"/>
        <w:rPr>
          <w:sz w:val="24"/>
        </w:rPr>
      </w:pPr>
    </w:p>
    <w:p>
      <w:pPr>
        <w:snapToGrid w:val="0"/>
        <w:spacing w:before="50" w:after="50" w:line="360" w:lineRule="auto"/>
        <w:rPr>
          <w:sz w:val="24"/>
        </w:rPr>
      </w:pPr>
    </w:p>
    <w:p>
      <w:pPr>
        <w:snapToGrid w:val="0"/>
        <w:spacing w:before="50" w:after="50" w:line="360" w:lineRule="auto"/>
        <w:rPr>
          <w:spacing w:val="20"/>
          <w:sz w:val="24"/>
          <w:szCs w:val="20"/>
          <w:u w:val="single"/>
        </w:rPr>
      </w:pPr>
      <w:r>
        <w:rPr>
          <w:sz w:val="24"/>
        </w:rPr>
        <w:t>法定代表人或授权委托人</w:t>
      </w:r>
      <w:r>
        <w:rPr>
          <w:spacing w:val="20"/>
          <w:sz w:val="24"/>
        </w:rPr>
        <w:t>签名：</w:t>
      </w:r>
      <w:r>
        <w:rPr>
          <w:spacing w:val="20"/>
          <w:sz w:val="24"/>
          <w:u w:val="single"/>
        </w:rPr>
        <w:t xml:space="preserve">          </w:t>
      </w:r>
    </w:p>
    <w:p>
      <w:pPr>
        <w:snapToGrid w:val="0"/>
        <w:spacing w:before="50" w:after="50" w:line="360" w:lineRule="auto"/>
        <w:rPr>
          <w:spacing w:val="20"/>
          <w:sz w:val="24"/>
        </w:rPr>
      </w:pPr>
    </w:p>
    <w:p>
      <w:pPr>
        <w:snapToGrid w:val="0"/>
        <w:spacing w:before="50" w:after="50" w:line="360" w:lineRule="auto"/>
        <w:rPr>
          <w:spacing w:val="20"/>
          <w:sz w:val="24"/>
          <w:u w:val="single"/>
        </w:rPr>
      </w:pPr>
      <w:r>
        <w:rPr>
          <w:spacing w:val="20"/>
          <w:sz w:val="24"/>
        </w:rPr>
        <w:t>投标人盖章：</w:t>
      </w:r>
      <w:r>
        <w:rPr>
          <w:spacing w:val="20"/>
          <w:sz w:val="24"/>
          <w:u w:val="single"/>
        </w:rPr>
        <w:t xml:space="preserve">               </w:t>
      </w:r>
      <w:r>
        <w:rPr>
          <w:spacing w:val="20"/>
          <w:sz w:val="24"/>
        </w:rPr>
        <w:t xml:space="preserve">           日  期：</w:t>
      </w:r>
      <w:r>
        <w:rPr>
          <w:spacing w:val="20"/>
          <w:sz w:val="24"/>
          <w:u w:val="single"/>
        </w:rPr>
        <w:t xml:space="preserve">         </w:t>
      </w:r>
    </w:p>
    <w:p>
      <w:pPr>
        <w:pStyle w:val="37"/>
        <w:spacing w:line="360" w:lineRule="auto"/>
        <w:outlineLvl w:val="1"/>
        <w:rPr>
          <w:b/>
        </w:rPr>
      </w:pPr>
      <w:r>
        <w:rPr>
          <w:rFonts w:ascii="Times New Roman" w:hAnsi="Times New Roman"/>
          <w:spacing w:val="20"/>
          <w:u w:val="single"/>
        </w:rPr>
        <w:br w:type="page"/>
      </w:r>
      <w:bookmarkStart w:id="67" w:name="_Toc17124074"/>
      <w:bookmarkStart w:id="68" w:name="_Toc520129927"/>
      <w:bookmarkStart w:id="69" w:name="_Toc18854444"/>
      <w:bookmarkStart w:id="70" w:name="_Toc482542301"/>
      <w:r>
        <w:rPr>
          <w:rFonts w:hint="eastAsia"/>
          <w:b/>
        </w:rPr>
        <w:t>20</w:t>
      </w:r>
      <w:r>
        <w:rPr>
          <w:b/>
        </w:rPr>
        <w:t>.残疾人福利性单位声明函</w:t>
      </w:r>
      <w:bookmarkEnd w:id="67"/>
      <w:bookmarkEnd w:id="68"/>
      <w:bookmarkEnd w:id="69"/>
    </w:p>
    <w:p>
      <w:pPr>
        <w:snapToGrid w:val="0"/>
        <w:spacing w:before="50" w:after="50" w:line="360" w:lineRule="auto"/>
        <w:jc w:val="center"/>
        <w:rPr>
          <w:b/>
          <w:sz w:val="30"/>
          <w:szCs w:val="30"/>
        </w:rPr>
      </w:pPr>
      <w:r>
        <w:rPr>
          <w:b/>
          <w:sz w:val="30"/>
          <w:szCs w:val="30"/>
        </w:rPr>
        <w:t>残疾人福利性单位声明函</w:t>
      </w:r>
    </w:p>
    <w:p>
      <w:pPr>
        <w:spacing w:line="588" w:lineRule="exact"/>
        <w:rPr>
          <w:b/>
          <w:spacing w:val="6"/>
          <w:sz w:val="30"/>
          <w:szCs w:val="30"/>
        </w:rPr>
      </w:pPr>
    </w:p>
    <w:p>
      <w:pPr>
        <w:snapToGrid w:val="0"/>
        <w:spacing w:before="50" w:after="50" w:line="360" w:lineRule="auto"/>
        <w:ind w:firstLine="504" w:firstLineChars="200"/>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before="50" w:after="50" w:line="360" w:lineRule="auto"/>
        <w:ind w:firstLine="504" w:firstLineChars="200"/>
        <w:rPr>
          <w:spacing w:val="6"/>
          <w:sz w:val="24"/>
        </w:rPr>
      </w:pPr>
      <w:r>
        <w:rPr>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snapToGrid w:val="0"/>
        <w:spacing w:before="50" w:after="50" w:line="360" w:lineRule="auto"/>
        <w:ind w:firstLine="480" w:firstLineChars="200"/>
        <w:rPr>
          <w:spacing w:val="20"/>
          <w:sz w:val="24"/>
          <w:szCs w:val="20"/>
          <w:u w:val="single"/>
        </w:rPr>
      </w:pPr>
      <w:r>
        <w:rPr>
          <w:sz w:val="24"/>
        </w:rPr>
        <w:t>法定代表人或授权委托人</w:t>
      </w:r>
      <w:r>
        <w:rPr>
          <w:spacing w:val="20"/>
          <w:sz w:val="24"/>
        </w:rPr>
        <w:t>：</w:t>
      </w:r>
      <w:r>
        <w:rPr>
          <w:spacing w:val="20"/>
          <w:sz w:val="24"/>
          <w:u w:val="single"/>
        </w:rPr>
        <w:t xml:space="preserve">    </w:t>
      </w:r>
      <w:r>
        <w:rPr>
          <w:sz w:val="24"/>
          <w:u w:val="single"/>
        </w:rPr>
        <w:t>（签字或盖章）</w:t>
      </w:r>
      <w:r>
        <w:rPr>
          <w:spacing w:val="20"/>
          <w:sz w:val="24"/>
          <w:u w:val="single"/>
        </w:rPr>
        <w:t xml:space="preserve">    </w:t>
      </w:r>
    </w:p>
    <w:p>
      <w:pPr>
        <w:snapToGrid w:val="0"/>
        <w:spacing w:before="50" w:after="50" w:line="360" w:lineRule="auto"/>
        <w:ind w:firstLine="560" w:firstLineChars="200"/>
        <w:rPr>
          <w:spacing w:val="20"/>
          <w:sz w:val="24"/>
        </w:rPr>
      </w:pPr>
    </w:p>
    <w:p>
      <w:pPr>
        <w:snapToGrid w:val="0"/>
        <w:spacing w:before="50" w:after="50" w:line="360" w:lineRule="auto"/>
        <w:ind w:firstLine="480" w:firstLineChars="200"/>
        <w:rPr>
          <w:spacing w:val="20"/>
          <w:sz w:val="24"/>
        </w:rPr>
      </w:pPr>
      <w:r>
        <w:rPr>
          <w:sz w:val="24"/>
        </w:rPr>
        <w:t>投标人</w:t>
      </w:r>
      <w:r>
        <w:rPr>
          <w:spacing w:val="20"/>
          <w:sz w:val="24"/>
        </w:rPr>
        <w:t>：</w:t>
      </w:r>
      <w:r>
        <w:rPr>
          <w:spacing w:val="20"/>
          <w:sz w:val="24"/>
          <w:u w:val="single"/>
        </w:rPr>
        <w:t xml:space="preserve">      （盖章）      </w:t>
      </w:r>
      <w:r>
        <w:rPr>
          <w:spacing w:val="20"/>
          <w:sz w:val="24"/>
        </w:rPr>
        <w:t xml:space="preserve">     日  期：</w:t>
      </w:r>
      <w:r>
        <w:rPr>
          <w:spacing w:val="20"/>
          <w:sz w:val="24"/>
          <w:u w:val="single"/>
        </w:rPr>
        <w:t xml:space="preserve">          </w:t>
      </w:r>
    </w:p>
    <w:p>
      <w:pPr>
        <w:pStyle w:val="37"/>
        <w:spacing w:line="360" w:lineRule="auto"/>
        <w:outlineLvl w:val="1"/>
        <w:rPr>
          <w:b/>
        </w:rPr>
      </w:pPr>
      <w:r>
        <w:rPr>
          <w:rFonts w:ascii="Times New Roman" w:hAnsi="Times New Roman"/>
          <w:spacing w:val="20"/>
          <w:sz w:val="21"/>
          <w:u w:val="single"/>
        </w:rPr>
        <w:br w:type="page"/>
      </w:r>
      <w:bookmarkStart w:id="71" w:name="_Toc18854445"/>
      <w:r>
        <w:rPr>
          <w:rFonts w:ascii="Times New Roman" w:hAnsi="Times New Roman"/>
          <w:b/>
        </w:rPr>
        <w:t>2</w:t>
      </w:r>
      <w:r>
        <w:rPr>
          <w:rFonts w:hint="eastAsia" w:ascii="Times New Roman" w:hAnsi="Times New Roman"/>
          <w:b/>
        </w:rPr>
        <w:t>1</w:t>
      </w:r>
      <w:r>
        <w:rPr>
          <w:rFonts w:ascii="Times New Roman" w:hAnsi="Times New Roman"/>
          <w:b/>
        </w:rPr>
        <w:t>.</w:t>
      </w:r>
      <w:r>
        <w:rPr>
          <w:b/>
        </w:rPr>
        <w:t>代理服务费支付承诺书</w:t>
      </w:r>
      <w:bookmarkEnd w:id="71"/>
    </w:p>
    <w:p>
      <w:pPr>
        <w:jc w:val="center"/>
        <w:rPr>
          <w:szCs w:val="21"/>
        </w:rPr>
      </w:pPr>
      <w:r>
        <w:rPr>
          <w:b/>
          <w:bCs/>
          <w:sz w:val="30"/>
          <w:szCs w:val="30"/>
        </w:rPr>
        <w:t>代理服务费支付承诺书</w:t>
      </w:r>
    </w:p>
    <w:p>
      <w:pPr>
        <w:snapToGrid w:val="0"/>
        <w:spacing w:before="50" w:after="50" w:line="360" w:lineRule="auto"/>
        <w:rPr>
          <w:spacing w:val="20"/>
          <w:sz w:val="24"/>
          <w:u w:val="single"/>
        </w:rPr>
      </w:pPr>
    </w:p>
    <w:p>
      <w:pPr>
        <w:snapToGrid w:val="0"/>
        <w:spacing w:before="50" w:after="50" w:line="360" w:lineRule="auto"/>
        <w:rPr>
          <w:sz w:val="24"/>
        </w:rPr>
      </w:pPr>
      <w:r>
        <w:rPr>
          <w:sz w:val="24"/>
        </w:rPr>
        <w:t>致浙江省国际技术设备招标有限公司：</w:t>
      </w:r>
    </w:p>
    <w:p>
      <w:pPr>
        <w:snapToGrid w:val="0"/>
        <w:spacing w:before="50" w:after="50" w:line="360" w:lineRule="auto"/>
        <w:rPr>
          <w:spacing w:val="20"/>
          <w:sz w:val="24"/>
        </w:rPr>
      </w:pPr>
    </w:p>
    <w:p>
      <w:pPr>
        <w:snapToGrid w:val="0"/>
        <w:spacing w:before="50" w:after="50" w:line="360" w:lineRule="auto"/>
        <w:ind w:firstLine="630"/>
        <w:rPr>
          <w:sz w:val="24"/>
        </w:rPr>
      </w:pPr>
      <w:r>
        <w:rPr>
          <w:sz w:val="24"/>
        </w:rPr>
        <w:t>我公司已认真阅读了温州医科大学附属眼视光医院彩色多普勒超声波诊断仪项目招标文件（项目编号：0625-19215698/01）并在此承诺：</w:t>
      </w:r>
    </w:p>
    <w:p>
      <w:pPr>
        <w:snapToGrid w:val="0"/>
        <w:spacing w:before="50" w:after="50" w:line="360" w:lineRule="auto"/>
        <w:ind w:firstLine="630"/>
        <w:rPr>
          <w:sz w:val="24"/>
        </w:rPr>
      </w:pPr>
      <w:r>
        <w:rPr>
          <w:sz w:val="24"/>
        </w:rPr>
        <w:t>如中标，我公司将自中标公告发布之日起5个工作日内按招标文件规定的标准（金额）一次性向采购代理机构支付代理服务费。</w:t>
      </w:r>
    </w:p>
    <w:p>
      <w:pPr>
        <w:snapToGrid w:val="0"/>
        <w:spacing w:before="50" w:after="50" w:line="360" w:lineRule="auto"/>
        <w:ind w:firstLine="630"/>
        <w:rPr>
          <w:sz w:val="24"/>
        </w:rPr>
      </w:pPr>
    </w:p>
    <w:p>
      <w:pPr>
        <w:snapToGrid w:val="0"/>
        <w:spacing w:before="50" w:after="50" w:line="360" w:lineRule="auto"/>
        <w:ind w:firstLine="630"/>
        <w:rPr>
          <w:sz w:val="24"/>
        </w:rPr>
      </w:pPr>
    </w:p>
    <w:p>
      <w:pPr>
        <w:snapToGrid w:val="0"/>
        <w:spacing w:before="50" w:after="50" w:line="360" w:lineRule="auto"/>
        <w:ind w:firstLine="630"/>
        <w:rPr>
          <w:sz w:val="24"/>
        </w:rPr>
      </w:pPr>
    </w:p>
    <w:p>
      <w:pPr>
        <w:snapToGrid w:val="0"/>
        <w:spacing w:before="50" w:after="50" w:line="360" w:lineRule="auto"/>
        <w:ind w:firstLine="630"/>
        <w:rPr>
          <w:sz w:val="24"/>
        </w:rPr>
      </w:pPr>
    </w:p>
    <w:p>
      <w:pPr>
        <w:snapToGrid w:val="0"/>
        <w:spacing w:line="360" w:lineRule="auto"/>
        <w:rPr>
          <w:sz w:val="24"/>
          <w:szCs w:val="20"/>
        </w:rPr>
      </w:pPr>
      <w:r>
        <w:rPr>
          <w:sz w:val="24"/>
        </w:rPr>
        <w:t>承诺方（投标人）法定名称：__________</w:t>
      </w:r>
      <w:r>
        <w:rPr>
          <w:sz w:val="24"/>
          <w:u w:val="single"/>
        </w:rPr>
        <w:t>（盖章）</w:t>
      </w:r>
      <w:r>
        <w:rPr>
          <w:sz w:val="24"/>
        </w:rPr>
        <w:t>_________</w:t>
      </w:r>
    </w:p>
    <w:p>
      <w:pPr>
        <w:snapToGrid w:val="0"/>
        <w:spacing w:line="360" w:lineRule="auto"/>
        <w:rPr>
          <w:sz w:val="24"/>
        </w:rPr>
      </w:pPr>
      <w:r>
        <w:rPr>
          <w:sz w:val="24"/>
        </w:rPr>
        <w:t>法定代表人或授权委托人：_____</w:t>
      </w:r>
      <w:r>
        <w:rPr>
          <w:sz w:val="24"/>
          <w:u w:val="single"/>
        </w:rPr>
        <w:t>（签字或盖章）</w:t>
      </w:r>
      <w:r>
        <w:rPr>
          <w:sz w:val="24"/>
        </w:rPr>
        <w:t>_</w:t>
      </w:r>
      <w:r>
        <w:rPr>
          <w:sz w:val="24"/>
          <w:u w:val="single"/>
        </w:rPr>
        <w:t xml:space="preserve">    </w:t>
      </w:r>
      <w:r>
        <w:rPr>
          <w:sz w:val="24"/>
        </w:rPr>
        <w:t>_____</w:t>
      </w:r>
    </w:p>
    <w:p>
      <w:pPr>
        <w:snapToGrid w:val="0"/>
        <w:spacing w:line="360" w:lineRule="auto"/>
        <w:rPr>
          <w:sz w:val="24"/>
        </w:rPr>
      </w:pPr>
      <w:r>
        <w:rPr>
          <w:sz w:val="24"/>
        </w:rPr>
        <w:t>承诺方（投标人）法定地址：__________</w:t>
      </w:r>
      <w:r>
        <w:rPr>
          <w:sz w:val="24"/>
          <w:u w:val="single"/>
        </w:rPr>
        <w:t xml:space="preserve">        </w:t>
      </w:r>
      <w:r>
        <w:rPr>
          <w:sz w:val="24"/>
        </w:rPr>
        <w:t xml:space="preserve">_________ </w:t>
      </w:r>
    </w:p>
    <w:p>
      <w:pPr>
        <w:snapToGrid w:val="0"/>
        <w:spacing w:before="50" w:after="50" w:line="360" w:lineRule="auto"/>
        <w:rPr>
          <w:sz w:val="24"/>
          <w:u w:val="single"/>
        </w:rPr>
      </w:pPr>
      <w:r>
        <w:rPr>
          <w:sz w:val="24"/>
        </w:rPr>
        <w:t>联系电话：</w:t>
      </w:r>
      <w:r>
        <w:rPr>
          <w:sz w:val="24"/>
          <w:u w:val="single"/>
        </w:rPr>
        <w:t xml:space="preserve">             </w:t>
      </w:r>
      <w:r>
        <w:rPr>
          <w:sz w:val="24"/>
        </w:rPr>
        <w:t xml:space="preserve">    联系传真：</w:t>
      </w:r>
      <w:r>
        <w:rPr>
          <w:sz w:val="24"/>
          <w:u w:val="single"/>
        </w:rPr>
        <w:t xml:space="preserve">               </w:t>
      </w:r>
    </w:p>
    <w:p>
      <w:pPr>
        <w:snapToGrid w:val="0"/>
        <w:spacing w:before="50" w:after="50" w:line="360" w:lineRule="auto"/>
        <w:rPr>
          <w:spacing w:val="20"/>
          <w:sz w:val="24"/>
        </w:rPr>
      </w:pPr>
      <w:r>
        <w:rPr>
          <w:sz w:val="24"/>
        </w:rPr>
        <w:t>承诺日期：_____年___月___日</w:t>
      </w:r>
    </w:p>
    <w:bookmarkEnd w:id="70"/>
    <w:p>
      <w:pPr>
        <w:snapToGrid w:val="0"/>
        <w:spacing w:before="50" w:after="50" w:line="360" w:lineRule="auto"/>
      </w:pPr>
    </w:p>
    <w:sectPr>
      <w:footerReference r:id="rId16" w:type="even"/>
      <w:pgSz w:w="11906" w:h="16838"/>
      <w:pgMar w:top="1091"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ì.">
    <w:altName w:val="宋体"/>
    <w:panose1 w:val="00000000000000000000"/>
    <w:charset w:val="86"/>
    <w:family w:val="roman"/>
    <w:pitch w:val="default"/>
    <w:sig w:usb0="00000001" w:usb1="080E0000" w:usb2="00000010" w:usb3="00000000" w:csb0="00040000" w:csb1="00000000"/>
  </w:font>
  <w:font w:name="长城仿宋">
    <w:altName w:val="黑体"/>
    <w:panose1 w:val="00000000000000000000"/>
    <w:charset w:val="86"/>
    <w:family w:val="modern"/>
    <w:pitch w:val="default"/>
    <w:sig w:usb0="00000001" w:usb1="080E0000" w:usb2="00000010" w:usb3="00000000" w:csb0="00040000" w:csb1="00000000"/>
  </w:font>
  <w:font w:name="Arial Unicode MS">
    <w:altName w:val="宋体"/>
    <w:panose1 w:val="020B0604020202020204"/>
    <w:charset w:val="86"/>
    <w:family w:val="swiss"/>
    <w:pitch w:val="default"/>
    <w:sig w:usb0="FFFFFFFF" w:usb1="E9FFFFFF" w:usb2="0000003F" w:usb3="00000000" w:csb0="003F01FF"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imesNewRomanPSMT">
    <w:altName w:val="宋体"/>
    <w:panose1 w:val="00000000000000000000"/>
    <w:charset w:val="00"/>
    <w:family w:val="roman"/>
    <w:pitch w:val="default"/>
    <w:sig w:usb0="00000003" w:usb1="080E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pPr>
    <w:r>
      <w:fldChar w:fldCharType="begin"/>
    </w:r>
    <w:r>
      <w:instrText xml:space="preserve"> PAGE   \* MERGEFORMAT </w:instrText>
    </w:r>
    <w:r>
      <w:fldChar w:fldCharType="separate"/>
    </w:r>
    <w:r>
      <w:rPr>
        <w:lang w:val="zh-CN"/>
      </w:rPr>
      <w:t>129</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center" w:y="1"/>
      <w:rPr>
        <w:rStyle w:val="75"/>
      </w:rPr>
    </w:pPr>
    <w:r>
      <w:fldChar w:fldCharType="begin"/>
    </w:r>
    <w:r>
      <w:rPr>
        <w:rStyle w:val="75"/>
      </w:rPr>
      <w:instrText xml:space="preserve">PAGE  </w:instrText>
    </w:r>
    <w:r>
      <w:fldChar w:fldCharType="separate"/>
    </w:r>
    <w:r>
      <w:rPr>
        <w:rStyle w:val="75"/>
        <w:lang/>
      </w:rPr>
      <w:t>55</w:t>
    </w:r>
    <w:r>
      <w:fldChar w:fldCharType="end"/>
    </w:r>
  </w:p>
  <w:p>
    <w:pPr>
      <w:pStyle w:val="45"/>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75"/>
      </w:rPr>
    </w:pPr>
    <w:r>
      <w:fldChar w:fldCharType="begin"/>
    </w:r>
    <w:r>
      <w:rPr>
        <w:rStyle w:val="75"/>
      </w:rPr>
      <w:instrText xml:space="preserve">PAGE  </w:instrText>
    </w:r>
    <w:r>
      <w:fldChar w:fldCharType="separate"/>
    </w:r>
    <w:r>
      <w:rPr>
        <w:rStyle w:val="75"/>
        <w:lang/>
      </w:rPr>
      <w:t>55</w:t>
    </w:r>
    <w:r>
      <w:fldChar w:fldCharType="end"/>
    </w:r>
  </w:p>
  <w:p>
    <w:pPr>
      <w:pStyle w:val="4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outside" w:y="1"/>
      <w:rPr>
        <w:rStyle w:val="75"/>
      </w:rPr>
    </w:pPr>
    <w:r>
      <w:fldChar w:fldCharType="begin"/>
    </w:r>
    <w:r>
      <w:rPr>
        <w:rStyle w:val="75"/>
      </w:rPr>
      <w:instrText xml:space="preserve">PAGE  </w:instrText>
    </w:r>
    <w:r>
      <w:fldChar w:fldCharType="end"/>
    </w:r>
  </w:p>
  <w:p>
    <w:pPr>
      <w:pStyle w:val="4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hint="eastAsia"/>
      </w:rPr>
    </w:pPr>
    <w:r>
      <w:fldChar w:fldCharType="begin"/>
    </w:r>
    <w:r>
      <w:instrText xml:space="preserve"> PAGE   \* MERGEFORMAT </w:instrText>
    </w:r>
    <w:r>
      <w:fldChar w:fldCharType="separate"/>
    </w:r>
    <w:r>
      <w:rPr>
        <w:lang w:val="zh-CN"/>
      </w:rPr>
      <w:t>21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outside" w:y="1"/>
      <w:rPr>
        <w:rStyle w:val="75"/>
      </w:rPr>
    </w:pPr>
    <w:r>
      <w:fldChar w:fldCharType="begin"/>
    </w:r>
    <w:r>
      <w:rPr>
        <w:rStyle w:val="75"/>
      </w:rPr>
      <w:instrText xml:space="preserve">PAGE  </w:instrText>
    </w:r>
    <w:r>
      <w:fldChar w:fldCharType="separate"/>
    </w:r>
    <w:r>
      <w:rPr>
        <w:rStyle w:val="75"/>
        <w:lang/>
      </w:rPr>
      <w:t>55</w:t>
    </w:r>
    <w:r>
      <w:fldChar w:fldCharType="end"/>
    </w:r>
  </w:p>
  <w:p>
    <w:pPr>
      <w:pStyle w:val="4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hint="eastAsia"/>
        <w:sz w:val="21"/>
        <w:szCs w:val="21"/>
      </w:rPr>
    </w:pPr>
    <w:r>
      <w:fldChar w:fldCharType="begin"/>
    </w:r>
    <w:r>
      <w:rPr>
        <w:rStyle w:val="75"/>
      </w:rPr>
      <w:instrText xml:space="preserve"> PAGE </w:instrText>
    </w:r>
    <w:r>
      <w:fldChar w:fldCharType="separate"/>
    </w:r>
    <w:r>
      <w:rPr>
        <w:rStyle w:val="75"/>
        <w:lang/>
      </w:rPr>
      <w:t>114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center" w:y="1"/>
      <w:rPr>
        <w:rStyle w:val="75"/>
      </w:rPr>
    </w:pPr>
    <w:r>
      <w:fldChar w:fldCharType="begin"/>
    </w:r>
    <w:r>
      <w:rPr>
        <w:rStyle w:val="75"/>
      </w:rPr>
      <w:instrText xml:space="preserve">PAGE  </w:instrText>
    </w:r>
    <w:r>
      <w:fldChar w:fldCharType="end"/>
    </w:r>
  </w:p>
  <w:p>
    <w:pPr>
      <w:pStyle w:val="45"/>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hint="eastAsia"/>
      </w:rPr>
    </w:pPr>
    <w:r>
      <w:rPr>
        <w:rFonts w:hint="eastAsia"/>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pPr>
    <w:r>
      <w:fldChar w:fldCharType="begin"/>
    </w:r>
    <w:r>
      <w:instrText xml:space="preserve"> PAGE   \* MERGEFORMAT </w:instrText>
    </w:r>
    <w:r>
      <w:fldChar w:fldCharType="separate"/>
    </w:r>
    <w:r>
      <w:rPr>
        <w:lang w:val="zh-CN"/>
      </w:rPr>
      <w:t>117</w:t>
    </w:r>
    <w:r>
      <w:fldChar w:fldCharType="end"/>
    </w:r>
  </w:p>
  <w:p>
    <w:pPr>
      <w:pStyle w:val="45"/>
      <w:tabs>
        <w:tab w:val="center" w:pos="0"/>
        <w:tab w:val="clear" w:pos="4153"/>
        <w:tab w:val="clear" w:pos="8306"/>
      </w:tabs>
      <w:rPr>
        <w:rFonts w:hint="eastAsia"/>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0"/>
      </w:pBdr>
      <w:rPr>
        <w:rFonts w:ascii="宋体" w:hAnsi="宋体" w:eastAsia="宋体"/>
        <w:sz w:val="21"/>
        <w:szCs w:val="21"/>
        <w:u w:val="single"/>
      </w:rPr>
    </w:pPr>
    <w:r>
      <w:rPr>
        <w:rFonts w:hint="eastAsia" w:ascii="宋体" w:hAnsi="宋体" w:eastAsia="宋体" w:cs="宋体"/>
        <w:kern w:val="0"/>
        <w:sz w:val="21"/>
        <w:szCs w:val="21"/>
        <w:u w:val="single"/>
      </w:rPr>
      <w:t>温州医科大学附属眼视光医院                                      公开招标采购文件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12"/>
      <w:lvlText w:val="%1."/>
      <w:lvlJc w:val="left"/>
      <w:pPr>
        <w:tabs>
          <w:tab w:val="left" w:pos="1200"/>
        </w:tabs>
        <w:ind w:left="1200" w:hanging="360"/>
      </w:pPr>
    </w:lvl>
  </w:abstractNum>
  <w:abstractNum w:abstractNumId="1">
    <w:nsid w:val="00000001"/>
    <w:multiLevelType w:val="multilevel"/>
    <w:tmpl w:val="00000001"/>
    <w:lvl w:ilvl="0" w:tentative="0">
      <w:start w:val="1"/>
      <w:numFmt w:val="decimal"/>
      <w:pStyle w:val="16"/>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6E302F"/>
    <w:multiLevelType w:val="multilevel"/>
    <w:tmpl w:val="006E302F"/>
    <w:lvl w:ilvl="0" w:tentative="0">
      <w:start w:val="1"/>
      <w:numFmt w:val="decimal"/>
      <w:lvlText w:val="（%1）"/>
      <w:lvlJc w:val="center"/>
      <w:pPr>
        <w:ind w:left="8501" w:hanging="420"/>
      </w:pPr>
      <w:rPr>
        <w:rFonts w:hint="eastAsia" w:cs="Times New Roman"/>
      </w:rPr>
    </w:lvl>
    <w:lvl w:ilvl="1" w:tentative="0">
      <w:start w:val="1"/>
      <w:numFmt w:val="decimal"/>
      <w:lvlText w:val="（%2）"/>
      <w:lvlJc w:val="center"/>
      <w:pPr>
        <w:ind w:left="1310" w:hanging="420"/>
      </w:pPr>
      <w:rPr>
        <w:rFonts w:hint="eastAsia" w:cs="Times New Roman"/>
      </w:rPr>
    </w:lvl>
    <w:lvl w:ilvl="2" w:tentative="0">
      <w:start w:val="1"/>
      <w:numFmt w:val="lowerRoman"/>
      <w:lvlText w:val="%3."/>
      <w:lvlJc w:val="right"/>
      <w:pPr>
        <w:ind w:left="1730" w:hanging="420"/>
      </w:pPr>
      <w:rPr>
        <w:rFonts w:cs="Times New Roman"/>
      </w:rPr>
    </w:lvl>
    <w:lvl w:ilvl="3" w:tentative="0">
      <w:start w:val="1"/>
      <w:numFmt w:val="decimal"/>
      <w:lvlText w:val="%4."/>
      <w:lvlJc w:val="left"/>
      <w:pPr>
        <w:ind w:left="2150" w:hanging="420"/>
      </w:pPr>
      <w:rPr>
        <w:rFonts w:cs="Times New Roman"/>
      </w:rPr>
    </w:lvl>
    <w:lvl w:ilvl="4" w:tentative="0">
      <w:start w:val="1"/>
      <w:numFmt w:val="lowerLetter"/>
      <w:lvlText w:val="%5)"/>
      <w:lvlJc w:val="left"/>
      <w:pPr>
        <w:ind w:left="2570" w:hanging="420"/>
      </w:pPr>
      <w:rPr>
        <w:rFonts w:cs="Times New Roman"/>
      </w:rPr>
    </w:lvl>
    <w:lvl w:ilvl="5" w:tentative="0">
      <w:start w:val="1"/>
      <w:numFmt w:val="lowerRoman"/>
      <w:lvlText w:val="%6."/>
      <w:lvlJc w:val="right"/>
      <w:pPr>
        <w:ind w:left="2990" w:hanging="420"/>
      </w:pPr>
      <w:rPr>
        <w:rFonts w:cs="Times New Roman"/>
      </w:rPr>
    </w:lvl>
    <w:lvl w:ilvl="6" w:tentative="0">
      <w:start w:val="1"/>
      <w:numFmt w:val="decimal"/>
      <w:lvlText w:val="%7."/>
      <w:lvlJc w:val="left"/>
      <w:pPr>
        <w:ind w:left="3410" w:hanging="420"/>
      </w:pPr>
      <w:rPr>
        <w:rFonts w:cs="Times New Roman"/>
      </w:rPr>
    </w:lvl>
    <w:lvl w:ilvl="7" w:tentative="0">
      <w:start w:val="1"/>
      <w:numFmt w:val="lowerLetter"/>
      <w:lvlText w:val="%8)"/>
      <w:lvlJc w:val="left"/>
      <w:pPr>
        <w:ind w:left="3830" w:hanging="420"/>
      </w:pPr>
      <w:rPr>
        <w:rFonts w:cs="Times New Roman"/>
      </w:rPr>
    </w:lvl>
    <w:lvl w:ilvl="8" w:tentative="0">
      <w:start w:val="1"/>
      <w:numFmt w:val="lowerRoman"/>
      <w:lvlText w:val="%9."/>
      <w:lvlJc w:val="right"/>
      <w:pPr>
        <w:ind w:left="4250" w:hanging="420"/>
      </w:pPr>
      <w:rPr>
        <w:rFonts w:cs="Times New Roman"/>
      </w:rPr>
    </w:lvl>
  </w:abstractNum>
  <w:abstractNum w:abstractNumId="3">
    <w:nsid w:val="01246D32"/>
    <w:multiLevelType w:val="multilevel"/>
    <w:tmpl w:val="01246D32"/>
    <w:lvl w:ilvl="0" w:tentative="0">
      <w:start w:val="1"/>
      <w:numFmt w:val="decimal"/>
      <w:lvlText w:val="（%1）"/>
      <w:lvlJc w:val="left"/>
      <w:pPr>
        <w:tabs>
          <w:tab w:val="left" w:pos="1287"/>
        </w:tabs>
        <w:ind w:left="964" w:hanging="397"/>
      </w:pPr>
      <w:rPr>
        <w:rFonts w:hint="default" w:ascii="Arial" w:hAnsi="Arial"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12E7F4F"/>
    <w:multiLevelType w:val="multilevel"/>
    <w:tmpl w:val="012E7F4F"/>
    <w:lvl w:ilvl="0" w:tentative="0">
      <w:start w:val="1"/>
      <w:numFmt w:val="decimal"/>
      <w:lvlText w:val="%1、"/>
      <w:lvlJc w:val="left"/>
      <w:pPr>
        <w:ind w:left="420" w:hanging="420"/>
      </w:pPr>
      <w:rPr>
        <w:rFonts w:hint="eastAsia"/>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25D5A12"/>
    <w:multiLevelType w:val="multilevel"/>
    <w:tmpl w:val="025D5A1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2CD19AC"/>
    <w:multiLevelType w:val="multilevel"/>
    <w:tmpl w:val="02CD19A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2E251C9"/>
    <w:multiLevelType w:val="multilevel"/>
    <w:tmpl w:val="02E251C9"/>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3866B4A"/>
    <w:multiLevelType w:val="multilevel"/>
    <w:tmpl w:val="03866B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4747B5E"/>
    <w:multiLevelType w:val="multilevel"/>
    <w:tmpl w:val="04747B5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4D22616"/>
    <w:multiLevelType w:val="multilevel"/>
    <w:tmpl w:val="04D22616"/>
    <w:lvl w:ilvl="0" w:tentative="0">
      <w:start w:val="1"/>
      <w:numFmt w:val="decimal"/>
      <w:lvlText w:val="（%1）"/>
      <w:lvlJc w:val="center"/>
      <w:pPr>
        <w:ind w:left="890" w:hanging="420"/>
      </w:pPr>
      <w:rPr>
        <w:rFonts w:hint="eastAsia" w:cs="Times New Roman"/>
      </w:rPr>
    </w:lvl>
    <w:lvl w:ilvl="1" w:tentative="0">
      <w:start w:val="1"/>
      <w:numFmt w:val="decimal"/>
      <w:lvlText w:val="（%2）"/>
      <w:lvlJc w:val="center"/>
      <w:pPr>
        <w:ind w:left="1310" w:hanging="420"/>
      </w:pPr>
      <w:rPr>
        <w:rFonts w:hint="eastAsia" w:cs="Times New Roman"/>
      </w:rPr>
    </w:lvl>
    <w:lvl w:ilvl="2" w:tentative="0">
      <w:start w:val="1"/>
      <w:numFmt w:val="lowerRoman"/>
      <w:lvlText w:val="%3."/>
      <w:lvlJc w:val="right"/>
      <w:pPr>
        <w:ind w:left="1730" w:hanging="420"/>
      </w:pPr>
      <w:rPr>
        <w:rFonts w:cs="Times New Roman"/>
      </w:rPr>
    </w:lvl>
    <w:lvl w:ilvl="3" w:tentative="0">
      <w:start w:val="1"/>
      <w:numFmt w:val="decimal"/>
      <w:lvlText w:val="%4."/>
      <w:lvlJc w:val="left"/>
      <w:pPr>
        <w:ind w:left="2150" w:hanging="420"/>
      </w:pPr>
      <w:rPr>
        <w:rFonts w:cs="Times New Roman"/>
      </w:rPr>
    </w:lvl>
    <w:lvl w:ilvl="4" w:tentative="0">
      <w:start w:val="1"/>
      <w:numFmt w:val="lowerLetter"/>
      <w:lvlText w:val="%5)"/>
      <w:lvlJc w:val="left"/>
      <w:pPr>
        <w:ind w:left="2570" w:hanging="420"/>
      </w:pPr>
      <w:rPr>
        <w:rFonts w:cs="Times New Roman"/>
      </w:rPr>
    </w:lvl>
    <w:lvl w:ilvl="5" w:tentative="0">
      <w:start w:val="1"/>
      <w:numFmt w:val="lowerRoman"/>
      <w:lvlText w:val="%6."/>
      <w:lvlJc w:val="right"/>
      <w:pPr>
        <w:ind w:left="2990" w:hanging="420"/>
      </w:pPr>
      <w:rPr>
        <w:rFonts w:cs="Times New Roman"/>
      </w:rPr>
    </w:lvl>
    <w:lvl w:ilvl="6" w:tentative="0">
      <w:start w:val="1"/>
      <w:numFmt w:val="decimal"/>
      <w:lvlText w:val="%7."/>
      <w:lvlJc w:val="left"/>
      <w:pPr>
        <w:ind w:left="3410" w:hanging="420"/>
      </w:pPr>
      <w:rPr>
        <w:rFonts w:cs="Times New Roman"/>
      </w:rPr>
    </w:lvl>
    <w:lvl w:ilvl="7" w:tentative="0">
      <w:start w:val="1"/>
      <w:numFmt w:val="lowerLetter"/>
      <w:lvlText w:val="%8)"/>
      <w:lvlJc w:val="left"/>
      <w:pPr>
        <w:ind w:left="3830" w:hanging="420"/>
      </w:pPr>
      <w:rPr>
        <w:rFonts w:cs="Times New Roman"/>
      </w:rPr>
    </w:lvl>
    <w:lvl w:ilvl="8" w:tentative="0">
      <w:start w:val="1"/>
      <w:numFmt w:val="lowerRoman"/>
      <w:lvlText w:val="%9."/>
      <w:lvlJc w:val="right"/>
      <w:pPr>
        <w:ind w:left="4250" w:hanging="420"/>
      </w:pPr>
      <w:rPr>
        <w:rFonts w:cs="Times New Roman"/>
      </w:rPr>
    </w:lvl>
  </w:abstractNum>
  <w:abstractNum w:abstractNumId="11">
    <w:nsid w:val="04D81463"/>
    <w:multiLevelType w:val="multilevel"/>
    <w:tmpl w:val="04D81463"/>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rPr>
        <w:b w:val="0"/>
      </w:r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12">
    <w:nsid w:val="05012736"/>
    <w:multiLevelType w:val="multilevel"/>
    <w:tmpl w:val="0501273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5E5537F"/>
    <w:multiLevelType w:val="multilevel"/>
    <w:tmpl w:val="05E5537F"/>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6772136"/>
    <w:multiLevelType w:val="multilevel"/>
    <w:tmpl w:val="06772136"/>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06C31EF1"/>
    <w:multiLevelType w:val="multilevel"/>
    <w:tmpl w:val="06C31EF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075F6737"/>
    <w:multiLevelType w:val="multilevel"/>
    <w:tmpl w:val="075F673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8415E4E"/>
    <w:multiLevelType w:val="multilevel"/>
    <w:tmpl w:val="08415E4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8DC0ACF"/>
    <w:multiLevelType w:val="multilevel"/>
    <w:tmpl w:val="08DC0AC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8E44953"/>
    <w:multiLevelType w:val="multilevel"/>
    <w:tmpl w:val="08E4495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09035D26"/>
    <w:multiLevelType w:val="multilevel"/>
    <w:tmpl w:val="09035D26"/>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0914071C"/>
    <w:multiLevelType w:val="multilevel"/>
    <w:tmpl w:val="0914071C"/>
    <w:lvl w:ilvl="0" w:tentative="0">
      <w:start w:val="1"/>
      <w:numFmt w:val="decimal"/>
      <w:lvlText w:val="（%1）"/>
      <w:lvlJc w:val="center"/>
      <w:pPr>
        <w:ind w:left="890" w:hanging="420"/>
      </w:pPr>
      <w:rPr>
        <w:rFonts w:hint="eastAsia" w:cs="Times New Roman"/>
      </w:rPr>
    </w:lvl>
    <w:lvl w:ilvl="1" w:tentative="0">
      <w:start w:val="1"/>
      <w:numFmt w:val="decimal"/>
      <w:lvlText w:val="%2）"/>
      <w:lvlJc w:val="left"/>
      <w:pPr>
        <w:ind w:left="1250" w:hanging="360"/>
      </w:pPr>
      <w:rPr>
        <w:rFonts w:hint="default" w:cs="Times New Roman"/>
      </w:rPr>
    </w:lvl>
    <w:lvl w:ilvl="2" w:tentative="0">
      <w:start w:val="1"/>
      <w:numFmt w:val="lowerRoman"/>
      <w:lvlText w:val="%3."/>
      <w:lvlJc w:val="right"/>
      <w:pPr>
        <w:ind w:left="1730" w:hanging="420"/>
      </w:pPr>
      <w:rPr>
        <w:rFonts w:cs="Times New Roman"/>
      </w:rPr>
    </w:lvl>
    <w:lvl w:ilvl="3" w:tentative="0">
      <w:start w:val="1"/>
      <w:numFmt w:val="decimal"/>
      <w:lvlText w:val="%4."/>
      <w:lvlJc w:val="left"/>
      <w:pPr>
        <w:ind w:left="2150" w:hanging="420"/>
      </w:pPr>
      <w:rPr>
        <w:rFonts w:cs="Times New Roman"/>
      </w:rPr>
    </w:lvl>
    <w:lvl w:ilvl="4" w:tentative="0">
      <w:start w:val="1"/>
      <w:numFmt w:val="lowerLetter"/>
      <w:lvlText w:val="%5)"/>
      <w:lvlJc w:val="left"/>
      <w:pPr>
        <w:ind w:left="2570" w:hanging="420"/>
      </w:pPr>
      <w:rPr>
        <w:rFonts w:cs="Times New Roman"/>
      </w:rPr>
    </w:lvl>
    <w:lvl w:ilvl="5" w:tentative="0">
      <w:start w:val="1"/>
      <w:numFmt w:val="lowerRoman"/>
      <w:lvlText w:val="%6."/>
      <w:lvlJc w:val="right"/>
      <w:pPr>
        <w:ind w:left="2990" w:hanging="420"/>
      </w:pPr>
      <w:rPr>
        <w:rFonts w:cs="Times New Roman"/>
      </w:rPr>
    </w:lvl>
    <w:lvl w:ilvl="6" w:tentative="0">
      <w:start w:val="1"/>
      <w:numFmt w:val="decimal"/>
      <w:lvlText w:val="%7."/>
      <w:lvlJc w:val="left"/>
      <w:pPr>
        <w:ind w:left="3410" w:hanging="420"/>
      </w:pPr>
      <w:rPr>
        <w:rFonts w:cs="Times New Roman"/>
      </w:rPr>
    </w:lvl>
    <w:lvl w:ilvl="7" w:tentative="0">
      <w:start w:val="1"/>
      <w:numFmt w:val="lowerLetter"/>
      <w:lvlText w:val="%8)"/>
      <w:lvlJc w:val="left"/>
      <w:pPr>
        <w:ind w:left="3830" w:hanging="420"/>
      </w:pPr>
      <w:rPr>
        <w:rFonts w:cs="Times New Roman"/>
      </w:rPr>
    </w:lvl>
    <w:lvl w:ilvl="8" w:tentative="0">
      <w:start w:val="1"/>
      <w:numFmt w:val="lowerRoman"/>
      <w:lvlText w:val="%9."/>
      <w:lvlJc w:val="right"/>
      <w:pPr>
        <w:ind w:left="4250" w:hanging="420"/>
      </w:pPr>
      <w:rPr>
        <w:rFonts w:cs="Times New Roman"/>
      </w:rPr>
    </w:lvl>
  </w:abstractNum>
  <w:abstractNum w:abstractNumId="22">
    <w:nsid w:val="09890BCC"/>
    <w:multiLevelType w:val="multilevel"/>
    <w:tmpl w:val="09890BCC"/>
    <w:lvl w:ilvl="0" w:tentative="0">
      <w:start w:val="1"/>
      <w:numFmt w:val="decimal"/>
      <w:pStyle w:val="18"/>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3">
    <w:nsid w:val="0A093CB0"/>
    <w:multiLevelType w:val="multilevel"/>
    <w:tmpl w:val="0A093CB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A910673"/>
    <w:multiLevelType w:val="multilevel"/>
    <w:tmpl w:val="0A91067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AF21377"/>
    <w:multiLevelType w:val="multilevel"/>
    <w:tmpl w:val="0AF2137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0B881130"/>
    <w:multiLevelType w:val="multilevel"/>
    <w:tmpl w:val="0B88113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0BD101BB"/>
    <w:multiLevelType w:val="multilevel"/>
    <w:tmpl w:val="0BD101B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0BD406D3"/>
    <w:multiLevelType w:val="multilevel"/>
    <w:tmpl w:val="0BD406D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0C596F11"/>
    <w:multiLevelType w:val="multilevel"/>
    <w:tmpl w:val="0C596F1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0D9B1BE5"/>
    <w:multiLevelType w:val="multilevel"/>
    <w:tmpl w:val="0D9B1B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0E212EBF"/>
    <w:multiLevelType w:val="multilevel"/>
    <w:tmpl w:val="0E212EB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0F723CD6"/>
    <w:multiLevelType w:val="multilevel"/>
    <w:tmpl w:val="0F723C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10262B07"/>
    <w:multiLevelType w:val="multilevel"/>
    <w:tmpl w:val="10262B07"/>
    <w:lvl w:ilvl="0" w:tentative="0">
      <w:start w:val="1"/>
      <w:numFmt w:val="decimal"/>
      <w:lvlText w:val="（%1）"/>
      <w:lvlJc w:val="center"/>
      <w:pPr>
        <w:ind w:left="890" w:hanging="420"/>
      </w:pPr>
      <w:rPr>
        <w:rFonts w:hint="eastAsia" w:cs="Times New Roman"/>
      </w:rPr>
    </w:lvl>
    <w:lvl w:ilvl="1" w:tentative="0">
      <w:start w:val="1"/>
      <w:numFmt w:val="decimal"/>
      <w:lvlText w:val="（%2）"/>
      <w:lvlJc w:val="center"/>
      <w:pPr>
        <w:ind w:left="1310" w:hanging="420"/>
      </w:pPr>
      <w:rPr>
        <w:rFonts w:hint="eastAsia" w:cs="Times New Roman"/>
      </w:rPr>
    </w:lvl>
    <w:lvl w:ilvl="2" w:tentative="0">
      <w:start w:val="1"/>
      <w:numFmt w:val="lowerRoman"/>
      <w:lvlText w:val="%3."/>
      <w:lvlJc w:val="right"/>
      <w:pPr>
        <w:ind w:left="1730" w:hanging="420"/>
      </w:pPr>
      <w:rPr>
        <w:rFonts w:cs="Times New Roman"/>
      </w:rPr>
    </w:lvl>
    <w:lvl w:ilvl="3" w:tentative="0">
      <w:start w:val="1"/>
      <w:numFmt w:val="decimal"/>
      <w:lvlText w:val="%4."/>
      <w:lvlJc w:val="left"/>
      <w:pPr>
        <w:ind w:left="2150" w:hanging="420"/>
      </w:pPr>
      <w:rPr>
        <w:rFonts w:cs="Times New Roman"/>
      </w:rPr>
    </w:lvl>
    <w:lvl w:ilvl="4" w:tentative="0">
      <w:start w:val="1"/>
      <w:numFmt w:val="lowerLetter"/>
      <w:lvlText w:val="%5)"/>
      <w:lvlJc w:val="left"/>
      <w:pPr>
        <w:ind w:left="2570" w:hanging="420"/>
      </w:pPr>
      <w:rPr>
        <w:rFonts w:cs="Times New Roman"/>
      </w:rPr>
    </w:lvl>
    <w:lvl w:ilvl="5" w:tentative="0">
      <w:start w:val="1"/>
      <w:numFmt w:val="lowerRoman"/>
      <w:lvlText w:val="%6."/>
      <w:lvlJc w:val="right"/>
      <w:pPr>
        <w:ind w:left="2990" w:hanging="420"/>
      </w:pPr>
      <w:rPr>
        <w:rFonts w:cs="Times New Roman"/>
      </w:rPr>
    </w:lvl>
    <w:lvl w:ilvl="6" w:tentative="0">
      <w:start w:val="1"/>
      <w:numFmt w:val="decimal"/>
      <w:lvlText w:val="%7."/>
      <w:lvlJc w:val="left"/>
      <w:pPr>
        <w:ind w:left="3410" w:hanging="420"/>
      </w:pPr>
      <w:rPr>
        <w:rFonts w:cs="Times New Roman"/>
      </w:rPr>
    </w:lvl>
    <w:lvl w:ilvl="7" w:tentative="0">
      <w:start w:val="1"/>
      <w:numFmt w:val="lowerLetter"/>
      <w:lvlText w:val="%8)"/>
      <w:lvlJc w:val="left"/>
      <w:pPr>
        <w:ind w:left="3830" w:hanging="420"/>
      </w:pPr>
      <w:rPr>
        <w:rFonts w:cs="Times New Roman"/>
      </w:rPr>
    </w:lvl>
    <w:lvl w:ilvl="8" w:tentative="0">
      <w:start w:val="1"/>
      <w:numFmt w:val="lowerRoman"/>
      <w:lvlText w:val="%9."/>
      <w:lvlJc w:val="right"/>
      <w:pPr>
        <w:ind w:left="4250" w:hanging="420"/>
      </w:pPr>
      <w:rPr>
        <w:rFonts w:cs="Times New Roman"/>
      </w:rPr>
    </w:lvl>
  </w:abstractNum>
  <w:abstractNum w:abstractNumId="34">
    <w:nsid w:val="104B4593"/>
    <w:multiLevelType w:val="multilevel"/>
    <w:tmpl w:val="104B459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110468D3"/>
    <w:multiLevelType w:val="multilevel"/>
    <w:tmpl w:val="110468D3"/>
    <w:lvl w:ilvl="0" w:tentative="0">
      <w:start w:val="1"/>
      <w:numFmt w:val="decimal"/>
      <w:lvlText w:val="%1."/>
      <w:lvlJc w:val="left"/>
      <w:pPr>
        <w:ind w:left="420" w:hanging="420"/>
      </w:pPr>
      <w:rPr>
        <w:rFonts w:hint="eastAsia"/>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12B00AAE"/>
    <w:multiLevelType w:val="multilevel"/>
    <w:tmpl w:val="12B00AA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130F63F3"/>
    <w:multiLevelType w:val="multilevel"/>
    <w:tmpl w:val="130F63F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8">
    <w:nsid w:val="13FA2312"/>
    <w:multiLevelType w:val="multilevel"/>
    <w:tmpl w:val="13FA231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14930270"/>
    <w:multiLevelType w:val="multilevel"/>
    <w:tmpl w:val="1493027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156D30CE"/>
    <w:multiLevelType w:val="multilevel"/>
    <w:tmpl w:val="156D30CE"/>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1">
    <w:nsid w:val="162E2988"/>
    <w:multiLevelType w:val="multilevel"/>
    <w:tmpl w:val="162E2988"/>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2">
    <w:nsid w:val="164050C6"/>
    <w:multiLevelType w:val="multilevel"/>
    <w:tmpl w:val="164050C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166E2A59"/>
    <w:multiLevelType w:val="multilevel"/>
    <w:tmpl w:val="166E2A59"/>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4">
    <w:nsid w:val="16D64F9D"/>
    <w:multiLevelType w:val="multilevel"/>
    <w:tmpl w:val="16D64F9D"/>
    <w:lvl w:ilvl="0" w:tentative="0">
      <w:start w:val="1"/>
      <w:numFmt w:val="decimal"/>
      <w:lvlText w:val="%1."/>
      <w:lvlJc w:val="left"/>
      <w:pPr>
        <w:ind w:left="420" w:hanging="420"/>
      </w:pPr>
      <w:rPr>
        <w:rFonts w:hint="eastAsia"/>
      </w:rPr>
    </w:lvl>
    <w:lvl w:ilvl="1" w:tentative="0">
      <w:start w:val="1"/>
      <w:numFmt w:val="decimal"/>
      <w:lvlText w:val="%2、"/>
      <w:lvlJc w:val="left"/>
      <w:pPr>
        <w:ind w:left="855" w:hanging="43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177810B5"/>
    <w:multiLevelType w:val="multilevel"/>
    <w:tmpl w:val="177810B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17E84E9C"/>
    <w:multiLevelType w:val="multilevel"/>
    <w:tmpl w:val="17E84E9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1848292E"/>
    <w:multiLevelType w:val="multilevel"/>
    <w:tmpl w:val="184829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1A862E2D"/>
    <w:multiLevelType w:val="multilevel"/>
    <w:tmpl w:val="1A862E2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1B7F101C"/>
    <w:multiLevelType w:val="multilevel"/>
    <w:tmpl w:val="1B7F101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1BA06F72"/>
    <w:multiLevelType w:val="multilevel"/>
    <w:tmpl w:val="1BA06F7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1C4A0833"/>
    <w:multiLevelType w:val="multilevel"/>
    <w:tmpl w:val="1C4A083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2">
    <w:nsid w:val="1C550D0B"/>
    <w:multiLevelType w:val="multilevel"/>
    <w:tmpl w:val="1C550D0B"/>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3">
    <w:nsid w:val="1CCE39EA"/>
    <w:multiLevelType w:val="multilevel"/>
    <w:tmpl w:val="1CCE39EA"/>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4">
    <w:nsid w:val="1D5E4F06"/>
    <w:multiLevelType w:val="multilevel"/>
    <w:tmpl w:val="1D5E4F06"/>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5">
    <w:nsid w:val="1F077A75"/>
    <w:multiLevelType w:val="multilevel"/>
    <w:tmpl w:val="1F077A7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20714924"/>
    <w:multiLevelType w:val="multilevel"/>
    <w:tmpl w:val="2071492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209B179A"/>
    <w:multiLevelType w:val="multilevel"/>
    <w:tmpl w:val="209B179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210D17DB"/>
    <w:multiLevelType w:val="multilevel"/>
    <w:tmpl w:val="210D17DB"/>
    <w:lvl w:ilvl="0" w:tentative="0">
      <w:start w:val="1"/>
      <w:numFmt w:val="decimal"/>
      <w:lvlText w:val="%1、"/>
      <w:lvlJc w:val="left"/>
      <w:pPr>
        <w:ind w:left="420" w:hanging="420"/>
      </w:pPr>
      <w:rPr>
        <w:rFonts w:hint="eastAsia"/>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216C6119"/>
    <w:multiLevelType w:val="multilevel"/>
    <w:tmpl w:val="216C611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217D68B9"/>
    <w:multiLevelType w:val="multilevel"/>
    <w:tmpl w:val="217D68B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21B97AEC"/>
    <w:multiLevelType w:val="multilevel"/>
    <w:tmpl w:val="21B97AEC"/>
    <w:lvl w:ilvl="0" w:tentative="0">
      <w:start w:val="1"/>
      <w:numFmt w:val="decimal"/>
      <w:lvlText w:val="%1."/>
      <w:lvlJc w:val="left"/>
      <w:pPr>
        <w:ind w:left="420" w:hanging="420"/>
      </w:pPr>
      <w:rPr>
        <w:rFonts w:hint="eastAsia"/>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21BA19DC"/>
    <w:multiLevelType w:val="multilevel"/>
    <w:tmpl w:val="21BA19DC"/>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21C81FC3"/>
    <w:multiLevelType w:val="multilevel"/>
    <w:tmpl w:val="21C81FC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242D0DE5"/>
    <w:multiLevelType w:val="multilevel"/>
    <w:tmpl w:val="242D0DE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25CD5014"/>
    <w:multiLevelType w:val="multilevel"/>
    <w:tmpl w:val="25CD5014"/>
    <w:lvl w:ilvl="0" w:tentative="0">
      <w:start w:val="1"/>
      <w:numFmt w:val="decimal"/>
      <w:lvlText w:val="%1."/>
      <w:lvlJc w:val="left"/>
      <w:pPr>
        <w:ind w:left="420" w:hanging="420"/>
      </w:p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6">
    <w:nsid w:val="26914C68"/>
    <w:multiLevelType w:val="multilevel"/>
    <w:tmpl w:val="26914C6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26EE3012"/>
    <w:multiLevelType w:val="multilevel"/>
    <w:tmpl w:val="26EE301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26F23DB7"/>
    <w:multiLevelType w:val="multilevel"/>
    <w:tmpl w:val="26F23DB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274128B1"/>
    <w:multiLevelType w:val="multilevel"/>
    <w:tmpl w:val="274128B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0">
    <w:nsid w:val="289C289C"/>
    <w:multiLevelType w:val="multilevel"/>
    <w:tmpl w:val="289C289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29282DD9"/>
    <w:multiLevelType w:val="multilevel"/>
    <w:tmpl w:val="29282DD9"/>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2">
    <w:nsid w:val="29722E0C"/>
    <w:multiLevelType w:val="multilevel"/>
    <w:tmpl w:val="29722E0C"/>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decimal"/>
      <w:lvlText w:val="（%3）"/>
      <w:lvlJc w:val="left"/>
      <w:pPr>
        <w:ind w:left="1980" w:hanging="72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3">
    <w:nsid w:val="2B6F735E"/>
    <w:multiLevelType w:val="multilevel"/>
    <w:tmpl w:val="2B6F735E"/>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2B924822"/>
    <w:multiLevelType w:val="multilevel"/>
    <w:tmpl w:val="2B92482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2C2C5358"/>
    <w:multiLevelType w:val="multilevel"/>
    <w:tmpl w:val="2C2C535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2C6A0A99"/>
    <w:multiLevelType w:val="multilevel"/>
    <w:tmpl w:val="2C6A0A9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2CF272EE"/>
    <w:multiLevelType w:val="multilevel"/>
    <w:tmpl w:val="2CF272EE"/>
    <w:lvl w:ilvl="0" w:tentative="0">
      <w:start w:val="1"/>
      <w:numFmt w:val="decimal"/>
      <w:lvlText w:val="%1."/>
      <w:lvlJc w:val="left"/>
      <w:pPr>
        <w:tabs>
          <w:tab w:val="left" w:pos="360"/>
        </w:tabs>
        <w:ind w:left="360" w:hanging="360"/>
      </w:pPr>
      <w:rPr>
        <w:rFonts w:hint="eastAsia"/>
        <w:spacing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8">
    <w:nsid w:val="2D6A6A96"/>
    <w:multiLevelType w:val="multilevel"/>
    <w:tmpl w:val="2D6A6A96"/>
    <w:lvl w:ilvl="0" w:tentative="0">
      <w:start w:val="1"/>
      <w:numFmt w:val="decimal"/>
      <w:lvlText w:val="%1、"/>
      <w:lvlJc w:val="left"/>
      <w:pPr>
        <w:ind w:left="420" w:hanging="420"/>
      </w:pPr>
      <w:rPr>
        <w:rFonts w:hint="eastAsia"/>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2DC467AC"/>
    <w:multiLevelType w:val="multilevel"/>
    <w:tmpl w:val="2DC467AC"/>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0">
    <w:nsid w:val="2E576921"/>
    <w:multiLevelType w:val="multilevel"/>
    <w:tmpl w:val="2E57692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2E5B18E3"/>
    <w:multiLevelType w:val="multilevel"/>
    <w:tmpl w:val="2E5B18E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2">
    <w:nsid w:val="2E704071"/>
    <w:multiLevelType w:val="multilevel"/>
    <w:tmpl w:val="2E70407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2F342463"/>
    <w:multiLevelType w:val="multilevel"/>
    <w:tmpl w:val="2F34246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4">
    <w:nsid w:val="30AB4566"/>
    <w:multiLevelType w:val="multilevel"/>
    <w:tmpl w:val="30AB45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31066398"/>
    <w:multiLevelType w:val="multilevel"/>
    <w:tmpl w:val="3106639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315E1B32"/>
    <w:multiLevelType w:val="multilevel"/>
    <w:tmpl w:val="315E1B32"/>
    <w:lvl w:ilvl="0" w:tentative="0">
      <w:start w:val="1"/>
      <w:numFmt w:val="decimal"/>
      <w:lvlText w:val="%1、"/>
      <w:lvlJc w:val="left"/>
      <w:pPr>
        <w:ind w:left="420" w:hanging="420"/>
      </w:pPr>
      <w:rPr>
        <w:rFonts w:hint="eastAsia"/>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317D3324"/>
    <w:multiLevelType w:val="multilevel"/>
    <w:tmpl w:val="317D3324"/>
    <w:lvl w:ilvl="0" w:tentative="0">
      <w:start w:val="1"/>
      <w:numFmt w:val="decimal"/>
      <w:lvlText w:val="（%1）"/>
      <w:lvlJc w:val="center"/>
      <w:pPr>
        <w:ind w:left="890" w:hanging="420"/>
      </w:pPr>
      <w:rPr>
        <w:rFonts w:hint="eastAsia" w:cs="Times New Roman"/>
      </w:rPr>
    </w:lvl>
    <w:lvl w:ilvl="1" w:tentative="0">
      <w:start w:val="1"/>
      <w:numFmt w:val="lowerLetter"/>
      <w:lvlText w:val="%2)"/>
      <w:lvlJc w:val="left"/>
      <w:pPr>
        <w:ind w:left="1310" w:hanging="420"/>
      </w:pPr>
      <w:rPr>
        <w:rFonts w:cs="Times New Roman"/>
      </w:rPr>
    </w:lvl>
    <w:lvl w:ilvl="2" w:tentative="0">
      <w:start w:val="1"/>
      <w:numFmt w:val="lowerRoman"/>
      <w:lvlText w:val="%3."/>
      <w:lvlJc w:val="right"/>
      <w:pPr>
        <w:ind w:left="1730" w:hanging="420"/>
      </w:pPr>
      <w:rPr>
        <w:rFonts w:cs="Times New Roman"/>
      </w:rPr>
    </w:lvl>
    <w:lvl w:ilvl="3" w:tentative="0">
      <w:start w:val="1"/>
      <w:numFmt w:val="decimal"/>
      <w:lvlText w:val="%4."/>
      <w:lvlJc w:val="left"/>
      <w:pPr>
        <w:ind w:left="2150" w:hanging="420"/>
      </w:pPr>
      <w:rPr>
        <w:rFonts w:cs="Times New Roman"/>
      </w:rPr>
    </w:lvl>
    <w:lvl w:ilvl="4" w:tentative="0">
      <w:start w:val="1"/>
      <w:numFmt w:val="lowerLetter"/>
      <w:lvlText w:val="%5)"/>
      <w:lvlJc w:val="left"/>
      <w:pPr>
        <w:ind w:left="2570" w:hanging="420"/>
      </w:pPr>
      <w:rPr>
        <w:rFonts w:cs="Times New Roman"/>
      </w:rPr>
    </w:lvl>
    <w:lvl w:ilvl="5" w:tentative="0">
      <w:start w:val="1"/>
      <w:numFmt w:val="lowerRoman"/>
      <w:lvlText w:val="%6."/>
      <w:lvlJc w:val="right"/>
      <w:pPr>
        <w:ind w:left="2990" w:hanging="420"/>
      </w:pPr>
      <w:rPr>
        <w:rFonts w:cs="Times New Roman"/>
      </w:rPr>
    </w:lvl>
    <w:lvl w:ilvl="6" w:tentative="0">
      <w:start w:val="1"/>
      <w:numFmt w:val="decimal"/>
      <w:lvlText w:val="%7."/>
      <w:lvlJc w:val="left"/>
      <w:pPr>
        <w:ind w:left="3410" w:hanging="420"/>
      </w:pPr>
      <w:rPr>
        <w:rFonts w:cs="Times New Roman"/>
      </w:rPr>
    </w:lvl>
    <w:lvl w:ilvl="7" w:tentative="0">
      <w:start w:val="1"/>
      <w:numFmt w:val="lowerLetter"/>
      <w:lvlText w:val="%8)"/>
      <w:lvlJc w:val="left"/>
      <w:pPr>
        <w:ind w:left="3830" w:hanging="420"/>
      </w:pPr>
      <w:rPr>
        <w:rFonts w:cs="Times New Roman"/>
      </w:rPr>
    </w:lvl>
    <w:lvl w:ilvl="8" w:tentative="0">
      <w:start w:val="1"/>
      <w:numFmt w:val="lowerRoman"/>
      <w:lvlText w:val="%9."/>
      <w:lvlJc w:val="right"/>
      <w:pPr>
        <w:ind w:left="4250" w:hanging="420"/>
      </w:pPr>
      <w:rPr>
        <w:rFonts w:cs="Times New Roman"/>
      </w:rPr>
    </w:lvl>
  </w:abstractNum>
  <w:abstractNum w:abstractNumId="88">
    <w:nsid w:val="31D617E0"/>
    <w:multiLevelType w:val="multilevel"/>
    <w:tmpl w:val="31D617E0"/>
    <w:lvl w:ilvl="0" w:tentative="0">
      <w:start w:val="1"/>
      <w:numFmt w:val="decimal"/>
      <w:lvlText w:val="%1、"/>
      <w:lvlJc w:val="left"/>
      <w:pPr>
        <w:ind w:left="420" w:hanging="420"/>
      </w:pPr>
      <w:rPr>
        <w:rFonts w:hint="eastAsia"/>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32BC16D4"/>
    <w:multiLevelType w:val="multilevel"/>
    <w:tmpl w:val="32BC16D4"/>
    <w:lvl w:ilvl="0" w:tentative="0">
      <w:start w:val="1"/>
      <w:numFmt w:val="decimal"/>
      <w:lvlText w:val="%1、"/>
      <w:lvlJc w:val="left"/>
      <w:pPr>
        <w:ind w:left="420" w:hanging="420"/>
      </w:pPr>
      <w:rPr>
        <w:rFonts w:hint="eastAsia"/>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32CD31C7"/>
    <w:multiLevelType w:val="multilevel"/>
    <w:tmpl w:val="32CD31C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333363EF"/>
    <w:multiLevelType w:val="multilevel"/>
    <w:tmpl w:val="333363E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339E01AA"/>
    <w:multiLevelType w:val="multilevel"/>
    <w:tmpl w:val="339E01A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3">
    <w:nsid w:val="33C37373"/>
    <w:multiLevelType w:val="multilevel"/>
    <w:tmpl w:val="33C37373"/>
    <w:lvl w:ilvl="0" w:tentative="0">
      <w:start w:val="1"/>
      <w:numFmt w:val="decimal"/>
      <w:lvlText w:val="%1、"/>
      <w:lvlJc w:val="left"/>
      <w:pPr>
        <w:ind w:left="420" w:hanging="420"/>
      </w:pPr>
      <w:rPr>
        <w:rFonts w:hint="eastAsia"/>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4">
    <w:nsid w:val="33F5063F"/>
    <w:multiLevelType w:val="multilevel"/>
    <w:tmpl w:val="33F5063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5">
    <w:nsid w:val="341B29DA"/>
    <w:multiLevelType w:val="multilevel"/>
    <w:tmpl w:val="341B29DA"/>
    <w:lvl w:ilvl="0" w:tentative="0">
      <w:start w:val="1"/>
      <w:numFmt w:val="decimal"/>
      <w:lvlText w:val="（%1）"/>
      <w:lvlJc w:val="center"/>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6">
    <w:nsid w:val="350409EB"/>
    <w:multiLevelType w:val="multilevel"/>
    <w:tmpl w:val="350409E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7">
    <w:nsid w:val="350B17D0"/>
    <w:multiLevelType w:val="multilevel"/>
    <w:tmpl w:val="350B17D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8">
    <w:nsid w:val="36534C1D"/>
    <w:multiLevelType w:val="multilevel"/>
    <w:tmpl w:val="36534C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9">
    <w:nsid w:val="36A23634"/>
    <w:multiLevelType w:val="multilevel"/>
    <w:tmpl w:val="36A23634"/>
    <w:lvl w:ilvl="0" w:tentative="0">
      <w:start w:val="1"/>
      <w:numFmt w:val="decimal"/>
      <w:lvlText w:val="%1、"/>
      <w:lvlJc w:val="left"/>
      <w:pPr>
        <w:ind w:left="420" w:hanging="420"/>
      </w:pPr>
      <w:rPr>
        <w:rFonts w:hint="eastAsia"/>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0">
    <w:nsid w:val="36CA21DF"/>
    <w:multiLevelType w:val="multilevel"/>
    <w:tmpl w:val="36CA21D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1">
    <w:nsid w:val="3986002D"/>
    <w:multiLevelType w:val="multilevel"/>
    <w:tmpl w:val="3986002D"/>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2">
    <w:nsid w:val="3987346E"/>
    <w:multiLevelType w:val="multilevel"/>
    <w:tmpl w:val="3987346E"/>
    <w:lvl w:ilvl="0" w:tentative="0">
      <w:start w:val="1"/>
      <w:numFmt w:val="decimal"/>
      <w:lvlText w:val="%1."/>
      <w:lvlJc w:val="left"/>
      <w:pPr>
        <w:tabs>
          <w:tab w:val="left" w:pos="360"/>
        </w:tabs>
        <w:ind w:left="360" w:hanging="360"/>
      </w:pPr>
      <w:rPr>
        <w:rFonts w:hint="eastAsia"/>
        <w:spacing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3">
    <w:nsid w:val="3997063A"/>
    <w:multiLevelType w:val="multilevel"/>
    <w:tmpl w:val="3997063A"/>
    <w:lvl w:ilvl="0" w:tentative="0">
      <w:start w:val="1"/>
      <w:numFmt w:val="decimal"/>
      <w:lvlText w:val="%1、"/>
      <w:lvlJc w:val="left"/>
      <w:pPr>
        <w:ind w:left="420" w:hanging="420"/>
      </w:pPr>
      <w:rPr>
        <w:rFonts w:hint="eastAsia"/>
      </w:rPr>
    </w:lvl>
    <w:lvl w:ilvl="1" w:tentative="0">
      <w:start w:val="1"/>
      <w:numFmt w:val="decimal"/>
      <w:lvlText w:val="（%2）"/>
      <w:lvlJc w:val="center"/>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4">
    <w:nsid w:val="39F829EB"/>
    <w:multiLevelType w:val="multilevel"/>
    <w:tmpl w:val="39F829E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5">
    <w:nsid w:val="3A4C234A"/>
    <w:multiLevelType w:val="multilevel"/>
    <w:tmpl w:val="3A4C23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6">
    <w:nsid w:val="3AA175EE"/>
    <w:multiLevelType w:val="multilevel"/>
    <w:tmpl w:val="3AA175EE"/>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7">
    <w:nsid w:val="3C1777A6"/>
    <w:multiLevelType w:val="multilevel"/>
    <w:tmpl w:val="3C1777A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8">
    <w:nsid w:val="3C467A19"/>
    <w:multiLevelType w:val="multilevel"/>
    <w:tmpl w:val="3C467A1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9">
    <w:nsid w:val="3D2C0D06"/>
    <w:multiLevelType w:val="multilevel"/>
    <w:tmpl w:val="3D2C0D0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0">
    <w:nsid w:val="3E6C757A"/>
    <w:multiLevelType w:val="multilevel"/>
    <w:tmpl w:val="3E6C757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1">
    <w:nsid w:val="40762969"/>
    <w:multiLevelType w:val="multilevel"/>
    <w:tmpl w:val="4076296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2">
    <w:nsid w:val="418B39D4"/>
    <w:multiLevelType w:val="multilevel"/>
    <w:tmpl w:val="418B39D4"/>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3">
    <w:nsid w:val="418D7AAC"/>
    <w:multiLevelType w:val="multilevel"/>
    <w:tmpl w:val="418D7AA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4">
    <w:nsid w:val="42B97785"/>
    <w:multiLevelType w:val="multilevel"/>
    <w:tmpl w:val="42B97785"/>
    <w:lvl w:ilvl="0" w:tentative="0">
      <w:start w:val="1"/>
      <w:numFmt w:val="decimal"/>
      <w:lvlText w:val="%1、"/>
      <w:lvlJc w:val="left"/>
      <w:pPr>
        <w:ind w:left="420" w:hanging="420"/>
      </w:pPr>
      <w:rPr>
        <w:rFonts w:hint="eastAsia"/>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5">
    <w:nsid w:val="42ED4E3B"/>
    <w:multiLevelType w:val="multilevel"/>
    <w:tmpl w:val="42ED4E3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6">
    <w:nsid w:val="43276353"/>
    <w:multiLevelType w:val="multilevel"/>
    <w:tmpl w:val="43276353"/>
    <w:lvl w:ilvl="0" w:tentative="0">
      <w:start w:val="1"/>
      <w:numFmt w:val="decimal"/>
      <w:lvlText w:val="%1、"/>
      <w:lvlJc w:val="left"/>
      <w:pPr>
        <w:ind w:left="420" w:hanging="420"/>
      </w:pPr>
      <w:rPr>
        <w:rFonts w:hint="eastAsia"/>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7">
    <w:nsid w:val="43402735"/>
    <w:multiLevelType w:val="multilevel"/>
    <w:tmpl w:val="43402735"/>
    <w:lvl w:ilvl="0" w:tentative="0">
      <w:start w:val="1"/>
      <w:numFmt w:val="decimal"/>
      <w:lvlText w:val="（%1）"/>
      <w:lvlJc w:val="center"/>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8">
    <w:nsid w:val="437C3C54"/>
    <w:multiLevelType w:val="multilevel"/>
    <w:tmpl w:val="437C3C5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9">
    <w:nsid w:val="444958CB"/>
    <w:multiLevelType w:val="multilevel"/>
    <w:tmpl w:val="444958C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0">
    <w:nsid w:val="44A7012F"/>
    <w:multiLevelType w:val="multilevel"/>
    <w:tmpl w:val="44A7012F"/>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1">
    <w:nsid w:val="44BC2BCE"/>
    <w:multiLevelType w:val="multilevel"/>
    <w:tmpl w:val="44BC2BCE"/>
    <w:lvl w:ilvl="0" w:tentative="0">
      <w:start w:val="1"/>
      <w:numFmt w:val="decimal"/>
      <w:lvlText w:val="%1、"/>
      <w:lvlJc w:val="left"/>
      <w:pPr>
        <w:ind w:left="420" w:hanging="420"/>
      </w:pPr>
      <w:rPr>
        <w:rFonts w:hint="eastAsia"/>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2">
    <w:nsid w:val="46742321"/>
    <w:multiLevelType w:val="multilevel"/>
    <w:tmpl w:val="4674232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3">
    <w:nsid w:val="46921F80"/>
    <w:multiLevelType w:val="multilevel"/>
    <w:tmpl w:val="46921F80"/>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4">
    <w:nsid w:val="4719596F"/>
    <w:multiLevelType w:val="multilevel"/>
    <w:tmpl w:val="4719596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5">
    <w:nsid w:val="47287FE8"/>
    <w:multiLevelType w:val="multilevel"/>
    <w:tmpl w:val="47287FE8"/>
    <w:lvl w:ilvl="0" w:tentative="0">
      <w:start w:val="1"/>
      <w:numFmt w:val="decimal"/>
      <w:lvlText w:val="(%1)"/>
      <w:lvlJc w:val="left"/>
      <w:pPr>
        <w:ind w:left="420" w:hanging="420"/>
      </w:pPr>
      <w:rPr>
        <w:rFonts w:hint="eastAsia"/>
      </w:rPr>
    </w:lvl>
    <w:lvl w:ilvl="1" w:tentative="0">
      <w:start w:val="1"/>
      <w:numFmt w:val="decimal"/>
      <w:lvlText w:val="（%2）"/>
      <w:lvlJc w:val="center"/>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6">
    <w:nsid w:val="490170C7"/>
    <w:multiLevelType w:val="multilevel"/>
    <w:tmpl w:val="490170C7"/>
    <w:lvl w:ilvl="0" w:tentative="0">
      <w:start w:val="1"/>
      <w:numFmt w:val="decimal"/>
      <w:lvlText w:val="%1."/>
      <w:lvlJc w:val="left"/>
      <w:pPr>
        <w:ind w:left="420" w:hanging="420"/>
      </w:pPr>
      <w:rPr>
        <w:rFonts w:hint="eastAsia"/>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7">
    <w:nsid w:val="49993223"/>
    <w:multiLevelType w:val="multilevel"/>
    <w:tmpl w:val="49993223"/>
    <w:lvl w:ilvl="0" w:tentative="0">
      <w:start w:val="1"/>
      <w:numFmt w:val="decimal"/>
      <w:lvlText w:val="%1."/>
      <w:lvlJc w:val="left"/>
      <w:pPr>
        <w:ind w:left="420" w:hanging="420"/>
      </w:pPr>
      <w:rPr>
        <w:rFonts w:hint="eastAsia"/>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8">
    <w:nsid w:val="49FE57E0"/>
    <w:multiLevelType w:val="multilevel"/>
    <w:tmpl w:val="49FE57E0"/>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9">
    <w:nsid w:val="4BA37F71"/>
    <w:multiLevelType w:val="multilevel"/>
    <w:tmpl w:val="4BA37F7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0">
    <w:nsid w:val="4C575FB4"/>
    <w:multiLevelType w:val="multilevel"/>
    <w:tmpl w:val="4C575FB4"/>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1">
    <w:nsid w:val="4C5949FD"/>
    <w:multiLevelType w:val="multilevel"/>
    <w:tmpl w:val="4C5949FD"/>
    <w:lvl w:ilvl="0" w:tentative="0">
      <w:start w:val="1"/>
      <w:numFmt w:val="decimal"/>
      <w:lvlText w:val="%1、"/>
      <w:lvlJc w:val="left"/>
      <w:pPr>
        <w:ind w:left="420" w:hanging="420"/>
      </w:pPr>
      <w:rPr>
        <w:rFonts w:hint="eastAsia"/>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2">
    <w:nsid w:val="4CDD097F"/>
    <w:multiLevelType w:val="multilevel"/>
    <w:tmpl w:val="4CDD097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3">
    <w:nsid w:val="4D1A1A5D"/>
    <w:multiLevelType w:val="multilevel"/>
    <w:tmpl w:val="4D1A1A5D"/>
    <w:lvl w:ilvl="0" w:tentative="0">
      <w:start w:val="1"/>
      <w:numFmt w:val="decimal"/>
      <w:lvlText w:val="%1."/>
      <w:lvlJc w:val="left"/>
      <w:pPr>
        <w:tabs>
          <w:tab w:val="left" w:pos="360"/>
        </w:tabs>
        <w:ind w:left="360" w:hanging="360"/>
      </w:pPr>
      <w:rPr>
        <w:rFonts w:hint="eastAsia"/>
        <w:spacing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4">
    <w:nsid w:val="4E0E2974"/>
    <w:multiLevelType w:val="multilevel"/>
    <w:tmpl w:val="4E0E2974"/>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5">
    <w:nsid w:val="4EA5472C"/>
    <w:multiLevelType w:val="multilevel"/>
    <w:tmpl w:val="4EA547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6">
    <w:nsid w:val="4FD3245E"/>
    <w:multiLevelType w:val="multilevel"/>
    <w:tmpl w:val="4FD3245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7">
    <w:nsid w:val="500B08FB"/>
    <w:multiLevelType w:val="multilevel"/>
    <w:tmpl w:val="500B08FB"/>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360"/>
        </w:tabs>
        <w:ind w:left="3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8">
    <w:nsid w:val="509A7ACD"/>
    <w:multiLevelType w:val="multilevel"/>
    <w:tmpl w:val="509A7AC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9">
    <w:nsid w:val="50EE7146"/>
    <w:multiLevelType w:val="multilevel"/>
    <w:tmpl w:val="50EE714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0">
    <w:nsid w:val="50FC12E3"/>
    <w:multiLevelType w:val="multilevel"/>
    <w:tmpl w:val="50FC12E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1">
    <w:nsid w:val="523A520A"/>
    <w:multiLevelType w:val="multilevel"/>
    <w:tmpl w:val="523A520A"/>
    <w:lvl w:ilvl="0" w:tentative="0">
      <w:start w:val="1"/>
      <w:numFmt w:val="decimal"/>
      <w:lvlText w:val="%1."/>
      <w:lvlJc w:val="left"/>
      <w:pPr>
        <w:ind w:left="420" w:hanging="420"/>
      </w:pPr>
      <w:rPr>
        <w:rFonts w:hint="eastAsia"/>
      </w:rPr>
    </w:lvl>
    <w:lvl w:ilvl="1" w:tentative="0">
      <w:start w:val="1"/>
      <w:numFmt w:val="decimal"/>
      <w:lvlText w:val="%2、"/>
      <w:lvlJc w:val="left"/>
      <w:pPr>
        <w:ind w:left="855" w:hanging="43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2">
    <w:nsid w:val="52844841"/>
    <w:multiLevelType w:val="multilevel"/>
    <w:tmpl w:val="52844841"/>
    <w:lvl w:ilvl="0" w:tentative="0">
      <w:start w:val="1"/>
      <w:numFmt w:val="decimal"/>
      <w:lvlText w:val="%1、"/>
      <w:lvlJc w:val="left"/>
      <w:pPr>
        <w:ind w:left="420" w:hanging="420"/>
      </w:pPr>
      <w:rPr>
        <w:rFonts w:hint="eastAsia"/>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3">
    <w:nsid w:val="528B56AA"/>
    <w:multiLevelType w:val="multilevel"/>
    <w:tmpl w:val="528B56AA"/>
    <w:lvl w:ilvl="0" w:tentative="0">
      <w:start w:val="1"/>
      <w:numFmt w:val="decimal"/>
      <w:lvlText w:val="%1、"/>
      <w:lvlJc w:val="left"/>
      <w:pPr>
        <w:ind w:left="420" w:hanging="420"/>
      </w:pPr>
      <w:rPr>
        <w:rFonts w:hint="eastAsia"/>
      </w:rPr>
    </w:lvl>
    <w:lvl w:ilvl="1" w:tentative="0">
      <w:start w:val="1"/>
      <w:numFmt w:val="decimal"/>
      <w:lvlText w:val="（%2）"/>
      <w:lvlJc w:val="center"/>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4">
    <w:nsid w:val="52973BA6"/>
    <w:multiLevelType w:val="multilevel"/>
    <w:tmpl w:val="52973BA6"/>
    <w:lvl w:ilvl="0" w:tentative="0">
      <w:start w:val="1"/>
      <w:numFmt w:val="decimal"/>
      <w:lvlText w:val="%1."/>
      <w:lvlJc w:val="left"/>
      <w:pPr>
        <w:ind w:left="420" w:hanging="420"/>
      </w:pPr>
      <w:rPr>
        <w:rFonts w:hint="eastAsia"/>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5">
    <w:nsid w:val="5323395A"/>
    <w:multiLevelType w:val="multilevel"/>
    <w:tmpl w:val="5323395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6">
    <w:nsid w:val="53AF2F29"/>
    <w:multiLevelType w:val="multilevel"/>
    <w:tmpl w:val="53AF2F29"/>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7">
    <w:nsid w:val="55752A88"/>
    <w:multiLevelType w:val="multilevel"/>
    <w:tmpl w:val="55752A88"/>
    <w:lvl w:ilvl="0" w:tentative="0">
      <w:start w:val="1"/>
      <w:numFmt w:val="decimal"/>
      <w:lvlText w:val="（%1）"/>
      <w:lvlJc w:val="left"/>
      <w:pPr>
        <w:ind w:left="420" w:hanging="420"/>
      </w:pPr>
      <w:rPr>
        <w:rFonts w:hint="eastAsia"/>
      </w:rPr>
    </w:lvl>
    <w:lvl w:ilvl="1" w:tentative="0">
      <w:start w:val="1"/>
      <w:numFmt w:val="decimal"/>
      <w:lvlText w:val="（%2）"/>
      <w:lvlJc w:val="center"/>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8">
    <w:nsid w:val="5710FD70"/>
    <w:multiLevelType w:val="multilevel"/>
    <w:tmpl w:val="5710FD70"/>
    <w:lvl w:ilvl="0" w:tentative="0">
      <w:start w:val="1"/>
      <w:numFmt w:val="decimal"/>
      <w:pStyle w:val="26"/>
      <w:lvlText w:val="%1."/>
      <w:lvlJc w:val="left"/>
      <w:pPr>
        <w:tabs>
          <w:tab w:val="left" w:pos="605"/>
        </w:tabs>
        <w:ind w:left="605" w:hanging="425"/>
      </w:pPr>
      <w:rPr>
        <w:rFonts w:hint="default"/>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b/>
        <w:sz w:val="24"/>
        <w:szCs w:val="24"/>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149">
    <w:nsid w:val="57C297A5"/>
    <w:multiLevelType w:val="singleLevel"/>
    <w:tmpl w:val="57C297A5"/>
    <w:lvl w:ilvl="0" w:tentative="0">
      <w:start w:val="1"/>
      <w:numFmt w:val="decimal"/>
      <w:pStyle w:val="38"/>
      <w:suff w:val="nothing"/>
      <w:lvlText w:val="(%1)"/>
      <w:lvlJc w:val="left"/>
    </w:lvl>
  </w:abstractNum>
  <w:abstractNum w:abstractNumId="150">
    <w:nsid w:val="58502B60"/>
    <w:multiLevelType w:val="multilevel"/>
    <w:tmpl w:val="58502B6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1">
    <w:nsid w:val="58591E1A"/>
    <w:multiLevelType w:val="multilevel"/>
    <w:tmpl w:val="58591E1A"/>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2">
    <w:nsid w:val="58BB4B9E"/>
    <w:multiLevelType w:val="multilevel"/>
    <w:tmpl w:val="58BB4B9E"/>
    <w:lvl w:ilvl="0" w:tentative="0">
      <w:start w:val="1"/>
      <w:numFmt w:val="japaneseCounting"/>
      <w:lvlText w:val="%1、"/>
      <w:lvlJc w:val="left"/>
      <w:pPr>
        <w:ind w:left="576" w:hanging="57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3">
    <w:nsid w:val="58BD13E8"/>
    <w:multiLevelType w:val="multilevel"/>
    <w:tmpl w:val="58BD13E8"/>
    <w:lvl w:ilvl="0" w:tentative="0">
      <w:start w:val="1"/>
      <w:numFmt w:val="decimal"/>
      <w:lvlText w:val="（%1）"/>
      <w:lvlJc w:val="center"/>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4">
    <w:nsid w:val="58D647B4"/>
    <w:multiLevelType w:val="multilevel"/>
    <w:tmpl w:val="58D647B4"/>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5">
    <w:nsid w:val="59014BF0"/>
    <w:multiLevelType w:val="multilevel"/>
    <w:tmpl w:val="59014BF0"/>
    <w:lvl w:ilvl="0" w:tentative="0">
      <w:start w:val="1"/>
      <w:numFmt w:val="decimal"/>
      <w:lvlText w:val="%1."/>
      <w:lvlJc w:val="left"/>
      <w:pPr>
        <w:ind w:left="420" w:hanging="420"/>
      </w:pPr>
      <w:rPr>
        <w:rFonts w:hint="eastAsia"/>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6">
    <w:nsid w:val="5A11022F"/>
    <w:multiLevelType w:val="multilevel"/>
    <w:tmpl w:val="5A11022F"/>
    <w:lvl w:ilvl="0" w:tentative="0">
      <w:start w:val="1"/>
      <w:numFmt w:val="decimal"/>
      <w:lvlText w:val="（%1）"/>
      <w:lvlJc w:val="center"/>
      <w:pPr>
        <w:ind w:left="890" w:hanging="420"/>
      </w:pPr>
      <w:rPr>
        <w:rFonts w:hint="eastAsia" w:cs="Times New Roman"/>
      </w:rPr>
    </w:lvl>
    <w:lvl w:ilvl="1" w:tentative="0">
      <w:start w:val="1"/>
      <w:numFmt w:val="decimal"/>
      <w:lvlText w:val="（%2）"/>
      <w:lvlJc w:val="center"/>
      <w:pPr>
        <w:ind w:left="1310" w:hanging="420"/>
      </w:pPr>
      <w:rPr>
        <w:rFonts w:hint="eastAsia" w:cs="Times New Roman"/>
      </w:rPr>
    </w:lvl>
    <w:lvl w:ilvl="2" w:tentative="0">
      <w:start w:val="1"/>
      <w:numFmt w:val="lowerRoman"/>
      <w:lvlText w:val="%3."/>
      <w:lvlJc w:val="right"/>
      <w:pPr>
        <w:ind w:left="1730" w:hanging="420"/>
      </w:pPr>
      <w:rPr>
        <w:rFonts w:cs="Times New Roman"/>
      </w:rPr>
    </w:lvl>
    <w:lvl w:ilvl="3" w:tentative="0">
      <w:start w:val="1"/>
      <w:numFmt w:val="decimal"/>
      <w:lvlText w:val="%4."/>
      <w:lvlJc w:val="left"/>
      <w:pPr>
        <w:ind w:left="2150" w:hanging="420"/>
      </w:pPr>
      <w:rPr>
        <w:rFonts w:cs="Times New Roman"/>
      </w:rPr>
    </w:lvl>
    <w:lvl w:ilvl="4" w:tentative="0">
      <w:start w:val="1"/>
      <w:numFmt w:val="lowerLetter"/>
      <w:lvlText w:val="%5)"/>
      <w:lvlJc w:val="left"/>
      <w:pPr>
        <w:ind w:left="2570" w:hanging="420"/>
      </w:pPr>
      <w:rPr>
        <w:rFonts w:cs="Times New Roman"/>
      </w:rPr>
    </w:lvl>
    <w:lvl w:ilvl="5" w:tentative="0">
      <w:start w:val="1"/>
      <w:numFmt w:val="lowerRoman"/>
      <w:lvlText w:val="%6."/>
      <w:lvlJc w:val="right"/>
      <w:pPr>
        <w:ind w:left="2990" w:hanging="420"/>
      </w:pPr>
      <w:rPr>
        <w:rFonts w:cs="Times New Roman"/>
      </w:rPr>
    </w:lvl>
    <w:lvl w:ilvl="6" w:tentative="0">
      <w:start w:val="1"/>
      <w:numFmt w:val="decimal"/>
      <w:lvlText w:val="%7."/>
      <w:lvlJc w:val="left"/>
      <w:pPr>
        <w:ind w:left="3410" w:hanging="420"/>
      </w:pPr>
      <w:rPr>
        <w:rFonts w:cs="Times New Roman"/>
      </w:rPr>
    </w:lvl>
    <w:lvl w:ilvl="7" w:tentative="0">
      <w:start w:val="1"/>
      <w:numFmt w:val="lowerLetter"/>
      <w:lvlText w:val="%8)"/>
      <w:lvlJc w:val="left"/>
      <w:pPr>
        <w:ind w:left="3830" w:hanging="420"/>
      </w:pPr>
      <w:rPr>
        <w:rFonts w:cs="Times New Roman"/>
      </w:rPr>
    </w:lvl>
    <w:lvl w:ilvl="8" w:tentative="0">
      <w:start w:val="1"/>
      <w:numFmt w:val="lowerRoman"/>
      <w:lvlText w:val="%9."/>
      <w:lvlJc w:val="right"/>
      <w:pPr>
        <w:ind w:left="4250" w:hanging="420"/>
      </w:pPr>
      <w:rPr>
        <w:rFonts w:cs="Times New Roman"/>
      </w:rPr>
    </w:lvl>
  </w:abstractNum>
  <w:abstractNum w:abstractNumId="157">
    <w:nsid w:val="5A177A75"/>
    <w:multiLevelType w:val="multilevel"/>
    <w:tmpl w:val="5A177A75"/>
    <w:lvl w:ilvl="0" w:tentative="0">
      <w:start w:val="1"/>
      <w:numFmt w:val="decimal"/>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8">
    <w:nsid w:val="5B161548"/>
    <w:multiLevelType w:val="multilevel"/>
    <w:tmpl w:val="5B161548"/>
    <w:lvl w:ilvl="0" w:tentative="0">
      <w:start w:val="1"/>
      <w:numFmt w:val="decimal"/>
      <w:lvlText w:val="%1."/>
      <w:lvlJc w:val="left"/>
      <w:pPr>
        <w:ind w:left="420" w:hanging="420"/>
      </w:pPr>
      <w:rPr>
        <w:rFonts w:hint="eastAsia"/>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9">
    <w:nsid w:val="5BE22DC3"/>
    <w:multiLevelType w:val="multilevel"/>
    <w:tmpl w:val="5BE22DC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0">
    <w:nsid w:val="5BF93B44"/>
    <w:multiLevelType w:val="multilevel"/>
    <w:tmpl w:val="5BF93B4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1">
    <w:nsid w:val="5CED4504"/>
    <w:multiLevelType w:val="multilevel"/>
    <w:tmpl w:val="5CED4504"/>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2">
    <w:nsid w:val="5D26398D"/>
    <w:multiLevelType w:val="multilevel"/>
    <w:tmpl w:val="5D26398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3">
    <w:nsid w:val="5D990176"/>
    <w:multiLevelType w:val="multilevel"/>
    <w:tmpl w:val="5D99017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4">
    <w:nsid w:val="5E2A4D1E"/>
    <w:multiLevelType w:val="multilevel"/>
    <w:tmpl w:val="5E2A4D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5">
    <w:nsid w:val="5E3C1E8B"/>
    <w:multiLevelType w:val="singleLevel"/>
    <w:tmpl w:val="5E3C1E8B"/>
    <w:lvl w:ilvl="0" w:tentative="0">
      <w:start w:val="2"/>
      <w:numFmt w:val="decimal"/>
      <w:lvlText w:val="%1."/>
      <w:lvlJc w:val="left"/>
      <w:pPr>
        <w:tabs>
          <w:tab w:val="left" w:pos="312"/>
        </w:tabs>
      </w:pPr>
      <w:rPr>
        <w:rFonts w:cs="Times New Roman"/>
      </w:rPr>
    </w:lvl>
  </w:abstractNum>
  <w:abstractNum w:abstractNumId="166">
    <w:nsid w:val="5F7E2396"/>
    <w:multiLevelType w:val="multilevel"/>
    <w:tmpl w:val="5F7E2396"/>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7">
    <w:nsid w:val="6127691A"/>
    <w:multiLevelType w:val="multilevel"/>
    <w:tmpl w:val="6127691A"/>
    <w:lvl w:ilvl="0" w:tentative="0">
      <w:start w:val="1"/>
      <w:numFmt w:val="decimal"/>
      <w:lvlText w:val="%1、"/>
      <w:lvlJc w:val="left"/>
      <w:pPr>
        <w:ind w:left="420" w:hanging="420"/>
      </w:pPr>
      <w:rPr>
        <w:rFonts w:hint="eastAsia"/>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8">
    <w:nsid w:val="61D20E6A"/>
    <w:multiLevelType w:val="multilevel"/>
    <w:tmpl w:val="61D20E6A"/>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9">
    <w:nsid w:val="623016FF"/>
    <w:multiLevelType w:val="multilevel"/>
    <w:tmpl w:val="623016FF"/>
    <w:lvl w:ilvl="0" w:tentative="0">
      <w:start w:val="1"/>
      <w:numFmt w:val="decimal"/>
      <w:lvlText w:val="%1."/>
      <w:lvlJc w:val="left"/>
      <w:pPr>
        <w:tabs>
          <w:tab w:val="left" w:pos="360"/>
        </w:tabs>
        <w:ind w:left="360" w:hanging="360"/>
      </w:pPr>
      <w:rPr>
        <w:rFonts w:hint="eastAsia"/>
        <w:spacing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0">
    <w:nsid w:val="623F4C04"/>
    <w:multiLevelType w:val="multilevel"/>
    <w:tmpl w:val="623F4C0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1">
    <w:nsid w:val="631617B3"/>
    <w:multiLevelType w:val="multilevel"/>
    <w:tmpl w:val="631617B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2">
    <w:nsid w:val="634E65A7"/>
    <w:multiLevelType w:val="multilevel"/>
    <w:tmpl w:val="634E65A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3">
    <w:nsid w:val="63D4789D"/>
    <w:multiLevelType w:val="multilevel"/>
    <w:tmpl w:val="63D4789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4">
    <w:nsid w:val="653E360B"/>
    <w:multiLevelType w:val="multilevel"/>
    <w:tmpl w:val="653E360B"/>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5">
    <w:nsid w:val="65511E37"/>
    <w:multiLevelType w:val="multilevel"/>
    <w:tmpl w:val="65511E37"/>
    <w:lvl w:ilvl="0" w:tentative="0">
      <w:start w:val="1"/>
      <w:numFmt w:val="decimal"/>
      <w:lvlText w:val="%1."/>
      <w:lvlJc w:val="left"/>
      <w:pPr>
        <w:tabs>
          <w:tab w:val="left" w:pos="360"/>
        </w:tabs>
        <w:ind w:left="360" w:hanging="360"/>
      </w:pPr>
      <w:rPr>
        <w:rFonts w:hint="eastAsia"/>
        <w:spacing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6">
    <w:nsid w:val="65BF0C28"/>
    <w:multiLevelType w:val="multilevel"/>
    <w:tmpl w:val="65BF0C28"/>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7">
    <w:nsid w:val="65C57FEC"/>
    <w:multiLevelType w:val="multilevel"/>
    <w:tmpl w:val="65C57FEC"/>
    <w:lvl w:ilvl="0" w:tentative="0">
      <w:start w:val="1"/>
      <w:numFmt w:val="decimal"/>
      <w:lvlText w:val="%1."/>
      <w:lvlJc w:val="left"/>
      <w:pPr>
        <w:tabs>
          <w:tab w:val="left" w:pos="360"/>
        </w:tabs>
        <w:ind w:left="360" w:hanging="360"/>
      </w:pPr>
      <w:rPr>
        <w:rFonts w:hint="eastAsia"/>
        <w:spacing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8">
    <w:nsid w:val="66977DC9"/>
    <w:multiLevelType w:val="multilevel"/>
    <w:tmpl w:val="66977D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9">
    <w:nsid w:val="676E4561"/>
    <w:multiLevelType w:val="multilevel"/>
    <w:tmpl w:val="676E4561"/>
    <w:lvl w:ilvl="0" w:tentative="0">
      <w:start w:val="1"/>
      <w:numFmt w:val="decimal"/>
      <w:lvlText w:val="（%1）"/>
      <w:lvlJc w:val="center"/>
      <w:pPr>
        <w:ind w:left="703" w:hanging="420"/>
      </w:pPr>
      <w:rPr>
        <w:rFonts w:hint="eastAsia" w:cs="Times New Roman"/>
      </w:rPr>
    </w:lvl>
    <w:lvl w:ilvl="1" w:tentative="0">
      <w:start w:val="1"/>
      <w:numFmt w:val="lowerLetter"/>
      <w:lvlText w:val="%2)"/>
      <w:lvlJc w:val="left"/>
      <w:pPr>
        <w:ind w:left="1123" w:hanging="420"/>
      </w:pPr>
      <w:rPr>
        <w:rFonts w:cs="Times New Roman"/>
      </w:rPr>
    </w:lvl>
    <w:lvl w:ilvl="2" w:tentative="0">
      <w:start w:val="1"/>
      <w:numFmt w:val="lowerRoman"/>
      <w:lvlText w:val="%3."/>
      <w:lvlJc w:val="right"/>
      <w:pPr>
        <w:ind w:left="1543" w:hanging="420"/>
      </w:pPr>
      <w:rPr>
        <w:rFonts w:cs="Times New Roman"/>
      </w:rPr>
    </w:lvl>
    <w:lvl w:ilvl="3" w:tentative="0">
      <w:start w:val="1"/>
      <w:numFmt w:val="decimal"/>
      <w:lvlText w:val="%4."/>
      <w:lvlJc w:val="left"/>
      <w:pPr>
        <w:ind w:left="1963" w:hanging="420"/>
      </w:pPr>
      <w:rPr>
        <w:rFonts w:cs="Times New Roman"/>
      </w:rPr>
    </w:lvl>
    <w:lvl w:ilvl="4" w:tentative="0">
      <w:start w:val="1"/>
      <w:numFmt w:val="lowerLetter"/>
      <w:lvlText w:val="%5)"/>
      <w:lvlJc w:val="left"/>
      <w:pPr>
        <w:ind w:left="2383" w:hanging="420"/>
      </w:pPr>
      <w:rPr>
        <w:rFonts w:cs="Times New Roman"/>
      </w:rPr>
    </w:lvl>
    <w:lvl w:ilvl="5" w:tentative="0">
      <w:start w:val="1"/>
      <w:numFmt w:val="lowerRoman"/>
      <w:lvlText w:val="%6."/>
      <w:lvlJc w:val="right"/>
      <w:pPr>
        <w:ind w:left="2803" w:hanging="420"/>
      </w:pPr>
      <w:rPr>
        <w:rFonts w:cs="Times New Roman"/>
      </w:rPr>
    </w:lvl>
    <w:lvl w:ilvl="6" w:tentative="0">
      <w:start w:val="1"/>
      <w:numFmt w:val="decimal"/>
      <w:lvlText w:val="%7."/>
      <w:lvlJc w:val="left"/>
      <w:pPr>
        <w:ind w:left="3223" w:hanging="420"/>
      </w:pPr>
      <w:rPr>
        <w:rFonts w:cs="Times New Roman"/>
      </w:rPr>
    </w:lvl>
    <w:lvl w:ilvl="7" w:tentative="0">
      <w:start w:val="1"/>
      <w:numFmt w:val="lowerLetter"/>
      <w:lvlText w:val="%8)"/>
      <w:lvlJc w:val="left"/>
      <w:pPr>
        <w:ind w:left="3643" w:hanging="420"/>
      </w:pPr>
      <w:rPr>
        <w:rFonts w:cs="Times New Roman"/>
      </w:rPr>
    </w:lvl>
    <w:lvl w:ilvl="8" w:tentative="0">
      <w:start w:val="1"/>
      <w:numFmt w:val="lowerRoman"/>
      <w:lvlText w:val="%9."/>
      <w:lvlJc w:val="right"/>
      <w:pPr>
        <w:ind w:left="4063" w:hanging="420"/>
      </w:pPr>
      <w:rPr>
        <w:rFonts w:cs="Times New Roman"/>
      </w:rPr>
    </w:lvl>
  </w:abstractNum>
  <w:abstractNum w:abstractNumId="180">
    <w:nsid w:val="677B1447"/>
    <w:multiLevelType w:val="multilevel"/>
    <w:tmpl w:val="677B1447"/>
    <w:lvl w:ilvl="0" w:tentative="0">
      <w:start w:val="1"/>
      <w:numFmt w:val="decimal"/>
      <w:lvlText w:val="（%1）"/>
      <w:lvlJc w:val="left"/>
      <w:pPr>
        <w:tabs>
          <w:tab w:val="left" w:pos="1287"/>
        </w:tabs>
        <w:ind w:left="964" w:hanging="397"/>
      </w:pPr>
      <w:rPr>
        <w:rFonts w:hint="default" w:ascii="Arial" w:hAnsi="Arial"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1">
    <w:nsid w:val="67A74F63"/>
    <w:multiLevelType w:val="multilevel"/>
    <w:tmpl w:val="67A74F6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2">
    <w:nsid w:val="67CE2010"/>
    <w:multiLevelType w:val="multilevel"/>
    <w:tmpl w:val="67CE2010"/>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3">
    <w:nsid w:val="683D3A5F"/>
    <w:multiLevelType w:val="multilevel"/>
    <w:tmpl w:val="683D3A5F"/>
    <w:lvl w:ilvl="0" w:tentative="0">
      <w:start w:val="1"/>
      <w:numFmt w:val="decimal"/>
      <w:lvlText w:val="（%1）"/>
      <w:lvlJc w:val="center"/>
      <w:pPr>
        <w:ind w:left="890" w:hanging="420"/>
      </w:pPr>
      <w:rPr>
        <w:rFonts w:hint="eastAsia" w:cs="Times New Roman"/>
      </w:rPr>
    </w:lvl>
    <w:lvl w:ilvl="1" w:tentative="0">
      <w:start w:val="1"/>
      <w:numFmt w:val="decimal"/>
      <w:lvlText w:val="（%2）"/>
      <w:lvlJc w:val="center"/>
      <w:pPr>
        <w:ind w:left="1310" w:hanging="420"/>
      </w:pPr>
      <w:rPr>
        <w:rFonts w:hint="eastAsia" w:cs="Times New Roman"/>
      </w:rPr>
    </w:lvl>
    <w:lvl w:ilvl="2" w:tentative="0">
      <w:start w:val="1"/>
      <w:numFmt w:val="lowerRoman"/>
      <w:lvlText w:val="%3."/>
      <w:lvlJc w:val="right"/>
      <w:pPr>
        <w:ind w:left="1730" w:hanging="420"/>
      </w:pPr>
      <w:rPr>
        <w:rFonts w:cs="Times New Roman"/>
      </w:rPr>
    </w:lvl>
    <w:lvl w:ilvl="3" w:tentative="0">
      <w:start w:val="1"/>
      <w:numFmt w:val="decimal"/>
      <w:lvlText w:val="%4."/>
      <w:lvlJc w:val="left"/>
      <w:pPr>
        <w:ind w:left="2150" w:hanging="420"/>
      </w:pPr>
      <w:rPr>
        <w:rFonts w:cs="Times New Roman"/>
      </w:rPr>
    </w:lvl>
    <w:lvl w:ilvl="4" w:tentative="0">
      <w:start w:val="1"/>
      <w:numFmt w:val="lowerLetter"/>
      <w:lvlText w:val="%5)"/>
      <w:lvlJc w:val="left"/>
      <w:pPr>
        <w:ind w:left="2570" w:hanging="420"/>
      </w:pPr>
      <w:rPr>
        <w:rFonts w:cs="Times New Roman"/>
      </w:rPr>
    </w:lvl>
    <w:lvl w:ilvl="5" w:tentative="0">
      <w:start w:val="1"/>
      <w:numFmt w:val="lowerRoman"/>
      <w:lvlText w:val="%6."/>
      <w:lvlJc w:val="right"/>
      <w:pPr>
        <w:ind w:left="2990" w:hanging="420"/>
      </w:pPr>
      <w:rPr>
        <w:rFonts w:cs="Times New Roman"/>
      </w:rPr>
    </w:lvl>
    <w:lvl w:ilvl="6" w:tentative="0">
      <w:start w:val="1"/>
      <w:numFmt w:val="decimal"/>
      <w:lvlText w:val="%7."/>
      <w:lvlJc w:val="left"/>
      <w:pPr>
        <w:ind w:left="3410" w:hanging="420"/>
      </w:pPr>
      <w:rPr>
        <w:rFonts w:cs="Times New Roman"/>
      </w:rPr>
    </w:lvl>
    <w:lvl w:ilvl="7" w:tentative="0">
      <w:start w:val="1"/>
      <w:numFmt w:val="lowerLetter"/>
      <w:lvlText w:val="%8)"/>
      <w:lvlJc w:val="left"/>
      <w:pPr>
        <w:ind w:left="3830" w:hanging="420"/>
      </w:pPr>
      <w:rPr>
        <w:rFonts w:cs="Times New Roman"/>
      </w:rPr>
    </w:lvl>
    <w:lvl w:ilvl="8" w:tentative="0">
      <w:start w:val="1"/>
      <w:numFmt w:val="lowerRoman"/>
      <w:lvlText w:val="%9."/>
      <w:lvlJc w:val="right"/>
      <w:pPr>
        <w:ind w:left="4250" w:hanging="420"/>
      </w:pPr>
      <w:rPr>
        <w:rFonts w:cs="Times New Roman"/>
      </w:rPr>
    </w:lvl>
  </w:abstractNum>
  <w:abstractNum w:abstractNumId="184">
    <w:nsid w:val="698865F9"/>
    <w:multiLevelType w:val="multilevel"/>
    <w:tmpl w:val="698865F9"/>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5">
    <w:nsid w:val="69890D7E"/>
    <w:multiLevelType w:val="multilevel"/>
    <w:tmpl w:val="69890D7E"/>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6">
    <w:nsid w:val="698A1DB8"/>
    <w:multiLevelType w:val="multilevel"/>
    <w:tmpl w:val="698A1DB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7">
    <w:nsid w:val="6A116C7A"/>
    <w:multiLevelType w:val="multilevel"/>
    <w:tmpl w:val="6A116C7A"/>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8">
    <w:nsid w:val="6ADD680A"/>
    <w:multiLevelType w:val="multilevel"/>
    <w:tmpl w:val="6ADD680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9">
    <w:nsid w:val="6B5037BD"/>
    <w:multiLevelType w:val="multilevel"/>
    <w:tmpl w:val="6B5037B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0">
    <w:nsid w:val="6BF85A59"/>
    <w:multiLevelType w:val="multilevel"/>
    <w:tmpl w:val="6BF85A5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1">
    <w:nsid w:val="6C34574D"/>
    <w:multiLevelType w:val="multilevel"/>
    <w:tmpl w:val="6C34574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2">
    <w:nsid w:val="6C5B342F"/>
    <w:multiLevelType w:val="multilevel"/>
    <w:tmpl w:val="6C5B342F"/>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3">
    <w:nsid w:val="6C90261D"/>
    <w:multiLevelType w:val="multilevel"/>
    <w:tmpl w:val="6C90261D"/>
    <w:lvl w:ilvl="0" w:tentative="0">
      <w:start w:val="1"/>
      <w:numFmt w:val="decimal"/>
      <w:lvlText w:val="%1."/>
      <w:lvlJc w:val="left"/>
      <w:pPr>
        <w:ind w:left="420" w:hanging="420"/>
      </w:pPr>
      <w:rPr>
        <w:rFonts w:hint="eastAsia"/>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4">
    <w:nsid w:val="6CE31B6E"/>
    <w:multiLevelType w:val="multilevel"/>
    <w:tmpl w:val="6CE31B6E"/>
    <w:lvl w:ilvl="0" w:tentative="0">
      <w:start w:val="1"/>
      <w:numFmt w:val="decimal"/>
      <w:lvlText w:val="（%1）"/>
      <w:lvlJc w:val="center"/>
      <w:pPr>
        <w:ind w:left="420" w:hanging="420"/>
      </w:pPr>
      <w:rPr>
        <w:rFonts w:hint="eastAsia"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5">
    <w:nsid w:val="6D4E08A5"/>
    <w:multiLevelType w:val="multilevel"/>
    <w:tmpl w:val="6D4E08A5"/>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6">
    <w:nsid w:val="6E30055E"/>
    <w:multiLevelType w:val="multilevel"/>
    <w:tmpl w:val="6E30055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7">
    <w:nsid w:val="6F2C3C89"/>
    <w:multiLevelType w:val="multilevel"/>
    <w:tmpl w:val="6F2C3C89"/>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8">
    <w:nsid w:val="6FDB61EA"/>
    <w:multiLevelType w:val="multilevel"/>
    <w:tmpl w:val="6FDB61E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9">
    <w:nsid w:val="705C5815"/>
    <w:multiLevelType w:val="multilevel"/>
    <w:tmpl w:val="705C5815"/>
    <w:lvl w:ilvl="0" w:tentative="0">
      <w:start w:val="1"/>
      <w:numFmt w:val="decimal"/>
      <w:lvlText w:val="（%1）"/>
      <w:lvlJc w:val="center"/>
      <w:pPr>
        <w:ind w:left="420" w:hanging="420"/>
      </w:pPr>
      <w:rPr>
        <w:rFonts w:hint="eastAsia" w:cs="Times New Roman"/>
        <w:b w:val="0"/>
      </w:rPr>
    </w:lvl>
    <w:lvl w:ilvl="1" w:tentative="0">
      <w:start w:val="1"/>
      <w:numFmt w:val="lowerLetter"/>
      <w:lvlText w:val="%2)"/>
      <w:lvlJc w:val="left"/>
      <w:pPr>
        <w:ind w:left="1310" w:hanging="420"/>
      </w:pPr>
      <w:rPr>
        <w:rFonts w:cs="Times New Roman"/>
      </w:rPr>
    </w:lvl>
    <w:lvl w:ilvl="2" w:tentative="0">
      <w:start w:val="1"/>
      <w:numFmt w:val="lowerRoman"/>
      <w:lvlText w:val="%3."/>
      <w:lvlJc w:val="right"/>
      <w:pPr>
        <w:ind w:left="1730" w:hanging="420"/>
      </w:pPr>
      <w:rPr>
        <w:rFonts w:cs="Times New Roman"/>
      </w:rPr>
    </w:lvl>
    <w:lvl w:ilvl="3" w:tentative="0">
      <w:start w:val="1"/>
      <w:numFmt w:val="decimal"/>
      <w:lvlText w:val="%4."/>
      <w:lvlJc w:val="left"/>
      <w:pPr>
        <w:ind w:left="2150" w:hanging="420"/>
      </w:pPr>
      <w:rPr>
        <w:rFonts w:cs="Times New Roman"/>
      </w:rPr>
    </w:lvl>
    <w:lvl w:ilvl="4" w:tentative="0">
      <w:start w:val="1"/>
      <w:numFmt w:val="lowerLetter"/>
      <w:lvlText w:val="%5)"/>
      <w:lvlJc w:val="left"/>
      <w:pPr>
        <w:ind w:left="2570" w:hanging="420"/>
      </w:pPr>
      <w:rPr>
        <w:rFonts w:cs="Times New Roman"/>
      </w:rPr>
    </w:lvl>
    <w:lvl w:ilvl="5" w:tentative="0">
      <w:start w:val="1"/>
      <w:numFmt w:val="lowerRoman"/>
      <w:lvlText w:val="%6."/>
      <w:lvlJc w:val="right"/>
      <w:pPr>
        <w:ind w:left="2990" w:hanging="420"/>
      </w:pPr>
      <w:rPr>
        <w:rFonts w:cs="Times New Roman"/>
      </w:rPr>
    </w:lvl>
    <w:lvl w:ilvl="6" w:tentative="0">
      <w:start w:val="1"/>
      <w:numFmt w:val="decimal"/>
      <w:lvlText w:val="%7."/>
      <w:lvlJc w:val="left"/>
      <w:pPr>
        <w:ind w:left="3410" w:hanging="420"/>
      </w:pPr>
      <w:rPr>
        <w:rFonts w:cs="Times New Roman"/>
      </w:rPr>
    </w:lvl>
    <w:lvl w:ilvl="7" w:tentative="0">
      <w:start w:val="1"/>
      <w:numFmt w:val="lowerLetter"/>
      <w:lvlText w:val="%8)"/>
      <w:lvlJc w:val="left"/>
      <w:pPr>
        <w:ind w:left="3830" w:hanging="420"/>
      </w:pPr>
      <w:rPr>
        <w:rFonts w:cs="Times New Roman"/>
      </w:rPr>
    </w:lvl>
    <w:lvl w:ilvl="8" w:tentative="0">
      <w:start w:val="1"/>
      <w:numFmt w:val="lowerRoman"/>
      <w:lvlText w:val="%9."/>
      <w:lvlJc w:val="right"/>
      <w:pPr>
        <w:ind w:left="4250" w:hanging="420"/>
      </w:pPr>
      <w:rPr>
        <w:rFonts w:cs="Times New Roman"/>
      </w:rPr>
    </w:lvl>
  </w:abstractNum>
  <w:abstractNum w:abstractNumId="200">
    <w:nsid w:val="70774F83"/>
    <w:multiLevelType w:val="multilevel"/>
    <w:tmpl w:val="70774F83"/>
    <w:lvl w:ilvl="0" w:tentative="0">
      <w:start w:val="1"/>
      <w:numFmt w:val="decimal"/>
      <w:lvlText w:val="%1、"/>
      <w:lvlJc w:val="left"/>
      <w:pPr>
        <w:ind w:left="420" w:hanging="420"/>
      </w:pPr>
      <w:rPr>
        <w:rFonts w:hint="eastAsia"/>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1">
    <w:nsid w:val="716453D2"/>
    <w:multiLevelType w:val="multilevel"/>
    <w:tmpl w:val="716453D2"/>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2">
    <w:nsid w:val="73B52FDB"/>
    <w:multiLevelType w:val="multilevel"/>
    <w:tmpl w:val="73B52FDB"/>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3">
    <w:nsid w:val="74AB1EF2"/>
    <w:multiLevelType w:val="multilevel"/>
    <w:tmpl w:val="74AB1EF2"/>
    <w:lvl w:ilvl="0" w:tentative="0">
      <w:start w:val="1"/>
      <w:numFmt w:val="decimal"/>
      <w:lvlText w:val="%1、"/>
      <w:lvlJc w:val="left"/>
      <w:pPr>
        <w:ind w:left="420" w:hanging="420"/>
      </w:pPr>
      <w:rPr>
        <w:rFonts w:hint="eastAsia"/>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4">
    <w:nsid w:val="7530739D"/>
    <w:multiLevelType w:val="multilevel"/>
    <w:tmpl w:val="7530739D"/>
    <w:lvl w:ilvl="0" w:tentative="0">
      <w:start w:val="1"/>
      <w:numFmt w:val="decimal"/>
      <w:lvlText w:val="（%1）"/>
      <w:lvlJc w:val="center"/>
      <w:pPr>
        <w:ind w:left="890" w:hanging="420"/>
      </w:pPr>
      <w:rPr>
        <w:rFonts w:hint="eastAsia" w:cs="Times New Roman"/>
      </w:rPr>
    </w:lvl>
    <w:lvl w:ilvl="1" w:tentative="0">
      <w:start w:val="1"/>
      <w:numFmt w:val="decimal"/>
      <w:lvlText w:val="（%2）"/>
      <w:lvlJc w:val="center"/>
      <w:pPr>
        <w:ind w:left="1310" w:hanging="420"/>
      </w:pPr>
      <w:rPr>
        <w:rFonts w:hint="eastAsia" w:cs="Times New Roman"/>
      </w:rPr>
    </w:lvl>
    <w:lvl w:ilvl="2" w:tentative="0">
      <w:start w:val="1"/>
      <w:numFmt w:val="lowerRoman"/>
      <w:lvlText w:val="%3."/>
      <w:lvlJc w:val="right"/>
      <w:pPr>
        <w:ind w:left="1730" w:hanging="420"/>
      </w:pPr>
      <w:rPr>
        <w:rFonts w:cs="Times New Roman"/>
      </w:rPr>
    </w:lvl>
    <w:lvl w:ilvl="3" w:tentative="0">
      <w:start w:val="1"/>
      <w:numFmt w:val="decimal"/>
      <w:lvlText w:val="%4."/>
      <w:lvlJc w:val="left"/>
      <w:pPr>
        <w:ind w:left="2150" w:hanging="420"/>
      </w:pPr>
      <w:rPr>
        <w:rFonts w:cs="Times New Roman"/>
      </w:rPr>
    </w:lvl>
    <w:lvl w:ilvl="4" w:tentative="0">
      <w:start w:val="1"/>
      <w:numFmt w:val="lowerLetter"/>
      <w:lvlText w:val="%5)"/>
      <w:lvlJc w:val="left"/>
      <w:pPr>
        <w:ind w:left="2570" w:hanging="420"/>
      </w:pPr>
      <w:rPr>
        <w:rFonts w:cs="Times New Roman"/>
      </w:rPr>
    </w:lvl>
    <w:lvl w:ilvl="5" w:tentative="0">
      <w:start w:val="1"/>
      <w:numFmt w:val="lowerRoman"/>
      <w:lvlText w:val="%6."/>
      <w:lvlJc w:val="right"/>
      <w:pPr>
        <w:ind w:left="2990" w:hanging="420"/>
      </w:pPr>
      <w:rPr>
        <w:rFonts w:cs="Times New Roman"/>
      </w:rPr>
    </w:lvl>
    <w:lvl w:ilvl="6" w:tentative="0">
      <w:start w:val="1"/>
      <w:numFmt w:val="decimal"/>
      <w:lvlText w:val="%7."/>
      <w:lvlJc w:val="left"/>
      <w:pPr>
        <w:ind w:left="3410" w:hanging="420"/>
      </w:pPr>
      <w:rPr>
        <w:rFonts w:cs="Times New Roman"/>
      </w:rPr>
    </w:lvl>
    <w:lvl w:ilvl="7" w:tentative="0">
      <w:start w:val="1"/>
      <w:numFmt w:val="lowerLetter"/>
      <w:lvlText w:val="%8)"/>
      <w:lvlJc w:val="left"/>
      <w:pPr>
        <w:ind w:left="3830" w:hanging="420"/>
      </w:pPr>
      <w:rPr>
        <w:rFonts w:cs="Times New Roman"/>
      </w:rPr>
    </w:lvl>
    <w:lvl w:ilvl="8" w:tentative="0">
      <w:start w:val="1"/>
      <w:numFmt w:val="lowerRoman"/>
      <w:lvlText w:val="%9."/>
      <w:lvlJc w:val="right"/>
      <w:pPr>
        <w:ind w:left="4250" w:hanging="420"/>
      </w:pPr>
      <w:rPr>
        <w:rFonts w:cs="Times New Roman"/>
      </w:rPr>
    </w:lvl>
  </w:abstractNum>
  <w:abstractNum w:abstractNumId="205">
    <w:nsid w:val="758718E9"/>
    <w:multiLevelType w:val="multilevel"/>
    <w:tmpl w:val="758718E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6">
    <w:nsid w:val="75B3360F"/>
    <w:multiLevelType w:val="multilevel"/>
    <w:tmpl w:val="75B3360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7">
    <w:nsid w:val="76560FD6"/>
    <w:multiLevelType w:val="multilevel"/>
    <w:tmpl w:val="76560F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8">
    <w:nsid w:val="76DF26FB"/>
    <w:multiLevelType w:val="multilevel"/>
    <w:tmpl w:val="76DF26FB"/>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9">
    <w:nsid w:val="78290A67"/>
    <w:multiLevelType w:val="multilevel"/>
    <w:tmpl w:val="78290A6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0">
    <w:nsid w:val="79336239"/>
    <w:multiLevelType w:val="multilevel"/>
    <w:tmpl w:val="79336239"/>
    <w:lvl w:ilvl="0" w:tentative="0">
      <w:start w:val="1"/>
      <w:numFmt w:val="decimal"/>
      <w:lvlText w:val="%1."/>
      <w:lvlJc w:val="left"/>
      <w:pPr>
        <w:tabs>
          <w:tab w:val="left" w:pos="360"/>
        </w:tabs>
        <w:ind w:left="360" w:hanging="360"/>
      </w:pPr>
      <w:rPr>
        <w:rFonts w:hint="eastAsia"/>
        <w:spacing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1">
    <w:nsid w:val="79CE26BF"/>
    <w:multiLevelType w:val="multilevel"/>
    <w:tmpl w:val="79CE26B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2">
    <w:nsid w:val="7A502711"/>
    <w:multiLevelType w:val="multilevel"/>
    <w:tmpl w:val="7A5027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3">
    <w:nsid w:val="7ADB6ACF"/>
    <w:multiLevelType w:val="multilevel"/>
    <w:tmpl w:val="7ADB6AC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4">
    <w:nsid w:val="7CA21E6F"/>
    <w:multiLevelType w:val="multilevel"/>
    <w:tmpl w:val="7CA21E6F"/>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5">
    <w:nsid w:val="7CEF39C8"/>
    <w:multiLevelType w:val="multilevel"/>
    <w:tmpl w:val="7CEF39C8"/>
    <w:lvl w:ilvl="0" w:tentative="0">
      <w:start w:val="1"/>
      <w:numFmt w:val="decimal"/>
      <w:lvlText w:val="%1."/>
      <w:lvlJc w:val="left"/>
      <w:pPr>
        <w:tabs>
          <w:tab w:val="left" w:pos="567"/>
        </w:tabs>
        <w:ind w:left="567" w:hanging="567"/>
      </w:pPr>
      <w:rPr>
        <w:rFonts w:hint="default" w:ascii="Arial" w:hAnsi="Arial" w:eastAsia="宋体" w:cs="Times New Roman"/>
        <w:b/>
        <w:i w:val="0"/>
        <w:sz w:val="21"/>
      </w:rPr>
    </w:lvl>
    <w:lvl w:ilvl="1" w:tentative="0">
      <w:start w:val="1"/>
      <w:numFmt w:val="decimal"/>
      <w:lvlText w:val="%1.%2"/>
      <w:lvlJc w:val="left"/>
      <w:pPr>
        <w:tabs>
          <w:tab w:val="left" w:pos="567"/>
        </w:tabs>
        <w:ind w:left="567" w:hanging="567"/>
      </w:pPr>
      <w:rPr>
        <w:rFonts w:hint="default" w:ascii="Arial" w:hAnsi="Arial" w:eastAsia="宋体" w:cs="Times New Roman"/>
        <w:b w:val="0"/>
        <w:i w:val="0"/>
        <w:sz w:val="21"/>
      </w:rPr>
    </w:lvl>
    <w:lvl w:ilvl="2" w:tentative="0">
      <w:start w:val="1"/>
      <w:numFmt w:val="decimal"/>
      <w:lvlText w:val="%1.%2.%3"/>
      <w:lvlJc w:val="left"/>
      <w:pPr>
        <w:tabs>
          <w:tab w:val="left" w:pos="720"/>
        </w:tabs>
        <w:ind w:left="420" w:hanging="420"/>
      </w:pPr>
      <w:rPr>
        <w:rFonts w:cs="Times New Roman"/>
      </w:rPr>
    </w:lvl>
    <w:lvl w:ilvl="3" w:tentative="0">
      <w:start w:val="1"/>
      <w:numFmt w:val="decimal"/>
      <w:lvlText w:val="%1.%2.%3.%4"/>
      <w:lvlJc w:val="left"/>
      <w:pPr>
        <w:tabs>
          <w:tab w:val="left" w:pos="420"/>
        </w:tabs>
        <w:ind w:left="420" w:hanging="420"/>
      </w:pPr>
      <w:rPr>
        <w:rFonts w:cs="Times New Roman"/>
      </w:rPr>
    </w:lvl>
    <w:lvl w:ilvl="4" w:tentative="0">
      <w:start w:val="1"/>
      <w:numFmt w:val="decimal"/>
      <w:lvlText w:val="%1.%2.%3.%4.%5"/>
      <w:lvlJc w:val="left"/>
      <w:pPr>
        <w:tabs>
          <w:tab w:val="left" w:pos="420"/>
        </w:tabs>
        <w:ind w:left="420" w:hanging="420"/>
      </w:pPr>
      <w:rPr>
        <w:rFonts w:cs="Times New Roman"/>
      </w:rPr>
    </w:lvl>
    <w:lvl w:ilvl="5" w:tentative="0">
      <w:start w:val="1"/>
      <w:numFmt w:val="decimal"/>
      <w:lvlText w:val="%1.%2.%3.%4.%5.%6"/>
      <w:lvlJc w:val="left"/>
      <w:pPr>
        <w:tabs>
          <w:tab w:val="left" w:pos="420"/>
        </w:tabs>
        <w:ind w:left="420" w:hanging="420"/>
      </w:pPr>
      <w:rPr>
        <w:rFonts w:cs="Times New Roman"/>
      </w:rPr>
    </w:lvl>
    <w:lvl w:ilvl="6" w:tentative="0">
      <w:start w:val="1"/>
      <w:numFmt w:val="decimal"/>
      <w:lvlText w:val="%1.%2.%3.%4.%5.%6.%7"/>
      <w:lvlJc w:val="left"/>
      <w:pPr>
        <w:tabs>
          <w:tab w:val="left" w:pos="420"/>
        </w:tabs>
        <w:ind w:left="420" w:hanging="420"/>
      </w:pPr>
      <w:rPr>
        <w:rFonts w:cs="Times New Roman"/>
      </w:rPr>
    </w:lvl>
    <w:lvl w:ilvl="7" w:tentative="0">
      <w:start w:val="1"/>
      <w:numFmt w:val="decimal"/>
      <w:lvlText w:val="%1.%2.%3.%4.%5.%6.%7.%8"/>
      <w:lvlJc w:val="left"/>
      <w:pPr>
        <w:tabs>
          <w:tab w:val="left" w:pos="420"/>
        </w:tabs>
        <w:ind w:left="420" w:hanging="420"/>
      </w:pPr>
      <w:rPr>
        <w:rFonts w:cs="Times New Roman"/>
      </w:rPr>
    </w:lvl>
    <w:lvl w:ilvl="8" w:tentative="0">
      <w:start w:val="1"/>
      <w:numFmt w:val="decimal"/>
      <w:lvlText w:val="%1.%2.%3.%4.%5.%6.%7.%8.%9"/>
      <w:lvlJc w:val="left"/>
      <w:pPr>
        <w:tabs>
          <w:tab w:val="left" w:pos="420"/>
        </w:tabs>
        <w:ind w:left="420" w:hanging="420"/>
      </w:pPr>
      <w:rPr>
        <w:rFonts w:cs="Times New Roman"/>
      </w:rPr>
    </w:lvl>
  </w:abstractNum>
  <w:abstractNum w:abstractNumId="216">
    <w:nsid w:val="7E332D9E"/>
    <w:multiLevelType w:val="multilevel"/>
    <w:tmpl w:val="7E332D9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7">
    <w:nsid w:val="7E943C27"/>
    <w:multiLevelType w:val="multilevel"/>
    <w:tmpl w:val="7E943C2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8">
    <w:nsid w:val="7FB33794"/>
    <w:multiLevelType w:val="multilevel"/>
    <w:tmpl w:val="7FB3379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22"/>
  </w:num>
  <w:num w:numId="4">
    <w:abstractNumId w:val="148"/>
  </w:num>
  <w:num w:numId="5">
    <w:abstractNumId w:val="149"/>
  </w:num>
  <w:num w:numId="6">
    <w:abstractNumId w:val="152"/>
  </w:num>
  <w:num w:numId="7">
    <w:abstractNumId w:val="157"/>
  </w:num>
  <w:num w:numId="8">
    <w:abstractNumId w:val="40"/>
  </w:num>
  <w:num w:numId="9">
    <w:abstractNumId w:val="201"/>
  </w:num>
  <w:num w:numId="10">
    <w:abstractNumId w:val="176"/>
  </w:num>
  <w:num w:numId="11">
    <w:abstractNumId w:val="71"/>
  </w:num>
  <w:num w:numId="12">
    <w:abstractNumId w:val="124"/>
  </w:num>
  <w:num w:numId="13">
    <w:abstractNumId w:val="53"/>
  </w:num>
  <w:num w:numId="14">
    <w:abstractNumId w:val="206"/>
  </w:num>
  <w:num w:numId="15">
    <w:abstractNumId w:val="47"/>
  </w:num>
  <w:num w:numId="16">
    <w:abstractNumId w:val="9"/>
  </w:num>
  <w:num w:numId="17">
    <w:abstractNumId w:val="188"/>
  </w:num>
  <w:num w:numId="18">
    <w:abstractNumId w:val="49"/>
  </w:num>
  <w:num w:numId="19">
    <w:abstractNumId w:val="48"/>
  </w:num>
  <w:num w:numId="20">
    <w:abstractNumId w:val="141"/>
  </w:num>
  <w:num w:numId="21">
    <w:abstractNumId w:val="44"/>
  </w:num>
  <w:num w:numId="22">
    <w:abstractNumId w:val="24"/>
  </w:num>
  <w:num w:numId="23">
    <w:abstractNumId w:val="66"/>
  </w:num>
  <w:num w:numId="24">
    <w:abstractNumId w:val="182"/>
  </w:num>
  <w:num w:numId="25">
    <w:abstractNumId w:val="134"/>
  </w:num>
  <w:num w:numId="26">
    <w:abstractNumId w:val="158"/>
  </w:num>
  <w:num w:numId="27">
    <w:abstractNumId w:val="208"/>
  </w:num>
  <w:num w:numId="28">
    <w:abstractNumId w:val="214"/>
  </w:num>
  <w:num w:numId="29">
    <w:abstractNumId w:val="168"/>
  </w:num>
  <w:num w:numId="30">
    <w:abstractNumId w:val="209"/>
  </w:num>
  <w:num w:numId="31">
    <w:abstractNumId w:val="110"/>
  </w:num>
  <w:num w:numId="32">
    <w:abstractNumId w:val="154"/>
  </w:num>
  <w:num w:numId="33">
    <w:abstractNumId w:val="15"/>
  </w:num>
  <w:num w:numId="34">
    <w:abstractNumId w:val="159"/>
  </w:num>
  <w:num w:numId="35">
    <w:abstractNumId w:val="145"/>
  </w:num>
  <w:num w:numId="36">
    <w:abstractNumId w:val="8"/>
  </w:num>
  <w:num w:numId="37">
    <w:abstractNumId w:val="189"/>
  </w:num>
  <w:num w:numId="38">
    <w:abstractNumId w:val="132"/>
  </w:num>
  <w:num w:numId="39">
    <w:abstractNumId w:val="27"/>
  </w:num>
  <w:num w:numId="40">
    <w:abstractNumId w:val="122"/>
  </w:num>
  <w:num w:numId="41">
    <w:abstractNumId w:val="91"/>
  </w:num>
  <w:num w:numId="42">
    <w:abstractNumId w:val="190"/>
  </w:num>
  <w:num w:numId="43">
    <w:abstractNumId w:val="70"/>
  </w:num>
  <w:num w:numId="44">
    <w:abstractNumId w:val="105"/>
  </w:num>
  <w:num w:numId="45">
    <w:abstractNumId w:val="96"/>
  </w:num>
  <w:num w:numId="46">
    <w:abstractNumId w:val="36"/>
  </w:num>
  <w:num w:numId="47">
    <w:abstractNumId w:val="196"/>
  </w:num>
  <w:num w:numId="48">
    <w:abstractNumId w:val="5"/>
  </w:num>
  <w:num w:numId="49">
    <w:abstractNumId w:val="94"/>
  </w:num>
  <w:num w:numId="50">
    <w:abstractNumId w:val="195"/>
  </w:num>
  <w:num w:numId="51">
    <w:abstractNumId w:val="170"/>
  </w:num>
  <w:num w:numId="52">
    <w:abstractNumId w:val="123"/>
  </w:num>
  <w:num w:numId="53">
    <w:abstractNumId w:val="76"/>
  </w:num>
  <w:num w:numId="54">
    <w:abstractNumId w:val="174"/>
  </w:num>
  <w:num w:numId="55">
    <w:abstractNumId w:val="38"/>
  </w:num>
  <w:num w:numId="56">
    <w:abstractNumId w:val="163"/>
  </w:num>
  <w:num w:numId="57">
    <w:abstractNumId w:val="54"/>
  </w:num>
  <w:num w:numId="58">
    <w:abstractNumId w:val="164"/>
  </w:num>
  <w:num w:numId="59">
    <w:abstractNumId w:val="106"/>
  </w:num>
  <w:num w:numId="60">
    <w:abstractNumId w:val="41"/>
  </w:num>
  <w:num w:numId="61">
    <w:abstractNumId w:val="171"/>
  </w:num>
  <w:num w:numId="62">
    <w:abstractNumId w:val="108"/>
  </w:num>
  <w:num w:numId="63">
    <w:abstractNumId w:val="51"/>
  </w:num>
  <w:num w:numId="64">
    <w:abstractNumId w:val="213"/>
  </w:num>
  <w:num w:numId="65">
    <w:abstractNumId w:val="126"/>
  </w:num>
  <w:num w:numId="66">
    <w:abstractNumId w:val="140"/>
  </w:num>
  <w:num w:numId="67">
    <w:abstractNumId w:val="107"/>
  </w:num>
  <w:num w:numId="68">
    <w:abstractNumId w:val="17"/>
  </w:num>
  <w:num w:numId="69">
    <w:abstractNumId w:val="42"/>
  </w:num>
  <w:num w:numId="70">
    <w:abstractNumId w:val="98"/>
  </w:num>
  <w:num w:numId="71">
    <w:abstractNumId w:val="150"/>
  </w:num>
  <w:num w:numId="72">
    <w:abstractNumId w:val="118"/>
  </w:num>
  <w:num w:numId="73">
    <w:abstractNumId w:val="181"/>
  </w:num>
  <w:num w:numId="74">
    <w:abstractNumId w:val="55"/>
  </w:num>
  <w:num w:numId="75">
    <w:abstractNumId w:val="28"/>
  </w:num>
  <w:num w:numId="76">
    <w:abstractNumId w:val="84"/>
  </w:num>
  <w:num w:numId="77">
    <w:abstractNumId w:val="166"/>
  </w:num>
  <w:num w:numId="78">
    <w:abstractNumId w:val="172"/>
  </w:num>
  <w:num w:numId="79">
    <w:abstractNumId w:val="29"/>
  </w:num>
  <w:num w:numId="80">
    <w:abstractNumId w:val="101"/>
  </w:num>
  <w:num w:numId="81">
    <w:abstractNumId w:val="155"/>
  </w:num>
  <w:num w:numId="82">
    <w:abstractNumId w:val="139"/>
  </w:num>
  <w:num w:numId="83">
    <w:abstractNumId w:val="63"/>
  </w:num>
  <w:num w:numId="84">
    <w:abstractNumId w:val="113"/>
  </w:num>
  <w:num w:numId="85">
    <w:abstractNumId w:val="68"/>
  </w:num>
  <w:num w:numId="86">
    <w:abstractNumId w:val="216"/>
  </w:num>
  <w:num w:numId="87">
    <w:abstractNumId w:val="129"/>
  </w:num>
  <w:num w:numId="88">
    <w:abstractNumId w:val="18"/>
  </w:num>
  <w:num w:numId="89">
    <w:abstractNumId w:val="178"/>
  </w:num>
  <w:num w:numId="90">
    <w:abstractNumId w:val="207"/>
  </w:num>
  <w:num w:numId="91">
    <w:abstractNumId w:val="100"/>
  </w:num>
  <w:num w:numId="92">
    <w:abstractNumId w:val="34"/>
  </w:num>
  <w:num w:numId="93">
    <w:abstractNumId w:val="82"/>
  </w:num>
  <w:num w:numId="94">
    <w:abstractNumId w:val="111"/>
  </w:num>
  <w:num w:numId="95">
    <w:abstractNumId w:val="81"/>
  </w:num>
  <w:num w:numId="96">
    <w:abstractNumId w:val="137"/>
  </w:num>
  <w:num w:numId="97">
    <w:abstractNumId w:val="19"/>
  </w:num>
  <w:num w:numId="98">
    <w:abstractNumId w:val="161"/>
  </w:num>
  <w:num w:numId="99">
    <w:abstractNumId w:val="37"/>
  </w:num>
  <w:num w:numId="100">
    <w:abstractNumId w:val="69"/>
  </w:num>
  <w:num w:numId="101">
    <w:abstractNumId w:val="187"/>
  </w:num>
  <w:num w:numId="102">
    <w:abstractNumId w:val="184"/>
  </w:num>
  <w:num w:numId="103">
    <w:abstractNumId w:val="185"/>
  </w:num>
  <w:num w:numId="104">
    <w:abstractNumId w:val="146"/>
  </w:num>
  <w:num w:numId="105">
    <w:abstractNumId w:val="197"/>
  </w:num>
  <w:num w:numId="106">
    <w:abstractNumId w:val="130"/>
  </w:num>
  <w:num w:numId="107">
    <w:abstractNumId w:val="52"/>
  </w:num>
  <w:num w:numId="108">
    <w:abstractNumId w:val="7"/>
  </w:num>
  <w:num w:numId="109">
    <w:abstractNumId w:val="202"/>
  </w:num>
  <w:num w:numId="110">
    <w:abstractNumId w:val="120"/>
  </w:num>
  <w:num w:numId="111">
    <w:abstractNumId w:val="151"/>
  </w:num>
  <w:num w:numId="112">
    <w:abstractNumId w:val="14"/>
  </w:num>
  <w:num w:numId="113">
    <w:abstractNumId w:val="112"/>
  </w:num>
  <w:num w:numId="114">
    <w:abstractNumId w:val="79"/>
  </w:num>
  <w:num w:numId="115">
    <w:abstractNumId w:val="43"/>
  </w:num>
  <w:num w:numId="116">
    <w:abstractNumId w:val="217"/>
  </w:num>
  <w:num w:numId="117">
    <w:abstractNumId w:val="104"/>
  </w:num>
  <w:num w:numId="118">
    <w:abstractNumId w:val="16"/>
  </w:num>
  <w:num w:numId="119">
    <w:abstractNumId w:val="30"/>
  </w:num>
  <w:num w:numId="120">
    <w:abstractNumId w:val="133"/>
  </w:num>
  <w:num w:numId="121">
    <w:abstractNumId w:val="175"/>
  </w:num>
  <w:num w:numId="122">
    <w:abstractNumId w:val="177"/>
  </w:num>
  <w:num w:numId="123">
    <w:abstractNumId w:val="135"/>
  </w:num>
  <w:num w:numId="124">
    <w:abstractNumId w:val="210"/>
  </w:num>
  <w:num w:numId="125">
    <w:abstractNumId w:val="191"/>
  </w:num>
  <w:num w:numId="126">
    <w:abstractNumId w:val="67"/>
  </w:num>
  <w:num w:numId="127">
    <w:abstractNumId w:val="198"/>
  </w:num>
  <w:num w:numId="128">
    <w:abstractNumId w:val="169"/>
  </w:num>
  <w:num w:numId="129">
    <w:abstractNumId w:val="193"/>
  </w:num>
  <w:num w:numId="130">
    <w:abstractNumId w:val="77"/>
  </w:num>
  <w:num w:numId="131">
    <w:abstractNumId w:val="102"/>
  </w:num>
  <w:num w:numId="132">
    <w:abstractNumId w:val="61"/>
  </w:num>
  <w:num w:numId="133">
    <w:abstractNumId w:val="160"/>
  </w:num>
  <w:num w:numId="134">
    <w:abstractNumId w:val="23"/>
  </w:num>
  <w:num w:numId="135">
    <w:abstractNumId w:val="32"/>
  </w:num>
  <w:num w:numId="136">
    <w:abstractNumId w:val="26"/>
  </w:num>
  <w:num w:numId="137">
    <w:abstractNumId w:val="45"/>
  </w:num>
  <w:num w:numId="138">
    <w:abstractNumId w:val="31"/>
  </w:num>
  <w:num w:numId="139">
    <w:abstractNumId w:val="162"/>
  </w:num>
  <w:num w:numId="140">
    <w:abstractNumId w:val="136"/>
  </w:num>
  <w:num w:numId="141">
    <w:abstractNumId w:val="46"/>
  </w:num>
  <w:num w:numId="142">
    <w:abstractNumId w:val="75"/>
  </w:num>
  <w:num w:numId="143">
    <w:abstractNumId w:val="211"/>
  </w:num>
  <w:num w:numId="144">
    <w:abstractNumId w:val="83"/>
  </w:num>
  <w:num w:numId="145">
    <w:abstractNumId w:val="121"/>
  </w:num>
  <w:num w:numId="146">
    <w:abstractNumId w:val="13"/>
  </w:num>
  <w:num w:numId="147">
    <w:abstractNumId w:val="127"/>
  </w:num>
  <w:num w:numId="148">
    <w:abstractNumId w:val="35"/>
  </w:num>
  <w:num w:numId="149">
    <w:abstractNumId w:val="144"/>
  </w:num>
  <w:num w:numId="150">
    <w:abstractNumId w:val="147"/>
  </w:num>
  <w:num w:numId="151">
    <w:abstractNumId w:val="125"/>
  </w:num>
  <w:num w:numId="152">
    <w:abstractNumId w:val="119"/>
  </w:num>
  <w:num w:numId="153">
    <w:abstractNumId w:val="80"/>
  </w:num>
  <w:num w:numId="154">
    <w:abstractNumId w:val="57"/>
  </w:num>
  <w:num w:numId="155">
    <w:abstractNumId w:val="205"/>
  </w:num>
  <w:num w:numId="156">
    <w:abstractNumId w:val="109"/>
  </w:num>
  <w:num w:numId="157">
    <w:abstractNumId w:val="50"/>
  </w:num>
  <w:num w:numId="158">
    <w:abstractNumId w:val="74"/>
  </w:num>
  <w:num w:numId="159">
    <w:abstractNumId w:val="128"/>
  </w:num>
  <w:num w:numId="160">
    <w:abstractNumId w:val="95"/>
  </w:num>
  <w:num w:numId="161">
    <w:abstractNumId w:val="142"/>
  </w:num>
  <w:num w:numId="162">
    <w:abstractNumId w:val="58"/>
  </w:num>
  <w:num w:numId="163">
    <w:abstractNumId w:val="167"/>
  </w:num>
  <w:num w:numId="164">
    <w:abstractNumId w:val="78"/>
  </w:num>
  <w:num w:numId="165">
    <w:abstractNumId w:val="131"/>
  </w:num>
  <w:num w:numId="166">
    <w:abstractNumId w:val="86"/>
  </w:num>
  <w:num w:numId="167">
    <w:abstractNumId w:val="4"/>
  </w:num>
  <w:num w:numId="168">
    <w:abstractNumId w:val="89"/>
  </w:num>
  <w:num w:numId="169">
    <w:abstractNumId w:val="200"/>
  </w:num>
  <w:num w:numId="170">
    <w:abstractNumId w:val="25"/>
  </w:num>
  <w:num w:numId="171">
    <w:abstractNumId w:val="88"/>
  </w:num>
  <w:num w:numId="172">
    <w:abstractNumId w:val="99"/>
  </w:num>
  <w:num w:numId="173">
    <w:abstractNumId w:val="114"/>
  </w:num>
  <w:num w:numId="174">
    <w:abstractNumId w:val="203"/>
  </w:num>
  <w:num w:numId="175">
    <w:abstractNumId w:val="116"/>
  </w:num>
  <w:num w:numId="176">
    <w:abstractNumId w:val="93"/>
  </w:num>
  <w:num w:numId="177">
    <w:abstractNumId w:val="64"/>
  </w:num>
  <w:num w:numId="178">
    <w:abstractNumId w:val="153"/>
  </w:num>
  <w:num w:numId="179">
    <w:abstractNumId w:val="192"/>
  </w:num>
  <w:num w:numId="180">
    <w:abstractNumId w:val="218"/>
  </w:num>
  <w:num w:numId="181">
    <w:abstractNumId w:val="20"/>
  </w:num>
  <w:num w:numId="182">
    <w:abstractNumId w:val="72"/>
  </w:num>
  <w:num w:numId="183">
    <w:abstractNumId w:val="117"/>
  </w:num>
  <w:num w:numId="184">
    <w:abstractNumId w:val="85"/>
  </w:num>
  <w:num w:numId="185">
    <w:abstractNumId w:val="186"/>
  </w:num>
  <w:num w:numId="186">
    <w:abstractNumId w:val="56"/>
  </w:num>
  <w:num w:numId="187">
    <w:abstractNumId w:val="90"/>
  </w:num>
  <w:num w:numId="188">
    <w:abstractNumId w:val="92"/>
  </w:num>
  <w:num w:numId="189">
    <w:abstractNumId w:val="12"/>
  </w:num>
  <w:num w:numId="190">
    <w:abstractNumId w:val="97"/>
  </w:num>
  <w:num w:numId="191">
    <w:abstractNumId w:val="115"/>
  </w:num>
  <w:num w:numId="192">
    <w:abstractNumId w:val="60"/>
  </w:num>
  <w:num w:numId="193">
    <w:abstractNumId w:val="73"/>
  </w:num>
  <w:num w:numId="194">
    <w:abstractNumId w:val="62"/>
  </w:num>
  <w:num w:numId="195">
    <w:abstractNumId w:val="6"/>
  </w:num>
  <w:num w:numId="196">
    <w:abstractNumId w:val="212"/>
  </w:num>
  <w:num w:numId="197">
    <w:abstractNumId w:val="173"/>
  </w:num>
  <w:num w:numId="198">
    <w:abstractNumId w:val="138"/>
  </w:num>
  <w:num w:numId="199">
    <w:abstractNumId w:val="59"/>
  </w:num>
  <w:num w:numId="200">
    <w:abstractNumId w:val="143"/>
  </w:num>
  <w:num w:numId="201">
    <w:abstractNumId w:val="103"/>
  </w:num>
  <w:num w:numId="202">
    <w:abstractNumId w:val="179"/>
  </w:num>
  <w:num w:numId="203">
    <w:abstractNumId w:val="156"/>
  </w:num>
  <w:num w:numId="204">
    <w:abstractNumId w:val="2"/>
  </w:num>
  <w:num w:numId="205">
    <w:abstractNumId w:val="87"/>
  </w:num>
  <w:num w:numId="206">
    <w:abstractNumId w:val="21"/>
  </w:num>
  <w:num w:numId="207">
    <w:abstractNumId w:val="33"/>
  </w:num>
  <w:num w:numId="208">
    <w:abstractNumId w:val="183"/>
  </w:num>
  <w:num w:numId="209">
    <w:abstractNumId w:val="204"/>
  </w:num>
  <w:num w:numId="210">
    <w:abstractNumId w:val="10"/>
  </w:num>
  <w:num w:numId="211">
    <w:abstractNumId w:val="199"/>
  </w:num>
  <w:num w:numId="212">
    <w:abstractNumId w:val="194"/>
  </w:num>
  <w:num w:numId="213">
    <w:abstractNumId w:val="39"/>
  </w:num>
  <w:num w:numId="214">
    <w:abstractNumId w:val="165"/>
  </w:num>
  <w:num w:numId="215">
    <w:abstractNumId w:val="65"/>
  </w:num>
  <w:num w:numId="216">
    <w:abstractNumId w:val="11"/>
  </w:num>
  <w:num w:numId="217">
    <w:abstractNumId w:val="215"/>
  </w:num>
  <w:num w:numId="218">
    <w:abstractNumId w:val="3"/>
  </w:num>
  <w:num w:numId="219">
    <w:abstractNumId w:val="1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3C2C17"/>
    <w:rsid w:val="00002B74"/>
    <w:rsid w:val="000040CA"/>
    <w:rsid w:val="00004231"/>
    <w:rsid w:val="000051BF"/>
    <w:rsid w:val="00005423"/>
    <w:rsid w:val="00005525"/>
    <w:rsid w:val="0000589C"/>
    <w:rsid w:val="00005907"/>
    <w:rsid w:val="00005AB9"/>
    <w:rsid w:val="00011A2A"/>
    <w:rsid w:val="00013555"/>
    <w:rsid w:val="00013BB9"/>
    <w:rsid w:val="00013EDB"/>
    <w:rsid w:val="000148B1"/>
    <w:rsid w:val="00014AD0"/>
    <w:rsid w:val="00014F07"/>
    <w:rsid w:val="00014FDC"/>
    <w:rsid w:val="000155BB"/>
    <w:rsid w:val="00016C0D"/>
    <w:rsid w:val="00016F5B"/>
    <w:rsid w:val="00017541"/>
    <w:rsid w:val="00017CCF"/>
    <w:rsid w:val="00020B96"/>
    <w:rsid w:val="000220B4"/>
    <w:rsid w:val="00022625"/>
    <w:rsid w:val="000233A0"/>
    <w:rsid w:val="000238E4"/>
    <w:rsid w:val="00023944"/>
    <w:rsid w:val="00024123"/>
    <w:rsid w:val="0002470F"/>
    <w:rsid w:val="00024725"/>
    <w:rsid w:val="00024B3E"/>
    <w:rsid w:val="000263A1"/>
    <w:rsid w:val="00026535"/>
    <w:rsid w:val="000269D9"/>
    <w:rsid w:val="00027028"/>
    <w:rsid w:val="00027550"/>
    <w:rsid w:val="00027E4C"/>
    <w:rsid w:val="000306D2"/>
    <w:rsid w:val="00030E9A"/>
    <w:rsid w:val="0003120D"/>
    <w:rsid w:val="000313BC"/>
    <w:rsid w:val="00031739"/>
    <w:rsid w:val="00032891"/>
    <w:rsid w:val="00033A5A"/>
    <w:rsid w:val="0003518F"/>
    <w:rsid w:val="00035843"/>
    <w:rsid w:val="00037E11"/>
    <w:rsid w:val="000425B8"/>
    <w:rsid w:val="000426BA"/>
    <w:rsid w:val="00042C23"/>
    <w:rsid w:val="000433AA"/>
    <w:rsid w:val="00043CD8"/>
    <w:rsid w:val="0004414C"/>
    <w:rsid w:val="0004631D"/>
    <w:rsid w:val="00046650"/>
    <w:rsid w:val="00046D83"/>
    <w:rsid w:val="00047CC2"/>
    <w:rsid w:val="00047E0E"/>
    <w:rsid w:val="000503FB"/>
    <w:rsid w:val="00050B4C"/>
    <w:rsid w:val="00052144"/>
    <w:rsid w:val="00053B0D"/>
    <w:rsid w:val="00053E11"/>
    <w:rsid w:val="00055AC4"/>
    <w:rsid w:val="000568B7"/>
    <w:rsid w:val="00056957"/>
    <w:rsid w:val="00056C1F"/>
    <w:rsid w:val="00060516"/>
    <w:rsid w:val="00060EC7"/>
    <w:rsid w:val="00061A56"/>
    <w:rsid w:val="00062B61"/>
    <w:rsid w:val="00063FD8"/>
    <w:rsid w:val="00064970"/>
    <w:rsid w:val="00064F34"/>
    <w:rsid w:val="00065019"/>
    <w:rsid w:val="00065CF8"/>
    <w:rsid w:val="00066AD0"/>
    <w:rsid w:val="00066E4B"/>
    <w:rsid w:val="000676E7"/>
    <w:rsid w:val="000679F9"/>
    <w:rsid w:val="00072FBF"/>
    <w:rsid w:val="00073D51"/>
    <w:rsid w:val="00074A89"/>
    <w:rsid w:val="00075974"/>
    <w:rsid w:val="00077344"/>
    <w:rsid w:val="00080023"/>
    <w:rsid w:val="000801BF"/>
    <w:rsid w:val="00080965"/>
    <w:rsid w:val="00081C74"/>
    <w:rsid w:val="000826C4"/>
    <w:rsid w:val="0008421E"/>
    <w:rsid w:val="00084314"/>
    <w:rsid w:val="00084EC6"/>
    <w:rsid w:val="00085648"/>
    <w:rsid w:val="000871DE"/>
    <w:rsid w:val="000874FB"/>
    <w:rsid w:val="00090858"/>
    <w:rsid w:val="00090E72"/>
    <w:rsid w:val="00090EA8"/>
    <w:rsid w:val="00091E47"/>
    <w:rsid w:val="00092EAE"/>
    <w:rsid w:val="000940EA"/>
    <w:rsid w:val="00094B13"/>
    <w:rsid w:val="000952B1"/>
    <w:rsid w:val="0009579E"/>
    <w:rsid w:val="00095AE9"/>
    <w:rsid w:val="00096151"/>
    <w:rsid w:val="00096CEC"/>
    <w:rsid w:val="00096F1D"/>
    <w:rsid w:val="00097533"/>
    <w:rsid w:val="00097954"/>
    <w:rsid w:val="000A067E"/>
    <w:rsid w:val="000A1968"/>
    <w:rsid w:val="000A1F7A"/>
    <w:rsid w:val="000A2666"/>
    <w:rsid w:val="000A3110"/>
    <w:rsid w:val="000A359C"/>
    <w:rsid w:val="000A376B"/>
    <w:rsid w:val="000A3F9F"/>
    <w:rsid w:val="000A46A8"/>
    <w:rsid w:val="000A4E33"/>
    <w:rsid w:val="000A4FA1"/>
    <w:rsid w:val="000A7D31"/>
    <w:rsid w:val="000A7E2E"/>
    <w:rsid w:val="000B0C63"/>
    <w:rsid w:val="000B17A1"/>
    <w:rsid w:val="000B1974"/>
    <w:rsid w:val="000B1AB9"/>
    <w:rsid w:val="000B234A"/>
    <w:rsid w:val="000B3ADD"/>
    <w:rsid w:val="000B4939"/>
    <w:rsid w:val="000B4ACE"/>
    <w:rsid w:val="000B4C97"/>
    <w:rsid w:val="000B505D"/>
    <w:rsid w:val="000B555D"/>
    <w:rsid w:val="000B5A2C"/>
    <w:rsid w:val="000B5CFD"/>
    <w:rsid w:val="000B6132"/>
    <w:rsid w:val="000B74CD"/>
    <w:rsid w:val="000B76F0"/>
    <w:rsid w:val="000B7ABC"/>
    <w:rsid w:val="000B7DE6"/>
    <w:rsid w:val="000C06DC"/>
    <w:rsid w:val="000C074C"/>
    <w:rsid w:val="000C12FF"/>
    <w:rsid w:val="000C1973"/>
    <w:rsid w:val="000C24D5"/>
    <w:rsid w:val="000C2E2D"/>
    <w:rsid w:val="000C3CC6"/>
    <w:rsid w:val="000C4584"/>
    <w:rsid w:val="000C4BAE"/>
    <w:rsid w:val="000C6432"/>
    <w:rsid w:val="000C6F04"/>
    <w:rsid w:val="000D14C5"/>
    <w:rsid w:val="000D1C01"/>
    <w:rsid w:val="000D27CD"/>
    <w:rsid w:val="000D2D30"/>
    <w:rsid w:val="000D2E41"/>
    <w:rsid w:val="000D33A4"/>
    <w:rsid w:val="000D35B2"/>
    <w:rsid w:val="000D3FCA"/>
    <w:rsid w:val="000D41C5"/>
    <w:rsid w:val="000D46AE"/>
    <w:rsid w:val="000D47F9"/>
    <w:rsid w:val="000D4C1E"/>
    <w:rsid w:val="000D5554"/>
    <w:rsid w:val="000D5A50"/>
    <w:rsid w:val="000D6137"/>
    <w:rsid w:val="000D6179"/>
    <w:rsid w:val="000D7A6B"/>
    <w:rsid w:val="000E0122"/>
    <w:rsid w:val="000E0236"/>
    <w:rsid w:val="000E186E"/>
    <w:rsid w:val="000E22C9"/>
    <w:rsid w:val="000E2B2C"/>
    <w:rsid w:val="000E3175"/>
    <w:rsid w:val="000E4684"/>
    <w:rsid w:val="000E4C86"/>
    <w:rsid w:val="000E5834"/>
    <w:rsid w:val="000E5A3E"/>
    <w:rsid w:val="000E630D"/>
    <w:rsid w:val="000E7265"/>
    <w:rsid w:val="000E7730"/>
    <w:rsid w:val="000F034F"/>
    <w:rsid w:val="000F0B95"/>
    <w:rsid w:val="000F1AB6"/>
    <w:rsid w:val="000F2D41"/>
    <w:rsid w:val="000F318A"/>
    <w:rsid w:val="000F47E1"/>
    <w:rsid w:val="000F4976"/>
    <w:rsid w:val="000F4CDF"/>
    <w:rsid w:val="000F4F3F"/>
    <w:rsid w:val="000F532D"/>
    <w:rsid w:val="000F5D5E"/>
    <w:rsid w:val="000F7A5F"/>
    <w:rsid w:val="000F7E6F"/>
    <w:rsid w:val="001001B8"/>
    <w:rsid w:val="001011B8"/>
    <w:rsid w:val="00101427"/>
    <w:rsid w:val="001014ED"/>
    <w:rsid w:val="00103C23"/>
    <w:rsid w:val="00104F04"/>
    <w:rsid w:val="00105511"/>
    <w:rsid w:val="00107400"/>
    <w:rsid w:val="00107547"/>
    <w:rsid w:val="0011004B"/>
    <w:rsid w:val="001104E7"/>
    <w:rsid w:val="001107A1"/>
    <w:rsid w:val="0011130F"/>
    <w:rsid w:val="00111475"/>
    <w:rsid w:val="001117CA"/>
    <w:rsid w:val="001119D0"/>
    <w:rsid w:val="00112B8C"/>
    <w:rsid w:val="00113B29"/>
    <w:rsid w:val="00113B82"/>
    <w:rsid w:val="0011551B"/>
    <w:rsid w:val="0011551D"/>
    <w:rsid w:val="0011577C"/>
    <w:rsid w:val="00115A36"/>
    <w:rsid w:val="00115B92"/>
    <w:rsid w:val="0011639F"/>
    <w:rsid w:val="00116599"/>
    <w:rsid w:val="00116CF1"/>
    <w:rsid w:val="00122D36"/>
    <w:rsid w:val="001245D3"/>
    <w:rsid w:val="001246A1"/>
    <w:rsid w:val="00125175"/>
    <w:rsid w:val="00126859"/>
    <w:rsid w:val="00126A11"/>
    <w:rsid w:val="00126AE1"/>
    <w:rsid w:val="00126C34"/>
    <w:rsid w:val="001311D9"/>
    <w:rsid w:val="0013170D"/>
    <w:rsid w:val="001319C1"/>
    <w:rsid w:val="00133C0B"/>
    <w:rsid w:val="00134DFE"/>
    <w:rsid w:val="001356D3"/>
    <w:rsid w:val="001359A5"/>
    <w:rsid w:val="00135FA2"/>
    <w:rsid w:val="00136A45"/>
    <w:rsid w:val="00137106"/>
    <w:rsid w:val="0013746E"/>
    <w:rsid w:val="00142B9F"/>
    <w:rsid w:val="0014413A"/>
    <w:rsid w:val="001457F8"/>
    <w:rsid w:val="00145C24"/>
    <w:rsid w:val="00145FFF"/>
    <w:rsid w:val="00150346"/>
    <w:rsid w:val="0015450B"/>
    <w:rsid w:val="0015494D"/>
    <w:rsid w:val="00154ADE"/>
    <w:rsid w:val="00154F74"/>
    <w:rsid w:val="00155036"/>
    <w:rsid w:val="0015559F"/>
    <w:rsid w:val="00155F8A"/>
    <w:rsid w:val="0015654E"/>
    <w:rsid w:val="00157648"/>
    <w:rsid w:val="001608E7"/>
    <w:rsid w:val="00161B48"/>
    <w:rsid w:val="00161C86"/>
    <w:rsid w:val="00161DB6"/>
    <w:rsid w:val="00162FA9"/>
    <w:rsid w:val="00163490"/>
    <w:rsid w:val="00163E38"/>
    <w:rsid w:val="00163FBC"/>
    <w:rsid w:val="00164190"/>
    <w:rsid w:val="00164A91"/>
    <w:rsid w:val="00164B65"/>
    <w:rsid w:val="00165779"/>
    <w:rsid w:val="00167999"/>
    <w:rsid w:val="00167ADF"/>
    <w:rsid w:val="00167DD0"/>
    <w:rsid w:val="001708A5"/>
    <w:rsid w:val="0017194D"/>
    <w:rsid w:val="00171E60"/>
    <w:rsid w:val="00172FAE"/>
    <w:rsid w:val="001740E0"/>
    <w:rsid w:val="00174379"/>
    <w:rsid w:val="001747E1"/>
    <w:rsid w:val="00175478"/>
    <w:rsid w:val="001765D1"/>
    <w:rsid w:val="00176669"/>
    <w:rsid w:val="001772DA"/>
    <w:rsid w:val="00180EED"/>
    <w:rsid w:val="00180F44"/>
    <w:rsid w:val="00182537"/>
    <w:rsid w:val="00182691"/>
    <w:rsid w:val="001827BC"/>
    <w:rsid w:val="00182B69"/>
    <w:rsid w:val="00184DBF"/>
    <w:rsid w:val="001852F2"/>
    <w:rsid w:val="001855BB"/>
    <w:rsid w:val="001867A0"/>
    <w:rsid w:val="00186849"/>
    <w:rsid w:val="00187411"/>
    <w:rsid w:val="00187553"/>
    <w:rsid w:val="00187FBF"/>
    <w:rsid w:val="0019065E"/>
    <w:rsid w:val="00193278"/>
    <w:rsid w:val="00193F7A"/>
    <w:rsid w:val="001949AB"/>
    <w:rsid w:val="00194DF4"/>
    <w:rsid w:val="0019555A"/>
    <w:rsid w:val="00195B38"/>
    <w:rsid w:val="00195FBE"/>
    <w:rsid w:val="0019638B"/>
    <w:rsid w:val="001967A3"/>
    <w:rsid w:val="00197367"/>
    <w:rsid w:val="00197BC2"/>
    <w:rsid w:val="00197F48"/>
    <w:rsid w:val="001A0129"/>
    <w:rsid w:val="001A0500"/>
    <w:rsid w:val="001A0781"/>
    <w:rsid w:val="001A0B18"/>
    <w:rsid w:val="001A1395"/>
    <w:rsid w:val="001A336A"/>
    <w:rsid w:val="001A386F"/>
    <w:rsid w:val="001A3994"/>
    <w:rsid w:val="001A3EDC"/>
    <w:rsid w:val="001A506E"/>
    <w:rsid w:val="001A5083"/>
    <w:rsid w:val="001A52B4"/>
    <w:rsid w:val="001A5327"/>
    <w:rsid w:val="001A5D3E"/>
    <w:rsid w:val="001A5FA1"/>
    <w:rsid w:val="001A6067"/>
    <w:rsid w:val="001A6C1A"/>
    <w:rsid w:val="001A7625"/>
    <w:rsid w:val="001B0EEE"/>
    <w:rsid w:val="001B1898"/>
    <w:rsid w:val="001B1FBF"/>
    <w:rsid w:val="001B2F51"/>
    <w:rsid w:val="001B2F5E"/>
    <w:rsid w:val="001B43B2"/>
    <w:rsid w:val="001B466E"/>
    <w:rsid w:val="001B5134"/>
    <w:rsid w:val="001B67C7"/>
    <w:rsid w:val="001B6973"/>
    <w:rsid w:val="001B7BCC"/>
    <w:rsid w:val="001C00DE"/>
    <w:rsid w:val="001C07B7"/>
    <w:rsid w:val="001C09EC"/>
    <w:rsid w:val="001C0D08"/>
    <w:rsid w:val="001C0F1F"/>
    <w:rsid w:val="001C1C13"/>
    <w:rsid w:val="001C2C5B"/>
    <w:rsid w:val="001C2E3E"/>
    <w:rsid w:val="001C3CBB"/>
    <w:rsid w:val="001C42C3"/>
    <w:rsid w:val="001C44DC"/>
    <w:rsid w:val="001C6875"/>
    <w:rsid w:val="001C78AA"/>
    <w:rsid w:val="001D02AB"/>
    <w:rsid w:val="001D0F0A"/>
    <w:rsid w:val="001D1172"/>
    <w:rsid w:val="001D1719"/>
    <w:rsid w:val="001D33F2"/>
    <w:rsid w:val="001D6063"/>
    <w:rsid w:val="001D6770"/>
    <w:rsid w:val="001D690F"/>
    <w:rsid w:val="001E1B3B"/>
    <w:rsid w:val="001E1FD8"/>
    <w:rsid w:val="001E3521"/>
    <w:rsid w:val="001E4F3D"/>
    <w:rsid w:val="001E57ED"/>
    <w:rsid w:val="001E5E7E"/>
    <w:rsid w:val="001E5F3D"/>
    <w:rsid w:val="001E6DDB"/>
    <w:rsid w:val="001E7AD2"/>
    <w:rsid w:val="001F0405"/>
    <w:rsid w:val="001F1D46"/>
    <w:rsid w:val="001F297F"/>
    <w:rsid w:val="001F3141"/>
    <w:rsid w:val="001F417C"/>
    <w:rsid w:val="001F4DDE"/>
    <w:rsid w:val="001F4E0F"/>
    <w:rsid w:val="001F5057"/>
    <w:rsid w:val="001F6EA9"/>
    <w:rsid w:val="002012B6"/>
    <w:rsid w:val="00201E9E"/>
    <w:rsid w:val="00201FDC"/>
    <w:rsid w:val="00201FE9"/>
    <w:rsid w:val="00203451"/>
    <w:rsid w:val="00204936"/>
    <w:rsid w:val="00204FCD"/>
    <w:rsid w:val="00205420"/>
    <w:rsid w:val="00205741"/>
    <w:rsid w:val="00207864"/>
    <w:rsid w:val="00213591"/>
    <w:rsid w:val="0021414A"/>
    <w:rsid w:val="00214620"/>
    <w:rsid w:val="00215270"/>
    <w:rsid w:val="0021547D"/>
    <w:rsid w:val="002176B3"/>
    <w:rsid w:val="00217F55"/>
    <w:rsid w:val="002213C3"/>
    <w:rsid w:val="00222AC9"/>
    <w:rsid w:val="00222FCE"/>
    <w:rsid w:val="0022342C"/>
    <w:rsid w:val="00223A60"/>
    <w:rsid w:val="002255D9"/>
    <w:rsid w:val="002261E5"/>
    <w:rsid w:val="0022658C"/>
    <w:rsid w:val="00226BC6"/>
    <w:rsid w:val="00227329"/>
    <w:rsid w:val="002303B4"/>
    <w:rsid w:val="00230AEC"/>
    <w:rsid w:val="00231DE0"/>
    <w:rsid w:val="0023210C"/>
    <w:rsid w:val="002338A2"/>
    <w:rsid w:val="00233DEB"/>
    <w:rsid w:val="0023401E"/>
    <w:rsid w:val="0023610B"/>
    <w:rsid w:val="00237FFA"/>
    <w:rsid w:val="00240436"/>
    <w:rsid w:val="002412F7"/>
    <w:rsid w:val="00241314"/>
    <w:rsid w:val="00243489"/>
    <w:rsid w:val="002438E9"/>
    <w:rsid w:val="002451CE"/>
    <w:rsid w:val="002454AC"/>
    <w:rsid w:val="00245C1D"/>
    <w:rsid w:val="00245F0E"/>
    <w:rsid w:val="00246101"/>
    <w:rsid w:val="0024616E"/>
    <w:rsid w:val="00246E73"/>
    <w:rsid w:val="00247D99"/>
    <w:rsid w:val="002517CC"/>
    <w:rsid w:val="0025223D"/>
    <w:rsid w:val="0025270D"/>
    <w:rsid w:val="00252C21"/>
    <w:rsid w:val="00252C3B"/>
    <w:rsid w:val="002534E4"/>
    <w:rsid w:val="002540BF"/>
    <w:rsid w:val="00254107"/>
    <w:rsid w:val="00255864"/>
    <w:rsid w:val="00256530"/>
    <w:rsid w:val="00257C37"/>
    <w:rsid w:val="0026012E"/>
    <w:rsid w:val="00260265"/>
    <w:rsid w:val="0026047E"/>
    <w:rsid w:val="00261425"/>
    <w:rsid w:val="00261A3A"/>
    <w:rsid w:val="00263BC8"/>
    <w:rsid w:val="002646BE"/>
    <w:rsid w:val="00264F32"/>
    <w:rsid w:val="0026564C"/>
    <w:rsid w:val="00265B7F"/>
    <w:rsid w:val="00267364"/>
    <w:rsid w:val="00270C87"/>
    <w:rsid w:val="00270E1E"/>
    <w:rsid w:val="00272724"/>
    <w:rsid w:val="00273286"/>
    <w:rsid w:val="0027428B"/>
    <w:rsid w:val="00274B3B"/>
    <w:rsid w:val="00275A58"/>
    <w:rsid w:val="00275B0A"/>
    <w:rsid w:val="0027745A"/>
    <w:rsid w:val="00277D71"/>
    <w:rsid w:val="00280656"/>
    <w:rsid w:val="002807BA"/>
    <w:rsid w:val="00280E18"/>
    <w:rsid w:val="002822FE"/>
    <w:rsid w:val="00282406"/>
    <w:rsid w:val="002839D7"/>
    <w:rsid w:val="0028438B"/>
    <w:rsid w:val="002856A8"/>
    <w:rsid w:val="00286301"/>
    <w:rsid w:val="00286BC5"/>
    <w:rsid w:val="00287378"/>
    <w:rsid w:val="0029099B"/>
    <w:rsid w:val="002910B8"/>
    <w:rsid w:val="00291A79"/>
    <w:rsid w:val="00291B9E"/>
    <w:rsid w:val="0029392C"/>
    <w:rsid w:val="00293FDA"/>
    <w:rsid w:val="0029410E"/>
    <w:rsid w:val="0029463E"/>
    <w:rsid w:val="00294DEC"/>
    <w:rsid w:val="002952FC"/>
    <w:rsid w:val="00295ABE"/>
    <w:rsid w:val="00296E3B"/>
    <w:rsid w:val="00296F7D"/>
    <w:rsid w:val="002974BD"/>
    <w:rsid w:val="002A12F3"/>
    <w:rsid w:val="002A15C2"/>
    <w:rsid w:val="002A1E93"/>
    <w:rsid w:val="002A49BE"/>
    <w:rsid w:val="002B06A7"/>
    <w:rsid w:val="002B1372"/>
    <w:rsid w:val="002B41CE"/>
    <w:rsid w:val="002B5FCA"/>
    <w:rsid w:val="002B631C"/>
    <w:rsid w:val="002B692E"/>
    <w:rsid w:val="002B6E58"/>
    <w:rsid w:val="002B6F54"/>
    <w:rsid w:val="002B70EB"/>
    <w:rsid w:val="002C052A"/>
    <w:rsid w:val="002C0A5E"/>
    <w:rsid w:val="002C0A8A"/>
    <w:rsid w:val="002C1A1A"/>
    <w:rsid w:val="002C1FBE"/>
    <w:rsid w:val="002C2162"/>
    <w:rsid w:val="002C2A6F"/>
    <w:rsid w:val="002C3EAF"/>
    <w:rsid w:val="002C47B8"/>
    <w:rsid w:val="002C4D1B"/>
    <w:rsid w:val="002C606C"/>
    <w:rsid w:val="002C7059"/>
    <w:rsid w:val="002C739B"/>
    <w:rsid w:val="002C7F46"/>
    <w:rsid w:val="002D04BD"/>
    <w:rsid w:val="002D0DDA"/>
    <w:rsid w:val="002D0E6B"/>
    <w:rsid w:val="002D0FC7"/>
    <w:rsid w:val="002D1C42"/>
    <w:rsid w:val="002D2B62"/>
    <w:rsid w:val="002D3FCD"/>
    <w:rsid w:val="002D4E46"/>
    <w:rsid w:val="002D50DA"/>
    <w:rsid w:val="002D58C0"/>
    <w:rsid w:val="002D65AF"/>
    <w:rsid w:val="002D757A"/>
    <w:rsid w:val="002D7CFF"/>
    <w:rsid w:val="002E09EE"/>
    <w:rsid w:val="002E0D60"/>
    <w:rsid w:val="002E135B"/>
    <w:rsid w:val="002E2545"/>
    <w:rsid w:val="002E30F6"/>
    <w:rsid w:val="002E347A"/>
    <w:rsid w:val="002E496A"/>
    <w:rsid w:val="002E5866"/>
    <w:rsid w:val="002E61CD"/>
    <w:rsid w:val="002E68E7"/>
    <w:rsid w:val="002E6AEA"/>
    <w:rsid w:val="002E6E3E"/>
    <w:rsid w:val="002E738A"/>
    <w:rsid w:val="002E7E0E"/>
    <w:rsid w:val="002E7E40"/>
    <w:rsid w:val="002F005B"/>
    <w:rsid w:val="002F048A"/>
    <w:rsid w:val="002F06E0"/>
    <w:rsid w:val="002F18D4"/>
    <w:rsid w:val="002F1F64"/>
    <w:rsid w:val="002F2C99"/>
    <w:rsid w:val="002F3BA8"/>
    <w:rsid w:val="002F47BA"/>
    <w:rsid w:val="002F4CA4"/>
    <w:rsid w:val="002F5DBD"/>
    <w:rsid w:val="002F69FB"/>
    <w:rsid w:val="002F6B2E"/>
    <w:rsid w:val="002F6C7F"/>
    <w:rsid w:val="002F6D59"/>
    <w:rsid w:val="002F6EA3"/>
    <w:rsid w:val="002F7E3B"/>
    <w:rsid w:val="00300578"/>
    <w:rsid w:val="0030187B"/>
    <w:rsid w:val="00301952"/>
    <w:rsid w:val="00302193"/>
    <w:rsid w:val="003024B2"/>
    <w:rsid w:val="00302D60"/>
    <w:rsid w:val="0030382A"/>
    <w:rsid w:val="00303989"/>
    <w:rsid w:val="00303F44"/>
    <w:rsid w:val="0030450E"/>
    <w:rsid w:val="00304B0C"/>
    <w:rsid w:val="00304FD1"/>
    <w:rsid w:val="00305216"/>
    <w:rsid w:val="003065B2"/>
    <w:rsid w:val="003079F9"/>
    <w:rsid w:val="0031127C"/>
    <w:rsid w:val="0031135D"/>
    <w:rsid w:val="00311497"/>
    <w:rsid w:val="00311E00"/>
    <w:rsid w:val="0031218C"/>
    <w:rsid w:val="0031230E"/>
    <w:rsid w:val="003135CC"/>
    <w:rsid w:val="00313B15"/>
    <w:rsid w:val="00313E8E"/>
    <w:rsid w:val="00314D7F"/>
    <w:rsid w:val="003157BE"/>
    <w:rsid w:val="00315F29"/>
    <w:rsid w:val="00316FAA"/>
    <w:rsid w:val="003173DE"/>
    <w:rsid w:val="00317858"/>
    <w:rsid w:val="00317C35"/>
    <w:rsid w:val="003209E5"/>
    <w:rsid w:val="00320D6C"/>
    <w:rsid w:val="003210CF"/>
    <w:rsid w:val="00321220"/>
    <w:rsid w:val="0032169A"/>
    <w:rsid w:val="00321B44"/>
    <w:rsid w:val="00322E09"/>
    <w:rsid w:val="003233E7"/>
    <w:rsid w:val="00325E0E"/>
    <w:rsid w:val="00326844"/>
    <w:rsid w:val="00326B11"/>
    <w:rsid w:val="00327E89"/>
    <w:rsid w:val="003314D9"/>
    <w:rsid w:val="003321C6"/>
    <w:rsid w:val="00332D36"/>
    <w:rsid w:val="00334203"/>
    <w:rsid w:val="00334230"/>
    <w:rsid w:val="003344D3"/>
    <w:rsid w:val="003344EF"/>
    <w:rsid w:val="00334710"/>
    <w:rsid w:val="00336F38"/>
    <w:rsid w:val="0033788A"/>
    <w:rsid w:val="00337FE7"/>
    <w:rsid w:val="00340BBB"/>
    <w:rsid w:val="0034389E"/>
    <w:rsid w:val="00344063"/>
    <w:rsid w:val="00344D37"/>
    <w:rsid w:val="003454E6"/>
    <w:rsid w:val="0034578A"/>
    <w:rsid w:val="00345ED7"/>
    <w:rsid w:val="00347D6D"/>
    <w:rsid w:val="003514EF"/>
    <w:rsid w:val="00351D83"/>
    <w:rsid w:val="00353815"/>
    <w:rsid w:val="0035568F"/>
    <w:rsid w:val="0035576A"/>
    <w:rsid w:val="003575FF"/>
    <w:rsid w:val="00361359"/>
    <w:rsid w:val="00361543"/>
    <w:rsid w:val="00361A35"/>
    <w:rsid w:val="00361AC2"/>
    <w:rsid w:val="00361E33"/>
    <w:rsid w:val="003620C2"/>
    <w:rsid w:val="0036481D"/>
    <w:rsid w:val="00365278"/>
    <w:rsid w:val="003659C7"/>
    <w:rsid w:val="0036766E"/>
    <w:rsid w:val="00370319"/>
    <w:rsid w:val="00371372"/>
    <w:rsid w:val="003713DA"/>
    <w:rsid w:val="00371C5F"/>
    <w:rsid w:val="003722F5"/>
    <w:rsid w:val="00372CCE"/>
    <w:rsid w:val="00374A49"/>
    <w:rsid w:val="00374C12"/>
    <w:rsid w:val="00374E18"/>
    <w:rsid w:val="003757B3"/>
    <w:rsid w:val="00375C17"/>
    <w:rsid w:val="003767D3"/>
    <w:rsid w:val="00377C41"/>
    <w:rsid w:val="00377CF8"/>
    <w:rsid w:val="00380465"/>
    <w:rsid w:val="00380885"/>
    <w:rsid w:val="00380B1D"/>
    <w:rsid w:val="00380F90"/>
    <w:rsid w:val="00381350"/>
    <w:rsid w:val="0038173D"/>
    <w:rsid w:val="00381F0F"/>
    <w:rsid w:val="00382482"/>
    <w:rsid w:val="00383F49"/>
    <w:rsid w:val="00383F66"/>
    <w:rsid w:val="00384176"/>
    <w:rsid w:val="00384A62"/>
    <w:rsid w:val="00387312"/>
    <w:rsid w:val="00387B30"/>
    <w:rsid w:val="0039048A"/>
    <w:rsid w:val="00390B99"/>
    <w:rsid w:val="00391601"/>
    <w:rsid w:val="00391B6E"/>
    <w:rsid w:val="0039258F"/>
    <w:rsid w:val="003925C1"/>
    <w:rsid w:val="00392748"/>
    <w:rsid w:val="00393440"/>
    <w:rsid w:val="00393698"/>
    <w:rsid w:val="003938C1"/>
    <w:rsid w:val="00393D61"/>
    <w:rsid w:val="00394019"/>
    <w:rsid w:val="003942C0"/>
    <w:rsid w:val="0039542C"/>
    <w:rsid w:val="0039677C"/>
    <w:rsid w:val="00396C5C"/>
    <w:rsid w:val="003974B7"/>
    <w:rsid w:val="003A0E51"/>
    <w:rsid w:val="003A1D83"/>
    <w:rsid w:val="003A3118"/>
    <w:rsid w:val="003A3C1A"/>
    <w:rsid w:val="003A41D9"/>
    <w:rsid w:val="003A4BB6"/>
    <w:rsid w:val="003A4E91"/>
    <w:rsid w:val="003A60DC"/>
    <w:rsid w:val="003A6E83"/>
    <w:rsid w:val="003A724B"/>
    <w:rsid w:val="003B000B"/>
    <w:rsid w:val="003B0284"/>
    <w:rsid w:val="003B1C4F"/>
    <w:rsid w:val="003B3685"/>
    <w:rsid w:val="003B3EED"/>
    <w:rsid w:val="003B44C3"/>
    <w:rsid w:val="003B4AC7"/>
    <w:rsid w:val="003B5EA9"/>
    <w:rsid w:val="003B65F2"/>
    <w:rsid w:val="003B6886"/>
    <w:rsid w:val="003B6F84"/>
    <w:rsid w:val="003B7075"/>
    <w:rsid w:val="003B71D6"/>
    <w:rsid w:val="003B7CA1"/>
    <w:rsid w:val="003B7F43"/>
    <w:rsid w:val="003C0037"/>
    <w:rsid w:val="003C0180"/>
    <w:rsid w:val="003C08C2"/>
    <w:rsid w:val="003C0DEB"/>
    <w:rsid w:val="003C18F7"/>
    <w:rsid w:val="003C2C17"/>
    <w:rsid w:val="003C54E2"/>
    <w:rsid w:val="003C55D3"/>
    <w:rsid w:val="003C5B99"/>
    <w:rsid w:val="003C623F"/>
    <w:rsid w:val="003C62D7"/>
    <w:rsid w:val="003C6475"/>
    <w:rsid w:val="003C658B"/>
    <w:rsid w:val="003D0AFF"/>
    <w:rsid w:val="003D10D9"/>
    <w:rsid w:val="003D1144"/>
    <w:rsid w:val="003D176E"/>
    <w:rsid w:val="003D1A65"/>
    <w:rsid w:val="003D2A62"/>
    <w:rsid w:val="003D3C0C"/>
    <w:rsid w:val="003D562D"/>
    <w:rsid w:val="003D5B8B"/>
    <w:rsid w:val="003D67AE"/>
    <w:rsid w:val="003D720B"/>
    <w:rsid w:val="003E0F86"/>
    <w:rsid w:val="003E182E"/>
    <w:rsid w:val="003E2268"/>
    <w:rsid w:val="003E248A"/>
    <w:rsid w:val="003E25C9"/>
    <w:rsid w:val="003E5405"/>
    <w:rsid w:val="003E54A2"/>
    <w:rsid w:val="003E54DE"/>
    <w:rsid w:val="003E5F40"/>
    <w:rsid w:val="003E6167"/>
    <w:rsid w:val="003E6678"/>
    <w:rsid w:val="003E6681"/>
    <w:rsid w:val="003E686E"/>
    <w:rsid w:val="003E70DF"/>
    <w:rsid w:val="003E76D4"/>
    <w:rsid w:val="003F002B"/>
    <w:rsid w:val="003F1DA7"/>
    <w:rsid w:val="003F1F85"/>
    <w:rsid w:val="003F2A9E"/>
    <w:rsid w:val="003F2B2C"/>
    <w:rsid w:val="003F3061"/>
    <w:rsid w:val="003F3550"/>
    <w:rsid w:val="003F3760"/>
    <w:rsid w:val="003F3764"/>
    <w:rsid w:val="003F3A52"/>
    <w:rsid w:val="003F51CE"/>
    <w:rsid w:val="003F6059"/>
    <w:rsid w:val="003F63DB"/>
    <w:rsid w:val="003F6F07"/>
    <w:rsid w:val="003F742E"/>
    <w:rsid w:val="003F7546"/>
    <w:rsid w:val="00400C50"/>
    <w:rsid w:val="00401895"/>
    <w:rsid w:val="00401F33"/>
    <w:rsid w:val="004029CF"/>
    <w:rsid w:val="00402CC4"/>
    <w:rsid w:val="004035E6"/>
    <w:rsid w:val="004049FD"/>
    <w:rsid w:val="004057A3"/>
    <w:rsid w:val="00406058"/>
    <w:rsid w:val="00406178"/>
    <w:rsid w:val="0040617C"/>
    <w:rsid w:val="004064C6"/>
    <w:rsid w:val="004067CA"/>
    <w:rsid w:val="00406A0D"/>
    <w:rsid w:val="00407ECB"/>
    <w:rsid w:val="00410452"/>
    <w:rsid w:val="00410C3C"/>
    <w:rsid w:val="0041183B"/>
    <w:rsid w:val="0041191C"/>
    <w:rsid w:val="00412414"/>
    <w:rsid w:val="004124D0"/>
    <w:rsid w:val="00413FEB"/>
    <w:rsid w:val="00414A4E"/>
    <w:rsid w:val="0041576D"/>
    <w:rsid w:val="00416D4B"/>
    <w:rsid w:val="004173F1"/>
    <w:rsid w:val="0042000F"/>
    <w:rsid w:val="004200C5"/>
    <w:rsid w:val="0042022B"/>
    <w:rsid w:val="00422424"/>
    <w:rsid w:val="00422B3D"/>
    <w:rsid w:val="00422E12"/>
    <w:rsid w:val="00423049"/>
    <w:rsid w:val="004236BC"/>
    <w:rsid w:val="0042429B"/>
    <w:rsid w:val="0042502E"/>
    <w:rsid w:val="00426816"/>
    <w:rsid w:val="00426C24"/>
    <w:rsid w:val="0042743E"/>
    <w:rsid w:val="00427BFA"/>
    <w:rsid w:val="0043037A"/>
    <w:rsid w:val="0043088C"/>
    <w:rsid w:val="0043219C"/>
    <w:rsid w:val="00433ABC"/>
    <w:rsid w:val="00434866"/>
    <w:rsid w:val="00436226"/>
    <w:rsid w:val="00437654"/>
    <w:rsid w:val="00437C7D"/>
    <w:rsid w:val="00440671"/>
    <w:rsid w:val="00442C44"/>
    <w:rsid w:val="00444AA2"/>
    <w:rsid w:val="00445FA7"/>
    <w:rsid w:val="0044777E"/>
    <w:rsid w:val="00447A0B"/>
    <w:rsid w:val="00452046"/>
    <w:rsid w:val="004527F6"/>
    <w:rsid w:val="00454ED0"/>
    <w:rsid w:val="0045570A"/>
    <w:rsid w:val="00456844"/>
    <w:rsid w:val="00456FE5"/>
    <w:rsid w:val="00457227"/>
    <w:rsid w:val="004600B6"/>
    <w:rsid w:val="0046022B"/>
    <w:rsid w:val="00460EFA"/>
    <w:rsid w:val="0046550B"/>
    <w:rsid w:val="00465A0C"/>
    <w:rsid w:val="0046601B"/>
    <w:rsid w:val="004661E1"/>
    <w:rsid w:val="00466601"/>
    <w:rsid w:val="004671E1"/>
    <w:rsid w:val="0046758F"/>
    <w:rsid w:val="00467AAF"/>
    <w:rsid w:val="00470DD0"/>
    <w:rsid w:val="004721C6"/>
    <w:rsid w:val="004735C4"/>
    <w:rsid w:val="00473769"/>
    <w:rsid w:val="00473E27"/>
    <w:rsid w:val="00474426"/>
    <w:rsid w:val="004749EB"/>
    <w:rsid w:val="0047554C"/>
    <w:rsid w:val="004756C7"/>
    <w:rsid w:val="0047572C"/>
    <w:rsid w:val="00477284"/>
    <w:rsid w:val="00477285"/>
    <w:rsid w:val="00477387"/>
    <w:rsid w:val="00477DD4"/>
    <w:rsid w:val="004808B6"/>
    <w:rsid w:val="00480C87"/>
    <w:rsid w:val="00482440"/>
    <w:rsid w:val="004842CD"/>
    <w:rsid w:val="00485275"/>
    <w:rsid w:val="00485B89"/>
    <w:rsid w:val="00485F6D"/>
    <w:rsid w:val="0048623A"/>
    <w:rsid w:val="00486B80"/>
    <w:rsid w:val="004870FC"/>
    <w:rsid w:val="004871F3"/>
    <w:rsid w:val="00487571"/>
    <w:rsid w:val="00490279"/>
    <w:rsid w:val="004908BC"/>
    <w:rsid w:val="00491A6B"/>
    <w:rsid w:val="004921B7"/>
    <w:rsid w:val="0049248D"/>
    <w:rsid w:val="00492671"/>
    <w:rsid w:val="0049360F"/>
    <w:rsid w:val="00493A9F"/>
    <w:rsid w:val="0049606B"/>
    <w:rsid w:val="0049695A"/>
    <w:rsid w:val="00496E33"/>
    <w:rsid w:val="004970EF"/>
    <w:rsid w:val="004A12A7"/>
    <w:rsid w:val="004A254D"/>
    <w:rsid w:val="004A26C7"/>
    <w:rsid w:val="004A3B2A"/>
    <w:rsid w:val="004A4621"/>
    <w:rsid w:val="004A59A6"/>
    <w:rsid w:val="004A5E46"/>
    <w:rsid w:val="004A64A2"/>
    <w:rsid w:val="004A6720"/>
    <w:rsid w:val="004A7ADA"/>
    <w:rsid w:val="004B14BD"/>
    <w:rsid w:val="004B1578"/>
    <w:rsid w:val="004B165B"/>
    <w:rsid w:val="004B3EC9"/>
    <w:rsid w:val="004B4826"/>
    <w:rsid w:val="004B49BE"/>
    <w:rsid w:val="004B4CA6"/>
    <w:rsid w:val="004B5687"/>
    <w:rsid w:val="004B5F20"/>
    <w:rsid w:val="004B625F"/>
    <w:rsid w:val="004B6DC7"/>
    <w:rsid w:val="004B6F89"/>
    <w:rsid w:val="004B7146"/>
    <w:rsid w:val="004C0DB2"/>
    <w:rsid w:val="004C1020"/>
    <w:rsid w:val="004C1534"/>
    <w:rsid w:val="004C28B7"/>
    <w:rsid w:val="004C3BF9"/>
    <w:rsid w:val="004C45B2"/>
    <w:rsid w:val="004C4CF5"/>
    <w:rsid w:val="004D159F"/>
    <w:rsid w:val="004D1724"/>
    <w:rsid w:val="004D1F61"/>
    <w:rsid w:val="004D2800"/>
    <w:rsid w:val="004D2841"/>
    <w:rsid w:val="004D2D87"/>
    <w:rsid w:val="004D3E52"/>
    <w:rsid w:val="004D480F"/>
    <w:rsid w:val="004D53AB"/>
    <w:rsid w:val="004D74F9"/>
    <w:rsid w:val="004D7F16"/>
    <w:rsid w:val="004D7F96"/>
    <w:rsid w:val="004E103E"/>
    <w:rsid w:val="004E173E"/>
    <w:rsid w:val="004E1DF7"/>
    <w:rsid w:val="004E2234"/>
    <w:rsid w:val="004E3B0D"/>
    <w:rsid w:val="004E3C93"/>
    <w:rsid w:val="004E4BF3"/>
    <w:rsid w:val="004E54F0"/>
    <w:rsid w:val="004E5C98"/>
    <w:rsid w:val="004E6152"/>
    <w:rsid w:val="004E62DC"/>
    <w:rsid w:val="004E7B04"/>
    <w:rsid w:val="004F2708"/>
    <w:rsid w:val="004F316D"/>
    <w:rsid w:val="004F32EC"/>
    <w:rsid w:val="004F3B62"/>
    <w:rsid w:val="004F4195"/>
    <w:rsid w:val="004F4DCA"/>
    <w:rsid w:val="004F4EA9"/>
    <w:rsid w:val="004F63E5"/>
    <w:rsid w:val="004F69E9"/>
    <w:rsid w:val="004F6AAA"/>
    <w:rsid w:val="004F6C54"/>
    <w:rsid w:val="00500426"/>
    <w:rsid w:val="00500A00"/>
    <w:rsid w:val="00500EA5"/>
    <w:rsid w:val="00500ED0"/>
    <w:rsid w:val="00501F86"/>
    <w:rsid w:val="00502B86"/>
    <w:rsid w:val="00504CBE"/>
    <w:rsid w:val="00505A70"/>
    <w:rsid w:val="00505BB4"/>
    <w:rsid w:val="00506E60"/>
    <w:rsid w:val="00507996"/>
    <w:rsid w:val="00510934"/>
    <w:rsid w:val="00510DEC"/>
    <w:rsid w:val="00511659"/>
    <w:rsid w:val="00511951"/>
    <w:rsid w:val="00512B40"/>
    <w:rsid w:val="00512E42"/>
    <w:rsid w:val="005138B8"/>
    <w:rsid w:val="005144B7"/>
    <w:rsid w:val="005153D6"/>
    <w:rsid w:val="0051642E"/>
    <w:rsid w:val="005166E4"/>
    <w:rsid w:val="0051701B"/>
    <w:rsid w:val="0051709F"/>
    <w:rsid w:val="00517146"/>
    <w:rsid w:val="0051775D"/>
    <w:rsid w:val="00517E2E"/>
    <w:rsid w:val="00517E4C"/>
    <w:rsid w:val="00520079"/>
    <w:rsid w:val="005211E0"/>
    <w:rsid w:val="0052143A"/>
    <w:rsid w:val="00523104"/>
    <w:rsid w:val="00523140"/>
    <w:rsid w:val="00524CAF"/>
    <w:rsid w:val="00524D63"/>
    <w:rsid w:val="00525E35"/>
    <w:rsid w:val="00526B45"/>
    <w:rsid w:val="00527C2C"/>
    <w:rsid w:val="00530429"/>
    <w:rsid w:val="005310AE"/>
    <w:rsid w:val="005314B6"/>
    <w:rsid w:val="0053165E"/>
    <w:rsid w:val="0053403F"/>
    <w:rsid w:val="00534711"/>
    <w:rsid w:val="0053562D"/>
    <w:rsid w:val="00535B92"/>
    <w:rsid w:val="00537C0A"/>
    <w:rsid w:val="00537F87"/>
    <w:rsid w:val="00537FF9"/>
    <w:rsid w:val="005412BD"/>
    <w:rsid w:val="00541E7F"/>
    <w:rsid w:val="005423C0"/>
    <w:rsid w:val="00542691"/>
    <w:rsid w:val="00542837"/>
    <w:rsid w:val="00544318"/>
    <w:rsid w:val="00546608"/>
    <w:rsid w:val="00546929"/>
    <w:rsid w:val="005477F4"/>
    <w:rsid w:val="00550E14"/>
    <w:rsid w:val="005524F4"/>
    <w:rsid w:val="0055291E"/>
    <w:rsid w:val="00552A02"/>
    <w:rsid w:val="005538D7"/>
    <w:rsid w:val="0055455A"/>
    <w:rsid w:val="00554758"/>
    <w:rsid w:val="00556A63"/>
    <w:rsid w:val="00556DA8"/>
    <w:rsid w:val="00556F65"/>
    <w:rsid w:val="005570AB"/>
    <w:rsid w:val="00560964"/>
    <w:rsid w:val="005614D0"/>
    <w:rsid w:val="00562B20"/>
    <w:rsid w:val="00562DCF"/>
    <w:rsid w:val="005652D4"/>
    <w:rsid w:val="0056570B"/>
    <w:rsid w:val="00565D81"/>
    <w:rsid w:val="005663DE"/>
    <w:rsid w:val="005671B8"/>
    <w:rsid w:val="0056736B"/>
    <w:rsid w:val="00567437"/>
    <w:rsid w:val="00570968"/>
    <w:rsid w:val="00570F86"/>
    <w:rsid w:val="00571ABF"/>
    <w:rsid w:val="00571D1A"/>
    <w:rsid w:val="0057275D"/>
    <w:rsid w:val="00572D23"/>
    <w:rsid w:val="00572F08"/>
    <w:rsid w:val="005732A2"/>
    <w:rsid w:val="005733D2"/>
    <w:rsid w:val="0057410A"/>
    <w:rsid w:val="0057463B"/>
    <w:rsid w:val="00574772"/>
    <w:rsid w:val="00574A17"/>
    <w:rsid w:val="0057506F"/>
    <w:rsid w:val="005760FE"/>
    <w:rsid w:val="005763A7"/>
    <w:rsid w:val="005766B2"/>
    <w:rsid w:val="00576960"/>
    <w:rsid w:val="0057711C"/>
    <w:rsid w:val="00577661"/>
    <w:rsid w:val="005778A1"/>
    <w:rsid w:val="00577979"/>
    <w:rsid w:val="00577A5C"/>
    <w:rsid w:val="0058035B"/>
    <w:rsid w:val="0058140D"/>
    <w:rsid w:val="00583AB9"/>
    <w:rsid w:val="00583EB3"/>
    <w:rsid w:val="005842F1"/>
    <w:rsid w:val="00585612"/>
    <w:rsid w:val="00587580"/>
    <w:rsid w:val="005879C3"/>
    <w:rsid w:val="005903C0"/>
    <w:rsid w:val="0059242D"/>
    <w:rsid w:val="00592951"/>
    <w:rsid w:val="00593DD5"/>
    <w:rsid w:val="005952BF"/>
    <w:rsid w:val="005963FC"/>
    <w:rsid w:val="005978B3"/>
    <w:rsid w:val="00597D35"/>
    <w:rsid w:val="00597FA5"/>
    <w:rsid w:val="005A14FE"/>
    <w:rsid w:val="005A61D1"/>
    <w:rsid w:val="005A683D"/>
    <w:rsid w:val="005A68BF"/>
    <w:rsid w:val="005A695A"/>
    <w:rsid w:val="005A71EA"/>
    <w:rsid w:val="005B299D"/>
    <w:rsid w:val="005B2BFA"/>
    <w:rsid w:val="005B3CD0"/>
    <w:rsid w:val="005B4129"/>
    <w:rsid w:val="005B499C"/>
    <w:rsid w:val="005B53F0"/>
    <w:rsid w:val="005B582C"/>
    <w:rsid w:val="005B5C16"/>
    <w:rsid w:val="005B5FC6"/>
    <w:rsid w:val="005B7C28"/>
    <w:rsid w:val="005B7F4D"/>
    <w:rsid w:val="005C0311"/>
    <w:rsid w:val="005C091A"/>
    <w:rsid w:val="005C1780"/>
    <w:rsid w:val="005C2267"/>
    <w:rsid w:val="005C2B23"/>
    <w:rsid w:val="005C387E"/>
    <w:rsid w:val="005C3F0D"/>
    <w:rsid w:val="005C45D9"/>
    <w:rsid w:val="005C4DE5"/>
    <w:rsid w:val="005C561A"/>
    <w:rsid w:val="005C5680"/>
    <w:rsid w:val="005C5CFD"/>
    <w:rsid w:val="005C6552"/>
    <w:rsid w:val="005C6D76"/>
    <w:rsid w:val="005C6E88"/>
    <w:rsid w:val="005D0341"/>
    <w:rsid w:val="005D1B28"/>
    <w:rsid w:val="005D2323"/>
    <w:rsid w:val="005D24C9"/>
    <w:rsid w:val="005D4956"/>
    <w:rsid w:val="005D4D3F"/>
    <w:rsid w:val="005D5A5E"/>
    <w:rsid w:val="005D5C46"/>
    <w:rsid w:val="005D6A85"/>
    <w:rsid w:val="005D7D01"/>
    <w:rsid w:val="005E0831"/>
    <w:rsid w:val="005E0941"/>
    <w:rsid w:val="005E14D5"/>
    <w:rsid w:val="005E196C"/>
    <w:rsid w:val="005E238C"/>
    <w:rsid w:val="005E24C9"/>
    <w:rsid w:val="005E24D0"/>
    <w:rsid w:val="005E345F"/>
    <w:rsid w:val="005E3854"/>
    <w:rsid w:val="005E3965"/>
    <w:rsid w:val="005E3DB6"/>
    <w:rsid w:val="005E4692"/>
    <w:rsid w:val="005E6078"/>
    <w:rsid w:val="005E6284"/>
    <w:rsid w:val="005E707B"/>
    <w:rsid w:val="005E739B"/>
    <w:rsid w:val="005F16BB"/>
    <w:rsid w:val="005F25D4"/>
    <w:rsid w:val="005F27D7"/>
    <w:rsid w:val="005F2F0A"/>
    <w:rsid w:val="005F39F5"/>
    <w:rsid w:val="005F3A91"/>
    <w:rsid w:val="005F45DD"/>
    <w:rsid w:val="005F46CA"/>
    <w:rsid w:val="005F50B4"/>
    <w:rsid w:val="005F5A6D"/>
    <w:rsid w:val="005F5F1F"/>
    <w:rsid w:val="005F63D2"/>
    <w:rsid w:val="005F716E"/>
    <w:rsid w:val="005F7FAF"/>
    <w:rsid w:val="00601BF6"/>
    <w:rsid w:val="00602BF7"/>
    <w:rsid w:val="0060400F"/>
    <w:rsid w:val="006053DB"/>
    <w:rsid w:val="00605D4F"/>
    <w:rsid w:val="00607346"/>
    <w:rsid w:val="006076B9"/>
    <w:rsid w:val="006079F4"/>
    <w:rsid w:val="0061068D"/>
    <w:rsid w:val="006106A7"/>
    <w:rsid w:val="0061084D"/>
    <w:rsid w:val="00610D52"/>
    <w:rsid w:val="00612E7C"/>
    <w:rsid w:val="0061391F"/>
    <w:rsid w:val="00615418"/>
    <w:rsid w:val="00617605"/>
    <w:rsid w:val="006203F1"/>
    <w:rsid w:val="006209AA"/>
    <w:rsid w:val="00620EF9"/>
    <w:rsid w:val="00621379"/>
    <w:rsid w:val="006239F3"/>
    <w:rsid w:val="00623F93"/>
    <w:rsid w:val="006258AB"/>
    <w:rsid w:val="00626CB9"/>
    <w:rsid w:val="00626D8F"/>
    <w:rsid w:val="0062767E"/>
    <w:rsid w:val="00627B12"/>
    <w:rsid w:val="00627BEB"/>
    <w:rsid w:val="00630344"/>
    <w:rsid w:val="0063120C"/>
    <w:rsid w:val="00631595"/>
    <w:rsid w:val="00632E89"/>
    <w:rsid w:val="00633B9D"/>
    <w:rsid w:val="006343D6"/>
    <w:rsid w:val="006347F0"/>
    <w:rsid w:val="0063482A"/>
    <w:rsid w:val="0063714C"/>
    <w:rsid w:val="006409BD"/>
    <w:rsid w:val="006411DA"/>
    <w:rsid w:val="00642C07"/>
    <w:rsid w:val="006434C8"/>
    <w:rsid w:val="00643A9F"/>
    <w:rsid w:val="00643D77"/>
    <w:rsid w:val="006454B3"/>
    <w:rsid w:val="006454B6"/>
    <w:rsid w:val="00645A1D"/>
    <w:rsid w:val="00645F54"/>
    <w:rsid w:val="00646368"/>
    <w:rsid w:val="00650668"/>
    <w:rsid w:val="00650AB6"/>
    <w:rsid w:val="006510DA"/>
    <w:rsid w:val="006511FD"/>
    <w:rsid w:val="006533C1"/>
    <w:rsid w:val="00653B99"/>
    <w:rsid w:val="0065420B"/>
    <w:rsid w:val="00655271"/>
    <w:rsid w:val="006555C2"/>
    <w:rsid w:val="00660962"/>
    <w:rsid w:val="00660C78"/>
    <w:rsid w:val="00662A51"/>
    <w:rsid w:val="00662B67"/>
    <w:rsid w:val="00663A7D"/>
    <w:rsid w:val="00663FD5"/>
    <w:rsid w:val="00665636"/>
    <w:rsid w:val="0066630A"/>
    <w:rsid w:val="00666BD8"/>
    <w:rsid w:val="00667E47"/>
    <w:rsid w:val="00670311"/>
    <w:rsid w:val="00670D3B"/>
    <w:rsid w:val="00671487"/>
    <w:rsid w:val="0067232A"/>
    <w:rsid w:val="00672B0E"/>
    <w:rsid w:val="00674837"/>
    <w:rsid w:val="00676516"/>
    <w:rsid w:val="0067778E"/>
    <w:rsid w:val="006809A9"/>
    <w:rsid w:val="006814B3"/>
    <w:rsid w:val="006819C7"/>
    <w:rsid w:val="00681C3F"/>
    <w:rsid w:val="006828E5"/>
    <w:rsid w:val="00682FD2"/>
    <w:rsid w:val="00683321"/>
    <w:rsid w:val="0068338B"/>
    <w:rsid w:val="00683562"/>
    <w:rsid w:val="00683D96"/>
    <w:rsid w:val="00686D2D"/>
    <w:rsid w:val="006870DC"/>
    <w:rsid w:val="006876AB"/>
    <w:rsid w:val="0069025C"/>
    <w:rsid w:val="0069096D"/>
    <w:rsid w:val="006910F9"/>
    <w:rsid w:val="00691231"/>
    <w:rsid w:val="00691E23"/>
    <w:rsid w:val="00691FEA"/>
    <w:rsid w:val="00692D85"/>
    <w:rsid w:val="006958AB"/>
    <w:rsid w:val="0069732F"/>
    <w:rsid w:val="006A1747"/>
    <w:rsid w:val="006A1DE8"/>
    <w:rsid w:val="006A3170"/>
    <w:rsid w:val="006A3B85"/>
    <w:rsid w:val="006A44E8"/>
    <w:rsid w:val="006A5042"/>
    <w:rsid w:val="006A552C"/>
    <w:rsid w:val="006A55D5"/>
    <w:rsid w:val="006A583A"/>
    <w:rsid w:val="006A5958"/>
    <w:rsid w:val="006A72F8"/>
    <w:rsid w:val="006A73A9"/>
    <w:rsid w:val="006A7809"/>
    <w:rsid w:val="006A7C20"/>
    <w:rsid w:val="006B0362"/>
    <w:rsid w:val="006B056D"/>
    <w:rsid w:val="006B0AD1"/>
    <w:rsid w:val="006B12FD"/>
    <w:rsid w:val="006B172A"/>
    <w:rsid w:val="006B17DA"/>
    <w:rsid w:val="006B22DD"/>
    <w:rsid w:val="006B3320"/>
    <w:rsid w:val="006B3598"/>
    <w:rsid w:val="006B3BD3"/>
    <w:rsid w:val="006B3BF8"/>
    <w:rsid w:val="006B406D"/>
    <w:rsid w:val="006B65EF"/>
    <w:rsid w:val="006C009C"/>
    <w:rsid w:val="006C0BA4"/>
    <w:rsid w:val="006C19FF"/>
    <w:rsid w:val="006C1A8A"/>
    <w:rsid w:val="006C2433"/>
    <w:rsid w:val="006C270B"/>
    <w:rsid w:val="006C28F1"/>
    <w:rsid w:val="006C2FF0"/>
    <w:rsid w:val="006C311A"/>
    <w:rsid w:val="006C36C5"/>
    <w:rsid w:val="006C49BA"/>
    <w:rsid w:val="006C4D62"/>
    <w:rsid w:val="006C7B2A"/>
    <w:rsid w:val="006D092F"/>
    <w:rsid w:val="006D0C12"/>
    <w:rsid w:val="006D1349"/>
    <w:rsid w:val="006D37D2"/>
    <w:rsid w:val="006D3C2C"/>
    <w:rsid w:val="006D3C92"/>
    <w:rsid w:val="006D5013"/>
    <w:rsid w:val="006D511E"/>
    <w:rsid w:val="006D545E"/>
    <w:rsid w:val="006D5AC1"/>
    <w:rsid w:val="006D6C93"/>
    <w:rsid w:val="006D7012"/>
    <w:rsid w:val="006D7036"/>
    <w:rsid w:val="006D73C2"/>
    <w:rsid w:val="006D7DFC"/>
    <w:rsid w:val="006E04DD"/>
    <w:rsid w:val="006E2CD5"/>
    <w:rsid w:val="006E516B"/>
    <w:rsid w:val="006E5E13"/>
    <w:rsid w:val="006E6D64"/>
    <w:rsid w:val="006E71E2"/>
    <w:rsid w:val="006E769F"/>
    <w:rsid w:val="006F0685"/>
    <w:rsid w:val="006F1A75"/>
    <w:rsid w:val="006F1AD4"/>
    <w:rsid w:val="006F2C8A"/>
    <w:rsid w:val="006F4871"/>
    <w:rsid w:val="006F55A3"/>
    <w:rsid w:val="006F5885"/>
    <w:rsid w:val="006F76A3"/>
    <w:rsid w:val="007007B3"/>
    <w:rsid w:val="00700A1A"/>
    <w:rsid w:val="00700DF6"/>
    <w:rsid w:val="00700F1C"/>
    <w:rsid w:val="00700F4E"/>
    <w:rsid w:val="007014EF"/>
    <w:rsid w:val="007015E9"/>
    <w:rsid w:val="007021C4"/>
    <w:rsid w:val="007027F2"/>
    <w:rsid w:val="0070385A"/>
    <w:rsid w:val="007039C8"/>
    <w:rsid w:val="00703CB5"/>
    <w:rsid w:val="007042A7"/>
    <w:rsid w:val="007048FC"/>
    <w:rsid w:val="00705BB2"/>
    <w:rsid w:val="00707475"/>
    <w:rsid w:val="0070756A"/>
    <w:rsid w:val="0070786E"/>
    <w:rsid w:val="0071006B"/>
    <w:rsid w:val="00710359"/>
    <w:rsid w:val="0071042E"/>
    <w:rsid w:val="00710A25"/>
    <w:rsid w:val="00710C6D"/>
    <w:rsid w:val="007121AA"/>
    <w:rsid w:val="0071294B"/>
    <w:rsid w:val="00714789"/>
    <w:rsid w:val="00715357"/>
    <w:rsid w:val="00715A30"/>
    <w:rsid w:val="00716BB6"/>
    <w:rsid w:val="007171ED"/>
    <w:rsid w:val="00723B88"/>
    <w:rsid w:val="00723E94"/>
    <w:rsid w:val="00724F35"/>
    <w:rsid w:val="0072566E"/>
    <w:rsid w:val="00726347"/>
    <w:rsid w:val="0072798F"/>
    <w:rsid w:val="007302E5"/>
    <w:rsid w:val="00730882"/>
    <w:rsid w:val="00731DE0"/>
    <w:rsid w:val="00732A78"/>
    <w:rsid w:val="00732AA5"/>
    <w:rsid w:val="00732EC4"/>
    <w:rsid w:val="007332D2"/>
    <w:rsid w:val="00733E64"/>
    <w:rsid w:val="0073586D"/>
    <w:rsid w:val="00735942"/>
    <w:rsid w:val="00736613"/>
    <w:rsid w:val="0073667E"/>
    <w:rsid w:val="00737A7A"/>
    <w:rsid w:val="00740E57"/>
    <w:rsid w:val="00741ACB"/>
    <w:rsid w:val="00742DFB"/>
    <w:rsid w:val="007435E8"/>
    <w:rsid w:val="00743755"/>
    <w:rsid w:val="00743CEB"/>
    <w:rsid w:val="007447AD"/>
    <w:rsid w:val="00745721"/>
    <w:rsid w:val="00745DA8"/>
    <w:rsid w:val="007505DF"/>
    <w:rsid w:val="007508A1"/>
    <w:rsid w:val="00751513"/>
    <w:rsid w:val="007519C5"/>
    <w:rsid w:val="00752B3C"/>
    <w:rsid w:val="00753F72"/>
    <w:rsid w:val="007549ED"/>
    <w:rsid w:val="0075504A"/>
    <w:rsid w:val="00755B70"/>
    <w:rsid w:val="007562E2"/>
    <w:rsid w:val="007566A4"/>
    <w:rsid w:val="00757B48"/>
    <w:rsid w:val="007610D7"/>
    <w:rsid w:val="007613F6"/>
    <w:rsid w:val="00761934"/>
    <w:rsid w:val="00761A16"/>
    <w:rsid w:val="007625D5"/>
    <w:rsid w:val="00763F3D"/>
    <w:rsid w:val="00764D60"/>
    <w:rsid w:val="00765B1C"/>
    <w:rsid w:val="00765CD9"/>
    <w:rsid w:val="00766B19"/>
    <w:rsid w:val="0077060D"/>
    <w:rsid w:val="00770692"/>
    <w:rsid w:val="00770C05"/>
    <w:rsid w:val="007713B1"/>
    <w:rsid w:val="0077177C"/>
    <w:rsid w:val="00772373"/>
    <w:rsid w:val="00772637"/>
    <w:rsid w:val="00772EBE"/>
    <w:rsid w:val="00773949"/>
    <w:rsid w:val="00773DF0"/>
    <w:rsid w:val="00774A1B"/>
    <w:rsid w:val="00774E4D"/>
    <w:rsid w:val="0077509E"/>
    <w:rsid w:val="007757D2"/>
    <w:rsid w:val="0077590E"/>
    <w:rsid w:val="007764E3"/>
    <w:rsid w:val="00776F69"/>
    <w:rsid w:val="007778C3"/>
    <w:rsid w:val="007806BB"/>
    <w:rsid w:val="007810DA"/>
    <w:rsid w:val="00781480"/>
    <w:rsid w:val="00782365"/>
    <w:rsid w:val="00782B0B"/>
    <w:rsid w:val="007837DE"/>
    <w:rsid w:val="00784664"/>
    <w:rsid w:val="00785B2E"/>
    <w:rsid w:val="00785FF2"/>
    <w:rsid w:val="00786206"/>
    <w:rsid w:val="007873A6"/>
    <w:rsid w:val="00790637"/>
    <w:rsid w:val="00790BB6"/>
    <w:rsid w:val="00791220"/>
    <w:rsid w:val="0079155A"/>
    <w:rsid w:val="007927C2"/>
    <w:rsid w:val="00793185"/>
    <w:rsid w:val="00793377"/>
    <w:rsid w:val="007938F8"/>
    <w:rsid w:val="00794C02"/>
    <w:rsid w:val="00794F3F"/>
    <w:rsid w:val="00794F5F"/>
    <w:rsid w:val="0079644E"/>
    <w:rsid w:val="00796D7B"/>
    <w:rsid w:val="00796FFC"/>
    <w:rsid w:val="0079713A"/>
    <w:rsid w:val="007A1855"/>
    <w:rsid w:val="007A242C"/>
    <w:rsid w:val="007A2B98"/>
    <w:rsid w:val="007A2CBF"/>
    <w:rsid w:val="007A3D6F"/>
    <w:rsid w:val="007A4496"/>
    <w:rsid w:val="007A4C97"/>
    <w:rsid w:val="007A4F68"/>
    <w:rsid w:val="007A5410"/>
    <w:rsid w:val="007A5572"/>
    <w:rsid w:val="007A6903"/>
    <w:rsid w:val="007B0669"/>
    <w:rsid w:val="007B1BE2"/>
    <w:rsid w:val="007B2C3D"/>
    <w:rsid w:val="007B3585"/>
    <w:rsid w:val="007B38CD"/>
    <w:rsid w:val="007B40DB"/>
    <w:rsid w:val="007B4268"/>
    <w:rsid w:val="007B5448"/>
    <w:rsid w:val="007B6D9D"/>
    <w:rsid w:val="007C00B1"/>
    <w:rsid w:val="007C18F4"/>
    <w:rsid w:val="007C3411"/>
    <w:rsid w:val="007C3600"/>
    <w:rsid w:val="007C39D3"/>
    <w:rsid w:val="007C3E85"/>
    <w:rsid w:val="007C4768"/>
    <w:rsid w:val="007C4E47"/>
    <w:rsid w:val="007C53DB"/>
    <w:rsid w:val="007C6445"/>
    <w:rsid w:val="007C75A7"/>
    <w:rsid w:val="007C7A55"/>
    <w:rsid w:val="007C7F65"/>
    <w:rsid w:val="007D0532"/>
    <w:rsid w:val="007D125A"/>
    <w:rsid w:val="007D15DD"/>
    <w:rsid w:val="007D1931"/>
    <w:rsid w:val="007D2BCE"/>
    <w:rsid w:val="007D2E6B"/>
    <w:rsid w:val="007D32AA"/>
    <w:rsid w:val="007D352D"/>
    <w:rsid w:val="007D419B"/>
    <w:rsid w:val="007D4ABE"/>
    <w:rsid w:val="007D4EBE"/>
    <w:rsid w:val="007D5065"/>
    <w:rsid w:val="007D58F2"/>
    <w:rsid w:val="007D6278"/>
    <w:rsid w:val="007D6504"/>
    <w:rsid w:val="007D6EFE"/>
    <w:rsid w:val="007D7CAD"/>
    <w:rsid w:val="007E1F8A"/>
    <w:rsid w:val="007E2DC5"/>
    <w:rsid w:val="007E394F"/>
    <w:rsid w:val="007E45DF"/>
    <w:rsid w:val="007E7C5D"/>
    <w:rsid w:val="007F2724"/>
    <w:rsid w:val="007F3E11"/>
    <w:rsid w:val="007F4292"/>
    <w:rsid w:val="007F479F"/>
    <w:rsid w:val="007F521A"/>
    <w:rsid w:val="007F6346"/>
    <w:rsid w:val="007F7AD5"/>
    <w:rsid w:val="00800CF6"/>
    <w:rsid w:val="00801DB1"/>
    <w:rsid w:val="00801F68"/>
    <w:rsid w:val="008024AB"/>
    <w:rsid w:val="00802940"/>
    <w:rsid w:val="008036FC"/>
    <w:rsid w:val="00805534"/>
    <w:rsid w:val="00806F0C"/>
    <w:rsid w:val="00807F14"/>
    <w:rsid w:val="0081096D"/>
    <w:rsid w:val="00811D8C"/>
    <w:rsid w:val="008139E6"/>
    <w:rsid w:val="0081429F"/>
    <w:rsid w:val="00815E48"/>
    <w:rsid w:val="00816A65"/>
    <w:rsid w:val="008172E6"/>
    <w:rsid w:val="00817BB2"/>
    <w:rsid w:val="008219F0"/>
    <w:rsid w:val="00821D44"/>
    <w:rsid w:val="00824E91"/>
    <w:rsid w:val="008258AE"/>
    <w:rsid w:val="00825FD8"/>
    <w:rsid w:val="00826412"/>
    <w:rsid w:val="00826C37"/>
    <w:rsid w:val="00827617"/>
    <w:rsid w:val="00827750"/>
    <w:rsid w:val="008300B8"/>
    <w:rsid w:val="00830FE2"/>
    <w:rsid w:val="00832FF4"/>
    <w:rsid w:val="008346A0"/>
    <w:rsid w:val="008347DD"/>
    <w:rsid w:val="00835C2F"/>
    <w:rsid w:val="008364A8"/>
    <w:rsid w:val="00836507"/>
    <w:rsid w:val="008372EB"/>
    <w:rsid w:val="00837A1E"/>
    <w:rsid w:val="00840742"/>
    <w:rsid w:val="00841B68"/>
    <w:rsid w:val="008420BE"/>
    <w:rsid w:val="0084304A"/>
    <w:rsid w:val="00843CA7"/>
    <w:rsid w:val="00843E0D"/>
    <w:rsid w:val="00845378"/>
    <w:rsid w:val="00845721"/>
    <w:rsid w:val="00845CA0"/>
    <w:rsid w:val="0084605F"/>
    <w:rsid w:val="00846971"/>
    <w:rsid w:val="008469C9"/>
    <w:rsid w:val="00846C27"/>
    <w:rsid w:val="00851754"/>
    <w:rsid w:val="008528CF"/>
    <w:rsid w:val="00852DD4"/>
    <w:rsid w:val="00853862"/>
    <w:rsid w:val="00853C03"/>
    <w:rsid w:val="008540C8"/>
    <w:rsid w:val="00854175"/>
    <w:rsid w:val="00855584"/>
    <w:rsid w:val="0085637D"/>
    <w:rsid w:val="008568BB"/>
    <w:rsid w:val="008576FF"/>
    <w:rsid w:val="00861A6F"/>
    <w:rsid w:val="00861E81"/>
    <w:rsid w:val="00862064"/>
    <w:rsid w:val="008631DC"/>
    <w:rsid w:val="00863A18"/>
    <w:rsid w:val="00863CC1"/>
    <w:rsid w:val="00863E25"/>
    <w:rsid w:val="00864151"/>
    <w:rsid w:val="008646ED"/>
    <w:rsid w:val="0086605E"/>
    <w:rsid w:val="008663CC"/>
    <w:rsid w:val="008664CD"/>
    <w:rsid w:val="00866D18"/>
    <w:rsid w:val="00866D6C"/>
    <w:rsid w:val="00867384"/>
    <w:rsid w:val="00867580"/>
    <w:rsid w:val="00872528"/>
    <w:rsid w:val="00872C14"/>
    <w:rsid w:val="00872F5A"/>
    <w:rsid w:val="008730D8"/>
    <w:rsid w:val="008731EA"/>
    <w:rsid w:val="008745EE"/>
    <w:rsid w:val="0087492C"/>
    <w:rsid w:val="00874EF8"/>
    <w:rsid w:val="00876138"/>
    <w:rsid w:val="0087710C"/>
    <w:rsid w:val="00877AF2"/>
    <w:rsid w:val="00880414"/>
    <w:rsid w:val="008811AD"/>
    <w:rsid w:val="0088250E"/>
    <w:rsid w:val="008828CC"/>
    <w:rsid w:val="00882998"/>
    <w:rsid w:val="00883227"/>
    <w:rsid w:val="00883456"/>
    <w:rsid w:val="00884A73"/>
    <w:rsid w:val="00886ACA"/>
    <w:rsid w:val="00886D43"/>
    <w:rsid w:val="00887C00"/>
    <w:rsid w:val="00890102"/>
    <w:rsid w:val="00891B71"/>
    <w:rsid w:val="00892884"/>
    <w:rsid w:val="00892B1E"/>
    <w:rsid w:val="00893558"/>
    <w:rsid w:val="00895782"/>
    <w:rsid w:val="00896BF9"/>
    <w:rsid w:val="00896DCC"/>
    <w:rsid w:val="00896F85"/>
    <w:rsid w:val="00897F47"/>
    <w:rsid w:val="00897FFA"/>
    <w:rsid w:val="008A020E"/>
    <w:rsid w:val="008A0880"/>
    <w:rsid w:val="008A0FAD"/>
    <w:rsid w:val="008A20D9"/>
    <w:rsid w:val="008A273C"/>
    <w:rsid w:val="008A658F"/>
    <w:rsid w:val="008A7251"/>
    <w:rsid w:val="008B1097"/>
    <w:rsid w:val="008B2309"/>
    <w:rsid w:val="008B3C07"/>
    <w:rsid w:val="008B42F5"/>
    <w:rsid w:val="008B4378"/>
    <w:rsid w:val="008B49FD"/>
    <w:rsid w:val="008B4BD2"/>
    <w:rsid w:val="008B4E05"/>
    <w:rsid w:val="008B503F"/>
    <w:rsid w:val="008B54D8"/>
    <w:rsid w:val="008B65EE"/>
    <w:rsid w:val="008B692B"/>
    <w:rsid w:val="008B72DD"/>
    <w:rsid w:val="008B7E07"/>
    <w:rsid w:val="008C0D03"/>
    <w:rsid w:val="008C1120"/>
    <w:rsid w:val="008C11C0"/>
    <w:rsid w:val="008C147F"/>
    <w:rsid w:val="008C2576"/>
    <w:rsid w:val="008C3303"/>
    <w:rsid w:val="008C36D4"/>
    <w:rsid w:val="008C3A93"/>
    <w:rsid w:val="008C3DE4"/>
    <w:rsid w:val="008C4500"/>
    <w:rsid w:val="008C5A97"/>
    <w:rsid w:val="008C5DFB"/>
    <w:rsid w:val="008C7218"/>
    <w:rsid w:val="008C78CD"/>
    <w:rsid w:val="008D0392"/>
    <w:rsid w:val="008D25D6"/>
    <w:rsid w:val="008D2E4A"/>
    <w:rsid w:val="008D3009"/>
    <w:rsid w:val="008D3523"/>
    <w:rsid w:val="008D3C03"/>
    <w:rsid w:val="008D4177"/>
    <w:rsid w:val="008D47C7"/>
    <w:rsid w:val="008D5199"/>
    <w:rsid w:val="008D51E1"/>
    <w:rsid w:val="008D58E6"/>
    <w:rsid w:val="008D66A3"/>
    <w:rsid w:val="008D674B"/>
    <w:rsid w:val="008D6D6B"/>
    <w:rsid w:val="008D78E2"/>
    <w:rsid w:val="008E3415"/>
    <w:rsid w:val="008E382D"/>
    <w:rsid w:val="008E3C24"/>
    <w:rsid w:val="008E4AAB"/>
    <w:rsid w:val="008E527D"/>
    <w:rsid w:val="008E55A7"/>
    <w:rsid w:val="008E5F21"/>
    <w:rsid w:val="008E5F56"/>
    <w:rsid w:val="008E78CD"/>
    <w:rsid w:val="008E7A69"/>
    <w:rsid w:val="008F16CC"/>
    <w:rsid w:val="008F196F"/>
    <w:rsid w:val="008F2EC7"/>
    <w:rsid w:val="008F4AB7"/>
    <w:rsid w:val="008F59C6"/>
    <w:rsid w:val="008F5AE7"/>
    <w:rsid w:val="008F6FB3"/>
    <w:rsid w:val="009003C9"/>
    <w:rsid w:val="00900976"/>
    <w:rsid w:val="00900FB2"/>
    <w:rsid w:val="0090145A"/>
    <w:rsid w:val="009014E2"/>
    <w:rsid w:val="00901BE0"/>
    <w:rsid w:val="00901E47"/>
    <w:rsid w:val="00902604"/>
    <w:rsid w:val="0090299F"/>
    <w:rsid w:val="00902AF2"/>
    <w:rsid w:val="009054CD"/>
    <w:rsid w:val="00905A04"/>
    <w:rsid w:val="00907B93"/>
    <w:rsid w:val="00907EED"/>
    <w:rsid w:val="00911846"/>
    <w:rsid w:val="00911E83"/>
    <w:rsid w:val="009120B1"/>
    <w:rsid w:val="009120F3"/>
    <w:rsid w:val="0091224D"/>
    <w:rsid w:val="009125A5"/>
    <w:rsid w:val="00912A49"/>
    <w:rsid w:val="009130FB"/>
    <w:rsid w:val="00913998"/>
    <w:rsid w:val="0091541B"/>
    <w:rsid w:val="00915CC9"/>
    <w:rsid w:val="00916B98"/>
    <w:rsid w:val="00917D68"/>
    <w:rsid w:val="00920513"/>
    <w:rsid w:val="0092119C"/>
    <w:rsid w:val="00921773"/>
    <w:rsid w:val="00921E7B"/>
    <w:rsid w:val="009222BA"/>
    <w:rsid w:val="009229BC"/>
    <w:rsid w:val="009246D9"/>
    <w:rsid w:val="00925879"/>
    <w:rsid w:val="00925ECF"/>
    <w:rsid w:val="00926A66"/>
    <w:rsid w:val="009274A8"/>
    <w:rsid w:val="009274E9"/>
    <w:rsid w:val="00927886"/>
    <w:rsid w:val="00927DF6"/>
    <w:rsid w:val="00927E85"/>
    <w:rsid w:val="00930D00"/>
    <w:rsid w:val="00931B07"/>
    <w:rsid w:val="00931F02"/>
    <w:rsid w:val="00932025"/>
    <w:rsid w:val="00932065"/>
    <w:rsid w:val="009323B8"/>
    <w:rsid w:val="00933B86"/>
    <w:rsid w:val="0093429A"/>
    <w:rsid w:val="00935A19"/>
    <w:rsid w:val="009367F2"/>
    <w:rsid w:val="0093698C"/>
    <w:rsid w:val="00937015"/>
    <w:rsid w:val="00937512"/>
    <w:rsid w:val="00940072"/>
    <w:rsid w:val="00940A42"/>
    <w:rsid w:val="00940BDD"/>
    <w:rsid w:val="00941B20"/>
    <w:rsid w:val="00941B91"/>
    <w:rsid w:val="00941EF4"/>
    <w:rsid w:val="00943804"/>
    <w:rsid w:val="00943BD2"/>
    <w:rsid w:val="0094523B"/>
    <w:rsid w:val="00945966"/>
    <w:rsid w:val="00946133"/>
    <w:rsid w:val="00946936"/>
    <w:rsid w:val="00946D5D"/>
    <w:rsid w:val="00946DAD"/>
    <w:rsid w:val="009477D8"/>
    <w:rsid w:val="009478B8"/>
    <w:rsid w:val="009511D0"/>
    <w:rsid w:val="00951423"/>
    <w:rsid w:val="00951820"/>
    <w:rsid w:val="00951B91"/>
    <w:rsid w:val="0095283A"/>
    <w:rsid w:val="0095287B"/>
    <w:rsid w:val="0095315D"/>
    <w:rsid w:val="00953C24"/>
    <w:rsid w:val="0095422B"/>
    <w:rsid w:val="009553DD"/>
    <w:rsid w:val="009557E6"/>
    <w:rsid w:val="00955D81"/>
    <w:rsid w:val="00956BB2"/>
    <w:rsid w:val="0096203C"/>
    <w:rsid w:val="00963169"/>
    <w:rsid w:val="00963896"/>
    <w:rsid w:val="0096426D"/>
    <w:rsid w:val="0096469A"/>
    <w:rsid w:val="00964976"/>
    <w:rsid w:val="00967238"/>
    <w:rsid w:val="00967371"/>
    <w:rsid w:val="009677BA"/>
    <w:rsid w:val="00971393"/>
    <w:rsid w:val="00971950"/>
    <w:rsid w:val="00973156"/>
    <w:rsid w:val="00973200"/>
    <w:rsid w:val="00973510"/>
    <w:rsid w:val="00973C7E"/>
    <w:rsid w:val="00976C00"/>
    <w:rsid w:val="00980649"/>
    <w:rsid w:val="00981EA5"/>
    <w:rsid w:val="00982986"/>
    <w:rsid w:val="00983D4D"/>
    <w:rsid w:val="009841A1"/>
    <w:rsid w:val="0098432C"/>
    <w:rsid w:val="0098434C"/>
    <w:rsid w:val="00984A12"/>
    <w:rsid w:val="00984EFC"/>
    <w:rsid w:val="00985560"/>
    <w:rsid w:val="009855D9"/>
    <w:rsid w:val="00991330"/>
    <w:rsid w:val="00991EB9"/>
    <w:rsid w:val="00992882"/>
    <w:rsid w:val="00992C1C"/>
    <w:rsid w:val="00994D98"/>
    <w:rsid w:val="0099558A"/>
    <w:rsid w:val="00996AD0"/>
    <w:rsid w:val="00996AE4"/>
    <w:rsid w:val="009A0316"/>
    <w:rsid w:val="009A03D6"/>
    <w:rsid w:val="009A12F4"/>
    <w:rsid w:val="009A50A0"/>
    <w:rsid w:val="009A636F"/>
    <w:rsid w:val="009A7642"/>
    <w:rsid w:val="009B0404"/>
    <w:rsid w:val="009B0ECB"/>
    <w:rsid w:val="009B1B7C"/>
    <w:rsid w:val="009B25EC"/>
    <w:rsid w:val="009B28CD"/>
    <w:rsid w:val="009B4899"/>
    <w:rsid w:val="009B5E05"/>
    <w:rsid w:val="009B6690"/>
    <w:rsid w:val="009B6719"/>
    <w:rsid w:val="009B712F"/>
    <w:rsid w:val="009B716F"/>
    <w:rsid w:val="009B7775"/>
    <w:rsid w:val="009B7CEF"/>
    <w:rsid w:val="009C0361"/>
    <w:rsid w:val="009C1264"/>
    <w:rsid w:val="009C2056"/>
    <w:rsid w:val="009C2420"/>
    <w:rsid w:val="009C2844"/>
    <w:rsid w:val="009C2FF2"/>
    <w:rsid w:val="009C3F25"/>
    <w:rsid w:val="009C44E9"/>
    <w:rsid w:val="009C6565"/>
    <w:rsid w:val="009C6B56"/>
    <w:rsid w:val="009C714B"/>
    <w:rsid w:val="009C736A"/>
    <w:rsid w:val="009C78B8"/>
    <w:rsid w:val="009C7CCB"/>
    <w:rsid w:val="009D0CD1"/>
    <w:rsid w:val="009D14DE"/>
    <w:rsid w:val="009D2082"/>
    <w:rsid w:val="009D2E07"/>
    <w:rsid w:val="009D32B9"/>
    <w:rsid w:val="009D3E69"/>
    <w:rsid w:val="009D4D0F"/>
    <w:rsid w:val="009D6379"/>
    <w:rsid w:val="009D78F3"/>
    <w:rsid w:val="009D7B94"/>
    <w:rsid w:val="009D7EBB"/>
    <w:rsid w:val="009E1C28"/>
    <w:rsid w:val="009E2F80"/>
    <w:rsid w:val="009E3EDD"/>
    <w:rsid w:val="009E42E3"/>
    <w:rsid w:val="009E484D"/>
    <w:rsid w:val="009E5CA1"/>
    <w:rsid w:val="009E5E25"/>
    <w:rsid w:val="009F1784"/>
    <w:rsid w:val="009F1E9F"/>
    <w:rsid w:val="009F28A3"/>
    <w:rsid w:val="009F3794"/>
    <w:rsid w:val="009F38A1"/>
    <w:rsid w:val="009F3DD7"/>
    <w:rsid w:val="009F3DF7"/>
    <w:rsid w:val="009F3FF1"/>
    <w:rsid w:val="009F4E17"/>
    <w:rsid w:val="009F53BB"/>
    <w:rsid w:val="009F609F"/>
    <w:rsid w:val="009F7922"/>
    <w:rsid w:val="009F79EB"/>
    <w:rsid w:val="009F7D94"/>
    <w:rsid w:val="00A000F6"/>
    <w:rsid w:val="00A0017B"/>
    <w:rsid w:val="00A0032E"/>
    <w:rsid w:val="00A00C27"/>
    <w:rsid w:val="00A00D18"/>
    <w:rsid w:val="00A01AE7"/>
    <w:rsid w:val="00A02D61"/>
    <w:rsid w:val="00A040B7"/>
    <w:rsid w:val="00A04356"/>
    <w:rsid w:val="00A0462D"/>
    <w:rsid w:val="00A048DE"/>
    <w:rsid w:val="00A04C9E"/>
    <w:rsid w:val="00A04D41"/>
    <w:rsid w:val="00A04D5A"/>
    <w:rsid w:val="00A04D94"/>
    <w:rsid w:val="00A10FB7"/>
    <w:rsid w:val="00A11321"/>
    <w:rsid w:val="00A14599"/>
    <w:rsid w:val="00A14CFE"/>
    <w:rsid w:val="00A151EA"/>
    <w:rsid w:val="00A15A12"/>
    <w:rsid w:val="00A15F5C"/>
    <w:rsid w:val="00A1652B"/>
    <w:rsid w:val="00A16DE2"/>
    <w:rsid w:val="00A2105B"/>
    <w:rsid w:val="00A22116"/>
    <w:rsid w:val="00A22614"/>
    <w:rsid w:val="00A227E0"/>
    <w:rsid w:val="00A2290A"/>
    <w:rsid w:val="00A252DB"/>
    <w:rsid w:val="00A263AD"/>
    <w:rsid w:val="00A26E41"/>
    <w:rsid w:val="00A2790F"/>
    <w:rsid w:val="00A279A5"/>
    <w:rsid w:val="00A32CBC"/>
    <w:rsid w:val="00A33243"/>
    <w:rsid w:val="00A33436"/>
    <w:rsid w:val="00A33676"/>
    <w:rsid w:val="00A33D78"/>
    <w:rsid w:val="00A341B9"/>
    <w:rsid w:val="00A3425A"/>
    <w:rsid w:val="00A35BE5"/>
    <w:rsid w:val="00A3651C"/>
    <w:rsid w:val="00A36836"/>
    <w:rsid w:val="00A376B5"/>
    <w:rsid w:val="00A41749"/>
    <w:rsid w:val="00A43C93"/>
    <w:rsid w:val="00A449CC"/>
    <w:rsid w:val="00A46328"/>
    <w:rsid w:val="00A46A32"/>
    <w:rsid w:val="00A47323"/>
    <w:rsid w:val="00A47704"/>
    <w:rsid w:val="00A4788E"/>
    <w:rsid w:val="00A47EF5"/>
    <w:rsid w:val="00A549C3"/>
    <w:rsid w:val="00A556C5"/>
    <w:rsid w:val="00A55E94"/>
    <w:rsid w:val="00A56717"/>
    <w:rsid w:val="00A626BA"/>
    <w:rsid w:val="00A626C6"/>
    <w:rsid w:val="00A629F1"/>
    <w:rsid w:val="00A62EAF"/>
    <w:rsid w:val="00A64239"/>
    <w:rsid w:val="00A65C5F"/>
    <w:rsid w:val="00A661B0"/>
    <w:rsid w:val="00A67425"/>
    <w:rsid w:val="00A67B7F"/>
    <w:rsid w:val="00A67E31"/>
    <w:rsid w:val="00A72471"/>
    <w:rsid w:val="00A72E3F"/>
    <w:rsid w:val="00A733EB"/>
    <w:rsid w:val="00A74369"/>
    <w:rsid w:val="00A75107"/>
    <w:rsid w:val="00A75230"/>
    <w:rsid w:val="00A7541D"/>
    <w:rsid w:val="00A766F4"/>
    <w:rsid w:val="00A805A0"/>
    <w:rsid w:val="00A81D1E"/>
    <w:rsid w:val="00A8213D"/>
    <w:rsid w:val="00A82CD5"/>
    <w:rsid w:val="00A837BA"/>
    <w:rsid w:val="00A855C4"/>
    <w:rsid w:val="00A85F7C"/>
    <w:rsid w:val="00A86E55"/>
    <w:rsid w:val="00A87B29"/>
    <w:rsid w:val="00A9023D"/>
    <w:rsid w:val="00A907C3"/>
    <w:rsid w:val="00A91A47"/>
    <w:rsid w:val="00A9263A"/>
    <w:rsid w:val="00A94A35"/>
    <w:rsid w:val="00A94C0D"/>
    <w:rsid w:val="00A953A9"/>
    <w:rsid w:val="00A95421"/>
    <w:rsid w:val="00A96862"/>
    <w:rsid w:val="00A97D7F"/>
    <w:rsid w:val="00AA16A6"/>
    <w:rsid w:val="00AA3DF3"/>
    <w:rsid w:val="00AA5BF1"/>
    <w:rsid w:val="00AA7290"/>
    <w:rsid w:val="00AA7552"/>
    <w:rsid w:val="00AB0870"/>
    <w:rsid w:val="00AB0B4A"/>
    <w:rsid w:val="00AB22D7"/>
    <w:rsid w:val="00AB24CB"/>
    <w:rsid w:val="00AB2A5C"/>
    <w:rsid w:val="00AB2DDA"/>
    <w:rsid w:val="00AB3361"/>
    <w:rsid w:val="00AB3669"/>
    <w:rsid w:val="00AB4A27"/>
    <w:rsid w:val="00AB5069"/>
    <w:rsid w:val="00AB5075"/>
    <w:rsid w:val="00AB5680"/>
    <w:rsid w:val="00AB60A7"/>
    <w:rsid w:val="00AB6FD9"/>
    <w:rsid w:val="00AB7C19"/>
    <w:rsid w:val="00AC016C"/>
    <w:rsid w:val="00AC045E"/>
    <w:rsid w:val="00AC1ADC"/>
    <w:rsid w:val="00AC3DAD"/>
    <w:rsid w:val="00AC4D06"/>
    <w:rsid w:val="00AC5868"/>
    <w:rsid w:val="00AC69AF"/>
    <w:rsid w:val="00AC76BB"/>
    <w:rsid w:val="00AC7861"/>
    <w:rsid w:val="00AC7A05"/>
    <w:rsid w:val="00AD1B16"/>
    <w:rsid w:val="00AD2041"/>
    <w:rsid w:val="00AD22C9"/>
    <w:rsid w:val="00AD2389"/>
    <w:rsid w:val="00AD2DD0"/>
    <w:rsid w:val="00AD2F7F"/>
    <w:rsid w:val="00AD464B"/>
    <w:rsid w:val="00AD47B1"/>
    <w:rsid w:val="00AD49E3"/>
    <w:rsid w:val="00AD4F5D"/>
    <w:rsid w:val="00AD51EF"/>
    <w:rsid w:val="00AD53F6"/>
    <w:rsid w:val="00AD55DD"/>
    <w:rsid w:val="00AD5C2A"/>
    <w:rsid w:val="00AD7867"/>
    <w:rsid w:val="00AD7D3C"/>
    <w:rsid w:val="00AE0ADD"/>
    <w:rsid w:val="00AE1665"/>
    <w:rsid w:val="00AE236A"/>
    <w:rsid w:val="00AE32C0"/>
    <w:rsid w:val="00AE3709"/>
    <w:rsid w:val="00AE3757"/>
    <w:rsid w:val="00AE383A"/>
    <w:rsid w:val="00AE39B7"/>
    <w:rsid w:val="00AE4FD3"/>
    <w:rsid w:val="00AE631A"/>
    <w:rsid w:val="00AE731E"/>
    <w:rsid w:val="00AE7788"/>
    <w:rsid w:val="00AE7FBB"/>
    <w:rsid w:val="00AF301C"/>
    <w:rsid w:val="00AF3108"/>
    <w:rsid w:val="00AF384F"/>
    <w:rsid w:val="00AF3F52"/>
    <w:rsid w:val="00AF4394"/>
    <w:rsid w:val="00AF4816"/>
    <w:rsid w:val="00AF5631"/>
    <w:rsid w:val="00B018E1"/>
    <w:rsid w:val="00B01B76"/>
    <w:rsid w:val="00B01C83"/>
    <w:rsid w:val="00B0272D"/>
    <w:rsid w:val="00B034C1"/>
    <w:rsid w:val="00B03989"/>
    <w:rsid w:val="00B056C3"/>
    <w:rsid w:val="00B06466"/>
    <w:rsid w:val="00B06A78"/>
    <w:rsid w:val="00B0710A"/>
    <w:rsid w:val="00B10273"/>
    <w:rsid w:val="00B10DF1"/>
    <w:rsid w:val="00B11345"/>
    <w:rsid w:val="00B11EA2"/>
    <w:rsid w:val="00B12E74"/>
    <w:rsid w:val="00B13600"/>
    <w:rsid w:val="00B16CA2"/>
    <w:rsid w:val="00B1725D"/>
    <w:rsid w:val="00B176C5"/>
    <w:rsid w:val="00B2086B"/>
    <w:rsid w:val="00B214E1"/>
    <w:rsid w:val="00B21A00"/>
    <w:rsid w:val="00B2231A"/>
    <w:rsid w:val="00B22681"/>
    <w:rsid w:val="00B226EB"/>
    <w:rsid w:val="00B22CFA"/>
    <w:rsid w:val="00B22D3F"/>
    <w:rsid w:val="00B232A9"/>
    <w:rsid w:val="00B235C9"/>
    <w:rsid w:val="00B24789"/>
    <w:rsid w:val="00B248D8"/>
    <w:rsid w:val="00B24DAB"/>
    <w:rsid w:val="00B25595"/>
    <w:rsid w:val="00B26030"/>
    <w:rsid w:val="00B26453"/>
    <w:rsid w:val="00B26B1C"/>
    <w:rsid w:val="00B315D2"/>
    <w:rsid w:val="00B32B2B"/>
    <w:rsid w:val="00B33166"/>
    <w:rsid w:val="00B3326D"/>
    <w:rsid w:val="00B33A30"/>
    <w:rsid w:val="00B33AE8"/>
    <w:rsid w:val="00B33C11"/>
    <w:rsid w:val="00B345E4"/>
    <w:rsid w:val="00B363DE"/>
    <w:rsid w:val="00B367CC"/>
    <w:rsid w:val="00B36C02"/>
    <w:rsid w:val="00B411B6"/>
    <w:rsid w:val="00B41E88"/>
    <w:rsid w:val="00B43127"/>
    <w:rsid w:val="00B450A8"/>
    <w:rsid w:val="00B45B71"/>
    <w:rsid w:val="00B46283"/>
    <w:rsid w:val="00B47ED9"/>
    <w:rsid w:val="00B47F30"/>
    <w:rsid w:val="00B50A9F"/>
    <w:rsid w:val="00B50AEF"/>
    <w:rsid w:val="00B50B40"/>
    <w:rsid w:val="00B5103A"/>
    <w:rsid w:val="00B523D4"/>
    <w:rsid w:val="00B532F9"/>
    <w:rsid w:val="00B53D90"/>
    <w:rsid w:val="00B5434C"/>
    <w:rsid w:val="00B56910"/>
    <w:rsid w:val="00B6006D"/>
    <w:rsid w:val="00B602FF"/>
    <w:rsid w:val="00B60FE4"/>
    <w:rsid w:val="00B614E6"/>
    <w:rsid w:val="00B62978"/>
    <w:rsid w:val="00B62D17"/>
    <w:rsid w:val="00B62DF8"/>
    <w:rsid w:val="00B634CD"/>
    <w:rsid w:val="00B639EC"/>
    <w:rsid w:val="00B64BEE"/>
    <w:rsid w:val="00B64D82"/>
    <w:rsid w:val="00B66265"/>
    <w:rsid w:val="00B669B7"/>
    <w:rsid w:val="00B67A18"/>
    <w:rsid w:val="00B70B2A"/>
    <w:rsid w:val="00B70BFF"/>
    <w:rsid w:val="00B71162"/>
    <w:rsid w:val="00B72B4F"/>
    <w:rsid w:val="00B7321C"/>
    <w:rsid w:val="00B734B3"/>
    <w:rsid w:val="00B74E20"/>
    <w:rsid w:val="00B7565F"/>
    <w:rsid w:val="00B7693B"/>
    <w:rsid w:val="00B76F64"/>
    <w:rsid w:val="00B7719F"/>
    <w:rsid w:val="00B8097E"/>
    <w:rsid w:val="00B825E9"/>
    <w:rsid w:val="00B82CC9"/>
    <w:rsid w:val="00B83037"/>
    <w:rsid w:val="00B83285"/>
    <w:rsid w:val="00B861C8"/>
    <w:rsid w:val="00B86A9F"/>
    <w:rsid w:val="00B87BF7"/>
    <w:rsid w:val="00B9025A"/>
    <w:rsid w:val="00B909EC"/>
    <w:rsid w:val="00B90BB4"/>
    <w:rsid w:val="00B90F5C"/>
    <w:rsid w:val="00B90F73"/>
    <w:rsid w:val="00B92B11"/>
    <w:rsid w:val="00B93454"/>
    <w:rsid w:val="00B934F1"/>
    <w:rsid w:val="00B9367E"/>
    <w:rsid w:val="00B9395F"/>
    <w:rsid w:val="00B94202"/>
    <w:rsid w:val="00B9532F"/>
    <w:rsid w:val="00B956C0"/>
    <w:rsid w:val="00B95D13"/>
    <w:rsid w:val="00B96341"/>
    <w:rsid w:val="00B96B2B"/>
    <w:rsid w:val="00BA047E"/>
    <w:rsid w:val="00BA155B"/>
    <w:rsid w:val="00BA184C"/>
    <w:rsid w:val="00BA2814"/>
    <w:rsid w:val="00BA3228"/>
    <w:rsid w:val="00BA425A"/>
    <w:rsid w:val="00BA4271"/>
    <w:rsid w:val="00BA4468"/>
    <w:rsid w:val="00BA5F25"/>
    <w:rsid w:val="00BA61AE"/>
    <w:rsid w:val="00BA76BE"/>
    <w:rsid w:val="00BA7834"/>
    <w:rsid w:val="00BA79C8"/>
    <w:rsid w:val="00BA7C75"/>
    <w:rsid w:val="00BB0702"/>
    <w:rsid w:val="00BB0DAC"/>
    <w:rsid w:val="00BB1C09"/>
    <w:rsid w:val="00BB224A"/>
    <w:rsid w:val="00BB2573"/>
    <w:rsid w:val="00BB2B50"/>
    <w:rsid w:val="00BB5B65"/>
    <w:rsid w:val="00BB7055"/>
    <w:rsid w:val="00BB76BE"/>
    <w:rsid w:val="00BB7CDC"/>
    <w:rsid w:val="00BC0144"/>
    <w:rsid w:val="00BC065B"/>
    <w:rsid w:val="00BC069C"/>
    <w:rsid w:val="00BC0B90"/>
    <w:rsid w:val="00BC1186"/>
    <w:rsid w:val="00BC22B6"/>
    <w:rsid w:val="00BC23DF"/>
    <w:rsid w:val="00BC2E95"/>
    <w:rsid w:val="00BC39D5"/>
    <w:rsid w:val="00BC3CB4"/>
    <w:rsid w:val="00BC4645"/>
    <w:rsid w:val="00BC522A"/>
    <w:rsid w:val="00BC607B"/>
    <w:rsid w:val="00BC647C"/>
    <w:rsid w:val="00BC71C1"/>
    <w:rsid w:val="00BD0C5C"/>
    <w:rsid w:val="00BD1D40"/>
    <w:rsid w:val="00BD3908"/>
    <w:rsid w:val="00BD3C55"/>
    <w:rsid w:val="00BD49FE"/>
    <w:rsid w:val="00BD4DE3"/>
    <w:rsid w:val="00BD544A"/>
    <w:rsid w:val="00BD5463"/>
    <w:rsid w:val="00BD5907"/>
    <w:rsid w:val="00BD5E87"/>
    <w:rsid w:val="00BD6915"/>
    <w:rsid w:val="00BE01BD"/>
    <w:rsid w:val="00BE0821"/>
    <w:rsid w:val="00BE0ACC"/>
    <w:rsid w:val="00BE1867"/>
    <w:rsid w:val="00BE2377"/>
    <w:rsid w:val="00BE2591"/>
    <w:rsid w:val="00BE26D4"/>
    <w:rsid w:val="00BE2EC2"/>
    <w:rsid w:val="00BE3BCD"/>
    <w:rsid w:val="00BE3FB7"/>
    <w:rsid w:val="00BE4A19"/>
    <w:rsid w:val="00BE4D59"/>
    <w:rsid w:val="00BE5AD5"/>
    <w:rsid w:val="00BE7393"/>
    <w:rsid w:val="00BE74A0"/>
    <w:rsid w:val="00BE7FA4"/>
    <w:rsid w:val="00BF050C"/>
    <w:rsid w:val="00BF088B"/>
    <w:rsid w:val="00BF08F0"/>
    <w:rsid w:val="00BF1855"/>
    <w:rsid w:val="00BF198B"/>
    <w:rsid w:val="00BF253D"/>
    <w:rsid w:val="00BF2E0B"/>
    <w:rsid w:val="00BF3C15"/>
    <w:rsid w:val="00BF3D7F"/>
    <w:rsid w:val="00BF42CC"/>
    <w:rsid w:val="00BF4650"/>
    <w:rsid w:val="00BF4A6E"/>
    <w:rsid w:val="00BF56FF"/>
    <w:rsid w:val="00BF5C4A"/>
    <w:rsid w:val="00BF6080"/>
    <w:rsid w:val="00BF64B5"/>
    <w:rsid w:val="00BF6869"/>
    <w:rsid w:val="00BF6875"/>
    <w:rsid w:val="00BF6ACD"/>
    <w:rsid w:val="00BF6B98"/>
    <w:rsid w:val="00BF7211"/>
    <w:rsid w:val="00BF7716"/>
    <w:rsid w:val="00BF7A62"/>
    <w:rsid w:val="00C010B1"/>
    <w:rsid w:val="00C029E8"/>
    <w:rsid w:val="00C0325E"/>
    <w:rsid w:val="00C0356A"/>
    <w:rsid w:val="00C0364F"/>
    <w:rsid w:val="00C03650"/>
    <w:rsid w:val="00C04373"/>
    <w:rsid w:val="00C0471A"/>
    <w:rsid w:val="00C04A98"/>
    <w:rsid w:val="00C07930"/>
    <w:rsid w:val="00C139BD"/>
    <w:rsid w:val="00C14DF6"/>
    <w:rsid w:val="00C14F7F"/>
    <w:rsid w:val="00C17C5F"/>
    <w:rsid w:val="00C20AB5"/>
    <w:rsid w:val="00C21C13"/>
    <w:rsid w:val="00C225DD"/>
    <w:rsid w:val="00C22C71"/>
    <w:rsid w:val="00C23AE3"/>
    <w:rsid w:val="00C24D6B"/>
    <w:rsid w:val="00C26DC0"/>
    <w:rsid w:val="00C26F54"/>
    <w:rsid w:val="00C27735"/>
    <w:rsid w:val="00C30A53"/>
    <w:rsid w:val="00C31ECF"/>
    <w:rsid w:val="00C32531"/>
    <w:rsid w:val="00C32D01"/>
    <w:rsid w:val="00C32D56"/>
    <w:rsid w:val="00C3302A"/>
    <w:rsid w:val="00C33531"/>
    <w:rsid w:val="00C33624"/>
    <w:rsid w:val="00C33C79"/>
    <w:rsid w:val="00C33CAA"/>
    <w:rsid w:val="00C3445D"/>
    <w:rsid w:val="00C34676"/>
    <w:rsid w:val="00C34F35"/>
    <w:rsid w:val="00C353F3"/>
    <w:rsid w:val="00C3541C"/>
    <w:rsid w:val="00C36E4D"/>
    <w:rsid w:val="00C36EAE"/>
    <w:rsid w:val="00C37482"/>
    <w:rsid w:val="00C37E1F"/>
    <w:rsid w:val="00C42135"/>
    <w:rsid w:val="00C427CC"/>
    <w:rsid w:val="00C42D4D"/>
    <w:rsid w:val="00C4448D"/>
    <w:rsid w:val="00C445AA"/>
    <w:rsid w:val="00C4747C"/>
    <w:rsid w:val="00C47890"/>
    <w:rsid w:val="00C54218"/>
    <w:rsid w:val="00C55B84"/>
    <w:rsid w:val="00C56230"/>
    <w:rsid w:val="00C567DD"/>
    <w:rsid w:val="00C57A69"/>
    <w:rsid w:val="00C60214"/>
    <w:rsid w:val="00C605BB"/>
    <w:rsid w:val="00C62AC5"/>
    <w:rsid w:val="00C62BB2"/>
    <w:rsid w:val="00C630C9"/>
    <w:rsid w:val="00C634C3"/>
    <w:rsid w:val="00C63BFB"/>
    <w:rsid w:val="00C64486"/>
    <w:rsid w:val="00C65BB6"/>
    <w:rsid w:val="00C6755B"/>
    <w:rsid w:val="00C6764E"/>
    <w:rsid w:val="00C6793A"/>
    <w:rsid w:val="00C70046"/>
    <w:rsid w:val="00C70238"/>
    <w:rsid w:val="00C72F74"/>
    <w:rsid w:val="00C72F90"/>
    <w:rsid w:val="00C73220"/>
    <w:rsid w:val="00C748D3"/>
    <w:rsid w:val="00C74AE3"/>
    <w:rsid w:val="00C74EF5"/>
    <w:rsid w:val="00C754B1"/>
    <w:rsid w:val="00C76273"/>
    <w:rsid w:val="00C76544"/>
    <w:rsid w:val="00C801B2"/>
    <w:rsid w:val="00C8039C"/>
    <w:rsid w:val="00C8049A"/>
    <w:rsid w:val="00C809BF"/>
    <w:rsid w:val="00C80AD5"/>
    <w:rsid w:val="00C8243C"/>
    <w:rsid w:val="00C83DF8"/>
    <w:rsid w:val="00C83E2C"/>
    <w:rsid w:val="00C842A8"/>
    <w:rsid w:val="00C84BC2"/>
    <w:rsid w:val="00C8553A"/>
    <w:rsid w:val="00C87B46"/>
    <w:rsid w:val="00C87FC5"/>
    <w:rsid w:val="00C9042C"/>
    <w:rsid w:val="00C9112E"/>
    <w:rsid w:val="00C911BF"/>
    <w:rsid w:val="00C91963"/>
    <w:rsid w:val="00C9277B"/>
    <w:rsid w:val="00C92DBC"/>
    <w:rsid w:val="00C93943"/>
    <w:rsid w:val="00C95C29"/>
    <w:rsid w:val="00C96400"/>
    <w:rsid w:val="00C96804"/>
    <w:rsid w:val="00C96A21"/>
    <w:rsid w:val="00CA0072"/>
    <w:rsid w:val="00CA05A4"/>
    <w:rsid w:val="00CA07E6"/>
    <w:rsid w:val="00CA185B"/>
    <w:rsid w:val="00CA2259"/>
    <w:rsid w:val="00CA349E"/>
    <w:rsid w:val="00CA3AA8"/>
    <w:rsid w:val="00CA4144"/>
    <w:rsid w:val="00CA690B"/>
    <w:rsid w:val="00CA760F"/>
    <w:rsid w:val="00CA7741"/>
    <w:rsid w:val="00CA7A36"/>
    <w:rsid w:val="00CA7AA1"/>
    <w:rsid w:val="00CB027B"/>
    <w:rsid w:val="00CB05D3"/>
    <w:rsid w:val="00CB0CBF"/>
    <w:rsid w:val="00CB10A6"/>
    <w:rsid w:val="00CB1C78"/>
    <w:rsid w:val="00CB1F0B"/>
    <w:rsid w:val="00CB55BD"/>
    <w:rsid w:val="00CB5AD2"/>
    <w:rsid w:val="00CC004F"/>
    <w:rsid w:val="00CC0128"/>
    <w:rsid w:val="00CC079E"/>
    <w:rsid w:val="00CC07B1"/>
    <w:rsid w:val="00CC3DD6"/>
    <w:rsid w:val="00CC4248"/>
    <w:rsid w:val="00CC47FA"/>
    <w:rsid w:val="00CC5EF4"/>
    <w:rsid w:val="00CC7A54"/>
    <w:rsid w:val="00CC7C78"/>
    <w:rsid w:val="00CD03C4"/>
    <w:rsid w:val="00CD04DF"/>
    <w:rsid w:val="00CD070C"/>
    <w:rsid w:val="00CD084F"/>
    <w:rsid w:val="00CD158F"/>
    <w:rsid w:val="00CD2666"/>
    <w:rsid w:val="00CD2D20"/>
    <w:rsid w:val="00CD36BF"/>
    <w:rsid w:val="00CD5007"/>
    <w:rsid w:val="00CD56FB"/>
    <w:rsid w:val="00CD6B0B"/>
    <w:rsid w:val="00CD6F28"/>
    <w:rsid w:val="00CE1061"/>
    <w:rsid w:val="00CE18D3"/>
    <w:rsid w:val="00CE36CE"/>
    <w:rsid w:val="00CE3BDF"/>
    <w:rsid w:val="00CE56AE"/>
    <w:rsid w:val="00CE6D4F"/>
    <w:rsid w:val="00CE76BC"/>
    <w:rsid w:val="00CE789A"/>
    <w:rsid w:val="00CE7AEB"/>
    <w:rsid w:val="00CF200D"/>
    <w:rsid w:val="00CF2867"/>
    <w:rsid w:val="00CF3D86"/>
    <w:rsid w:val="00CF48E5"/>
    <w:rsid w:val="00CF4981"/>
    <w:rsid w:val="00CF4B64"/>
    <w:rsid w:val="00CF55A4"/>
    <w:rsid w:val="00CF561E"/>
    <w:rsid w:val="00CF56D8"/>
    <w:rsid w:val="00D001BB"/>
    <w:rsid w:val="00D011BB"/>
    <w:rsid w:val="00D013AE"/>
    <w:rsid w:val="00D029EB"/>
    <w:rsid w:val="00D02EE6"/>
    <w:rsid w:val="00D030E4"/>
    <w:rsid w:val="00D0367C"/>
    <w:rsid w:val="00D041EA"/>
    <w:rsid w:val="00D0448C"/>
    <w:rsid w:val="00D04A82"/>
    <w:rsid w:val="00D051B1"/>
    <w:rsid w:val="00D05D5D"/>
    <w:rsid w:val="00D05F3C"/>
    <w:rsid w:val="00D077E3"/>
    <w:rsid w:val="00D108EE"/>
    <w:rsid w:val="00D11B9F"/>
    <w:rsid w:val="00D1273E"/>
    <w:rsid w:val="00D1282B"/>
    <w:rsid w:val="00D12D05"/>
    <w:rsid w:val="00D13131"/>
    <w:rsid w:val="00D13736"/>
    <w:rsid w:val="00D14DA4"/>
    <w:rsid w:val="00D16512"/>
    <w:rsid w:val="00D17714"/>
    <w:rsid w:val="00D20311"/>
    <w:rsid w:val="00D21876"/>
    <w:rsid w:val="00D228B8"/>
    <w:rsid w:val="00D2493B"/>
    <w:rsid w:val="00D26B42"/>
    <w:rsid w:val="00D26E4D"/>
    <w:rsid w:val="00D27151"/>
    <w:rsid w:val="00D2736C"/>
    <w:rsid w:val="00D30DB0"/>
    <w:rsid w:val="00D3170D"/>
    <w:rsid w:val="00D328A5"/>
    <w:rsid w:val="00D32A03"/>
    <w:rsid w:val="00D32D3A"/>
    <w:rsid w:val="00D32F93"/>
    <w:rsid w:val="00D339E3"/>
    <w:rsid w:val="00D33CDC"/>
    <w:rsid w:val="00D34D0B"/>
    <w:rsid w:val="00D34D45"/>
    <w:rsid w:val="00D353A7"/>
    <w:rsid w:val="00D35DC6"/>
    <w:rsid w:val="00D36D79"/>
    <w:rsid w:val="00D37DBF"/>
    <w:rsid w:val="00D40484"/>
    <w:rsid w:val="00D42931"/>
    <w:rsid w:val="00D42EDF"/>
    <w:rsid w:val="00D46CE3"/>
    <w:rsid w:val="00D4768B"/>
    <w:rsid w:val="00D47E13"/>
    <w:rsid w:val="00D50652"/>
    <w:rsid w:val="00D50A2D"/>
    <w:rsid w:val="00D51667"/>
    <w:rsid w:val="00D5176A"/>
    <w:rsid w:val="00D52368"/>
    <w:rsid w:val="00D523EB"/>
    <w:rsid w:val="00D5243A"/>
    <w:rsid w:val="00D52B00"/>
    <w:rsid w:val="00D52FF9"/>
    <w:rsid w:val="00D5324E"/>
    <w:rsid w:val="00D54ED9"/>
    <w:rsid w:val="00D5614C"/>
    <w:rsid w:val="00D574C4"/>
    <w:rsid w:val="00D576EA"/>
    <w:rsid w:val="00D6060F"/>
    <w:rsid w:val="00D60776"/>
    <w:rsid w:val="00D60BFE"/>
    <w:rsid w:val="00D61960"/>
    <w:rsid w:val="00D619C1"/>
    <w:rsid w:val="00D63011"/>
    <w:rsid w:val="00D630D0"/>
    <w:rsid w:val="00D63493"/>
    <w:rsid w:val="00D63D5A"/>
    <w:rsid w:val="00D646E8"/>
    <w:rsid w:val="00D64D44"/>
    <w:rsid w:val="00D67A2A"/>
    <w:rsid w:val="00D67CF7"/>
    <w:rsid w:val="00D7021F"/>
    <w:rsid w:val="00D70785"/>
    <w:rsid w:val="00D70B10"/>
    <w:rsid w:val="00D70E92"/>
    <w:rsid w:val="00D71D2B"/>
    <w:rsid w:val="00D731D1"/>
    <w:rsid w:val="00D739C7"/>
    <w:rsid w:val="00D74412"/>
    <w:rsid w:val="00D74CB6"/>
    <w:rsid w:val="00D755C2"/>
    <w:rsid w:val="00D75B17"/>
    <w:rsid w:val="00D76975"/>
    <w:rsid w:val="00D771EB"/>
    <w:rsid w:val="00D7799C"/>
    <w:rsid w:val="00D802DA"/>
    <w:rsid w:val="00D80AF9"/>
    <w:rsid w:val="00D812BD"/>
    <w:rsid w:val="00D83491"/>
    <w:rsid w:val="00D83525"/>
    <w:rsid w:val="00D83815"/>
    <w:rsid w:val="00D854DC"/>
    <w:rsid w:val="00D85FEA"/>
    <w:rsid w:val="00D87F91"/>
    <w:rsid w:val="00D90311"/>
    <w:rsid w:val="00D9097B"/>
    <w:rsid w:val="00D9166A"/>
    <w:rsid w:val="00D918E0"/>
    <w:rsid w:val="00D92077"/>
    <w:rsid w:val="00D9366C"/>
    <w:rsid w:val="00D94ECA"/>
    <w:rsid w:val="00D95049"/>
    <w:rsid w:val="00D955A0"/>
    <w:rsid w:val="00D97788"/>
    <w:rsid w:val="00DA016A"/>
    <w:rsid w:val="00DA059E"/>
    <w:rsid w:val="00DA26B2"/>
    <w:rsid w:val="00DA4E3A"/>
    <w:rsid w:val="00DA60B1"/>
    <w:rsid w:val="00DA61FE"/>
    <w:rsid w:val="00DA66E5"/>
    <w:rsid w:val="00DA6B6B"/>
    <w:rsid w:val="00DA70BF"/>
    <w:rsid w:val="00DA75D1"/>
    <w:rsid w:val="00DA79EC"/>
    <w:rsid w:val="00DA7FD3"/>
    <w:rsid w:val="00DB087B"/>
    <w:rsid w:val="00DB0BBA"/>
    <w:rsid w:val="00DB1217"/>
    <w:rsid w:val="00DB1C60"/>
    <w:rsid w:val="00DB1C83"/>
    <w:rsid w:val="00DB3156"/>
    <w:rsid w:val="00DB3306"/>
    <w:rsid w:val="00DB3DB1"/>
    <w:rsid w:val="00DB43CB"/>
    <w:rsid w:val="00DB4BC2"/>
    <w:rsid w:val="00DB4F81"/>
    <w:rsid w:val="00DB4FE9"/>
    <w:rsid w:val="00DB511E"/>
    <w:rsid w:val="00DB5A77"/>
    <w:rsid w:val="00DB6B2D"/>
    <w:rsid w:val="00DB73BB"/>
    <w:rsid w:val="00DC1A42"/>
    <w:rsid w:val="00DC238E"/>
    <w:rsid w:val="00DC2756"/>
    <w:rsid w:val="00DC2E64"/>
    <w:rsid w:val="00DC3653"/>
    <w:rsid w:val="00DC37E2"/>
    <w:rsid w:val="00DC481B"/>
    <w:rsid w:val="00DC4CC3"/>
    <w:rsid w:val="00DC4FCB"/>
    <w:rsid w:val="00DC504C"/>
    <w:rsid w:val="00DC572C"/>
    <w:rsid w:val="00DC59E3"/>
    <w:rsid w:val="00DC67F0"/>
    <w:rsid w:val="00DC6ACD"/>
    <w:rsid w:val="00DC7852"/>
    <w:rsid w:val="00DC7BD1"/>
    <w:rsid w:val="00DD0014"/>
    <w:rsid w:val="00DD037B"/>
    <w:rsid w:val="00DD24E8"/>
    <w:rsid w:val="00DD402A"/>
    <w:rsid w:val="00DD42F2"/>
    <w:rsid w:val="00DD483B"/>
    <w:rsid w:val="00DD4F49"/>
    <w:rsid w:val="00DD5BCD"/>
    <w:rsid w:val="00DD7C2F"/>
    <w:rsid w:val="00DE0E18"/>
    <w:rsid w:val="00DE17C2"/>
    <w:rsid w:val="00DE2013"/>
    <w:rsid w:val="00DE2B01"/>
    <w:rsid w:val="00DE2B04"/>
    <w:rsid w:val="00DE2B63"/>
    <w:rsid w:val="00DE3C98"/>
    <w:rsid w:val="00DE406B"/>
    <w:rsid w:val="00DE4A51"/>
    <w:rsid w:val="00DE4E17"/>
    <w:rsid w:val="00DE50AF"/>
    <w:rsid w:val="00DE60A6"/>
    <w:rsid w:val="00DE685E"/>
    <w:rsid w:val="00DE6F18"/>
    <w:rsid w:val="00DE6F55"/>
    <w:rsid w:val="00DE75A4"/>
    <w:rsid w:val="00DE7D28"/>
    <w:rsid w:val="00DF099B"/>
    <w:rsid w:val="00DF1477"/>
    <w:rsid w:val="00DF1F29"/>
    <w:rsid w:val="00DF51CA"/>
    <w:rsid w:val="00DF5C4A"/>
    <w:rsid w:val="00DF605B"/>
    <w:rsid w:val="00E00BC8"/>
    <w:rsid w:val="00E032FE"/>
    <w:rsid w:val="00E039C0"/>
    <w:rsid w:val="00E06B6C"/>
    <w:rsid w:val="00E0740A"/>
    <w:rsid w:val="00E10265"/>
    <w:rsid w:val="00E10470"/>
    <w:rsid w:val="00E104DE"/>
    <w:rsid w:val="00E10863"/>
    <w:rsid w:val="00E11255"/>
    <w:rsid w:val="00E11446"/>
    <w:rsid w:val="00E11B50"/>
    <w:rsid w:val="00E12D16"/>
    <w:rsid w:val="00E12F85"/>
    <w:rsid w:val="00E1371E"/>
    <w:rsid w:val="00E13995"/>
    <w:rsid w:val="00E15464"/>
    <w:rsid w:val="00E15815"/>
    <w:rsid w:val="00E16C25"/>
    <w:rsid w:val="00E17473"/>
    <w:rsid w:val="00E211AA"/>
    <w:rsid w:val="00E21A0E"/>
    <w:rsid w:val="00E22280"/>
    <w:rsid w:val="00E22388"/>
    <w:rsid w:val="00E22527"/>
    <w:rsid w:val="00E23015"/>
    <w:rsid w:val="00E248A0"/>
    <w:rsid w:val="00E249D0"/>
    <w:rsid w:val="00E24EB0"/>
    <w:rsid w:val="00E25162"/>
    <w:rsid w:val="00E276E5"/>
    <w:rsid w:val="00E27827"/>
    <w:rsid w:val="00E32629"/>
    <w:rsid w:val="00E32EC2"/>
    <w:rsid w:val="00E33300"/>
    <w:rsid w:val="00E33338"/>
    <w:rsid w:val="00E3335B"/>
    <w:rsid w:val="00E336AC"/>
    <w:rsid w:val="00E33DC7"/>
    <w:rsid w:val="00E34527"/>
    <w:rsid w:val="00E345C2"/>
    <w:rsid w:val="00E34724"/>
    <w:rsid w:val="00E348BC"/>
    <w:rsid w:val="00E34A42"/>
    <w:rsid w:val="00E35687"/>
    <w:rsid w:val="00E35ADB"/>
    <w:rsid w:val="00E36872"/>
    <w:rsid w:val="00E4057A"/>
    <w:rsid w:val="00E409FE"/>
    <w:rsid w:val="00E40A9D"/>
    <w:rsid w:val="00E40AC4"/>
    <w:rsid w:val="00E4165E"/>
    <w:rsid w:val="00E41C16"/>
    <w:rsid w:val="00E41CD0"/>
    <w:rsid w:val="00E4228F"/>
    <w:rsid w:val="00E428AF"/>
    <w:rsid w:val="00E43054"/>
    <w:rsid w:val="00E43B47"/>
    <w:rsid w:val="00E44D77"/>
    <w:rsid w:val="00E457A7"/>
    <w:rsid w:val="00E45C16"/>
    <w:rsid w:val="00E46140"/>
    <w:rsid w:val="00E4733D"/>
    <w:rsid w:val="00E47C1F"/>
    <w:rsid w:val="00E500A0"/>
    <w:rsid w:val="00E52B08"/>
    <w:rsid w:val="00E52E62"/>
    <w:rsid w:val="00E531BD"/>
    <w:rsid w:val="00E550AF"/>
    <w:rsid w:val="00E5648D"/>
    <w:rsid w:val="00E56CC8"/>
    <w:rsid w:val="00E57048"/>
    <w:rsid w:val="00E61291"/>
    <w:rsid w:val="00E6172F"/>
    <w:rsid w:val="00E61B65"/>
    <w:rsid w:val="00E62002"/>
    <w:rsid w:val="00E620DF"/>
    <w:rsid w:val="00E63407"/>
    <w:rsid w:val="00E660D2"/>
    <w:rsid w:val="00E6649F"/>
    <w:rsid w:val="00E670DB"/>
    <w:rsid w:val="00E67804"/>
    <w:rsid w:val="00E70D65"/>
    <w:rsid w:val="00E72737"/>
    <w:rsid w:val="00E733C7"/>
    <w:rsid w:val="00E73FA2"/>
    <w:rsid w:val="00E75CE4"/>
    <w:rsid w:val="00E8012D"/>
    <w:rsid w:val="00E81F86"/>
    <w:rsid w:val="00E8346F"/>
    <w:rsid w:val="00E83A95"/>
    <w:rsid w:val="00E83F27"/>
    <w:rsid w:val="00E83F2C"/>
    <w:rsid w:val="00E840F2"/>
    <w:rsid w:val="00E842C4"/>
    <w:rsid w:val="00E86642"/>
    <w:rsid w:val="00E903C7"/>
    <w:rsid w:val="00E94B7F"/>
    <w:rsid w:val="00E96FBD"/>
    <w:rsid w:val="00EA04AB"/>
    <w:rsid w:val="00EA05EF"/>
    <w:rsid w:val="00EA0F29"/>
    <w:rsid w:val="00EA1208"/>
    <w:rsid w:val="00EA34E4"/>
    <w:rsid w:val="00EA480A"/>
    <w:rsid w:val="00EA630A"/>
    <w:rsid w:val="00EA6E8B"/>
    <w:rsid w:val="00EB0EFB"/>
    <w:rsid w:val="00EB1033"/>
    <w:rsid w:val="00EB2521"/>
    <w:rsid w:val="00EB2670"/>
    <w:rsid w:val="00EB3CBC"/>
    <w:rsid w:val="00EB49AF"/>
    <w:rsid w:val="00EB4CB9"/>
    <w:rsid w:val="00EB57FE"/>
    <w:rsid w:val="00EB5F11"/>
    <w:rsid w:val="00EB613C"/>
    <w:rsid w:val="00EB6533"/>
    <w:rsid w:val="00EB674B"/>
    <w:rsid w:val="00EB7368"/>
    <w:rsid w:val="00EC0AFF"/>
    <w:rsid w:val="00EC0C1E"/>
    <w:rsid w:val="00EC16D4"/>
    <w:rsid w:val="00EC21D2"/>
    <w:rsid w:val="00EC3F3A"/>
    <w:rsid w:val="00EC49F5"/>
    <w:rsid w:val="00EC5562"/>
    <w:rsid w:val="00EC5819"/>
    <w:rsid w:val="00EC6DF9"/>
    <w:rsid w:val="00EC7D22"/>
    <w:rsid w:val="00ED0B30"/>
    <w:rsid w:val="00ED1881"/>
    <w:rsid w:val="00ED1EA9"/>
    <w:rsid w:val="00ED20FF"/>
    <w:rsid w:val="00ED2771"/>
    <w:rsid w:val="00ED2EE2"/>
    <w:rsid w:val="00ED2F87"/>
    <w:rsid w:val="00ED2FD6"/>
    <w:rsid w:val="00ED40D6"/>
    <w:rsid w:val="00ED4DD1"/>
    <w:rsid w:val="00ED517D"/>
    <w:rsid w:val="00ED51F0"/>
    <w:rsid w:val="00ED58C2"/>
    <w:rsid w:val="00ED5B11"/>
    <w:rsid w:val="00ED70F8"/>
    <w:rsid w:val="00ED7471"/>
    <w:rsid w:val="00ED799A"/>
    <w:rsid w:val="00ED7F9C"/>
    <w:rsid w:val="00EE4277"/>
    <w:rsid w:val="00EE43F4"/>
    <w:rsid w:val="00EE4F50"/>
    <w:rsid w:val="00EE526E"/>
    <w:rsid w:val="00EE5D77"/>
    <w:rsid w:val="00EE6B75"/>
    <w:rsid w:val="00EE6D31"/>
    <w:rsid w:val="00EF15D3"/>
    <w:rsid w:val="00EF160A"/>
    <w:rsid w:val="00EF1DDE"/>
    <w:rsid w:val="00EF22A4"/>
    <w:rsid w:val="00EF39D7"/>
    <w:rsid w:val="00EF4554"/>
    <w:rsid w:val="00EF4E7F"/>
    <w:rsid w:val="00EF51C6"/>
    <w:rsid w:val="00EF62C7"/>
    <w:rsid w:val="00EF67F2"/>
    <w:rsid w:val="00EF6DFB"/>
    <w:rsid w:val="00EF7E4C"/>
    <w:rsid w:val="00F00046"/>
    <w:rsid w:val="00F00F4B"/>
    <w:rsid w:val="00F014B2"/>
    <w:rsid w:val="00F02CC6"/>
    <w:rsid w:val="00F039FA"/>
    <w:rsid w:val="00F05F72"/>
    <w:rsid w:val="00F0622E"/>
    <w:rsid w:val="00F06261"/>
    <w:rsid w:val="00F06512"/>
    <w:rsid w:val="00F06C86"/>
    <w:rsid w:val="00F10AD6"/>
    <w:rsid w:val="00F11326"/>
    <w:rsid w:val="00F11D1F"/>
    <w:rsid w:val="00F11EEF"/>
    <w:rsid w:val="00F12492"/>
    <w:rsid w:val="00F13A20"/>
    <w:rsid w:val="00F14502"/>
    <w:rsid w:val="00F15340"/>
    <w:rsid w:val="00F1565F"/>
    <w:rsid w:val="00F21089"/>
    <w:rsid w:val="00F21331"/>
    <w:rsid w:val="00F21AEA"/>
    <w:rsid w:val="00F2208F"/>
    <w:rsid w:val="00F221D8"/>
    <w:rsid w:val="00F22836"/>
    <w:rsid w:val="00F229D3"/>
    <w:rsid w:val="00F24026"/>
    <w:rsid w:val="00F2456D"/>
    <w:rsid w:val="00F247DA"/>
    <w:rsid w:val="00F24A8F"/>
    <w:rsid w:val="00F27391"/>
    <w:rsid w:val="00F30BC6"/>
    <w:rsid w:val="00F314A8"/>
    <w:rsid w:val="00F317A9"/>
    <w:rsid w:val="00F31BB5"/>
    <w:rsid w:val="00F31D03"/>
    <w:rsid w:val="00F32516"/>
    <w:rsid w:val="00F32831"/>
    <w:rsid w:val="00F3294E"/>
    <w:rsid w:val="00F336DD"/>
    <w:rsid w:val="00F359C1"/>
    <w:rsid w:val="00F35EAF"/>
    <w:rsid w:val="00F373AF"/>
    <w:rsid w:val="00F40D30"/>
    <w:rsid w:val="00F4181C"/>
    <w:rsid w:val="00F4269D"/>
    <w:rsid w:val="00F4380B"/>
    <w:rsid w:val="00F43CE4"/>
    <w:rsid w:val="00F44E84"/>
    <w:rsid w:val="00F452EE"/>
    <w:rsid w:val="00F45595"/>
    <w:rsid w:val="00F4591F"/>
    <w:rsid w:val="00F468BE"/>
    <w:rsid w:val="00F46B1E"/>
    <w:rsid w:val="00F47ECD"/>
    <w:rsid w:val="00F50071"/>
    <w:rsid w:val="00F503D4"/>
    <w:rsid w:val="00F508AD"/>
    <w:rsid w:val="00F50C3E"/>
    <w:rsid w:val="00F51F0A"/>
    <w:rsid w:val="00F52BA2"/>
    <w:rsid w:val="00F530C4"/>
    <w:rsid w:val="00F5349C"/>
    <w:rsid w:val="00F54BDB"/>
    <w:rsid w:val="00F55346"/>
    <w:rsid w:val="00F554A8"/>
    <w:rsid w:val="00F55E88"/>
    <w:rsid w:val="00F56E63"/>
    <w:rsid w:val="00F57779"/>
    <w:rsid w:val="00F604CA"/>
    <w:rsid w:val="00F6202B"/>
    <w:rsid w:val="00F62B0C"/>
    <w:rsid w:val="00F63B01"/>
    <w:rsid w:val="00F65144"/>
    <w:rsid w:val="00F6585B"/>
    <w:rsid w:val="00F66A0A"/>
    <w:rsid w:val="00F672CA"/>
    <w:rsid w:val="00F67302"/>
    <w:rsid w:val="00F70D9A"/>
    <w:rsid w:val="00F72F8A"/>
    <w:rsid w:val="00F73EB4"/>
    <w:rsid w:val="00F74548"/>
    <w:rsid w:val="00F745BD"/>
    <w:rsid w:val="00F74B4D"/>
    <w:rsid w:val="00F74B9F"/>
    <w:rsid w:val="00F7568B"/>
    <w:rsid w:val="00F76132"/>
    <w:rsid w:val="00F7672A"/>
    <w:rsid w:val="00F77141"/>
    <w:rsid w:val="00F7777F"/>
    <w:rsid w:val="00F77ADD"/>
    <w:rsid w:val="00F80200"/>
    <w:rsid w:val="00F807EB"/>
    <w:rsid w:val="00F80813"/>
    <w:rsid w:val="00F80CC1"/>
    <w:rsid w:val="00F810C6"/>
    <w:rsid w:val="00F81D8C"/>
    <w:rsid w:val="00F83DF1"/>
    <w:rsid w:val="00F84578"/>
    <w:rsid w:val="00F84C09"/>
    <w:rsid w:val="00F859B8"/>
    <w:rsid w:val="00F85D44"/>
    <w:rsid w:val="00F85E17"/>
    <w:rsid w:val="00F8670B"/>
    <w:rsid w:val="00F90813"/>
    <w:rsid w:val="00F915C9"/>
    <w:rsid w:val="00F91AC3"/>
    <w:rsid w:val="00F923AF"/>
    <w:rsid w:val="00F924C1"/>
    <w:rsid w:val="00F9278B"/>
    <w:rsid w:val="00F92A6B"/>
    <w:rsid w:val="00F92C68"/>
    <w:rsid w:val="00F9353C"/>
    <w:rsid w:val="00F93BE0"/>
    <w:rsid w:val="00F93D8E"/>
    <w:rsid w:val="00F944C3"/>
    <w:rsid w:val="00F953F4"/>
    <w:rsid w:val="00F958B7"/>
    <w:rsid w:val="00F972EC"/>
    <w:rsid w:val="00F97A28"/>
    <w:rsid w:val="00F97A57"/>
    <w:rsid w:val="00FA1078"/>
    <w:rsid w:val="00FA138B"/>
    <w:rsid w:val="00FA150E"/>
    <w:rsid w:val="00FA1849"/>
    <w:rsid w:val="00FA27B6"/>
    <w:rsid w:val="00FA2A68"/>
    <w:rsid w:val="00FA2B13"/>
    <w:rsid w:val="00FA2DAC"/>
    <w:rsid w:val="00FA3692"/>
    <w:rsid w:val="00FA3E0F"/>
    <w:rsid w:val="00FA3F9C"/>
    <w:rsid w:val="00FA4B45"/>
    <w:rsid w:val="00FA5AB8"/>
    <w:rsid w:val="00FA60C1"/>
    <w:rsid w:val="00FA62B0"/>
    <w:rsid w:val="00FA65B0"/>
    <w:rsid w:val="00FA6BDE"/>
    <w:rsid w:val="00FA7A08"/>
    <w:rsid w:val="00FA7A87"/>
    <w:rsid w:val="00FB08CA"/>
    <w:rsid w:val="00FB0E43"/>
    <w:rsid w:val="00FB0F47"/>
    <w:rsid w:val="00FB33CB"/>
    <w:rsid w:val="00FB66A0"/>
    <w:rsid w:val="00FB7799"/>
    <w:rsid w:val="00FC0B30"/>
    <w:rsid w:val="00FC1DF4"/>
    <w:rsid w:val="00FC21DD"/>
    <w:rsid w:val="00FC28AD"/>
    <w:rsid w:val="00FC2C4E"/>
    <w:rsid w:val="00FC3FA4"/>
    <w:rsid w:val="00FC45EA"/>
    <w:rsid w:val="00FC4AEB"/>
    <w:rsid w:val="00FC56F2"/>
    <w:rsid w:val="00FC5FE2"/>
    <w:rsid w:val="00FC63E1"/>
    <w:rsid w:val="00FC6624"/>
    <w:rsid w:val="00FC6B91"/>
    <w:rsid w:val="00FC7B10"/>
    <w:rsid w:val="00FD0249"/>
    <w:rsid w:val="00FD0E30"/>
    <w:rsid w:val="00FD1829"/>
    <w:rsid w:val="00FD428F"/>
    <w:rsid w:val="00FD47ED"/>
    <w:rsid w:val="00FD60DC"/>
    <w:rsid w:val="00FD6772"/>
    <w:rsid w:val="00FD7708"/>
    <w:rsid w:val="00FE1C4B"/>
    <w:rsid w:val="00FE2E69"/>
    <w:rsid w:val="00FE427D"/>
    <w:rsid w:val="00FE4FA9"/>
    <w:rsid w:val="00FE640C"/>
    <w:rsid w:val="00FE7001"/>
    <w:rsid w:val="00FE7A23"/>
    <w:rsid w:val="00FE7A47"/>
    <w:rsid w:val="00FF15DE"/>
    <w:rsid w:val="00FF17C2"/>
    <w:rsid w:val="00FF1B59"/>
    <w:rsid w:val="00FF1C0B"/>
    <w:rsid w:val="00FF1DA6"/>
    <w:rsid w:val="00FF2544"/>
    <w:rsid w:val="00FF36A1"/>
    <w:rsid w:val="00FF5A39"/>
    <w:rsid w:val="00FF6027"/>
    <w:rsid w:val="00FF70E7"/>
    <w:rsid w:val="00FF7AF8"/>
    <w:rsid w:val="078205F2"/>
    <w:rsid w:val="0C557A13"/>
    <w:rsid w:val="1C131F45"/>
    <w:rsid w:val="1F6A6D23"/>
    <w:rsid w:val="2FDB2A8D"/>
    <w:rsid w:val="34BE3D4D"/>
    <w:rsid w:val="3E941D2D"/>
    <w:rsid w:val="40C775DD"/>
    <w:rsid w:val="5B964816"/>
    <w:rsid w:val="6332351B"/>
    <w:rsid w:val="6B226EDC"/>
    <w:rsid w:val="6E7976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3">
    <w:name w:val="heading 1"/>
    <w:basedOn w:val="1"/>
    <w:next w:val="1"/>
    <w:link w:val="79"/>
    <w:qFormat/>
    <w:uiPriority w:val="0"/>
    <w:pPr>
      <w:keepNext/>
      <w:jc w:val="center"/>
      <w:outlineLvl w:val="0"/>
    </w:pPr>
    <w:rPr>
      <w:b/>
      <w:bCs/>
      <w:sz w:val="24"/>
    </w:rPr>
  </w:style>
  <w:style w:type="paragraph" w:styleId="4">
    <w:name w:val="heading 2"/>
    <w:basedOn w:val="1"/>
    <w:next w:val="1"/>
    <w:link w:val="8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81"/>
    <w:qFormat/>
    <w:uiPriority w:val="0"/>
    <w:pPr>
      <w:keepNext/>
      <w:keepLines/>
      <w:spacing w:before="260" w:after="260" w:line="416" w:lineRule="auto"/>
      <w:outlineLvl w:val="2"/>
    </w:pPr>
    <w:rPr>
      <w:b/>
      <w:bCs/>
      <w:sz w:val="32"/>
      <w:szCs w:val="32"/>
    </w:rPr>
  </w:style>
  <w:style w:type="paragraph" w:styleId="6">
    <w:name w:val="heading 4"/>
    <w:basedOn w:val="1"/>
    <w:next w:val="1"/>
    <w:link w:val="8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83"/>
    <w:qFormat/>
    <w:uiPriority w:val="0"/>
    <w:pPr>
      <w:keepNext/>
      <w:keepLines/>
      <w:spacing w:before="280" w:after="290" w:line="376" w:lineRule="auto"/>
      <w:outlineLvl w:val="4"/>
    </w:pPr>
    <w:rPr>
      <w:b/>
      <w:bCs/>
      <w:sz w:val="28"/>
      <w:szCs w:val="28"/>
    </w:rPr>
  </w:style>
  <w:style w:type="paragraph" w:styleId="8">
    <w:name w:val="heading 6"/>
    <w:basedOn w:val="1"/>
    <w:next w:val="1"/>
    <w:link w:val="84"/>
    <w:qFormat/>
    <w:uiPriority w:val="0"/>
    <w:pPr>
      <w:ind w:firstLine="680"/>
      <w:outlineLvl w:val="5"/>
    </w:pPr>
    <w:rPr>
      <w:sz w:val="28"/>
      <w:szCs w:val="20"/>
    </w:rPr>
  </w:style>
  <w:style w:type="paragraph" w:styleId="9">
    <w:name w:val="heading 7"/>
    <w:basedOn w:val="1"/>
    <w:next w:val="10"/>
    <w:link w:val="86"/>
    <w:qFormat/>
    <w:uiPriority w:val="0"/>
    <w:pPr>
      <w:keepNext/>
      <w:keepLines/>
      <w:numPr>
        <w:ilvl w:val="6"/>
        <w:numId w:val="1"/>
      </w:numPr>
      <w:tabs>
        <w:tab w:val="left" w:pos="1200"/>
        <w:tab w:val="left" w:pos="1296"/>
      </w:tabs>
      <w:spacing w:before="240" w:after="64" w:line="320" w:lineRule="auto"/>
      <w:jc w:val="left"/>
      <w:outlineLvl w:val="6"/>
    </w:pPr>
    <w:rPr>
      <w:b/>
      <w:bCs/>
      <w:spacing w:val="6"/>
      <w:sz w:val="24"/>
    </w:rPr>
  </w:style>
  <w:style w:type="paragraph" w:styleId="11">
    <w:name w:val="heading 8"/>
    <w:basedOn w:val="1"/>
    <w:next w:val="10"/>
    <w:link w:val="87"/>
    <w:qFormat/>
    <w:uiPriority w:val="0"/>
    <w:pPr>
      <w:keepNext/>
      <w:keepLines/>
      <w:numPr>
        <w:ilvl w:val="7"/>
        <w:numId w:val="1"/>
      </w:numPr>
      <w:tabs>
        <w:tab w:val="left" w:pos="1200"/>
        <w:tab w:val="left" w:pos="1440"/>
      </w:tabs>
      <w:spacing w:before="240" w:after="64" w:line="320" w:lineRule="auto"/>
      <w:jc w:val="left"/>
      <w:outlineLvl w:val="7"/>
    </w:pPr>
    <w:rPr>
      <w:rFonts w:ascii="Arial" w:hAnsi="Arial" w:eastAsia="黑体"/>
      <w:spacing w:val="6"/>
      <w:sz w:val="24"/>
    </w:rPr>
  </w:style>
  <w:style w:type="paragraph" w:styleId="12">
    <w:name w:val="heading 9"/>
    <w:basedOn w:val="1"/>
    <w:next w:val="1"/>
    <w:link w:val="88"/>
    <w:qFormat/>
    <w:uiPriority w:val="0"/>
    <w:pPr>
      <w:keepNext/>
      <w:keepLines/>
      <w:spacing w:before="240" w:after="64" w:line="317" w:lineRule="auto"/>
      <w:outlineLvl w:val="8"/>
    </w:pPr>
    <w:rPr>
      <w:rFonts w:ascii="Arial" w:hAnsi="Arial" w:eastAsia="黑体"/>
      <w:szCs w:val="22"/>
    </w:rPr>
  </w:style>
  <w:style w:type="character" w:default="1" w:styleId="73">
    <w:name w:val="Default Paragraph Font"/>
    <w:semiHidden/>
    <w:uiPriority w:val="0"/>
  </w:style>
  <w:style w:type="table" w:default="1" w:styleId="70">
    <w:name w:val="Normal Table"/>
    <w:semiHidden/>
    <w:uiPriority w:val="0"/>
    <w:tblPr>
      <w:tblStyle w:val="70"/>
      <w:tblCellMar>
        <w:top w:w="0" w:type="dxa"/>
        <w:left w:w="108" w:type="dxa"/>
        <w:bottom w:w="0" w:type="dxa"/>
        <w:right w:w="108" w:type="dxa"/>
      </w:tblCellMar>
    </w:tblPr>
  </w:style>
  <w:style w:type="paragraph" w:styleId="2">
    <w:name w:val="macro"/>
    <w:link w:val="146"/>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sz w:val="24"/>
      <w:szCs w:val="24"/>
      <w:lang w:val="en-US" w:eastAsia="zh-CN" w:bidi="ar-SA"/>
    </w:rPr>
  </w:style>
  <w:style w:type="paragraph" w:styleId="10">
    <w:name w:val="Normal Indent"/>
    <w:basedOn w:val="1"/>
    <w:link w:val="85"/>
    <w:uiPriority w:val="0"/>
    <w:pPr>
      <w:ind w:firstLine="420"/>
    </w:pPr>
    <w:rPr>
      <w:szCs w:val="20"/>
    </w:rPr>
  </w:style>
  <w:style w:type="paragraph" w:styleId="13">
    <w:name w:val="List 3"/>
    <w:basedOn w:val="1"/>
    <w:uiPriority w:val="0"/>
    <w:pPr>
      <w:ind w:left="100" w:leftChars="400" w:hanging="200" w:hangingChars="200"/>
    </w:pPr>
    <w:rPr>
      <w:rFonts w:ascii="宋体"/>
      <w:sz w:val="28"/>
      <w:szCs w:val="20"/>
    </w:rPr>
  </w:style>
  <w:style w:type="paragraph" w:styleId="14">
    <w:name w:val="toc 7"/>
    <w:basedOn w:val="1"/>
    <w:next w:val="1"/>
    <w:unhideWhenUsed/>
    <w:uiPriority w:val="0"/>
    <w:pPr>
      <w:ind w:left="1260"/>
      <w:jc w:val="left"/>
    </w:pPr>
    <w:rPr>
      <w:sz w:val="18"/>
      <w:szCs w:val="18"/>
    </w:rPr>
  </w:style>
  <w:style w:type="paragraph" w:styleId="15">
    <w:name w:val="table of authorities"/>
    <w:basedOn w:val="1"/>
    <w:next w:val="1"/>
    <w:uiPriority w:val="0"/>
    <w:pPr>
      <w:ind w:left="420" w:leftChars="200"/>
    </w:pPr>
  </w:style>
  <w:style w:type="paragraph" w:styleId="16">
    <w:name w:val="List Bullet 4"/>
    <w:basedOn w:val="1"/>
    <w:uiPriority w:val="0"/>
    <w:pPr>
      <w:numPr>
        <w:ilvl w:val="0"/>
        <w:numId w:val="2"/>
      </w:numPr>
      <w:tabs>
        <w:tab w:val="left" w:pos="1620"/>
      </w:tabs>
    </w:pPr>
  </w:style>
  <w:style w:type="paragraph" w:styleId="17">
    <w:name w:val="index 8"/>
    <w:basedOn w:val="1"/>
    <w:next w:val="1"/>
    <w:uiPriority w:val="0"/>
    <w:pPr>
      <w:ind w:left="1400" w:leftChars="1400"/>
    </w:pPr>
  </w:style>
  <w:style w:type="paragraph" w:styleId="18">
    <w:name w:val="List Number"/>
    <w:basedOn w:val="1"/>
    <w:uiPriority w:val="0"/>
    <w:pPr>
      <w:widowControl/>
      <w:numPr>
        <w:ilvl w:val="0"/>
        <w:numId w:val="3"/>
      </w:numPr>
      <w:tabs>
        <w:tab w:val="left" w:pos="454"/>
        <w:tab w:val="left" w:pos="720"/>
        <w:tab w:val="clear" w:pos="900"/>
      </w:tabs>
      <w:spacing w:after="50" w:afterLines="50"/>
      <w:ind w:left="454" w:hanging="284"/>
      <w:jc w:val="left"/>
    </w:pPr>
    <w:rPr>
      <w:kern w:val="0"/>
      <w:sz w:val="24"/>
      <w:szCs w:val="20"/>
    </w:rPr>
  </w:style>
  <w:style w:type="paragraph" w:styleId="19">
    <w:name w:val="caption"/>
    <w:basedOn w:val="1"/>
    <w:next w:val="1"/>
    <w:qFormat/>
    <w:uiPriority w:val="0"/>
    <w:pPr>
      <w:spacing w:before="152" w:after="160"/>
    </w:pPr>
    <w:rPr>
      <w:rFonts w:ascii="Arial" w:hAnsi="Arial" w:eastAsia="黑体" w:cs="Arial"/>
      <w:sz w:val="20"/>
      <w:szCs w:val="20"/>
    </w:rPr>
  </w:style>
  <w:style w:type="paragraph" w:styleId="20">
    <w:name w:val="index 5"/>
    <w:basedOn w:val="1"/>
    <w:next w:val="1"/>
    <w:uiPriority w:val="0"/>
    <w:pPr>
      <w:ind w:left="800" w:leftChars="800"/>
    </w:pPr>
  </w:style>
  <w:style w:type="paragraph" w:styleId="21">
    <w:name w:val="List Bullet"/>
    <w:basedOn w:val="1"/>
    <w:uiPriority w:val="0"/>
    <w:pPr>
      <w:numPr>
        <w:ilvl w:val="0"/>
        <w:numId w:val="3"/>
      </w:numPr>
      <w:tabs>
        <w:tab w:val="left" w:pos="360"/>
      </w:tabs>
    </w:pPr>
  </w:style>
  <w:style w:type="paragraph" w:styleId="22">
    <w:name w:val="toa heading"/>
    <w:basedOn w:val="1"/>
    <w:next w:val="1"/>
    <w:uiPriority w:val="0"/>
    <w:pPr>
      <w:spacing w:before="120"/>
    </w:pPr>
    <w:rPr>
      <w:rFonts w:ascii="Arial" w:hAnsi="Arial" w:cs="Arial"/>
      <w:sz w:val="24"/>
    </w:rPr>
  </w:style>
  <w:style w:type="paragraph" w:styleId="23">
    <w:name w:val="annotation text"/>
    <w:basedOn w:val="1"/>
    <w:link w:val="95"/>
    <w:uiPriority w:val="0"/>
    <w:pPr>
      <w:jc w:val="left"/>
    </w:pPr>
  </w:style>
  <w:style w:type="paragraph" w:styleId="24">
    <w:name w:val="index 6"/>
    <w:basedOn w:val="1"/>
    <w:next w:val="1"/>
    <w:uiPriority w:val="0"/>
    <w:pPr>
      <w:ind w:left="1000" w:leftChars="1000"/>
    </w:pPr>
  </w:style>
  <w:style w:type="paragraph" w:styleId="25">
    <w:name w:val="Body Text 3"/>
    <w:basedOn w:val="1"/>
    <w:uiPriority w:val="0"/>
    <w:pPr>
      <w:snapToGrid w:val="0"/>
      <w:spacing w:before="50" w:after="50"/>
    </w:pPr>
    <w:rPr>
      <w:rFonts w:hAnsi="宋体" w:eastAsia="仿宋_GB2312"/>
      <w:b/>
      <w:bCs/>
      <w:sz w:val="24"/>
      <w:szCs w:val="20"/>
    </w:rPr>
  </w:style>
  <w:style w:type="paragraph" w:styleId="26">
    <w:name w:val="List Bullet 3"/>
    <w:basedOn w:val="1"/>
    <w:uiPriority w:val="0"/>
    <w:pPr>
      <w:numPr>
        <w:ilvl w:val="0"/>
        <w:numId w:val="4"/>
      </w:numPr>
      <w:tabs>
        <w:tab w:val="left" w:pos="1200"/>
      </w:tabs>
    </w:pPr>
  </w:style>
  <w:style w:type="paragraph" w:styleId="27">
    <w:name w:val="Body Text"/>
    <w:basedOn w:val="1"/>
    <w:link w:val="92"/>
    <w:uiPriority w:val="0"/>
    <w:pPr>
      <w:spacing w:after="120"/>
    </w:pPr>
    <w:rPr>
      <w:sz w:val="28"/>
    </w:rPr>
  </w:style>
  <w:style w:type="paragraph" w:styleId="28">
    <w:name w:val="Body Text Indent"/>
    <w:basedOn w:val="1"/>
    <w:link w:val="94"/>
    <w:uiPriority w:val="0"/>
    <w:pPr>
      <w:spacing w:line="200" w:lineRule="exact"/>
      <w:ind w:firstLine="301"/>
    </w:pPr>
    <w:rPr>
      <w:rFonts w:ascii="宋体" w:hAnsi="Courier New"/>
      <w:spacing w:val="-4"/>
      <w:sz w:val="18"/>
      <w:szCs w:val="20"/>
    </w:rPr>
  </w:style>
  <w:style w:type="paragraph" w:styleId="29">
    <w:name w:val="List Number 3"/>
    <w:basedOn w:val="1"/>
    <w:uiPriority w:val="0"/>
    <w:pPr>
      <w:numPr>
        <w:ilvl w:val="0"/>
        <w:numId w:val="1"/>
      </w:numPr>
    </w:pPr>
  </w:style>
  <w:style w:type="paragraph" w:styleId="30">
    <w:name w:val="List 2"/>
    <w:basedOn w:val="1"/>
    <w:uiPriority w:val="0"/>
    <w:pPr>
      <w:ind w:left="100" w:leftChars="200" w:hanging="200" w:hangingChars="200"/>
    </w:pPr>
    <w:rPr>
      <w:sz w:val="28"/>
    </w:rPr>
  </w:style>
  <w:style w:type="paragraph" w:styleId="31">
    <w:name w:val="List Continue"/>
    <w:basedOn w:val="1"/>
    <w:uiPriority w:val="0"/>
    <w:pPr>
      <w:spacing w:after="120"/>
      <w:ind w:left="420" w:leftChars="200"/>
    </w:pPr>
    <w:rPr>
      <w:rFonts w:ascii="宋体"/>
      <w:sz w:val="28"/>
      <w:szCs w:val="20"/>
    </w:rPr>
  </w:style>
  <w:style w:type="paragraph" w:styleId="32">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3">
    <w:name w:val="List Bullet 2"/>
    <w:basedOn w:val="1"/>
    <w:uiPriority w:val="0"/>
    <w:pPr>
      <w:autoSpaceDE w:val="0"/>
      <w:autoSpaceDN w:val="0"/>
      <w:adjustRightInd w:val="0"/>
      <w:ind w:left="420"/>
      <w:jc w:val="left"/>
    </w:pPr>
    <w:rPr>
      <w:rFonts w:ascii="宋体" w:hAnsi="宋体"/>
      <w:color w:val="000000"/>
      <w:kern w:val="0"/>
      <w:sz w:val="24"/>
      <w:szCs w:val="20"/>
    </w:rPr>
  </w:style>
  <w:style w:type="paragraph" w:styleId="34">
    <w:name w:val="index 4"/>
    <w:basedOn w:val="1"/>
    <w:next w:val="1"/>
    <w:uiPriority w:val="0"/>
    <w:pPr>
      <w:ind w:left="600" w:leftChars="600"/>
    </w:pPr>
  </w:style>
  <w:style w:type="paragraph" w:styleId="35">
    <w:name w:val="toc 5"/>
    <w:basedOn w:val="1"/>
    <w:next w:val="1"/>
    <w:unhideWhenUsed/>
    <w:uiPriority w:val="0"/>
    <w:pPr>
      <w:ind w:left="840"/>
      <w:jc w:val="left"/>
    </w:pPr>
    <w:rPr>
      <w:sz w:val="18"/>
      <w:szCs w:val="18"/>
    </w:rPr>
  </w:style>
  <w:style w:type="paragraph" w:styleId="36">
    <w:name w:val="toc 3"/>
    <w:basedOn w:val="1"/>
    <w:next w:val="1"/>
    <w:uiPriority w:val="0"/>
    <w:pPr>
      <w:ind w:left="840" w:leftChars="400"/>
    </w:pPr>
    <w:rPr>
      <w:rFonts w:ascii="Calibri" w:hAnsi="Calibri"/>
      <w:szCs w:val="22"/>
    </w:rPr>
  </w:style>
  <w:style w:type="paragraph" w:styleId="37">
    <w:name w:val="Plain Text"/>
    <w:basedOn w:val="1"/>
    <w:link w:val="102"/>
    <w:qFormat/>
    <w:uiPriority w:val="0"/>
    <w:pPr>
      <w:spacing w:before="156" w:beforeLines="50" w:after="156" w:afterLines="50" w:line="400" w:lineRule="exact"/>
    </w:pPr>
    <w:rPr>
      <w:rFonts w:ascii="宋体" w:hAnsi="Courier New"/>
      <w:sz w:val="24"/>
    </w:rPr>
  </w:style>
  <w:style w:type="paragraph" w:styleId="38">
    <w:name w:val="List Bullet 5"/>
    <w:basedOn w:val="1"/>
    <w:uiPriority w:val="0"/>
    <w:pPr>
      <w:numPr>
        <w:ilvl w:val="0"/>
        <w:numId w:val="5"/>
      </w:numPr>
      <w:tabs>
        <w:tab w:val="left" w:pos="2040"/>
      </w:tabs>
    </w:pPr>
  </w:style>
  <w:style w:type="paragraph" w:styleId="39">
    <w:name w:val="toc 8"/>
    <w:basedOn w:val="1"/>
    <w:next w:val="1"/>
    <w:unhideWhenUsed/>
    <w:uiPriority w:val="0"/>
    <w:pPr>
      <w:ind w:left="1470"/>
      <w:jc w:val="left"/>
    </w:pPr>
    <w:rPr>
      <w:sz w:val="18"/>
      <w:szCs w:val="18"/>
    </w:rPr>
  </w:style>
  <w:style w:type="paragraph" w:styleId="40">
    <w:name w:val="index 3"/>
    <w:basedOn w:val="1"/>
    <w:next w:val="1"/>
    <w:uiPriority w:val="0"/>
    <w:pPr>
      <w:ind w:left="400" w:leftChars="400"/>
    </w:pPr>
  </w:style>
  <w:style w:type="paragraph" w:styleId="41">
    <w:name w:val="Date"/>
    <w:basedOn w:val="1"/>
    <w:next w:val="1"/>
    <w:uiPriority w:val="0"/>
    <w:pPr>
      <w:ind w:leftChars="2500"/>
    </w:pPr>
    <w:rPr>
      <w:rFonts w:eastAsia="楷体_GB2312"/>
      <w:sz w:val="32"/>
      <w:szCs w:val="20"/>
    </w:rPr>
  </w:style>
  <w:style w:type="paragraph" w:styleId="42">
    <w:name w:val="Body Text Indent 2"/>
    <w:basedOn w:val="1"/>
    <w:uiPriority w:val="0"/>
    <w:pPr>
      <w:snapToGrid w:val="0"/>
      <w:ind w:firstLine="542" w:firstLineChars="225"/>
    </w:pPr>
    <w:rPr>
      <w:rFonts w:ascii="仿宋_GB2312" w:hAnsi="宋体" w:cs="Arial"/>
      <w:b/>
      <w:bCs/>
      <w:color w:val="000000"/>
      <w:sz w:val="24"/>
    </w:rPr>
  </w:style>
  <w:style w:type="paragraph" w:styleId="43">
    <w:name w:val="endnote text"/>
    <w:basedOn w:val="1"/>
    <w:uiPriority w:val="0"/>
    <w:pPr>
      <w:snapToGrid w:val="0"/>
      <w:jc w:val="left"/>
    </w:pPr>
    <w:rPr>
      <w:kern w:val="0"/>
      <w:sz w:val="20"/>
    </w:rPr>
  </w:style>
  <w:style w:type="paragraph" w:styleId="44">
    <w:name w:val="Balloon Text"/>
    <w:basedOn w:val="1"/>
    <w:link w:val="106"/>
    <w:semiHidden/>
    <w:uiPriority w:val="0"/>
    <w:rPr>
      <w:sz w:val="18"/>
      <w:szCs w:val="18"/>
    </w:rPr>
  </w:style>
  <w:style w:type="paragraph" w:styleId="45">
    <w:name w:val="footer"/>
    <w:basedOn w:val="1"/>
    <w:link w:val="101"/>
    <w:uiPriority w:val="99"/>
    <w:pPr>
      <w:tabs>
        <w:tab w:val="center" w:pos="4153"/>
        <w:tab w:val="right" w:pos="8306"/>
      </w:tabs>
      <w:snapToGrid w:val="0"/>
      <w:jc w:val="left"/>
    </w:pPr>
    <w:rPr>
      <w:rFonts w:eastAsia="黑体"/>
      <w:snapToGrid w:val="0"/>
      <w:kern w:val="0"/>
      <w:sz w:val="18"/>
      <w:szCs w:val="18"/>
    </w:rPr>
  </w:style>
  <w:style w:type="paragraph" w:styleId="46">
    <w:name w:val="header"/>
    <w:basedOn w:val="1"/>
    <w:link w:val="97"/>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47">
    <w:name w:val="toc 1"/>
    <w:basedOn w:val="1"/>
    <w:next w:val="1"/>
    <w:uiPriority w:val="39"/>
  </w:style>
  <w:style w:type="paragraph" w:styleId="48">
    <w:name w:val="toc 4"/>
    <w:basedOn w:val="1"/>
    <w:next w:val="1"/>
    <w:unhideWhenUsed/>
    <w:uiPriority w:val="0"/>
    <w:pPr>
      <w:ind w:left="630"/>
      <w:jc w:val="left"/>
    </w:pPr>
    <w:rPr>
      <w:sz w:val="18"/>
      <w:szCs w:val="18"/>
    </w:rPr>
  </w:style>
  <w:style w:type="paragraph" w:styleId="49">
    <w:name w:val="index heading"/>
    <w:basedOn w:val="1"/>
    <w:next w:val="50"/>
    <w:uiPriority w:val="0"/>
    <w:rPr>
      <w:rFonts w:ascii="Arial" w:hAnsi="Arial" w:cs="Arial"/>
      <w:b/>
      <w:bCs/>
    </w:rPr>
  </w:style>
  <w:style w:type="paragraph" w:styleId="50">
    <w:name w:val="index 1"/>
    <w:basedOn w:val="1"/>
    <w:next w:val="1"/>
    <w:uiPriority w:val="0"/>
  </w:style>
  <w:style w:type="paragraph" w:styleId="51">
    <w:name w:val="List"/>
    <w:basedOn w:val="1"/>
    <w:uiPriority w:val="0"/>
    <w:pPr>
      <w:ind w:left="200" w:hanging="200" w:hangingChars="200"/>
    </w:pPr>
    <w:rPr>
      <w:sz w:val="28"/>
    </w:rPr>
  </w:style>
  <w:style w:type="paragraph" w:styleId="52">
    <w:name w:val="footnote text"/>
    <w:basedOn w:val="1"/>
    <w:link w:val="145"/>
    <w:uiPriority w:val="0"/>
    <w:pPr>
      <w:snapToGrid w:val="0"/>
      <w:jc w:val="left"/>
    </w:pPr>
    <w:rPr>
      <w:kern w:val="0"/>
      <w:sz w:val="18"/>
      <w:szCs w:val="18"/>
      <w:lang/>
    </w:rPr>
  </w:style>
  <w:style w:type="paragraph" w:styleId="53">
    <w:name w:val="toc 6"/>
    <w:basedOn w:val="1"/>
    <w:next w:val="1"/>
    <w:unhideWhenUsed/>
    <w:uiPriority w:val="0"/>
    <w:pPr>
      <w:ind w:left="1050"/>
      <w:jc w:val="left"/>
    </w:pPr>
    <w:rPr>
      <w:sz w:val="18"/>
      <w:szCs w:val="18"/>
    </w:rPr>
  </w:style>
  <w:style w:type="paragraph" w:styleId="54">
    <w:name w:val="List 5"/>
    <w:basedOn w:val="1"/>
    <w:uiPriority w:val="0"/>
    <w:pPr>
      <w:ind w:left="2100" w:hanging="420"/>
    </w:pPr>
    <w:rPr>
      <w:rFonts w:ascii="Calibri" w:hAnsi="Calibri" w:eastAsia="楷体_GB2312"/>
      <w:sz w:val="32"/>
      <w:szCs w:val="22"/>
    </w:rPr>
  </w:style>
  <w:style w:type="paragraph" w:styleId="55">
    <w:name w:val="Body Text Indent 3"/>
    <w:basedOn w:val="1"/>
    <w:link w:val="108"/>
    <w:uiPriority w:val="0"/>
    <w:pPr>
      <w:snapToGrid w:val="0"/>
      <w:ind w:firstLine="480" w:firstLineChars="200"/>
      <w:jc w:val="left"/>
    </w:pPr>
    <w:rPr>
      <w:rFonts w:ascii="仿宋_GB2312" w:hAnsi="宋体" w:eastAsia="仿宋_GB2312"/>
      <w:color w:val="000000"/>
      <w:sz w:val="24"/>
    </w:rPr>
  </w:style>
  <w:style w:type="paragraph" w:styleId="56">
    <w:name w:val="index 7"/>
    <w:basedOn w:val="1"/>
    <w:next w:val="1"/>
    <w:uiPriority w:val="0"/>
    <w:pPr>
      <w:ind w:left="1200" w:leftChars="1200"/>
    </w:pPr>
  </w:style>
  <w:style w:type="paragraph" w:styleId="57">
    <w:name w:val="index 9"/>
    <w:basedOn w:val="1"/>
    <w:next w:val="1"/>
    <w:uiPriority w:val="0"/>
    <w:pPr>
      <w:ind w:left="1600" w:leftChars="1600"/>
    </w:pPr>
  </w:style>
  <w:style w:type="paragraph" w:styleId="58">
    <w:name w:val="table of figures"/>
    <w:basedOn w:val="1"/>
    <w:next w:val="1"/>
    <w:uiPriority w:val="0"/>
    <w:pPr>
      <w:ind w:left="200" w:leftChars="200" w:hanging="200" w:hangingChars="200"/>
    </w:pPr>
  </w:style>
  <w:style w:type="paragraph" w:styleId="59">
    <w:name w:val="toc 2"/>
    <w:basedOn w:val="1"/>
    <w:next w:val="1"/>
    <w:uiPriority w:val="39"/>
    <w:pPr>
      <w:ind w:left="420" w:leftChars="200"/>
    </w:pPr>
    <w:rPr>
      <w:rFonts w:ascii="Calibri" w:hAnsi="Calibri"/>
      <w:szCs w:val="22"/>
    </w:rPr>
  </w:style>
  <w:style w:type="paragraph" w:styleId="60">
    <w:name w:val="toc 9"/>
    <w:basedOn w:val="1"/>
    <w:next w:val="1"/>
    <w:unhideWhenUsed/>
    <w:uiPriority w:val="0"/>
    <w:pPr>
      <w:ind w:left="1680"/>
      <w:jc w:val="left"/>
    </w:pPr>
    <w:rPr>
      <w:sz w:val="18"/>
      <w:szCs w:val="18"/>
    </w:rPr>
  </w:style>
  <w:style w:type="paragraph" w:styleId="61">
    <w:name w:val="Body Text 2"/>
    <w:basedOn w:val="1"/>
    <w:link w:val="105"/>
    <w:uiPriority w:val="0"/>
    <w:pPr>
      <w:widowControl/>
      <w:snapToGrid w:val="0"/>
      <w:spacing w:before="50" w:after="156" w:afterLines="50" w:line="400" w:lineRule="exact"/>
      <w:jc w:val="left"/>
    </w:pPr>
    <w:rPr>
      <w:rFonts w:ascii="宋体" w:hAnsi="宋体"/>
      <w:color w:val="000000"/>
      <w:sz w:val="24"/>
    </w:rPr>
  </w:style>
  <w:style w:type="paragraph" w:styleId="62">
    <w:name w:val="List 4"/>
    <w:basedOn w:val="1"/>
    <w:uiPriority w:val="0"/>
    <w:pPr>
      <w:ind w:left="1680" w:hanging="420"/>
    </w:pPr>
    <w:rPr>
      <w:rFonts w:ascii="Calibri" w:hAnsi="Calibri" w:eastAsia="楷体_GB2312"/>
      <w:sz w:val="32"/>
      <w:szCs w:val="22"/>
    </w:rPr>
  </w:style>
  <w:style w:type="paragraph" w:styleId="6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4">
    <w:name w:val="Normal (Web)"/>
    <w:basedOn w:val="1"/>
    <w:uiPriority w:val="0"/>
    <w:pPr>
      <w:widowControl/>
      <w:spacing w:before="100" w:beforeAutospacing="1" w:after="100" w:afterAutospacing="1"/>
      <w:jc w:val="left"/>
    </w:pPr>
    <w:rPr>
      <w:rFonts w:ascii="宋体" w:hAnsi="宋体"/>
      <w:color w:val="000000"/>
      <w:kern w:val="0"/>
      <w:sz w:val="24"/>
    </w:rPr>
  </w:style>
  <w:style w:type="paragraph" w:styleId="65">
    <w:name w:val="index 2"/>
    <w:basedOn w:val="1"/>
    <w:next w:val="1"/>
    <w:uiPriority w:val="0"/>
    <w:pPr>
      <w:ind w:left="200" w:leftChars="200"/>
    </w:pPr>
  </w:style>
  <w:style w:type="paragraph" w:styleId="66">
    <w:name w:val="Title"/>
    <w:basedOn w:val="1"/>
    <w:next w:val="1"/>
    <w:qFormat/>
    <w:uiPriority w:val="0"/>
    <w:pPr>
      <w:spacing w:line="520" w:lineRule="exact"/>
      <w:jc w:val="center"/>
      <w:outlineLvl w:val="3"/>
    </w:pPr>
    <w:rPr>
      <w:rFonts w:ascii="Cambria" w:hAnsi="Cambria"/>
      <w:b/>
      <w:bCs/>
      <w:sz w:val="28"/>
      <w:szCs w:val="32"/>
    </w:rPr>
  </w:style>
  <w:style w:type="paragraph" w:styleId="67">
    <w:name w:val="annotation subject"/>
    <w:basedOn w:val="23"/>
    <w:next w:val="23"/>
    <w:link w:val="107"/>
    <w:uiPriority w:val="0"/>
    <w:rPr>
      <w:b/>
      <w:bCs/>
      <w:szCs w:val="20"/>
    </w:rPr>
  </w:style>
  <w:style w:type="paragraph" w:styleId="68">
    <w:name w:val="Body Text First Indent"/>
    <w:basedOn w:val="27"/>
    <w:uiPriority w:val="0"/>
    <w:pPr>
      <w:widowControl/>
      <w:spacing w:before="120"/>
      <w:ind w:firstLine="100" w:firstLineChars="100"/>
    </w:pPr>
    <w:rPr>
      <w:rFonts w:ascii="宋体" w:hAnsi="宋体"/>
      <w:color w:val="000000"/>
      <w:sz w:val="24"/>
      <w:szCs w:val="22"/>
    </w:rPr>
  </w:style>
  <w:style w:type="paragraph" w:styleId="69">
    <w:name w:val="Body Text First Indent 2"/>
    <w:basedOn w:val="28"/>
    <w:uiPriority w:val="0"/>
    <w:pPr>
      <w:spacing w:after="120" w:line="240" w:lineRule="auto"/>
      <w:ind w:left="420" w:leftChars="200" w:firstLine="420" w:firstLineChars="200"/>
    </w:pPr>
    <w:rPr>
      <w:rFonts w:hAnsi="宋体"/>
      <w:spacing w:val="0"/>
      <w:sz w:val="21"/>
      <w:szCs w:val="24"/>
      <w:lang w:val="en-US" w:eastAsia="zh-CN"/>
    </w:rPr>
  </w:style>
  <w:style w:type="table" w:styleId="71">
    <w:name w:val="Table Grid"/>
    <w:basedOn w:val="70"/>
    <w:uiPriority w:val="0"/>
    <w:pPr>
      <w:widowControl w:val="0"/>
      <w:jc w:val="both"/>
    </w:pPr>
    <w:tblPr>
      <w:tblStyle w:val="7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2">
    <w:name w:val="Table Elegant"/>
    <w:basedOn w:val="70"/>
    <w:unhideWhenUsed/>
    <w:uiPriority w:val="0"/>
    <w:pPr>
      <w:widowControl w:val="0"/>
      <w:jc w:val="both"/>
    </w:pPr>
    <w:tblPr>
      <w:tblStyle w:val="70"/>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70"/>
      </w:tblPr>
      <w:tcPr>
        <w:tcBorders>
          <w:top w:val="nil"/>
          <w:left w:val="nil"/>
          <w:bottom w:val="nil"/>
          <w:right w:val="nil"/>
          <w:insideH w:val="nil"/>
          <w:insideV w:val="nil"/>
          <w:tl2br w:val="nil"/>
          <w:tr2bl w:val="nil"/>
        </w:tcBorders>
      </w:tcPr>
    </w:tblStylePr>
  </w:style>
  <w:style w:type="character" w:styleId="74">
    <w:name w:val="Strong"/>
    <w:qFormat/>
    <w:uiPriority w:val="0"/>
    <w:rPr>
      <w:rFonts w:eastAsia="宋体"/>
      <w:b/>
      <w:bCs/>
      <w:kern w:val="2"/>
      <w:sz w:val="24"/>
      <w:szCs w:val="24"/>
      <w:lang w:val="en-US" w:eastAsia="zh-CN" w:bidi="ar-SA"/>
    </w:rPr>
  </w:style>
  <w:style w:type="character" w:styleId="75">
    <w:name w:val="page number"/>
    <w:basedOn w:val="73"/>
    <w:uiPriority w:val="0"/>
  </w:style>
  <w:style w:type="character" w:styleId="76">
    <w:name w:val="FollowedHyperlink"/>
    <w:uiPriority w:val="0"/>
    <w:rPr>
      <w:rFonts w:eastAsia="宋体"/>
      <w:color w:val="800080"/>
      <w:kern w:val="2"/>
      <w:sz w:val="24"/>
      <w:szCs w:val="24"/>
      <w:u w:val="single"/>
      <w:lang w:val="en-US" w:eastAsia="zh-CN" w:bidi="ar-SA"/>
    </w:rPr>
  </w:style>
  <w:style w:type="character" w:styleId="77">
    <w:name w:val="Hyperlink"/>
    <w:uiPriority w:val="99"/>
    <w:rPr>
      <w:color w:val="0000FF"/>
      <w:u w:val="single"/>
    </w:rPr>
  </w:style>
  <w:style w:type="character" w:styleId="78">
    <w:name w:val="annotation reference"/>
    <w:uiPriority w:val="0"/>
    <w:rPr>
      <w:rFonts w:eastAsia="宋体"/>
      <w:kern w:val="2"/>
      <w:sz w:val="21"/>
      <w:szCs w:val="21"/>
      <w:lang w:val="en-US" w:eastAsia="zh-CN" w:bidi="ar-SA"/>
    </w:rPr>
  </w:style>
  <w:style w:type="character" w:customStyle="1" w:styleId="79">
    <w:name w:val=" Char Char26"/>
    <w:link w:val="3"/>
    <w:uiPriority w:val="0"/>
    <w:rPr>
      <w:rFonts w:eastAsia="宋体"/>
      <w:b/>
      <w:bCs/>
      <w:kern w:val="2"/>
      <w:sz w:val="24"/>
      <w:szCs w:val="24"/>
      <w:lang w:val="en-US" w:eastAsia="zh-CN" w:bidi="ar-SA"/>
    </w:rPr>
  </w:style>
  <w:style w:type="character" w:customStyle="1" w:styleId="80">
    <w:name w:val=" Char Char23"/>
    <w:link w:val="4"/>
    <w:uiPriority w:val="0"/>
    <w:rPr>
      <w:rFonts w:ascii="Arial" w:hAnsi="Arial" w:eastAsia="黑体"/>
      <w:b/>
      <w:bCs/>
      <w:kern w:val="2"/>
      <w:sz w:val="32"/>
      <w:szCs w:val="32"/>
      <w:lang w:val="en-US" w:eastAsia="zh-CN" w:bidi="ar-SA"/>
    </w:rPr>
  </w:style>
  <w:style w:type="character" w:customStyle="1" w:styleId="81">
    <w:name w:val=" Char Char22"/>
    <w:link w:val="5"/>
    <w:uiPriority w:val="0"/>
    <w:rPr>
      <w:rFonts w:eastAsia="宋体"/>
      <w:b/>
      <w:bCs/>
      <w:kern w:val="2"/>
      <w:sz w:val="32"/>
      <w:szCs w:val="32"/>
      <w:lang w:val="en-US" w:eastAsia="zh-CN" w:bidi="ar-SA"/>
    </w:rPr>
  </w:style>
  <w:style w:type="character" w:customStyle="1" w:styleId="82">
    <w:name w:val=" Char Char21"/>
    <w:link w:val="6"/>
    <w:uiPriority w:val="0"/>
    <w:rPr>
      <w:rFonts w:ascii="Arial" w:hAnsi="Arial" w:eastAsia="黑体"/>
      <w:b/>
      <w:bCs/>
      <w:kern w:val="2"/>
      <w:sz w:val="28"/>
      <w:szCs w:val="28"/>
      <w:lang w:val="en-US" w:eastAsia="zh-CN" w:bidi="ar-SA"/>
    </w:rPr>
  </w:style>
  <w:style w:type="character" w:customStyle="1" w:styleId="83">
    <w:name w:val=" Char Char19"/>
    <w:link w:val="7"/>
    <w:uiPriority w:val="0"/>
    <w:rPr>
      <w:rFonts w:eastAsia="宋体"/>
      <w:b/>
      <w:bCs/>
      <w:kern w:val="2"/>
      <w:sz w:val="28"/>
      <w:szCs w:val="28"/>
      <w:lang w:val="en-US" w:eastAsia="zh-CN" w:bidi="ar-SA"/>
    </w:rPr>
  </w:style>
  <w:style w:type="character" w:customStyle="1" w:styleId="84">
    <w:name w:val=" Char Char17"/>
    <w:link w:val="8"/>
    <w:uiPriority w:val="0"/>
    <w:rPr>
      <w:kern w:val="2"/>
      <w:sz w:val="28"/>
    </w:rPr>
  </w:style>
  <w:style w:type="character" w:customStyle="1" w:styleId="85">
    <w:name w:val=" Char Char11"/>
    <w:link w:val="10"/>
    <w:uiPriority w:val="0"/>
    <w:rPr>
      <w:rFonts w:eastAsia="宋体"/>
      <w:kern w:val="2"/>
      <w:sz w:val="21"/>
      <w:lang w:val="en-US" w:eastAsia="zh-CN" w:bidi="ar-SA"/>
    </w:rPr>
  </w:style>
  <w:style w:type="character" w:customStyle="1" w:styleId="86">
    <w:name w:val=" Char Char16"/>
    <w:link w:val="9"/>
    <w:uiPriority w:val="0"/>
    <w:rPr>
      <w:rFonts w:eastAsia="宋体"/>
      <w:b/>
      <w:bCs/>
      <w:spacing w:val="6"/>
      <w:kern w:val="2"/>
      <w:sz w:val="24"/>
      <w:szCs w:val="24"/>
      <w:lang w:val="en-US" w:eastAsia="zh-CN" w:bidi="ar-SA"/>
    </w:rPr>
  </w:style>
  <w:style w:type="character" w:customStyle="1" w:styleId="87">
    <w:name w:val=" Char Char15"/>
    <w:link w:val="11"/>
    <w:uiPriority w:val="0"/>
    <w:rPr>
      <w:rFonts w:ascii="Arial" w:hAnsi="Arial" w:eastAsia="黑体"/>
      <w:spacing w:val="6"/>
      <w:kern w:val="2"/>
      <w:sz w:val="24"/>
      <w:szCs w:val="24"/>
      <w:lang w:val="en-US" w:eastAsia="zh-CN" w:bidi="ar-SA"/>
    </w:rPr>
  </w:style>
  <w:style w:type="character" w:customStyle="1" w:styleId="88">
    <w:name w:val=" Char Char14"/>
    <w:link w:val="12"/>
    <w:uiPriority w:val="0"/>
    <w:rPr>
      <w:rFonts w:ascii="Arial" w:hAnsi="Arial" w:eastAsia="黑体"/>
      <w:kern w:val="2"/>
      <w:sz w:val="21"/>
      <w:szCs w:val="22"/>
      <w:lang w:val="en-US" w:eastAsia="zh-CN" w:bidi="ar-SA"/>
    </w:rPr>
  </w:style>
  <w:style w:type="character" w:customStyle="1" w:styleId="89">
    <w:name w:val="普通文字 Char Char1"/>
    <w:aliases w:val="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
    <w:uiPriority w:val="0"/>
    <w:rPr>
      <w:rFonts w:ascii="宋体" w:hAnsi="Courier New"/>
      <w:kern w:val="2"/>
      <w:sz w:val="24"/>
      <w:szCs w:val="24"/>
    </w:rPr>
  </w:style>
  <w:style w:type="character" w:customStyle="1" w:styleId="90">
    <w:name w:val="List Paragraph Char"/>
    <w:link w:val="91"/>
    <w:locked/>
    <w:uiPriority w:val="0"/>
    <w:rPr>
      <w:rFonts w:eastAsia="宋体"/>
      <w:kern w:val="2"/>
      <w:sz w:val="21"/>
      <w:szCs w:val="24"/>
      <w:lang w:val="en-US" w:eastAsia="zh-CN" w:bidi="ar-SA"/>
    </w:rPr>
  </w:style>
  <w:style w:type="paragraph" w:customStyle="1" w:styleId="91">
    <w:name w:val="List Paragraph"/>
    <w:basedOn w:val="1"/>
    <w:link w:val="90"/>
    <w:qFormat/>
    <w:uiPriority w:val="0"/>
    <w:pPr>
      <w:ind w:firstLine="420" w:firstLineChars="200"/>
    </w:pPr>
  </w:style>
  <w:style w:type="character" w:customStyle="1" w:styleId="92">
    <w:name w:val=" Char Char10"/>
    <w:link w:val="27"/>
    <w:semiHidden/>
    <w:locked/>
    <w:uiPriority w:val="0"/>
    <w:rPr>
      <w:rFonts w:eastAsia="宋体"/>
      <w:kern w:val="2"/>
      <w:sz w:val="28"/>
      <w:szCs w:val="24"/>
      <w:lang w:val="en-US" w:eastAsia="zh-CN" w:bidi="ar-SA"/>
    </w:rPr>
  </w:style>
  <w:style w:type="character" w:customStyle="1" w:styleId="93">
    <w:name w:val="Char Char11"/>
    <w:locked/>
    <w:uiPriority w:val="0"/>
    <w:rPr>
      <w:rFonts w:ascii="宋体" w:hAnsi="Courier New" w:eastAsia="宋体"/>
      <w:spacing w:val="-4"/>
      <w:kern w:val="2"/>
      <w:sz w:val="18"/>
      <w:lang w:val="en-US" w:eastAsia="zh-CN" w:bidi="ar-SA"/>
    </w:rPr>
  </w:style>
  <w:style w:type="character" w:customStyle="1" w:styleId="94">
    <w:name w:val=" Char Char9"/>
    <w:link w:val="28"/>
    <w:uiPriority w:val="0"/>
    <w:rPr>
      <w:rFonts w:ascii="宋体" w:hAnsi="Courier New"/>
      <w:spacing w:val="-4"/>
      <w:kern w:val="2"/>
      <w:sz w:val="18"/>
    </w:rPr>
  </w:style>
  <w:style w:type="character" w:customStyle="1" w:styleId="95">
    <w:name w:val=" Char Char8"/>
    <w:link w:val="23"/>
    <w:uiPriority w:val="0"/>
    <w:rPr>
      <w:kern w:val="2"/>
      <w:sz w:val="21"/>
      <w:szCs w:val="24"/>
    </w:rPr>
  </w:style>
  <w:style w:type="character" w:customStyle="1" w:styleId="96">
    <w:name w:val="style41"/>
    <w:uiPriority w:val="0"/>
    <w:rPr>
      <w:sz w:val="18"/>
      <w:szCs w:val="18"/>
    </w:rPr>
  </w:style>
  <w:style w:type="character" w:customStyle="1" w:styleId="97">
    <w:name w:val=" Char Char7"/>
    <w:link w:val="46"/>
    <w:uiPriority w:val="0"/>
    <w:rPr>
      <w:rFonts w:eastAsia="仿宋_GB2312"/>
      <w:kern w:val="2"/>
      <w:sz w:val="18"/>
      <w:lang w:val="en-US" w:eastAsia="zh-CN" w:bidi="ar-SA"/>
    </w:rPr>
  </w:style>
  <w:style w:type="character" w:customStyle="1" w:styleId="98">
    <w:name w:val="label_list1"/>
    <w:basedOn w:val="73"/>
    <w:uiPriority w:val="0"/>
  </w:style>
  <w:style w:type="character" w:customStyle="1" w:styleId="99">
    <w:name w:val="class3"/>
    <w:basedOn w:val="73"/>
    <w:uiPriority w:val="0"/>
  </w:style>
  <w:style w:type="character" w:customStyle="1" w:styleId="100">
    <w:name w:val="class4"/>
    <w:basedOn w:val="73"/>
    <w:uiPriority w:val="0"/>
  </w:style>
  <w:style w:type="character" w:customStyle="1" w:styleId="101">
    <w:name w:val=" Char Char6"/>
    <w:link w:val="45"/>
    <w:uiPriority w:val="99"/>
    <w:rPr>
      <w:rFonts w:eastAsia="黑体"/>
      <w:snapToGrid w:val="0"/>
      <w:sz w:val="18"/>
      <w:szCs w:val="18"/>
      <w:lang w:val="en-US" w:eastAsia="zh-CN" w:bidi="ar-SA"/>
    </w:rPr>
  </w:style>
  <w:style w:type="character" w:customStyle="1" w:styleId="102">
    <w:name w:val="普通文字 Char Char2"/>
    <w:aliases w:val="纯文本 Char Char Char1,纯文本 Char Char2,普通文字 Char Char Char2,普通文字 Char Char Char Char1,普通文字 Char2,小 Char1,Texte Char1,正 文 1 Char1,0921 Char1,普通文字1 Char1,普通文字2 Char1,普通文字3 Char1,普通文字4 Char1,普通文字5 Char1,普通文字6 Char1,普通文字11 Char1,普通文字21 Char1"/>
    <w:link w:val="37"/>
    <w:uiPriority w:val="0"/>
    <w:rPr>
      <w:rFonts w:ascii="宋体" w:hAnsi="Courier New" w:eastAsia="宋体"/>
      <w:kern w:val="2"/>
      <w:sz w:val="24"/>
      <w:szCs w:val="24"/>
      <w:lang w:val="en-US" w:eastAsia="zh-CN" w:bidi="ar-SA"/>
    </w:rPr>
  </w:style>
  <w:style w:type="character" w:customStyle="1" w:styleId="103">
    <w:name w:val="ca-3"/>
    <w:uiPriority w:val="0"/>
    <w:rPr>
      <w:rFonts w:eastAsia="宋体"/>
      <w:kern w:val="2"/>
      <w:sz w:val="24"/>
      <w:szCs w:val="24"/>
      <w:lang w:val="en-US" w:eastAsia="zh-CN" w:bidi="ar-SA"/>
    </w:rPr>
  </w:style>
  <w:style w:type="character" w:customStyle="1" w:styleId="104">
    <w:name w:val="hui121"/>
    <w:uiPriority w:val="0"/>
    <w:rPr>
      <w:rFonts w:eastAsia="宋体"/>
      <w:color w:val="333333"/>
      <w:kern w:val="2"/>
      <w:sz w:val="18"/>
      <w:szCs w:val="18"/>
      <w:lang w:val="en-US" w:eastAsia="zh-CN" w:bidi="ar-SA"/>
    </w:rPr>
  </w:style>
  <w:style w:type="character" w:customStyle="1" w:styleId="105">
    <w:name w:val=" Char Char5"/>
    <w:link w:val="61"/>
    <w:uiPriority w:val="0"/>
    <w:rPr>
      <w:rFonts w:ascii="宋体" w:hAnsi="宋体" w:eastAsia="宋体"/>
      <w:color w:val="000000"/>
      <w:kern w:val="2"/>
      <w:sz w:val="24"/>
      <w:szCs w:val="24"/>
      <w:lang w:val="en-US" w:eastAsia="zh-CN" w:bidi="ar-SA"/>
    </w:rPr>
  </w:style>
  <w:style w:type="character" w:customStyle="1" w:styleId="106">
    <w:name w:val=" Char Char4"/>
    <w:link w:val="44"/>
    <w:semiHidden/>
    <w:locked/>
    <w:uiPriority w:val="0"/>
    <w:rPr>
      <w:rFonts w:eastAsia="宋体"/>
      <w:kern w:val="2"/>
      <w:sz w:val="18"/>
      <w:szCs w:val="18"/>
      <w:lang w:val="en-US" w:eastAsia="zh-CN" w:bidi="ar-SA"/>
    </w:rPr>
  </w:style>
  <w:style w:type="character" w:customStyle="1" w:styleId="107">
    <w:name w:val=" Char Char3"/>
    <w:link w:val="67"/>
    <w:semiHidden/>
    <w:uiPriority w:val="0"/>
    <w:rPr>
      <w:rFonts w:eastAsia="宋体"/>
      <w:b/>
      <w:bCs/>
      <w:kern w:val="2"/>
      <w:sz w:val="21"/>
      <w:lang w:val="en-US" w:eastAsia="zh-CN" w:bidi="ar-SA"/>
    </w:rPr>
  </w:style>
  <w:style w:type="character" w:customStyle="1" w:styleId="108">
    <w:name w:val=" Char Char2"/>
    <w:link w:val="55"/>
    <w:uiPriority w:val="0"/>
    <w:rPr>
      <w:rFonts w:ascii="仿宋_GB2312" w:hAnsi="宋体" w:eastAsia="仿宋_GB2312"/>
      <w:color w:val="000000"/>
      <w:kern w:val="2"/>
      <w:sz w:val="24"/>
      <w:szCs w:val="24"/>
      <w:lang w:val="en-US" w:eastAsia="zh-CN" w:bidi="ar-SA"/>
    </w:rPr>
  </w:style>
  <w:style w:type="paragraph" w:customStyle="1" w:styleId="109">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110">
    <w:name w:val="正文段"/>
    <w:basedOn w:val="1"/>
    <w:uiPriority w:val="0"/>
    <w:pPr>
      <w:widowControl/>
      <w:snapToGrid w:val="0"/>
      <w:spacing w:after="50" w:afterLines="50"/>
      <w:ind w:firstLine="200" w:firstLineChars="200"/>
    </w:pPr>
    <w:rPr>
      <w:kern w:val="0"/>
      <w:sz w:val="24"/>
      <w:szCs w:val="20"/>
    </w:rPr>
  </w:style>
  <w:style w:type="paragraph" w:customStyle="1" w:styleId="111">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2">
    <w:name w:val="Char"/>
    <w:basedOn w:val="1"/>
    <w:uiPriority w:val="0"/>
    <w:pPr>
      <w:numPr>
        <w:ilvl w:val="0"/>
        <w:numId w:val="1"/>
      </w:numPr>
    </w:pPr>
    <w:rPr>
      <w:sz w:val="24"/>
    </w:rPr>
  </w:style>
  <w:style w:type="paragraph" w:customStyle="1" w:styleId="113">
    <w:name w:val="默认段落字体 Para Char Char Char Char Char Char Char Char Char1 Char Char Char Char"/>
    <w:basedOn w:val="1"/>
    <w:uiPriority w:val="0"/>
    <w:rPr>
      <w:rFonts w:ascii="Tahoma" w:hAnsi="Tahoma"/>
      <w:sz w:val="24"/>
      <w:szCs w:val="20"/>
    </w:rPr>
  </w:style>
  <w:style w:type="paragraph" w:customStyle="1" w:styleId="114">
    <w:name w:val="标题C"/>
    <w:basedOn w:val="5"/>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115">
    <w:name w:val="列出段落"/>
    <w:basedOn w:val="1"/>
    <w:qFormat/>
    <w:uiPriority w:val="34"/>
    <w:pPr>
      <w:widowControl/>
      <w:ind w:left="720" w:firstLine="360"/>
      <w:contextualSpacing/>
      <w:jc w:val="left"/>
    </w:pPr>
    <w:rPr>
      <w:rFonts w:ascii="Calibri" w:hAnsi="Calibri"/>
      <w:kern w:val="0"/>
      <w:sz w:val="22"/>
      <w:szCs w:val="22"/>
      <w:lang w:eastAsia="en-US" w:bidi="en-US"/>
    </w:rPr>
  </w:style>
  <w:style w:type="paragraph" w:customStyle="1" w:styleId="116">
    <w:name w:val=" Char Char Char Char Char Char"/>
    <w:basedOn w:val="1"/>
    <w:uiPriority w:val="0"/>
    <w:rPr>
      <w:rFonts w:ascii="仿宋_GB2312" w:eastAsia="仿宋_GB2312"/>
      <w:b/>
      <w:sz w:val="32"/>
      <w:szCs w:val="32"/>
    </w:rPr>
  </w:style>
  <w:style w:type="paragraph" w:customStyle="1" w:styleId="117">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118">
    <w:name w:val="Default"/>
    <w:uiPriority w:val="0"/>
    <w:pPr>
      <w:widowControl w:val="0"/>
      <w:autoSpaceDE w:val="0"/>
      <w:autoSpaceDN w:val="0"/>
      <w:adjustRightInd w:val="0"/>
    </w:pPr>
    <w:rPr>
      <w:rFonts w:ascii="..ì." w:eastAsia="..ì." w:cs="..ì."/>
      <w:color w:val="000000"/>
      <w:sz w:val="24"/>
      <w:szCs w:val="24"/>
      <w:lang w:val="en-US" w:eastAsia="zh-CN" w:bidi="ar-SA"/>
    </w:rPr>
  </w:style>
  <w:style w:type="paragraph" w:customStyle="1" w:styleId="119">
    <w:name w:val="文档正文"/>
    <w:basedOn w:val="1"/>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120">
    <w:name w:val="正文 A"/>
    <w:uiPriority w:val="0"/>
    <w:pPr>
      <w:widowControl w:val="0"/>
      <w:pBdr>
        <w:top w:val="none" w:color="FFFFFF" w:sz="96" w:space="31"/>
        <w:left w:val="none" w:color="FFFFFF" w:sz="96" w:space="31"/>
        <w:bottom w:val="none" w:color="FFFFFF" w:sz="96" w:space="31"/>
        <w:right w:val="none" w:color="FFFFFF" w:sz="96" w:space="31"/>
      </w:pBdr>
      <w:jc w:val="both"/>
    </w:pPr>
    <w:rPr>
      <w:rFonts w:hAnsi="Arial Unicode MS" w:eastAsia="Times New Roman" w:cs="Arial Unicode MS"/>
      <w:color w:val="000000"/>
      <w:kern w:val="2"/>
      <w:sz w:val="21"/>
      <w:szCs w:val="21"/>
      <w:u w:val="none" w:color="000000"/>
      <w:lang w:val="en-US" w:eastAsia="zh-CN" w:bidi="ar-SA"/>
    </w:rPr>
  </w:style>
  <w:style w:type="paragraph" w:customStyle="1" w:styleId="121">
    <w:name w:val="标题A"/>
    <w:basedOn w:val="3"/>
    <w:uiPriority w:val="0"/>
    <w:pPr>
      <w:keepLines/>
      <w:adjustRightInd w:val="0"/>
      <w:spacing w:before="100" w:beforeAutospacing="1" w:after="60"/>
      <w:textAlignment w:val="baseline"/>
    </w:pPr>
    <w:rPr>
      <w:rFonts w:ascii="Arial" w:hAnsi="Arial"/>
      <w:kern w:val="44"/>
      <w:sz w:val="28"/>
      <w:szCs w:val="44"/>
    </w:rPr>
  </w:style>
  <w:style w:type="paragraph" w:customStyle="1" w:styleId="122">
    <w:name w:val="Char Char Char Char Char Char Char Char Char Char Char Char Char Char Char Char Char Char Char Char Char Char Char Char Char Char Char Char Char1 Char Char Char Char Char Char Char Char Char Char Char Char"/>
    <w:basedOn w:val="1"/>
    <w:unhideWhenUsed/>
    <w:uiPriority w:val="0"/>
    <w:rPr>
      <w:rFonts w:hint="eastAsia" w:ascii="仿宋_GB2312" w:eastAsia="仿宋_GB2312"/>
      <w:b/>
      <w:sz w:val="32"/>
    </w:rPr>
  </w:style>
  <w:style w:type="paragraph" w:customStyle="1" w:styleId="123">
    <w:name w:val="cjk"/>
    <w:basedOn w:val="1"/>
    <w:uiPriority w:val="0"/>
    <w:pPr>
      <w:widowControl/>
      <w:spacing w:line="480" w:lineRule="auto"/>
      <w:jc w:val="left"/>
    </w:pPr>
    <w:rPr>
      <w:rFonts w:ascii="宋体" w:hAnsi="宋体" w:cs="宋体"/>
      <w:kern w:val="0"/>
      <w:sz w:val="24"/>
      <w:szCs w:val="22"/>
    </w:rPr>
  </w:style>
  <w:style w:type="paragraph" w:customStyle="1" w:styleId="124">
    <w:name w:val="xl29"/>
    <w:basedOn w:val="1"/>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125">
    <w:name w:val="列出段落1"/>
    <w:basedOn w:val="1"/>
    <w:uiPriority w:val="0"/>
    <w:pPr>
      <w:ind w:firstLine="420" w:firstLineChars="200"/>
    </w:pPr>
    <w:rPr>
      <w:rFonts w:ascii="Calibri" w:hAnsi="Calibri"/>
      <w:szCs w:val="22"/>
    </w:rPr>
  </w:style>
  <w:style w:type="paragraph" w:customStyle="1" w:styleId="126">
    <w:name w:val="默认段落字体 Para Char Char Char Char"/>
    <w:basedOn w:val="1"/>
    <w:uiPriority w:val="0"/>
    <w:rPr>
      <w:spacing w:val="20"/>
      <w:sz w:val="28"/>
      <w:szCs w:val="21"/>
    </w:rPr>
  </w:style>
  <w:style w:type="paragraph" w:customStyle="1" w:styleId="127">
    <w:name w:val="Char Char Char"/>
    <w:basedOn w:val="1"/>
    <w:uiPriority w:val="0"/>
    <w:rPr>
      <w:rFonts w:ascii="Calibri" w:hAnsi="Calibri"/>
      <w:szCs w:val="22"/>
    </w:rPr>
  </w:style>
  <w:style w:type="paragraph" w:customStyle="1" w:styleId="128">
    <w:name w:val="xl35"/>
    <w:basedOn w:val="1"/>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29">
    <w:name w:val="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30">
    <w:name w:val="p0"/>
    <w:basedOn w:val="1"/>
    <w:uiPriority w:val="0"/>
    <w:pPr>
      <w:widowControl/>
    </w:pPr>
    <w:rPr>
      <w:kern w:val="0"/>
      <w:szCs w:val="21"/>
    </w:rPr>
  </w:style>
  <w:style w:type="paragraph" w:customStyle="1" w:styleId="131">
    <w:name w:val="简单回函地址"/>
    <w:basedOn w:val="1"/>
    <w:uiPriority w:val="0"/>
    <w:pPr>
      <w:adjustRightInd w:val="0"/>
      <w:spacing w:line="312" w:lineRule="atLeast"/>
      <w:textAlignment w:val="baseline"/>
    </w:pPr>
    <w:rPr>
      <w:kern w:val="0"/>
      <w:szCs w:val="20"/>
    </w:rPr>
  </w:style>
  <w:style w:type="paragraph" w:customStyle="1" w:styleId="132">
    <w:name w:val="标题B"/>
    <w:basedOn w:val="4"/>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133">
    <w:name w:val="xl24"/>
    <w:basedOn w:val="1"/>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kern w:val="0"/>
      <w:sz w:val="24"/>
      <w:szCs w:val="20"/>
    </w:rPr>
  </w:style>
  <w:style w:type="paragraph" w:customStyle="1" w:styleId="134">
    <w:name w:val="Plain Text"/>
    <w:basedOn w:val="135"/>
    <w:uiPriority w:val="0"/>
    <w:pPr>
      <w:widowControl/>
      <w:jc w:val="left"/>
    </w:pPr>
    <w:rPr>
      <w:rFonts w:ascii="宋体" w:hAnsi="Courier New"/>
    </w:rPr>
  </w:style>
  <w:style w:type="paragraph" w:customStyle="1" w:styleId="135">
    <w:name w:val="Normal"/>
    <w:uiPriority w:val="0"/>
    <w:pPr>
      <w:widowControl w:val="0"/>
      <w:jc w:val="both"/>
    </w:pPr>
    <w:rPr>
      <w:rFonts w:hint="eastAsia"/>
      <w:kern w:val="2"/>
      <w:sz w:val="21"/>
      <w:lang w:val="en-US" w:eastAsia="zh-CN" w:bidi="ar-SA"/>
    </w:rPr>
  </w:style>
  <w:style w:type="paragraph" w:customStyle="1" w:styleId="136">
    <w:name w:val="正文_13"/>
    <w:qFormat/>
    <w:uiPriority w:val="0"/>
    <w:pPr>
      <w:widowControl w:val="0"/>
      <w:jc w:val="both"/>
    </w:pPr>
    <w:rPr>
      <w:kern w:val="2"/>
      <w:sz w:val="21"/>
      <w:szCs w:val="24"/>
      <w:lang w:val="en-US" w:eastAsia="zh-CN" w:bidi="ar-SA"/>
    </w:rPr>
  </w:style>
  <w:style w:type="paragraph" w:customStyle="1" w:styleId="137">
    <w:name w:val="纯文本 New New"/>
    <w:basedOn w:val="1"/>
    <w:uiPriority w:val="0"/>
    <w:pPr>
      <w:widowControl/>
      <w:overflowPunct w:val="0"/>
      <w:autoSpaceDE w:val="0"/>
      <w:autoSpaceDN w:val="0"/>
      <w:adjustRightInd w:val="0"/>
      <w:jc w:val="left"/>
      <w:textAlignment w:val="baseline"/>
    </w:pPr>
    <w:rPr>
      <w:rFonts w:ascii="宋体" w:hAnsi="Courier New" w:cs="宋体"/>
      <w:szCs w:val="21"/>
    </w:rPr>
  </w:style>
  <w:style w:type="character" w:customStyle="1" w:styleId="138">
    <w:name w:val=" Char Char29"/>
    <w:uiPriority w:val="0"/>
    <w:rPr>
      <w:rFonts w:eastAsia="宋体"/>
      <w:b/>
      <w:bCs/>
      <w:kern w:val="44"/>
      <w:sz w:val="30"/>
      <w:szCs w:val="44"/>
      <w:lang w:val="en-US" w:eastAsia="zh-CN" w:bidi="ar-SA"/>
    </w:rPr>
  </w:style>
  <w:style w:type="character" w:customStyle="1" w:styleId="139">
    <w:name w:val=" Char Char28"/>
    <w:uiPriority w:val="0"/>
    <w:rPr>
      <w:rFonts w:ascii="宋体" w:hAnsi="宋体" w:eastAsia="宋体"/>
      <w:b/>
      <w:kern w:val="2"/>
      <w:sz w:val="30"/>
      <w:szCs w:val="30"/>
      <w:lang w:val="en-US" w:eastAsia="zh-CN" w:bidi="ar-SA"/>
    </w:rPr>
  </w:style>
  <w:style w:type="character" w:customStyle="1" w:styleId="140">
    <w:name w:val=" Char Char27"/>
    <w:uiPriority w:val="0"/>
    <w:rPr>
      <w:rFonts w:eastAsia="宋体"/>
      <w:b/>
      <w:bCs/>
      <w:kern w:val="2"/>
      <w:sz w:val="32"/>
      <w:szCs w:val="32"/>
      <w:lang w:val="en-US" w:eastAsia="zh-CN" w:bidi="ar-SA"/>
    </w:rPr>
  </w:style>
  <w:style w:type="character" w:customStyle="1" w:styleId="141">
    <w:name w:val=" Char Char20"/>
    <w:uiPriority w:val="0"/>
    <w:rPr>
      <w:rFonts w:eastAsia="宋体"/>
      <w:spacing w:val="14"/>
      <w:kern w:val="24"/>
      <w:sz w:val="24"/>
      <w:lang w:bidi="ar-SA"/>
    </w:rPr>
  </w:style>
  <w:style w:type="character" w:customStyle="1" w:styleId="142">
    <w:name w:val=" Char Char25"/>
    <w:uiPriority w:val="0"/>
    <w:rPr>
      <w:rFonts w:eastAsia="黑体"/>
      <w:b/>
      <w:sz w:val="28"/>
      <w:lang w:val="en-US" w:eastAsia="zh-CN" w:bidi="ar-SA"/>
    </w:rPr>
  </w:style>
  <w:style w:type="character" w:customStyle="1" w:styleId="143">
    <w:name w:val=" Char Char24"/>
    <w:uiPriority w:val="0"/>
    <w:rPr>
      <w:rFonts w:ascii="Arial" w:hAnsi="Arial" w:eastAsia="黑体"/>
      <w:b/>
      <w:bCs/>
      <w:spacing w:val="6"/>
      <w:kern w:val="2"/>
      <w:sz w:val="24"/>
      <w:szCs w:val="24"/>
    </w:rPr>
  </w:style>
  <w:style w:type="character" w:customStyle="1" w:styleId="144">
    <w:name w:val=" Char Char18"/>
    <w:qFormat/>
    <w:uiPriority w:val="0"/>
    <w:rPr>
      <w:rFonts w:ascii="Calibri" w:hAnsi="Calibri" w:eastAsia="宋体"/>
      <w:kern w:val="2"/>
      <w:sz w:val="21"/>
      <w:szCs w:val="22"/>
      <w:lang w:val="en-US" w:eastAsia="zh-CN" w:bidi="ar-SA"/>
    </w:rPr>
  </w:style>
  <w:style w:type="character" w:customStyle="1" w:styleId="145">
    <w:name w:val=" Char Char1"/>
    <w:link w:val="52"/>
    <w:uiPriority w:val="0"/>
    <w:rPr>
      <w:rFonts w:eastAsia="宋体"/>
      <w:sz w:val="18"/>
      <w:szCs w:val="18"/>
      <w:lang w:bidi="ar-SA"/>
    </w:rPr>
  </w:style>
  <w:style w:type="character" w:customStyle="1" w:styleId="146">
    <w:name w:val=" Char Char"/>
    <w:link w:val="2"/>
    <w:uiPriority w:val="0"/>
    <w:rPr>
      <w:rFonts w:ascii="Courier New" w:hAnsi="Courier New"/>
      <w:sz w:val="24"/>
      <w:szCs w:val="24"/>
      <w:lang w:val="en-US" w:eastAsia="zh-CN" w:bidi="ar-SA"/>
    </w:rPr>
  </w:style>
  <w:style w:type="character" w:customStyle="1" w:styleId="147">
    <w:name w:val=" Char Char13"/>
    <w:uiPriority w:val="0"/>
    <w:rPr>
      <w:sz w:val="18"/>
      <w:szCs w:val="18"/>
      <w:lang w:bidi="ar-SA"/>
    </w:rPr>
  </w:style>
  <w:style w:type="character" w:customStyle="1" w:styleId="148">
    <w:name w:val=" Char Char12"/>
    <w:uiPriority w:val="0"/>
    <w:rPr>
      <w:sz w:val="18"/>
      <w:szCs w:val="18"/>
      <w:lang w:bidi="ar-SA"/>
    </w:rPr>
  </w:style>
  <w:style w:type="character" w:customStyle="1" w:styleId="149">
    <w:name w:val="标题4 Char"/>
    <w:link w:val="150"/>
    <w:uiPriority w:val="0"/>
    <w:rPr>
      <w:rFonts w:ascii="Cambria" w:hAnsi="Cambria" w:eastAsia="宋体"/>
      <w:b/>
      <w:bCs/>
      <w:color w:val="000000"/>
      <w:szCs w:val="21"/>
      <w:lang w:bidi="ar-SA"/>
    </w:rPr>
  </w:style>
  <w:style w:type="paragraph" w:customStyle="1" w:styleId="150">
    <w:name w:val="标题4"/>
    <w:basedOn w:val="6"/>
    <w:link w:val="149"/>
    <w:uiPriority w:val="0"/>
    <w:pPr>
      <w:spacing w:line="376" w:lineRule="atLeast"/>
      <w:ind w:firstLine="422" w:firstLineChars="200"/>
    </w:pPr>
    <w:rPr>
      <w:rFonts w:ascii="Cambria" w:hAnsi="Cambria" w:eastAsia="宋体"/>
      <w:color w:val="000000"/>
      <w:kern w:val="0"/>
      <w:sz w:val="20"/>
      <w:szCs w:val="21"/>
      <w:lang/>
    </w:rPr>
  </w:style>
  <w:style w:type="character" w:customStyle="1" w:styleId="151">
    <w:name w:val="标题4-dyf Char"/>
    <w:link w:val="152"/>
    <w:uiPriority w:val="0"/>
    <w:rPr>
      <w:rFonts w:ascii="Cambria" w:hAnsi="Cambria" w:eastAsia="宋体"/>
      <w:b/>
      <w:bCs/>
      <w:color w:val="000000"/>
      <w:spacing w:val="10"/>
      <w:szCs w:val="21"/>
      <w:lang w:bidi="ar-SA"/>
    </w:rPr>
  </w:style>
  <w:style w:type="paragraph" w:customStyle="1" w:styleId="152">
    <w:name w:val="标题4-dyf"/>
    <w:basedOn w:val="6"/>
    <w:link w:val="151"/>
    <w:qFormat/>
    <w:uiPriority w:val="0"/>
    <w:pPr>
      <w:tabs>
        <w:tab w:val="left" w:pos="851"/>
      </w:tabs>
      <w:spacing w:line="376" w:lineRule="atLeast"/>
      <w:ind w:left="851" w:hanging="851"/>
    </w:pPr>
    <w:rPr>
      <w:rFonts w:ascii="Cambria" w:hAnsi="Cambria" w:eastAsia="宋体"/>
      <w:color w:val="000000"/>
      <w:spacing w:val="10"/>
      <w:kern w:val="0"/>
      <w:sz w:val="20"/>
      <w:szCs w:val="21"/>
      <w:lang/>
    </w:rPr>
  </w:style>
  <w:style w:type="character" w:customStyle="1" w:styleId="153">
    <w:name w:val="b11_01b Char"/>
    <w:link w:val="154"/>
    <w:uiPriority w:val="0"/>
    <w:rPr>
      <w:rFonts w:ascii="Verdana" w:hAnsi="Verdana" w:eastAsia="宋体"/>
      <w:b/>
      <w:bCs/>
      <w:color w:val="4A82CA"/>
      <w:sz w:val="17"/>
      <w:szCs w:val="17"/>
      <w:lang w:bidi="ar-SA"/>
    </w:rPr>
  </w:style>
  <w:style w:type="paragraph" w:customStyle="1" w:styleId="154">
    <w:name w:val="b11_01b"/>
    <w:basedOn w:val="1"/>
    <w:next w:val="1"/>
    <w:link w:val="153"/>
    <w:uiPriority w:val="0"/>
    <w:pPr>
      <w:widowControl/>
      <w:spacing w:before="100" w:beforeAutospacing="1" w:after="100" w:afterAutospacing="1" w:line="384" w:lineRule="auto"/>
      <w:jc w:val="left"/>
    </w:pPr>
    <w:rPr>
      <w:rFonts w:ascii="Verdana" w:hAnsi="Verdana"/>
      <w:b/>
      <w:bCs/>
      <w:color w:val="4A82CA"/>
      <w:kern w:val="0"/>
      <w:sz w:val="17"/>
      <w:szCs w:val="17"/>
      <w:lang/>
    </w:rPr>
  </w:style>
  <w:style w:type="character" w:customStyle="1" w:styleId="155">
    <w:name w:val="标准文本 Char"/>
    <w:link w:val="156"/>
    <w:uiPriority w:val="0"/>
    <w:rPr>
      <w:rFonts w:eastAsia="宋体"/>
      <w:sz w:val="24"/>
      <w:szCs w:val="24"/>
      <w:lang w:bidi="ar-SA"/>
    </w:rPr>
  </w:style>
  <w:style w:type="paragraph" w:customStyle="1" w:styleId="156">
    <w:name w:val="标准文本"/>
    <w:basedOn w:val="1"/>
    <w:link w:val="155"/>
    <w:uiPriority w:val="0"/>
    <w:pPr>
      <w:spacing w:line="360" w:lineRule="auto"/>
      <w:ind w:firstLine="480" w:firstLineChars="200"/>
    </w:pPr>
    <w:rPr>
      <w:kern w:val="0"/>
      <w:sz w:val="24"/>
      <w:lang/>
    </w:rPr>
  </w:style>
  <w:style w:type="paragraph" w:customStyle="1" w:styleId="157">
    <w:name w:val="样式 宋体 黑色 居中 段前: 5 磅 段后: 5 磅 行距: 1.5 倍行距"/>
    <w:basedOn w:val="1"/>
    <w:uiPriority w:val="0"/>
    <w:pPr>
      <w:spacing w:before="100" w:after="100" w:line="360" w:lineRule="auto"/>
      <w:jc w:val="center"/>
    </w:pPr>
    <w:rPr>
      <w:rFonts w:ascii="宋体" w:hAnsi="宋体"/>
      <w:color w:val="000000"/>
      <w:kern w:val="0"/>
      <w:sz w:val="24"/>
      <w:szCs w:val="20"/>
    </w:rPr>
  </w:style>
  <w:style w:type="paragraph" w:customStyle="1" w:styleId="158">
    <w:name w:val="xl6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159">
    <w:name w:val="正文格式"/>
    <w:basedOn w:val="1"/>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160">
    <w:name w:val="样式 标题 2节标题 1.1 + 段前: 1 行 段后: 0.5 行"/>
    <w:basedOn w:val="4"/>
    <w:uiPriority w:val="0"/>
    <w:pPr>
      <w:keepNext w:val="0"/>
      <w:keepLines w:val="0"/>
      <w:spacing w:before="240" w:after="120" w:line="360" w:lineRule="auto"/>
      <w:ind w:firstLine="590" w:firstLineChars="196"/>
      <w:jc w:val="center"/>
    </w:pPr>
    <w:rPr>
      <w:rFonts w:ascii="宋体" w:hAnsi="宋体"/>
      <w:bCs w:val="0"/>
      <w:sz w:val="30"/>
      <w:szCs w:val="20"/>
    </w:rPr>
  </w:style>
  <w:style w:type="paragraph" w:customStyle="1" w:styleId="161">
    <w:name w:val="TOC Heading"/>
    <w:basedOn w:val="3"/>
    <w:next w:val="1"/>
    <w:qFormat/>
    <w:uiPriority w:val="0"/>
    <w:pPr>
      <w:keepLines/>
      <w:widowControl/>
      <w:tabs>
        <w:tab w:val="left" w:pos="1440"/>
      </w:tabs>
      <w:spacing w:before="480" w:line="276" w:lineRule="auto"/>
      <w:jc w:val="left"/>
      <w:outlineLvl w:val="9"/>
    </w:pPr>
    <w:rPr>
      <w:rFonts w:ascii="Cambria" w:hAnsi="Cambria"/>
      <w:color w:val="365F91"/>
      <w:kern w:val="0"/>
      <w:sz w:val="28"/>
      <w:szCs w:val="28"/>
    </w:rPr>
  </w:style>
  <w:style w:type="paragraph" w:customStyle="1" w:styleId="162">
    <w:name w:val="有符号正文"/>
    <w:basedOn w:val="1"/>
    <w:uiPriority w:val="0"/>
    <w:pPr>
      <w:spacing w:line="360" w:lineRule="auto"/>
      <w:ind w:firstLine="200" w:firstLineChars="200"/>
    </w:pPr>
    <w:rPr>
      <w:rFonts w:ascii="宋体" w:hAnsi="宋体"/>
      <w:color w:val="000000"/>
      <w:sz w:val="24"/>
    </w:rPr>
  </w:style>
  <w:style w:type="paragraph" w:customStyle="1" w:styleId="163">
    <w:name w:val="招标文件标题3 一"/>
    <w:basedOn w:val="5"/>
    <w:uiPriority w:val="0"/>
    <w:pPr>
      <w:tabs>
        <w:tab w:val="left" w:pos="432"/>
        <w:tab w:val="left" w:pos="851"/>
      </w:tabs>
      <w:spacing w:beforeLines="50" w:afterLines="50" w:line="360" w:lineRule="auto"/>
      <w:ind w:left="432" w:hanging="432"/>
      <w:jc w:val="center"/>
    </w:pPr>
    <w:rPr>
      <w:bCs w:val="0"/>
      <w:sz w:val="30"/>
      <w:szCs w:val="20"/>
    </w:rPr>
  </w:style>
  <w:style w:type="paragraph" w:customStyle="1" w:styleId="164">
    <w:name w:val="xl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65">
    <w:name w:val="Char Char1 Char"/>
    <w:basedOn w:val="1"/>
    <w:uiPriority w:val="0"/>
    <w:rPr>
      <w:szCs w:val="20"/>
    </w:rPr>
  </w:style>
  <w:style w:type="paragraph" w:customStyle="1" w:styleId="166">
    <w:name w:val="xl87"/>
    <w:basedOn w:val="1"/>
    <w:uiPriority w:val="0"/>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167">
    <w:name w:val="xl5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168">
    <w:name w:val="标书标题4"/>
    <w:basedOn w:val="6"/>
    <w:uiPriority w:val="0"/>
    <w:pPr>
      <w:keepLines w:val="0"/>
      <w:adjustRightInd w:val="0"/>
      <w:snapToGrid w:val="0"/>
      <w:spacing w:before="0" w:after="0" w:line="300" w:lineRule="auto"/>
    </w:pPr>
    <w:rPr>
      <w:rFonts w:ascii="Arial Narrow" w:hAnsi="Arial Narrow" w:eastAsia="仿宋_GB2312"/>
      <w:bCs w:val="0"/>
      <w:color w:val="000000"/>
      <w:kern w:val="0"/>
      <w:szCs w:val="32"/>
    </w:rPr>
  </w:style>
  <w:style w:type="paragraph" w:customStyle="1" w:styleId="169">
    <w:name w:val="文章标题"/>
    <w:next w:val="170"/>
    <w:uiPriority w:val="0"/>
    <w:pPr>
      <w:spacing w:beforeLines="800" w:afterLines="100"/>
      <w:jc w:val="center"/>
    </w:pPr>
    <w:rPr>
      <w:rFonts w:ascii="Arial" w:hAnsi="Arial" w:eastAsia="黑体" w:cs="宋体"/>
      <w:bCs/>
      <w:kern w:val="2"/>
      <w:sz w:val="52"/>
      <w:lang w:val="en-US" w:eastAsia="zh-CN" w:bidi="ar-SA"/>
    </w:rPr>
  </w:style>
  <w:style w:type="paragraph" w:customStyle="1" w:styleId="170">
    <w:name w:val="封面公司名"/>
    <w:uiPriority w:val="0"/>
    <w:pPr>
      <w:jc w:val="center"/>
    </w:pPr>
    <w:rPr>
      <w:rFonts w:ascii="Arial" w:hAnsi="Arial" w:eastAsia="楷体_GB2312" w:cs="宋体"/>
      <w:bCs/>
      <w:kern w:val="2"/>
      <w:sz w:val="28"/>
      <w:lang w:val="en-US" w:eastAsia="zh-CN" w:bidi="ar-SA"/>
    </w:rPr>
  </w:style>
  <w:style w:type="paragraph" w:customStyle="1" w:styleId="171">
    <w:name w:val="样式 加点正文 + 段前: 0.5 行 段后: 0.5 行1"/>
    <w:basedOn w:val="1"/>
    <w:uiPriority w:val="0"/>
    <w:pPr>
      <w:tabs>
        <w:tab w:val="left" w:pos="1268"/>
        <w:tab w:val="left" w:pos="1620"/>
      </w:tabs>
      <w:spacing w:beforeLines="50" w:afterLines="50" w:line="300" w:lineRule="auto"/>
      <w:ind w:left="1268" w:leftChars="600" w:hanging="360" w:hangingChars="200"/>
    </w:pPr>
    <w:rPr>
      <w:sz w:val="24"/>
      <w:szCs w:val="20"/>
    </w:rPr>
  </w:style>
  <w:style w:type="paragraph" w:customStyle="1" w:styleId="172">
    <w:name w:val="xl98"/>
    <w:basedOn w:val="1"/>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173">
    <w:name w:val="招标文件标题2节"/>
    <w:basedOn w:val="4"/>
    <w:next w:val="163"/>
    <w:uiPriority w:val="0"/>
    <w:pPr>
      <w:keepNext w:val="0"/>
      <w:keepLines w:val="0"/>
      <w:tabs>
        <w:tab w:val="left" w:pos="360"/>
        <w:tab w:val="left" w:pos="1134"/>
      </w:tabs>
      <w:spacing w:before="360" w:beforeLines="100" w:after="120" w:afterLines="50" w:line="360" w:lineRule="auto"/>
      <w:ind w:firstLine="590" w:firstLineChars="196"/>
      <w:jc w:val="center"/>
    </w:pPr>
    <w:rPr>
      <w:rFonts w:ascii="宋体" w:hAnsi="宋体"/>
      <w:bCs w:val="0"/>
      <w:sz w:val="30"/>
      <w:szCs w:val="20"/>
    </w:rPr>
  </w:style>
  <w:style w:type="paragraph" w:customStyle="1" w:styleId="174">
    <w:name w:val="xl7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175">
    <w:name w:val="xl4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176">
    <w:name w:val="标题三"/>
    <w:basedOn w:val="5"/>
    <w:uiPriority w:val="0"/>
    <w:pPr>
      <w:spacing w:before="0" w:after="0" w:line="360" w:lineRule="auto"/>
      <w:ind w:firstLine="403"/>
    </w:pPr>
    <w:rPr>
      <w:rFonts w:ascii="宋体"/>
      <w:bCs w:val="0"/>
      <w:color w:val="000000"/>
      <w:sz w:val="24"/>
      <w:szCs w:val="20"/>
    </w:rPr>
  </w:style>
  <w:style w:type="paragraph" w:customStyle="1" w:styleId="177">
    <w:name w:val="样式 标题 3 +"/>
    <w:basedOn w:val="5"/>
    <w:uiPriority w:val="0"/>
    <w:pPr>
      <w:spacing w:beforeLines="50" w:afterLines="50" w:line="360" w:lineRule="auto"/>
      <w:jc w:val="left"/>
    </w:pPr>
    <w:rPr>
      <w:bCs w:val="0"/>
      <w:kern w:val="0"/>
      <w:sz w:val="28"/>
      <w:szCs w:val="20"/>
    </w:rPr>
  </w:style>
  <w:style w:type="paragraph" w:customStyle="1" w:styleId="178">
    <w:name w:val="xl88"/>
    <w:basedOn w:val="1"/>
    <w:uiPriority w:val="0"/>
    <w:pPr>
      <w:widowControl/>
      <w:pBdr>
        <w:top w:val="single" w:color="auto" w:sz="4" w:space="0"/>
        <w:left w:val="single" w:color="auto" w:sz="4" w:space="0"/>
        <w:bottom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179">
    <w:name w:val="xl5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0"/>
      <w:szCs w:val="20"/>
    </w:rPr>
  </w:style>
  <w:style w:type="paragraph" w:customStyle="1" w:styleId="180">
    <w:name w:val="第一节"/>
    <w:basedOn w:val="5"/>
    <w:uiPriority w:val="0"/>
    <w:pPr>
      <w:autoSpaceDE w:val="0"/>
      <w:autoSpaceDN w:val="0"/>
      <w:adjustRightInd w:val="0"/>
      <w:spacing w:before="0" w:after="0" w:line="480" w:lineRule="auto"/>
      <w:jc w:val="center"/>
    </w:pPr>
    <w:rPr>
      <w:rFonts w:ascii="TimesNewRomanPSMT" w:hAnsi="TimesNewRomanPSMT"/>
      <w:bCs w:val="0"/>
      <w:kern w:val="0"/>
      <w:sz w:val="30"/>
      <w:szCs w:val="20"/>
    </w:rPr>
  </w:style>
  <w:style w:type="paragraph" w:customStyle="1" w:styleId="181">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82">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183">
    <w:name w:val="xl4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184">
    <w:name w:val="马刚标题1"/>
    <w:basedOn w:val="3"/>
    <w:next w:val="1"/>
    <w:uiPriority w:val="0"/>
    <w:pPr>
      <w:keepLines/>
      <w:tabs>
        <w:tab w:val="left" w:pos="315"/>
        <w:tab w:val="left" w:pos="1200"/>
      </w:tabs>
      <w:spacing w:before="400" w:after="120" w:line="578" w:lineRule="auto"/>
      <w:ind w:left="1200" w:leftChars="400" w:hanging="360" w:hangingChars="200"/>
      <w:jc w:val="left"/>
    </w:pPr>
    <w:rPr>
      <w:rFonts w:eastAsia="黑体"/>
      <w:b w:val="0"/>
      <w:bCs w:val="0"/>
      <w:kern w:val="44"/>
      <w:sz w:val="32"/>
      <w:szCs w:val="20"/>
    </w:rPr>
  </w:style>
  <w:style w:type="paragraph" w:customStyle="1" w:styleId="185">
    <w:name w:val="xl100"/>
    <w:basedOn w:val="1"/>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186">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87">
    <w:name w:val="表格内文"/>
    <w:basedOn w:val="1"/>
    <w:uiPriority w:val="0"/>
    <w:pPr>
      <w:spacing w:line="360" w:lineRule="auto"/>
    </w:pPr>
    <w:rPr>
      <w:rFonts w:ascii="宋体" w:hAnsi="宋体" w:cs="宋体"/>
      <w:color w:val="000000"/>
      <w:szCs w:val="20"/>
    </w:rPr>
  </w:style>
  <w:style w:type="paragraph" w:customStyle="1" w:styleId="188">
    <w:name w:val="xl103"/>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89">
    <w:name w:val="xl75"/>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right"/>
      <w:textAlignment w:val="center"/>
    </w:pPr>
    <w:rPr>
      <w:rFonts w:ascii="宋体" w:hAnsi="宋体" w:cs="宋体"/>
      <w:b/>
      <w:bCs/>
      <w:kern w:val="0"/>
      <w:sz w:val="20"/>
      <w:szCs w:val="20"/>
    </w:rPr>
  </w:style>
  <w:style w:type="paragraph" w:customStyle="1" w:styleId="190">
    <w:name w:val="xl97"/>
    <w:basedOn w:val="1"/>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191">
    <w:name w:val="xl78"/>
    <w:basedOn w:val="1"/>
    <w:uiPriority w:val="0"/>
    <w:pPr>
      <w:widowControl/>
      <w:pBdr>
        <w:top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192">
    <w:name w:val="Char1"/>
    <w:basedOn w:val="1"/>
    <w:uiPriority w:val="0"/>
    <w:rPr>
      <w:rFonts w:ascii="仿宋_GB2312" w:eastAsia="仿宋_GB2312"/>
      <w:b/>
      <w:sz w:val="32"/>
      <w:szCs w:val="32"/>
    </w:rPr>
  </w:style>
  <w:style w:type="paragraph" w:customStyle="1" w:styleId="193">
    <w:name w:val="样式1"/>
    <w:basedOn w:val="5"/>
    <w:uiPriority w:val="0"/>
    <w:pPr>
      <w:spacing w:before="0" w:after="0" w:line="360" w:lineRule="auto"/>
    </w:pPr>
    <w:rPr>
      <w:sz w:val="24"/>
    </w:rPr>
  </w:style>
  <w:style w:type="paragraph" w:customStyle="1" w:styleId="194">
    <w:name w:val="样式 (符号) 宋体 二号 加粗 居中 左侧:  0.85 厘米 首行缩进:  1.56 厘米 行距: 固定值 23..."/>
    <w:basedOn w:val="1"/>
    <w:uiPriority w:val="0"/>
    <w:pPr>
      <w:spacing w:line="460" w:lineRule="exact"/>
      <w:ind w:left="480" w:firstLine="883"/>
      <w:jc w:val="center"/>
    </w:pPr>
    <w:rPr>
      <w:rFonts w:hAnsi="宋体"/>
      <w:b/>
      <w:sz w:val="44"/>
      <w:szCs w:val="20"/>
    </w:rPr>
  </w:style>
  <w:style w:type="paragraph" w:customStyle="1" w:styleId="195">
    <w:name w:val="标书标题2"/>
    <w:basedOn w:val="4"/>
    <w:qFormat/>
    <w:uiPriority w:val="0"/>
    <w:pPr>
      <w:keepNext w:val="0"/>
      <w:keepLines w:val="0"/>
      <w:widowControl/>
      <w:tabs>
        <w:tab w:val="left" w:pos="840"/>
      </w:tabs>
      <w:adjustRightInd w:val="0"/>
      <w:snapToGrid w:val="0"/>
      <w:spacing w:before="360" w:beforeLines="50" w:after="60" w:line="300" w:lineRule="auto"/>
      <w:ind w:left="840" w:hanging="420" w:firstLineChars="196"/>
    </w:pPr>
    <w:rPr>
      <w:rFonts w:ascii="Arial Narrow" w:hAnsi="Arial Narrow" w:eastAsia="仿宋_GB2312"/>
      <w:kern w:val="0"/>
      <w:sz w:val="30"/>
      <w:szCs w:val="20"/>
    </w:rPr>
  </w:style>
  <w:style w:type="paragraph" w:customStyle="1" w:styleId="196">
    <w:name w:val="xl92"/>
    <w:basedOn w:val="1"/>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97">
    <w:name w:val="项目符号，二级"/>
    <w:basedOn w:val="159"/>
    <w:next w:val="159"/>
    <w:uiPriority w:val="0"/>
    <w:pPr>
      <w:tabs>
        <w:tab w:val="left" w:pos="432"/>
        <w:tab w:val="left" w:pos="1211"/>
        <w:tab w:val="left" w:pos="1337"/>
      </w:tabs>
      <w:ind w:left="1337" w:right="-27" w:firstLine="480"/>
    </w:pPr>
    <w:rPr>
      <w:bCs w:val="0"/>
      <w:color w:val="000000"/>
      <w:sz w:val="24"/>
      <w:szCs w:val="24"/>
    </w:rPr>
  </w:style>
  <w:style w:type="paragraph" w:customStyle="1" w:styleId="198">
    <w:name w:val="xl95"/>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199">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00">
    <w:name w:val="xl105"/>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01">
    <w:name w:val="Char Char Char Char"/>
    <w:basedOn w:val="4"/>
    <w:uiPriority w:val="0"/>
    <w:pPr>
      <w:keepNext w:val="0"/>
      <w:keepLines w:val="0"/>
      <w:widowControl/>
      <w:tabs>
        <w:tab w:val="left" w:pos="360"/>
      </w:tabs>
      <w:spacing w:before="240" w:after="160" w:line="240" w:lineRule="auto"/>
      <w:ind w:firstLine="590" w:firstLineChars="196"/>
      <w:jc w:val="center"/>
    </w:pPr>
    <w:rPr>
      <w:rFonts w:ascii="Verdana" w:hAnsi="Verdana" w:eastAsia="宋体" w:cs="Arial"/>
      <w:b w:val="0"/>
      <w:iCs/>
      <w:sz w:val="36"/>
      <w:szCs w:val="20"/>
      <w:lang w:eastAsia="en-US"/>
    </w:rPr>
  </w:style>
  <w:style w:type="paragraph" w:customStyle="1" w:styleId="202">
    <w:name w:val="xl104"/>
    <w:basedOn w:val="1"/>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03">
    <w:name w:val="xl76"/>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right"/>
      <w:textAlignment w:val="center"/>
    </w:pPr>
    <w:rPr>
      <w:rFonts w:ascii="宋体" w:hAnsi="宋体" w:cs="宋体"/>
      <w:kern w:val="0"/>
      <w:sz w:val="20"/>
      <w:szCs w:val="20"/>
    </w:rPr>
  </w:style>
  <w:style w:type="paragraph" w:customStyle="1" w:styleId="204">
    <w:name w:val="xl4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205">
    <w:name w:val="样式4"/>
    <w:basedOn w:val="5"/>
    <w:uiPriority w:val="0"/>
    <w:pPr>
      <w:ind w:left="432" w:hanging="432"/>
    </w:pPr>
    <w:rPr>
      <w:sz w:val="24"/>
    </w:rPr>
  </w:style>
  <w:style w:type="paragraph" w:customStyle="1" w:styleId="206">
    <w:name w:val="标题2，章节第二层"/>
    <w:basedOn w:val="1"/>
    <w:next w:val="159"/>
    <w:uiPriority w:val="0"/>
    <w:pPr>
      <w:tabs>
        <w:tab w:val="left" w:pos="630"/>
        <w:tab w:val="left" w:pos="2040"/>
      </w:tabs>
      <w:adjustRightInd w:val="0"/>
      <w:snapToGrid w:val="0"/>
      <w:spacing w:beforeLines="100" w:afterLines="100" w:line="300" w:lineRule="auto"/>
      <w:ind w:left="2040" w:leftChars="800" w:hanging="567" w:hangingChars="200"/>
      <w:outlineLvl w:val="1"/>
    </w:pPr>
    <w:rPr>
      <w:rFonts w:ascii="Arial" w:hAnsi="Arial" w:eastAsia="黑体"/>
      <w:sz w:val="32"/>
    </w:rPr>
  </w:style>
  <w:style w:type="paragraph" w:customStyle="1" w:styleId="207">
    <w:name w:val="xl96"/>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208">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209">
    <w:name w:val="xl3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210">
    <w:name w:val="Char11"/>
    <w:basedOn w:val="1"/>
    <w:uiPriority w:val="0"/>
    <w:rPr>
      <w:rFonts w:ascii="仿宋_GB2312" w:eastAsia="仿宋_GB2312"/>
      <w:b/>
      <w:sz w:val="32"/>
      <w:szCs w:val="32"/>
    </w:rPr>
  </w:style>
  <w:style w:type="paragraph" w:customStyle="1" w:styleId="211">
    <w:name w:val="正文文本 21"/>
    <w:basedOn w:val="1"/>
    <w:uiPriority w:val="0"/>
    <w:pPr>
      <w:adjustRightInd w:val="0"/>
      <w:spacing w:line="300" w:lineRule="auto"/>
      <w:jc w:val="center"/>
    </w:pPr>
    <w:rPr>
      <w:rFonts w:hint="eastAsia" w:ascii="宋体" w:hAnsi="宋体"/>
      <w:sz w:val="24"/>
      <w:szCs w:val="20"/>
    </w:rPr>
  </w:style>
  <w:style w:type="paragraph" w:customStyle="1" w:styleId="212">
    <w:name w:val="xl108"/>
    <w:basedOn w:val="1"/>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13">
    <w:name w:val="xl7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14">
    <w:name w:val="xl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15">
    <w:name w:val="xl84"/>
    <w:basedOn w:val="1"/>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216">
    <w:name w:val="xl26"/>
    <w:basedOn w:val="1"/>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17">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color w:val="000000"/>
      <w:kern w:val="0"/>
      <w:sz w:val="20"/>
      <w:szCs w:val="20"/>
    </w:rPr>
  </w:style>
  <w:style w:type="paragraph" w:customStyle="1" w:styleId="218">
    <w:name w:val="样式2"/>
    <w:basedOn w:val="1"/>
    <w:uiPriority w:val="0"/>
    <w:pPr>
      <w:spacing w:line="360" w:lineRule="auto"/>
      <w:ind w:left="420" w:leftChars="100" w:right="100" w:rightChars="100"/>
    </w:pPr>
    <w:rPr>
      <w:sz w:val="24"/>
    </w:rPr>
  </w:style>
  <w:style w:type="paragraph" w:customStyle="1" w:styleId="219">
    <w:name w:val="xl82"/>
    <w:basedOn w:val="1"/>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220">
    <w:name w:val="第一章"/>
    <w:basedOn w:val="4"/>
    <w:uiPriority w:val="0"/>
    <w:pPr>
      <w:keepNext w:val="0"/>
      <w:keepLines w:val="0"/>
      <w:tabs>
        <w:tab w:val="left" w:pos="4095"/>
      </w:tabs>
      <w:autoSpaceDE w:val="0"/>
      <w:autoSpaceDN w:val="0"/>
      <w:adjustRightInd w:val="0"/>
      <w:spacing w:before="0" w:after="0" w:line="600" w:lineRule="auto"/>
      <w:ind w:firstLine="590" w:firstLineChars="196"/>
      <w:jc w:val="center"/>
    </w:pPr>
    <w:rPr>
      <w:rFonts w:ascii="TimesNewRomanPSMT" w:hAnsi="TimesNewRomanPSMT" w:eastAsia="宋体"/>
      <w:bCs w:val="0"/>
      <w:kern w:val="0"/>
      <w:sz w:val="30"/>
      <w:szCs w:val="20"/>
    </w:rPr>
  </w:style>
  <w:style w:type="paragraph" w:customStyle="1" w:styleId="221">
    <w:name w:val="xl27"/>
    <w:basedOn w:val="1"/>
    <w:uiPriority w:val="0"/>
    <w:pPr>
      <w:widowControl/>
      <w:spacing w:before="100" w:beforeAutospacing="1" w:after="100" w:afterAutospacing="1"/>
      <w:jc w:val="right"/>
      <w:textAlignment w:val="center"/>
    </w:pPr>
    <w:rPr>
      <w:rFonts w:ascii="宋体" w:hAnsi="宋体" w:cs="宋体"/>
      <w:kern w:val="0"/>
      <w:sz w:val="20"/>
      <w:szCs w:val="20"/>
    </w:rPr>
  </w:style>
  <w:style w:type="paragraph" w:customStyle="1" w:styleId="222">
    <w:name w:val="样式 样式2 + 左侧:  1 字符 右侧:  1 字符"/>
    <w:basedOn w:val="218"/>
    <w:uiPriority w:val="0"/>
    <w:pPr>
      <w:ind w:left="0" w:leftChars="0" w:right="0" w:rightChars="0" w:firstLine="200" w:firstLineChars="200"/>
      <w:jc w:val="left"/>
    </w:pPr>
    <w:rPr>
      <w:rFonts w:cs="宋体"/>
      <w:szCs w:val="20"/>
    </w:rPr>
  </w:style>
  <w:style w:type="paragraph" w:customStyle="1" w:styleId="223">
    <w:name w:val="节"/>
    <w:basedOn w:val="4"/>
    <w:qFormat/>
    <w:uiPriority w:val="0"/>
    <w:pPr>
      <w:keepNext w:val="0"/>
      <w:keepLines w:val="0"/>
      <w:spacing w:before="160" w:after="160" w:line="720" w:lineRule="exact"/>
      <w:ind w:firstLine="590" w:firstLineChars="196"/>
      <w:jc w:val="center"/>
    </w:pPr>
    <w:rPr>
      <w:rFonts w:ascii="宋体" w:hAnsi="宋体" w:eastAsia="宋体"/>
      <w:b w:val="0"/>
      <w:spacing w:val="14"/>
      <w:kern w:val="24"/>
      <w:sz w:val="30"/>
      <w:szCs w:val="20"/>
    </w:rPr>
  </w:style>
  <w:style w:type="paragraph" w:customStyle="1" w:styleId="224">
    <w:name w:val="第四标题"/>
    <w:basedOn w:val="1"/>
    <w:next w:val="6"/>
    <w:uiPriority w:val="0"/>
    <w:pPr>
      <w:autoSpaceDE w:val="0"/>
      <w:autoSpaceDN w:val="0"/>
      <w:adjustRightInd w:val="0"/>
      <w:spacing w:line="360" w:lineRule="auto"/>
      <w:jc w:val="left"/>
    </w:pPr>
    <w:rPr>
      <w:rFonts w:ascii="TimesNewRomanPSMT" w:hAnsi="TimesNewRomanPSMT"/>
      <w:kern w:val="0"/>
      <w:sz w:val="28"/>
      <w:szCs w:val="20"/>
    </w:rPr>
  </w:style>
  <w:style w:type="paragraph" w:customStyle="1" w:styleId="225">
    <w:name w:val="样式 表格 + 行距: 固定值 25 磅"/>
    <w:basedOn w:val="226"/>
    <w:uiPriority w:val="0"/>
    <w:pPr>
      <w:spacing w:line="500" w:lineRule="exact"/>
    </w:pPr>
    <w:rPr>
      <w:kern w:val="0"/>
    </w:rPr>
  </w:style>
  <w:style w:type="paragraph" w:customStyle="1" w:styleId="226">
    <w:name w:val="表格"/>
    <w:basedOn w:val="1"/>
    <w:uiPriority w:val="0"/>
    <w:pPr>
      <w:snapToGrid w:val="0"/>
      <w:spacing w:line="240" w:lineRule="atLeast"/>
      <w:jc w:val="center"/>
    </w:pPr>
    <w:rPr>
      <w:rFonts w:ascii="宋体" w:hAnsi="宋体"/>
      <w:spacing w:val="14"/>
      <w:szCs w:val="20"/>
    </w:rPr>
  </w:style>
  <w:style w:type="paragraph" w:customStyle="1" w:styleId="227">
    <w:name w:val="xl85"/>
    <w:basedOn w:val="1"/>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28">
    <w:name w:val="xl5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29">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30">
    <w:name w:val="小节"/>
    <w:basedOn w:val="5"/>
    <w:qFormat/>
    <w:uiPriority w:val="0"/>
    <w:pPr>
      <w:spacing w:before="200" w:after="200" w:line="560" w:lineRule="exact"/>
      <w:jc w:val="left"/>
    </w:pPr>
    <w:rPr>
      <w:rFonts w:ascii="宋体" w:hAnsi="宋体"/>
      <w:bCs w:val="0"/>
      <w:color w:val="000000"/>
      <w:spacing w:val="10"/>
      <w:kern w:val="24"/>
      <w:sz w:val="28"/>
    </w:rPr>
  </w:style>
  <w:style w:type="paragraph" w:customStyle="1" w:styleId="231">
    <w:name w:val="xl8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0"/>
      <w:szCs w:val="20"/>
    </w:rPr>
  </w:style>
  <w:style w:type="paragraph" w:customStyle="1" w:styleId="232">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33">
    <w:name w:val="Char Char Char Char2"/>
    <w:basedOn w:val="1"/>
    <w:uiPriority w:val="0"/>
  </w:style>
  <w:style w:type="paragraph" w:customStyle="1" w:styleId="234">
    <w:name w:val="标书标题3"/>
    <w:basedOn w:val="5"/>
    <w:uiPriority w:val="0"/>
    <w:pPr>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235">
    <w:name w:val="样式 正文文本 2 + 段后: 0 磅 行距: 1.5 倍行距"/>
    <w:basedOn w:val="61"/>
    <w:uiPriority w:val="0"/>
    <w:pPr>
      <w:widowControl w:val="0"/>
      <w:snapToGrid/>
      <w:spacing w:before="0" w:after="0" w:afterLines="0" w:line="360" w:lineRule="auto"/>
      <w:ind w:firstLine="480" w:firstLineChars="200"/>
      <w:jc w:val="both"/>
    </w:pPr>
    <w:rPr>
      <w:rFonts w:ascii="Times New Roman" w:hAnsi="Times New Roman"/>
      <w:color w:val="auto"/>
      <w:kern w:val="0"/>
      <w:szCs w:val="20"/>
    </w:rPr>
  </w:style>
  <w:style w:type="paragraph" w:customStyle="1" w:styleId="236">
    <w:name w:val="xl89"/>
    <w:basedOn w:val="1"/>
    <w:uiPriority w:val="0"/>
    <w:pPr>
      <w:widowControl/>
      <w:pBdr>
        <w:top w:val="single" w:color="auto" w:sz="4" w:space="0"/>
        <w:bottom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237">
    <w:name w:val="xl6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38">
    <w:name w:val="Char Char"/>
    <w:basedOn w:val="1"/>
    <w:uiPriority w:val="0"/>
    <w:rPr>
      <w:rFonts w:hint="eastAsia" w:ascii="仿宋_GB2312" w:eastAsia="仿宋_GB2312"/>
      <w:b/>
      <w:sz w:val="32"/>
      <w:szCs w:val="32"/>
    </w:rPr>
  </w:style>
  <w:style w:type="paragraph" w:customStyle="1" w:styleId="239">
    <w:name w:val="正文文字格式"/>
    <w:basedOn w:val="1"/>
    <w:uiPriority w:val="0"/>
    <w:pPr>
      <w:spacing w:line="460" w:lineRule="exact"/>
      <w:ind w:firstLine="505"/>
      <w:jc w:val="left"/>
    </w:pPr>
    <w:rPr>
      <w:rFonts w:ascii="宋体"/>
      <w:kern w:val="24"/>
      <w:sz w:val="24"/>
      <w:szCs w:val="20"/>
    </w:rPr>
  </w:style>
  <w:style w:type="paragraph" w:customStyle="1" w:styleId="240">
    <w:name w:val="样式 表格 +"/>
    <w:basedOn w:val="226"/>
    <w:uiPriority w:val="0"/>
    <w:rPr>
      <w:kern w:val="0"/>
    </w:rPr>
  </w:style>
  <w:style w:type="paragraph" w:customStyle="1" w:styleId="241">
    <w:name w:val="xl6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42">
    <w:name w:val="正文文字"/>
    <w:basedOn w:val="1"/>
    <w:uiPriority w:val="0"/>
    <w:pPr>
      <w:widowControl/>
      <w:spacing w:line="952" w:lineRule="atLeast"/>
      <w:ind w:firstLine="419"/>
      <w:textAlignment w:val="baseline"/>
    </w:pPr>
    <w:rPr>
      <w:b/>
      <w:color w:val="000000"/>
      <w:kern w:val="0"/>
      <w:sz w:val="44"/>
      <w:szCs w:val="20"/>
    </w:rPr>
  </w:style>
  <w:style w:type="paragraph" w:customStyle="1" w:styleId="243">
    <w:name w:val="Char3"/>
    <w:basedOn w:val="1"/>
    <w:uiPriority w:val="0"/>
  </w:style>
  <w:style w:type="paragraph" w:customStyle="1" w:styleId="244">
    <w:name w:val="Char 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45">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246">
    <w:name w:val="xl93"/>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47">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kern w:val="0"/>
      <w:sz w:val="20"/>
      <w:szCs w:val="20"/>
    </w:rPr>
  </w:style>
  <w:style w:type="paragraph" w:customStyle="1" w:styleId="248">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49">
    <w:name w:val="小标题"/>
    <w:basedOn w:val="6"/>
    <w:uiPriority w:val="0"/>
    <w:pPr>
      <w:spacing w:before="120" w:after="120" w:line="377" w:lineRule="auto"/>
      <w:jc w:val="center"/>
    </w:pPr>
    <w:rPr>
      <w:rFonts w:eastAsia="宋体"/>
      <w:bCs w:val="0"/>
      <w:sz w:val="30"/>
      <w:szCs w:val="20"/>
    </w:rPr>
  </w:style>
  <w:style w:type="paragraph" w:customStyle="1" w:styleId="250">
    <w:name w:val="xl9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51">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52">
    <w:name w:val="样式 表格 +3"/>
    <w:basedOn w:val="226"/>
    <w:uiPriority w:val="0"/>
    <w:rPr>
      <w:kern w:val="0"/>
    </w:rPr>
  </w:style>
  <w:style w:type="paragraph" w:customStyle="1" w:styleId="253">
    <w:name w:val="xl3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54">
    <w:name w:val="Char3 Char Char Char"/>
    <w:basedOn w:val="1"/>
    <w:uiPriority w:val="0"/>
    <w:pPr>
      <w:widowControl/>
      <w:spacing w:after="160" w:line="240" w:lineRule="exact"/>
      <w:jc w:val="left"/>
    </w:pPr>
    <w:rPr>
      <w:szCs w:val="20"/>
    </w:rPr>
  </w:style>
  <w:style w:type="paragraph" w:customStyle="1" w:styleId="255">
    <w:name w:val="样式 样式 标题 3 + + 段前: 0.5 行 段后: 0.5 行"/>
    <w:basedOn w:val="177"/>
    <w:uiPriority w:val="0"/>
    <w:pPr>
      <w:spacing w:beforeLines="0" w:afterLines="0"/>
    </w:pPr>
  </w:style>
  <w:style w:type="paragraph" w:customStyle="1" w:styleId="256">
    <w:name w:val="xl94"/>
    <w:basedOn w:val="1"/>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257">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258">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9">
    <w:name w:val="样式 正文文本 + 宋体"/>
    <w:basedOn w:val="27"/>
    <w:uiPriority w:val="0"/>
    <w:pPr>
      <w:spacing w:after="0" w:line="480" w:lineRule="exact"/>
    </w:pPr>
    <w:rPr>
      <w:rFonts w:ascii="宋体" w:hAnsi="宋体"/>
      <w:kern w:val="0"/>
      <w:sz w:val="24"/>
      <w:szCs w:val="20"/>
    </w:rPr>
  </w:style>
  <w:style w:type="paragraph" w:customStyle="1" w:styleId="260">
    <w:name w:val="表格标题2"/>
    <w:basedOn w:val="187"/>
    <w:uiPriority w:val="0"/>
    <w:rPr>
      <w:b/>
    </w:rPr>
  </w:style>
  <w:style w:type="paragraph" w:customStyle="1" w:styleId="261">
    <w:name w:val="马刚标题3"/>
    <w:basedOn w:val="1"/>
    <w:next w:val="1"/>
    <w:uiPriority w:val="0"/>
    <w:pPr>
      <w:keepNext/>
      <w:keepLines/>
      <w:tabs>
        <w:tab w:val="left" w:pos="735"/>
        <w:tab w:val="left" w:pos="1200"/>
      </w:tabs>
      <w:spacing w:before="120" w:after="60" w:line="415" w:lineRule="auto"/>
      <w:ind w:left="1200" w:leftChars="400" w:hanging="360" w:hangingChars="200"/>
      <w:jc w:val="left"/>
      <w:outlineLvl w:val="2"/>
    </w:pPr>
    <w:rPr>
      <w:rFonts w:ascii="黑体" w:hAnsi="Arial" w:eastAsia="黑体"/>
      <w:b/>
      <w:bCs/>
      <w:sz w:val="24"/>
      <w:szCs w:val="20"/>
    </w:rPr>
  </w:style>
  <w:style w:type="paragraph" w:customStyle="1" w:styleId="262">
    <w:name w:val="xl6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263">
    <w:name w:val="表格标题1"/>
    <w:basedOn w:val="1"/>
    <w:uiPriority w:val="0"/>
    <w:pPr>
      <w:spacing w:line="360" w:lineRule="auto"/>
      <w:jc w:val="center"/>
    </w:pPr>
    <w:rPr>
      <w:rFonts w:ascii="宋体" w:hAnsi="宋体" w:cs="宋体"/>
      <w:b/>
      <w:bCs/>
      <w:color w:val="000000"/>
      <w:sz w:val="24"/>
      <w:szCs w:val="21"/>
    </w:rPr>
  </w:style>
  <w:style w:type="paragraph" w:customStyle="1" w:styleId="264">
    <w:name w:val="马刚标题4"/>
    <w:basedOn w:val="261"/>
    <w:next w:val="1"/>
    <w:uiPriority w:val="0"/>
    <w:pPr>
      <w:tabs>
        <w:tab w:val="left" w:pos="1050"/>
        <w:tab w:val="clear" w:pos="735"/>
      </w:tabs>
      <w:spacing w:before="100" w:after="40"/>
      <w:outlineLvl w:val="3"/>
    </w:pPr>
    <w:rPr>
      <w:b w:val="0"/>
    </w:rPr>
  </w:style>
  <w:style w:type="paragraph" w:customStyle="1" w:styleId="265">
    <w:name w:val="xl99"/>
    <w:basedOn w:val="1"/>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66">
    <w:name w:val="xl71"/>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s="宋体"/>
      <w:b/>
      <w:bCs/>
      <w:kern w:val="0"/>
      <w:sz w:val="20"/>
      <w:szCs w:val="20"/>
    </w:rPr>
  </w:style>
  <w:style w:type="paragraph" w:customStyle="1" w:styleId="267">
    <w:name w:val="xl4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68">
    <w:name w:val="目录"/>
    <w:next w:val="1"/>
    <w:uiPriority w:val="0"/>
    <w:pPr>
      <w:spacing w:beforeLines="200"/>
      <w:jc w:val="center"/>
    </w:pPr>
    <w:rPr>
      <w:rFonts w:ascii="Arial" w:hAnsi="Arial" w:eastAsia="黑体" w:cs="宋体"/>
      <w:bCs/>
      <w:kern w:val="2"/>
      <w:sz w:val="48"/>
      <w:lang w:val="en-US" w:eastAsia="zh-CN" w:bidi="ar-SA"/>
    </w:rPr>
  </w:style>
  <w:style w:type="paragraph" w:customStyle="1" w:styleId="269">
    <w:name w:val="报告正文"/>
    <w:basedOn w:val="1"/>
    <w:uiPriority w:val="0"/>
    <w:pPr>
      <w:adjustRightInd w:val="0"/>
      <w:snapToGrid w:val="0"/>
      <w:spacing w:line="312" w:lineRule="auto"/>
      <w:ind w:left="2600"/>
    </w:pPr>
    <w:rPr>
      <w:rFonts w:ascii="华文细黑" w:eastAsia="华文细黑"/>
      <w:sz w:val="20"/>
      <w:szCs w:val="20"/>
    </w:rPr>
  </w:style>
  <w:style w:type="paragraph" w:customStyle="1" w:styleId="270">
    <w:name w:val="默认段落字体 Para Char Char Char Char Char Char Char Char Char Char"/>
    <w:basedOn w:val="1"/>
    <w:uiPriority w:val="0"/>
    <w:rPr>
      <w:rFonts w:ascii="Tahoma" w:hAnsi="Tahoma"/>
      <w:color w:val="000000"/>
      <w:sz w:val="24"/>
      <w:szCs w:val="20"/>
    </w:rPr>
  </w:style>
  <w:style w:type="paragraph" w:customStyle="1" w:styleId="271">
    <w:name w:val="xl102"/>
    <w:basedOn w:val="1"/>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72">
    <w:name w:val="xl7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273">
    <w:name w:val="样式 表格 + 行距: 2 倍行距"/>
    <w:basedOn w:val="226"/>
    <w:uiPriority w:val="0"/>
    <w:pPr>
      <w:spacing w:line="480" w:lineRule="auto"/>
    </w:pPr>
    <w:rPr>
      <w:kern w:val="0"/>
    </w:rPr>
  </w:style>
  <w:style w:type="paragraph" w:customStyle="1" w:styleId="274">
    <w:name w:val="xl4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75">
    <w:name w:val="正文2"/>
    <w:basedOn w:val="1"/>
    <w:uiPriority w:val="0"/>
    <w:pPr>
      <w:spacing w:before="156" w:line="360" w:lineRule="auto"/>
      <w:ind w:firstLine="510" w:firstLineChars="200"/>
    </w:pPr>
    <w:rPr>
      <w:color w:val="000000"/>
      <w:sz w:val="24"/>
      <w:szCs w:val="20"/>
    </w:rPr>
  </w:style>
  <w:style w:type="paragraph" w:customStyle="1" w:styleId="276">
    <w:name w:val="xl4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b/>
      <w:bCs/>
      <w:kern w:val="0"/>
      <w:sz w:val="20"/>
      <w:szCs w:val="20"/>
    </w:rPr>
  </w:style>
  <w:style w:type="paragraph" w:customStyle="1" w:styleId="277">
    <w:name w:val="xl5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278">
    <w:name w:val="xl5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79">
    <w:name w:val="默认段落字体 Para Char"/>
    <w:basedOn w:val="1"/>
    <w:uiPriority w:val="0"/>
    <w:rPr>
      <w:rFonts w:ascii="Tahoma" w:hAnsi="Tahoma"/>
      <w:sz w:val="24"/>
      <w:szCs w:val="20"/>
    </w:rPr>
  </w:style>
  <w:style w:type="paragraph" w:customStyle="1" w:styleId="280">
    <w:name w:val="标题二"/>
    <w:basedOn w:val="4"/>
    <w:uiPriority w:val="0"/>
    <w:pPr>
      <w:keepNext w:val="0"/>
      <w:keepLines w:val="0"/>
      <w:spacing w:before="0" w:after="120" w:line="240" w:lineRule="auto"/>
      <w:ind w:firstLine="590" w:firstLineChars="196"/>
      <w:jc w:val="center"/>
    </w:pPr>
    <w:rPr>
      <w:rFonts w:ascii="宋体" w:hAnsi="宋体" w:eastAsia="宋体"/>
      <w:bCs w:val="0"/>
      <w:color w:val="000000"/>
      <w:sz w:val="30"/>
      <w:szCs w:val="20"/>
    </w:rPr>
  </w:style>
  <w:style w:type="paragraph" w:customStyle="1" w:styleId="281">
    <w:name w:val="样式 首行缩进:  2 字符"/>
    <w:basedOn w:val="1"/>
    <w:uiPriority w:val="0"/>
    <w:pPr>
      <w:ind w:firstLine="420" w:firstLineChars="200"/>
    </w:pPr>
    <w:rPr>
      <w:sz w:val="28"/>
      <w:szCs w:val="20"/>
    </w:rPr>
  </w:style>
  <w:style w:type="paragraph" w:customStyle="1" w:styleId="282">
    <w:name w:val="xl81"/>
    <w:basedOn w:val="1"/>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83">
    <w:name w:val="xl5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284">
    <w:name w:val="xl5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285">
    <w:name w:val="Char Char Char Char Char Char Char"/>
    <w:basedOn w:val="1"/>
    <w:uiPriority w:val="0"/>
    <w:pPr>
      <w:tabs>
        <w:tab w:val="left" w:pos="432"/>
      </w:tabs>
      <w:ind w:left="432" w:hanging="432"/>
    </w:pPr>
    <w:rPr>
      <w:rFonts w:ascii="Tahoma" w:hAnsi="Tahoma"/>
      <w:sz w:val="24"/>
      <w:szCs w:val="20"/>
    </w:rPr>
  </w:style>
  <w:style w:type="paragraph" w:customStyle="1" w:styleId="286">
    <w:name w:val="第一巻"/>
    <w:basedOn w:val="3"/>
    <w:uiPriority w:val="0"/>
    <w:pPr>
      <w:keepLines/>
      <w:autoSpaceDE w:val="0"/>
      <w:autoSpaceDN w:val="0"/>
      <w:adjustRightInd w:val="0"/>
      <w:spacing w:line="720" w:lineRule="auto"/>
    </w:pPr>
    <w:rPr>
      <w:rFonts w:ascii="TimesNewRomanPSMT" w:hAnsi="TimesNewRomanPSMT"/>
      <w:bCs w:val="0"/>
      <w:kern w:val="0"/>
      <w:sz w:val="84"/>
      <w:szCs w:val="20"/>
    </w:rPr>
  </w:style>
  <w:style w:type="paragraph" w:customStyle="1" w:styleId="287">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88">
    <w:name w:val="样式 表格 +2"/>
    <w:basedOn w:val="226"/>
    <w:uiPriority w:val="0"/>
    <w:rPr>
      <w:kern w:val="0"/>
    </w:rPr>
  </w:style>
  <w:style w:type="paragraph" w:customStyle="1" w:styleId="289">
    <w:name w:val="xl101"/>
    <w:basedOn w:val="1"/>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90">
    <w:name w:val="xl4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91">
    <w:name w:val="xl4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kern w:val="0"/>
      <w:sz w:val="20"/>
      <w:szCs w:val="20"/>
    </w:rPr>
  </w:style>
  <w:style w:type="paragraph" w:customStyle="1" w:styleId="292">
    <w:name w:val="1"/>
    <w:basedOn w:val="1"/>
    <w:next w:val="37"/>
    <w:uiPriority w:val="0"/>
    <w:rPr>
      <w:rFonts w:ascii="宋体" w:hAnsi="Courier New"/>
      <w:szCs w:val="20"/>
    </w:rPr>
  </w:style>
  <w:style w:type="paragraph" w:customStyle="1" w:styleId="293">
    <w:name w:val="xl107"/>
    <w:basedOn w:val="1"/>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94">
    <w:name w:val="font6"/>
    <w:basedOn w:val="1"/>
    <w:uiPriority w:val="0"/>
    <w:pPr>
      <w:widowControl/>
      <w:spacing w:before="100" w:beforeAutospacing="1" w:after="100" w:afterAutospacing="1"/>
      <w:jc w:val="left"/>
    </w:pPr>
    <w:rPr>
      <w:rFonts w:ascii="仿宋_GB2312" w:hAnsi="宋体" w:eastAsia="仿宋_GB2312" w:cs="宋体"/>
      <w:kern w:val="0"/>
      <w:sz w:val="18"/>
      <w:szCs w:val="18"/>
    </w:rPr>
  </w:style>
  <w:style w:type="paragraph" w:customStyle="1" w:styleId="295">
    <w:name w:val="样式 表格 +1"/>
    <w:basedOn w:val="226"/>
    <w:uiPriority w:val="0"/>
    <w:rPr>
      <w:kern w:val="0"/>
    </w:rPr>
  </w:style>
  <w:style w:type="paragraph" w:customStyle="1" w:styleId="296">
    <w:name w:val="列项——"/>
    <w:uiPriority w:val="0"/>
    <w:pPr>
      <w:widowControl w:val="0"/>
      <w:tabs>
        <w:tab w:val="left" w:pos="854"/>
      </w:tabs>
      <w:jc w:val="both"/>
    </w:pPr>
    <w:rPr>
      <w:rFonts w:ascii="宋体"/>
      <w:sz w:val="21"/>
      <w:lang w:val="en-US" w:eastAsia="zh-CN" w:bidi="ar-SA"/>
    </w:rPr>
  </w:style>
  <w:style w:type="paragraph" w:customStyle="1" w:styleId="297">
    <w:name w:val="xl7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kern w:val="0"/>
      <w:sz w:val="20"/>
      <w:szCs w:val="20"/>
    </w:rPr>
  </w:style>
  <w:style w:type="paragraph" w:customStyle="1" w:styleId="298">
    <w:name w:val="xl5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99">
    <w:name w:val="xl25"/>
    <w:basedOn w:val="1"/>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300">
    <w:name w:val="xl90"/>
    <w:basedOn w:val="1"/>
    <w:uiPriority w:val="0"/>
    <w:pPr>
      <w:widowControl/>
      <w:pBdr>
        <w:top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301">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2">
    <w:name w:val="xl7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303">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4">
    <w:name w:val="xl106"/>
    <w:basedOn w:val="1"/>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05">
    <w:name w:val="xl77"/>
    <w:basedOn w:val="1"/>
    <w:uiPriority w:val="0"/>
    <w:pPr>
      <w:widowControl/>
      <w:pBdr>
        <w:top w:val="single" w:color="auto" w:sz="4" w:space="0"/>
        <w:bottom w:val="single" w:color="auto" w:sz="4" w:space="0"/>
      </w:pBdr>
      <w:shd w:val="clear" w:color="auto" w:fill="CCFFFF"/>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306">
    <w:name w:val="Blockquote"/>
    <w:basedOn w:val="1"/>
    <w:uiPriority w:val="0"/>
    <w:pPr>
      <w:autoSpaceDE w:val="0"/>
      <w:autoSpaceDN w:val="0"/>
      <w:adjustRightInd w:val="0"/>
      <w:spacing w:before="100" w:after="100"/>
      <w:ind w:left="360" w:right="360"/>
      <w:jc w:val="left"/>
    </w:pPr>
    <w:rPr>
      <w:kern w:val="0"/>
      <w:sz w:val="24"/>
      <w:szCs w:val="20"/>
    </w:rPr>
  </w:style>
  <w:style w:type="paragraph" w:customStyle="1" w:styleId="307">
    <w:name w:val="标题一"/>
    <w:basedOn w:val="3"/>
    <w:uiPriority w:val="0"/>
    <w:pPr>
      <w:keepLines/>
      <w:spacing w:before="240" w:after="240"/>
    </w:pPr>
    <w:rPr>
      <w:rFonts w:ascii="宋体"/>
      <w:bCs w:val="0"/>
      <w:color w:val="000000"/>
      <w:kern w:val="44"/>
      <w:sz w:val="32"/>
      <w:szCs w:val="20"/>
    </w:rPr>
  </w:style>
  <w:style w:type="paragraph" w:customStyle="1" w:styleId="308">
    <w:name w:val="xl83"/>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9">
    <w:name w:val="样式 表格 +4"/>
    <w:basedOn w:val="226"/>
    <w:uiPriority w:val="0"/>
    <w:rPr>
      <w:kern w:val="0"/>
    </w:rPr>
  </w:style>
  <w:style w:type="paragraph" w:customStyle="1" w:styleId="310">
    <w:name w:val="样式 居中 段前: 6 磅 段后: 6 磅"/>
    <w:basedOn w:val="1"/>
    <w:uiPriority w:val="0"/>
    <w:pPr>
      <w:spacing w:before="120" w:after="120" w:line="440" w:lineRule="exact"/>
      <w:jc w:val="center"/>
    </w:pPr>
    <w:rPr>
      <w:sz w:val="24"/>
      <w:szCs w:val="20"/>
    </w:rPr>
  </w:style>
  <w:style w:type="paragraph" w:customStyle="1" w:styleId="311">
    <w:name w:val="Char Char Char Char Char Char Char Char Char Char Char Char Char2"/>
    <w:basedOn w:val="1"/>
    <w:uiPriority w:val="0"/>
    <w:pPr>
      <w:widowControl/>
      <w:spacing w:after="160" w:line="240" w:lineRule="exact"/>
      <w:jc w:val="left"/>
    </w:pPr>
    <w:rPr>
      <w:rFonts w:ascii="Verdana" w:hAnsi="Verdana"/>
      <w:kern w:val="0"/>
      <w:sz w:val="20"/>
      <w:szCs w:val="20"/>
      <w:lang w:eastAsia="en-US"/>
    </w:rPr>
  </w:style>
  <w:style w:type="paragraph" w:customStyle="1" w:styleId="312">
    <w:name w:val="样式 表格 + 行距: 固定值 23 磅"/>
    <w:basedOn w:val="226"/>
    <w:uiPriority w:val="0"/>
    <w:pPr>
      <w:spacing w:line="460" w:lineRule="exact"/>
    </w:pPr>
  </w:style>
  <w:style w:type="paragraph" w:customStyle="1" w:styleId="313">
    <w:name w:val="招标文件标题1章"/>
    <w:basedOn w:val="3"/>
    <w:next w:val="173"/>
    <w:uiPriority w:val="0"/>
    <w:pPr>
      <w:keepLines/>
      <w:tabs>
        <w:tab w:val="left" w:pos="1418"/>
        <w:tab w:val="left" w:pos="2040"/>
      </w:tabs>
      <w:spacing w:before="340" w:after="330" w:line="576" w:lineRule="auto"/>
      <w:ind w:left="2040" w:leftChars="800" w:hanging="360" w:hangingChars="200"/>
    </w:pPr>
    <w:rPr>
      <w:bCs w:val="0"/>
      <w:kern w:val="44"/>
      <w:sz w:val="44"/>
      <w:szCs w:val="20"/>
    </w:rPr>
  </w:style>
  <w:style w:type="paragraph" w:customStyle="1" w:styleId="314">
    <w:name w:val="标题6"/>
    <w:basedOn w:val="1"/>
    <w:next w:val="3"/>
    <w:uiPriority w:val="0"/>
    <w:pPr>
      <w:widowControl/>
      <w:snapToGrid w:val="0"/>
      <w:spacing w:beforeLines="50" w:afterLines="50" w:line="520" w:lineRule="atLeast"/>
      <w:ind w:firstLine="200" w:firstLineChars="200"/>
    </w:pPr>
    <w:rPr>
      <w:rFonts w:cs="Arial"/>
      <w:b/>
      <w:sz w:val="24"/>
    </w:rPr>
  </w:style>
  <w:style w:type="paragraph" w:customStyle="1" w:styleId="315">
    <w:name w:val="正文文本 211"/>
    <w:basedOn w:val="1"/>
    <w:uiPriority w:val="0"/>
    <w:pPr>
      <w:adjustRightInd w:val="0"/>
      <w:spacing w:line="300" w:lineRule="auto"/>
      <w:jc w:val="center"/>
    </w:pPr>
    <w:rPr>
      <w:rFonts w:hint="eastAsia" w:ascii="宋体" w:hAnsi="宋体"/>
      <w:sz w:val="24"/>
      <w:szCs w:val="20"/>
    </w:rPr>
  </w:style>
  <w:style w:type="paragraph" w:customStyle="1" w:styleId="316">
    <w:name w:val="5"/>
    <w:uiPriority w:val="0"/>
    <w:rPr>
      <w:rFonts w:ascii="Calibri" w:hAnsi="Calibri"/>
      <w:kern w:val="2"/>
      <w:sz w:val="21"/>
      <w:szCs w:val="22"/>
      <w:lang w:val="en-US" w:eastAsia="zh-CN" w:bidi="ar-SA"/>
    </w:rPr>
  </w:style>
  <w:style w:type="paragraph" w:customStyle="1" w:styleId="317">
    <w:name w:val="Char Char Char Char1"/>
    <w:basedOn w:val="1"/>
    <w:uiPriority w:val="0"/>
  </w:style>
  <w:style w:type="paragraph" w:customStyle="1" w:styleId="318">
    <w:name w:val="Char Char Char Char Char Char Char1"/>
    <w:basedOn w:val="1"/>
    <w:uiPriority w:val="0"/>
    <w:pPr>
      <w:tabs>
        <w:tab w:val="left" w:pos="432"/>
      </w:tabs>
      <w:ind w:left="432" w:hanging="432"/>
    </w:pPr>
    <w:rPr>
      <w:rFonts w:ascii="Tahoma" w:hAnsi="Tahoma"/>
      <w:sz w:val="24"/>
      <w:szCs w:val="20"/>
    </w:rPr>
  </w:style>
  <w:style w:type="paragraph" w:customStyle="1" w:styleId="319">
    <w:name w:val="Char3 Char Char Char1"/>
    <w:basedOn w:val="1"/>
    <w:uiPriority w:val="0"/>
    <w:pPr>
      <w:widowControl/>
      <w:spacing w:after="160" w:line="240" w:lineRule="exact"/>
      <w:jc w:val="left"/>
    </w:pPr>
    <w:rPr>
      <w:szCs w:val="20"/>
    </w:rPr>
  </w:style>
  <w:style w:type="paragraph" w:customStyle="1" w:styleId="320">
    <w:name w:val="列出段落11"/>
    <w:basedOn w:val="1"/>
    <w:uiPriority w:val="0"/>
    <w:pPr>
      <w:ind w:firstLine="420" w:firstLineChars="200"/>
    </w:pPr>
  </w:style>
  <w:style w:type="paragraph" w:customStyle="1" w:styleId="321">
    <w:name w:val="Char Char1 Char1"/>
    <w:basedOn w:val="1"/>
    <w:uiPriority w:val="0"/>
    <w:rPr>
      <w:szCs w:val="20"/>
    </w:rPr>
  </w:style>
  <w:style w:type="paragraph" w:customStyle="1" w:styleId="322">
    <w:name w:val="Char Char Char Char Char Char Char Char Char Char Char Char Char1"/>
    <w:basedOn w:val="1"/>
    <w:uiPriority w:val="0"/>
    <w:pPr>
      <w:widowControl/>
      <w:spacing w:after="160" w:line="240" w:lineRule="exact"/>
      <w:jc w:val="left"/>
    </w:pPr>
    <w:rPr>
      <w:rFonts w:ascii="Verdana" w:hAnsi="Verdana"/>
      <w:kern w:val="0"/>
      <w:sz w:val="20"/>
      <w:szCs w:val="20"/>
      <w:lang w:eastAsia="en-US"/>
    </w:rPr>
  </w:style>
  <w:style w:type="character" w:customStyle="1" w:styleId="323">
    <w:name w:val="Header Char"/>
    <w:locked/>
    <w:uiPriority w:val="0"/>
    <w:rPr>
      <w:rFonts w:cs="Times New Roman"/>
      <w:sz w:val="18"/>
      <w:szCs w:val="18"/>
    </w:rPr>
  </w:style>
  <w:style w:type="character" w:customStyle="1" w:styleId="324">
    <w:name w:val="Footer Char"/>
    <w:locked/>
    <w:uiPriority w:val="0"/>
    <w:rPr>
      <w:rFonts w:cs="Times New Roman"/>
      <w:sz w:val="18"/>
      <w:szCs w:val="1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2.xml" Type="http://schemas.openxmlformats.org/officeDocument/2006/relationships/head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theme/theme1.xml" Type="http://schemas.openxmlformats.org/officeDocument/2006/relationships/theme"/><Relationship Id="rId18" Target="numbering.xml" Type="http://schemas.openxmlformats.org/officeDocument/2006/relationships/numbering"/><Relationship Id="rId19"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header1.xml" Type="http://schemas.openxmlformats.org/officeDocument/2006/relationships/header"/><Relationship Id="rId6" Target="footer3.xml" Type="http://schemas.openxmlformats.org/officeDocument/2006/relationships/footer"/><Relationship Id="rId7" Target="footer4.xml" Type="http://schemas.openxmlformats.org/officeDocument/2006/relationships/footer"/><Relationship Id="rId8" Target="footer5.xml" Type="http://schemas.openxmlformats.org/officeDocument/2006/relationships/footer"/><Relationship Id="rId9" Target="footer6.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青鸟杭办</Company>
  <Pages>131</Pages>
  <Words>12812</Words>
  <Characters>73030</Characters>
  <Lines>608</Lines>
  <Paragraphs>171</Paragraphs>
  <TotalTime>0</TotalTime>
  <ScaleCrop>false</ScaleCrop>
  <LinksUpToDate>false</LinksUpToDate>
  <CharactersWithSpaces>85671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2019-09-06T13:12:00Z</dcterms:created>
  <dc:creator>黄旭明</dc:creator>
  <cp:lastModifiedBy>WPS_1701756769</cp:lastModifiedBy>
  <cp:lastPrinted>2017-03-08T06:44:00Z</cp:lastPrinted>
  <dcterms:modified xsi:type="dcterms:W3CDTF">2024-02-22T05:52:44Z</dcterms:modified>
  <cp:revision>30</cp:revision>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464D722B6A01407EAD070EB0608012BD_13</vt:lpwstr>
  </property>
</Properties>
</file>