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z w:val="24"/>
          <w:highlight w:val="none"/>
        </w:rPr>
      </w:pPr>
    </w:p>
    <w:p>
      <w:pPr>
        <w:spacing w:line="360" w:lineRule="auto"/>
        <w:rPr>
          <w:rFonts w:ascii="仿宋" w:hAnsi="仿宋" w:eastAsia="仿宋" w:cs="仿宋"/>
          <w:b/>
          <w:color w:val="auto"/>
          <w:sz w:val="44"/>
          <w:szCs w:val="44"/>
          <w:highlight w:val="none"/>
        </w:rPr>
      </w:pPr>
    </w:p>
    <w:p>
      <w:pPr>
        <w:adjustRightInd/>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杭州市萧山区第一人民医院医共体总院</w:t>
      </w:r>
    </w:p>
    <w:p>
      <w:pPr>
        <w:adjustRightInd/>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（杭州市萧山区第一人民医院）</w:t>
      </w:r>
    </w:p>
    <w:p>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b/>
          <w:bCs/>
          <w:color w:val="auto"/>
          <w:sz w:val="44"/>
          <w:szCs w:val="44"/>
          <w:highlight w:val="none"/>
          <w:lang w:eastAsia="zh-CN"/>
        </w:rPr>
        <w:t>净化系统空调机组更新维护</w:t>
      </w:r>
    </w:p>
    <w:p>
      <w:pPr>
        <w:adjustRightInd/>
        <w:spacing w:line="360" w:lineRule="auto"/>
        <w:jc w:val="center"/>
        <w:rPr>
          <w:rFonts w:ascii="仿宋" w:hAnsi="仿宋" w:eastAsia="仿宋" w:cs="仿宋"/>
          <w:color w:val="auto"/>
          <w:sz w:val="48"/>
          <w:szCs w:val="48"/>
          <w:highlight w:val="none"/>
        </w:rPr>
      </w:pPr>
    </w:p>
    <w:p>
      <w:pPr>
        <w:adjustRightInd/>
        <w:spacing w:line="360" w:lineRule="auto"/>
        <w:jc w:val="center"/>
        <w:rPr>
          <w:rFonts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snapToGrid w:val="0"/>
        <w:spacing w:line="360" w:lineRule="auto"/>
        <w:jc w:val="center"/>
        <w:rPr>
          <w:rFonts w:ascii="仿宋" w:hAnsi="仿宋" w:eastAsia="仿宋" w:cs="仿宋"/>
          <w:color w:val="auto"/>
          <w:sz w:val="30"/>
          <w:szCs w:val="30"/>
          <w:highlight w:val="none"/>
        </w:rPr>
      </w:pPr>
    </w:p>
    <w:p>
      <w:pPr>
        <w:snapToGrid w:val="0"/>
        <w:spacing w:line="360" w:lineRule="auto"/>
        <w:jc w:val="cente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编号:</w:t>
      </w:r>
      <w:r>
        <w:rPr>
          <w:color w:val="auto"/>
          <w:highlight w:val="none"/>
        </w:rPr>
        <w:fldChar w:fldCharType="begin"/>
      </w:r>
      <w:r>
        <w:rPr>
          <w:color w:val="auto"/>
          <w:highlight w:val="none"/>
        </w:rPr>
        <w:instrText xml:space="preserve"> HYPERLINK "javascript:void(0)" \o "ZJ-2271300" </w:instrText>
      </w:r>
      <w:r>
        <w:rPr>
          <w:color w:val="auto"/>
          <w:highlight w:val="none"/>
        </w:rPr>
        <w:fldChar w:fldCharType="separate"/>
      </w:r>
      <w:r>
        <w:rPr>
          <w:rFonts w:hint="eastAsia" w:ascii="仿宋" w:hAnsi="仿宋" w:eastAsia="仿宋" w:cs="仿宋"/>
          <w:color w:val="auto"/>
          <w:sz w:val="30"/>
          <w:szCs w:val="30"/>
          <w:highlight w:val="none"/>
          <w:lang w:eastAsia="zh-CN"/>
        </w:rPr>
        <w:t>XSYY2024-GK-011</w:t>
      </w:r>
      <w:r>
        <w:rPr>
          <w:rFonts w:hint="eastAsia" w:ascii="仿宋" w:hAnsi="仿宋" w:eastAsia="仿宋" w:cs="仿宋"/>
          <w:color w:val="auto"/>
          <w:sz w:val="30"/>
          <w:szCs w:val="30"/>
          <w:highlight w:val="none"/>
        </w:rPr>
        <w:fldChar w:fldCharType="end"/>
      </w:r>
    </w:p>
    <w:p>
      <w:pPr>
        <w:adjustRightInd/>
        <w:spacing w:line="360" w:lineRule="auto"/>
        <w:jc w:val="center"/>
        <w:rPr>
          <w:rFonts w:ascii="仿宋" w:hAnsi="仿宋" w:eastAsia="仿宋" w:cs="仿宋"/>
          <w:color w:val="auto"/>
          <w:sz w:val="30"/>
          <w:szCs w:val="30"/>
          <w:highlight w:val="none"/>
        </w:rPr>
      </w:pPr>
      <w:r>
        <w:rPr>
          <w:rFonts w:hint="eastAsia" w:ascii="仿宋" w:hAnsi="仿宋" w:eastAsia="仿宋" w:cs="仿宋"/>
          <w:color w:val="auto"/>
          <w:sz w:val="28"/>
          <w:szCs w:val="20"/>
          <w:highlight w:val="none"/>
        </w:rPr>
        <w:t>（</w:t>
      </w:r>
      <w:r>
        <w:rPr>
          <w:rFonts w:hint="eastAsia" w:ascii="仿宋" w:hAnsi="仿宋" w:eastAsia="仿宋" w:cs="仿宋"/>
          <w:color w:val="auto"/>
          <w:sz w:val="30"/>
          <w:szCs w:val="30"/>
          <w:highlight w:val="none"/>
          <w:lang w:eastAsia="zh-CN"/>
        </w:rPr>
        <w:t>ZJ-2471262</w:t>
      </w:r>
      <w:r>
        <w:rPr>
          <w:rFonts w:hint="eastAsia" w:ascii="仿宋" w:hAnsi="仿宋" w:eastAsia="仿宋" w:cs="仿宋"/>
          <w:color w:val="auto"/>
          <w:sz w:val="30"/>
          <w:szCs w:val="30"/>
          <w:highlight w:val="none"/>
        </w:rPr>
        <w:t>）</w:t>
      </w:r>
    </w:p>
    <w:p>
      <w:pPr>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rPr>
          <w:rFonts w:ascii="仿宋" w:hAnsi="仿宋" w:eastAsia="仿宋" w:cs="仿宋"/>
          <w:color w:val="auto"/>
          <w:sz w:val="32"/>
          <w:szCs w:val="32"/>
          <w:highlight w:val="none"/>
        </w:rPr>
      </w:pPr>
    </w:p>
    <w:p>
      <w:pPr>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杭州市萧山区第一人民医院医共体总院</w:t>
      </w:r>
    </w:p>
    <w:p>
      <w:pPr>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（杭州市萧山区第一人民医院）</w:t>
      </w:r>
    </w:p>
    <w:p>
      <w:pPr>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浙江国际招投标有限公司</w:t>
      </w:r>
    </w:p>
    <w:p>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 xml:space="preserve">  </w:t>
      </w:r>
      <w:r>
        <w:rPr>
          <w:rFonts w:hint="eastAsia" w:ascii="仿宋" w:hAnsi="仿宋" w:eastAsia="仿宋" w:cs="仿宋"/>
          <w:bCs/>
          <w:color w:val="auto"/>
          <w:sz w:val="32"/>
          <w:szCs w:val="32"/>
          <w:highlight w:val="none"/>
          <w:lang w:eastAsia="zh-CN"/>
        </w:rPr>
        <w:t>2024年</w:t>
      </w:r>
      <w:r>
        <w:rPr>
          <w:rFonts w:hint="eastAsia" w:ascii="仿宋" w:hAnsi="仿宋" w:eastAsia="仿宋" w:cs="仿宋"/>
          <w:bCs/>
          <w:color w:val="auto"/>
          <w:sz w:val="32"/>
          <w:szCs w:val="32"/>
          <w:highlight w:val="none"/>
          <w:lang w:val="en-US" w:eastAsia="zh-CN"/>
        </w:rPr>
        <w:t>5</w:t>
      </w:r>
      <w:r>
        <w:rPr>
          <w:rFonts w:hint="eastAsia" w:ascii="仿宋" w:hAnsi="仿宋" w:eastAsia="仿宋" w:cs="仿宋"/>
          <w:bCs/>
          <w:color w:val="auto"/>
          <w:sz w:val="32"/>
          <w:szCs w:val="32"/>
          <w:highlight w:val="none"/>
          <w:lang w:eastAsia="zh-CN"/>
        </w:rPr>
        <w:t>月</w:t>
      </w:r>
    </w:p>
    <w:p>
      <w:pPr>
        <w:spacing w:line="360" w:lineRule="auto"/>
        <w:jc w:val="center"/>
        <w:rPr>
          <w:rFonts w:ascii="仿宋" w:hAnsi="仿宋" w:eastAsia="仿宋" w:cs="仿宋"/>
          <w:color w:val="auto"/>
          <w:sz w:val="24"/>
          <w:highlight w:val="none"/>
        </w:rPr>
        <w:sectPr>
          <w:footerReference r:id="rId4" w:type="first"/>
          <w:footerReference r:id="rId3"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5"/>
        <w:rPr>
          <w:color w:val="auto"/>
          <w:highlight w:val="none"/>
        </w:rPr>
      </w:pPr>
    </w:p>
    <w:p>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ascii="仿宋" w:hAnsi="仿宋" w:eastAsia="仿宋" w:cs="仿宋"/>
          <w:color w:val="auto"/>
          <w:sz w:val="32"/>
          <w:szCs w:val="32"/>
          <w:highlight w:val="none"/>
        </w:rPr>
      </w:pPr>
    </w:p>
    <w:p>
      <w:pPr>
        <w:spacing w:line="360" w:lineRule="auto"/>
        <w:rPr>
          <w:rFonts w:ascii="仿宋" w:hAnsi="仿宋" w:eastAsia="仿宋" w:cs="仿宋"/>
          <w:color w:val="auto"/>
          <w:sz w:val="32"/>
          <w:szCs w:val="32"/>
          <w:highlight w:val="none"/>
        </w:rPr>
      </w:pP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ascii="仿宋" w:hAnsi="仿宋" w:eastAsia="仿宋" w:cs="仿宋"/>
          <w:color w:val="auto"/>
          <w:sz w:val="24"/>
          <w:highlight w:val="none"/>
        </w:rPr>
      </w:pPr>
      <w:bookmarkStart w:id="0" w:name="_Hlt91233176"/>
      <w:bookmarkEnd w:id="0"/>
      <w:bookmarkStart w:id="1" w:name="_Toc91899869"/>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bookmarkEnd w:id="1"/>
    <w:p>
      <w:pPr>
        <w:adjustRightInd/>
        <w:spacing w:line="360" w:lineRule="auto"/>
        <w:jc w:val="center"/>
        <w:outlineLvl w:val="0"/>
        <w:rPr>
          <w:rFonts w:hint="eastAsia" w:ascii="仿宋" w:hAnsi="仿宋" w:eastAsia="仿宋" w:cs="仿宋"/>
          <w:b/>
          <w:color w:val="auto"/>
          <w:sz w:val="36"/>
          <w:szCs w:val="20"/>
          <w:highlight w:val="none"/>
        </w:rPr>
        <w:sectPr>
          <w:footerReference r:id="rId6" w:type="first"/>
          <w:footerReference r:id="rId5" w:type="default"/>
          <w:pgSz w:w="11906" w:h="16838"/>
          <w:pgMar w:top="1276" w:right="1418" w:bottom="1247" w:left="1418"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2" w:name="_Hlt74728647"/>
      <w:bookmarkEnd w:id="2"/>
      <w:bookmarkStart w:id="3" w:name="_Hlt74649545"/>
      <w:bookmarkEnd w:id="3"/>
      <w:bookmarkStart w:id="4" w:name="_Hlt74707423"/>
      <w:bookmarkEnd w:id="4"/>
      <w:bookmarkStart w:id="5" w:name="_Hlt74729822"/>
      <w:bookmarkEnd w:id="5"/>
      <w:bookmarkStart w:id="6" w:name="第二部分"/>
      <w:bookmarkStart w:id="7" w:name="_Toc91899870"/>
      <w:bookmarkStart w:id="8" w:name="_Toc91899871"/>
    </w:p>
    <w:p>
      <w:pPr>
        <w:rPr>
          <w:rFonts w:hint="eastAsia" w:ascii="仿宋" w:hAnsi="仿宋" w:eastAsia="仿宋" w:cs="仿宋"/>
          <w:b/>
          <w:color w:val="auto"/>
          <w:sz w:val="36"/>
          <w:szCs w:val="20"/>
          <w:highlight w:val="none"/>
        </w:rPr>
      </w:pPr>
    </w:p>
    <w:p>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杭州市萧山区第一人民医院医共体总院（杭州市萧山区第一人民医院）</w:t>
      </w:r>
      <w:r>
        <w:rPr>
          <w:rFonts w:hint="eastAsia" w:ascii="仿宋" w:hAnsi="仿宋" w:eastAsia="仿宋" w:cs="仿宋"/>
          <w:color w:val="auto"/>
          <w:sz w:val="24"/>
          <w:highlight w:val="none"/>
          <w:u w:val="single"/>
          <w:lang w:eastAsia="zh-CN"/>
        </w:rPr>
        <w:t>净化系统空调机组更新维护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lang w:eastAsia="zh-CN"/>
        </w:rPr>
        <w:t>2024年</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u w:val="single"/>
        </w:rPr>
        <w:t>09时30分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XSYY2024-GK-011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ZJ-2471262</w:t>
      </w: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u w:val="single"/>
        </w:rPr>
        <w:t>杭州市萧山区第一人民医院医共体总院（杭州市萧山区第一人民医院）</w:t>
      </w:r>
      <w:r>
        <w:rPr>
          <w:rFonts w:hint="eastAsia" w:ascii="仿宋" w:hAnsi="仿宋" w:eastAsia="仿宋" w:cs="仿宋"/>
          <w:color w:val="auto"/>
          <w:sz w:val="24"/>
          <w:highlight w:val="none"/>
          <w:u w:val="single"/>
          <w:lang w:eastAsia="zh-CN"/>
        </w:rPr>
        <w:t>净化系统空调机组更新维护</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color w:val="auto"/>
          <w:sz w:val="24"/>
          <w:highlight w:val="none"/>
          <w:lang w:val="en-US" w:eastAsia="zh-CN"/>
        </w:rPr>
        <w:t>3900000.00</w:t>
      </w:r>
      <w:r>
        <w:rPr>
          <w:rFonts w:hint="eastAsia" w:ascii="仿宋" w:hAnsi="仿宋" w:eastAsia="仿宋" w:cs="仿宋"/>
          <w:color w:val="auto"/>
          <w:sz w:val="24"/>
          <w:highlight w:val="none"/>
        </w:rPr>
        <w:t xml:space="preserve">  </w:t>
      </w:r>
    </w:p>
    <w:p>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w:t>
      </w:r>
    </w:p>
    <w:p>
      <w:pPr>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采购需求：</w:t>
      </w:r>
    </w:p>
    <w:p>
      <w:pPr>
        <w:spacing w:line="360" w:lineRule="auto"/>
        <w:ind w:firstLine="480" w:firstLineChars="200"/>
        <w:jc w:val="left"/>
        <w:rPr>
          <w:rFonts w:hint="eastAsia" w:ascii="仿宋" w:hAnsi="仿宋" w:eastAsia="仿宋" w:cs="仿宋"/>
          <w:color w:val="auto"/>
          <w:sz w:val="24"/>
          <w:highlight w:val="none"/>
        </w:rPr>
      </w:pPr>
    </w:p>
    <w:p>
      <w:pPr>
        <w:spacing w:line="360" w:lineRule="auto"/>
        <w:ind w:firstLine="480" w:firstLineChars="20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标项一：净化系统空调机组更新维护</w:t>
      </w:r>
    </w:p>
    <w:p>
      <w:pPr>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数量：</w:t>
      </w:r>
      <w:r>
        <w:rPr>
          <w:rFonts w:hint="eastAsia" w:ascii="仿宋" w:hAnsi="仿宋" w:eastAsia="仿宋" w:cs="仿宋"/>
          <w:color w:val="auto"/>
          <w:sz w:val="24"/>
          <w:highlight w:val="none"/>
          <w:lang w:val="en-US" w:eastAsia="zh-CN"/>
        </w:rPr>
        <w:t>3</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单位：年</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预算金额（元）：3900000.00  </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简要规格描述或项目基本概况介绍、用途：</w:t>
      </w:r>
      <w:r>
        <w:rPr>
          <w:rFonts w:hint="eastAsia" w:ascii="仿宋" w:hAnsi="仿宋" w:eastAsia="仿宋" w:cs="仿宋"/>
          <w:color w:val="auto"/>
          <w:sz w:val="24"/>
          <w:szCs w:val="24"/>
          <w:highlight w:val="none"/>
          <w:lang w:val="en-US" w:eastAsia="zh-CN"/>
        </w:rPr>
        <w:t>杭州市萧山区第一人民医院净化系统空调机组更新维护</w:t>
      </w:r>
      <w:r>
        <w:rPr>
          <w:rFonts w:hint="eastAsia" w:ascii="仿宋" w:hAnsi="仿宋" w:eastAsia="仿宋" w:cs="仿宋"/>
          <w:color w:val="auto"/>
          <w:sz w:val="24"/>
          <w:highlight w:val="none"/>
        </w:rPr>
        <w:t>。具体</w:t>
      </w:r>
      <w:r>
        <w:rPr>
          <w:rFonts w:hint="eastAsia" w:ascii="仿宋" w:hAnsi="仿宋" w:eastAsia="仿宋" w:cs="仿宋"/>
          <w:bCs/>
          <w:color w:val="auto"/>
          <w:sz w:val="24"/>
          <w:highlight w:val="none"/>
        </w:rPr>
        <w:t>以招标文件第三部分</w:t>
      </w:r>
      <w:r>
        <w:rPr>
          <w:rFonts w:hint="eastAsia" w:ascii="仿宋" w:hAnsi="仿宋" w:eastAsia="仿宋" w:cs="仿宋"/>
          <w:color w:val="auto"/>
          <w:sz w:val="24"/>
          <w:highlight w:val="none"/>
        </w:rPr>
        <w:t>采购需求为准,供应商可点击本公告下方“浏览采购文件”查看采购需求。</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备注：不允许进口</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合同履约期限：满足采购文件要求。</w:t>
      </w:r>
    </w:p>
    <w:p>
      <w:pPr>
        <w:spacing w:line="360" w:lineRule="auto"/>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本项目接受联合体投标：（√）是；（）否 </w:t>
      </w:r>
      <w:r>
        <w:rPr>
          <w:rFonts w:hint="eastAsia" w:ascii="仿宋" w:hAnsi="仿宋" w:eastAsia="仿宋" w:cs="仿宋"/>
          <w:color w:val="auto"/>
          <w:kern w:val="0"/>
          <w:sz w:val="24"/>
          <w:highlight w:val="none"/>
        </w:rPr>
        <w:t>。</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3.落实政府采购政策需满足的资格要求：服务全部由符合政策要求的中小企业承接，提供中小企业声明函；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4.本项目的特定资格要求：无；</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2024年</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2024年</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u w:val="single"/>
        </w:rPr>
        <w:t>09 时30 分</w:t>
      </w:r>
      <w:r>
        <w:rPr>
          <w:rFonts w:hint="eastAsia" w:ascii="仿宋" w:hAnsi="仿宋" w:eastAsia="仿宋" w:cs="仿宋"/>
          <w:color w:val="auto"/>
          <w:sz w:val="24"/>
          <w:highlight w:val="none"/>
        </w:rPr>
        <w:t>（北京时间）</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eastAsia="zh-CN"/>
        </w:rPr>
        <w:t>2024年</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u w:val="single"/>
        </w:rPr>
        <w:t>09 时30 分</w:t>
      </w:r>
      <w:r>
        <w:rPr>
          <w:rFonts w:hint="eastAsia" w:ascii="仿宋" w:hAnsi="仿宋" w:eastAsia="仿宋" w:cs="仿宋"/>
          <w:bCs/>
          <w:color w:val="auto"/>
          <w:sz w:val="24"/>
          <w:highlight w:val="none"/>
          <w:u w:val="single"/>
        </w:rPr>
        <w:t xml:space="preserve">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numPr>
          <w:ilvl w:val="0"/>
          <w:numId w:val="1"/>
        </w:num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采购意向公开链接：</w:t>
      </w:r>
    </w:p>
    <w:p>
      <w:pPr>
        <w:numPr>
          <w:ilvl w:val="-1"/>
          <w:numId w:val="0"/>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https://zfcg.czt.zj.gov.cn/site/detail?categoryCode=ZcyAnnouncement&amp;parentId=600007&amp;articleId=PFzyNr+oR3rYt6WPly68IA==&amp;utm=site.site-PC-36449.972-pc-websitegroup-zhejiang-mainSearchPage-front.1.3b671780e4f011ee9c860564146aa153</w:t>
      </w:r>
    </w:p>
    <w:p>
      <w:pPr>
        <w:numPr>
          <w:ilvl w:val="0"/>
          <w:numId w:val="1"/>
        </w:num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公告期限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r>
        <w:rPr>
          <w:rFonts w:hint="eastAsia" w:ascii="仿宋" w:hAnsi="仿宋" w:eastAsia="仿宋" w:cs="仿宋"/>
          <w:color w:val="auto"/>
          <w:sz w:val="24"/>
          <w:highlight w:val="none"/>
          <w:shd w:val="clear" w:color="auto" w:fill="FFFFFF"/>
        </w:rPr>
        <w:t>⑪</w:t>
      </w:r>
      <w:r>
        <w:rPr>
          <w:rFonts w:hint="eastAsia" w:ascii="仿宋" w:hAnsi="仿宋" w:eastAsia="仿宋" w:cs="仿宋"/>
          <w:color w:val="auto"/>
          <w:sz w:val="24"/>
          <w:highlight w:val="none"/>
        </w:rPr>
        <w:t>《财政部关于进一步加大政府采购支持中小企业力度的通知》（财库〔2022〕19号；</w:t>
      </w:r>
      <w:r>
        <w:rPr>
          <w:rFonts w:hint="eastAsia" w:ascii="仿宋" w:hAnsi="仿宋" w:eastAsia="仿宋" w:cs="仿宋"/>
          <w:color w:val="auto"/>
          <w:sz w:val="24"/>
          <w:highlight w:val="none"/>
          <w:shd w:val="clear" w:color="auto" w:fill="FFFFFF"/>
        </w:rPr>
        <w:t>⑫</w:t>
      </w:r>
      <w:r>
        <w:rPr>
          <w:rFonts w:hint="eastAsia" w:ascii="仿宋" w:hAnsi="仿宋" w:eastAsia="仿宋" w:cs="仿宋"/>
          <w:color w:val="auto"/>
          <w:sz w:val="24"/>
          <w:highlight w:val="none"/>
        </w:rPr>
        <w:t>《中小企业预留采购份额确认函》按照《财政部关于进一步加大政府采购支持中小企业力度的通知》（财库〔2022〕19号调整预留份额比例区间。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pPr>
        <w:spacing w:line="360" w:lineRule="auto"/>
        <w:ind w:firstLine="480" w:firstLineChars="200"/>
        <w:rPr>
          <w:rFonts w:ascii="仿宋" w:hAnsi="仿宋" w:eastAsia="仿宋" w:cs="仿宋"/>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八</w:t>
      </w:r>
      <w:r>
        <w:rPr>
          <w:rFonts w:hint="eastAsia" w:ascii="仿宋" w:hAnsi="仿宋" w:eastAsia="仿宋" w:cs="仿宋"/>
          <w:b/>
          <w:color w:val="auto"/>
          <w:sz w:val="24"/>
          <w:highlight w:val="none"/>
        </w:rPr>
        <w:t>、对本次采购提出询问、质疑、投诉，请按以下方式联系</w:t>
      </w:r>
    </w:p>
    <w:p>
      <w:pPr>
        <w:widowControl/>
        <w:spacing w:line="360" w:lineRule="auto"/>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1.采购人信息</w:t>
      </w:r>
    </w:p>
    <w:p>
      <w:pPr>
        <w:spacing w:line="360" w:lineRule="auto"/>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名 称：杭州市萧山区第一人民医院医共体总院（杭州市萧山区第一人民医院）</w:t>
      </w:r>
    </w:p>
    <w:p>
      <w:pPr>
        <w:spacing w:line="360" w:lineRule="auto"/>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地址：杭州市萧山区城厢街道市心南路199号</w:t>
      </w:r>
    </w:p>
    <w:p>
      <w:pPr>
        <w:spacing w:line="360" w:lineRule="auto"/>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传真：0571-83807019</w:t>
      </w:r>
    </w:p>
    <w:p>
      <w:pPr>
        <w:shd w:val="clear"/>
        <w:spacing w:line="360" w:lineRule="auto"/>
        <w:jc w:val="left"/>
        <w:rPr>
          <w:rFonts w:hint="eastAsia" w:ascii="仿宋" w:hAnsi="仿宋" w:eastAsia="仿宋" w:cs="仿宋"/>
          <w:color w:val="auto"/>
          <w:sz w:val="24"/>
          <w:szCs w:val="28"/>
          <w:highlight w:val="none"/>
        </w:rPr>
      </w:pPr>
      <w:bookmarkStart w:id="9" w:name="_Toc28359086"/>
      <w:bookmarkStart w:id="10" w:name="_Toc28359009"/>
      <w:r>
        <w:rPr>
          <w:rFonts w:hint="eastAsia" w:ascii="仿宋" w:hAnsi="仿宋" w:eastAsia="仿宋" w:cs="仿宋"/>
          <w:color w:val="auto"/>
          <w:sz w:val="24"/>
          <w:szCs w:val="28"/>
          <w:highlight w:val="none"/>
        </w:rPr>
        <w:t>项目联系人（询问）：</w:t>
      </w:r>
      <w:r>
        <w:rPr>
          <w:rFonts w:hint="eastAsia" w:ascii="仿宋" w:hAnsi="仿宋" w:eastAsia="仿宋" w:cs="仿宋"/>
          <w:color w:val="auto"/>
          <w:sz w:val="24"/>
          <w:szCs w:val="28"/>
          <w:highlight w:val="none"/>
          <w:lang w:eastAsia="zh-CN"/>
        </w:rPr>
        <w:t>周建设</w:t>
      </w:r>
    </w:p>
    <w:p>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项目联系方式（询问）：0571-83807101</w:t>
      </w:r>
    </w:p>
    <w:p>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质疑联系人：孔国飞</w:t>
      </w:r>
    </w:p>
    <w:p>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质疑联系方式：0571-83807076</w:t>
      </w:r>
    </w:p>
    <w:p>
      <w:pPr>
        <w:spacing w:line="360" w:lineRule="auto"/>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2.采购代理机构信息</w:t>
      </w:r>
      <w:bookmarkEnd w:id="9"/>
      <w:bookmarkEnd w:id="10"/>
    </w:p>
    <w:p>
      <w:pPr>
        <w:spacing w:line="360" w:lineRule="auto"/>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名 称：浙江国际招投标有限公司</w:t>
      </w:r>
    </w:p>
    <w:p>
      <w:pPr>
        <w:spacing w:line="360" w:lineRule="auto"/>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地址：杭州市文三路90号东部软件园1号楼3楼</w:t>
      </w:r>
    </w:p>
    <w:p>
      <w:pPr>
        <w:spacing w:line="360" w:lineRule="auto"/>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传真：0571-88473430</w:t>
      </w:r>
    </w:p>
    <w:p>
      <w:pPr>
        <w:spacing w:line="360" w:lineRule="auto"/>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项目联系人（询问）：周卉、盛磊敏</w:t>
      </w:r>
    </w:p>
    <w:p>
      <w:pPr>
        <w:spacing w:line="360" w:lineRule="auto"/>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项目联系方式（询问）：0571-81061843,81061824</w:t>
      </w:r>
    </w:p>
    <w:p>
      <w:pPr>
        <w:spacing w:line="360" w:lineRule="auto"/>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质疑联系人：周群峰</w:t>
      </w:r>
    </w:p>
    <w:p>
      <w:pPr>
        <w:spacing w:line="360" w:lineRule="auto"/>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质疑联系方式：0571-81061821</w:t>
      </w:r>
    </w:p>
    <w:p>
      <w:pPr>
        <w:spacing w:line="360" w:lineRule="auto"/>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3.同级政府采购监督管理部门            </w:t>
      </w:r>
    </w:p>
    <w:p>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名称：杭州市萧山区财政局、浙江省政府采购行政裁决服务中心（杭州）</w:t>
      </w:r>
    </w:p>
    <w:p>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地址：杭州市上城区四季青街道新业路市民之家G03办公室（快递仅限ems或顺丰）</w:t>
      </w:r>
    </w:p>
    <w:p>
      <w:pPr>
        <w:shd w:val="clear"/>
        <w:spacing w:line="360" w:lineRule="auto"/>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传真：</w:t>
      </w:r>
      <w:r>
        <w:rPr>
          <w:rFonts w:hint="eastAsia" w:ascii="仿宋" w:hAnsi="仿宋" w:eastAsia="仿宋" w:cs="仿宋"/>
          <w:color w:val="auto"/>
          <w:sz w:val="24"/>
          <w:szCs w:val="28"/>
          <w:highlight w:val="none"/>
          <w:lang w:val="en-US" w:eastAsia="zh-CN"/>
        </w:rPr>
        <w:t>/</w:t>
      </w:r>
    </w:p>
    <w:p>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联 系 人：朱女士、王女士</w:t>
      </w:r>
    </w:p>
    <w:p>
      <w:pPr>
        <w:shd w:val="clea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监督投诉电话：0571-85252453     </w:t>
      </w:r>
    </w:p>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政策咨询电话：0571-82756122（汤先生）</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 xml:space="preserve">CA问题联系电话（人工）：汇信CA 400-888-4636；天谷CA 400-087-8198。     </w:t>
      </w:r>
    </w:p>
    <w:p>
      <w:pPr>
        <w:rPr>
          <w:rFonts w:hint="eastAsia" w:ascii="仿宋" w:hAnsi="仿宋" w:eastAsia="仿宋" w:cs="仿宋"/>
          <w:b/>
          <w:color w:val="auto"/>
          <w:sz w:val="36"/>
          <w:szCs w:val="20"/>
          <w:highlight w:val="none"/>
        </w:rPr>
        <w:sectPr>
          <w:type w:val="continuous"/>
          <w:pgSz w:w="11906" w:h="16838"/>
          <w:pgMar w:top="1440" w:right="1800" w:bottom="1440" w:left="1800" w:header="851" w:footer="992" w:gutter="0"/>
          <w:pgNumType w:fmt="decimal"/>
          <w:cols w:space="0" w:num="1"/>
          <w:rtlGutter w:val="0"/>
          <w:docGrid w:type="lines" w:linePitch="312" w:charSpace="0"/>
        </w:sectPr>
      </w:pPr>
    </w:p>
    <w:p>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6"/>
      <w:r>
        <w:rPr>
          <w:rFonts w:hint="eastAsia" w:ascii="仿宋" w:hAnsi="仿宋" w:eastAsia="仿宋" w:cs="仿宋"/>
          <w:b/>
          <w:color w:val="auto"/>
          <w:sz w:val="36"/>
          <w:szCs w:val="20"/>
          <w:highlight w:val="none"/>
        </w:rPr>
        <w:t xml:space="preserve"> 投标人须知</w:t>
      </w:r>
      <w:bookmarkEnd w:id="7"/>
    </w:p>
    <w:p>
      <w:pP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b/>
                <w:color w:val="auto"/>
                <w:sz w:val="22"/>
                <w:highlight w:val="none"/>
              </w:rPr>
            </w:pPr>
            <w:r>
              <w:rPr>
                <w:rFonts w:hint="eastAsia" w:ascii="仿宋" w:hAnsi="仿宋" w:eastAsia="仿宋" w:cs="仿宋"/>
                <w:b/>
                <w:color w:val="auto"/>
                <w:sz w:val="22"/>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2"/>
                <w:highlight w:val="none"/>
              </w:rPr>
            </w:pPr>
          </w:p>
          <w:p>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2"/>
                <w:highlight w:val="none"/>
              </w:rPr>
            </w:pPr>
          </w:p>
          <w:p>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255"/>
                <w:numId w:val="0"/>
              </w:numPr>
              <w:spacing w:line="360" w:lineRule="auto"/>
              <w:rPr>
                <w:rFonts w:ascii="仿宋" w:hAnsi="仿宋" w:eastAsia="仿宋" w:cs="仿宋"/>
                <w:color w:val="auto"/>
                <w:kern w:val="0"/>
                <w:sz w:val="24"/>
                <w:highlight w:val="none"/>
              </w:rPr>
            </w:pPr>
            <w:r>
              <w:rPr>
                <w:rFonts w:hint="eastAsia"/>
                <w:color w:val="auto"/>
                <w:highlight w:val="none"/>
                <w:lang w:val="en-US" w:eastAsia="zh-CN"/>
              </w:rPr>
              <w:t>标的：</w:t>
            </w:r>
            <w:r>
              <w:rPr>
                <w:rFonts w:hint="eastAsia" w:ascii="仿宋" w:hAnsi="仿宋" w:eastAsia="仿宋" w:cs="仿宋"/>
                <w:color w:val="auto"/>
                <w:sz w:val="24"/>
                <w:highlight w:val="none"/>
                <w:u w:val="single"/>
                <w:lang w:eastAsia="zh-CN"/>
              </w:rPr>
              <w:t>净化系统空调机组更新维护，</w:t>
            </w:r>
            <w:r>
              <w:rPr>
                <w:rFonts w:hint="eastAsia" w:ascii="仿宋" w:hAnsi="仿宋" w:eastAsia="仿宋" w:cs="仿宋"/>
                <w:color w:val="auto"/>
                <w:sz w:val="24"/>
                <w:highlight w:val="none"/>
                <w:u w:val="single"/>
                <w:lang w:val="en-US" w:eastAsia="zh-CN"/>
              </w:rPr>
              <w:t>属于 其他未列明</w:t>
            </w:r>
            <w:r>
              <w:rPr>
                <w:rFonts w:hint="eastAsia" w:ascii="仿宋" w:hAnsi="仿宋" w:eastAsia="仿宋" w:cs="仿宋"/>
                <w:color w:val="auto"/>
                <w:kern w:val="0"/>
                <w:sz w:val="24"/>
                <w:highlight w:val="none"/>
              </w:rPr>
              <w:t>行业；</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行业划分标准：</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《关于印发中小企业划型标准规定的通知》工信部联企业〔2011〕300号</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szCs w:val="22"/>
                <w:highlight w:val="none"/>
                <w:lang w:val="en-US" w:eastAsia="zh-CN"/>
              </w:rPr>
              <w:t>备注：《关于印发中小企业划型标准规定的通知》（工信部联企业〔2011〕300）第（十六）条：</w:t>
            </w:r>
            <w:r>
              <w:rPr>
                <w:rFonts w:hint="eastAsia" w:ascii="仿宋" w:hAnsi="仿宋" w:eastAsia="仿宋" w:cs="仿宋"/>
                <w:color w:val="auto"/>
                <w:kern w:val="0"/>
                <w:sz w:val="24"/>
                <w:highlight w:val="none"/>
              </w:rPr>
              <w:t>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本项目不允许采购进口产品。</w:t>
            </w:r>
          </w:p>
          <w:p>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 )</w:t>
            </w:r>
            <w:r>
              <w:rPr>
                <w:rFonts w:hint="eastAsia" w:ascii="仿宋" w:hAnsi="仿宋" w:eastAsia="仿宋" w:cs="仿宋"/>
                <w:color w:val="auto"/>
                <w:sz w:val="24"/>
                <w:highlight w:val="none"/>
              </w:rPr>
              <w:t>可以就\采购进口产品。</w:t>
            </w:r>
          </w:p>
          <w:p>
            <w:pPr>
              <w:pStyle w:val="3"/>
              <w:rPr>
                <w:rFonts w:ascii="仿宋" w:eastAsia="仿宋" w:cs="仿宋"/>
                <w:color w:val="auto"/>
                <w:sz w:val="24"/>
                <w:szCs w:val="24"/>
                <w:highlight w:val="none"/>
                <w:lang w:val="en-US"/>
              </w:rPr>
            </w:pPr>
            <w:r>
              <w:rPr>
                <w:rFonts w:hint="eastAsia" w:ascii="仿宋" w:eastAsia="仿宋" w:cs="仿宋"/>
                <w:color w:val="auto"/>
                <w:kern w:val="0"/>
                <w:sz w:val="24"/>
                <w:szCs w:val="24"/>
                <w:highlight w:val="none"/>
                <w:lang w:val="en-US"/>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同意将非主体、非关键性工作分包。其中</w:t>
            </w:r>
            <w:r>
              <w:rPr>
                <w:rFonts w:hint="eastAsia" w:ascii="仿宋" w:hAnsi="仿宋" w:eastAsia="仿宋" w:cs="仿宋"/>
                <w:color w:val="auto"/>
                <w:sz w:val="24"/>
                <w:highlight w:val="none"/>
                <w:lang w:val="en-US" w:eastAsia="zh-CN"/>
              </w:rPr>
              <w:t>更新</w:t>
            </w:r>
            <w:r>
              <w:rPr>
                <w:rFonts w:hint="eastAsia" w:ascii="仿宋" w:hAnsi="仿宋" w:eastAsia="仿宋" w:cs="仿宋"/>
                <w:color w:val="auto"/>
                <w:sz w:val="24"/>
                <w:highlight w:val="none"/>
              </w:rPr>
              <w:t>安装部分应由具有安全生产许可证、建筑机电安装专业承包资质的单位承担。</w:t>
            </w:r>
          </w:p>
          <w:p>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eastAsia="zh-CN"/>
              </w:rPr>
              <w:t>本项目</w:t>
            </w:r>
            <w:r>
              <w:rPr>
                <w:rFonts w:hint="eastAsia" w:ascii="仿宋" w:hAnsi="仿宋" w:eastAsia="仿宋" w:cs="仿宋"/>
                <w:color w:val="auto"/>
                <w:sz w:val="24"/>
                <w:highlight w:val="none"/>
              </w:rPr>
              <w:t>不组织</w:t>
            </w:r>
            <w:r>
              <w:rPr>
                <w:rFonts w:hint="eastAsia" w:ascii="仿宋" w:hAnsi="仿宋" w:eastAsia="仿宋" w:cs="仿宋"/>
                <w:color w:val="auto"/>
                <w:sz w:val="24"/>
                <w:highlight w:val="none"/>
                <w:lang w:val="en-US" w:eastAsia="zh-CN"/>
              </w:rPr>
              <w:t>集中现场踏勘，投标人认为需踏勘现场的，可自行前往踏勘</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lang w:eastAsia="zh-CN"/>
              </w:rPr>
              <w:t>杭州市萧山区</w:t>
            </w:r>
            <w:r>
              <w:rPr>
                <w:rFonts w:hint="eastAsia" w:ascii="仿宋" w:hAnsi="仿宋" w:eastAsia="仿宋" w:cs="仿宋"/>
                <w:color w:val="auto"/>
                <w:sz w:val="24"/>
                <w:szCs w:val="28"/>
                <w:highlight w:val="none"/>
                <w:u w:val="single"/>
              </w:rPr>
              <w:t>城厢街道市心南路199号</w:t>
            </w:r>
            <w:r>
              <w:rPr>
                <w:rFonts w:hint="eastAsia" w:ascii="仿宋" w:hAnsi="仿宋" w:eastAsia="仿宋" w:cs="仿宋"/>
                <w:color w:val="auto"/>
                <w:sz w:val="24"/>
                <w:highlight w:val="none"/>
                <w:lang w:eastAsia="zh-CN"/>
              </w:rPr>
              <w:t>。</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w:t>
            </w:r>
            <w:r>
              <w:rPr>
                <w:rFonts w:hint="eastAsia" w:ascii="仿宋" w:hAnsi="仿宋" w:eastAsia="仿宋" w:cs="仿宋"/>
                <w:color w:val="auto"/>
                <w:sz w:val="24"/>
                <w:szCs w:val="28"/>
                <w:highlight w:val="none"/>
                <w:u w:val="single"/>
                <w:lang w:eastAsia="zh-CN"/>
              </w:rPr>
              <w:t>周建设</w:t>
            </w:r>
            <w:r>
              <w:rPr>
                <w:rFonts w:hint="eastAsia" w:ascii="仿宋" w:hAnsi="仿宋" w:eastAsia="仿宋" w:cs="仿宋"/>
                <w:color w:val="auto"/>
                <w:sz w:val="24"/>
                <w:highlight w:val="none"/>
                <w:u w:val="none"/>
              </w:rPr>
              <w:t xml:space="preserve"> </w:t>
            </w:r>
            <w:r>
              <w:rPr>
                <w:rFonts w:hint="eastAsia" w:ascii="仿宋" w:hAnsi="仿宋" w:eastAsia="仿宋" w:cs="仿宋"/>
                <w:color w:val="auto"/>
                <w:sz w:val="24"/>
                <w:highlight w:val="none"/>
                <w:u w:val="none"/>
                <w:lang w:val="en-US" w:eastAsia="zh-CN"/>
              </w:rPr>
              <w:t>联系电话</w:t>
            </w:r>
            <w:r>
              <w:rPr>
                <w:rFonts w:hint="eastAsia" w:ascii="仿宋" w:hAnsi="仿宋" w:eastAsia="仿宋" w:cs="仿宋"/>
                <w:color w:val="auto"/>
                <w:sz w:val="24"/>
                <w:highlight w:val="none"/>
              </w:rPr>
              <w:t>；</w:t>
            </w:r>
            <w:r>
              <w:rPr>
                <w:rFonts w:hint="eastAsia" w:ascii="仿宋" w:hAnsi="仿宋" w:eastAsia="仿宋" w:cs="仿宋"/>
                <w:color w:val="auto"/>
                <w:sz w:val="24"/>
                <w:szCs w:val="28"/>
                <w:highlight w:val="none"/>
              </w:rPr>
              <w:t>0571-83807101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2"/>
                <w:highlight w:val="none"/>
              </w:rPr>
            </w:pPr>
          </w:p>
          <w:p>
            <w:pPr>
              <w:snapToGrid w:val="0"/>
              <w:spacing w:line="360" w:lineRule="auto"/>
              <w:jc w:val="center"/>
              <w:rPr>
                <w:rFonts w:ascii="仿宋" w:hAnsi="仿宋" w:eastAsia="仿宋" w:cs="仿宋"/>
                <w:color w:val="auto"/>
                <w:sz w:val="22"/>
                <w:highlight w:val="none"/>
              </w:rPr>
            </w:pPr>
          </w:p>
          <w:p>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（√）A不要求提供。</w:t>
            </w:r>
          </w:p>
          <w:p>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  ）B要求提供，</w:t>
            </w:r>
          </w:p>
          <w:p>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（1）样品：      ；</w:t>
            </w:r>
          </w:p>
          <w:p>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（2）样品制作的标准和要求：详见采购需求；</w:t>
            </w:r>
          </w:p>
          <w:p>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（3）样品的评审方法以及评审标准：详见评标办法；</w:t>
            </w:r>
          </w:p>
          <w:p>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（4）是否需要随样品提交检测报告：（  ） A否；（ ）B是，检测机构的要求：            ；检测内容：      。</w:t>
            </w:r>
          </w:p>
          <w:p>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（5）提供样品的时间：      ；地点：      ；联系人：      。统一从行政服务中心地下负二层3#电梯进入到4楼，由工作人员引导安放至样品间，样品递交人须提供投标人的授权书（见附件格式，法人代表请携带身份证复件及营业执照复印件）、身份证及健康码绿码，进场时戴好口罩。</w:t>
            </w:r>
          </w:p>
          <w:p>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请投标人在上述时间内提供样品。超过截止时间的，采购人或采购代理机构将不予接收，并将清场并封闭样品现场。</w:t>
            </w:r>
          </w:p>
          <w:p>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（7）制作、运输、安装和保管样品所发生的一切费用由投标人自理。</w:t>
            </w:r>
          </w:p>
          <w:p>
            <w:pPr>
              <w:spacing w:line="360" w:lineRule="auto"/>
              <w:rPr>
                <w:rFonts w:ascii="仿宋" w:hAnsi="仿宋" w:eastAsia="仿宋" w:cs="仿宋"/>
                <w:b/>
                <w:color w:val="auto"/>
                <w:sz w:val="24"/>
                <w:highlight w:val="none"/>
              </w:rPr>
            </w:pPr>
            <w:r>
              <w:rPr>
                <w:rFonts w:hint="eastAsia" w:ascii="仿宋" w:hAnsi="仿宋" w:eastAsia="仿宋" w:cs="仿宋"/>
                <w:bCs/>
                <w:color w:val="auto"/>
                <w:sz w:val="24"/>
                <w:highlight w:val="none"/>
              </w:rPr>
              <w:t>▲招标文件要求提供样品，投标人没有提供样品或样品不全的，投标无效。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8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 ）A不要求。</w:t>
            </w:r>
          </w:p>
          <w:p>
            <w:pPr>
              <w:snapToGrid w:val="0"/>
              <w:spacing w:line="360" w:lineRule="auto"/>
              <w:rPr>
                <w:rFonts w:ascii="仿宋" w:hAnsi="仿宋" w:eastAsia="仿宋" w:cs="仿宋"/>
                <w:b/>
                <w:color w:val="auto"/>
                <w:kern w:val="0"/>
                <w:sz w:val="24"/>
                <w:highlight w:val="none"/>
                <w:lang w:val="zh-CN"/>
              </w:rPr>
            </w:pPr>
            <w:r>
              <w:rPr>
                <w:rFonts w:hint="eastAsia" w:ascii="仿宋" w:hAnsi="仿宋" w:eastAsia="仿宋" w:cs="仿宋"/>
                <w:bCs/>
                <w:color w:val="auto"/>
                <w:sz w:val="24"/>
                <w:highlight w:val="none"/>
              </w:rPr>
              <w:t>（ ）B要求演示。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
                <w:color w:val="auto"/>
                <w:sz w:val="22"/>
                <w:highlight w:val="none"/>
              </w:rPr>
            </w:pPr>
          </w:p>
          <w:p>
            <w:pPr>
              <w:snapToGrid w:val="0"/>
              <w:spacing w:line="360" w:lineRule="auto"/>
              <w:jc w:val="center"/>
              <w:rPr>
                <w:rFonts w:ascii="仿宋" w:hAnsi="仿宋" w:eastAsia="仿宋" w:cs="仿宋"/>
                <w:color w:val="auto"/>
                <w:sz w:val="22"/>
                <w:highlight w:val="none"/>
              </w:rPr>
            </w:pPr>
          </w:p>
          <w:p>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spacing w:line="360" w:lineRule="auto"/>
              <w:rPr>
                <w:rFonts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6"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2"/>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auto"/>
                <w:sz w:val="22"/>
                <w:highlight w:val="none"/>
              </w:rPr>
            </w:pPr>
          </w:p>
          <w:p>
            <w:pPr>
              <w:snapToGrid w:val="0"/>
              <w:spacing w:line="360" w:lineRule="auto"/>
              <w:jc w:val="center"/>
              <w:rPr>
                <w:rFonts w:ascii="仿宋" w:hAnsi="仿宋" w:eastAsia="仿宋" w:cs="仿宋"/>
                <w:color w:val="auto"/>
                <w:sz w:val="22"/>
                <w:highlight w:val="none"/>
              </w:rPr>
            </w:pPr>
          </w:p>
          <w:p>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auto"/>
                <w:sz w:val="22"/>
                <w:highlight w:val="none"/>
              </w:rPr>
            </w:pPr>
          </w:p>
          <w:p>
            <w:pPr>
              <w:snapToGrid w:val="0"/>
              <w:spacing w:line="360" w:lineRule="auto"/>
              <w:jc w:val="center"/>
              <w:rPr>
                <w:rFonts w:ascii="仿宋" w:hAnsi="仿宋" w:eastAsia="仿宋" w:cs="仿宋"/>
                <w:color w:val="auto"/>
                <w:sz w:val="22"/>
                <w:highlight w:val="none"/>
              </w:rPr>
            </w:pPr>
          </w:p>
          <w:p>
            <w:pPr>
              <w:snapToGrid w:val="0"/>
              <w:spacing w:line="360" w:lineRule="auto"/>
              <w:jc w:val="center"/>
              <w:rPr>
                <w:rFonts w:ascii="仿宋" w:hAnsi="仿宋" w:eastAsia="仿宋" w:cs="仿宋"/>
                <w:color w:val="auto"/>
                <w:sz w:val="22"/>
                <w:highlight w:val="none"/>
              </w:rPr>
            </w:pPr>
          </w:p>
          <w:p>
            <w:pPr>
              <w:snapToGrid w:val="0"/>
              <w:spacing w:line="360" w:lineRule="auto"/>
              <w:jc w:val="center"/>
              <w:rPr>
                <w:rFonts w:ascii="仿宋" w:hAnsi="仿宋" w:eastAsia="仿宋" w:cs="仿宋"/>
                <w:color w:val="auto"/>
                <w:sz w:val="22"/>
                <w:highlight w:val="none"/>
              </w:rPr>
            </w:pPr>
          </w:p>
          <w:p>
            <w:pPr>
              <w:snapToGrid w:val="0"/>
              <w:spacing w:line="360" w:lineRule="auto"/>
              <w:jc w:val="center"/>
              <w:rPr>
                <w:rFonts w:ascii="仿宋" w:hAnsi="仿宋" w:eastAsia="仿宋" w:cs="仿宋"/>
                <w:color w:val="auto"/>
                <w:sz w:val="22"/>
                <w:highlight w:val="none"/>
              </w:rPr>
            </w:pPr>
          </w:p>
          <w:p>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有关本项目实施所需的所有费用（含税费）均计入报价。</w:t>
            </w:r>
            <w:r>
              <w:rPr>
                <w:rFonts w:hint="eastAsia" w:ascii="仿宋" w:hAnsi="仿宋" w:eastAsia="仿宋" w:cs="仿宋"/>
                <w:bCs/>
                <w:color w:val="auto"/>
                <w:kern w:val="0"/>
                <w:sz w:val="24"/>
                <w:highlight w:val="none"/>
              </w:rPr>
              <w:t>开标一览表（报价表）是报价的唯一载体</w:t>
            </w:r>
            <w:r>
              <w:rPr>
                <w:rFonts w:hint="eastAsia" w:ascii="仿宋" w:hAnsi="仿宋" w:eastAsia="仿宋" w:cs="仿宋"/>
                <w:bCs/>
                <w:color w:val="auto"/>
                <w:kern w:val="0"/>
                <w:sz w:val="24"/>
                <w:highlight w:val="none"/>
                <w:lang w:val="zh-CN"/>
              </w:rPr>
              <w:t>。</w:t>
            </w:r>
            <w:r>
              <w:rPr>
                <w:rFonts w:hint="eastAsia" w:ascii="仿宋" w:hAnsi="仿宋" w:eastAsia="仿宋" w:cs="仿宋"/>
                <w:b/>
                <w:bCs/>
                <w:color w:val="auto"/>
                <w:kern w:val="0"/>
                <w:sz w:val="24"/>
                <w:highlight w:val="none"/>
                <w:lang w:val="zh-CN"/>
              </w:rPr>
              <w:t>如投标人在政府采购云平台填写的投标报价与投标文件报价文件中开标一览表（报价表）不一致的，以报价文件中开标一览表（报价表）为准。</w:t>
            </w:r>
            <w:r>
              <w:rPr>
                <w:rFonts w:hint="eastAsia" w:ascii="仿宋" w:hAnsi="仿宋" w:eastAsia="仿宋" w:cs="仿宋"/>
                <w:bCs/>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pPr>
              <w:spacing w:line="360" w:lineRule="auto"/>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投标报价出现下列情形的，投标无效：</w:t>
            </w:r>
          </w:p>
          <w:p>
            <w:pPr>
              <w:spacing w:line="360" w:lineRule="auto"/>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w:t>
            </w:r>
            <w:r>
              <w:rPr>
                <w:rFonts w:hint="eastAsia" w:ascii="仿宋" w:hAnsi="仿宋" w:eastAsia="仿宋" w:cs="仿宋"/>
                <w:bCs/>
                <w:color w:val="auto"/>
                <w:kern w:val="0"/>
                <w:sz w:val="24"/>
                <w:highlight w:val="none"/>
              </w:rPr>
              <w:t>1</w:t>
            </w:r>
            <w:r>
              <w:rPr>
                <w:rFonts w:hint="eastAsia" w:ascii="仿宋" w:hAnsi="仿宋" w:eastAsia="仿宋" w:cs="仿宋"/>
                <w:bCs/>
                <w:color w:val="auto"/>
                <w:kern w:val="0"/>
                <w:sz w:val="24"/>
                <w:highlight w:val="none"/>
                <w:lang w:val="zh-CN"/>
              </w:rPr>
              <w:t>）投标文件出现不是唯一的、有选择性投标报价的；</w:t>
            </w:r>
          </w:p>
          <w:p>
            <w:pPr>
              <w:spacing w:line="360" w:lineRule="auto"/>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w:t>
            </w:r>
            <w:r>
              <w:rPr>
                <w:rFonts w:hint="eastAsia" w:ascii="仿宋" w:hAnsi="仿宋" w:eastAsia="仿宋" w:cs="仿宋"/>
                <w:bCs/>
                <w:color w:val="auto"/>
                <w:kern w:val="0"/>
                <w:sz w:val="24"/>
                <w:highlight w:val="none"/>
              </w:rPr>
              <w:t>2</w:t>
            </w:r>
            <w:r>
              <w:rPr>
                <w:rFonts w:hint="eastAsia" w:ascii="仿宋" w:hAnsi="仿宋" w:eastAsia="仿宋" w:cs="仿宋"/>
                <w:bCs/>
                <w:color w:val="auto"/>
                <w:kern w:val="0"/>
                <w:sz w:val="24"/>
                <w:highlight w:val="none"/>
                <w:lang w:val="zh-CN"/>
              </w:rPr>
              <w:t>）投标报价超过招标文件中规定的预算金额或者最高限价的;</w:t>
            </w:r>
          </w:p>
          <w:p>
            <w:pPr>
              <w:spacing w:line="360" w:lineRule="auto"/>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（3）报价明显低于其他通过符合性审查投标人的报价，有可能影响产品质量或者不能诚信履约的，未能按要求提供书面说明或者提交相关证明材料证明其报价合理性的;</w:t>
            </w:r>
          </w:p>
          <w:p>
            <w:pPr>
              <w:spacing w:line="360" w:lineRule="auto"/>
              <w:rPr>
                <w:rFonts w:ascii="仿宋" w:hAnsi="仿宋" w:eastAsia="仿宋" w:cs="仿宋"/>
                <w:color w:val="auto"/>
                <w:sz w:val="24"/>
                <w:highlight w:val="none"/>
              </w:rPr>
            </w:pPr>
            <w:r>
              <w:rPr>
                <w:rFonts w:hint="eastAsia" w:ascii="仿宋" w:hAnsi="仿宋" w:eastAsia="仿宋" w:cs="仿宋"/>
                <w:bCs/>
                <w:color w:val="auto"/>
                <w:kern w:val="0"/>
                <w:sz w:val="24"/>
                <w:highlight w:val="none"/>
              </w:rPr>
              <w:t>（4）投标人对根据修正原则修正后的报价不确认的。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
                <w:color w:val="auto"/>
                <w:sz w:val="22"/>
                <w:highlight w:val="none"/>
              </w:rPr>
            </w:pPr>
          </w:p>
          <w:p>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本项目支持《杭州市萧山区政府采购支持中小企业信用融资暂行办法》。</w:t>
            </w:r>
          </w:p>
          <w:p>
            <w:pPr>
              <w:spacing w:line="360" w:lineRule="auto"/>
              <w:ind w:firstLine="480" w:firstLineChars="200"/>
              <w:jc w:val="lef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有融资需求的中标供应商可参照相关规定及银行方案凭政府采购合同向相关合作银行提出信用融资（贷款）申请。详见</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备份文件是否收取：可提交备份</w:t>
            </w:r>
          </w:p>
          <w:p>
            <w:pPr>
              <w:pStyle w:val="33"/>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szCs w:val="24"/>
                <w:highlight w:val="none"/>
                <w:u w:val="single"/>
              </w:rPr>
              <w:t>杭州市文三路90号东部软件园1号楼305</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szCs w:val="24"/>
                <w:highlight w:val="none"/>
                <w:u w:val="single"/>
              </w:rPr>
              <w:t>盛磊敏0571-81061824</w:t>
            </w:r>
            <w:r>
              <w:rPr>
                <w:rFonts w:hint="eastAsia" w:ascii="仿宋" w:hAnsi="仿宋" w:eastAsia="仿宋" w:cs="仿宋"/>
                <w:color w:val="auto"/>
                <w:sz w:val="24"/>
                <w:szCs w:val="24"/>
                <w:highlight w:val="none"/>
              </w:rPr>
              <w:t>。</w:t>
            </w:r>
          </w:p>
          <w:p>
            <w:pPr>
              <w:pStyle w:val="33"/>
              <w:spacing w:line="360" w:lineRule="auto"/>
              <w:ind w:hanging="4"/>
              <w:rPr>
                <w:rFonts w:ascii="仿宋" w:hAnsi="仿宋" w:eastAsia="仿宋" w:cs="仿宋"/>
                <w:color w:val="auto"/>
                <w:kern w:val="28"/>
                <w:sz w:val="24"/>
                <w:szCs w:val="24"/>
                <w:highlight w:val="none"/>
              </w:rPr>
            </w:pPr>
            <w:r>
              <w:rPr>
                <w:rFonts w:hint="eastAsia" w:ascii="仿宋" w:hAnsi="仿宋" w:eastAsia="仿宋" w:cs="仿宋"/>
                <w:b/>
                <w:color w:val="auto"/>
                <w:sz w:val="24"/>
                <w:szCs w:val="24"/>
                <w:highlight w:val="none"/>
              </w:rPr>
              <w:t>采购人、采购代理机构不强制或变相强制投标人提交备份文件。提交的备份文件格式无效（.bfbs格式）或其他因投标人自身制作不当导致的无法使用的情况由投标人自行负责。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采购代理机构代理费用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2"/>
              </w:numPr>
              <w:snapToGrid w:val="0"/>
              <w:spacing w:line="32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本项目的采购代理费由中标供应商支付；</w:t>
            </w:r>
          </w:p>
          <w:p>
            <w:pPr>
              <w:numPr>
                <w:ilvl w:val="255"/>
                <w:numId w:val="0"/>
              </w:numPr>
              <w:snapToGrid w:val="0"/>
              <w:spacing w:line="320" w:lineRule="exact"/>
              <w:rPr>
                <w:rFonts w:ascii="仿宋" w:hAnsi="仿宋" w:eastAsia="仿宋" w:cs="仿宋"/>
                <w:snapToGrid w:val="0"/>
                <w:color w:val="auto"/>
                <w:kern w:val="28"/>
                <w:sz w:val="24"/>
                <w:highlight w:val="none"/>
              </w:rPr>
            </w:pPr>
            <w:r>
              <w:rPr>
                <w:rFonts w:hint="eastAsia" w:ascii="仿宋" w:hAnsi="仿宋" w:eastAsia="仿宋" w:cs="仿宋"/>
                <w:color w:val="auto"/>
                <w:sz w:val="24"/>
                <w:szCs w:val="24"/>
                <w:highlight w:val="none"/>
              </w:rPr>
              <w:t>本项目的采购代理服务费由收费标准按国家发展改革委办公厅（发改办价格[2003]857号）文件规定的收费标准</w:t>
            </w:r>
            <w:r>
              <w:rPr>
                <w:rFonts w:hint="eastAsia" w:ascii="仿宋" w:hAnsi="仿宋" w:eastAsia="仿宋" w:cs="仿宋"/>
                <w:color w:val="auto"/>
                <w:sz w:val="24"/>
                <w:szCs w:val="24"/>
                <w:highlight w:val="none"/>
                <w:lang w:val="en-US" w:eastAsia="zh-CN"/>
              </w:rPr>
              <w:t>的75%收取</w:t>
            </w:r>
            <w:r>
              <w:rPr>
                <w:rFonts w:hint="eastAsia" w:ascii="仿宋" w:hAnsi="仿宋" w:eastAsia="仿宋" w:cs="仿宋"/>
                <w:color w:val="auto"/>
                <w:sz w:val="24"/>
                <w:highlight w:val="none"/>
              </w:rPr>
              <w:t>。由中标人在领取中标通知书时一次性向采购代理机构付清</w:t>
            </w:r>
            <w:r>
              <w:rPr>
                <w:rFonts w:hint="eastAsia" w:ascii="仿宋" w:hAnsi="仿宋" w:eastAsia="仿宋" w:cs="仿宋"/>
                <w:snapToGrid w:val="0"/>
                <w:color w:val="auto"/>
                <w:kern w:val="28"/>
                <w:sz w:val="24"/>
                <w:highlight w:val="none"/>
              </w:rPr>
              <w:t>。</w:t>
            </w:r>
          </w:p>
          <w:p>
            <w:pPr>
              <w:numPr>
                <w:ilvl w:val="255"/>
                <w:numId w:val="0"/>
              </w:numPr>
              <w:snapToGrid w:val="0"/>
              <w:spacing w:line="32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中标结果公告发出后，中标供应商可按中标结果公告上的服务费金额缴纳至如下账号：</w:t>
            </w:r>
          </w:p>
          <w:p>
            <w:pPr>
              <w:snapToGrid w:val="0"/>
              <w:spacing w:line="32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（1）收 款 人：浙江国际招标标有限公司</w:t>
            </w:r>
          </w:p>
          <w:p>
            <w:pPr>
              <w:snapToGrid w:val="0"/>
              <w:spacing w:line="32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（2）开户银行：中国工商银行杭州武林支行</w:t>
            </w:r>
          </w:p>
          <w:p>
            <w:pPr>
              <w:pStyle w:val="33"/>
              <w:spacing w:line="360" w:lineRule="auto"/>
              <w:ind w:hanging="4"/>
              <w:rPr>
                <w:rFonts w:ascii="仿宋" w:hAnsi="仿宋" w:eastAsia="仿宋" w:cs="仿宋"/>
                <w:b/>
                <w:color w:val="auto"/>
                <w:sz w:val="24"/>
                <w:szCs w:val="24"/>
                <w:highlight w:val="none"/>
              </w:rPr>
            </w:pPr>
            <w:r>
              <w:rPr>
                <w:rFonts w:hint="eastAsia" w:ascii="仿宋" w:hAnsi="仿宋" w:eastAsia="仿宋" w:cs="仿宋"/>
                <w:color w:val="auto"/>
                <w:kern w:val="28"/>
                <w:sz w:val="24"/>
                <w:szCs w:val="24"/>
                <w:highlight w:val="none"/>
              </w:rPr>
              <w:t>（3）账    号：1202 0212 0990 6782 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14</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联合体投标说明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业绩证明材料</w:t>
            </w:r>
          </w:p>
          <w:p>
            <w:pPr>
              <w:pStyle w:val="33"/>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rPr>
              <w:t>联合体投标的，按联合体协议约定的分工内容出具相应的业绩证明材料。承担相同工作的各方或工作内容存在部分相同的，业绩数量以提供材料较少的一方为准。</w:t>
            </w:r>
          </w:p>
          <w:p>
            <w:pPr>
              <w:pStyle w:val="33"/>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bCs/>
                <w:color w:val="auto"/>
                <w:sz w:val="24"/>
                <w:highlight w:val="none"/>
              </w:rPr>
              <w:t>（ ）</w:t>
            </w:r>
            <w:r>
              <w:rPr>
                <w:rFonts w:hint="eastAsia" w:ascii="仿宋" w:hAnsi="仿宋" w:eastAsia="仿宋" w:cs="仿宋"/>
                <w:color w:val="auto"/>
                <w:kern w:val="28"/>
                <w:sz w:val="24"/>
                <w:szCs w:val="24"/>
                <w:highlight w:val="none"/>
              </w:rPr>
              <w:t>联合体投标的，由联合体牵头方出具相应的业绩证明材料。</w:t>
            </w:r>
          </w:p>
          <w:p>
            <w:pPr>
              <w:pStyle w:val="33"/>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bCs/>
                <w:color w:val="auto"/>
                <w:sz w:val="24"/>
                <w:highlight w:val="none"/>
              </w:rPr>
              <w:t>（ ）</w:t>
            </w:r>
            <w:r>
              <w:rPr>
                <w:rFonts w:hint="eastAsia" w:ascii="仿宋" w:hAnsi="仿宋" w:eastAsia="仿宋" w:cs="仿宋"/>
                <w:color w:val="auto"/>
                <w:kern w:val="28"/>
                <w:sz w:val="24"/>
                <w:szCs w:val="24"/>
                <w:highlight w:val="none"/>
              </w:rPr>
              <w:t>其他规定：</w:t>
            </w:r>
            <w:r>
              <w:rPr>
                <w:rFonts w:hint="eastAsia" w:ascii="仿宋" w:hAnsi="仿宋" w:eastAsia="仿宋" w:cs="仿宋"/>
                <w:color w:val="auto"/>
                <w:kern w:val="28"/>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auto"/>
                <w:sz w:val="22"/>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其他资信证明材料</w:t>
            </w:r>
          </w:p>
          <w:p>
            <w:pPr>
              <w:pStyle w:val="33"/>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rPr>
              <w:t>联合体投标的，联合体各方均需按招标文件第四部分评标标准要求提供资信证明文件，否则视为不符合相关要求。</w:t>
            </w:r>
          </w:p>
          <w:p>
            <w:pPr>
              <w:pStyle w:val="33"/>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bCs/>
                <w:color w:val="auto"/>
                <w:sz w:val="24"/>
                <w:highlight w:val="none"/>
              </w:rPr>
              <w:t>（ ）</w:t>
            </w:r>
            <w:r>
              <w:rPr>
                <w:rFonts w:hint="eastAsia" w:ascii="仿宋" w:hAnsi="仿宋" w:eastAsia="仿宋" w:cs="仿宋"/>
                <w:color w:val="auto"/>
                <w:kern w:val="28"/>
                <w:sz w:val="24"/>
                <w:szCs w:val="24"/>
                <w:highlight w:val="none"/>
              </w:rPr>
              <w:t>联合体投标的，联合体牵头方或者联合体成员根据分工按招标文件第四部分评标标准要求提供资信证明文件的，视为符合了相关要求。</w:t>
            </w:r>
          </w:p>
          <w:p>
            <w:pPr>
              <w:pStyle w:val="33"/>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bCs/>
                <w:color w:val="auto"/>
                <w:sz w:val="24"/>
                <w:highlight w:val="none"/>
              </w:rPr>
              <w:t>（ ）</w:t>
            </w:r>
            <w:r>
              <w:rPr>
                <w:rFonts w:hint="eastAsia" w:ascii="仿宋" w:hAnsi="仿宋" w:eastAsia="仿宋" w:cs="仿宋"/>
                <w:color w:val="auto"/>
                <w:kern w:val="28"/>
                <w:sz w:val="24"/>
                <w:szCs w:val="24"/>
                <w:highlight w:val="none"/>
              </w:rPr>
              <w:t>其他规定：</w:t>
            </w:r>
            <w:r>
              <w:rPr>
                <w:rFonts w:hint="eastAsia" w:ascii="仿宋" w:hAnsi="仿宋" w:eastAsia="仿宋" w:cs="仿宋"/>
                <w:color w:val="auto"/>
                <w:kern w:val="28"/>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b/>
                <w:color w:val="auto"/>
                <w:sz w:val="22"/>
                <w:highlight w:val="none"/>
              </w:rPr>
            </w:pPr>
            <w:r>
              <w:rPr>
                <w:rFonts w:hint="eastAsia" w:ascii="仿宋" w:hAnsi="仿宋" w:eastAsia="仿宋" w:cs="仿宋"/>
                <w:bCs/>
                <w:color w:val="auto"/>
                <w:sz w:val="22"/>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ind w:hanging="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履约保证金：不收取。</w:t>
            </w:r>
          </w:p>
          <w:p>
            <w:pPr>
              <w:pStyle w:val="15"/>
              <w:spacing w:line="36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bCs/>
                <w:color w:val="auto"/>
                <w:sz w:val="22"/>
                <w:highlight w:val="none"/>
              </w:rPr>
            </w:pPr>
            <w:r>
              <w:rPr>
                <w:rFonts w:hint="eastAsia" w:ascii="仿宋" w:hAnsi="仿宋" w:eastAsia="仿宋" w:cs="仿宋"/>
                <w:bCs/>
                <w:color w:val="auto"/>
                <w:sz w:val="22"/>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ind w:hanging="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本项目由采购代理机构进行资格</w:t>
            </w:r>
            <w:r>
              <w:rPr>
                <w:rFonts w:hint="eastAsia" w:ascii="仿宋" w:hAnsi="仿宋" w:eastAsia="仿宋" w:cs="仿宋"/>
                <w:color w:val="auto"/>
                <w:sz w:val="24"/>
                <w:szCs w:val="24"/>
                <w:highlight w:val="none"/>
                <w:lang w:val="en-US" w:eastAsia="zh-CN"/>
              </w:rPr>
              <w:t>审查</w:t>
            </w:r>
            <w:r>
              <w:rPr>
                <w:rFonts w:hint="eastAsia" w:ascii="仿宋" w:hAnsi="仿宋" w:eastAsia="仿宋" w:cs="仿宋"/>
                <w:color w:val="auto"/>
                <w:sz w:val="24"/>
                <w:szCs w:val="24"/>
                <w:highlight w:val="none"/>
              </w:rPr>
              <w:t>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bCs/>
                <w:color w:val="auto"/>
                <w:sz w:val="22"/>
                <w:highlight w:val="none"/>
              </w:rPr>
            </w:pPr>
            <w:r>
              <w:rPr>
                <w:rFonts w:hint="eastAsia" w:ascii="仿宋" w:hAnsi="仿宋" w:eastAsia="仿宋" w:cs="仿宋"/>
                <w:bCs/>
                <w:color w:val="auto"/>
                <w:sz w:val="22"/>
                <w:highlight w:val="none"/>
              </w:rPr>
              <w:t>17</w:t>
            </w:r>
          </w:p>
        </w:tc>
        <w:tc>
          <w:tcPr>
            <w:tcW w:w="1843"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b/>
                <w:color w:val="auto"/>
                <w:sz w:val="22"/>
                <w:highlight w:val="none"/>
              </w:rPr>
            </w:pPr>
            <w:r>
              <w:rPr>
                <w:rFonts w:hint="eastAsia" w:ascii="仿宋" w:hAnsi="仿宋" w:eastAsia="仿宋" w:cs="仿宋"/>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p>
          <w:p>
            <w:pPr>
              <w:rPr>
                <w:rFonts w:ascii="仿宋" w:hAnsi="仿宋" w:eastAsia="仿宋" w:cs="仿宋"/>
                <w:color w:val="auto"/>
                <w:sz w:val="22"/>
                <w:highlight w:val="none"/>
              </w:rPr>
            </w:pPr>
            <w:r>
              <w:rPr>
                <w:rFonts w:hint="eastAsia" w:ascii="仿宋" w:hAnsi="仿宋" w:eastAsia="仿宋" w:cs="仿宋"/>
                <w:snapToGrid w:val="0"/>
                <w:color w:val="auto"/>
                <w:sz w:val="24"/>
                <w:highlight w:val="none"/>
              </w:rPr>
              <w:t>联系电话: 0571-83587785/0571-82816012  联系地址: 萧山区通惠北路2-1号302室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bCs/>
                <w:color w:val="auto"/>
                <w:sz w:val="22"/>
                <w:highlight w:val="none"/>
              </w:rPr>
            </w:pPr>
            <w:r>
              <w:rPr>
                <w:rFonts w:hint="eastAsia" w:ascii="仿宋" w:hAnsi="仿宋" w:eastAsia="仿宋" w:cs="仿宋"/>
                <w:bCs/>
                <w:color w:val="auto"/>
                <w:sz w:val="22"/>
                <w:highlight w:val="none"/>
              </w:rPr>
              <w:t>18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采购人、采购代理机构质疑接收人、联系方式：详见采购公告</w:t>
            </w:r>
          </w:p>
          <w:p>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线上提交质疑方式：</w:t>
            </w:r>
          </w:p>
          <w:p>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政采云线上质疑路径：项目采购-询问质疑投诉-质疑列表。请使用ca签章在每一页质疑文件中加盖电子公章，上传完整附件。</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本项目涉及资格条件、采购需求、评分办法及采购过程中有关现场考察或开标前答疑会等事项由采购人进行答复。</w:t>
            </w:r>
          </w:p>
          <w:p>
            <w:pPr>
              <w:pStyle w:val="33"/>
              <w:spacing w:line="360" w:lineRule="auto"/>
              <w:ind w:hanging="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涉及流程规范性、组织程序等相关事项，由采购代理机构进行答复。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2" w:firstLineChars="20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本项目通用总则条款与前附表等专用特别规定有冲突之处，以专用条款（特别规定）为准</w:t>
            </w:r>
          </w:p>
        </w:tc>
      </w:tr>
      <w:bookmarkEnd w:id="8"/>
    </w:tbl>
    <w:p>
      <w:pPr>
        <w:rPr>
          <w:rFonts w:ascii="仿宋" w:hAnsi="仿宋" w:eastAsia="仿宋" w:cs="仿宋"/>
          <w:b/>
          <w:color w:val="auto"/>
          <w:sz w:val="32"/>
          <w:szCs w:val="20"/>
          <w:highlight w:val="none"/>
        </w:rPr>
      </w:pPr>
      <w:bookmarkStart w:id="11" w:name="_Toc164416483"/>
      <w:bookmarkStart w:id="12" w:name="第三部分"/>
      <w:r>
        <w:rPr>
          <w:rFonts w:hint="eastAsia" w:ascii="仿宋" w:hAnsi="仿宋" w:eastAsia="仿宋" w:cs="仿宋"/>
          <w:b/>
          <w:color w:val="auto"/>
          <w:sz w:val="32"/>
          <w:szCs w:val="20"/>
          <w:highlight w:val="none"/>
        </w:rPr>
        <w:br w:type="page"/>
      </w:r>
    </w:p>
    <w:p>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snapToGrid w:val="0"/>
        <w:spacing w:line="360" w:lineRule="auto"/>
        <w:ind w:firstLine="361" w:firstLineChars="15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“投标人”系指响应招标、参加投标竞争的法人、其他组织或者自然人。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 系指适用本项目的要求，“（  ）”系指不适用本项目的要求。“</w:t>
      </w:r>
      <w:r>
        <w:rPr>
          <w:rFonts w:hint="eastAsia" w:ascii="仿宋" w:hAnsi="仿宋" w:eastAsia="仿宋" w:cs="仿宋"/>
          <w:color w:val="auto"/>
          <w:szCs w:val="21"/>
          <w:highlight w:val="none"/>
        </w:rPr>
        <w:t>△</w:t>
      </w:r>
      <w:r>
        <w:rPr>
          <w:rFonts w:hint="eastAsia" w:ascii="仿宋" w:hAnsi="仿宋" w:eastAsia="仿宋" w:cs="仿宋"/>
          <w:color w:val="auto"/>
          <w:sz w:val="24"/>
          <w:highlight w:val="none"/>
        </w:rPr>
        <w:t>”系指主要技术条款。</w:t>
      </w:r>
    </w:p>
    <w:p>
      <w:pPr>
        <w:spacing w:line="360" w:lineRule="auto"/>
        <w:ind w:firstLine="241" w:firstLineChars="100"/>
        <w:rPr>
          <w:rFonts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在政府采购活动中，投标人提供的服务符合下列情形的，享受中小企业扶持政策：</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三年内，以及产品核心技术高于国内领先水平，并具有明晰自主知识产权的“制造精品”产品，自认定之日起三年内视同已具备相应销售业绩，参加政府采购活动时业绩分值为满分。</w:t>
      </w:r>
    </w:p>
    <w:p>
      <w:pPr>
        <w:numPr>
          <w:ilvl w:val="255"/>
          <w:numId w:val="0"/>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3.5 平等对待内外资企业和符合条件的破产重整企业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pPr>
        <w:numPr>
          <w:ilvl w:val="255"/>
          <w:numId w:val="0"/>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color w:val="auto"/>
          <w:kern w:val="0"/>
          <w:sz w:val="24"/>
          <w:highlight w:val="none"/>
          <w:lang w:val="zh-CN"/>
        </w:rPr>
        <w:t>4.1</w:t>
      </w:r>
      <w:r>
        <w:rPr>
          <w:rFonts w:hint="eastAsia" w:ascii="仿宋" w:hAnsi="仿宋" w:eastAsia="仿宋" w:cs="仿宋"/>
          <w:bCs/>
          <w:color w:val="auto"/>
          <w:sz w:val="24"/>
          <w:highlight w:val="none"/>
          <w:lang w:val="zh-CN"/>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4.2 </w:t>
      </w:r>
      <w:r>
        <w:rPr>
          <w:rFonts w:hint="eastAsia" w:ascii="仿宋" w:hAnsi="仿宋" w:eastAsia="仿宋" w:cs="仿宋"/>
          <w:color w:val="auto"/>
          <w:kern w:val="0"/>
          <w:sz w:val="24"/>
          <w:highlight w:val="none"/>
          <w:lang w:val="zh-CN"/>
        </w:rPr>
        <w:t>供应商询问</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 xml:space="preserve">3 </w:t>
      </w:r>
      <w:r>
        <w:rPr>
          <w:rFonts w:hint="eastAsia" w:ascii="仿宋" w:hAnsi="仿宋" w:eastAsia="仿宋" w:cs="仿宋"/>
          <w:color w:val="auto"/>
          <w:kern w:val="0"/>
          <w:sz w:val="24"/>
          <w:highlight w:val="none"/>
          <w:lang w:val="zh-CN"/>
        </w:rPr>
        <w:t>供应商质疑</w:t>
      </w:r>
    </w:p>
    <w:p>
      <w:pPr>
        <w:pStyle w:val="33"/>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5"/>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pPr>
        <w:pStyle w:val="33"/>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4.3.2.2对采购过程提出质疑的，质疑期限为各采购程序环节结束之日起计算。对同一采购程序环节的质疑，供应商须一次性提出。</w:t>
      </w:r>
    </w:p>
    <w:p>
      <w:pPr>
        <w:pStyle w:val="33"/>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4.3.2.3对采购结果提出质疑的，质疑期限自采购结果公告期限届满之日起计算。</w:t>
      </w:r>
    </w:p>
    <w:p>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供应商提出质疑应当提交质疑函和必要的证明材料。质疑函应当包括下列内容：</w:t>
      </w:r>
    </w:p>
    <w:p>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.3.1供应商的姓名或者名称、地址、邮编、联系人及联系电话；</w:t>
      </w:r>
    </w:p>
    <w:p>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.3.2质疑项目的名称、编号；</w:t>
      </w:r>
    </w:p>
    <w:p>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.3.3具体、明确的质疑事项和与质疑事项相关的请求；</w:t>
      </w:r>
    </w:p>
    <w:p>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.3.4事实依据；</w:t>
      </w:r>
    </w:p>
    <w:p>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.3.5必要的法律依据；</w:t>
      </w:r>
    </w:p>
    <w:p>
      <w:pPr>
        <w:pStyle w:val="33"/>
        <w:spacing w:line="360" w:lineRule="auto"/>
        <w:ind w:firstLine="960" w:firstLineChars="4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.3.6提出质疑的日期。</w:t>
      </w:r>
    </w:p>
    <w:p>
      <w:pPr>
        <w:pStyle w:val="890"/>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890"/>
        <w:numPr>
          <w:ilvl w:val="255"/>
          <w:numId w:val="0"/>
        </w:numPr>
        <w:shd w:val="clear" w:color="auto" w:fill="FFFFFF"/>
        <w:snapToGrid w:val="0"/>
        <w:spacing w:after="240" w:line="360" w:lineRule="auto"/>
        <w:ind w:firstLine="420" w:firstLineChars="175"/>
        <w:contextualSpacing/>
        <w:outlineLvl w:val="2"/>
        <w:rPr>
          <w:rFonts w:ascii="仿宋" w:hAnsi="仿宋" w:eastAsia="仿宋" w:cs="仿宋"/>
          <w:bCs/>
          <w:color w:val="auto"/>
          <w:highlight w:val="none"/>
          <w:lang w:val="zh-CN"/>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3.4</w:t>
      </w:r>
      <w:r>
        <w:rPr>
          <w:rFonts w:hint="eastAsia" w:ascii="仿宋" w:hAnsi="仿宋" w:eastAsia="仿宋" w:cs="仿宋"/>
          <w:bCs/>
          <w:color w:val="auto"/>
          <w:highlight w:val="none"/>
          <w:lang w:val="zh-CN"/>
        </w:rPr>
        <w:t>对同一采购程序环节的质疑，供应商须在法定质疑期内一次性提出。</w:t>
      </w:r>
    </w:p>
    <w:p>
      <w:pPr>
        <w:pStyle w:val="890"/>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4.3.5 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90"/>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3.6询问或者质疑事项可能影响采购结果的，采购人应当暂停签订合同，已经签订合同的，应当中止履行合同。</w:t>
      </w:r>
    </w:p>
    <w:p>
      <w:pPr>
        <w:pStyle w:val="890"/>
        <w:shd w:val="clear" w:color="auto" w:fill="FFFFFF"/>
        <w:snapToGrid w:val="0"/>
        <w:spacing w:after="240" w:afterAutospacing="0" w:line="360" w:lineRule="auto"/>
        <w:ind w:firstLine="480" w:firstLineChars="200"/>
        <w:contextualSpacing/>
        <w:rPr>
          <w:rFonts w:ascii="仿宋" w:hAnsi="仿宋" w:eastAsia="仿宋" w:cs="仿宋"/>
          <w:color w:val="auto"/>
          <w:highlight w:val="none"/>
          <w:lang w:val="zh-CN"/>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 xml:space="preserve">4 </w:t>
      </w:r>
      <w:r>
        <w:rPr>
          <w:rFonts w:hint="eastAsia" w:ascii="仿宋" w:hAnsi="仿宋" w:eastAsia="仿宋" w:cs="仿宋"/>
          <w:color w:val="auto"/>
          <w:highlight w:val="none"/>
          <w:lang w:val="zh-CN"/>
        </w:rPr>
        <w:t>供应商投诉</w:t>
      </w:r>
    </w:p>
    <w:p>
      <w:pPr>
        <w:pStyle w:val="890"/>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90"/>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890"/>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pPr>
        <w:pStyle w:val="890"/>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4.4.4 以联合体形式参加政府采购活动的，其投诉应当由组成联合体的所有供应商共同提出。</w:t>
      </w:r>
    </w:p>
    <w:p>
      <w:pPr>
        <w:pStyle w:val="890"/>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140"/>
        <w:snapToGrid w:val="0"/>
        <w:spacing w:before="0"/>
        <w:ind w:firstLine="360"/>
        <w:rPr>
          <w:rFonts w:ascii="仿宋" w:hAnsi="仿宋" w:eastAsia="仿宋" w:cs="仿宋"/>
          <w:color w:val="auto"/>
          <w:sz w:val="18"/>
          <w:szCs w:val="18"/>
          <w:highlight w:val="none"/>
        </w:rPr>
      </w:pPr>
    </w:p>
    <w:p>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14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pPr>
        <w:pStyle w:val="14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15"/>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hd w:val="clear"/>
        <w:snapToGrid w:val="0"/>
        <w:spacing w:line="360" w:lineRule="auto"/>
        <w:ind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11.1.1符合参与政府采购活动资格条件的承诺函</w:t>
      </w:r>
      <w:r>
        <w:rPr>
          <w:rFonts w:hint="eastAsia" w:ascii="仿宋" w:hAnsi="仿宋" w:eastAsia="仿宋" w:cs="仿宋"/>
          <w:color w:val="auto"/>
          <w:sz w:val="24"/>
          <w:highlight w:val="none"/>
          <w:lang w:eastAsia="zh-CN"/>
        </w:rPr>
        <w:t>；</w:t>
      </w:r>
    </w:p>
    <w:p>
      <w:pPr>
        <w:shd w:val="clear"/>
        <w:snapToGrid w:val="0"/>
        <w:spacing w:line="360" w:lineRule="auto"/>
        <w:ind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11.1.2联合协议（如果有）</w:t>
      </w:r>
      <w:r>
        <w:rPr>
          <w:rFonts w:hint="eastAsia" w:ascii="仿宋" w:hAnsi="仿宋" w:eastAsia="仿宋" w:cs="仿宋"/>
          <w:color w:val="auto"/>
          <w:sz w:val="24"/>
          <w:highlight w:val="none"/>
          <w:lang w:eastAsia="zh-CN"/>
        </w:rPr>
        <w:t>；</w:t>
      </w:r>
    </w:p>
    <w:p>
      <w:pPr>
        <w:shd w:val="clear"/>
        <w:snapToGrid w:val="0"/>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11.1.3 </w:t>
      </w:r>
      <w:r>
        <w:rPr>
          <w:rFonts w:hint="eastAsia" w:ascii="仿宋" w:hAnsi="仿宋" w:eastAsia="仿宋" w:cs="仿宋"/>
          <w:color w:val="auto"/>
          <w:sz w:val="24"/>
          <w:highlight w:val="none"/>
        </w:rPr>
        <w:t>落实政府采购政策需满足的资格要求</w:t>
      </w:r>
      <w:r>
        <w:rPr>
          <w:rFonts w:hint="eastAsia" w:ascii="仿宋" w:hAnsi="仿宋" w:eastAsia="仿宋" w:cs="仿宋"/>
          <w:color w:val="auto"/>
          <w:sz w:val="24"/>
          <w:highlight w:val="none"/>
          <w:lang w:val="en-US" w:eastAsia="zh-CN"/>
        </w:rPr>
        <w:t>：提供中小企业声明函；</w:t>
      </w:r>
    </w:p>
    <w:p>
      <w:pPr>
        <w:snapToGrid w:val="0"/>
        <w:spacing w:line="360" w:lineRule="auto"/>
        <w:ind w:firstLine="420" w:firstLineChars="175"/>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lang w:val="en-US" w:eastAsia="zh-CN"/>
        </w:rPr>
        <w:t>11.1.4</w:t>
      </w:r>
      <w:r>
        <w:rPr>
          <w:rFonts w:hint="eastAsia" w:ascii="仿宋" w:hAnsi="仿宋" w:eastAsia="仿宋" w:cs="仿宋"/>
          <w:color w:val="auto"/>
          <w:sz w:val="24"/>
          <w:szCs w:val="24"/>
          <w:highlight w:val="none"/>
        </w:rPr>
        <w:t>联合协议（如有）</w:t>
      </w:r>
      <w:r>
        <w:rPr>
          <w:rFonts w:hint="eastAsia" w:ascii="仿宋" w:hAnsi="仿宋" w:eastAsia="仿宋" w:cs="仿宋"/>
          <w:color w:val="auto"/>
          <w:sz w:val="24"/>
          <w:szCs w:val="24"/>
          <w:highlight w:val="none"/>
          <w:lang w:eastAsia="zh-CN"/>
        </w:rPr>
        <w:t>；</w:t>
      </w:r>
    </w:p>
    <w:p>
      <w:pPr>
        <w:shd w:val="clear"/>
        <w:snapToGrid w:val="0"/>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11.1.5</w:t>
      </w:r>
      <w:r>
        <w:rPr>
          <w:rFonts w:hint="eastAsia" w:ascii="仿宋" w:hAnsi="仿宋" w:eastAsia="仿宋" w:cs="仿宋"/>
          <w:color w:val="auto"/>
          <w:sz w:val="24"/>
          <w:szCs w:val="24"/>
          <w:highlight w:val="none"/>
        </w:rPr>
        <w:t>分包意向协议（如有）</w:t>
      </w:r>
      <w:r>
        <w:rPr>
          <w:rFonts w:hint="eastAsia" w:ascii="仿宋" w:hAnsi="仿宋" w:eastAsia="仿宋" w:cs="仿宋"/>
          <w:color w:val="auto"/>
          <w:sz w:val="24"/>
          <w:szCs w:val="24"/>
          <w:highlight w:val="none"/>
          <w:lang w:eastAsia="zh-CN"/>
        </w:rPr>
        <w:t>；</w:t>
      </w:r>
    </w:p>
    <w:p>
      <w:pPr>
        <w:shd w:val="clear"/>
        <w:snapToGrid w:val="0"/>
        <w:spacing w:line="360" w:lineRule="auto"/>
        <w:ind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本项目的特定资格要求:无</w:t>
      </w:r>
      <w:r>
        <w:rPr>
          <w:rFonts w:hint="eastAsia" w:ascii="仿宋" w:hAnsi="仿宋" w:eastAsia="仿宋" w:cs="仿宋"/>
          <w:color w:val="auto"/>
          <w:sz w:val="24"/>
          <w:highlight w:val="none"/>
          <w:lang w:eastAsia="zh-CN"/>
        </w:rPr>
        <w:t>。</w:t>
      </w:r>
    </w:p>
    <w:p>
      <w:pPr>
        <w:snapToGrid w:val="0"/>
        <w:spacing w:line="360" w:lineRule="auto"/>
        <w:ind w:firstLine="420" w:firstLineChars="175"/>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商务技术</w:t>
      </w:r>
      <w:r>
        <w:rPr>
          <w:rFonts w:hint="eastAsia" w:ascii="仿宋" w:hAnsi="仿宋" w:eastAsia="仿宋" w:cs="仿宋"/>
          <w:color w:val="auto"/>
          <w:sz w:val="24"/>
          <w:szCs w:val="24"/>
          <w:highlight w:val="none"/>
          <w:lang w:val="zh-CN"/>
        </w:rPr>
        <w:t>文件：</w:t>
      </w:r>
    </w:p>
    <w:p>
      <w:pPr>
        <w:snapToGrid w:val="0"/>
        <w:spacing w:line="360" w:lineRule="auto"/>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11.2.1投标函；</w:t>
      </w:r>
      <w:r>
        <w:rPr>
          <w:rFonts w:hint="eastAsia" w:ascii="仿宋" w:hAnsi="仿宋" w:eastAsia="仿宋" w:cs="仿宋"/>
          <w:color w:val="auto"/>
          <w:sz w:val="24"/>
          <w:szCs w:val="24"/>
          <w:highlight w:val="none"/>
          <w:lang w:val="zh-CN"/>
        </w:rPr>
        <w:t xml:space="preserve"> </w:t>
      </w:r>
    </w:p>
    <w:p>
      <w:pPr>
        <w:snapToGrid w:val="0"/>
        <w:spacing w:line="360" w:lineRule="auto"/>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11.2.2授权委托书或法定代表人（单位负责人、自然人本人）身份证明</w:t>
      </w:r>
      <w:r>
        <w:rPr>
          <w:rFonts w:hint="eastAsia" w:ascii="仿宋" w:hAnsi="仿宋" w:eastAsia="仿宋" w:cs="仿宋"/>
          <w:color w:val="auto"/>
          <w:sz w:val="24"/>
          <w:highlight w:val="none"/>
          <w:lang w:eastAsia="zh-CN"/>
        </w:rPr>
        <w:t>；社保机构出具的投标截止日前6个月内</w:t>
      </w:r>
      <w:r>
        <w:rPr>
          <w:rFonts w:hint="eastAsia" w:ascii="仿宋" w:hAnsi="仿宋" w:eastAsia="仿宋" w:cs="仿宋"/>
          <w:color w:val="auto"/>
          <w:sz w:val="24"/>
          <w:highlight w:val="none"/>
          <w:lang w:val="en-US" w:eastAsia="zh-CN"/>
        </w:rPr>
        <w:t>任意一月</w:t>
      </w:r>
      <w:r>
        <w:rPr>
          <w:rFonts w:hint="eastAsia" w:ascii="仿宋" w:hAnsi="仿宋" w:eastAsia="仿宋" w:cs="仿宋"/>
          <w:color w:val="auto"/>
          <w:sz w:val="24"/>
          <w:highlight w:val="none"/>
          <w:lang w:eastAsia="zh-CN"/>
        </w:rPr>
        <w:t>授权代表的投标单位社保缴纳证明，任职不足6个月的可提供劳动合同证明文件</w:t>
      </w:r>
      <w:r>
        <w:rPr>
          <w:rFonts w:hint="eastAsia" w:ascii="仿宋" w:hAnsi="仿宋" w:eastAsia="仿宋" w:cs="仿宋"/>
          <w:color w:val="auto"/>
          <w:sz w:val="24"/>
          <w:highlight w:val="none"/>
        </w:rPr>
        <w:t>；</w:t>
      </w:r>
    </w:p>
    <w:p>
      <w:pPr>
        <w:snapToGrid w:val="0"/>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11.2.3符合性审查资料；</w:t>
      </w:r>
    </w:p>
    <w:p>
      <w:pPr>
        <w:snapToGrid w:val="0"/>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11.2.4评标标准相应的商务技术资料；</w:t>
      </w:r>
    </w:p>
    <w:p>
      <w:pPr>
        <w:snapToGrid w:val="0"/>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11.2.5</w:t>
      </w:r>
      <w:r>
        <w:rPr>
          <w:rFonts w:hint="eastAsia" w:ascii="仿宋" w:hAnsi="仿宋" w:eastAsia="仿宋" w:cs="仿宋"/>
          <w:color w:val="auto"/>
          <w:sz w:val="24"/>
          <w:szCs w:val="24"/>
          <w:highlight w:val="none"/>
          <w:lang w:val="en-US" w:eastAsia="zh-CN"/>
        </w:rPr>
        <w:t xml:space="preserve"> 技术规格偏离表；</w:t>
      </w:r>
    </w:p>
    <w:p>
      <w:pPr>
        <w:snapToGrid w:val="0"/>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11.2.6 商务条款偏离表；</w:t>
      </w:r>
    </w:p>
    <w:p>
      <w:pPr>
        <w:snapToGrid w:val="0"/>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同类项目业绩：类似空调或暖通项目实施业绩，提供合同复印件；</w:t>
      </w:r>
    </w:p>
    <w:p>
      <w:pPr>
        <w:snapToGrid w:val="0"/>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服务方案；</w:t>
      </w:r>
    </w:p>
    <w:p>
      <w:pPr>
        <w:snapToGrid w:val="0"/>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 供应商认为有必要提供的其它文件。</w:t>
      </w:r>
    </w:p>
    <w:p>
      <w:pPr>
        <w:spacing w:line="360" w:lineRule="auto"/>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11.2.1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val="zh-CN"/>
        </w:rPr>
        <w:t>政府采购供应商廉洁自律承诺书；</w:t>
      </w:r>
    </w:p>
    <w:p>
      <w:pPr>
        <w:snapToGrid w:val="0"/>
        <w:spacing w:line="360" w:lineRule="auto"/>
        <w:ind w:firstLine="420" w:firstLineChars="175"/>
        <w:rPr>
          <w:rFonts w:ascii="仿宋" w:hAnsi="仿宋" w:eastAsia="仿宋" w:cs="仿宋"/>
          <w:color w:val="auto"/>
          <w:sz w:val="24"/>
          <w:szCs w:val="24"/>
          <w:highlight w:val="none"/>
          <w:u w:val="single"/>
          <w:lang w:val="zh-CN"/>
        </w:rPr>
      </w:pPr>
      <w:r>
        <w:rPr>
          <w:rFonts w:hint="eastAsia" w:ascii="仿宋" w:hAnsi="仿宋" w:eastAsia="仿宋" w:cs="仿宋"/>
          <w:color w:val="auto"/>
          <w:kern w:val="0"/>
          <w:sz w:val="24"/>
          <w:szCs w:val="24"/>
          <w:highlight w:val="none"/>
          <w:lang w:val="zh-CN"/>
        </w:rPr>
        <w:t>11.</w:t>
      </w:r>
      <w:r>
        <w:rPr>
          <w:rFonts w:hint="eastAsia" w:ascii="仿宋" w:hAnsi="仿宋" w:eastAsia="仿宋" w:cs="仿宋"/>
          <w:color w:val="auto"/>
          <w:kern w:val="0"/>
          <w:sz w:val="24"/>
          <w:szCs w:val="24"/>
          <w:highlight w:val="none"/>
        </w:rPr>
        <w:t>3</w:t>
      </w:r>
      <w:r>
        <w:rPr>
          <w:rFonts w:hint="eastAsia" w:ascii="仿宋" w:hAnsi="仿宋" w:eastAsia="仿宋" w:cs="仿宋"/>
          <w:b/>
          <w:color w:val="auto"/>
          <w:sz w:val="24"/>
          <w:szCs w:val="24"/>
          <w:highlight w:val="none"/>
        </w:rPr>
        <w:t>报价文件：</w:t>
      </w:r>
      <w:r>
        <w:rPr>
          <w:rFonts w:hint="eastAsia" w:ascii="仿宋" w:hAnsi="仿宋" w:eastAsia="仿宋" w:cs="仿宋"/>
          <w:color w:val="auto"/>
          <w:sz w:val="24"/>
          <w:szCs w:val="24"/>
          <w:highlight w:val="none"/>
        </w:rPr>
        <w:t xml:space="preserve"> </w:t>
      </w:r>
    </w:p>
    <w:p>
      <w:pPr>
        <w:shd w:val="clear"/>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pStyle w:val="725"/>
        <w:shd w:val="clear"/>
        <w:snapToGrid w:val="0"/>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11.3.2 分项报价表；</w:t>
      </w:r>
    </w:p>
    <w:p>
      <w:pPr>
        <w:pStyle w:val="725"/>
        <w:shd w:val="clear"/>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11.3.3 </w:t>
      </w:r>
      <w:r>
        <w:rPr>
          <w:rFonts w:hint="eastAsia" w:ascii="仿宋" w:hAnsi="仿宋" w:eastAsia="仿宋" w:cs="仿宋"/>
          <w:color w:val="auto"/>
          <w:sz w:val="24"/>
          <w:highlight w:val="none"/>
        </w:rPr>
        <w:t>中标服务费支付承诺书；</w:t>
      </w:r>
    </w:p>
    <w:p>
      <w:pPr>
        <w:spacing w:line="360" w:lineRule="auto"/>
        <w:ind w:firstLine="422" w:firstLineChars="175"/>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422" w:firstLineChars="175"/>
        <w:rPr>
          <w:rFonts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140"/>
        <w:snapToGrid w:val="0"/>
        <w:spacing w:before="0"/>
        <w:ind w:firstLine="0" w:firstLineChars="0"/>
        <w:outlineLvl w:val="0"/>
        <w:rPr>
          <w:rFonts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140"/>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4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40"/>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14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14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4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4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3"/>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pPr>
        <w:pStyle w:val="33"/>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DVD光盘或U盘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pPr>
        <w:pStyle w:val="14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4"/>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pPr>
        <w:pStyle w:val="14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40"/>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40"/>
        <w:spacing w:before="0"/>
        <w:ind w:firstLine="480"/>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40"/>
        <w:spacing w:before="0"/>
        <w:ind w:firstLine="480"/>
        <w:rPr>
          <w:rFonts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17.4在投标截止时间起至投标有效期届满，供应商不可撤销投标文件。</w:t>
      </w:r>
    </w:p>
    <w:p>
      <w:pPr>
        <w:pStyle w:val="140"/>
        <w:spacing w:before="0"/>
        <w:ind w:firstLine="643"/>
        <w:rPr>
          <w:rFonts w:ascii="仿宋" w:hAnsi="仿宋" w:eastAsia="仿宋" w:cs="仿宋"/>
          <w:b/>
          <w:color w:val="auto"/>
          <w:sz w:val="32"/>
          <w:highlight w:val="none"/>
        </w:rPr>
      </w:pPr>
    </w:p>
    <w:p>
      <w:pPr>
        <w:pStyle w:val="140"/>
        <w:spacing w:before="0"/>
        <w:ind w:firstLine="1928" w:firstLineChars="600"/>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59"/>
        <w:spacing w:before="0" w:line="360" w:lineRule="auto"/>
        <w:ind w:left="0" w:firstLine="241" w:firstLineChars="10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559"/>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 采购代理机构按照招标文件规定的时间通过电子交易平台组织开标，所有投标人均应当准时在线参加。投标人不足3家的，不得开标。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18.2 开标时，电子交易平台按开标时间自动提取所有投标文件。采购代理机构依托电子交易平台发起开始解密指令，投标人按照平台提示和招标文件的规定在半小时内完成在线解密。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ascii="仿宋" w:hAnsi="仿宋" w:eastAsia="仿宋" w:cs="仿宋"/>
          <w:b/>
          <w:color w:val="auto"/>
          <w:sz w:val="24"/>
          <w:highlight w:val="none"/>
        </w:rPr>
      </w:pPr>
      <w:r>
        <w:rPr>
          <w:rFonts w:hint="eastAsia" w:ascii="仿宋" w:hAnsi="仿宋" w:eastAsia="仿宋" w:cs="仿宋"/>
          <w:color w:val="auto"/>
          <w:sz w:val="24"/>
          <w:highlight w:val="none"/>
        </w:rPr>
        <w:t xml:space="preserve">　18.3 </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pPr>
        <w:pStyle w:val="14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19.1开标后，采购人或采购代理机构将依法对投标人的资格进行审查。</w:t>
      </w:r>
    </w:p>
    <w:p>
      <w:pPr>
        <w:pStyle w:val="140"/>
        <w:ind w:firstLine="480"/>
        <w:rPr>
          <w:rFonts w:ascii="仿宋" w:hAnsi="仿宋" w:eastAsia="仿宋" w:cs="仿宋"/>
          <w:color w:val="auto"/>
          <w:highlight w:val="none"/>
        </w:rPr>
      </w:pPr>
      <w:r>
        <w:rPr>
          <w:rFonts w:hint="eastAsia" w:ascii="仿宋" w:hAnsi="仿宋" w:eastAsia="仿宋" w:cs="仿宋"/>
          <w:color w:val="auto"/>
          <w:kern w:val="0"/>
          <w:highlight w:val="none"/>
        </w:rPr>
        <w:t>19.2</w:t>
      </w:r>
      <w:r>
        <w:rPr>
          <w:rFonts w:hint="eastAsia" w:ascii="仿宋" w:hAnsi="仿宋" w:eastAsia="仿宋" w:cs="仿宋"/>
          <w:color w:val="auto"/>
          <w:highlight w:val="none"/>
        </w:rPr>
        <w:t>采购人或采购代理机构依据法律法规和招标文件的规定，对投标人的基本资格条件、特定资格条件进行审查。</w:t>
      </w:r>
    </w:p>
    <w:p>
      <w:pPr>
        <w:pStyle w:val="140"/>
        <w:ind w:firstLine="480"/>
        <w:rPr>
          <w:rFonts w:ascii="仿宋" w:hAnsi="仿宋" w:eastAsia="仿宋" w:cs="仿宋"/>
          <w:color w:val="auto"/>
          <w:highlight w:val="none"/>
        </w:rPr>
      </w:pPr>
      <w:r>
        <w:rPr>
          <w:rFonts w:hint="eastAsia" w:ascii="仿宋" w:hAnsi="仿宋" w:eastAsia="仿宋" w:cs="仿宋"/>
          <w:color w:val="auto"/>
          <w:highlight w:val="none"/>
        </w:rPr>
        <w:t>19.3投标人未按照招标文件要求提供与资格条件相应的有效资格证明材料的，视为投标人不具备招标文件中规定的资格要求，其投标无效。</w:t>
      </w:r>
    </w:p>
    <w:p>
      <w:pPr>
        <w:pStyle w:val="14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4对未通过资格审查的投标人，采购人或采购代理机构告知其未通过的原因。</w:t>
      </w:r>
    </w:p>
    <w:p>
      <w:pPr>
        <w:pStyle w:val="14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pPr>
        <w:pStyle w:val="14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4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pPr>
        <w:pStyle w:val="14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4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4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40"/>
        <w:spacing w:before="0"/>
        <w:ind w:firstLine="0" w:firstLineChars="0"/>
        <w:rPr>
          <w:rFonts w:ascii="仿宋" w:hAnsi="仿宋" w:eastAsia="仿宋" w:cs="仿宋"/>
          <w:color w:val="auto"/>
          <w:kern w:val="0"/>
          <w:szCs w:val="24"/>
          <w:highlight w:val="none"/>
        </w:rPr>
      </w:pPr>
    </w:p>
    <w:p>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pacing w:line="360" w:lineRule="auto"/>
        <w:rPr>
          <w:rFonts w:ascii="仿宋" w:hAnsi="仿宋" w:eastAsia="仿宋" w:cs="仿宋"/>
          <w:b/>
          <w:color w:val="auto"/>
          <w:sz w:val="24"/>
          <w:highlight w:val="none"/>
        </w:rPr>
      </w:pPr>
    </w:p>
    <w:p>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140"/>
        <w:snapToGrid w:val="0"/>
        <w:spacing w:before="0"/>
        <w:ind w:firstLine="420" w:firstLineChars="175"/>
        <w:rPr>
          <w:rFonts w:ascii="仿宋" w:hAnsi="仿宋" w:eastAsia="仿宋" w:cs="仿宋"/>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40"/>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ascii="仿宋" w:hAnsi="仿宋" w:eastAsia="仿宋" w:cs="仿宋"/>
          <w:b/>
          <w:color w:val="auto"/>
          <w:sz w:val="32"/>
          <w:highlight w:val="none"/>
        </w:rPr>
      </w:pPr>
    </w:p>
    <w:p>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r>
        <w:rPr>
          <w:rFonts w:hint="eastAsia" w:ascii="仿宋" w:hAnsi="仿宋" w:eastAsia="仿宋" w:cs="仿宋"/>
          <w:color w:val="auto"/>
          <w:kern w:val="0"/>
          <w:sz w:val="24"/>
          <w:highlight w:val="none"/>
        </w:rPr>
        <w:t>。</w:t>
      </w:r>
    </w:p>
    <w:p>
      <w:pPr>
        <w:pStyle w:val="140"/>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4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4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40"/>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spacing w:line="480" w:lineRule="exact"/>
        <w:rPr>
          <w:rFonts w:ascii="仿宋" w:hAnsi="仿宋" w:eastAsia="仿宋" w:cs="仿宋"/>
          <w:b/>
          <w:color w:val="auto"/>
          <w:sz w:val="24"/>
          <w:highlight w:val="none"/>
        </w:rPr>
      </w:pPr>
      <w:r>
        <w:rPr>
          <w:rFonts w:hint="eastAsia" w:ascii="仿宋" w:hAnsi="仿宋" w:eastAsia="仿宋" w:cs="仿宋"/>
          <w:color w:val="auto"/>
          <w:kern w:val="0"/>
          <w:sz w:val="24"/>
          <w:highlight w:val="none"/>
        </w:rPr>
        <w:t>26.1 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。履约保证金的数额不得超过政府采购合同金额的1 %。鼓励和支持供应商以银行、保险公司出具的保函形式提供履约保证金。</w:t>
      </w:r>
      <w:r>
        <w:rPr>
          <w:rFonts w:hint="eastAsia" w:ascii="仿宋" w:hAnsi="仿宋" w:eastAsia="仿宋" w:cs="仿宋"/>
          <w:b/>
          <w:color w:val="auto"/>
          <w:sz w:val="24"/>
          <w:highlight w:val="none"/>
        </w:rPr>
        <w:t>采购人不得拒收履约保函，项目验收结束后应及时退还。</w:t>
      </w:r>
    </w:p>
    <w:p>
      <w:pPr>
        <w:tabs>
          <w:tab w:val="left" w:pos="0"/>
        </w:tabs>
        <w:spacing w:line="480" w:lineRule="exact"/>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26.2 供应商可登录政采云平台-【金融服务】—【我的项目】—【已备案合同】以保函形式提供：</w:t>
      </w:r>
    </w:p>
    <w:p>
      <w:pPr>
        <w:tabs>
          <w:tab w:val="left" w:pos="0"/>
        </w:tabs>
        <w:spacing w:line="480" w:lineRule="exact"/>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26.2.1供应商在合同列表选择需要投保的合同，点击[保函推荐]。</w:t>
      </w:r>
    </w:p>
    <w:p>
      <w:pPr>
        <w:tabs>
          <w:tab w:val="left" w:pos="0"/>
        </w:tabs>
        <w:spacing w:line="480" w:lineRule="exact"/>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26.2.2弹框里查看推荐的保函产品，供应商自行选择保函产品，点击[立即申请]。</w:t>
      </w:r>
    </w:p>
    <w:p>
      <w:pPr>
        <w:numPr>
          <w:ilvl w:val="255"/>
          <w:numId w:val="0"/>
        </w:numPr>
        <w:tabs>
          <w:tab w:val="left" w:pos="0"/>
        </w:tabs>
        <w:spacing w:line="480" w:lineRule="exact"/>
        <w:jc w:val="left"/>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26.2.3在弹框里填写保函申请信息。具体步骤：选择产品—填写供应商信息—选择中标项目—确认信息—等待保险/保函受理—确认保单—支付保费—成功出单。政采云金融专线400-903-9583。</w:t>
      </w:r>
    </w:p>
    <w:p>
      <w:pPr>
        <w:numPr>
          <w:ilvl w:val="255"/>
          <w:numId w:val="0"/>
        </w:numPr>
        <w:tabs>
          <w:tab w:val="left" w:pos="0"/>
        </w:tabs>
        <w:spacing w:line="48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rPr>
        <w:t>27.预付款</w:t>
      </w:r>
    </w:p>
    <w:p>
      <w:pPr>
        <w:tabs>
          <w:tab w:val="left" w:pos="210"/>
          <w:tab w:val="left" w:pos="640"/>
        </w:tabs>
        <w:snapToGrid w:val="0"/>
        <w:spacing w:line="360" w:lineRule="auto"/>
        <w:ind w:firstLine="480" w:firstLineChars="200"/>
        <w:jc w:val="left"/>
        <w:outlineLvl w:val="3"/>
        <w:rPr>
          <w:rFonts w:ascii="仿宋" w:hAnsi="仿宋" w:eastAsia="仿宋" w:cs="仿宋"/>
          <w:bCs/>
          <w:color w:val="auto"/>
          <w:sz w:val="24"/>
          <w:highlight w:val="none"/>
        </w:rPr>
      </w:pPr>
      <w:r>
        <w:rPr>
          <w:rFonts w:hint="eastAsia" w:ascii="仿宋" w:hAnsi="仿宋" w:eastAsia="仿宋" w:cs="仿宋"/>
          <w:bCs/>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pStyle w:val="3"/>
        <w:rPr>
          <w:rFonts w:ascii="仿宋" w:eastAsia="仿宋" w:cs="仿宋"/>
          <w:color w:val="auto"/>
          <w:highlight w:val="none"/>
        </w:rPr>
      </w:pPr>
    </w:p>
    <w:p>
      <w:pPr>
        <w:snapToGrid w:val="0"/>
        <w:spacing w:line="360" w:lineRule="auto"/>
        <w:ind w:firstLine="3357" w:firstLineChars="1045"/>
        <w:rPr>
          <w:rFonts w:ascii="仿宋" w:hAnsi="仿宋" w:eastAsia="仿宋" w:cs="仿宋"/>
          <w:b/>
          <w:color w:val="auto"/>
          <w:sz w:val="32"/>
          <w:highlight w:val="none"/>
        </w:rPr>
      </w:pPr>
    </w:p>
    <w:p>
      <w:pPr>
        <w:snapToGrid w:val="0"/>
        <w:spacing w:line="360" w:lineRule="auto"/>
        <w:ind w:firstLine="3357" w:firstLineChars="1045"/>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40"/>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color w:val="auto"/>
          <w:highlight w:val="none"/>
        </w:rPr>
        <w:t>28</w:t>
      </w:r>
      <w:r>
        <w:rPr>
          <w:rFonts w:hint="eastAsia" w:ascii="仿宋" w:hAnsi="仿宋" w:eastAsia="仿宋" w:cs="仿宋"/>
          <w:b/>
          <w:color w:val="auto"/>
          <w:szCs w:val="24"/>
          <w:highlight w:val="none"/>
        </w:rPr>
        <w:t>. 电子交易活动的中止。</w:t>
      </w:r>
    </w:p>
    <w:p>
      <w:pPr>
        <w:pStyle w:val="14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pPr>
        <w:pStyle w:val="14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pPr>
        <w:pStyle w:val="14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pPr>
        <w:pStyle w:val="14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pPr>
        <w:pStyle w:val="14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pPr>
        <w:pStyle w:val="14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pPr>
        <w:pStyle w:val="140"/>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color w:val="auto"/>
          <w:sz w:val="24"/>
          <w:highlight w:val="none"/>
        </w:rPr>
      </w:pPr>
    </w:p>
    <w:p>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4"/>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30.验收</w:t>
      </w:r>
    </w:p>
    <w:p>
      <w:pPr>
        <w:numPr>
          <w:ilvl w:val="1"/>
          <w:numId w:val="0"/>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rPr>
        <w:t>30.1.</w:t>
      </w:r>
      <w:r>
        <w:rPr>
          <w:rFonts w:hint="eastAsia" w:ascii="仿宋" w:hAnsi="仿宋" w:eastAsia="仿宋" w:cs="仿宋"/>
          <w:bCs/>
          <w:color w:val="auto"/>
          <w:sz w:val="24"/>
          <w:highlight w:val="none"/>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numPr>
          <w:ilvl w:val="1"/>
          <w:numId w:val="0"/>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rPr>
        <w:t>30.2.</w:t>
      </w:r>
      <w:r>
        <w:rPr>
          <w:rFonts w:hint="eastAsia" w:ascii="仿宋" w:hAnsi="仿宋" w:eastAsia="仿宋" w:cs="仿宋"/>
          <w:bCs/>
          <w:color w:val="auto"/>
          <w:sz w:val="24"/>
          <w:highlight w:val="none"/>
          <w:lang w:val="zh-CN"/>
        </w:rPr>
        <w:t>采购人可以邀请参加本项目的其他投标人或者第三方机构参与验收。参与验收的投标人或者第三方机构的意见作为验收书的参考资料一并存档。</w:t>
      </w:r>
    </w:p>
    <w:p>
      <w:pPr>
        <w:numPr>
          <w:ilvl w:val="1"/>
          <w:numId w:val="0"/>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rPr>
        <w:t>30</w:t>
      </w:r>
      <w:r>
        <w:rPr>
          <w:rFonts w:hint="eastAsia" w:ascii="仿宋" w:hAnsi="仿宋" w:eastAsia="仿宋" w:cs="仿宋"/>
          <w:bCs/>
          <w:color w:val="auto"/>
          <w:sz w:val="24"/>
          <w:highlight w:val="none"/>
          <w:lang w:val="zh-CN"/>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numPr>
          <w:ilvl w:val="1"/>
          <w:numId w:val="0"/>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rPr>
        <w:t>30</w:t>
      </w:r>
      <w:r>
        <w:rPr>
          <w:rFonts w:hint="eastAsia" w:ascii="仿宋" w:hAnsi="仿宋" w:eastAsia="仿宋" w:cs="仿宋"/>
          <w:bCs/>
          <w:color w:val="auto"/>
          <w:sz w:val="24"/>
          <w:highlight w:val="none"/>
          <w:lang w:val="zh-CN"/>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bookmarkEnd w:id="12"/>
    <w:bookmarkEnd w:id="13"/>
    <w:p>
      <w:pPr>
        <w:rPr>
          <w:rFonts w:ascii="仿宋" w:hAnsi="仿宋" w:eastAsia="仿宋" w:cs="仿宋"/>
          <w:color w:val="auto"/>
          <w:highlight w:val="none"/>
        </w:rPr>
      </w:pPr>
      <w:bookmarkStart w:id="14" w:name="第四部分"/>
      <w:r>
        <w:rPr>
          <w:rFonts w:hint="eastAsia" w:ascii="仿宋" w:hAnsi="仿宋" w:eastAsia="仿宋" w:cs="仿宋"/>
          <w:color w:val="auto"/>
          <w:highlight w:val="none"/>
        </w:rPr>
        <w:br w:type="page"/>
      </w:r>
    </w:p>
    <w:p>
      <w:pPr>
        <w:rPr>
          <w:rFonts w:ascii="仿宋" w:hAnsi="仿宋" w:eastAsia="仿宋" w:cs="仿宋"/>
          <w:color w:val="auto"/>
          <w:highlight w:val="none"/>
        </w:rPr>
      </w:pPr>
    </w:p>
    <w:p>
      <w:pPr>
        <w:numPr>
          <w:ilvl w:val="0"/>
          <w:numId w:val="3"/>
        </w:numPr>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采购需求</w:t>
      </w:r>
    </w:p>
    <w:p>
      <w:pPr>
        <w:spacing w:line="360" w:lineRule="auto"/>
        <w:ind w:firstLine="480" w:firstLineChars="200"/>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一、概述</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本项目为</w:t>
      </w:r>
      <w:r>
        <w:rPr>
          <w:rFonts w:hint="eastAsia" w:ascii="仿宋" w:hAnsi="仿宋" w:eastAsia="仿宋" w:cs="仿宋"/>
          <w:color w:val="auto"/>
          <w:sz w:val="24"/>
          <w:szCs w:val="24"/>
          <w:highlight w:val="none"/>
          <w:lang w:val="en-US" w:eastAsia="zh-CN"/>
        </w:rPr>
        <w:t>杭州市萧山区第一人民医院净化系统空调机组更新维护</w:t>
      </w:r>
      <w:r>
        <w:rPr>
          <w:rFonts w:hint="eastAsia" w:ascii="仿宋" w:hAnsi="仿宋" w:eastAsia="仿宋" w:cs="仿宋"/>
          <w:color w:val="auto"/>
          <w:sz w:val="24"/>
          <w:szCs w:val="24"/>
          <w:highlight w:val="none"/>
        </w:rPr>
        <w:t>，欢迎</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根据采购文件所提出的要求，以优良的服务和优惠的价格参与竞争。</w:t>
      </w:r>
    </w:p>
    <w:p>
      <w:pPr>
        <w:spacing w:line="240" w:lineRule="auto"/>
        <w:ind w:firstLine="0" w:firstLineChars="0"/>
        <w:outlineLvl w:val="9"/>
        <w:rPr>
          <w:rFonts w:hint="eastAsia"/>
          <w:color w:val="auto"/>
          <w:highlight w:val="none"/>
        </w:rPr>
      </w:pPr>
    </w:p>
    <w:p>
      <w:pPr>
        <w:spacing w:line="360" w:lineRule="auto"/>
        <w:ind w:firstLine="480" w:firstLineChars="200"/>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二、总体要求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2.1各投标单位需对采购项目进行自行勘查、评估，费用自理。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2.2本项目服务期限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自</w:t>
      </w:r>
      <w:r>
        <w:rPr>
          <w:rFonts w:hint="eastAsia" w:ascii="仿宋" w:hAnsi="仿宋" w:eastAsia="仿宋" w:cs="仿宋"/>
          <w:b w:val="0"/>
          <w:bCs w:val="0"/>
          <w:color w:val="auto"/>
          <w:sz w:val="24"/>
          <w:szCs w:val="24"/>
          <w:highlight w:val="none"/>
          <w:lang w:val="en-US" w:eastAsia="zh-CN"/>
        </w:rPr>
        <w:t>合同签订之日起至完成</w:t>
      </w:r>
      <w:r>
        <w:rPr>
          <w:rFonts w:hint="eastAsia" w:ascii="仿宋" w:hAnsi="仿宋" w:eastAsia="仿宋" w:cs="仿宋"/>
          <w:b w:val="0"/>
          <w:bCs w:val="0"/>
          <w:color w:val="auto"/>
          <w:sz w:val="24"/>
          <w:szCs w:val="24"/>
          <w:highlight w:val="none"/>
        </w:rPr>
        <w:t>现有机组存在的故障材料更换</w:t>
      </w:r>
      <w:r>
        <w:rPr>
          <w:rFonts w:hint="eastAsia" w:ascii="仿宋" w:hAnsi="仿宋" w:eastAsia="仿宋" w:cs="仿宋"/>
          <w:b w:val="0"/>
          <w:bCs w:val="0"/>
          <w:color w:val="auto"/>
          <w:sz w:val="24"/>
          <w:szCs w:val="24"/>
          <w:highlight w:val="none"/>
          <w:lang w:eastAsia="zh-CN"/>
        </w:rPr>
        <w:t>、更新</w:t>
      </w:r>
      <w:r>
        <w:rPr>
          <w:rFonts w:hint="eastAsia" w:ascii="仿宋" w:hAnsi="仿宋" w:eastAsia="仿宋" w:cs="仿宋"/>
          <w:b w:val="0"/>
          <w:bCs w:val="0"/>
          <w:color w:val="auto"/>
          <w:sz w:val="24"/>
          <w:szCs w:val="24"/>
          <w:highlight w:val="none"/>
          <w:lang w:val="en-US" w:eastAsia="zh-CN"/>
        </w:rPr>
        <w:t>改造并正常运行后三</w:t>
      </w:r>
      <w:r>
        <w:rPr>
          <w:rFonts w:hint="eastAsia" w:ascii="仿宋" w:hAnsi="仿宋" w:eastAsia="仿宋" w:cs="仿宋"/>
          <w:b w:val="0"/>
          <w:bCs w:val="0"/>
          <w:color w:val="auto"/>
          <w:sz w:val="24"/>
          <w:szCs w:val="24"/>
          <w:highlight w:val="none"/>
        </w:rPr>
        <w:t>年</w:t>
      </w:r>
      <w:r>
        <w:rPr>
          <w:rFonts w:hint="eastAsia" w:ascii="仿宋" w:hAnsi="仿宋" w:eastAsia="仿宋" w:cs="仿宋"/>
          <w:b w:val="0"/>
          <w:bCs w:val="0"/>
          <w:color w:val="auto"/>
          <w:sz w:val="24"/>
          <w:szCs w:val="24"/>
          <w:highlight w:val="none"/>
          <w:lang w:val="en-US" w:eastAsia="zh-CN"/>
        </w:rPr>
        <w:t>的</w:t>
      </w:r>
      <w:r>
        <w:rPr>
          <w:rFonts w:hint="eastAsia" w:ascii="仿宋" w:hAnsi="仿宋" w:eastAsia="仿宋" w:cs="仿宋"/>
          <w:b w:val="0"/>
          <w:bCs w:val="0"/>
          <w:color w:val="auto"/>
          <w:sz w:val="24"/>
          <w:szCs w:val="24"/>
          <w:highlight w:val="none"/>
        </w:rPr>
        <w:t>维护保养</w:t>
      </w:r>
      <w:r>
        <w:rPr>
          <w:rFonts w:hint="eastAsia" w:ascii="仿宋" w:hAnsi="仿宋" w:eastAsia="仿宋" w:cs="仿宋"/>
          <w:b w:val="0"/>
          <w:bCs w:val="0"/>
          <w:color w:val="auto"/>
          <w:sz w:val="24"/>
          <w:szCs w:val="24"/>
          <w:highlight w:val="none"/>
          <w:lang w:eastAsia="zh-CN"/>
        </w:rPr>
        <w:t>。</w:t>
      </w:r>
    </w:p>
    <w:p>
      <w:pPr>
        <w:spacing w:line="360" w:lineRule="auto"/>
        <w:ind w:firstLine="480" w:firstLineChars="200"/>
        <w:rPr>
          <w:rFonts w:hint="eastAsia" w:ascii="仿宋" w:hAnsi="仿宋" w:eastAsia="仿宋" w:cs="仿宋"/>
          <w:color w:val="auto"/>
          <w:sz w:val="24"/>
          <w:szCs w:val="24"/>
          <w:highlight w:val="none"/>
          <w:lang w:val="en-US" w:eastAsia="zh-CN"/>
        </w:rPr>
      </w:pPr>
    </w:p>
    <w:p>
      <w:pPr>
        <w:spacing w:line="360" w:lineRule="auto"/>
        <w:ind w:firstLine="480" w:firstLineChars="200"/>
        <w:outlineLvl w:val="1"/>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维保要求</w:t>
      </w:r>
    </w:p>
    <w:p>
      <w:pPr>
        <w:spacing w:before="156"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机组运行期间，维保单位指派相对固定的专业人员，每</w:t>
      </w:r>
      <w:r>
        <w:rPr>
          <w:rFonts w:hint="eastAsia" w:ascii="仿宋" w:hAnsi="仿宋" w:eastAsia="仿宋" w:cs="仿宋"/>
          <w:color w:val="auto"/>
          <w:sz w:val="24"/>
          <w:szCs w:val="24"/>
          <w:highlight w:val="none"/>
          <w:lang w:val="en-US" w:eastAsia="zh-CN"/>
        </w:rPr>
        <w:t>季</w:t>
      </w:r>
      <w:r>
        <w:rPr>
          <w:rFonts w:hint="eastAsia" w:ascii="仿宋" w:hAnsi="仿宋" w:eastAsia="仿宋" w:cs="仿宋"/>
          <w:color w:val="auto"/>
          <w:sz w:val="24"/>
          <w:szCs w:val="24"/>
          <w:highlight w:val="none"/>
        </w:rPr>
        <w:t>与院方操作人员一起，对院方的机组进行巡检﹑维护保养，并由维保单位提交</w:t>
      </w:r>
      <w:r>
        <w:rPr>
          <w:rFonts w:hint="eastAsia" w:ascii="仿宋" w:hAnsi="仿宋" w:eastAsia="仿宋" w:cs="仿宋"/>
          <w:color w:val="auto"/>
          <w:sz w:val="24"/>
          <w:szCs w:val="24"/>
          <w:highlight w:val="none"/>
          <w:lang w:val="en-US" w:eastAsia="zh-CN"/>
        </w:rPr>
        <w:t>季</w:t>
      </w:r>
      <w:r>
        <w:rPr>
          <w:rFonts w:hint="eastAsia" w:ascii="仿宋" w:hAnsi="仿宋" w:eastAsia="仿宋" w:cs="仿宋"/>
          <w:color w:val="auto"/>
          <w:sz w:val="24"/>
          <w:szCs w:val="24"/>
          <w:highlight w:val="none"/>
        </w:rPr>
        <w:t>度有关维护保养的情况报告。</w:t>
      </w:r>
    </w:p>
    <w:p>
      <w:pPr>
        <w:spacing w:before="156"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维护保养服务期内，机组在冷热/热冷模式转换之前，维保单位负责进行模式转换前对机组的检测，并提出维修保养建议方案。</w:t>
      </w:r>
    </w:p>
    <w:p>
      <w:pPr>
        <w:spacing w:before="156"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机组在维护保养前一周通知院方，维护保养工作周期被控制在一周内。</w:t>
      </w:r>
    </w:p>
    <w:p>
      <w:pPr>
        <w:spacing w:before="156"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rPr>
        <w:t>应急维修： 保养协议期间，机组运行出现故障时，维保单位在接到院方报修通知后，工作日2小时内，节假日6小时内到达现场，对设备进行维修。</w:t>
      </w:r>
    </w:p>
    <w:p>
      <w:pPr>
        <w:spacing w:before="156"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3.5每年对净化区域做一次自检，并提供书面的检测报告，监测数据：①空气含尘浓度；②送风量；③房间压力；④温度；⑤湿度；⑥照度。若自检不合格，直至整改合格为止。</w:t>
      </w:r>
    </w:p>
    <w:p>
      <w:pPr>
        <w:spacing w:before="156"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3.6净化机组设备检查清洗消毒，机组内表面的清洗消毒。</w:t>
      </w:r>
    </w:p>
    <w:p>
      <w:pPr>
        <w:spacing w:before="156"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3.7手术室多功能操作及情报显示控制面板以及净化机组远程控制面板的日常检查、维修和维护保养。</w:t>
      </w:r>
    </w:p>
    <w:p>
      <w:pPr>
        <w:spacing w:before="156"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3.8净化机组设备连接管道及附属设施，比如加湿器，除湿直膨机（VRV原理），阀门等的日常检查、维修和维护保养。</w:t>
      </w:r>
    </w:p>
    <w:p>
      <w:pPr>
        <w:spacing w:before="156"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3.9净化区域内的医疗面板终端（包含空调控制）的维护维修。</w:t>
      </w:r>
    </w:p>
    <w:p>
      <w:pPr>
        <w:spacing w:before="156"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3.10恒温恒湿自动控制柜的日常检查和清洁。</w:t>
      </w:r>
    </w:p>
    <w:p>
      <w:pPr>
        <w:spacing w:before="156"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3.11与恒温恒湿自动控制有关的传感器、控制面板等设施的维修维护。</w:t>
      </w:r>
    </w:p>
    <w:p>
      <w:pPr>
        <w:spacing w:before="156"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3.12维保服务</w:t>
      </w:r>
      <w:r>
        <w:rPr>
          <w:rFonts w:hint="eastAsia" w:ascii="仿宋" w:hAnsi="仿宋" w:eastAsia="仿宋" w:cs="仿宋"/>
          <w:color w:val="auto"/>
          <w:sz w:val="24"/>
          <w:szCs w:val="24"/>
          <w:highlight w:val="none"/>
          <w:lang w:eastAsia="zh-CN"/>
        </w:rPr>
        <w:t>期内机组所需滤网的免费更换</w:t>
      </w:r>
    </w:p>
    <w:p>
      <w:pPr>
        <w:spacing w:before="156"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3.13净化机组的维护保养和日常清洁。</w:t>
      </w:r>
    </w:p>
    <w:p>
      <w:pPr>
        <w:spacing w:before="156"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3.14净化空调的水系统的维护维修。</w:t>
      </w:r>
    </w:p>
    <w:p>
      <w:pPr>
        <w:spacing w:before="156"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3.15</w:t>
      </w:r>
      <w:r>
        <w:rPr>
          <w:rFonts w:hint="eastAsia" w:ascii="仿宋" w:hAnsi="仿宋" w:eastAsia="仿宋" w:cs="仿宋"/>
          <w:color w:val="auto"/>
          <w:sz w:val="24"/>
          <w:szCs w:val="24"/>
          <w:highlight w:val="none"/>
        </w:rPr>
        <w:t>特别约定：</w:t>
      </w:r>
    </w:p>
    <w:p>
      <w:pPr>
        <w:spacing w:before="156"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在报修通知维保单位时应一并提供相关报警信息，以便于维保单位工程师做准备。</w:t>
      </w:r>
    </w:p>
    <w:p>
      <w:pPr>
        <w:spacing w:before="156"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维保单位必须严格遵守院方各项外来人员的规章制度和安全规程。维保单位自行承担工作人员在维护工作中的安全责任。</w:t>
      </w:r>
    </w:p>
    <w:p>
      <w:pPr>
        <w:spacing w:before="156"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维保单位不承担外部坏境及外设引起的或因人为误操作、破坏等引起的直接与间接的损失后果。</w:t>
      </w:r>
    </w:p>
    <w:p>
      <w:pPr>
        <w:spacing w:before="156"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维保单位不承担因地震、火灾、雷击、战争等自然力量不可抗拒的灾害所造成的机器损坏。</w:t>
      </w:r>
    </w:p>
    <w:p>
      <w:pPr>
        <w:spacing w:before="156"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因维保单位维护保养工作的疏忽或不当造成院方设备损坏的，由维保单位承担全部维护责任。</w:t>
      </w:r>
    </w:p>
    <w:p>
      <w:pPr>
        <w:spacing w:before="156" w:line="360" w:lineRule="auto"/>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rPr>
        <w:t>3.16季</w:t>
      </w:r>
      <w:r>
        <w:rPr>
          <w:rFonts w:hint="eastAsia" w:ascii="仿宋" w:hAnsi="仿宋" w:eastAsia="仿宋" w:cs="仿宋"/>
          <w:b/>
          <w:bCs/>
          <w:color w:val="auto"/>
          <w:sz w:val="24"/>
          <w:szCs w:val="24"/>
          <w:highlight w:val="none"/>
        </w:rPr>
        <w:t>度维护保养内容</w:t>
      </w:r>
    </w:p>
    <w:tbl>
      <w:tblPr>
        <w:tblStyle w:val="63"/>
        <w:tblW w:w="8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235"/>
        <w:gridCol w:w="1058"/>
        <w:gridCol w:w="2469"/>
        <w:gridCol w:w="1059"/>
        <w:gridCol w:w="1058"/>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 号</w:t>
            </w:r>
          </w:p>
        </w:tc>
        <w:tc>
          <w:tcPr>
            <w:tcW w:w="2293" w:type="dxa"/>
            <w:gridSpan w:val="2"/>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 目</w:t>
            </w:r>
          </w:p>
        </w:tc>
        <w:tc>
          <w:tcPr>
            <w:tcW w:w="2469"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内 容</w:t>
            </w:r>
          </w:p>
        </w:tc>
        <w:tc>
          <w:tcPr>
            <w:tcW w:w="1059"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开机前</w:t>
            </w:r>
          </w:p>
        </w:tc>
        <w:tc>
          <w:tcPr>
            <w:tcW w:w="1058"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每个</w:t>
            </w:r>
            <w:r>
              <w:rPr>
                <w:rFonts w:hint="eastAsia" w:ascii="仿宋" w:hAnsi="仿宋" w:eastAsia="仿宋" w:cs="仿宋"/>
                <w:b/>
                <w:bCs/>
                <w:color w:val="auto"/>
                <w:sz w:val="24"/>
                <w:szCs w:val="24"/>
                <w:highlight w:val="none"/>
                <w:lang w:val="en-US" w:eastAsia="zh-CN"/>
              </w:rPr>
              <w:t>季度</w:t>
            </w:r>
          </w:p>
        </w:tc>
        <w:tc>
          <w:tcPr>
            <w:tcW w:w="1058"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关机后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vMerge w:val="restart"/>
            <w:tcBorders>
              <w:top w:val="nil"/>
              <w:left w:val="single" w:color="auto" w:sz="4" w:space="0"/>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293" w:type="dxa"/>
            <w:gridSpan w:val="2"/>
            <w:vMerge w:val="restart"/>
            <w:tcBorders>
              <w:top w:val="nil"/>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机组结构</w:t>
            </w:r>
          </w:p>
        </w:tc>
        <w:tc>
          <w:tcPr>
            <w:tcW w:w="2469"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机组外观及保温</w:t>
            </w:r>
          </w:p>
        </w:tc>
        <w:tc>
          <w:tcPr>
            <w:tcW w:w="1059"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58"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p>
        </w:tc>
        <w:tc>
          <w:tcPr>
            <w:tcW w:w="1058"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vMerge w:val="continue"/>
            <w:tcBorders>
              <w:top w:val="nil"/>
              <w:left w:val="single" w:color="auto" w:sz="4" w:space="0"/>
              <w:bottom w:val="single" w:color="auto" w:sz="4" w:space="0"/>
              <w:right w:val="single" w:color="auto" w:sz="4" w:space="0"/>
            </w:tcBorders>
            <w:noWrap w:val="0"/>
            <w:vAlign w:val="center"/>
          </w:tcPr>
          <w:p>
            <w:pPr>
              <w:widowControl/>
              <w:spacing w:before="156" w:line="360" w:lineRule="auto"/>
              <w:jc w:val="left"/>
              <w:rPr>
                <w:rFonts w:hint="eastAsia" w:ascii="仿宋" w:hAnsi="仿宋" w:eastAsia="仿宋" w:cs="仿宋"/>
                <w:color w:val="auto"/>
                <w:sz w:val="24"/>
                <w:szCs w:val="24"/>
                <w:highlight w:val="none"/>
              </w:rPr>
            </w:pPr>
          </w:p>
        </w:tc>
        <w:tc>
          <w:tcPr>
            <w:tcW w:w="2293" w:type="dxa"/>
            <w:gridSpan w:val="2"/>
            <w:vMerge w:val="continue"/>
            <w:tcBorders>
              <w:top w:val="nil"/>
              <w:left w:val="nil"/>
              <w:bottom w:val="single" w:color="auto" w:sz="4" w:space="0"/>
              <w:right w:val="single" w:color="auto" w:sz="4" w:space="0"/>
            </w:tcBorders>
            <w:noWrap w:val="0"/>
            <w:vAlign w:val="center"/>
          </w:tcPr>
          <w:p>
            <w:pPr>
              <w:widowControl/>
              <w:spacing w:before="156" w:line="360" w:lineRule="auto"/>
              <w:jc w:val="left"/>
              <w:rPr>
                <w:rFonts w:hint="eastAsia" w:ascii="仿宋" w:hAnsi="仿宋" w:eastAsia="仿宋" w:cs="仿宋"/>
                <w:color w:val="auto"/>
                <w:sz w:val="24"/>
                <w:szCs w:val="24"/>
                <w:highlight w:val="none"/>
              </w:rPr>
            </w:pPr>
          </w:p>
        </w:tc>
        <w:tc>
          <w:tcPr>
            <w:tcW w:w="2469"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系统密封及泄漏</w:t>
            </w:r>
          </w:p>
        </w:tc>
        <w:tc>
          <w:tcPr>
            <w:tcW w:w="1059"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58"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58"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vMerge w:val="restart"/>
            <w:tcBorders>
              <w:top w:val="nil"/>
              <w:left w:val="single" w:color="auto" w:sz="4" w:space="0"/>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293" w:type="dxa"/>
            <w:gridSpan w:val="2"/>
            <w:vMerge w:val="restart"/>
            <w:tcBorders>
              <w:top w:val="nil"/>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压缩机</w:t>
            </w:r>
          </w:p>
        </w:tc>
        <w:tc>
          <w:tcPr>
            <w:tcW w:w="2469"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运转电流</w:t>
            </w:r>
          </w:p>
        </w:tc>
        <w:tc>
          <w:tcPr>
            <w:tcW w:w="1059"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58"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58"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vMerge w:val="continue"/>
            <w:tcBorders>
              <w:top w:val="nil"/>
              <w:left w:val="single" w:color="auto" w:sz="4" w:space="0"/>
              <w:bottom w:val="single" w:color="auto" w:sz="4" w:space="0"/>
              <w:right w:val="single" w:color="auto" w:sz="4" w:space="0"/>
            </w:tcBorders>
            <w:noWrap w:val="0"/>
            <w:vAlign w:val="center"/>
          </w:tcPr>
          <w:p>
            <w:pPr>
              <w:widowControl/>
              <w:spacing w:before="156" w:line="360" w:lineRule="auto"/>
              <w:jc w:val="left"/>
              <w:rPr>
                <w:rFonts w:hint="eastAsia" w:ascii="仿宋" w:hAnsi="仿宋" w:eastAsia="仿宋" w:cs="仿宋"/>
                <w:color w:val="auto"/>
                <w:sz w:val="24"/>
                <w:szCs w:val="24"/>
                <w:highlight w:val="none"/>
              </w:rPr>
            </w:pPr>
          </w:p>
        </w:tc>
        <w:tc>
          <w:tcPr>
            <w:tcW w:w="2293" w:type="dxa"/>
            <w:gridSpan w:val="2"/>
            <w:vMerge w:val="continue"/>
            <w:tcBorders>
              <w:top w:val="nil"/>
              <w:left w:val="nil"/>
              <w:bottom w:val="single" w:color="auto" w:sz="4" w:space="0"/>
              <w:right w:val="single" w:color="auto" w:sz="4" w:space="0"/>
            </w:tcBorders>
            <w:noWrap w:val="0"/>
            <w:vAlign w:val="center"/>
          </w:tcPr>
          <w:p>
            <w:pPr>
              <w:widowControl/>
              <w:spacing w:before="156" w:line="360" w:lineRule="auto"/>
              <w:jc w:val="left"/>
              <w:rPr>
                <w:rFonts w:hint="eastAsia" w:ascii="仿宋" w:hAnsi="仿宋" w:eastAsia="仿宋" w:cs="仿宋"/>
                <w:color w:val="auto"/>
                <w:sz w:val="24"/>
                <w:szCs w:val="24"/>
                <w:highlight w:val="none"/>
              </w:rPr>
            </w:pPr>
          </w:p>
        </w:tc>
        <w:tc>
          <w:tcPr>
            <w:tcW w:w="2469"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电机绝缘</w:t>
            </w:r>
          </w:p>
        </w:tc>
        <w:tc>
          <w:tcPr>
            <w:tcW w:w="1059"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58"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p>
        </w:tc>
        <w:tc>
          <w:tcPr>
            <w:tcW w:w="1058"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vMerge w:val="continue"/>
            <w:tcBorders>
              <w:top w:val="nil"/>
              <w:left w:val="single" w:color="auto" w:sz="4" w:space="0"/>
              <w:bottom w:val="single" w:color="auto" w:sz="4" w:space="0"/>
              <w:right w:val="single" w:color="auto" w:sz="4" w:space="0"/>
            </w:tcBorders>
            <w:noWrap w:val="0"/>
            <w:vAlign w:val="center"/>
          </w:tcPr>
          <w:p>
            <w:pPr>
              <w:widowControl/>
              <w:spacing w:before="156" w:line="360" w:lineRule="auto"/>
              <w:jc w:val="left"/>
              <w:rPr>
                <w:rFonts w:hint="eastAsia" w:ascii="仿宋" w:hAnsi="仿宋" w:eastAsia="仿宋" w:cs="仿宋"/>
                <w:color w:val="auto"/>
                <w:sz w:val="24"/>
                <w:szCs w:val="24"/>
                <w:highlight w:val="none"/>
              </w:rPr>
            </w:pPr>
          </w:p>
        </w:tc>
        <w:tc>
          <w:tcPr>
            <w:tcW w:w="2293" w:type="dxa"/>
            <w:gridSpan w:val="2"/>
            <w:vMerge w:val="continue"/>
            <w:tcBorders>
              <w:top w:val="nil"/>
              <w:left w:val="nil"/>
              <w:bottom w:val="single" w:color="auto" w:sz="4" w:space="0"/>
              <w:right w:val="single" w:color="auto" w:sz="4" w:space="0"/>
            </w:tcBorders>
            <w:noWrap w:val="0"/>
            <w:vAlign w:val="center"/>
          </w:tcPr>
          <w:p>
            <w:pPr>
              <w:widowControl/>
              <w:spacing w:before="156" w:line="360" w:lineRule="auto"/>
              <w:jc w:val="left"/>
              <w:rPr>
                <w:rFonts w:hint="eastAsia" w:ascii="仿宋" w:hAnsi="仿宋" w:eastAsia="仿宋" w:cs="仿宋"/>
                <w:color w:val="auto"/>
                <w:sz w:val="24"/>
                <w:szCs w:val="24"/>
                <w:highlight w:val="none"/>
              </w:rPr>
            </w:pPr>
          </w:p>
        </w:tc>
        <w:tc>
          <w:tcPr>
            <w:tcW w:w="2469"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油位及油色</w:t>
            </w:r>
          </w:p>
        </w:tc>
        <w:tc>
          <w:tcPr>
            <w:tcW w:w="1059"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58"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58"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vMerge w:val="continue"/>
            <w:tcBorders>
              <w:top w:val="nil"/>
              <w:left w:val="single" w:color="auto" w:sz="4" w:space="0"/>
              <w:bottom w:val="single" w:color="auto" w:sz="4" w:space="0"/>
              <w:right w:val="single" w:color="auto" w:sz="4" w:space="0"/>
            </w:tcBorders>
            <w:noWrap w:val="0"/>
            <w:vAlign w:val="center"/>
          </w:tcPr>
          <w:p>
            <w:pPr>
              <w:widowControl/>
              <w:spacing w:before="156" w:line="360" w:lineRule="auto"/>
              <w:jc w:val="left"/>
              <w:rPr>
                <w:rFonts w:hint="eastAsia" w:ascii="仿宋" w:hAnsi="仿宋" w:eastAsia="仿宋" w:cs="仿宋"/>
                <w:color w:val="auto"/>
                <w:sz w:val="24"/>
                <w:szCs w:val="24"/>
                <w:highlight w:val="none"/>
              </w:rPr>
            </w:pPr>
          </w:p>
        </w:tc>
        <w:tc>
          <w:tcPr>
            <w:tcW w:w="2293" w:type="dxa"/>
            <w:gridSpan w:val="2"/>
            <w:vMerge w:val="continue"/>
            <w:tcBorders>
              <w:top w:val="nil"/>
              <w:left w:val="nil"/>
              <w:bottom w:val="single" w:color="auto" w:sz="4" w:space="0"/>
              <w:right w:val="single" w:color="auto" w:sz="4" w:space="0"/>
            </w:tcBorders>
            <w:noWrap w:val="0"/>
            <w:vAlign w:val="center"/>
          </w:tcPr>
          <w:p>
            <w:pPr>
              <w:widowControl/>
              <w:spacing w:before="156" w:line="360" w:lineRule="auto"/>
              <w:jc w:val="left"/>
              <w:rPr>
                <w:rFonts w:hint="eastAsia" w:ascii="仿宋" w:hAnsi="仿宋" w:eastAsia="仿宋" w:cs="仿宋"/>
                <w:color w:val="auto"/>
                <w:sz w:val="24"/>
                <w:szCs w:val="24"/>
                <w:highlight w:val="none"/>
              </w:rPr>
            </w:pPr>
          </w:p>
        </w:tc>
        <w:tc>
          <w:tcPr>
            <w:tcW w:w="2469"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震动及噪音</w:t>
            </w:r>
          </w:p>
        </w:tc>
        <w:tc>
          <w:tcPr>
            <w:tcW w:w="1059"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58"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58"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vMerge w:val="continue"/>
            <w:tcBorders>
              <w:top w:val="nil"/>
              <w:left w:val="single" w:color="auto" w:sz="4" w:space="0"/>
              <w:bottom w:val="single" w:color="auto" w:sz="4" w:space="0"/>
              <w:right w:val="single" w:color="auto" w:sz="4" w:space="0"/>
            </w:tcBorders>
            <w:noWrap w:val="0"/>
            <w:vAlign w:val="center"/>
          </w:tcPr>
          <w:p>
            <w:pPr>
              <w:widowControl/>
              <w:spacing w:before="156" w:line="360" w:lineRule="auto"/>
              <w:jc w:val="left"/>
              <w:rPr>
                <w:rFonts w:hint="eastAsia" w:ascii="仿宋" w:hAnsi="仿宋" w:eastAsia="仿宋" w:cs="仿宋"/>
                <w:color w:val="auto"/>
                <w:sz w:val="24"/>
                <w:szCs w:val="24"/>
                <w:highlight w:val="none"/>
              </w:rPr>
            </w:pPr>
          </w:p>
        </w:tc>
        <w:tc>
          <w:tcPr>
            <w:tcW w:w="2293" w:type="dxa"/>
            <w:gridSpan w:val="2"/>
            <w:vMerge w:val="continue"/>
            <w:tcBorders>
              <w:top w:val="nil"/>
              <w:left w:val="nil"/>
              <w:bottom w:val="single" w:color="auto" w:sz="4" w:space="0"/>
              <w:right w:val="single" w:color="auto" w:sz="4" w:space="0"/>
            </w:tcBorders>
            <w:noWrap w:val="0"/>
            <w:vAlign w:val="center"/>
          </w:tcPr>
          <w:p>
            <w:pPr>
              <w:widowControl/>
              <w:spacing w:before="156" w:line="360" w:lineRule="auto"/>
              <w:jc w:val="left"/>
              <w:rPr>
                <w:rFonts w:hint="eastAsia" w:ascii="仿宋" w:hAnsi="仿宋" w:eastAsia="仿宋" w:cs="仿宋"/>
                <w:color w:val="auto"/>
                <w:sz w:val="24"/>
                <w:szCs w:val="24"/>
                <w:highlight w:val="none"/>
              </w:rPr>
            </w:pPr>
          </w:p>
        </w:tc>
        <w:tc>
          <w:tcPr>
            <w:tcW w:w="2469"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上下载电磁阀</w:t>
            </w:r>
          </w:p>
        </w:tc>
        <w:tc>
          <w:tcPr>
            <w:tcW w:w="1059"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58"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58"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vMerge w:val="continue"/>
            <w:tcBorders>
              <w:top w:val="nil"/>
              <w:left w:val="single" w:color="auto" w:sz="4" w:space="0"/>
              <w:bottom w:val="single" w:color="auto" w:sz="4" w:space="0"/>
              <w:right w:val="single" w:color="auto" w:sz="4" w:space="0"/>
            </w:tcBorders>
            <w:noWrap w:val="0"/>
            <w:vAlign w:val="center"/>
          </w:tcPr>
          <w:p>
            <w:pPr>
              <w:widowControl/>
              <w:spacing w:before="156" w:line="360" w:lineRule="auto"/>
              <w:jc w:val="left"/>
              <w:rPr>
                <w:rFonts w:hint="eastAsia" w:ascii="仿宋" w:hAnsi="仿宋" w:eastAsia="仿宋" w:cs="仿宋"/>
                <w:color w:val="auto"/>
                <w:sz w:val="24"/>
                <w:szCs w:val="24"/>
                <w:highlight w:val="none"/>
              </w:rPr>
            </w:pPr>
          </w:p>
        </w:tc>
        <w:tc>
          <w:tcPr>
            <w:tcW w:w="1235" w:type="dxa"/>
            <w:vMerge w:val="restart"/>
            <w:tcBorders>
              <w:top w:val="nil"/>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换热器</w:t>
            </w:r>
          </w:p>
        </w:tc>
        <w:tc>
          <w:tcPr>
            <w:tcW w:w="1058" w:type="dxa"/>
            <w:vMerge w:val="restart"/>
            <w:tcBorders>
              <w:top w:val="nil"/>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冷凝风机</w:t>
            </w:r>
          </w:p>
        </w:tc>
        <w:tc>
          <w:tcPr>
            <w:tcW w:w="2469"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风机运转电流及绝缘</w:t>
            </w:r>
          </w:p>
        </w:tc>
        <w:tc>
          <w:tcPr>
            <w:tcW w:w="1059"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58"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58"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vMerge w:val="continue"/>
            <w:tcBorders>
              <w:top w:val="nil"/>
              <w:left w:val="single" w:color="auto" w:sz="4" w:space="0"/>
              <w:bottom w:val="single" w:color="auto" w:sz="4" w:space="0"/>
              <w:right w:val="single" w:color="auto" w:sz="4" w:space="0"/>
            </w:tcBorders>
            <w:noWrap w:val="0"/>
            <w:vAlign w:val="center"/>
          </w:tcPr>
          <w:p>
            <w:pPr>
              <w:widowControl/>
              <w:spacing w:before="156" w:line="360" w:lineRule="auto"/>
              <w:jc w:val="left"/>
              <w:rPr>
                <w:rFonts w:hint="eastAsia" w:ascii="仿宋" w:hAnsi="仿宋" w:eastAsia="仿宋" w:cs="仿宋"/>
                <w:color w:val="auto"/>
                <w:sz w:val="24"/>
                <w:szCs w:val="24"/>
                <w:highlight w:val="none"/>
              </w:rPr>
            </w:pPr>
          </w:p>
        </w:tc>
        <w:tc>
          <w:tcPr>
            <w:tcW w:w="1235" w:type="dxa"/>
            <w:vMerge w:val="continue"/>
            <w:tcBorders>
              <w:top w:val="nil"/>
              <w:left w:val="nil"/>
              <w:bottom w:val="single" w:color="auto" w:sz="4" w:space="0"/>
              <w:right w:val="single" w:color="auto" w:sz="4" w:space="0"/>
            </w:tcBorders>
            <w:noWrap w:val="0"/>
            <w:vAlign w:val="center"/>
          </w:tcPr>
          <w:p>
            <w:pPr>
              <w:widowControl/>
              <w:spacing w:before="156" w:line="360" w:lineRule="auto"/>
              <w:jc w:val="left"/>
              <w:rPr>
                <w:rFonts w:hint="eastAsia" w:ascii="仿宋" w:hAnsi="仿宋" w:eastAsia="仿宋" w:cs="仿宋"/>
                <w:color w:val="auto"/>
                <w:sz w:val="24"/>
                <w:szCs w:val="24"/>
                <w:highlight w:val="none"/>
              </w:rPr>
            </w:pPr>
          </w:p>
        </w:tc>
        <w:tc>
          <w:tcPr>
            <w:tcW w:w="1058" w:type="dxa"/>
            <w:vMerge w:val="continue"/>
            <w:tcBorders>
              <w:top w:val="nil"/>
              <w:left w:val="nil"/>
              <w:bottom w:val="single" w:color="auto" w:sz="4" w:space="0"/>
              <w:right w:val="single" w:color="auto" w:sz="4" w:space="0"/>
            </w:tcBorders>
            <w:noWrap w:val="0"/>
            <w:vAlign w:val="center"/>
          </w:tcPr>
          <w:p>
            <w:pPr>
              <w:widowControl/>
              <w:spacing w:before="156" w:line="360" w:lineRule="auto"/>
              <w:jc w:val="left"/>
              <w:rPr>
                <w:rFonts w:hint="eastAsia" w:ascii="仿宋" w:hAnsi="仿宋" w:eastAsia="仿宋" w:cs="仿宋"/>
                <w:color w:val="auto"/>
                <w:sz w:val="24"/>
                <w:szCs w:val="24"/>
                <w:highlight w:val="none"/>
              </w:rPr>
            </w:pPr>
          </w:p>
        </w:tc>
        <w:tc>
          <w:tcPr>
            <w:tcW w:w="2469"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风叶破损及噪音</w:t>
            </w:r>
          </w:p>
        </w:tc>
        <w:tc>
          <w:tcPr>
            <w:tcW w:w="1059"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58"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58"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vMerge w:val="continue"/>
            <w:tcBorders>
              <w:top w:val="nil"/>
              <w:left w:val="single" w:color="auto" w:sz="4" w:space="0"/>
              <w:bottom w:val="single" w:color="auto" w:sz="4" w:space="0"/>
              <w:right w:val="single" w:color="auto" w:sz="4" w:space="0"/>
            </w:tcBorders>
            <w:noWrap w:val="0"/>
            <w:vAlign w:val="center"/>
          </w:tcPr>
          <w:p>
            <w:pPr>
              <w:widowControl/>
              <w:spacing w:before="156" w:line="360" w:lineRule="auto"/>
              <w:jc w:val="left"/>
              <w:rPr>
                <w:rFonts w:hint="eastAsia" w:ascii="仿宋" w:hAnsi="仿宋" w:eastAsia="仿宋" w:cs="仿宋"/>
                <w:color w:val="auto"/>
                <w:sz w:val="24"/>
                <w:szCs w:val="24"/>
                <w:highlight w:val="none"/>
              </w:rPr>
            </w:pPr>
          </w:p>
        </w:tc>
        <w:tc>
          <w:tcPr>
            <w:tcW w:w="1235" w:type="dxa"/>
            <w:vMerge w:val="continue"/>
            <w:tcBorders>
              <w:top w:val="nil"/>
              <w:left w:val="nil"/>
              <w:bottom w:val="single" w:color="auto" w:sz="4" w:space="0"/>
              <w:right w:val="single" w:color="auto" w:sz="4" w:space="0"/>
            </w:tcBorders>
            <w:noWrap w:val="0"/>
            <w:vAlign w:val="center"/>
          </w:tcPr>
          <w:p>
            <w:pPr>
              <w:widowControl/>
              <w:spacing w:before="156" w:line="360" w:lineRule="auto"/>
              <w:jc w:val="left"/>
              <w:rPr>
                <w:rFonts w:hint="eastAsia" w:ascii="仿宋" w:hAnsi="仿宋" w:eastAsia="仿宋" w:cs="仿宋"/>
                <w:color w:val="auto"/>
                <w:sz w:val="24"/>
                <w:szCs w:val="24"/>
                <w:highlight w:val="none"/>
              </w:rPr>
            </w:pPr>
          </w:p>
        </w:tc>
        <w:tc>
          <w:tcPr>
            <w:tcW w:w="1058" w:type="dxa"/>
            <w:vMerge w:val="restart"/>
            <w:tcBorders>
              <w:top w:val="nil"/>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蒸发器</w:t>
            </w:r>
          </w:p>
        </w:tc>
        <w:tc>
          <w:tcPr>
            <w:tcW w:w="2469"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水质</w:t>
            </w:r>
          </w:p>
        </w:tc>
        <w:tc>
          <w:tcPr>
            <w:tcW w:w="1059"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58"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58"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vMerge w:val="continue"/>
            <w:tcBorders>
              <w:top w:val="nil"/>
              <w:left w:val="single" w:color="auto" w:sz="4" w:space="0"/>
              <w:bottom w:val="single" w:color="auto" w:sz="4" w:space="0"/>
              <w:right w:val="single" w:color="auto" w:sz="4" w:space="0"/>
            </w:tcBorders>
            <w:noWrap w:val="0"/>
            <w:vAlign w:val="center"/>
          </w:tcPr>
          <w:p>
            <w:pPr>
              <w:widowControl/>
              <w:spacing w:before="156" w:line="360" w:lineRule="auto"/>
              <w:jc w:val="left"/>
              <w:rPr>
                <w:rFonts w:hint="eastAsia" w:ascii="仿宋" w:hAnsi="仿宋" w:eastAsia="仿宋" w:cs="仿宋"/>
                <w:color w:val="auto"/>
                <w:sz w:val="24"/>
                <w:szCs w:val="24"/>
                <w:highlight w:val="none"/>
              </w:rPr>
            </w:pPr>
          </w:p>
        </w:tc>
        <w:tc>
          <w:tcPr>
            <w:tcW w:w="1235" w:type="dxa"/>
            <w:vMerge w:val="continue"/>
            <w:tcBorders>
              <w:top w:val="nil"/>
              <w:left w:val="nil"/>
              <w:bottom w:val="single" w:color="auto" w:sz="4" w:space="0"/>
              <w:right w:val="single" w:color="auto" w:sz="4" w:space="0"/>
            </w:tcBorders>
            <w:noWrap w:val="0"/>
            <w:vAlign w:val="center"/>
          </w:tcPr>
          <w:p>
            <w:pPr>
              <w:widowControl/>
              <w:spacing w:before="156" w:line="360" w:lineRule="auto"/>
              <w:jc w:val="left"/>
              <w:rPr>
                <w:rFonts w:hint="eastAsia" w:ascii="仿宋" w:hAnsi="仿宋" w:eastAsia="仿宋" w:cs="仿宋"/>
                <w:color w:val="auto"/>
                <w:sz w:val="24"/>
                <w:szCs w:val="24"/>
                <w:highlight w:val="none"/>
              </w:rPr>
            </w:pPr>
          </w:p>
        </w:tc>
        <w:tc>
          <w:tcPr>
            <w:tcW w:w="1058" w:type="dxa"/>
            <w:vMerge w:val="continue"/>
            <w:tcBorders>
              <w:top w:val="nil"/>
              <w:left w:val="nil"/>
              <w:bottom w:val="single" w:color="auto" w:sz="4" w:space="0"/>
              <w:right w:val="single" w:color="auto" w:sz="4" w:space="0"/>
            </w:tcBorders>
            <w:noWrap w:val="0"/>
            <w:vAlign w:val="center"/>
          </w:tcPr>
          <w:p>
            <w:pPr>
              <w:widowControl/>
              <w:spacing w:before="156" w:line="360" w:lineRule="auto"/>
              <w:jc w:val="left"/>
              <w:rPr>
                <w:rFonts w:hint="eastAsia" w:ascii="仿宋" w:hAnsi="仿宋" w:eastAsia="仿宋" w:cs="仿宋"/>
                <w:color w:val="auto"/>
                <w:sz w:val="24"/>
                <w:szCs w:val="24"/>
                <w:highlight w:val="none"/>
              </w:rPr>
            </w:pPr>
          </w:p>
        </w:tc>
        <w:tc>
          <w:tcPr>
            <w:tcW w:w="2469"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水流量及压差</w:t>
            </w:r>
          </w:p>
        </w:tc>
        <w:tc>
          <w:tcPr>
            <w:tcW w:w="1059"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58"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58"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vMerge w:val="restart"/>
            <w:tcBorders>
              <w:top w:val="nil"/>
              <w:left w:val="single" w:color="auto" w:sz="4" w:space="0"/>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235" w:type="dxa"/>
            <w:vMerge w:val="restart"/>
            <w:tcBorders>
              <w:top w:val="nil"/>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阀件</w:t>
            </w:r>
          </w:p>
        </w:tc>
        <w:tc>
          <w:tcPr>
            <w:tcW w:w="1058" w:type="dxa"/>
            <w:vMerge w:val="restart"/>
            <w:tcBorders>
              <w:top w:val="nil"/>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膨胀阀</w:t>
            </w:r>
          </w:p>
        </w:tc>
        <w:tc>
          <w:tcPr>
            <w:tcW w:w="2469"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开启流通情况</w:t>
            </w:r>
          </w:p>
        </w:tc>
        <w:tc>
          <w:tcPr>
            <w:tcW w:w="1059"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58"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58"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vMerge w:val="continue"/>
            <w:tcBorders>
              <w:top w:val="nil"/>
              <w:left w:val="single" w:color="auto" w:sz="4" w:space="0"/>
              <w:bottom w:val="single" w:color="auto" w:sz="4" w:space="0"/>
              <w:right w:val="single" w:color="auto" w:sz="4" w:space="0"/>
            </w:tcBorders>
            <w:noWrap w:val="0"/>
            <w:vAlign w:val="center"/>
          </w:tcPr>
          <w:p>
            <w:pPr>
              <w:widowControl/>
              <w:spacing w:before="156" w:line="360" w:lineRule="auto"/>
              <w:jc w:val="left"/>
              <w:rPr>
                <w:rFonts w:hint="eastAsia" w:ascii="仿宋" w:hAnsi="仿宋" w:eastAsia="仿宋" w:cs="仿宋"/>
                <w:color w:val="auto"/>
                <w:sz w:val="24"/>
                <w:szCs w:val="24"/>
                <w:highlight w:val="none"/>
              </w:rPr>
            </w:pPr>
          </w:p>
        </w:tc>
        <w:tc>
          <w:tcPr>
            <w:tcW w:w="1235" w:type="dxa"/>
            <w:vMerge w:val="continue"/>
            <w:tcBorders>
              <w:top w:val="nil"/>
              <w:left w:val="nil"/>
              <w:bottom w:val="single" w:color="auto" w:sz="4" w:space="0"/>
              <w:right w:val="single" w:color="auto" w:sz="4" w:space="0"/>
            </w:tcBorders>
            <w:noWrap w:val="0"/>
            <w:vAlign w:val="center"/>
          </w:tcPr>
          <w:p>
            <w:pPr>
              <w:widowControl/>
              <w:spacing w:before="156" w:line="360" w:lineRule="auto"/>
              <w:jc w:val="left"/>
              <w:rPr>
                <w:rFonts w:hint="eastAsia" w:ascii="仿宋" w:hAnsi="仿宋" w:eastAsia="仿宋" w:cs="仿宋"/>
                <w:color w:val="auto"/>
                <w:sz w:val="24"/>
                <w:szCs w:val="24"/>
                <w:highlight w:val="none"/>
              </w:rPr>
            </w:pPr>
          </w:p>
        </w:tc>
        <w:tc>
          <w:tcPr>
            <w:tcW w:w="1058" w:type="dxa"/>
            <w:vMerge w:val="continue"/>
            <w:tcBorders>
              <w:top w:val="nil"/>
              <w:left w:val="nil"/>
              <w:bottom w:val="single" w:color="auto" w:sz="4" w:space="0"/>
              <w:right w:val="single" w:color="auto" w:sz="4" w:space="0"/>
            </w:tcBorders>
            <w:noWrap w:val="0"/>
            <w:vAlign w:val="center"/>
          </w:tcPr>
          <w:p>
            <w:pPr>
              <w:widowControl/>
              <w:spacing w:before="156" w:line="360" w:lineRule="auto"/>
              <w:jc w:val="left"/>
              <w:rPr>
                <w:rFonts w:hint="eastAsia" w:ascii="仿宋" w:hAnsi="仿宋" w:eastAsia="仿宋" w:cs="仿宋"/>
                <w:color w:val="auto"/>
                <w:sz w:val="24"/>
                <w:szCs w:val="24"/>
                <w:highlight w:val="none"/>
              </w:rPr>
            </w:pPr>
          </w:p>
        </w:tc>
        <w:tc>
          <w:tcPr>
            <w:tcW w:w="2469"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过热度调整</w:t>
            </w:r>
          </w:p>
        </w:tc>
        <w:tc>
          <w:tcPr>
            <w:tcW w:w="1059"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58"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p>
        </w:tc>
        <w:tc>
          <w:tcPr>
            <w:tcW w:w="1058"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vMerge w:val="continue"/>
            <w:tcBorders>
              <w:top w:val="nil"/>
              <w:left w:val="single" w:color="auto" w:sz="4" w:space="0"/>
              <w:bottom w:val="single" w:color="auto" w:sz="4" w:space="0"/>
              <w:right w:val="single" w:color="auto" w:sz="4" w:space="0"/>
            </w:tcBorders>
            <w:noWrap w:val="0"/>
            <w:vAlign w:val="center"/>
          </w:tcPr>
          <w:p>
            <w:pPr>
              <w:widowControl/>
              <w:spacing w:before="156" w:line="360" w:lineRule="auto"/>
              <w:jc w:val="left"/>
              <w:rPr>
                <w:rFonts w:hint="eastAsia" w:ascii="仿宋" w:hAnsi="仿宋" w:eastAsia="仿宋" w:cs="仿宋"/>
                <w:color w:val="auto"/>
                <w:sz w:val="24"/>
                <w:szCs w:val="24"/>
                <w:highlight w:val="none"/>
              </w:rPr>
            </w:pPr>
          </w:p>
        </w:tc>
        <w:tc>
          <w:tcPr>
            <w:tcW w:w="1235" w:type="dxa"/>
            <w:vMerge w:val="continue"/>
            <w:tcBorders>
              <w:top w:val="nil"/>
              <w:left w:val="nil"/>
              <w:bottom w:val="single" w:color="auto" w:sz="4" w:space="0"/>
              <w:right w:val="single" w:color="auto" w:sz="4" w:space="0"/>
            </w:tcBorders>
            <w:noWrap w:val="0"/>
            <w:vAlign w:val="center"/>
          </w:tcPr>
          <w:p>
            <w:pPr>
              <w:widowControl/>
              <w:spacing w:before="156" w:line="360" w:lineRule="auto"/>
              <w:jc w:val="left"/>
              <w:rPr>
                <w:rFonts w:hint="eastAsia" w:ascii="仿宋" w:hAnsi="仿宋" w:eastAsia="仿宋" w:cs="仿宋"/>
                <w:color w:val="auto"/>
                <w:sz w:val="24"/>
                <w:szCs w:val="24"/>
                <w:highlight w:val="none"/>
              </w:rPr>
            </w:pPr>
          </w:p>
        </w:tc>
        <w:tc>
          <w:tcPr>
            <w:tcW w:w="1058" w:type="dxa"/>
            <w:vMerge w:val="restart"/>
            <w:tcBorders>
              <w:top w:val="nil"/>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四通阀</w:t>
            </w:r>
          </w:p>
        </w:tc>
        <w:tc>
          <w:tcPr>
            <w:tcW w:w="2469"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线圈通断</w:t>
            </w:r>
          </w:p>
        </w:tc>
        <w:tc>
          <w:tcPr>
            <w:tcW w:w="1059"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58"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p>
        </w:tc>
        <w:tc>
          <w:tcPr>
            <w:tcW w:w="1058"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vMerge w:val="continue"/>
            <w:tcBorders>
              <w:top w:val="nil"/>
              <w:left w:val="single" w:color="auto" w:sz="4" w:space="0"/>
              <w:bottom w:val="single" w:color="auto" w:sz="4" w:space="0"/>
              <w:right w:val="single" w:color="auto" w:sz="4" w:space="0"/>
            </w:tcBorders>
            <w:noWrap w:val="0"/>
            <w:vAlign w:val="center"/>
          </w:tcPr>
          <w:p>
            <w:pPr>
              <w:widowControl/>
              <w:spacing w:before="156" w:line="360" w:lineRule="auto"/>
              <w:jc w:val="left"/>
              <w:rPr>
                <w:rFonts w:hint="eastAsia" w:ascii="仿宋" w:hAnsi="仿宋" w:eastAsia="仿宋" w:cs="仿宋"/>
                <w:color w:val="auto"/>
                <w:sz w:val="24"/>
                <w:szCs w:val="24"/>
                <w:highlight w:val="none"/>
              </w:rPr>
            </w:pPr>
          </w:p>
        </w:tc>
        <w:tc>
          <w:tcPr>
            <w:tcW w:w="1235" w:type="dxa"/>
            <w:vMerge w:val="continue"/>
            <w:tcBorders>
              <w:top w:val="nil"/>
              <w:left w:val="nil"/>
              <w:bottom w:val="single" w:color="auto" w:sz="4" w:space="0"/>
              <w:right w:val="single" w:color="auto" w:sz="4" w:space="0"/>
            </w:tcBorders>
            <w:noWrap w:val="0"/>
            <w:vAlign w:val="center"/>
          </w:tcPr>
          <w:p>
            <w:pPr>
              <w:widowControl/>
              <w:spacing w:before="156" w:line="360" w:lineRule="auto"/>
              <w:jc w:val="left"/>
              <w:rPr>
                <w:rFonts w:hint="eastAsia" w:ascii="仿宋" w:hAnsi="仿宋" w:eastAsia="仿宋" w:cs="仿宋"/>
                <w:color w:val="auto"/>
                <w:sz w:val="24"/>
                <w:szCs w:val="24"/>
                <w:highlight w:val="none"/>
              </w:rPr>
            </w:pPr>
          </w:p>
        </w:tc>
        <w:tc>
          <w:tcPr>
            <w:tcW w:w="1058" w:type="dxa"/>
            <w:vMerge w:val="continue"/>
            <w:tcBorders>
              <w:top w:val="nil"/>
              <w:left w:val="nil"/>
              <w:bottom w:val="single" w:color="auto" w:sz="4" w:space="0"/>
              <w:right w:val="single" w:color="auto" w:sz="4" w:space="0"/>
            </w:tcBorders>
            <w:noWrap w:val="0"/>
            <w:vAlign w:val="center"/>
          </w:tcPr>
          <w:p>
            <w:pPr>
              <w:widowControl/>
              <w:spacing w:before="156" w:line="360" w:lineRule="auto"/>
              <w:jc w:val="left"/>
              <w:rPr>
                <w:rFonts w:hint="eastAsia" w:ascii="仿宋" w:hAnsi="仿宋" w:eastAsia="仿宋" w:cs="仿宋"/>
                <w:color w:val="auto"/>
                <w:sz w:val="24"/>
                <w:szCs w:val="24"/>
                <w:highlight w:val="none"/>
              </w:rPr>
            </w:pPr>
          </w:p>
        </w:tc>
        <w:tc>
          <w:tcPr>
            <w:tcW w:w="2469" w:type="dxa"/>
            <w:tcBorders>
              <w:top w:val="single" w:color="auto" w:sz="4" w:space="0"/>
              <w:left w:val="nil"/>
              <w:bottom w:val="single" w:color="auto" w:sz="4" w:space="0"/>
              <w:right w:val="single" w:color="auto" w:sz="4" w:space="0"/>
            </w:tcBorders>
            <w:noWrap w:val="0"/>
            <w:vAlign w:val="center"/>
          </w:tcPr>
          <w:p>
            <w:pPr>
              <w:pStyle w:val="630"/>
              <w:spacing w:line="360" w:lineRule="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切换动作</w:t>
            </w:r>
          </w:p>
        </w:tc>
        <w:tc>
          <w:tcPr>
            <w:tcW w:w="1059"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58"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p>
        </w:tc>
        <w:tc>
          <w:tcPr>
            <w:tcW w:w="1058"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vMerge w:val="continue"/>
            <w:tcBorders>
              <w:top w:val="nil"/>
              <w:left w:val="single" w:color="auto" w:sz="4" w:space="0"/>
              <w:bottom w:val="single" w:color="auto" w:sz="4" w:space="0"/>
              <w:right w:val="single" w:color="auto" w:sz="4" w:space="0"/>
            </w:tcBorders>
            <w:noWrap w:val="0"/>
            <w:vAlign w:val="center"/>
          </w:tcPr>
          <w:p>
            <w:pPr>
              <w:widowControl/>
              <w:spacing w:before="156" w:line="360" w:lineRule="auto"/>
              <w:jc w:val="left"/>
              <w:rPr>
                <w:rFonts w:hint="eastAsia" w:ascii="仿宋" w:hAnsi="仿宋" w:eastAsia="仿宋" w:cs="仿宋"/>
                <w:color w:val="auto"/>
                <w:sz w:val="24"/>
                <w:szCs w:val="24"/>
                <w:highlight w:val="none"/>
              </w:rPr>
            </w:pPr>
          </w:p>
        </w:tc>
        <w:tc>
          <w:tcPr>
            <w:tcW w:w="1235" w:type="dxa"/>
            <w:vMerge w:val="continue"/>
            <w:tcBorders>
              <w:top w:val="nil"/>
              <w:left w:val="nil"/>
              <w:bottom w:val="single" w:color="auto" w:sz="4" w:space="0"/>
              <w:right w:val="single" w:color="auto" w:sz="4" w:space="0"/>
            </w:tcBorders>
            <w:noWrap w:val="0"/>
            <w:vAlign w:val="center"/>
          </w:tcPr>
          <w:p>
            <w:pPr>
              <w:widowControl/>
              <w:spacing w:before="156" w:line="360" w:lineRule="auto"/>
              <w:jc w:val="left"/>
              <w:rPr>
                <w:rFonts w:hint="eastAsia" w:ascii="仿宋" w:hAnsi="仿宋" w:eastAsia="仿宋" w:cs="仿宋"/>
                <w:color w:val="auto"/>
                <w:sz w:val="24"/>
                <w:szCs w:val="24"/>
                <w:highlight w:val="none"/>
              </w:rPr>
            </w:pPr>
          </w:p>
        </w:tc>
        <w:tc>
          <w:tcPr>
            <w:tcW w:w="1058"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电磁阀</w:t>
            </w:r>
          </w:p>
        </w:tc>
        <w:tc>
          <w:tcPr>
            <w:tcW w:w="2469"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通断开启</w:t>
            </w:r>
          </w:p>
        </w:tc>
        <w:tc>
          <w:tcPr>
            <w:tcW w:w="1059"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58"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58"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vMerge w:val="restart"/>
            <w:tcBorders>
              <w:top w:val="nil"/>
              <w:left w:val="single" w:color="auto" w:sz="4" w:space="0"/>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293" w:type="dxa"/>
            <w:gridSpan w:val="2"/>
            <w:vMerge w:val="restart"/>
            <w:tcBorders>
              <w:top w:val="nil"/>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电气仪表</w:t>
            </w:r>
          </w:p>
        </w:tc>
        <w:tc>
          <w:tcPr>
            <w:tcW w:w="2469"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压力表核准</w:t>
            </w:r>
          </w:p>
        </w:tc>
        <w:tc>
          <w:tcPr>
            <w:tcW w:w="1059"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58"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p>
        </w:tc>
        <w:tc>
          <w:tcPr>
            <w:tcW w:w="1058"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vMerge w:val="continue"/>
            <w:tcBorders>
              <w:top w:val="nil"/>
              <w:left w:val="single" w:color="auto" w:sz="4" w:space="0"/>
              <w:bottom w:val="single" w:color="auto" w:sz="4" w:space="0"/>
              <w:right w:val="single" w:color="auto" w:sz="4" w:space="0"/>
            </w:tcBorders>
            <w:noWrap w:val="0"/>
            <w:vAlign w:val="center"/>
          </w:tcPr>
          <w:p>
            <w:pPr>
              <w:widowControl/>
              <w:spacing w:before="156" w:line="360" w:lineRule="auto"/>
              <w:jc w:val="left"/>
              <w:rPr>
                <w:rFonts w:hint="eastAsia" w:ascii="仿宋" w:hAnsi="仿宋" w:eastAsia="仿宋" w:cs="仿宋"/>
                <w:color w:val="auto"/>
                <w:sz w:val="24"/>
                <w:szCs w:val="24"/>
                <w:highlight w:val="none"/>
              </w:rPr>
            </w:pPr>
          </w:p>
        </w:tc>
        <w:tc>
          <w:tcPr>
            <w:tcW w:w="2293" w:type="dxa"/>
            <w:gridSpan w:val="2"/>
            <w:vMerge w:val="continue"/>
            <w:tcBorders>
              <w:top w:val="nil"/>
              <w:left w:val="nil"/>
              <w:bottom w:val="single" w:color="auto" w:sz="4" w:space="0"/>
              <w:right w:val="single" w:color="auto" w:sz="4" w:space="0"/>
            </w:tcBorders>
            <w:noWrap w:val="0"/>
            <w:vAlign w:val="center"/>
          </w:tcPr>
          <w:p>
            <w:pPr>
              <w:widowControl/>
              <w:spacing w:before="156" w:line="360" w:lineRule="auto"/>
              <w:jc w:val="left"/>
              <w:rPr>
                <w:rFonts w:hint="eastAsia" w:ascii="仿宋" w:hAnsi="仿宋" w:eastAsia="仿宋" w:cs="仿宋"/>
                <w:color w:val="auto"/>
                <w:sz w:val="24"/>
                <w:szCs w:val="24"/>
                <w:highlight w:val="none"/>
              </w:rPr>
            </w:pPr>
          </w:p>
        </w:tc>
        <w:tc>
          <w:tcPr>
            <w:tcW w:w="2469"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高低压、油压差动作</w:t>
            </w:r>
          </w:p>
        </w:tc>
        <w:tc>
          <w:tcPr>
            <w:tcW w:w="1059"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58"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58"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vMerge w:val="continue"/>
            <w:tcBorders>
              <w:top w:val="nil"/>
              <w:left w:val="single" w:color="auto" w:sz="4" w:space="0"/>
              <w:bottom w:val="single" w:color="auto" w:sz="4" w:space="0"/>
              <w:right w:val="single" w:color="auto" w:sz="4" w:space="0"/>
            </w:tcBorders>
            <w:noWrap w:val="0"/>
            <w:vAlign w:val="center"/>
          </w:tcPr>
          <w:p>
            <w:pPr>
              <w:widowControl/>
              <w:spacing w:before="156" w:line="360" w:lineRule="auto"/>
              <w:jc w:val="left"/>
              <w:rPr>
                <w:rFonts w:hint="eastAsia" w:ascii="仿宋" w:hAnsi="仿宋" w:eastAsia="仿宋" w:cs="仿宋"/>
                <w:color w:val="auto"/>
                <w:sz w:val="24"/>
                <w:szCs w:val="24"/>
                <w:highlight w:val="none"/>
              </w:rPr>
            </w:pPr>
          </w:p>
        </w:tc>
        <w:tc>
          <w:tcPr>
            <w:tcW w:w="2293" w:type="dxa"/>
            <w:gridSpan w:val="2"/>
            <w:vMerge w:val="continue"/>
            <w:tcBorders>
              <w:top w:val="nil"/>
              <w:left w:val="nil"/>
              <w:bottom w:val="single" w:color="auto" w:sz="4" w:space="0"/>
              <w:right w:val="single" w:color="auto" w:sz="4" w:space="0"/>
            </w:tcBorders>
            <w:noWrap w:val="0"/>
            <w:vAlign w:val="center"/>
          </w:tcPr>
          <w:p>
            <w:pPr>
              <w:widowControl/>
              <w:spacing w:before="156" w:line="360" w:lineRule="auto"/>
              <w:jc w:val="left"/>
              <w:rPr>
                <w:rFonts w:hint="eastAsia" w:ascii="仿宋" w:hAnsi="仿宋" w:eastAsia="仿宋" w:cs="仿宋"/>
                <w:color w:val="auto"/>
                <w:sz w:val="24"/>
                <w:szCs w:val="24"/>
                <w:highlight w:val="none"/>
              </w:rPr>
            </w:pPr>
          </w:p>
        </w:tc>
        <w:tc>
          <w:tcPr>
            <w:tcW w:w="2469"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各设定值核准</w:t>
            </w:r>
          </w:p>
        </w:tc>
        <w:tc>
          <w:tcPr>
            <w:tcW w:w="1059"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58"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p>
        </w:tc>
        <w:tc>
          <w:tcPr>
            <w:tcW w:w="1058"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vMerge w:val="continue"/>
            <w:tcBorders>
              <w:top w:val="nil"/>
              <w:left w:val="single" w:color="auto" w:sz="4" w:space="0"/>
              <w:bottom w:val="single" w:color="auto" w:sz="4" w:space="0"/>
              <w:right w:val="single" w:color="auto" w:sz="4" w:space="0"/>
            </w:tcBorders>
            <w:noWrap w:val="0"/>
            <w:vAlign w:val="center"/>
          </w:tcPr>
          <w:p>
            <w:pPr>
              <w:widowControl/>
              <w:spacing w:before="156" w:line="360" w:lineRule="auto"/>
              <w:jc w:val="left"/>
              <w:rPr>
                <w:rFonts w:hint="eastAsia" w:ascii="仿宋" w:hAnsi="仿宋" w:eastAsia="仿宋" w:cs="仿宋"/>
                <w:color w:val="auto"/>
                <w:sz w:val="24"/>
                <w:szCs w:val="24"/>
                <w:highlight w:val="none"/>
              </w:rPr>
            </w:pPr>
          </w:p>
        </w:tc>
        <w:tc>
          <w:tcPr>
            <w:tcW w:w="2293" w:type="dxa"/>
            <w:gridSpan w:val="2"/>
            <w:vMerge w:val="continue"/>
            <w:tcBorders>
              <w:top w:val="nil"/>
              <w:left w:val="nil"/>
              <w:bottom w:val="single" w:color="auto" w:sz="4" w:space="0"/>
              <w:right w:val="single" w:color="auto" w:sz="4" w:space="0"/>
            </w:tcBorders>
            <w:noWrap w:val="0"/>
            <w:vAlign w:val="center"/>
          </w:tcPr>
          <w:p>
            <w:pPr>
              <w:widowControl/>
              <w:spacing w:before="156" w:line="360" w:lineRule="auto"/>
              <w:jc w:val="left"/>
              <w:rPr>
                <w:rFonts w:hint="eastAsia" w:ascii="仿宋" w:hAnsi="仿宋" w:eastAsia="仿宋" w:cs="仿宋"/>
                <w:color w:val="auto"/>
                <w:sz w:val="24"/>
                <w:szCs w:val="24"/>
                <w:highlight w:val="none"/>
              </w:rPr>
            </w:pPr>
          </w:p>
        </w:tc>
        <w:tc>
          <w:tcPr>
            <w:tcW w:w="2469"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电气模拟动作</w:t>
            </w:r>
          </w:p>
        </w:tc>
        <w:tc>
          <w:tcPr>
            <w:tcW w:w="1059"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58"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p>
        </w:tc>
        <w:tc>
          <w:tcPr>
            <w:tcW w:w="1058"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vMerge w:val="restart"/>
            <w:tcBorders>
              <w:top w:val="nil"/>
              <w:left w:val="single" w:color="auto" w:sz="4" w:space="0"/>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293" w:type="dxa"/>
            <w:gridSpan w:val="2"/>
            <w:vMerge w:val="restart"/>
            <w:tcBorders>
              <w:top w:val="nil"/>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干燥过滤器</w:t>
            </w:r>
          </w:p>
        </w:tc>
        <w:tc>
          <w:tcPr>
            <w:tcW w:w="2469"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阻流情况</w:t>
            </w:r>
          </w:p>
        </w:tc>
        <w:tc>
          <w:tcPr>
            <w:tcW w:w="1059"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58"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58"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vMerge w:val="continue"/>
            <w:tcBorders>
              <w:top w:val="nil"/>
              <w:left w:val="single" w:color="auto" w:sz="4" w:space="0"/>
              <w:bottom w:val="single" w:color="auto" w:sz="4" w:space="0"/>
              <w:right w:val="single" w:color="auto" w:sz="4" w:space="0"/>
            </w:tcBorders>
            <w:noWrap w:val="0"/>
            <w:vAlign w:val="center"/>
          </w:tcPr>
          <w:p>
            <w:pPr>
              <w:widowControl/>
              <w:spacing w:before="156" w:line="360" w:lineRule="auto"/>
              <w:jc w:val="left"/>
              <w:rPr>
                <w:rFonts w:hint="eastAsia" w:ascii="仿宋" w:hAnsi="仿宋" w:eastAsia="仿宋" w:cs="仿宋"/>
                <w:color w:val="auto"/>
                <w:sz w:val="24"/>
                <w:szCs w:val="24"/>
                <w:highlight w:val="none"/>
              </w:rPr>
            </w:pPr>
          </w:p>
        </w:tc>
        <w:tc>
          <w:tcPr>
            <w:tcW w:w="2293" w:type="dxa"/>
            <w:gridSpan w:val="2"/>
            <w:vMerge w:val="continue"/>
            <w:tcBorders>
              <w:top w:val="nil"/>
              <w:left w:val="nil"/>
              <w:bottom w:val="single" w:color="auto" w:sz="4" w:space="0"/>
              <w:right w:val="single" w:color="auto" w:sz="4" w:space="0"/>
            </w:tcBorders>
            <w:noWrap w:val="0"/>
            <w:vAlign w:val="center"/>
          </w:tcPr>
          <w:p>
            <w:pPr>
              <w:widowControl/>
              <w:spacing w:before="156" w:line="360" w:lineRule="auto"/>
              <w:jc w:val="left"/>
              <w:rPr>
                <w:rFonts w:hint="eastAsia" w:ascii="仿宋" w:hAnsi="仿宋" w:eastAsia="仿宋" w:cs="仿宋"/>
                <w:color w:val="auto"/>
                <w:sz w:val="24"/>
                <w:szCs w:val="24"/>
                <w:highlight w:val="none"/>
              </w:rPr>
            </w:pPr>
          </w:p>
        </w:tc>
        <w:tc>
          <w:tcPr>
            <w:tcW w:w="2469"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液视镜色泽干度</w:t>
            </w:r>
          </w:p>
        </w:tc>
        <w:tc>
          <w:tcPr>
            <w:tcW w:w="1059"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58"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58"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2293" w:type="dxa"/>
            <w:gridSpan w:val="2"/>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报警信息</w:t>
            </w:r>
          </w:p>
        </w:tc>
        <w:tc>
          <w:tcPr>
            <w:tcW w:w="2469"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检录输出</w:t>
            </w:r>
          </w:p>
        </w:tc>
        <w:tc>
          <w:tcPr>
            <w:tcW w:w="1059"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58"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p>
        </w:tc>
        <w:tc>
          <w:tcPr>
            <w:tcW w:w="1058" w:type="dxa"/>
            <w:tcBorders>
              <w:top w:val="single" w:color="auto" w:sz="4" w:space="0"/>
              <w:left w:val="nil"/>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bl>
    <w:p>
      <w:pPr>
        <w:spacing w:line="360" w:lineRule="auto"/>
        <w:ind w:firstLine="480" w:firstLineChars="200"/>
        <w:rPr>
          <w:rFonts w:hint="eastAsia" w:ascii="仿宋" w:hAnsi="仿宋" w:eastAsia="仿宋" w:cs="仿宋"/>
          <w:color w:val="auto"/>
          <w:kern w:val="0"/>
          <w:sz w:val="24"/>
          <w:szCs w:val="24"/>
          <w:highlight w:val="none"/>
          <w:lang w:val="en-US" w:eastAsia="zh-CN"/>
        </w:rPr>
      </w:pPr>
    </w:p>
    <w:p>
      <w:pPr>
        <w:spacing w:line="360" w:lineRule="auto"/>
        <w:ind w:firstLine="482" w:firstLineChars="200"/>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四、空调机组更新维修要求</w:t>
      </w:r>
    </w:p>
    <w:p>
      <w:pPr>
        <w:pStyle w:val="978"/>
        <w:spacing w:line="360" w:lineRule="auto"/>
        <w:ind w:firstLine="482" w:firstLineChars="20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本项目更新</w:t>
      </w:r>
      <w:r>
        <w:rPr>
          <w:rFonts w:hint="eastAsia" w:ascii="仿宋" w:hAnsi="仿宋" w:eastAsia="仿宋" w:cs="仿宋"/>
          <w:color w:val="auto"/>
          <w:sz w:val="24"/>
          <w:highlight w:val="none"/>
        </w:rPr>
        <w:t>安装部分应由具有安全生产许可证、建筑机电安装专业承包资质的单位承担。</w:t>
      </w:r>
    </w:p>
    <w:p>
      <w:pPr>
        <w:pStyle w:val="978"/>
        <w:spacing w:line="360" w:lineRule="auto"/>
        <w:ind w:firstLine="480" w:firstLineChars="20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4.1.循环空调箱（AHU）改造工作内容</w:t>
      </w:r>
    </w:p>
    <w:p>
      <w:pPr>
        <w:pStyle w:val="978"/>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kern w:val="2"/>
          <w:sz w:val="24"/>
          <w:szCs w:val="24"/>
          <w:highlight w:val="none"/>
          <w:lang w:val="en-US" w:eastAsia="zh-CN" w:bidi="ar-SA"/>
        </w:rPr>
        <w:t>）循环空调箱（AHU）的新风段更换“自动调节风量阀”，使满负荷时的新风量满足国标50333-2013《医院洁净手术部建筑技术规范》第4.0.1条要求。配置防火阀，并与大楼消控中心有点位连接，可进行消防联动关闭。</w:t>
      </w:r>
    </w:p>
    <w:p>
      <w:pPr>
        <w:pStyle w:val="978"/>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kern w:val="2"/>
          <w:sz w:val="24"/>
          <w:szCs w:val="24"/>
          <w:highlight w:val="none"/>
          <w:lang w:val="en-US" w:eastAsia="zh-CN" w:bidi="ar-SA"/>
        </w:rPr>
        <w:t>）房间循环空调箱（AHU）更换新的表冷器（表冷器采用进出水主管及各分支管均采用铜管，与空调接触的翅片采用铝翅片），增加迎风面积。通过降低进口温度和接触面积，增加除湿能力。更换和增加冷热回水电动调节阀门，并与更换后的自控柜有效连接。</w:t>
      </w:r>
    </w:p>
    <w:p>
      <w:pPr>
        <w:pStyle w:val="978"/>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kern w:val="2"/>
          <w:sz w:val="24"/>
          <w:szCs w:val="24"/>
          <w:highlight w:val="none"/>
          <w:lang w:val="en-US" w:eastAsia="zh-CN" w:bidi="ar-SA"/>
        </w:rPr>
        <w:t>）更换风机，在保持现有机外余压前提下，增加10%风量，并保证变频器的运行频率控制在50Hz以下运行</w:t>
      </w:r>
      <w:r>
        <w:rPr>
          <w:rFonts w:hint="eastAsia" w:ascii="仿宋" w:hAnsi="仿宋" w:eastAsia="仿宋" w:cs="仿宋"/>
          <w:color w:val="auto"/>
          <w:sz w:val="24"/>
          <w:szCs w:val="24"/>
          <w:highlight w:val="none"/>
          <w:lang w:eastAsia="zh-CN"/>
        </w:rPr>
        <w:t>。</w:t>
      </w:r>
    </w:p>
    <w:p>
      <w:pPr>
        <w:pStyle w:val="978"/>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kern w:val="2"/>
          <w:sz w:val="24"/>
          <w:szCs w:val="24"/>
          <w:highlight w:val="none"/>
          <w:lang w:val="en-US" w:eastAsia="zh-CN" w:bidi="ar-SA"/>
        </w:rPr>
        <w:t>房间空调箱（AHU）增加制热盘管（进出水主管及各分支管均采用铜管，与空调接触的翅片采用铝翅片），替代原电加热器功能（原电加热器保留备用,</w:t>
      </w:r>
      <w:r>
        <w:rPr>
          <w:rFonts w:hint="eastAsia" w:ascii="仿宋" w:hAnsi="仿宋" w:eastAsia="仿宋" w:cs="仿宋"/>
          <w:snapToGrid w:val="0"/>
          <w:color w:val="auto"/>
          <w:kern w:val="0"/>
          <w:sz w:val="24"/>
          <w:highlight w:val="none"/>
          <w:lang w:eastAsia="zh-CN"/>
        </w:rPr>
        <w:t>位置改为空调箱出风端</w:t>
      </w:r>
      <w:r>
        <w:rPr>
          <w:rFonts w:hint="eastAsia" w:ascii="仿宋" w:hAnsi="仿宋" w:eastAsia="仿宋" w:cs="仿宋"/>
          <w:color w:val="auto"/>
          <w:kern w:val="2"/>
          <w:sz w:val="24"/>
          <w:szCs w:val="24"/>
          <w:highlight w:val="none"/>
          <w:lang w:val="en-US" w:eastAsia="zh-CN" w:bidi="ar-SA"/>
        </w:rPr>
        <w:t>）。</w:t>
      </w:r>
    </w:p>
    <w:p>
      <w:pPr>
        <w:pStyle w:val="978"/>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kern w:val="2"/>
          <w:sz w:val="24"/>
          <w:szCs w:val="24"/>
          <w:highlight w:val="none"/>
          <w:lang w:val="en-US" w:eastAsia="zh-CN" w:bidi="ar-SA"/>
        </w:rPr>
        <w:t>）房间空调箱（AHU）更换自动控制柜及机组传感器，对电机运行频率的控制，达到手术室需要的正负压。</w:t>
      </w:r>
    </w:p>
    <w:p>
      <w:pPr>
        <w:pStyle w:val="978"/>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kern w:val="2"/>
          <w:sz w:val="24"/>
          <w:szCs w:val="24"/>
          <w:highlight w:val="none"/>
          <w:lang w:val="en-US" w:eastAsia="zh-CN" w:bidi="ar-SA"/>
        </w:rPr>
        <w:t>）房间空调箱（AHU）更换电极加湿器，恢复加湿功能。</w:t>
      </w:r>
    </w:p>
    <w:p>
      <w:pPr>
        <w:pStyle w:val="978"/>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kern w:val="2"/>
          <w:sz w:val="24"/>
          <w:szCs w:val="24"/>
          <w:highlight w:val="none"/>
          <w:lang w:val="en-US" w:eastAsia="zh-CN" w:bidi="ar-SA"/>
        </w:rPr>
        <w:t>）排风风机参与控制联动，根据室内正负压的情况运行，室内正负压值通过人机界面设定。</w:t>
      </w:r>
    </w:p>
    <w:p>
      <w:pPr>
        <w:pStyle w:val="978"/>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kern w:val="2"/>
          <w:sz w:val="24"/>
          <w:szCs w:val="24"/>
          <w:highlight w:val="none"/>
          <w:lang w:val="en-US" w:eastAsia="zh-CN" w:bidi="ar-SA"/>
        </w:rPr>
        <w:t>）空气处理机可由房间、值班室和护士台控制。</w:t>
      </w:r>
    </w:p>
    <w:p>
      <w:pPr>
        <w:adjustRightInd w:val="0"/>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9）附表参数中，原2台新风机机外余压偏高，总风量欠缺，可考虑更换风机、洁净走廊、洁净辅房、污物廊对应的AHU余压偏低，AHU-101机外余压偏低，改造后须满足使用要求。</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10</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snapToGrid w:val="0"/>
          <w:color w:val="auto"/>
          <w:kern w:val="0"/>
          <w:sz w:val="24"/>
          <w:highlight w:val="none"/>
        </w:rPr>
        <w:t>产房、ICU、新生儿等从直接从室外引入的新风空调箱。增加室外新风自动控制风阀。根据室内需要可设定风阀开度。</w:t>
      </w:r>
    </w:p>
    <w:p>
      <w:pPr>
        <w:pStyle w:val="978"/>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11）投标人负责设备的更换，</w:t>
      </w:r>
      <w:r>
        <w:rPr>
          <w:rFonts w:hint="eastAsia" w:ascii="仿宋" w:hAnsi="仿宋" w:eastAsia="仿宋" w:cs="仿宋"/>
          <w:color w:val="auto"/>
          <w:sz w:val="24"/>
          <w:szCs w:val="24"/>
          <w:highlight w:val="none"/>
        </w:rPr>
        <w:t>管道系统以冷热管出屋面墙一米为界。室外一米后为冷热源改造工作量。提供的自控系统必须预留485通讯接口、对第三方免费开放协议，院方所需的数据能按要求上传至智慧医院管理系统。</w:t>
      </w:r>
    </w:p>
    <w:p>
      <w:pPr>
        <w:pStyle w:val="978"/>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12）主要设备技术要求表（表-1）</w:t>
      </w:r>
    </w:p>
    <w:tbl>
      <w:tblPr>
        <w:tblStyle w:val="63"/>
        <w:tblW w:w="9431" w:type="dxa"/>
        <w:jc w:val="center"/>
        <w:tblBorders>
          <w:top w:val="thickThinSmallGap" w:color="auto" w:sz="12" w:space="0"/>
          <w:left w:val="thickThinSmallGap" w:color="auto" w:sz="12" w:space="0"/>
          <w:bottom w:val="thinThickSmallGap" w:color="auto" w:sz="12" w:space="0"/>
          <w:right w:val="thinThick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3"/>
        <w:gridCol w:w="2004"/>
        <w:gridCol w:w="5485"/>
        <w:gridCol w:w="1239"/>
      </w:tblGrid>
      <w:tr>
        <w:tblPrEx>
          <w:tblBorders>
            <w:top w:val="thickThinSmallGap" w:color="auto" w:sz="12" w:space="0"/>
            <w:left w:val="thickThin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3" w:type="dxa"/>
            <w:noWrap w:val="0"/>
            <w:vAlign w:val="center"/>
          </w:tcPr>
          <w:p>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2004" w:type="dxa"/>
            <w:noWrap w:val="0"/>
            <w:vAlign w:val="center"/>
          </w:tcPr>
          <w:p>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设备名称</w:t>
            </w:r>
          </w:p>
        </w:tc>
        <w:tc>
          <w:tcPr>
            <w:tcW w:w="5485" w:type="dxa"/>
            <w:noWrap w:val="0"/>
            <w:vAlign w:val="center"/>
          </w:tcPr>
          <w:p>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技术要求</w:t>
            </w:r>
          </w:p>
        </w:tc>
        <w:tc>
          <w:tcPr>
            <w:tcW w:w="1239" w:type="dxa"/>
            <w:noWrap w:val="0"/>
            <w:vAlign w:val="center"/>
          </w:tcPr>
          <w:p>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trHeight w:val="2980" w:hRule="atLeast"/>
          <w:jc w:val="center"/>
        </w:trPr>
        <w:tc>
          <w:tcPr>
            <w:tcW w:w="70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004"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表冷器</w:t>
            </w:r>
          </w:p>
        </w:tc>
        <w:tc>
          <w:tcPr>
            <w:tcW w:w="5485" w:type="dxa"/>
            <w:noWrap w:val="0"/>
            <w:vAlign w:val="center"/>
          </w:tcPr>
          <w:p>
            <w:pPr>
              <w:numPr>
                <w:ilvl w:val="-1"/>
                <w:numId w:val="0"/>
              </w:numPr>
              <w:spacing w:line="360" w:lineRule="auto"/>
              <w:jc w:val="left"/>
              <w:rPr>
                <w:rFonts w:hint="eastAsia" w:ascii="仿宋" w:hAnsi="仿宋" w:eastAsia="仿宋" w:cs="仿宋"/>
                <w:color w:val="auto"/>
                <w:sz w:val="24"/>
                <w:szCs w:val="24"/>
                <w:highlight w:val="none"/>
              </w:rPr>
            </w:pPr>
            <w:r>
              <w:rPr>
                <w:rFonts w:hint="default" w:ascii="Calibri" w:hAnsi="Calibri" w:eastAsia="仿宋" w:cs="Calibri"/>
                <w:color w:val="auto"/>
                <w:sz w:val="24"/>
                <w:szCs w:val="24"/>
                <w:highlight w:val="none"/>
              </w:rPr>
              <w:fldChar w:fldCharType="begin"/>
            </w:r>
            <w:r>
              <w:rPr>
                <w:rFonts w:hint="default" w:ascii="Calibri" w:hAnsi="Calibri" w:eastAsia="仿宋" w:cs="Calibri"/>
                <w:color w:val="auto"/>
                <w:sz w:val="24"/>
                <w:szCs w:val="24"/>
                <w:highlight w:val="none"/>
              </w:rPr>
              <w:instrText xml:space="preserve"> = 1 \* GB3 \* MERGEFORMAT </w:instrText>
            </w:r>
            <w:r>
              <w:rPr>
                <w:rFonts w:hint="default" w:ascii="Calibri" w:hAnsi="Calibri" w:eastAsia="仿宋" w:cs="Calibri"/>
                <w:color w:val="auto"/>
                <w:sz w:val="24"/>
                <w:szCs w:val="24"/>
                <w:highlight w:val="none"/>
              </w:rPr>
              <w:fldChar w:fldCharType="separate"/>
            </w:r>
            <w:r>
              <w:rPr>
                <w:color w:val="auto"/>
                <w:highlight w:val="none"/>
              </w:rPr>
              <w:t>①</w:t>
            </w:r>
            <w:r>
              <w:rPr>
                <w:rFonts w:hint="default" w:ascii="Calibri" w:hAnsi="Calibri" w:eastAsia="仿宋" w:cs="Calibri"/>
                <w:color w:val="auto"/>
                <w:sz w:val="24"/>
                <w:szCs w:val="24"/>
                <w:highlight w:val="none"/>
              </w:rPr>
              <w:fldChar w:fldCharType="end"/>
            </w:r>
            <w:r>
              <w:rPr>
                <w:rFonts w:hint="eastAsia" w:ascii="仿宋" w:hAnsi="仿宋" w:eastAsia="仿宋" w:cs="仿宋"/>
                <w:color w:val="auto"/>
                <w:sz w:val="24"/>
                <w:szCs w:val="24"/>
                <w:highlight w:val="none"/>
              </w:rPr>
              <w:t>全紫铜管流道（管壁≥1mm,表冷器与外部连接管道管壁≥2mm）、亲水铝翅片</w:t>
            </w:r>
          </w:p>
          <w:p>
            <w:pPr>
              <w:numPr>
                <w:ilvl w:val="-1"/>
                <w:numId w:val="0"/>
              </w:numPr>
              <w:spacing w:line="360" w:lineRule="auto"/>
              <w:rPr>
                <w:rFonts w:hint="eastAsia" w:ascii="仿宋" w:hAnsi="仿宋" w:eastAsia="仿宋" w:cs="仿宋"/>
                <w:color w:val="auto"/>
                <w:sz w:val="24"/>
                <w:szCs w:val="24"/>
                <w:highlight w:val="none"/>
              </w:rPr>
            </w:pPr>
            <w:r>
              <w:rPr>
                <w:rFonts w:hint="default" w:ascii="Calibri" w:hAnsi="Calibri" w:eastAsia="仿宋" w:cs="Calibri"/>
                <w:color w:val="auto"/>
                <w:sz w:val="24"/>
                <w:szCs w:val="24"/>
                <w:highlight w:val="none"/>
              </w:rPr>
              <w:fldChar w:fldCharType="begin"/>
            </w:r>
            <w:r>
              <w:rPr>
                <w:rFonts w:hint="default" w:ascii="Calibri" w:hAnsi="Calibri" w:eastAsia="仿宋" w:cs="Calibri"/>
                <w:color w:val="auto"/>
                <w:sz w:val="24"/>
                <w:szCs w:val="24"/>
                <w:highlight w:val="none"/>
              </w:rPr>
              <w:instrText xml:space="preserve"> = 2 \* GB3 \* MERGEFORMAT </w:instrText>
            </w:r>
            <w:r>
              <w:rPr>
                <w:rFonts w:hint="default" w:ascii="Calibri" w:hAnsi="Calibri" w:eastAsia="仿宋" w:cs="Calibri"/>
                <w:color w:val="auto"/>
                <w:sz w:val="24"/>
                <w:szCs w:val="24"/>
                <w:highlight w:val="none"/>
              </w:rPr>
              <w:fldChar w:fldCharType="separate"/>
            </w:r>
            <w:r>
              <w:rPr>
                <w:color w:val="auto"/>
                <w:highlight w:val="none"/>
              </w:rPr>
              <w:t>②</w:t>
            </w:r>
            <w:r>
              <w:rPr>
                <w:rFonts w:hint="default" w:ascii="Calibri" w:hAnsi="Calibri" w:eastAsia="仿宋" w:cs="Calibri"/>
                <w:color w:val="auto"/>
                <w:sz w:val="24"/>
                <w:szCs w:val="24"/>
                <w:highlight w:val="none"/>
              </w:rPr>
              <w:fldChar w:fldCharType="end"/>
            </w:r>
            <w:r>
              <w:rPr>
                <w:rFonts w:hint="eastAsia" w:ascii="仿宋" w:hAnsi="仿宋" w:eastAsia="仿宋" w:cs="仿宋"/>
                <w:color w:val="auto"/>
                <w:sz w:val="24"/>
                <w:szCs w:val="24"/>
                <w:highlight w:val="none"/>
              </w:rPr>
              <w:t>可与现有空调箱组装匹配</w:t>
            </w:r>
          </w:p>
          <w:p>
            <w:pPr>
              <w:numPr>
                <w:ilvl w:val="-1"/>
                <w:numId w:val="0"/>
              </w:numPr>
              <w:spacing w:line="360" w:lineRule="auto"/>
              <w:rPr>
                <w:rFonts w:hint="eastAsia" w:ascii="仿宋" w:hAnsi="仿宋" w:eastAsia="仿宋" w:cs="仿宋"/>
                <w:color w:val="auto"/>
                <w:sz w:val="24"/>
                <w:szCs w:val="24"/>
                <w:highlight w:val="none"/>
              </w:rPr>
            </w:pPr>
            <w:r>
              <w:rPr>
                <w:rFonts w:hint="default" w:ascii="Calibri" w:hAnsi="Calibri" w:eastAsia="仿宋" w:cs="Calibri"/>
                <w:color w:val="auto"/>
                <w:sz w:val="24"/>
                <w:szCs w:val="24"/>
                <w:highlight w:val="none"/>
              </w:rPr>
              <w:fldChar w:fldCharType="begin"/>
            </w:r>
            <w:r>
              <w:rPr>
                <w:rFonts w:hint="default" w:ascii="Calibri" w:hAnsi="Calibri" w:eastAsia="仿宋" w:cs="Calibri"/>
                <w:color w:val="auto"/>
                <w:sz w:val="24"/>
                <w:szCs w:val="24"/>
                <w:highlight w:val="none"/>
              </w:rPr>
              <w:instrText xml:space="preserve"> = 3 \* GB3 \* MERGEFORMAT </w:instrText>
            </w:r>
            <w:r>
              <w:rPr>
                <w:rFonts w:hint="default" w:ascii="Calibri" w:hAnsi="Calibri" w:eastAsia="仿宋" w:cs="Calibri"/>
                <w:color w:val="auto"/>
                <w:sz w:val="24"/>
                <w:szCs w:val="24"/>
                <w:highlight w:val="none"/>
              </w:rPr>
              <w:fldChar w:fldCharType="separate"/>
            </w:r>
            <w:r>
              <w:rPr>
                <w:color w:val="auto"/>
                <w:highlight w:val="none"/>
              </w:rPr>
              <w:t>③</w:t>
            </w:r>
            <w:r>
              <w:rPr>
                <w:rFonts w:hint="default" w:ascii="Calibri" w:hAnsi="Calibri" w:eastAsia="仿宋" w:cs="Calibri"/>
                <w:color w:val="auto"/>
                <w:sz w:val="24"/>
                <w:szCs w:val="24"/>
                <w:highlight w:val="none"/>
              </w:rPr>
              <w:fldChar w:fldCharType="end"/>
            </w:r>
            <w:r>
              <w:rPr>
                <w:rFonts w:hint="eastAsia" w:ascii="仿宋" w:hAnsi="仿宋" w:eastAsia="仿宋" w:cs="仿宋"/>
                <w:color w:val="auto"/>
                <w:sz w:val="24"/>
                <w:szCs w:val="24"/>
                <w:highlight w:val="none"/>
              </w:rPr>
              <w:t xml:space="preserve">耐腐蚀、便维修、便维护      </w:t>
            </w:r>
          </w:p>
          <w:p>
            <w:pPr>
              <w:numPr>
                <w:ilvl w:val="-1"/>
                <w:numId w:val="0"/>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4 \* GB3 \* MERGEFORMAT </w:instrText>
            </w:r>
            <w:r>
              <w:rPr>
                <w:rFonts w:hint="eastAsia" w:ascii="仿宋" w:hAnsi="仿宋" w:eastAsia="仿宋" w:cs="仿宋"/>
                <w:color w:val="auto"/>
                <w:sz w:val="24"/>
                <w:szCs w:val="24"/>
                <w:highlight w:val="none"/>
              </w:rPr>
              <w:fldChar w:fldCharType="separate"/>
            </w:r>
            <w:r>
              <w:rPr>
                <w:color w:val="auto"/>
                <w:highlight w:val="none"/>
              </w:rPr>
              <w:t>④</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比现用表冷器增加空气接触面积30%以上</w:t>
            </w:r>
          </w:p>
          <w:p>
            <w:pPr>
              <w:numPr>
                <w:ilvl w:val="-1"/>
                <w:numId w:val="0"/>
              </w:numPr>
              <w:spacing w:line="360" w:lineRule="auto"/>
              <w:ind w:left="0"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5 \* GB3 \* MERGEFORMAT </w:instrText>
            </w:r>
            <w:r>
              <w:rPr>
                <w:rFonts w:hint="eastAsia" w:ascii="仿宋" w:hAnsi="仿宋" w:eastAsia="仿宋" w:cs="仿宋"/>
                <w:color w:val="auto"/>
                <w:sz w:val="24"/>
                <w:szCs w:val="24"/>
                <w:highlight w:val="none"/>
              </w:rPr>
              <w:fldChar w:fldCharType="separate"/>
            </w:r>
            <w:r>
              <w:rPr>
                <w:color w:val="auto"/>
                <w:highlight w:val="none"/>
              </w:rPr>
              <w:t>⑤</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技术参数参考空调箱参数表</w:t>
            </w:r>
            <w:r>
              <w:rPr>
                <w:rFonts w:hint="eastAsia" w:ascii="仿宋" w:hAnsi="仿宋" w:eastAsia="仿宋" w:cs="仿宋"/>
                <w:color w:val="auto"/>
                <w:sz w:val="24"/>
                <w:szCs w:val="24"/>
                <w:highlight w:val="none"/>
                <w:lang w:val="en-US" w:eastAsia="zh-CN"/>
              </w:rPr>
              <w:t>(见第三部分采购需求</w:t>
            </w:r>
            <w:r>
              <w:rPr>
                <w:rFonts w:hint="eastAsia" w:ascii="仿宋" w:hAnsi="仿宋" w:eastAsia="仿宋" w:cs="仿宋"/>
                <w:color w:val="auto"/>
                <w:sz w:val="24"/>
                <w:highlight w:val="none"/>
                <w:lang w:val="en-US" w:eastAsia="zh-CN"/>
              </w:rPr>
              <w:t>八、现有设备情况、表格中的参数部分：冷量）注：每台冷量的值均不同。</w:t>
            </w:r>
          </w:p>
        </w:tc>
        <w:tc>
          <w:tcPr>
            <w:tcW w:w="1239"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详细技术说明</w:t>
            </w: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trHeight w:val="1374" w:hRule="atLeast"/>
          <w:jc w:val="center"/>
        </w:trPr>
        <w:tc>
          <w:tcPr>
            <w:tcW w:w="70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004"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加热器</w:t>
            </w:r>
          </w:p>
        </w:tc>
        <w:tc>
          <w:tcPr>
            <w:tcW w:w="5485" w:type="dxa"/>
            <w:noWrap w:val="0"/>
            <w:vAlign w:val="center"/>
          </w:tcPr>
          <w:p>
            <w:pPr>
              <w:numPr>
                <w:ilvl w:val="-1"/>
                <w:numId w:val="0"/>
              </w:numPr>
              <w:ind w:firstLine="0"/>
              <w:rPr>
                <w:rFonts w:hint="eastAsia" w:ascii="仿宋" w:hAnsi="仿宋" w:eastAsia="仿宋" w:cs="仿宋"/>
                <w:color w:val="auto"/>
                <w:sz w:val="24"/>
                <w:szCs w:val="24"/>
                <w:highlight w:val="none"/>
              </w:rPr>
            </w:pPr>
            <w:r>
              <w:rPr>
                <w:rFonts w:hint="default" w:ascii="Calibri" w:hAnsi="Calibri" w:eastAsia="仿宋" w:cs="Calibri"/>
                <w:color w:val="auto"/>
                <w:sz w:val="24"/>
                <w:szCs w:val="24"/>
                <w:highlight w:val="none"/>
              </w:rPr>
              <w:fldChar w:fldCharType="begin"/>
            </w:r>
            <w:r>
              <w:rPr>
                <w:rFonts w:hint="default" w:ascii="Calibri" w:hAnsi="Calibri" w:eastAsia="仿宋" w:cs="Calibri"/>
                <w:color w:val="auto"/>
                <w:sz w:val="24"/>
                <w:szCs w:val="24"/>
                <w:highlight w:val="none"/>
              </w:rPr>
              <w:instrText xml:space="preserve"> = 1 \* GB3 \* MERGEFORMAT </w:instrText>
            </w:r>
            <w:r>
              <w:rPr>
                <w:rFonts w:hint="default" w:ascii="Calibri" w:hAnsi="Calibri" w:eastAsia="仿宋" w:cs="Calibri"/>
                <w:color w:val="auto"/>
                <w:sz w:val="24"/>
                <w:szCs w:val="24"/>
                <w:highlight w:val="none"/>
              </w:rPr>
              <w:fldChar w:fldCharType="separate"/>
            </w:r>
            <w:r>
              <w:rPr>
                <w:color w:val="auto"/>
                <w:highlight w:val="none"/>
              </w:rPr>
              <w:t>①</w:t>
            </w:r>
            <w:r>
              <w:rPr>
                <w:rFonts w:hint="default" w:ascii="Calibri" w:hAnsi="Calibri" w:eastAsia="仿宋" w:cs="Calibri"/>
                <w:color w:val="auto"/>
                <w:sz w:val="24"/>
                <w:szCs w:val="24"/>
                <w:highlight w:val="none"/>
              </w:rPr>
              <w:fldChar w:fldCharType="end"/>
            </w:r>
            <w:r>
              <w:rPr>
                <w:rFonts w:hint="eastAsia" w:ascii="仿宋" w:hAnsi="仿宋" w:eastAsia="仿宋" w:cs="仿宋"/>
                <w:color w:val="auto"/>
                <w:sz w:val="24"/>
                <w:szCs w:val="24"/>
                <w:highlight w:val="none"/>
              </w:rPr>
              <w:t>全紫铜管流道（管壁≥1mm,加热器与外部连接管道管壁≥2mm）、亲水铝翅片</w:t>
            </w:r>
          </w:p>
          <w:p>
            <w:pPr>
              <w:numPr>
                <w:ilvl w:val="-1"/>
                <w:numId w:val="0"/>
              </w:numPr>
              <w:ind w:firstLine="0"/>
              <w:rPr>
                <w:rFonts w:hint="eastAsia" w:ascii="仿宋" w:hAnsi="仿宋" w:eastAsia="仿宋" w:cs="仿宋"/>
                <w:color w:val="auto"/>
                <w:sz w:val="24"/>
                <w:szCs w:val="24"/>
                <w:highlight w:val="none"/>
              </w:rPr>
            </w:pPr>
            <w:r>
              <w:rPr>
                <w:rFonts w:hint="default" w:ascii="Calibri" w:hAnsi="Calibri" w:eastAsia="仿宋" w:cs="Calibri"/>
                <w:color w:val="auto"/>
                <w:sz w:val="24"/>
                <w:szCs w:val="24"/>
                <w:highlight w:val="none"/>
              </w:rPr>
              <w:fldChar w:fldCharType="begin"/>
            </w:r>
            <w:r>
              <w:rPr>
                <w:rFonts w:hint="default" w:ascii="Calibri" w:hAnsi="Calibri" w:eastAsia="仿宋" w:cs="Calibri"/>
                <w:color w:val="auto"/>
                <w:sz w:val="24"/>
                <w:szCs w:val="24"/>
                <w:highlight w:val="none"/>
              </w:rPr>
              <w:instrText xml:space="preserve"> = 2 \* GB3 \* MERGEFORMAT </w:instrText>
            </w:r>
            <w:r>
              <w:rPr>
                <w:rFonts w:hint="default" w:ascii="Calibri" w:hAnsi="Calibri" w:eastAsia="仿宋" w:cs="Calibri"/>
                <w:color w:val="auto"/>
                <w:sz w:val="24"/>
                <w:szCs w:val="24"/>
                <w:highlight w:val="none"/>
              </w:rPr>
              <w:fldChar w:fldCharType="separate"/>
            </w:r>
            <w:r>
              <w:rPr>
                <w:color w:val="auto"/>
                <w:highlight w:val="none"/>
              </w:rPr>
              <w:t>②</w:t>
            </w:r>
            <w:r>
              <w:rPr>
                <w:rFonts w:hint="default" w:ascii="Calibri" w:hAnsi="Calibri" w:eastAsia="仿宋" w:cs="Calibri"/>
                <w:color w:val="auto"/>
                <w:sz w:val="24"/>
                <w:szCs w:val="24"/>
                <w:highlight w:val="none"/>
              </w:rPr>
              <w:fldChar w:fldCharType="end"/>
            </w:r>
            <w:r>
              <w:rPr>
                <w:rFonts w:hint="eastAsia" w:ascii="仿宋" w:hAnsi="仿宋" w:eastAsia="仿宋" w:cs="仿宋"/>
                <w:color w:val="auto"/>
                <w:sz w:val="24"/>
                <w:szCs w:val="24"/>
                <w:highlight w:val="none"/>
              </w:rPr>
              <w:t>可与现有空调风管匹配</w:t>
            </w:r>
          </w:p>
          <w:p>
            <w:pPr>
              <w:numPr>
                <w:ilvl w:val="-1"/>
                <w:numId w:val="0"/>
              </w:numPr>
              <w:ind w:firstLine="0"/>
              <w:rPr>
                <w:rFonts w:hint="eastAsia" w:ascii="仿宋" w:hAnsi="仿宋" w:eastAsia="仿宋" w:cs="仿宋"/>
                <w:color w:val="auto"/>
                <w:sz w:val="24"/>
                <w:szCs w:val="24"/>
                <w:highlight w:val="none"/>
              </w:rPr>
            </w:pPr>
            <w:r>
              <w:rPr>
                <w:rFonts w:hint="default" w:ascii="Calibri" w:hAnsi="Calibri" w:eastAsia="仿宋" w:cs="Calibri"/>
                <w:color w:val="auto"/>
                <w:sz w:val="24"/>
                <w:szCs w:val="24"/>
                <w:highlight w:val="none"/>
              </w:rPr>
              <w:fldChar w:fldCharType="begin"/>
            </w:r>
            <w:r>
              <w:rPr>
                <w:rFonts w:hint="default" w:ascii="Calibri" w:hAnsi="Calibri" w:eastAsia="仿宋" w:cs="Calibri"/>
                <w:color w:val="auto"/>
                <w:sz w:val="24"/>
                <w:szCs w:val="24"/>
                <w:highlight w:val="none"/>
              </w:rPr>
              <w:instrText xml:space="preserve"> = 3 \* GB3 \* MERGEFORMAT </w:instrText>
            </w:r>
            <w:r>
              <w:rPr>
                <w:rFonts w:hint="default" w:ascii="Calibri" w:hAnsi="Calibri" w:eastAsia="仿宋" w:cs="Calibri"/>
                <w:color w:val="auto"/>
                <w:sz w:val="24"/>
                <w:szCs w:val="24"/>
                <w:highlight w:val="none"/>
              </w:rPr>
              <w:fldChar w:fldCharType="separate"/>
            </w:r>
            <w:r>
              <w:rPr>
                <w:color w:val="auto"/>
                <w:highlight w:val="none"/>
              </w:rPr>
              <w:t>③</w:t>
            </w:r>
            <w:r>
              <w:rPr>
                <w:rFonts w:hint="default" w:ascii="Calibri" w:hAnsi="Calibri" w:eastAsia="仿宋" w:cs="Calibri"/>
                <w:color w:val="auto"/>
                <w:sz w:val="24"/>
                <w:szCs w:val="24"/>
                <w:highlight w:val="none"/>
              </w:rPr>
              <w:fldChar w:fldCharType="end"/>
            </w:r>
            <w:r>
              <w:rPr>
                <w:rFonts w:hint="eastAsia" w:ascii="仿宋" w:hAnsi="仿宋" w:eastAsia="仿宋" w:cs="仿宋"/>
                <w:color w:val="auto"/>
                <w:sz w:val="24"/>
                <w:szCs w:val="24"/>
                <w:highlight w:val="none"/>
              </w:rPr>
              <w:t xml:space="preserve">耐腐蚀、便维修、便维护   </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4 \* GB3 \* MERGEFORMAT </w:instrText>
            </w:r>
            <w:r>
              <w:rPr>
                <w:rFonts w:hint="eastAsia" w:ascii="仿宋" w:hAnsi="仿宋" w:eastAsia="仿宋" w:cs="仿宋"/>
                <w:color w:val="auto"/>
                <w:sz w:val="24"/>
                <w:szCs w:val="24"/>
                <w:highlight w:val="none"/>
              </w:rPr>
              <w:fldChar w:fldCharType="separate"/>
            </w:r>
            <w:r>
              <w:rPr>
                <w:color w:val="auto"/>
                <w:highlight w:val="none"/>
              </w:rPr>
              <w:t>④</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技术参数参考空调箱参数表</w:t>
            </w:r>
            <w:r>
              <w:rPr>
                <w:rFonts w:hint="eastAsia" w:ascii="仿宋" w:hAnsi="仿宋" w:eastAsia="仿宋" w:cs="仿宋"/>
                <w:color w:val="auto"/>
                <w:sz w:val="24"/>
                <w:szCs w:val="24"/>
                <w:highlight w:val="none"/>
                <w:lang w:val="en-US" w:eastAsia="zh-CN"/>
              </w:rPr>
              <w:t>(见第三部分采购需求</w:t>
            </w:r>
            <w:r>
              <w:rPr>
                <w:rFonts w:hint="eastAsia" w:ascii="仿宋" w:hAnsi="仿宋" w:eastAsia="仿宋" w:cs="仿宋"/>
                <w:color w:val="auto"/>
                <w:sz w:val="24"/>
                <w:highlight w:val="none"/>
                <w:lang w:val="en-US" w:eastAsia="zh-CN"/>
              </w:rPr>
              <w:t>八、现有设备情况、表格中的参数部分：优于原有空调</w:t>
            </w:r>
            <w:r>
              <w:rPr>
                <w:rFonts w:hint="eastAsia" w:ascii="仿宋" w:hAnsi="仿宋" w:eastAsia="仿宋" w:cs="仿宋"/>
                <w:color w:val="auto"/>
                <w:kern w:val="2"/>
                <w:sz w:val="24"/>
                <w:szCs w:val="24"/>
                <w:highlight w:val="none"/>
                <w:lang w:bidi="ar"/>
              </w:rPr>
              <w:t>电加热</w:t>
            </w:r>
            <w:r>
              <w:rPr>
                <w:rFonts w:hint="eastAsia" w:ascii="仿宋" w:hAnsi="仿宋" w:eastAsia="仿宋" w:cs="仿宋"/>
                <w:color w:val="auto"/>
                <w:kern w:val="2"/>
                <w:sz w:val="24"/>
                <w:szCs w:val="24"/>
                <w:highlight w:val="none"/>
                <w:lang w:eastAsia="zh-CN" w:bidi="ar"/>
              </w:rPr>
              <w:t>功率</w:t>
            </w:r>
            <w:r>
              <w:rPr>
                <w:rFonts w:hint="eastAsia" w:ascii="仿宋" w:hAnsi="仿宋" w:eastAsia="仿宋" w:cs="仿宋"/>
                <w:color w:val="auto"/>
                <w:sz w:val="24"/>
                <w:highlight w:val="none"/>
                <w:lang w:val="en-US" w:eastAsia="zh-CN"/>
              </w:rPr>
              <w:t>）注：每台的</w:t>
            </w:r>
            <w:r>
              <w:rPr>
                <w:rFonts w:hint="eastAsia" w:ascii="仿宋" w:hAnsi="仿宋" w:eastAsia="仿宋" w:cs="仿宋"/>
                <w:color w:val="auto"/>
                <w:kern w:val="2"/>
                <w:sz w:val="24"/>
                <w:szCs w:val="24"/>
                <w:highlight w:val="none"/>
                <w:lang w:bidi="ar"/>
              </w:rPr>
              <w:t>电加热</w:t>
            </w:r>
            <w:r>
              <w:rPr>
                <w:rFonts w:hint="eastAsia" w:ascii="仿宋" w:hAnsi="仿宋" w:eastAsia="仿宋" w:cs="仿宋"/>
                <w:color w:val="auto"/>
                <w:kern w:val="2"/>
                <w:sz w:val="24"/>
                <w:szCs w:val="24"/>
                <w:highlight w:val="none"/>
                <w:lang w:eastAsia="zh-CN" w:bidi="ar"/>
              </w:rPr>
              <w:t>功率</w:t>
            </w:r>
            <w:r>
              <w:rPr>
                <w:rFonts w:hint="eastAsia" w:ascii="仿宋" w:hAnsi="仿宋" w:eastAsia="仿宋" w:cs="仿宋"/>
                <w:color w:val="auto"/>
                <w:sz w:val="24"/>
                <w:highlight w:val="none"/>
                <w:lang w:val="en-US" w:eastAsia="zh-CN"/>
              </w:rPr>
              <w:t>值均不同。</w:t>
            </w:r>
          </w:p>
        </w:tc>
        <w:tc>
          <w:tcPr>
            <w:tcW w:w="1239"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详细技术说明</w:t>
            </w: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70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004" w:type="dxa"/>
            <w:noWrap w:val="0"/>
            <w:vAlign w:val="center"/>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电极加湿器</w:t>
            </w:r>
          </w:p>
          <w:p>
            <w:pPr>
              <w:spacing w:line="360" w:lineRule="auto"/>
              <w:jc w:val="center"/>
              <w:rPr>
                <w:rFonts w:hint="eastAsia" w:ascii="仿宋" w:hAnsi="仿宋" w:eastAsia="仿宋" w:cs="仿宋"/>
                <w:color w:val="auto"/>
                <w:sz w:val="24"/>
                <w:szCs w:val="24"/>
                <w:highlight w:val="none"/>
              </w:rPr>
            </w:pPr>
          </w:p>
        </w:tc>
        <w:tc>
          <w:tcPr>
            <w:tcW w:w="5485" w:type="dxa"/>
            <w:noWrap w:val="0"/>
            <w:vAlign w:val="center"/>
          </w:tcPr>
          <w:p>
            <w:pPr>
              <w:pStyle w:val="85"/>
              <w:numPr>
                <w:ilvl w:val="-1"/>
                <w:numId w:val="0"/>
              </w:numPr>
              <w:spacing w:line="360" w:lineRule="auto"/>
              <w:ind w:left="0" w:firstLine="0" w:firstLineChars="0"/>
              <w:jc w:val="left"/>
              <w:rPr>
                <w:rFonts w:hint="eastAsia" w:ascii="仿宋" w:hAnsi="仿宋" w:eastAsia="仿宋" w:cs="仿宋"/>
                <w:color w:val="auto"/>
                <w:sz w:val="24"/>
                <w:szCs w:val="24"/>
                <w:highlight w:val="none"/>
              </w:rPr>
            </w:pPr>
            <w:r>
              <w:rPr>
                <w:rFonts w:hint="default" w:ascii="Calibri" w:hAnsi="Calibri" w:eastAsia="仿宋" w:cs="Calibri"/>
                <w:color w:val="auto"/>
                <w:sz w:val="24"/>
                <w:szCs w:val="24"/>
                <w:highlight w:val="none"/>
              </w:rPr>
              <w:fldChar w:fldCharType="begin"/>
            </w:r>
            <w:r>
              <w:rPr>
                <w:rFonts w:hint="default" w:ascii="Calibri" w:hAnsi="Calibri" w:eastAsia="仿宋" w:cs="Calibri"/>
                <w:color w:val="auto"/>
                <w:sz w:val="24"/>
                <w:szCs w:val="24"/>
                <w:highlight w:val="none"/>
              </w:rPr>
              <w:instrText xml:space="preserve"> = 1 \* GB3 \* MERGEFORMAT </w:instrText>
            </w:r>
            <w:r>
              <w:rPr>
                <w:rFonts w:hint="default" w:ascii="Calibri" w:hAnsi="Calibri" w:eastAsia="仿宋" w:cs="Calibri"/>
                <w:color w:val="auto"/>
                <w:sz w:val="24"/>
                <w:szCs w:val="24"/>
                <w:highlight w:val="none"/>
              </w:rPr>
              <w:fldChar w:fldCharType="separate"/>
            </w:r>
            <w:r>
              <w:rPr>
                <w:color w:val="auto"/>
                <w:highlight w:val="none"/>
              </w:rPr>
              <w:t>①</w:t>
            </w:r>
            <w:r>
              <w:rPr>
                <w:rFonts w:hint="default" w:ascii="Calibri" w:hAnsi="Calibri" w:eastAsia="仿宋" w:cs="Calibri"/>
                <w:color w:val="auto"/>
                <w:sz w:val="24"/>
                <w:szCs w:val="24"/>
                <w:highlight w:val="none"/>
              </w:rPr>
              <w:fldChar w:fldCharType="end"/>
            </w:r>
            <w:r>
              <w:rPr>
                <w:rFonts w:hint="eastAsia" w:ascii="仿宋" w:hAnsi="仿宋" w:eastAsia="仿宋" w:cs="仿宋"/>
                <w:color w:val="auto"/>
                <w:sz w:val="24"/>
                <w:szCs w:val="24"/>
                <w:highlight w:val="none"/>
              </w:rPr>
              <w:t>显示实时加湿电流等参数</w:t>
            </w:r>
          </w:p>
          <w:p>
            <w:pPr>
              <w:pStyle w:val="85"/>
              <w:numPr>
                <w:ilvl w:val="-1"/>
                <w:numId w:val="0"/>
              </w:numPr>
              <w:spacing w:line="360" w:lineRule="auto"/>
              <w:ind w:left="0" w:firstLine="0" w:firstLineChars="0"/>
              <w:jc w:val="left"/>
              <w:rPr>
                <w:rFonts w:hint="eastAsia" w:ascii="仿宋" w:hAnsi="仿宋" w:eastAsia="仿宋" w:cs="仿宋"/>
                <w:color w:val="auto"/>
                <w:sz w:val="24"/>
                <w:szCs w:val="24"/>
                <w:highlight w:val="none"/>
              </w:rPr>
            </w:pPr>
            <w:r>
              <w:rPr>
                <w:rFonts w:hint="default" w:ascii="Calibri" w:hAnsi="Calibri" w:eastAsia="仿宋" w:cs="Calibri"/>
                <w:color w:val="auto"/>
                <w:sz w:val="24"/>
                <w:szCs w:val="24"/>
                <w:highlight w:val="none"/>
              </w:rPr>
              <w:fldChar w:fldCharType="begin"/>
            </w:r>
            <w:r>
              <w:rPr>
                <w:rFonts w:hint="default" w:ascii="Calibri" w:hAnsi="Calibri" w:eastAsia="仿宋" w:cs="Calibri"/>
                <w:color w:val="auto"/>
                <w:sz w:val="24"/>
                <w:szCs w:val="24"/>
                <w:highlight w:val="none"/>
              </w:rPr>
              <w:instrText xml:space="preserve"> = 2 \* GB3 \* MERGEFORMAT </w:instrText>
            </w:r>
            <w:r>
              <w:rPr>
                <w:rFonts w:hint="default" w:ascii="Calibri" w:hAnsi="Calibri" w:eastAsia="仿宋" w:cs="Calibri"/>
                <w:color w:val="auto"/>
                <w:sz w:val="24"/>
                <w:szCs w:val="24"/>
                <w:highlight w:val="none"/>
              </w:rPr>
              <w:fldChar w:fldCharType="separate"/>
            </w:r>
            <w:r>
              <w:rPr>
                <w:color w:val="auto"/>
                <w:highlight w:val="none"/>
              </w:rPr>
              <w:t>②</w:t>
            </w:r>
            <w:r>
              <w:rPr>
                <w:rFonts w:hint="default" w:ascii="Calibri" w:hAnsi="Calibri" w:eastAsia="仿宋" w:cs="Calibri"/>
                <w:color w:val="auto"/>
                <w:sz w:val="24"/>
                <w:szCs w:val="24"/>
                <w:highlight w:val="none"/>
              </w:rPr>
              <w:fldChar w:fldCharType="end"/>
            </w:r>
            <w:r>
              <w:rPr>
                <w:rFonts w:hint="eastAsia" w:ascii="仿宋" w:hAnsi="仿宋" w:eastAsia="仿宋" w:cs="仿宋"/>
                <w:color w:val="auto"/>
                <w:sz w:val="24"/>
                <w:szCs w:val="24"/>
                <w:highlight w:val="none"/>
              </w:rPr>
              <w:t>具有485通讯功能，设备运行状况能反馈至总控制台</w:t>
            </w:r>
          </w:p>
        </w:tc>
        <w:tc>
          <w:tcPr>
            <w:tcW w:w="123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详细技术说明</w:t>
            </w: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70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004" w:type="dxa"/>
            <w:noWrap w:val="0"/>
            <w:vAlign w:val="center"/>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自动调节新风阀</w:t>
            </w:r>
          </w:p>
        </w:tc>
        <w:tc>
          <w:tcPr>
            <w:tcW w:w="5485" w:type="dxa"/>
            <w:noWrap w:val="0"/>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根据总控台要求，自动调节风阀开度</w:t>
            </w:r>
          </w:p>
        </w:tc>
        <w:tc>
          <w:tcPr>
            <w:tcW w:w="123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技术说明</w:t>
            </w: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703" w:type="dxa"/>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004" w:type="dxa"/>
            <w:noWrap w:val="0"/>
            <w:vAlign w:val="center"/>
          </w:tcPr>
          <w:p>
            <w:pPr>
              <w:spacing w:line="36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风机</w:t>
            </w:r>
          </w:p>
        </w:tc>
        <w:tc>
          <w:tcPr>
            <w:tcW w:w="5485" w:type="dxa"/>
            <w:noWrap w:val="0"/>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变频风机或直流风机</w:t>
            </w:r>
          </w:p>
        </w:tc>
        <w:tc>
          <w:tcPr>
            <w:tcW w:w="123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技术说明</w:t>
            </w: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703" w:type="dxa"/>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6</w:t>
            </w:r>
          </w:p>
        </w:tc>
        <w:tc>
          <w:tcPr>
            <w:tcW w:w="2004" w:type="dxa"/>
            <w:noWrap w:val="0"/>
            <w:vAlign w:val="center"/>
          </w:tcPr>
          <w:p>
            <w:pPr>
              <w:spacing w:line="36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加热段空调箱</w:t>
            </w:r>
          </w:p>
        </w:tc>
        <w:tc>
          <w:tcPr>
            <w:tcW w:w="5485" w:type="dxa"/>
            <w:noWrap w:val="0"/>
            <w:vAlign w:val="center"/>
          </w:tcPr>
          <w:p>
            <w:pPr>
              <w:spacing w:line="360" w:lineRule="auto"/>
              <w:jc w:val="left"/>
              <w:rPr>
                <w:rFonts w:hint="eastAsia" w:ascii="仿宋" w:hAnsi="仿宋" w:eastAsia="仿宋" w:cs="仿宋"/>
                <w:color w:val="auto"/>
                <w:sz w:val="24"/>
                <w:szCs w:val="24"/>
                <w:highlight w:val="none"/>
              </w:rPr>
            </w:pPr>
          </w:p>
        </w:tc>
        <w:tc>
          <w:tcPr>
            <w:tcW w:w="123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详细技术说明</w:t>
            </w:r>
          </w:p>
        </w:tc>
      </w:tr>
    </w:tbl>
    <w:p>
      <w:pPr>
        <w:pStyle w:val="978"/>
        <w:spacing w:line="360" w:lineRule="auto"/>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bCs/>
          <w:color w:val="auto"/>
          <w:sz w:val="24"/>
          <w:szCs w:val="24"/>
          <w:highlight w:val="none"/>
          <w:lang w:val="en-US" w:eastAsia="zh-CN"/>
        </w:rPr>
        <w:t>4.2</w:t>
      </w:r>
      <w:r>
        <w:rPr>
          <w:rFonts w:hint="eastAsia" w:ascii="仿宋" w:hAnsi="仿宋" w:eastAsia="仿宋" w:cs="仿宋"/>
          <w:b/>
          <w:bCs/>
          <w:color w:val="auto"/>
          <w:sz w:val="24"/>
          <w:szCs w:val="24"/>
          <w:highlight w:val="none"/>
        </w:rPr>
        <w:t>自动控制改造工作内容</w:t>
      </w:r>
    </w:p>
    <w:p>
      <w:pPr>
        <w:pStyle w:val="978"/>
        <w:spacing w:line="360" w:lineRule="auto"/>
        <w:ind w:firstLine="482" w:firstLineChars="200"/>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AHU空调箱自控改造要求（包含但不限于）</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每一台AHU空调箱配置一个独立的控制中心，设有人机界面。设有检修、本地、通信三个控制方式。</w:t>
      </w:r>
    </w:p>
    <w:p>
      <w:pPr>
        <w:pStyle w:val="978"/>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通信方式时，将接受手术室或护士总站</w:t>
      </w:r>
      <w:r>
        <w:rPr>
          <w:rFonts w:hint="eastAsia" w:ascii="仿宋" w:hAnsi="仿宋" w:eastAsia="仿宋" w:cs="仿宋"/>
          <w:color w:val="auto"/>
          <w:sz w:val="24"/>
          <w:szCs w:val="24"/>
          <w:highlight w:val="none"/>
          <w:lang w:eastAsia="zh-CN"/>
        </w:rPr>
        <w:t>和值班室</w:t>
      </w:r>
      <w:r>
        <w:rPr>
          <w:rFonts w:hint="eastAsia" w:ascii="仿宋" w:hAnsi="仿宋" w:eastAsia="仿宋" w:cs="仿宋"/>
          <w:color w:val="auto"/>
          <w:sz w:val="24"/>
          <w:szCs w:val="24"/>
          <w:highlight w:val="none"/>
        </w:rPr>
        <w:t>的操作。</w:t>
      </w:r>
    </w:p>
    <w:p>
      <w:pPr>
        <w:pStyle w:val="97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室外的空调机组及辅机配置现场控制器与空气处理器，实现群控。任一台空调箱投用，空调机组即自动投入运行，并且自动判断，输出冷水或热水。所有空调箱停用，则自动关闭空调主机系统。夏季能自动根据室外湿度的情况，重新设定出口温度。以利于夏季除湿。自动冷、热联动，加热盘管精确调湿。</w:t>
      </w:r>
    </w:p>
    <w:p>
      <w:pPr>
        <w:pStyle w:val="97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值班室</w:t>
      </w:r>
      <w:r>
        <w:rPr>
          <w:rFonts w:hint="eastAsia" w:ascii="仿宋" w:hAnsi="仿宋" w:eastAsia="仿宋" w:cs="仿宋"/>
          <w:color w:val="auto"/>
          <w:sz w:val="24"/>
          <w:szCs w:val="24"/>
          <w:highlight w:val="none"/>
          <w:lang w:eastAsia="zh-CN"/>
        </w:rPr>
        <w:t>和</w:t>
      </w:r>
      <w:r>
        <w:rPr>
          <w:rFonts w:hint="eastAsia" w:ascii="仿宋" w:hAnsi="仿宋" w:eastAsia="仿宋" w:cs="仿宋"/>
          <w:color w:val="auto"/>
          <w:sz w:val="24"/>
          <w:szCs w:val="24"/>
          <w:highlight w:val="none"/>
        </w:rPr>
        <w:t>护士总站</w:t>
      </w:r>
      <w:r>
        <w:rPr>
          <w:rFonts w:hint="eastAsia" w:ascii="仿宋" w:hAnsi="仿宋" w:eastAsia="仿宋" w:cs="仿宋"/>
          <w:color w:val="auto"/>
          <w:sz w:val="24"/>
          <w:szCs w:val="24"/>
          <w:highlight w:val="none"/>
          <w:lang w:eastAsia="zh-CN"/>
        </w:rPr>
        <w:t>各</w:t>
      </w:r>
      <w:r>
        <w:rPr>
          <w:rFonts w:hint="eastAsia" w:ascii="仿宋" w:hAnsi="仿宋" w:eastAsia="仿宋" w:cs="仿宋"/>
          <w:color w:val="auto"/>
          <w:sz w:val="24"/>
          <w:szCs w:val="24"/>
          <w:highlight w:val="none"/>
        </w:rPr>
        <w:t>设</w:t>
      </w:r>
      <w:r>
        <w:rPr>
          <w:rFonts w:hint="eastAsia" w:ascii="仿宋" w:hAnsi="仿宋" w:eastAsia="仿宋" w:cs="仿宋"/>
          <w:color w:val="auto"/>
          <w:sz w:val="24"/>
          <w:szCs w:val="24"/>
          <w:highlight w:val="none"/>
          <w:lang w:eastAsia="zh-CN"/>
        </w:rPr>
        <w:t>一套</w:t>
      </w:r>
      <w:r>
        <w:rPr>
          <w:rFonts w:hint="eastAsia" w:ascii="仿宋" w:hAnsi="仿宋" w:eastAsia="仿宋" w:cs="仿宋"/>
          <w:color w:val="auto"/>
          <w:sz w:val="24"/>
          <w:szCs w:val="24"/>
          <w:highlight w:val="none"/>
        </w:rPr>
        <w:t>电脑控制中心，可对所属区域的AHU空调箱和2台PAU新风空调箱进行集中控制。</w:t>
      </w:r>
    </w:p>
    <w:p>
      <w:pPr>
        <w:pStyle w:val="97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通过值班室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护士总站的电脑控制中心也可对室外的空调机组和水泵进行操控。</w:t>
      </w:r>
    </w:p>
    <w:p>
      <w:pPr>
        <w:pStyle w:val="97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每个操作空间（如手术室）均设有与之相关的AHU的人机界面，以方便使用。</w:t>
      </w:r>
    </w:p>
    <w:p>
      <w:pPr>
        <w:pStyle w:val="97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对水系统进行温度和流量的精确控制，自动对室内负荷进行计算，以提供最佳的水温应对温度和湿度负荷，通过变频器对变频水泵进行精确流量控制，达到最佳的节能目的。</w:t>
      </w:r>
    </w:p>
    <w:p>
      <w:pPr>
        <w:pStyle w:val="978"/>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8）投标人在商务技术响应文件内应对此改造要求提供技术方案说明。</w:t>
      </w:r>
    </w:p>
    <w:p>
      <w:pPr>
        <w:pStyle w:val="978"/>
        <w:spacing w:line="360" w:lineRule="auto"/>
        <w:rPr>
          <w:rFonts w:hint="eastAsia" w:ascii="仿宋" w:hAnsi="仿宋" w:eastAsia="仿宋" w:cs="仿宋"/>
          <w:color w:val="auto"/>
          <w:sz w:val="24"/>
          <w:szCs w:val="24"/>
          <w:highlight w:val="none"/>
        </w:rPr>
      </w:pPr>
    </w:p>
    <w:p>
      <w:pPr>
        <w:pStyle w:val="978"/>
        <w:spacing w:line="360" w:lineRule="auto"/>
        <w:ind w:firstLine="482" w:firstLineChars="200"/>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4.3</w:t>
      </w:r>
      <w:r>
        <w:rPr>
          <w:rFonts w:hint="eastAsia" w:ascii="仿宋" w:hAnsi="仿宋" w:eastAsia="仿宋" w:cs="仿宋"/>
          <w:b/>
          <w:bCs/>
          <w:color w:val="auto"/>
          <w:sz w:val="24"/>
          <w:szCs w:val="24"/>
          <w:highlight w:val="none"/>
        </w:rPr>
        <w:t>二次泵水力模块</w:t>
      </w:r>
      <w:bookmarkStart w:id="15" w:name="_Hlk162300735"/>
      <w:r>
        <w:rPr>
          <w:rFonts w:hint="eastAsia" w:ascii="仿宋" w:hAnsi="仿宋" w:eastAsia="仿宋" w:cs="仿宋"/>
          <w:b/>
          <w:bCs/>
          <w:color w:val="auto"/>
          <w:sz w:val="24"/>
          <w:szCs w:val="24"/>
          <w:highlight w:val="none"/>
        </w:rPr>
        <w:t>自控系统配置要求</w:t>
      </w:r>
      <w:bookmarkEnd w:id="15"/>
    </w:p>
    <w:p>
      <w:pPr>
        <w:pStyle w:val="97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1）自控系统包含热泵机组数据控制模块、变频数据控制模块、现场控制器、电动阀、电动调节阀和传感检测器件、数据转换器、系统软件等。所有自控装置需妥善安置，并且有防潮、防腐蚀功能。</w:t>
      </w:r>
    </w:p>
    <w:p>
      <w:pPr>
        <w:pStyle w:val="97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2）投标人可根据采购人提供的需求及现场条件进行深化设计，设计图纸必须经采购人或楼宇自动控制系统设计的弱电工程师的审查认可。自控系统的投标应包含实现冷热源机房控制系统所需的所有硬件、软件。</w:t>
      </w:r>
    </w:p>
    <w:p>
      <w:pPr>
        <w:pStyle w:val="978"/>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3)变频泵数据控制模块要求</w:t>
      </w:r>
    </w:p>
    <w:p>
      <w:pPr>
        <w:pStyle w:val="978"/>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变频数据控制模块用于将变频器和工作站之间的双向数据通信，以实现变频泵数据的上传，及工作站命令的下达。</w:t>
      </w:r>
    </w:p>
    <w:p>
      <w:pPr>
        <w:pStyle w:val="978"/>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4)现场控制器</w:t>
      </w:r>
    </w:p>
    <w:p>
      <w:pPr>
        <w:pStyle w:val="97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用于对辅机设备如耦合罐、一次侧水泵的管理和控制；同时某些外围参数的检测如供回水压力、环境温度、电流等。</w:t>
      </w:r>
    </w:p>
    <w:p>
      <w:pPr>
        <w:pStyle w:val="978"/>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图形控制中心（水力模块内置）</w:t>
      </w:r>
    </w:p>
    <w:p>
      <w:pPr>
        <w:pStyle w:val="97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图形控制中心安装有控制软件，同时配置彩色人/机对话屏，既能对运行的参数进行定时的保存，又能按照负荷的变化进行智能化的自动调节，以达到最经济的运行。实现机房的无纸化管理和无人值守。在现场，通过彩色人机对话屏可对现场控制器进行参数设置和数据显示。</w:t>
      </w:r>
    </w:p>
    <w:p>
      <w:pPr>
        <w:pStyle w:val="978"/>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6）提供技术说明</w:t>
      </w:r>
    </w:p>
    <w:p>
      <w:pPr>
        <w:pStyle w:val="978"/>
        <w:spacing w:line="360" w:lineRule="auto"/>
        <w:ind w:firstLine="480" w:firstLineChars="200"/>
        <w:outlineLvl w:val="9"/>
        <w:rPr>
          <w:rFonts w:hint="eastAsia" w:ascii="仿宋" w:hAnsi="仿宋" w:eastAsia="仿宋" w:cs="仿宋"/>
          <w:color w:val="auto"/>
          <w:sz w:val="24"/>
          <w:szCs w:val="24"/>
          <w:highlight w:val="none"/>
        </w:rPr>
      </w:pPr>
    </w:p>
    <w:p>
      <w:pPr>
        <w:pStyle w:val="978"/>
        <w:spacing w:line="360" w:lineRule="auto"/>
        <w:ind w:firstLine="482" w:firstLineChars="200"/>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4.4</w:t>
      </w:r>
      <w:r>
        <w:rPr>
          <w:rFonts w:hint="eastAsia" w:ascii="仿宋" w:hAnsi="仿宋" w:eastAsia="仿宋" w:cs="仿宋"/>
          <w:b/>
          <w:bCs/>
          <w:color w:val="auto"/>
          <w:sz w:val="24"/>
          <w:szCs w:val="24"/>
          <w:highlight w:val="none"/>
        </w:rPr>
        <w:t>热泵机组自控系统配置要求</w:t>
      </w:r>
    </w:p>
    <w:p>
      <w:pPr>
        <w:pStyle w:val="978"/>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1)模块热泵机组部分</w:t>
      </w:r>
    </w:p>
    <w:p>
      <w:pPr>
        <w:pStyle w:val="97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a)模块热泵机组</w:t>
      </w:r>
      <w:r>
        <w:rPr>
          <w:rFonts w:hint="eastAsia" w:ascii="仿宋" w:hAnsi="仿宋" w:eastAsia="仿宋" w:cs="仿宋"/>
          <w:color w:val="auto"/>
          <w:sz w:val="24"/>
          <w:szCs w:val="24"/>
          <w:highlight w:val="none"/>
          <w:lang w:eastAsia="zh-CN"/>
        </w:rPr>
        <w:t>控制系统</w:t>
      </w:r>
      <w:r>
        <w:rPr>
          <w:rFonts w:hint="eastAsia" w:ascii="仿宋" w:hAnsi="仿宋" w:eastAsia="仿宋" w:cs="仿宋"/>
          <w:color w:val="auto"/>
          <w:sz w:val="24"/>
          <w:szCs w:val="24"/>
          <w:highlight w:val="none"/>
        </w:rPr>
        <w:t>，需读取每组机组的全部参数；</w:t>
      </w:r>
    </w:p>
    <w:p>
      <w:pPr>
        <w:pStyle w:val="97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b)冷冻水变频循环泵，需读取每台变频器的全部参数； </w:t>
      </w:r>
    </w:p>
    <w:p>
      <w:pPr>
        <w:pStyle w:val="97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c)各类电动开关阀；</w:t>
      </w:r>
    </w:p>
    <w:p>
      <w:pPr>
        <w:pStyle w:val="978"/>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2)热泵机组数据控制模块要求</w:t>
      </w:r>
    </w:p>
    <w:p>
      <w:pPr>
        <w:pStyle w:val="97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热泵机组数据控制模块用于将热泵机组和工作站之间的双向数据通信，以实现热泵机组数据的上传，及工作站命令的下达。</w:t>
      </w:r>
    </w:p>
    <w:p>
      <w:pPr>
        <w:pStyle w:val="97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机房群控系统通过对热泵机组、各类循环泵、系统管路调节阀等设备进行控制，调整系统各应用工况的运行模式，在最经济的情况下给空调末端设备提供一稳定的供水温度。实现末端流量的按需供应，设备功率、频率、水温的自动寻优。</w:t>
      </w:r>
    </w:p>
    <w:p>
      <w:pPr>
        <w:pStyle w:val="97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4）模块热泵机组控制系统能根据室外天气走势、历史记录，自动进行系统的优化控制。</w:t>
      </w:r>
    </w:p>
    <w:p>
      <w:pPr>
        <w:pStyle w:val="97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根据季节和机组运行情况，自控系统具备所有工况的转换功能。</w:t>
      </w:r>
    </w:p>
    <w:p>
      <w:pPr>
        <w:pStyle w:val="976"/>
        <w:spacing w:line="360" w:lineRule="auto"/>
        <w:rPr>
          <w:rFonts w:hint="eastAsia"/>
          <w:color w:val="auto"/>
          <w:highlight w:val="none"/>
        </w:rPr>
      </w:pPr>
    </w:p>
    <w:p>
      <w:pPr>
        <w:pStyle w:val="978"/>
        <w:numPr>
          <w:ilvl w:val="0"/>
          <w:numId w:val="0"/>
        </w:numPr>
        <w:spacing w:line="360" w:lineRule="auto"/>
        <w:ind w:firstLine="482" w:firstLineChars="200"/>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4.5</w:t>
      </w:r>
      <w:r>
        <w:rPr>
          <w:rFonts w:hint="eastAsia" w:ascii="仿宋" w:hAnsi="仿宋" w:eastAsia="仿宋" w:cs="仿宋"/>
          <w:b/>
          <w:bCs/>
          <w:color w:val="auto"/>
          <w:sz w:val="24"/>
          <w:szCs w:val="24"/>
          <w:highlight w:val="none"/>
        </w:rPr>
        <w:t>自控系统功能要求（包含但不限</w:t>
      </w:r>
      <w:r>
        <w:rPr>
          <w:rFonts w:hint="eastAsia" w:ascii="仿宋" w:hAnsi="仿宋" w:eastAsia="仿宋" w:cs="仿宋"/>
          <w:b/>
          <w:bCs/>
          <w:color w:val="auto"/>
          <w:sz w:val="24"/>
          <w:szCs w:val="24"/>
          <w:highlight w:val="none"/>
          <w:lang w:val="en-US" w:eastAsia="zh-CN"/>
        </w:rPr>
        <w:t>于</w:t>
      </w:r>
      <w:r>
        <w:rPr>
          <w:rFonts w:hint="eastAsia" w:ascii="仿宋" w:hAnsi="仿宋" w:eastAsia="仿宋" w:cs="仿宋"/>
          <w:b/>
          <w:bCs/>
          <w:color w:val="auto"/>
          <w:sz w:val="24"/>
          <w:szCs w:val="24"/>
          <w:highlight w:val="none"/>
        </w:rPr>
        <w:t>）</w:t>
      </w:r>
    </w:p>
    <w:p>
      <w:pPr>
        <w:pStyle w:val="97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本项目提供的自控系统必须预留485通讯接口、对第三方免费开放协议，院方所需的数据能按要求上传至智慧医院管理系统。</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硬件配置：现场控制器、数据转换器、阀门、</w:t>
      </w:r>
      <w:r>
        <w:rPr>
          <w:rFonts w:hint="eastAsia" w:ascii="仿宋" w:hAnsi="仿宋" w:eastAsia="仿宋" w:cs="仿宋"/>
          <w:color w:val="auto"/>
          <w:kern w:val="2"/>
          <w:sz w:val="24"/>
          <w:szCs w:val="24"/>
          <w:highlight w:val="none"/>
          <w:lang w:bidi="ar"/>
        </w:rPr>
        <w:t>执行器阀体（</w:t>
      </w:r>
      <w:r>
        <w:rPr>
          <w:rFonts w:hint="eastAsia" w:ascii="仿宋" w:hAnsi="仿宋" w:eastAsia="仿宋" w:cs="仿宋"/>
          <w:color w:val="auto"/>
          <w:sz w:val="24"/>
          <w:szCs w:val="24"/>
          <w:highlight w:val="none"/>
        </w:rPr>
        <w:t>阀门、</w:t>
      </w:r>
      <w:r>
        <w:rPr>
          <w:rFonts w:hint="eastAsia" w:ascii="仿宋" w:hAnsi="仿宋" w:eastAsia="仿宋" w:cs="仿宋"/>
          <w:color w:val="auto"/>
          <w:kern w:val="2"/>
          <w:sz w:val="24"/>
          <w:szCs w:val="24"/>
          <w:highlight w:val="none"/>
          <w:lang w:bidi="ar"/>
        </w:rPr>
        <w:t>执行器阀体材质要求黄铜</w:t>
      </w:r>
      <w:r>
        <w:rPr>
          <w:rFonts w:hint="eastAsia" w:ascii="仿宋" w:hAnsi="仿宋" w:eastAsia="仿宋" w:cs="仿宋"/>
          <w:color w:val="auto"/>
          <w:kern w:val="2"/>
          <w:sz w:val="24"/>
          <w:szCs w:val="24"/>
          <w:highlight w:val="none"/>
          <w:lang w:eastAsia="zh-CN" w:bidi="ar"/>
        </w:rPr>
        <w:t>或</w:t>
      </w:r>
      <w:r>
        <w:rPr>
          <w:rFonts w:hint="eastAsia" w:ascii="仿宋" w:hAnsi="仿宋" w:eastAsia="仿宋" w:cs="仿宋"/>
          <w:color w:val="auto"/>
          <w:kern w:val="2"/>
          <w:sz w:val="24"/>
          <w:szCs w:val="24"/>
          <w:highlight w:val="none"/>
          <w:lang w:val="en-US" w:eastAsia="zh-CN" w:bidi="ar"/>
        </w:rPr>
        <w:t>304不锈钢</w:t>
      </w:r>
      <w:r>
        <w:rPr>
          <w:rFonts w:hint="eastAsia" w:ascii="仿宋" w:hAnsi="仿宋" w:eastAsia="仿宋" w:cs="仿宋"/>
          <w:color w:val="auto"/>
          <w:kern w:val="2"/>
          <w:sz w:val="24"/>
          <w:szCs w:val="24"/>
          <w:highlight w:val="none"/>
          <w:lang w:bidi="ar"/>
        </w:rPr>
        <w:t>）</w:t>
      </w:r>
      <w:r>
        <w:rPr>
          <w:rFonts w:hint="eastAsia" w:ascii="仿宋" w:hAnsi="仿宋" w:eastAsia="仿宋" w:cs="仿宋"/>
          <w:color w:val="auto"/>
          <w:sz w:val="24"/>
          <w:szCs w:val="24"/>
          <w:highlight w:val="none"/>
        </w:rPr>
        <w:t>、传感器等；所有自控装置需妥善安置，并且有防潮、防腐蚀功能，自控系统需一体式触摸控制操作台。</w:t>
      </w:r>
      <w:r>
        <w:rPr>
          <w:rFonts w:hint="eastAsia" w:ascii="仿宋" w:hAnsi="仿宋" w:eastAsia="仿宋" w:cs="仿宋"/>
          <w:color w:val="auto"/>
          <w:kern w:val="2"/>
          <w:sz w:val="24"/>
          <w:szCs w:val="24"/>
          <w:highlight w:val="none"/>
          <w:lang w:bidi="ar"/>
        </w:rPr>
        <w:t>恒温恒湿变频控制柜（落地式定制控制柜体，智能化操作控制面板，电源空气开关及二次控制回路三相电源供给，电源正常指示，送风机变频调速，机组起停及工作指示，恒温恒湿/通风值机，中、高效滤网报警指示，机组缺风报警指示，高温故障报警，风机运行、故障指示，消防连锁等功能，杀菌灯与风机连锁，停机延时，紧急停车）。</w:t>
      </w:r>
    </w:p>
    <w:p>
      <w:pPr>
        <w:widowControl/>
        <w:spacing w:line="360" w:lineRule="auto"/>
        <w:ind w:firstLine="480" w:firstLineChars="200"/>
        <w:jc w:val="left"/>
        <w:rPr>
          <w:rFonts w:hint="eastAsia" w:ascii="仿宋" w:hAnsi="仿宋" w:eastAsia="仿宋" w:cs="仿宋"/>
          <w:color w:val="auto"/>
          <w:kern w:val="2"/>
          <w:sz w:val="24"/>
          <w:szCs w:val="24"/>
          <w:highlight w:val="none"/>
          <w:lang w:eastAsia="zh-CN" w:bidi="ar"/>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软件配置：简体中文显示图形工作站二套（维修值班室、护士总站各设一台上位机，通过总站的电脑控制中心可对室内外的机组进行操控。）</w:t>
      </w:r>
      <w:r>
        <w:rPr>
          <w:rFonts w:hint="eastAsia" w:ascii="仿宋" w:hAnsi="仿宋" w:eastAsia="仿宋" w:cs="仿宋"/>
          <w:color w:val="auto"/>
          <w:kern w:val="2"/>
          <w:sz w:val="24"/>
          <w:szCs w:val="24"/>
          <w:highlight w:val="none"/>
          <w:lang w:bidi="ar"/>
        </w:rPr>
        <w:t>中央监控系统需满足简化操作、实时的温湿度观察、报警信息反馈、运行信息反馈、建立长期（半年及以上）的归档数据、空调机组启停历史记录、定时启停、提前开机或延时关机、手动调节水阀、 电加热、加湿器等设备的投入/解除</w:t>
      </w:r>
      <w:r>
        <w:rPr>
          <w:rFonts w:hint="eastAsia" w:ascii="仿宋" w:hAnsi="仿宋" w:eastAsia="仿宋" w:cs="仿宋"/>
          <w:color w:val="auto"/>
          <w:kern w:val="2"/>
          <w:sz w:val="24"/>
          <w:szCs w:val="24"/>
          <w:highlight w:val="none"/>
          <w:lang w:eastAsia="zh-CN" w:bidi="ar"/>
        </w:rPr>
        <w:t>。</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
        </w:rPr>
        <w:t>3）</w:t>
      </w:r>
      <w:r>
        <w:rPr>
          <w:rFonts w:hint="eastAsia" w:ascii="仿宋" w:hAnsi="仿宋" w:eastAsia="仿宋" w:cs="仿宋"/>
          <w:color w:val="auto"/>
          <w:kern w:val="2"/>
          <w:sz w:val="24"/>
          <w:szCs w:val="24"/>
          <w:highlight w:val="none"/>
          <w:lang w:bidi="ar"/>
        </w:rPr>
        <w:t>开放远程 OPC 接口给远程客户端，通过局域网读取 OPC 服务器中各 DDC 的数据。</w:t>
      </w:r>
    </w:p>
    <w:p>
      <w:pPr>
        <w:pStyle w:val="978"/>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控制设备有：四管制同时制冷制热机组、循环水泵、电动阀门、变频水泵、模块热泵机组、热回收机组、AHU和PAU机组等</w:t>
      </w:r>
      <w:r>
        <w:rPr>
          <w:rFonts w:hint="eastAsia" w:ascii="仿宋" w:hAnsi="仿宋" w:eastAsia="仿宋" w:cs="仿宋"/>
          <w:color w:val="auto"/>
          <w:sz w:val="24"/>
          <w:szCs w:val="24"/>
          <w:highlight w:val="none"/>
          <w:lang w:eastAsia="zh-CN"/>
        </w:rPr>
        <w:t>。</w:t>
      </w:r>
    </w:p>
    <w:p>
      <w:pPr>
        <w:pStyle w:val="978"/>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控制功能：</w:t>
      </w:r>
    </w:p>
    <w:p>
      <w:pPr>
        <w:pStyle w:val="97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a</w:t>
      </w:r>
      <w:r>
        <w:rPr>
          <w:rFonts w:hint="eastAsia" w:ascii="仿宋" w:hAnsi="仿宋" w:eastAsia="仿宋" w:cs="仿宋"/>
          <w:color w:val="auto"/>
          <w:sz w:val="24"/>
          <w:szCs w:val="24"/>
          <w:highlight w:val="none"/>
        </w:rPr>
        <w:t>)自控系统为现场设有控制柜组可进行本地控制，可实时</w:t>
      </w:r>
      <w:r>
        <w:rPr>
          <w:rFonts w:hint="eastAsia" w:ascii="仿宋" w:hAnsi="仿宋" w:eastAsia="仿宋" w:cs="仿宋"/>
          <w:color w:val="auto"/>
          <w:sz w:val="24"/>
          <w:szCs w:val="24"/>
          <w:highlight w:val="none"/>
          <w:lang w:eastAsia="zh-CN"/>
        </w:rPr>
        <w:t>护士站和值班室电脑</w:t>
      </w:r>
      <w:r>
        <w:rPr>
          <w:rFonts w:hint="eastAsia" w:ascii="仿宋" w:hAnsi="仿宋" w:eastAsia="仿宋" w:cs="仿宋"/>
          <w:color w:val="auto"/>
          <w:sz w:val="24"/>
          <w:szCs w:val="24"/>
          <w:highlight w:val="none"/>
        </w:rPr>
        <w:t>远程操控系统</w:t>
      </w:r>
      <w:r>
        <w:rPr>
          <w:rFonts w:hint="eastAsia" w:ascii="仿宋" w:hAnsi="仿宋" w:eastAsia="仿宋" w:cs="仿宋"/>
          <w:color w:val="auto"/>
          <w:sz w:val="24"/>
          <w:szCs w:val="24"/>
          <w:highlight w:val="none"/>
          <w:lang w:eastAsia="zh-CN"/>
        </w:rPr>
        <w:t>，可实现手机端查看</w:t>
      </w:r>
      <w:r>
        <w:rPr>
          <w:rFonts w:hint="eastAsia" w:ascii="仿宋" w:hAnsi="仿宋" w:eastAsia="仿宋" w:cs="仿宋"/>
          <w:color w:val="auto"/>
          <w:sz w:val="24"/>
          <w:szCs w:val="24"/>
          <w:highlight w:val="none"/>
        </w:rPr>
        <w:t>。</w:t>
      </w:r>
    </w:p>
    <w:p>
      <w:pPr>
        <w:pStyle w:val="97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b</w:t>
      </w:r>
      <w:r>
        <w:rPr>
          <w:rFonts w:hint="eastAsia" w:ascii="仿宋" w:hAnsi="仿宋" w:eastAsia="仿宋" w:cs="仿宋"/>
          <w:color w:val="auto"/>
          <w:sz w:val="24"/>
          <w:szCs w:val="24"/>
          <w:highlight w:val="none"/>
        </w:rPr>
        <w:t>)对以下设备进行智能控制，根据末端设备的负荷变化自动控制变频水泵、模块热泵机组、热回收机组、AHU和PAU机组等设备的协同和调配，确定优先级，实现系统设备的安全和节能运行。</w:t>
      </w:r>
    </w:p>
    <w:p>
      <w:pPr>
        <w:pStyle w:val="97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c</w:t>
      </w:r>
      <w:r>
        <w:rPr>
          <w:rFonts w:hint="eastAsia" w:ascii="仿宋" w:hAnsi="仿宋" w:eastAsia="仿宋" w:cs="仿宋"/>
          <w:color w:val="auto"/>
          <w:sz w:val="24"/>
          <w:szCs w:val="24"/>
          <w:highlight w:val="none"/>
        </w:rPr>
        <w:t>)自动控制模块热泵机组运行在高效率的运行状态，确保整个空调系统尽可能运行在高效节能状态，实现无人机房（要求于投标文件中详细阐述）。</w:t>
      </w:r>
    </w:p>
    <w:p>
      <w:pPr>
        <w:pStyle w:val="97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d</w:t>
      </w:r>
      <w:r>
        <w:rPr>
          <w:rFonts w:hint="eastAsia" w:ascii="仿宋" w:hAnsi="仿宋" w:eastAsia="仿宋" w:cs="仿宋"/>
          <w:color w:val="auto"/>
          <w:sz w:val="24"/>
          <w:szCs w:val="24"/>
          <w:highlight w:val="none"/>
        </w:rPr>
        <w:t>)设立不同的自动控制模式以方便业主方灵活使用，并详细阐述其控制方式及原理。</w:t>
      </w:r>
    </w:p>
    <w:p>
      <w:pPr>
        <w:pStyle w:val="978"/>
        <w:spacing w:line="360" w:lineRule="auto"/>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e</w:t>
      </w:r>
      <w:r>
        <w:rPr>
          <w:rFonts w:hint="eastAsia" w:ascii="仿宋" w:hAnsi="仿宋" w:eastAsia="仿宋" w:cs="仿宋"/>
          <w:color w:val="auto"/>
          <w:sz w:val="24"/>
          <w:szCs w:val="24"/>
          <w:highlight w:val="none"/>
        </w:rPr>
        <w:t>)能设置管理密码，避免误操作</w:t>
      </w:r>
      <w:r>
        <w:rPr>
          <w:rFonts w:hint="eastAsia" w:ascii="仿宋" w:hAnsi="仿宋" w:eastAsia="仿宋" w:cs="仿宋"/>
          <w:color w:val="auto"/>
          <w:sz w:val="24"/>
          <w:szCs w:val="24"/>
          <w:highlight w:val="none"/>
          <w:lang w:eastAsia="zh-CN"/>
        </w:rPr>
        <w:t>。</w:t>
      </w:r>
    </w:p>
    <w:p>
      <w:pPr>
        <w:pStyle w:val="978"/>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f</w:t>
      </w:r>
      <w:r>
        <w:rPr>
          <w:rFonts w:hint="eastAsia" w:ascii="仿宋" w:hAnsi="仿宋" w:eastAsia="仿宋" w:cs="仿宋"/>
          <w:color w:val="auto"/>
          <w:sz w:val="24"/>
          <w:szCs w:val="24"/>
          <w:highlight w:val="none"/>
        </w:rPr>
        <w:t>)能对一些参数进行调整，比如最低供水温度，最高供水温度、频率上限、下限</w:t>
      </w:r>
      <w:r>
        <w:rPr>
          <w:rFonts w:hint="eastAsia" w:ascii="仿宋" w:hAnsi="仿宋" w:eastAsia="仿宋" w:cs="仿宋"/>
          <w:color w:val="auto"/>
          <w:sz w:val="24"/>
          <w:szCs w:val="24"/>
          <w:highlight w:val="none"/>
          <w:lang w:eastAsia="zh-CN"/>
        </w:rPr>
        <w:t>。</w:t>
      </w:r>
    </w:p>
    <w:p>
      <w:pPr>
        <w:pStyle w:val="978"/>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g</w:t>
      </w:r>
      <w:r>
        <w:rPr>
          <w:rFonts w:hint="eastAsia" w:ascii="仿宋" w:hAnsi="仿宋" w:eastAsia="仿宋" w:cs="仿宋"/>
          <w:color w:val="auto"/>
          <w:sz w:val="24"/>
          <w:szCs w:val="24"/>
          <w:highlight w:val="none"/>
        </w:rPr>
        <w:t>)设置有经济模式</w:t>
      </w:r>
      <w:r>
        <w:rPr>
          <w:rFonts w:hint="eastAsia" w:ascii="仿宋" w:hAnsi="仿宋" w:eastAsia="仿宋" w:cs="仿宋"/>
          <w:color w:val="auto"/>
          <w:sz w:val="24"/>
          <w:szCs w:val="24"/>
          <w:highlight w:val="none"/>
          <w:lang w:eastAsia="zh-CN"/>
        </w:rPr>
        <w:t>。</w:t>
      </w:r>
    </w:p>
    <w:p>
      <w:pPr>
        <w:pStyle w:val="97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h</w:t>
      </w:r>
      <w:r>
        <w:rPr>
          <w:rFonts w:hint="eastAsia" w:ascii="仿宋" w:hAnsi="仿宋" w:eastAsia="仿宋" w:cs="仿宋"/>
          <w:color w:val="auto"/>
          <w:sz w:val="24"/>
          <w:szCs w:val="24"/>
          <w:highlight w:val="none"/>
        </w:rPr>
        <w:t>)投标人认为应提供的其他优化的控制策略阐述。</w:t>
      </w:r>
    </w:p>
    <w:p>
      <w:pPr>
        <w:widowControl/>
        <w:spacing w:line="360" w:lineRule="auto"/>
        <w:jc w:val="left"/>
        <w:rPr>
          <w:rFonts w:hint="eastAsia" w:ascii="仿宋" w:hAnsi="仿宋" w:eastAsia="仿宋" w:cs="仿宋"/>
          <w:color w:val="auto"/>
          <w:sz w:val="24"/>
          <w:szCs w:val="24"/>
          <w:highlight w:val="none"/>
        </w:rPr>
      </w:pPr>
    </w:p>
    <w:p>
      <w:pPr>
        <w:pStyle w:val="978"/>
        <w:numPr>
          <w:ilvl w:val="0"/>
          <w:numId w:val="0"/>
        </w:numPr>
        <w:spacing w:line="360" w:lineRule="auto"/>
        <w:ind w:firstLine="482" w:firstLineChars="200"/>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4.6室内空调供回水管路改造</w:t>
      </w:r>
    </w:p>
    <w:p>
      <w:pPr>
        <w:pStyle w:val="978"/>
        <w:numPr>
          <w:ilvl w:val="0"/>
          <w:numId w:val="0"/>
        </w:numPr>
        <w:spacing w:line="360" w:lineRule="auto"/>
        <w:ind w:firstLine="482" w:firstLineChars="200"/>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4.6.1工作内容（包含但不限于）</w:t>
      </w:r>
    </w:p>
    <w:p>
      <w:pPr>
        <w:pStyle w:val="978"/>
        <w:numPr>
          <w:ilvl w:val="0"/>
          <w:numId w:val="0"/>
        </w:numPr>
        <w:spacing w:line="360" w:lineRule="auto"/>
        <w:ind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1）由于采用水加热盘管，将二管制单冷设备改造成冷热同用的四管制设备，管路系统新增一路热水供回水管。</w:t>
      </w:r>
    </w:p>
    <w:p>
      <w:pPr>
        <w:pStyle w:val="978"/>
        <w:numPr>
          <w:ilvl w:val="0"/>
          <w:numId w:val="0"/>
        </w:numPr>
        <w:spacing w:line="360" w:lineRule="auto"/>
        <w:ind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2）原空调系统制冷供回水管主管DN150，改做新的热水供回水主管。沿原主管走向增加DN200供回水管，作为新的冷冻水供回水管，阀后改用304不锈钢管与表冷器连接。</w:t>
      </w:r>
    </w:p>
    <w:p>
      <w:pPr>
        <w:pStyle w:val="978"/>
        <w:numPr>
          <w:ilvl w:val="0"/>
          <w:numId w:val="0"/>
        </w:numPr>
        <w:spacing w:line="360" w:lineRule="auto"/>
        <w:ind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3）原冷冻管道供回水管，阀后改用304不锈钢管与表冷器连接，管道更替、相应阀门、电动调节阀更换。</w:t>
      </w:r>
    </w:p>
    <w:p>
      <w:pPr>
        <w:pStyle w:val="978"/>
        <w:numPr>
          <w:ilvl w:val="0"/>
          <w:numId w:val="0"/>
        </w:numPr>
        <w:spacing w:line="360" w:lineRule="auto"/>
        <w:ind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4）全面对原管道系统进行检查，产生腐蚀的管道，进行更换。</w:t>
      </w:r>
    </w:p>
    <w:p>
      <w:pPr>
        <w:pStyle w:val="978"/>
        <w:numPr>
          <w:ilvl w:val="0"/>
          <w:numId w:val="0"/>
        </w:numPr>
        <w:spacing w:line="360" w:lineRule="auto"/>
        <w:ind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5）对管道保温层进行更换，依照GB50736-2012表K.0.2-1执行。考虑到深度除湿时，出水温度为5度，新的保温增加保温厚度（≥4cm）。</w:t>
      </w:r>
    </w:p>
    <w:p>
      <w:pPr>
        <w:pStyle w:val="978"/>
        <w:numPr>
          <w:ilvl w:val="0"/>
          <w:numId w:val="0"/>
        </w:numPr>
        <w:spacing w:line="360" w:lineRule="auto"/>
        <w:ind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管道内添加防冻剂乙二醇获得更低的出水温度和</w:t>
      </w:r>
      <w:r>
        <w:rPr>
          <w:rFonts w:hint="eastAsia" w:ascii="仿宋" w:hAnsi="仿宋" w:eastAsia="仿宋" w:cs="仿宋"/>
          <w:color w:val="auto"/>
          <w:sz w:val="24"/>
          <w:szCs w:val="24"/>
          <w:highlight w:val="none"/>
          <w:lang w:val="en-US" w:eastAsia="zh-CN"/>
        </w:rPr>
        <w:t>冬季抗冻。</w:t>
      </w:r>
    </w:p>
    <w:p>
      <w:pPr>
        <w:pStyle w:val="978"/>
        <w:numPr>
          <w:ilvl w:val="0"/>
          <w:numId w:val="0"/>
        </w:numPr>
        <w:spacing w:line="360" w:lineRule="auto"/>
        <w:ind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7）管道系统增加除水锈或除垢装置。</w:t>
      </w:r>
    </w:p>
    <w:p>
      <w:pPr>
        <w:pStyle w:val="978"/>
        <w:spacing w:line="360" w:lineRule="auto"/>
        <w:rPr>
          <w:rFonts w:hint="eastAsia" w:ascii="仿宋" w:hAnsi="仿宋" w:eastAsia="仿宋" w:cs="仿宋"/>
          <w:color w:val="auto"/>
          <w:sz w:val="24"/>
          <w:szCs w:val="24"/>
          <w:highlight w:val="none"/>
        </w:rPr>
      </w:pPr>
    </w:p>
    <w:p>
      <w:pPr>
        <w:pStyle w:val="978"/>
        <w:spacing w:line="360" w:lineRule="auto"/>
        <w:ind w:firstLine="482" w:firstLineChars="200"/>
        <w:rPr>
          <w:rFonts w:hint="eastAsia" w:ascii="仿宋" w:hAnsi="仿宋" w:eastAsia="仿宋" w:cs="仿宋"/>
          <w:b/>
          <w:bCs/>
          <w:color w:val="auto"/>
          <w:sz w:val="24"/>
          <w:szCs w:val="24"/>
          <w:highlight w:val="none"/>
        </w:rPr>
      </w:pPr>
      <w:bookmarkStart w:id="16" w:name="_Hlk162311677"/>
      <w:r>
        <w:rPr>
          <w:rFonts w:hint="eastAsia" w:ascii="仿宋" w:hAnsi="仿宋" w:eastAsia="仿宋" w:cs="仿宋"/>
          <w:b/>
          <w:bCs/>
          <w:color w:val="auto"/>
          <w:sz w:val="24"/>
          <w:szCs w:val="24"/>
          <w:highlight w:val="none"/>
          <w:lang w:val="en-US" w:eastAsia="zh-CN"/>
        </w:rPr>
        <w:t>4.6.2</w:t>
      </w:r>
      <w:r>
        <w:rPr>
          <w:rFonts w:hint="eastAsia" w:ascii="仿宋" w:hAnsi="仿宋" w:eastAsia="仿宋" w:cs="仿宋"/>
          <w:b/>
          <w:bCs/>
          <w:color w:val="auto"/>
          <w:sz w:val="24"/>
          <w:szCs w:val="24"/>
          <w:highlight w:val="none"/>
        </w:rPr>
        <w:t>改造要求</w:t>
      </w:r>
    </w:p>
    <w:p>
      <w:pPr>
        <w:numPr>
          <w:ilvl w:val="0"/>
          <w:numId w:val="0"/>
        </w:numPr>
        <w:spacing w:line="360" w:lineRule="auto"/>
        <w:ind w:left="210" w:leftChars="0" w:firstLine="240" w:firstLineChars="100"/>
        <w:outlineLvl w:val="9"/>
        <w:rPr>
          <w:rFonts w:hint="eastAsia" w:ascii="仿宋" w:hAnsi="仿宋" w:eastAsia="微软雅黑"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新的制冷、制热量的要求</w:t>
      </w:r>
      <w:r>
        <w:rPr>
          <w:rFonts w:hint="eastAsia" w:ascii="仿宋" w:hAnsi="仿宋" w:eastAsia="仿宋" w:cs="仿宋"/>
          <w:color w:val="auto"/>
          <w:sz w:val="24"/>
          <w:highlight w:val="none"/>
          <w:lang w:eastAsia="zh-CN"/>
        </w:rPr>
        <w:t>：投标人改造后净化系统空调机组参数须优于采购需求</w:t>
      </w:r>
      <w:r>
        <w:rPr>
          <w:rFonts w:hint="eastAsia" w:ascii="仿宋" w:hAnsi="仿宋" w:eastAsia="仿宋" w:cs="仿宋"/>
          <w:color w:val="auto"/>
          <w:sz w:val="24"/>
          <w:highlight w:val="none"/>
          <w:lang w:val="en-US" w:eastAsia="zh-CN"/>
        </w:rPr>
        <w:t>八、现有设备情况中29台机组各参数的10%以上</w:t>
      </w:r>
      <w:r>
        <w:rPr>
          <w:rFonts w:hint="eastAsia" w:ascii="仿宋" w:hAnsi="仿宋" w:eastAsia="仿宋" w:cs="仿宋"/>
          <w:color w:val="auto"/>
          <w:sz w:val="24"/>
          <w:highlight w:val="none"/>
          <w:lang w:eastAsia="zh-CN"/>
        </w:rPr>
        <w:t>。</w:t>
      </w:r>
    </w:p>
    <w:p>
      <w:pPr>
        <w:pStyle w:val="978"/>
        <w:numPr>
          <w:ilvl w:val="0"/>
          <w:numId w:val="0"/>
        </w:numPr>
        <w:spacing w:line="360" w:lineRule="auto"/>
        <w:ind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安装要求：设备安装位置由投标人根据现场，并结合</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的要求，出具图纸，经</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同意后，按图纸施工。</w:t>
      </w:r>
    </w:p>
    <w:bookmarkEnd w:id="16"/>
    <w:p>
      <w:pPr>
        <w:pStyle w:val="978"/>
        <w:numPr>
          <w:ilvl w:val="0"/>
          <w:numId w:val="0"/>
        </w:numPr>
        <w:spacing w:line="360" w:lineRule="auto"/>
        <w:ind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系统内供回水管道</w:t>
      </w:r>
      <w:r>
        <w:rPr>
          <w:rFonts w:hint="eastAsia" w:ascii="仿宋" w:hAnsi="仿宋" w:eastAsia="仿宋" w:cs="仿宋"/>
          <w:color w:val="auto"/>
          <w:sz w:val="24"/>
          <w:szCs w:val="24"/>
          <w:highlight w:val="none"/>
          <w:lang w:val="en-US" w:eastAsia="zh-CN"/>
        </w:rPr>
        <w:t>DN80以上</w:t>
      </w:r>
      <w:r>
        <w:rPr>
          <w:rFonts w:hint="eastAsia" w:ascii="仿宋" w:hAnsi="仿宋" w:eastAsia="仿宋" w:cs="仿宋"/>
          <w:color w:val="auto"/>
          <w:sz w:val="24"/>
          <w:szCs w:val="24"/>
          <w:highlight w:val="none"/>
        </w:rPr>
        <w:t>采用无缝钢管二次镀锌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DN</w:t>
      </w:r>
      <w:r>
        <w:rPr>
          <w:rFonts w:hint="eastAsia" w:ascii="仿宋" w:hAnsi="仿宋" w:eastAsia="仿宋" w:cs="仿宋"/>
          <w:color w:val="auto"/>
          <w:sz w:val="24"/>
          <w:szCs w:val="24"/>
          <w:highlight w:val="none"/>
        </w:rPr>
        <w:t>80</w:t>
      </w:r>
      <w:r>
        <w:rPr>
          <w:rFonts w:hint="eastAsia" w:ascii="仿宋" w:hAnsi="仿宋" w:eastAsia="仿宋" w:cs="仿宋"/>
          <w:color w:val="auto"/>
          <w:sz w:val="24"/>
          <w:szCs w:val="24"/>
          <w:highlight w:val="none"/>
          <w:lang w:eastAsia="zh-CN"/>
        </w:rPr>
        <w:t>及</w:t>
      </w:r>
      <w:r>
        <w:rPr>
          <w:rFonts w:hint="eastAsia" w:ascii="仿宋" w:hAnsi="仿宋" w:eastAsia="仿宋" w:cs="仿宋"/>
          <w:color w:val="auto"/>
          <w:sz w:val="24"/>
          <w:szCs w:val="24"/>
          <w:highlight w:val="none"/>
        </w:rPr>
        <w:t>以下采用优质国标镀锌钢管，设备层内管道装配禁止采用现场电焊连接。</w:t>
      </w:r>
    </w:p>
    <w:p>
      <w:pPr>
        <w:pStyle w:val="978"/>
        <w:spacing w:line="360" w:lineRule="auto"/>
        <w:rPr>
          <w:rFonts w:hint="eastAsia" w:ascii="仿宋" w:hAnsi="仿宋" w:eastAsia="仿宋" w:cs="仿宋"/>
          <w:color w:val="auto"/>
          <w:sz w:val="24"/>
          <w:szCs w:val="24"/>
          <w:highlight w:val="none"/>
        </w:rPr>
      </w:pPr>
    </w:p>
    <w:p>
      <w:pPr>
        <w:pStyle w:val="978"/>
        <w:spacing w:line="360" w:lineRule="auto"/>
        <w:ind w:firstLine="482" w:firstLineChars="200"/>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4.7</w:t>
      </w:r>
      <w:r>
        <w:rPr>
          <w:rFonts w:hint="eastAsia" w:ascii="仿宋" w:hAnsi="仿宋" w:eastAsia="仿宋" w:cs="仿宋"/>
          <w:b/>
          <w:bCs/>
          <w:color w:val="auto"/>
          <w:sz w:val="24"/>
          <w:szCs w:val="24"/>
          <w:highlight w:val="none"/>
        </w:rPr>
        <w:t>风管部分改造：</w:t>
      </w:r>
    </w:p>
    <w:p>
      <w:pPr>
        <w:pStyle w:val="978"/>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更换新风风阀，接入自控系统，按需自动调节开度。</w:t>
      </w:r>
    </w:p>
    <w:p>
      <w:pPr>
        <w:pStyle w:val="97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增加防火阀，并与大楼消控中心有点位连接，可进行消防联动关闭。</w:t>
      </w:r>
    </w:p>
    <w:p>
      <w:pPr>
        <w:pStyle w:val="97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检查原风管的密闭性，漏风处予以重新安装。</w:t>
      </w:r>
    </w:p>
    <w:p>
      <w:pPr>
        <w:pStyle w:val="978"/>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保温破损处更换保温</w:t>
      </w:r>
      <w:r>
        <w:rPr>
          <w:rFonts w:hint="eastAsia" w:ascii="仿宋" w:hAnsi="仿宋" w:eastAsia="仿宋" w:cs="仿宋"/>
          <w:color w:val="auto"/>
          <w:sz w:val="24"/>
          <w:szCs w:val="24"/>
          <w:highlight w:val="none"/>
          <w:lang w:eastAsia="zh-CN"/>
        </w:rPr>
        <w:t>。</w:t>
      </w:r>
    </w:p>
    <w:p>
      <w:pPr>
        <w:pStyle w:val="978"/>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bookmarkStart w:id="17" w:name="_Hlk163501658"/>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部分直接引入新风的AHU（AHU417-419,AHU503-504等）</w:t>
      </w:r>
      <w:bookmarkEnd w:id="17"/>
      <w:r>
        <w:rPr>
          <w:rFonts w:hint="eastAsia" w:ascii="仿宋" w:hAnsi="仿宋" w:eastAsia="仿宋" w:cs="仿宋"/>
          <w:color w:val="auto"/>
          <w:sz w:val="24"/>
          <w:szCs w:val="24"/>
          <w:highlight w:val="none"/>
        </w:rPr>
        <w:t>设置新风</w:t>
      </w:r>
      <w:r>
        <w:rPr>
          <w:rFonts w:hint="eastAsia" w:ascii="仿宋" w:hAnsi="仿宋" w:eastAsia="仿宋" w:cs="仿宋"/>
          <w:color w:val="auto"/>
          <w:sz w:val="24"/>
          <w:szCs w:val="24"/>
          <w:highlight w:val="none"/>
          <w:lang w:eastAsia="zh-CN"/>
        </w:rPr>
        <w:t>加热空调箱</w:t>
      </w:r>
      <w:r>
        <w:rPr>
          <w:rFonts w:hint="eastAsia" w:ascii="仿宋" w:hAnsi="仿宋" w:eastAsia="仿宋" w:cs="仿宋"/>
          <w:color w:val="auto"/>
          <w:sz w:val="24"/>
          <w:szCs w:val="24"/>
          <w:highlight w:val="none"/>
        </w:rPr>
        <w:t>以避免冻坏盘管。增加新风过滤</w:t>
      </w:r>
      <w:r>
        <w:rPr>
          <w:rFonts w:hint="eastAsia" w:ascii="仿宋" w:hAnsi="仿宋" w:eastAsia="仿宋" w:cs="仿宋"/>
          <w:color w:val="auto"/>
          <w:sz w:val="24"/>
          <w:szCs w:val="24"/>
          <w:highlight w:val="none"/>
          <w:lang w:eastAsia="zh-CN"/>
        </w:rPr>
        <w:t>装置</w:t>
      </w:r>
      <w:r>
        <w:rPr>
          <w:rFonts w:hint="eastAsia" w:ascii="仿宋" w:hAnsi="仿宋" w:eastAsia="仿宋" w:cs="仿宋"/>
          <w:color w:val="auto"/>
          <w:sz w:val="24"/>
          <w:szCs w:val="24"/>
          <w:highlight w:val="none"/>
        </w:rPr>
        <w:t>（滤网过滤效率G4），对新风进行过滤。</w:t>
      </w:r>
    </w:p>
    <w:p>
      <w:pPr>
        <w:pStyle w:val="978"/>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修复直接引入新风的AHU（AHU417-419,AHU503-504等）的新风管，修复损坏的空调风管。</w:t>
      </w:r>
    </w:p>
    <w:p>
      <w:pPr>
        <w:pStyle w:val="97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检修定风量阀、调节阀，锈蚀严重需更换。</w:t>
      </w:r>
    </w:p>
    <w:p>
      <w:pPr>
        <w:pStyle w:val="978"/>
        <w:spacing w:line="360" w:lineRule="auto"/>
        <w:rPr>
          <w:rFonts w:hint="eastAsia" w:ascii="仿宋" w:hAnsi="仿宋" w:eastAsia="仿宋" w:cs="仿宋"/>
          <w:color w:val="auto"/>
          <w:sz w:val="24"/>
          <w:szCs w:val="24"/>
          <w:highlight w:val="none"/>
        </w:rPr>
      </w:pPr>
    </w:p>
    <w:p>
      <w:pPr>
        <w:pStyle w:val="978"/>
        <w:spacing w:line="360" w:lineRule="auto"/>
        <w:ind w:firstLine="482" w:firstLineChars="200"/>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 xml:space="preserve">4.8 </w:t>
      </w:r>
      <w:r>
        <w:rPr>
          <w:rFonts w:hint="eastAsia" w:ascii="仿宋" w:hAnsi="仿宋" w:eastAsia="仿宋" w:cs="仿宋"/>
          <w:b/>
          <w:bCs/>
          <w:color w:val="auto"/>
          <w:sz w:val="24"/>
          <w:szCs w:val="24"/>
          <w:highlight w:val="none"/>
        </w:rPr>
        <w:t>供应室B101空调箱更换</w:t>
      </w:r>
    </w:p>
    <w:p>
      <w:pPr>
        <w:pStyle w:val="97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采用恒温恒湿型净化直膨空气组合机组，替代原空调箱。</w:t>
      </w:r>
    </w:p>
    <w:p>
      <w:pPr>
        <w:pStyle w:val="97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散件供货，现场组装。</w:t>
      </w:r>
    </w:p>
    <w:p>
      <w:pPr>
        <w:pStyle w:val="97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参数以原空调箱参数</w:t>
      </w:r>
      <w:r>
        <w:rPr>
          <w:rFonts w:hint="eastAsia" w:ascii="仿宋" w:hAnsi="仿宋" w:eastAsia="仿宋" w:cs="仿宋"/>
          <w:color w:val="auto"/>
          <w:kern w:val="0"/>
          <w:sz w:val="24"/>
          <w:szCs w:val="24"/>
          <w:highlight w:val="none"/>
          <w:lang w:bidi="ar"/>
        </w:rPr>
        <w:t>AHU-B101</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sz w:val="24"/>
          <w:szCs w:val="24"/>
          <w:highlight w:val="none"/>
          <w:lang w:val="en-US" w:eastAsia="zh-CN"/>
        </w:rPr>
        <w:t>见第三部分采购需求八、现有设备情况、表格中的序号24部分</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sz w:val="24"/>
          <w:szCs w:val="24"/>
          <w:highlight w:val="none"/>
        </w:rPr>
        <w:t>为标准的基础上增加10%。</w:t>
      </w:r>
    </w:p>
    <w:p>
      <w:pPr>
        <w:pStyle w:val="978"/>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提供技术说明</w:t>
      </w:r>
    </w:p>
    <w:p>
      <w:pPr>
        <w:pStyle w:val="976"/>
        <w:spacing w:line="360" w:lineRule="auto"/>
        <w:ind w:firstLine="480" w:firstLineChars="200"/>
        <w:outlineLvl w:val="0"/>
        <w:rPr>
          <w:rFonts w:hint="eastAsia"/>
          <w:color w:val="auto"/>
          <w:highlight w:val="none"/>
        </w:rPr>
      </w:pPr>
    </w:p>
    <w:p>
      <w:pPr>
        <w:pStyle w:val="978"/>
        <w:numPr>
          <w:ilvl w:val="0"/>
          <w:numId w:val="0"/>
        </w:numPr>
        <w:spacing w:line="360" w:lineRule="auto"/>
        <w:ind w:firstLine="480" w:firstLineChars="20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4.9 为保证在改造过程中不影响院方工作安排，主机系统在二次泵变流量变水温控制的基础上，实现主机系统的单独调试，调试完成后，待设备层的冷、热水管，对应的冷热盘管到场后才开始进行逐间手术室对应的AHU冷热盘管及自控系统的更新。</w:t>
      </w:r>
    </w:p>
    <w:p>
      <w:pPr>
        <w:pStyle w:val="976"/>
        <w:numPr>
          <w:ilvl w:val="0"/>
          <w:numId w:val="0"/>
        </w:numPr>
        <w:spacing w:line="360" w:lineRule="auto"/>
        <w:ind w:firstLine="480" w:firstLineChars="200"/>
        <w:rPr>
          <w:rFonts w:hint="eastAsia"/>
          <w:color w:val="auto"/>
          <w:highlight w:val="none"/>
          <w:lang w:val="en-US" w:eastAsia="zh-CN"/>
        </w:rPr>
      </w:pPr>
    </w:p>
    <w:p>
      <w:pPr>
        <w:pStyle w:val="978"/>
        <w:numPr>
          <w:ilvl w:val="0"/>
          <w:numId w:val="0"/>
        </w:numPr>
        <w:spacing w:line="360" w:lineRule="auto"/>
        <w:ind w:firstLine="480" w:firstLineChars="20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4.10建立符合规范的设备及管路标识；室内地面平整与油漆修复。</w:t>
      </w:r>
    </w:p>
    <w:p>
      <w:pPr>
        <w:pStyle w:val="976"/>
        <w:spacing w:line="360" w:lineRule="auto"/>
        <w:ind w:firstLine="480" w:firstLineChars="200"/>
        <w:outlineLvl w:val="0"/>
        <w:rPr>
          <w:rFonts w:hint="eastAsia"/>
          <w:color w:val="auto"/>
          <w:highlight w:val="none"/>
          <w:lang w:val="en-US" w:eastAsia="zh-CN"/>
        </w:rPr>
      </w:pPr>
    </w:p>
    <w:p>
      <w:pPr>
        <w:spacing w:line="360" w:lineRule="auto"/>
        <w:ind w:firstLine="480" w:firstLineChars="200"/>
        <w:outlineLvl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4.11 拟维修更换的项目清单</w:t>
      </w:r>
    </w:p>
    <w:tbl>
      <w:tblPr>
        <w:tblStyle w:val="63"/>
        <w:tblW w:w="8058" w:type="dxa"/>
        <w:tblInd w:w="96" w:type="dxa"/>
        <w:tblLayout w:type="autofit"/>
        <w:tblCellMar>
          <w:top w:w="0" w:type="dxa"/>
          <w:left w:w="108" w:type="dxa"/>
          <w:bottom w:w="0" w:type="dxa"/>
          <w:right w:w="108" w:type="dxa"/>
        </w:tblCellMar>
      </w:tblPr>
      <w:tblGrid>
        <w:gridCol w:w="729"/>
        <w:gridCol w:w="2643"/>
        <w:gridCol w:w="3057"/>
        <w:gridCol w:w="793"/>
        <w:gridCol w:w="836"/>
      </w:tblGrid>
      <w:tr>
        <w:tblPrEx>
          <w:tblCellMar>
            <w:top w:w="0" w:type="dxa"/>
            <w:left w:w="108" w:type="dxa"/>
            <w:bottom w:w="0" w:type="dxa"/>
            <w:right w:w="108" w:type="dxa"/>
          </w:tblCellMar>
        </w:tblPrEx>
        <w:trPr>
          <w:trHeight w:val="642"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序号</w:t>
            </w:r>
          </w:p>
        </w:tc>
        <w:tc>
          <w:tcPr>
            <w:tcW w:w="2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项目</w:t>
            </w:r>
            <w:r>
              <w:rPr>
                <w:rFonts w:hint="eastAsia" w:ascii="仿宋" w:hAnsi="仿宋" w:eastAsia="仿宋" w:cs="仿宋"/>
                <w:color w:val="auto"/>
                <w:kern w:val="0"/>
                <w:sz w:val="24"/>
                <w:szCs w:val="24"/>
                <w:highlight w:val="none"/>
                <w:lang w:bidi="ar"/>
              </w:rPr>
              <w:t>名称</w:t>
            </w:r>
          </w:p>
        </w:tc>
        <w:tc>
          <w:tcPr>
            <w:tcW w:w="30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维修</w:t>
            </w:r>
            <w:r>
              <w:rPr>
                <w:rFonts w:hint="eastAsia" w:ascii="仿宋" w:hAnsi="仿宋" w:eastAsia="仿宋" w:cs="仿宋"/>
                <w:color w:val="auto"/>
                <w:kern w:val="0"/>
                <w:sz w:val="24"/>
                <w:szCs w:val="24"/>
                <w:highlight w:val="none"/>
                <w:lang w:bidi="ar"/>
              </w:rPr>
              <w:t>改造内容描述</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单位</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数量</w:t>
            </w:r>
          </w:p>
        </w:tc>
      </w:tr>
      <w:tr>
        <w:tblPrEx>
          <w:tblCellMar>
            <w:top w:w="0" w:type="dxa"/>
            <w:left w:w="108" w:type="dxa"/>
            <w:bottom w:w="0" w:type="dxa"/>
            <w:right w:w="108" w:type="dxa"/>
          </w:tblCellMar>
        </w:tblPrEx>
        <w:trPr>
          <w:trHeight w:val="1262"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2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二次泵变流量变水温控制系统</w:t>
            </w:r>
          </w:p>
        </w:tc>
        <w:tc>
          <w:tcPr>
            <w:tcW w:w="30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根据负荷和环境变化调节出水温度和流量，最低温度可以达到5度</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项</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2</w:t>
            </w:r>
          </w:p>
        </w:tc>
      </w:tr>
      <w:tr>
        <w:tblPrEx>
          <w:tblCellMar>
            <w:top w:w="0" w:type="dxa"/>
            <w:left w:w="108" w:type="dxa"/>
            <w:bottom w:w="0" w:type="dxa"/>
            <w:right w:w="108" w:type="dxa"/>
          </w:tblCellMar>
        </w:tblPrEx>
        <w:trPr>
          <w:trHeight w:val="642"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w:t>
            </w:r>
          </w:p>
        </w:tc>
        <w:tc>
          <w:tcPr>
            <w:tcW w:w="2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原管道锈蚀更换，保温更换修复</w:t>
            </w:r>
          </w:p>
        </w:tc>
        <w:tc>
          <w:tcPr>
            <w:tcW w:w="30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做供热管</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项</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tblPrEx>
          <w:tblCellMar>
            <w:top w:w="0" w:type="dxa"/>
            <w:left w:w="108" w:type="dxa"/>
            <w:bottom w:w="0" w:type="dxa"/>
            <w:right w:w="108" w:type="dxa"/>
          </w:tblCellMar>
        </w:tblPrEx>
        <w:trPr>
          <w:trHeight w:val="830"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w:t>
            </w:r>
          </w:p>
        </w:tc>
        <w:tc>
          <w:tcPr>
            <w:tcW w:w="2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新做制冷管道</w:t>
            </w:r>
          </w:p>
        </w:tc>
        <w:tc>
          <w:tcPr>
            <w:tcW w:w="30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主管DN200，热水供回水管DN25-125</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项</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tblPrEx>
          <w:tblCellMar>
            <w:top w:w="0" w:type="dxa"/>
            <w:left w:w="108" w:type="dxa"/>
            <w:bottom w:w="0" w:type="dxa"/>
            <w:right w:w="108" w:type="dxa"/>
          </w:tblCellMar>
        </w:tblPrEx>
        <w:trPr>
          <w:trHeight w:val="642"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4</w:t>
            </w:r>
          </w:p>
        </w:tc>
        <w:tc>
          <w:tcPr>
            <w:tcW w:w="2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组合式空调箱制冷盘管更换</w:t>
            </w:r>
          </w:p>
        </w:tc>
        <w:tc>
          <w:tcPr>
            <w:tcW w:w="30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增大迎风面积</w:t>
            </w:r>
            <w:r>
              <w:rPr>
                <w:rFonts w:hint="eastAsia" w:ascii="仿宋" w:hAnsi="仿宋" w:eastAsia="仿宋" w:cs="仿宋"/>
                <w:color w:val="auto"/>
                <w:kern w:val="0"/>
                <w:sz w:val="24"/>
                <w:szCs w:val="24"/>
                <w:highlight w:val="none"/>
                <w:lang w:val="en-US" w:eastAsia="zh-CN" w:bidi="ar"/>
              </w:rPr>
              <w:t>3</w:t>
            </w:r>
            <w:r>
              <w:rPr>
                <w:rFonts w:hint="eastAsia" w:ascii="仿宋" w:hAnsi="仿宋" w:eastAsia="仿宋" w:cs="仿宋"/>
                <w:color w:val="auto"/>
                <w:kern w:val="0"/>
                <w:sz w:val="24"/>
                <w:szCs w:val="24"/>
                <w:highlight w:val="none"/>
                <w:lang w:bidi="ar"/>
              </w:rPr>
              <w:t>0%</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只</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29</w:t>
            </w:r>
          </w:p>
        </w:tc>
      </w:tr>
      <w:tr>
        <w:tblPrEx>
          <w:tblCellMar>
            <w:top w:w="0" w:type="dxa"/>
            <w:left w:w="108" w:type="dxa"/>
            <w:bottom w:w="0" w:type="dxa"/>
            <w:right w:w="108" w:type="dxa"/>
          </w:tblCellMar>
        </w:tblPrEx>
        <w:trPr>
          <w:trHeight w:val="642"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5</w:t>
            </w:r>
          </w:p>
        </w:tc>
        <w:tc>
          <w:tcPr>
            <w:tcW w:w="2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组合式空调箱增加制热盘管空调箱段</w:t>
            </w:r>
          </w:p>
        </w:tc>
        <w:tc>
          <w:tcPr>
            <w:tcW w:w="305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color w:val="auto"/>
                <w:sz w:val="24"/>
                <w:szCs w:val="24"/>
                <w:highlight w:val="none"/>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只</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27</w:t>
            </w:r>
          </w:p>
        </w:tc>
      </w:tr>
      <w:tr>
        <w:tblPrEx>
          <w:tblCellMar>
            <w:top w:w="0" w:type="dxa"/>
            <w:left w:w="108" w:type="dxa"/>
            <w:bottom w:w="0" w:type="dxa"/>
            <w:right w:w="108" w:type="dxa"/>
          </w:tblCellMar>
        </w:tblPrEx>
        <w:trPr>
          <w:trHeight w:val="642"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6</w:t>
            </w:r>
          </w:p>
        </w:tc>
        <w:tc>
          <w:tcPr>
            <w:tcW w:w="2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组合式空调箱盘管更换人工费用</w:t>
            </w:r>
          </w:p>
        </w:tc>
        <w:tc>
          <w:tcPr>
            <w:tcW w:w="305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color w:val="auto"/>
                <w:sz w:val="24"/>
                <w:szCs w:val="24"/>
                <w:highlight w:val="none"/>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片</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54</w:t>
            </w:r>
          </w:p>
        </w:tc>
      </w:tr>
      <w:tr>
        <w:tblPrEx>
          <w:tblCellMar>
            <w:top w:w="0" w:type="dxa"/>
            <w:left w:w="108" w:type="dxa"/>
            <w:bottom w:w="0" w:type="dxa"/>
            <w:right w:w="108" w:type="dxa"/>
          </w:tblCellMar>
        </w:tblPrEx>
        <w:trPr>
          <w:trHeight w:val="952"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7</w:t>
            </w:r>
          </w:p>
        </w:tc>
        <w:tc>
          <w:tcPr>
            <w:tcW w:w="2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组合式空调箱盘管进水阀件更换</w:t>
            </w:r>
          </w:p>
        </w:tc>
        <w:tc>
          <w:tcPr>
            <w:tcW w:w="30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比例积分调节阀、前后蝶阀，压力表、温度计等</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台</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54</w:t>
            </w:r>
          </w:p>
        </w:tc>
      </w:tr>
      <w:tr>
        <w:tblPrEx>
          <w:tblCellMar>
            <w:top w:w="0" w:type="dxa"/>
            <w:left w:w="108" w:type="dxa"/>
            <w:bottom w:w="0" w:type="dxa"/>
            <w:right w:w="108" w:type="dxa"/>
          </w:tblCellMar>
        </w:tblPrEx>
        <w:trPr>
          <w:trHeight w:val="642"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8</w:t>
            </w:r>
          </w:p>
        </w:tc>
        <w:tc>
          <w:tcPr>
            <w:tcW w:w="2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空气处理机智能控制柜</w:t>
            </w:r>
          </w:p>
        </w:tc>
        <w:tc>
          <w:tcPr>
            <w:tcW w:w="30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就地控制箱</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套</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29</w:t>
            </w:r>
          </w:p>
        </w:tc>
      </w:tr>
      <w:tr>
        <w:tblPrEx>
          <w:tblCellMar>
            <w:top w:w="0" w:type="dxa"/>
            <w:left w:w="108" w:type="dxa"/>
            <w:bottom w:w="0" w:type="dxa"/>
            <w:right w:w="108" w:type="dxa"/>
          </w:tblCellMar>
        </w:tblPrEx>
        <w:trPr>
          <w:trHeight w:val="992"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9</w:t>
            </w:r>
          </w:p>
        </w:tc>
        <w:tc>
          <w:tcPr>
            <w:tcW w:w="2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新风管道改造</w:t>
            </w:r>
          </w:p>
        </w:tc>
        <w:tc>
          <w:tcPr>
            <w:tcW w:w="30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新风送风保持正压</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套</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bidi="ar"/>
              </w:rPr>
              <w:t>2</w:t>
            </w:r>
            <w:r>
              <w:rPr>
                <w:rFonts w:hint="eastAsia" w:ascii="仿宋" w:hAnsi="仿宋" w:eastAsia="仿宋" w:cs="仿宋"/>
                <w:color w:val="auto"/>
                <w:kern w:val="0"/>
                <w:sz w:val="24"/>
                <w:szCs w:val="24"/>
                <w:highlight w:val="none"/>
                <w:lang w:val="en-US" w:eastAsia="zh-CN" w:bidi="ar"/>
              </w:rPr>
              <w:t>9</w:t>
            </w:r>
          </w:p>
        </w:tc>
      </w:tr>
      <w:tr>
        <w:tblPrEx>
          <w:tblCellMar>
            <w:top w:w="0" w:type="dxa"/>
            <w:left w:w="108" w:type="dxa"/>
            <w:bottom w:w="0" w:type="dxa"/>
            <w:right w:w="108" w:type="dxa"/>
          </w:tblCellMar>
        </w:tblPrEx>
        <w:trPr>
          <w:trHeight w:val="1262"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10</w:t>
            </w:r>
          </w:p>
        </w:tc>
        <w:tc>
          <w:tcPr>
            <w:tcW w:w="2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现场控制面板</w:t>
            </w:r>
          </w:p>
        </w:tc>
        <w:tc>
          <w:tcPr>
            <w:tcW w:w="30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网络型现场控制器（仅控制开关、温度）不能更改其他参数</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套</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bidi="ar"/>
              </w:rPr>
              <w:t>2</w:t>
            </w:r>
            <w:r>
              <w:rPr>
                <w:rFonts w:hint="eastAsia" w:ascii="仿宋" w:hAnsi="仿宋" w:eastAsia="仿宋" w:cs="仿宋"/>
                <w:color w:val="auto"/>
                <w:kern w:val="0"/>
                <w:sz w:val="24"/>
                <w:szCs w:val="24"/>
                <w:highlight w:val="none"/>
                <w:lang w:val="en-US" w:eastAsia="zh-CN" w:bidi="ar"/>
              </w:rPr>
              <w:t>9</w:t>
            </w:r>
          </w:p>
        </w:tc>
      </w:tr>
      <w:tr>
        <w:tblPrEx>
          <w:tblCellMar>
            <w:top w:w="0" w:type="dxa"/>
            <w:left w:w="108" w:type="dxa"/>
            <w:bottom w:w="0" w:type="dxa"/>
            <w:right w:w="108" w:type="dxa"/>
          </w:tblCellMar>
        </w:tblPrEx>
        <w:trPr>
          <w:trHeight w:val="642"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11</w:t>
            </w:r>
          </w:p>
        </w:tc>
        <w:tc>
          <w:tcPr>
            <w:tcW w:w="2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中央集中控制及监控系统</w:t>
            </w:r>
          </w:p>
        </w:tc>
        <w:tc>
          <w:tcPr>
            <w:tcW w:w="30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总台控制</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套</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2</w:t>
            </w:r>
          </w:p>
        </w:tc>
      </w:tr>
      <w:tr>
        <w:tblPrEx>
          <w:tblCellMar>
            <w:top w:w="0" w:type="dxa"/>
            <w:left w:w="108" w:type="dxa"/>
            <w:bottom w:w="0" w:type="dxa"/>
            <w:right w:w="108" w:type="dxa"/>
          </w:tblCellMar>
        </w:tblPrEx>
        <w:trPr>
          <w:trHeight w:val="642"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12</w:t>
            </w:r>
          </w:p>
        </w:tc>
        <w:tc>
          <w:tcPr>
            <w:tcW w:w="2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现场智能化控制改造费用</w:t>
            </w:r>
          </w:p>
        </w:tc>
        <w:tc>
          <w:tcPr>
            <w:tcW w:w="305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color w:val="auto"/>
                <w:sz w:val="24"/>
                <w:szCs w:val="24"/>
                <w:highlight w:val="none"/>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套</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tblPrEx>
          <w:tblCellMar>
            <w:top w:w="0" w:type="dxa"/>
            <w:left w:w="108" w:type="dxa"/>
            <w:bottom w:w="0" w:type="dxa"/>
            <w:right w:w="108" w:type="dxa"/>
          </w:tblCellMar>
        </w:tblPrEx>
        <w:trPr>
          <w:trHeight w:val="350"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13</w:t>
            </w:r>
          </w:p>
        </w:tc>
        <w:tc>
          <w:tcPr>
            <w:tcW w:w="2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软件开发、调试</w:t>
            </w:r>
          </w:p>
        </w:tc>
        <w:tc>
          <w:tcPr>
            <w:tcW w:w="305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color w:val="auto"/>
                <w:sz w:val="24"/>
                <w:szCs w:val="24"/>
                <w:highlight w:val="none"/>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套</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tblPrEx>
          <w:tblCellMar>
            <w:top w:w="0" w:type="dxa"/>
            <w:left w:w="108" w:type="dxa"/>
            <w:bottom w:w="0" w:type="dxa"/>
            <w:right w:w="108" w:type="dxa"/>
          </w:tblCellMar>
        </w:tblPrEx>
        <w:trPr>
          <w:trHeight w:val="1262"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14</w:t>
            </w:r>
          </w:p>
        </w:tc>
        <w:tc>
          <w:tcPr>
            <w:tcW w:w="2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控制系统配件</w:t>
            </w:r>
          </w:p>
        </w:tc>
        <w:tc>
          <w:tcPr>
            <w:tcW w:w="30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更换或增加温度传感器、压力传感器、湿度传感器、压差传感器、电流互感器等</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tblPrEx>
          <w:tblCellMar>
            <w:top w:w="0" w:type="dxa"/>
            <w:left w:w="108" w:type="dxa"/>
            <w:bottom w:w="0" w:type="dxa"/>
            <w:right w:w="108" w:type="dxa"/>
          </w:tblCellMar>
        </w:tblPrEx>
        <w:trPr>
          <w:trHeight w:val="678"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15</w:t>
            </w:r>
          </w:p>
        </w:tc>
        <w:tc>
          <w:tcPr>
            <w:tcW w:w="2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电极式加湿器更换</w:t>
            </w:r>
          </w:p>
        </w:tc>
        <w:tc>
          <w:tcPr>
            <w:tcW w:w="305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color w:val="auto"/>
                <w:sz w:val="24"/>
                <w:szCs w:val="24"/>
                <w:highlight w:val="none"/>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套</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27</w:t>
            </w:r>
          </w:p>
        </w:tc>
      </w:tr>
      <w:tr>
        <w:tblPrEx>
          <w:tblCellMar>
            <w:top w:w="0" w:type="dxa"/>
            <w:left w:w="108" w:type="dxa"/>
            <w:bottom w:w="0" w:type="dxa"/>
            <w:right w:w="108" w:type="dxa"/>
          </w:tblCellMar>
        </w:tblPrEx>
        <w:trPr>
          <w:trHeight w:val="678"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16</w:t>
            </w:r>
          </w:p>
        </w:tc>
        <w:tc>
          <w:tcPr>
            <w:tcW w:w="2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水质处理器</w:t>
            </w:r>
          </w:p>
        </w:tc>
        <w:tc>
          <w:tcPr>
            <w:tcW w:w="305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color w:val="auto"/>
                <w:sz w:val="24"/>
                <w:szCs w:val="24"/>
                <w:highlight w:val="none"/>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套</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w:t>
            </w:r>
          </w:p>
        </w:tc>
      </w:tr>
      <w:tr>
        <w:tblPrEx>
          <w:tblCellMar>
            <w:top w:w="0" w:type="dxa"/>
            <w:left w:w="108" w:type="dxa"/>
            <w:bottom w:w="0" w:type="dxa"/>
            <w:right w:w="108" w:type="dxa"/>
          </w:tblCellMar>
        </w:tblPrEx>
        <w:trPr>
          <w:trHeight w:val="678"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17</w:t>
            </w:r>
          </w:p>
        </w:tc>
        <w:tc>
          <w:tcPr>
            <w:tcW w:w="2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水泵控制系统</w:t>
            </w:r>
          </w:p>
        </w:tc>
        <w:tc>
          <w:tcPr>
            <w:tcW w:w="305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color w:val="auto"/>
                <w:sz w:val="24"/>
                <w:szCs w:val="24"/>
                <w:highlight w:val="none"/>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套</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w:t>
            </w:r>
          </w:p>
        </w:tc>
      </w:tr>
      <w:tr>
        <w:tblPrEx>
          <w:tblCellMar>
            <w:top w:w="0" w:type="dxa"/>
            <w:left w:w="108" w:type="dxa"/>
            <w:bottom w:w="0" w:type="dxa"/>
            <w:right w:w="108" w:type="dxa"/>
          </w:tblCellMar>
        </w:tblPrEx>
        <w:trPr>
          <w:trHeight w:val="678"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18</w:t>
            </w:r>
          </w:p>
        </w:tc>
        <w:tc>
          <w:tcPr>
            <w:tcW w:w="2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空调箱加热段</w:t>
            </w:r>
          </w:p>
        </w:tc>
        <w:tc>
          <w:tcPr>
            <w:tcW w:w="305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color w:val="auto"/>
                <w:sz w:val="24"/>
                <w:szCs w:val="24"/>
                <w:highlight w:val="none"/>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套</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27</w:t>
            </w:r>
          </w:p>
        </w:tc>
      </w:tr>
      <w:tr>
        <w:tblPrEx>
          <w:tblCellMar>
            <w:top w:w="0" w:type="dxa"/>
            <w:left w:w="108" w:type="dxa"/>
            <w:bottom w:w="0" w:type="dxa"/>
            <w:right w:w="108" w:type="dxa"/>
          </w:tblCellMar>
        </w:tblPrEx>
        <w:trPr>
          <w:trHeight w:val="678"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19</w:t>
            </w:r>
          </w:p>
        </w:tc>
        <w:tc>
          <w:tcPr>
            <w:tcW w:w="2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bCs w:val="0"/>
                <w:color w:val="auto"/>
                <w:kern w:val="0"/>
                <w:sz w:val="24"/>
                <w:szCs w:val="24"/>
                <w:highlight w:val="none"/>
                <w:lang w:bidi="ar"/>
              </w:rPr>
              <w:t>恒温恒湿直接膨胀式空调箱</w:t>
            </w:r>
          </w:p>
        </w:tc>
        <w:tc>
          <w:tcPr>
            <w:tcW w:w="305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color w:val="auto"/>
                <w:sz w:val="24"/>
                <w:szCs w:val="24"/>
                <w:highlight w:val="none"/>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套</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w:t>
            </w:r>
          </w:p>
        </w:tc>
      </w:tr>
      <w:tr>
        <w:tblPrEx>
          <w:tblCellMar>
            <w:top w:w="0" w:type="dxa"/>
            <w:left w:w="108" w:type="dxa"/>
            <w:bottom w:w="0" w:type="dxa"/>
            <w:right w:w="108" w:type="dxa"/>
          </w:tblCellMar>
        </w:tblPrEx>
        <w:trPr>
          <w:trHeight w:val="972"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20</w:t>
            </w:r>
          </w:p>
        </w:tc>
        <w:tc>
          <w:tcPr>
            <w:tcW w:w="2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乙二醇加注</w:t>
            </w:r>
          </w:p>
        </w:tc>
        <w:tc>
          <w:tcPr>
            <w:tcW w:w="305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加注防冻液，空调冷冻供回水管内液体冰点达-3℃</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项</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w:t>
            </w:r>
          </w:p>
        </w:tc>
      </w:tr>
    </w:tbl>
    <w:p>
      <w:pPr>
        <w:spacing w:line="360" w:lineRule="auto"/>
        <w:ind w:firstLine="480" w:firstLineChars="200"/>
        <w:rPr>
          <w:rFonts w:hint="eastAsia" w:ascii="仿宋" w:hAnsi="仿宋" w:eastAsia="仿宋" w:cs="仿宋"/>
          <w:color w:val="auto"/>
          <w:sz w:val="24"/>
          <w:szCs w:val="24"/>
          <w:highlight w:val="none"/>
          <w:lang w:val="en-GB" w:eastAsia="zh-CN"/>
        </w:rPr>
      </w:pPr>
    </w:p>
    <w:p>
      <w:pPr>
        <w:pStyle w:val="978"/>
        <w:spacing w:line="360" w:lineRule="auto"/>
        <w:ind w:firstLine="480" w:firstLineChars="200"/>
        <w:outlineLvl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4.12  维修安装</w:t>
      </w:r>
      <w:r>
        <w:rPr>
          <w:rFonts w:hint="eastAsia" w:ascii="仿宋" w:hAnsi="仿宋" w:eastAsia="仿宋" w:cs="仿宋"/>
          <w:snapToGrid w:val="0"/>
          <w:color w:val="auto"/>
          <w:kern w:val="0"/>
          <w:sz w:val="24"/>
          <w:highlight w:val="none"/>
          <w:lang w:val="en-US" w:eastAsia="zh-CN"/>
        </w:rPr>
        <w:t>辅材选用</w:t>
      </w:r>
    </w:p>
    <w:tbl>
      <w:tblPr>
        <w:tblStyle w:val="63"/>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3589"/>
        <w:gridCol w:w="4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15" w:type="dxa"/>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3589" w:type="dxa"/>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材料（设备）名称</w:t>
            </w:r>
          </w:p>
        </w:tc>
        <w:tc>
          <w:tcPr>
            <w:tcW w:w="4526" w:type="dxa"/>
            <w:noWrap w:val="0"/>
            <w:vAlign w:val="center"/>
          </w:tcPr>
          <w:p>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lang w:eastAsia="zh-CN"/>
              </w:rPr>
              <w:t>参考</w:t>
            </w:r>
            <w:r>
              <w:rPr>
                <w:rFonts w:hint="eastAsia" w:ascii="仿宋" w:hAnsi="仿宋" w:eastAsia="仿宋" w:cs="仿宋"/>
                <w:b/>
                <w:color w:val="auto"/>
                <w:sz w:val="24"/>
                <w:szCs w:val="24"/>
                <w:highlight w:val="none"/>
              </w:rPr>
              <w:t>生产厂或品牌（同等档次及以上）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center"/>
          </w:tcPr>
          <w:p>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3589" w:type="dxa"/>
            <w:noWrap w:val="0"/>
            <w:vAlign w:val="center"/>
          </w:tcPr>
          <w:p>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恒温恒湿直接膨胀式空调箱</w:t>
            </w:r>
          </w:p>
        </w:tc>
        <w:tc>
          <w:tcPr>
            <w:tcW w:w="4526" w:type="dxa"/>
            <w:noWrap w:val="0"/>
            <w:vAlign w:val="center"/>
          </w:tcPr>
          <w:p>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约克、克莱门特、开利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center"/>
          </w:tcPr>
          <w:p>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3589" w:type="dxa"/>
            <w:noWrap w:val="0"/>
            <w:vAlign w:val="center"/>
          </w:tcPr>
          <w:p>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手动阀门</w:t>
            </w:r>
          </w:p>
        </w:tc>
        <w:tc>
          <w:tcPr>
            <w:tcW w:w="4526" w:type="dxa"/>
            <w:noWrap w:val="0"/>
            <w:vAlign w:val="center"/>
          </w:tcPr>
          <w:p>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宁波埃美柯、上海良工、上海沪工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5" w:type="dxa"/>
            <w:noWrap w:val="0"/>
            <w:vAlign w:val="center"/>
          </w:tcPr>
          <w:p>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c>
          <w:tcPr>
            <w:tcW w:w="3589" w:type="dxa"/>
            <w:noWrap w:val="0"/>
            <w:vAlign w:val="center"/>
          </w:tcPr>
          <w:p>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电动比例调节阀</w:t>
            </w:r>
          </w:p>
        </w:tc>
        <w:tc>
          <w:tcPr>
            <w:tcW w:w="4526" w:type="dxa"/>
            <w:noWrap w:val="0"/>
            <w:vAlign w:val="center"/>
          </w:tcPr>
          <w:p>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西门子、霍尼韦尔、海林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center"/>
          </w:tcPr>
          <w:p>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p>
        </w:tc>
        <w:tc>
          <w:tcPr>
            <w:tcW w:w="3589" w:type="dxa"/>
            <w:noWrap w:val="0"/>
            <w:vAlign w:val="center"/>
          </w:tcPr>
          <w:p>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主管道钢管（无缝钢管二次镀锌）</w:t>
            </w:r>
          </w:p>
        </w:tc>
        <w:tc>
          <w:tcPr>
            <w:tcW w:w="4526" w:type="dxa"/>
            <w:noWrap w:val="0"/>
            <w:vAlign w:val="center"/>
          </w:tcPr>
          <w:p>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上劳、金洲、华岐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center"/>
          </w:tcPr>
          <w:p>
            <w:pPr>
              <w:spacing w:line="36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5</w:t>
            </w:r>
          </w:p>
        </w:tc>
        <w:tc>
          <w:tcPr>
            <w:tcW w:w="3589" w:type="dxa"/>
            <w:noWrap w:val="0"/>
            <w:vAlign w:val="center"/>
          </w:tcPr>
          <w:p>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不锈钢管（机组外一米）</w:t>
            </w:r>
          </w:p>
        </w:tc>
        <w:tc>
          <w:tcPr>
            <w:tcW w:w="4526" w:type="dxa"/>
            <w:noWrap w:val="0"/>
            <w:vAlign w:val="center"/>
          </w:tcPr>
          <w:p>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永享、铭扬、美亚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center"/>
          </w:tcPr>
          <w:p>
            <w:pPr>
              <w:spacing w:line="36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6</w:t>
            </w:r>
          </w:p>
        </w:tc>
        <w:tc>
          <w:tcPr>
            <w:tcW w:w="3589" w:type="dxa"/>
            <w:noWrap w:val="0"/>
            <w:vAlign w:val="center"/>
          </w:tcPr>
          <w:p>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保温材料</w:t>
            </w:r>
          </w:p>
        </w:tc>
        <w:tc>
          <w:tcPr>
            <w:tcW w:w="4526" w:type="dxa"/>
            <w:noWrap w:val="0"/>
            <w:vAlign w:val="center"/>
          </w:tcPr>
          <w:p>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华美、神洲或国产优质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center"/>
          </w:tcPr>
          <w:p>
            <w:pPr>
              <w:spacing w:line="36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7</w:t>
            </w:r>
          </w:p>
        </w:tc>
        <w:tc>
          <w:tcPr>
            <w:tcW w:w="3589" w:type="dxa"/>
            <w:noWrap w:val="0"/>
            <w:vAlign w:val="center"/>
          </w:tcPr>
          <w:p>
            <w:pPr>
              <w:spacing w:line="360" w:lineRule="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配电箱</w:t>
            </w:r>
            <w:r>
              <w:rPr>
                <w:rFonts w:hint="eastAsia" w:ascii="仿宋" w:hAnsi="仿宋" w:eastAsia="仿宋" w:cs="仿宋"/>
                <w:bCs/>
                <w:color w:val="auto"/>
                <w:sz w:val="24"/>
                <w:szCs w:val="24"/>
                <w:highlight w:val="none"/>
                <w:lang w:eastAsia="zh-CN"/>
              </w:rPr>
              <w:t>及控制柜</w:t>
            </w:r>
          </w:p>
        </w:tc>
        <w:tc>
          <w:tcPr>
            <w:tcW w:w="4526" w:type="dxa"/>
            <w:noWrap w:val="0"/>
            <w:vAlign w:val="center"/>
          </w:tcPr>
          <w:p>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主要工控系统：汇川、瑞丰、西门子</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主要电气元件</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ABB</w:t>
            </w:r>
            <w:r>
              <w:rPr>
                <w:rFonts w:hint="eastAsia" w:ascii="仿宋" w:hAnsi="仿宋" w:eastAsia="仿宋" w:cs="仿宋"/>
                <w:color w:val="auto"/>
                <w:sz w:val="24"/>
                <w:szCs w:val="24"/>
                <w:highlight w:val="none"/>
              </w:rPr>
              <w:t>、施耐德、松下</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主要变频器：台达、西门子、</w:t>
            </w:r>
            <w:r>
              <w:rPr>
                <w:rFonts w:hint="eastAsia" w:ascii="仿宋" w:hAnsi="仿宋" w:eastAsia="仿宋" w:cs="仿宋"/>
                <w:color w:val="auto"/>
                <w:sz w:val="24"/>
                <w:szCs w:val="24"/>
                <w:highlight w:val="none"/>
                <w:lang w:val="en-US" w:eastAsia="zh-CN"/>
              </w:rPr>
              <w:t>ABB</w:t>
            </w:r>
          </w:p>
          <w:p>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控制柜品牌</w:t>
            </w:r>
            <w:r>
              <w:rPr>
                <w:rFonts w:hint="eastAsia" w:ascii="仿宋" w:hAnsi="仿宋" w:eastAsia="仿宋" w:cs="仿宋"/>
                <w:bCs/>
                <w:color w:val="auto"/>
                <w:sz w:val="24"/>
                <w:szCs w:val="24"/>
                <w:highlight w:val="none"/>
              </w:rPr>
              <w:t>：瑞丰</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高东</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宝</w:t>
            </w:r>
            <w:r>
              <w:rPr>
                <w:rFonts w:hint="eastAsia" w:ascii="仿宋" w:hAnsi="仿宋" w:eastAsia="仿宋" w:cs="仿宋"/>
                <w:bCs/>
                <w:color w:val="auto"/>
                <w:sz w:val="24"/>
                <w:szCs w:val="24"/>
                <w:highlight w:val="none"/>
              </w:rPr>
              <w:t>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center"/>
          </w:tcPr>
          <w:p>
            <w:pPr>
              <w:spacing w:line="36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8</w:t>
            </w:r>
          </w:p>
        </w:tc>
        <w:tc>
          <w:tcPr>
            <w:tcW w:w="3589" w:type="dxa"/>
            <w:noWrap w:val="0"/>
            <w:vAlign w:val="center"/>
          </w:tcPr>
          <w:p>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变流量变水温控制系统</w:t>
            </w:r>
          </w:p>
        </w:tc>
        <w:tc>
          <w:tcPr>
            <w:tcW w:w="4526" w:type="dxa"/>
            <w:noWrap w:val="0"/>
            <w:vAlign w:val="center"/>
          </w:tcPr>
          <w:p>
            <w:pPr>
              <w:spacing w:line="360" w:lineRule="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主要工控系统：汇川、瑞丰、西门子</w:t>
            </w:r>
          </w:p>
          <w:p>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主要电气元件：</w:t>
            </w:r>
            <w:r>
              <w:rPr>
                <w:rFonts w:hint="eastAsia" w:ascii="仿宋" w:hAnsi="仿宋" w:eastAsia="仿宋" w:cs="仿宋"/>
                <w:bCs/>
                <w:color w:val="auto"/>
                <w:sz w:val="24"/>
                <w:szCs w:val="24"/>
                <w:highlight w:val="none"/>
              </w:rPr>
              <w:t>江森、西门子、霍尼韦尔或国产优质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center"/>
          </w:tcPr>
          <w:p>
            <w:pPr>
              <w:spacing w:line="36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9</w:t>
            </w:r>
          </w:p>
        </w:tc>
        <w:tc>
          <w:tcPr>
            <w:tcW w:w="3589" w:type="dxa"/>
            <w:noWrap w:val="0"/>
            <w:vAlign w:val="center"/>
          </w:tcPr>
          <w:p>
            <w:pPr>
              <w:spacing w:line="360"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中央集中控制及监控系统</w:t>
            </w:r>
          </w:p>
        </w:tc>
        <w:tc>
          <w:tcPr>
            <w:tcW w:w="4526" w:type="dxa"/>
            <w:noWrap w:val="0"/>
            <w:vAlign w:val="center"/>
          </w:tcPr>
          <w:p>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主要工控系统：瑞丰、高东、宝赛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center"/>
          </w:tcPr>
          <w:p>
            <w:pPr>
              <w:spacing w:line="36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10</w:t>
            </w:r>
          </w:p>
        </w:tc>
        <w:tc>
          <w:tcPr>
            <w:tcW w:w="3589" w:type="dxa"/>
            <w:noWrap w:val="0"/>
            <w:vAlign w:val="center"/>
          </w:tcPr>
          <w:p>
            <w:pPr>
              <w:spacing w:line="360" w:lineRule="auto"/>
              <w:jc w:val="left"/>
              <w:rPr>
                <w:rFonts w:hint="eastAsia" w:ascii="仿宋" w:hAnsi="仿宋" w:eastAsia="仿宋" w:cs="仿宋"/>
                <w:bCs/>
                <w:color w:val="auto"/>
                <w:sz w:val="24"/>
                <w:szCs w:val="24"/>
                <w:highlight w:val="none"/>
              </w:rPr>
            </w:pPr>
            <w:r>
              <w:rPr>
                <w:rFonts w:hint="eastAsia" w:ascii="仿宋" w:hAnsi="仿宋" w:eastAsia="仿宋" w:cs="仿宋"/>
                <w:bCs/>
                <w:color w:val="auto"/>
                <w:kern w:val="2"/>
                <w:sz w:val="24"/>
                <w:szCs w:val="24"/>
                <w:highlight w:val="none"/>
              </w:rPr>
              <w:t>加热段空调箱</w:t>
            </w:r>
          </w:p>
        </w:tc>
        <w:tc>
          <w:tcPr>
            <w:tcW w:w="4526" w:type="dxa"/>
            <w:noWrap w:val="0"/>
            <w:vAlign w:val="center"/>
          </w:tcPr>
          <w:p>
            <w:pPr>
              <w:spacing w:line="360" w:lineRule="auto"/>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品牌：美的、天加、盾安等同档次及以上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center"/>
          </w:tcPr>
          <w:p>
            <w:pPr>
              <w:spacing w:line="360"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11</w:t>
            </w:r>
          </w:p>
        </w:tc>
        <w:tc>
          <w:tcPr>
            <w:tcW w:w="3589" w:type="dxa"/>
            <w:noWrap w:val="0"/>
            <w:vAlign w:val="center"/>
          </w:tcPr>
          <w:p>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电线、电缆</w:t>
            </w:r>
          </w:p>
        </w:tc>
        <w:tc>
          <w:tcPr>
            <w:tcW w:w="4526" w:type="dxa"/>
            <w:noWrap w:val="0"/>
            <w:vAlign w:val="center"/>
          </w:tcPr>
          <w:p>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杭州中策、浙江万马、浙江元通</w:t>
            </w:r>
            <w:r>
              <w:rPr>
                <w:rFonts w:hint="eastAsia" w:ascii="仿宋" w:hAnsi="仿宋" w:eastAsia="仿宋" w:cs="仿宋"/>
                <w:bCs/>
                <w:color w:val="auto"/>
                <w:sz w:val="24"/>
                <w:szCs w:val="24"/>
                <w:highlight w:val="none"/>
              </w:rPr>
              <w:t>等同档次及以上</w:t>
            </w:r>
          </w:p>
        </w:tc>
      </w:tr>
    </w:tbl>
    <w:p>
      <w:pPr>
        <w:pStyle w:val="976"/>
        <w:spacing w:line="360" w:lineRule="auto"/>
        <w:ind w:firstLine="480" w:firstLineChars="200"/>
        <w:outlineLvl w:val="0"/>
        <w:rPr>
          <w:rFonts w:hint="eastAsia"/>
          <w:color w:val="auto"/>
          <w:highlight w:val="none"/>
          <w:lang w:val="en-US" w:eastAsia="zh-CN"/>
        </w:rPr>
      </w:pPr>
    </w:p>
    <w:p>
      <w:pPr>
        <w:spacing w:line="360" w:lineRule="auto"/>
        <w:ind w:firstLine="480" w:firstLineChars="200"/>
        <w:outlineLvl w:val="1"/>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lang w:val="en-US"/>
        </w:rPr>
        <w:t>报价说明</w:t>
      </w:r>
    </w:p>
    <w:p>
      <w:pPr>
        <w:spacing w:line="360" w:lineRule="auto"/>
        <w:ind w:firstLine="482" w:firstLineChars="200"/>
        <w:rPr>
          <w:rFonts w:hint="eastAsia" w:ascii="仿宋" w:hAnsi="仿宋" w:eastAsia="仿宋" w:cs="仿宋"/>
          <w:b/>
          <w:bCs/>
          <w:color w:val="auto"/>
          <w:sz w:val="24"/>
          <w:szCs w:val="24"/>
          <w:highlight w:val="none"/>
          <w:lang w:val="en-GB" w:eastAsia="zh-CN"/>
        </w:rPr>
      </w:pPr>
      <w:r>
        <w:rPr>
          <w:rFonts w:hint="eastAsia" w:ascii="仿宋" w:hAnsi="仿宋" w:eastAsia="仿宋" w:cs="仿宋"/>
          <w:b/>
          <w:bCs/>
          <w:color w:val="auto"/>
          <w:sz w:val="24"/>
          <w:szCs w:val="24"/>
          <w:highlight w:val="none"/>
        </w:rPr>
        <w:t>本次采购报价以全包形式，主要包含对现有机组存在的故障材料更换</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改造</w:t>
      </w:r>
      <w:r>
        <w:rPr>
          <w:rFonts w:hint="eastAsia" w:ascii="仿宋" w:hAnsi="仿宋" w:eastAsia="仿宋" w:cs="仿宋"/>
          <w:b/>
          <w:bCs/>
          <w:color w:val="auto"/>
          <w:sz w:val="24"/>
          <w:szCs w:val="24"/>
          <w:highlight w:val="none"/>
        </w:rPr>
        <w:t>费用、人工费用、运输费用</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安装过程中可能产生的水电</w:t>
      </w:r>
      <w:r>
        <w:rPr>
          <w:rFonts w:hint="eastAsia" w:ascii="仿宋" w:hAnsi="仿宋" w:eastAsia="仿宋" w:cs="仿宋"/>
          <w:b/>
          <w:bCs/>
          <w:color w:val="auto"/>
          <w:sz w:val="24"/>
          <w:szCs w:val="24"/>
          <w:highlight w:val="none"/>
        </w:rPr>
        <w:t>、税金等一切费用及3年维护保养费用和保养期间所产生的维修材料、人工等一切费用。</w:t>
      </w:r>
    </w:p>
    <w:p>
      <w:pPr>
        <w:pStyle w:val="23"/>
        <w:ind w:firstLine="480" w:firstLineChars="200"/>
        <w:rPr>
          <w:rFonts w:hint="eastAsia" w:eastAsia="仿宋"/>
          <w:color w:val="auto"/>
          <w:highlight w:val="none"/>
          <w:lang w:val="en-US" w:eastAsia="zh-CN"/>
        </w:rPr>
      </w:pPr>
      <w:r>
        <w:rPr>
          <w:rFonts w:hint="eastAsia" w:ascii="仿宋" w:hAnsi="仿宋" w:eastAsia="仿宋" w:cs="仿宋"/>
          <w:color w:val="auto"/>
          <w:kern w:val="0"/>
          <w:szCs w:val="21"/>
          <w:highlight w:val="none"/>
          <w:u w:val="single"/>
          <w:lang w:val="en-US" w:eastAsia="zh-CN"/>
        </w:rPr>
        <w:t>中标人须</w:t>
      </w:r>
      <w:r>
        <w:rPr>
          <w:rFonts w:hint="eastAsia" w:ascii="仿宋" w:hAnsi="仿宋" w:eastAsia="仿宋" w:cs="仿宋"/>
          <w:color w:val="auto"/>
          <w:kern w:val="0"/>
          <w:szCs w:val="21"/>
          <w:highlight w:val="none"/>
          <w:u w:val="single"/>
        </w:rPr>
        <w:t>为</w:t>
      </w:r>
      <w:r>
        <w:rPr>
          <w:rFonts w:hint="eastAsia" w:ascii="仿宋" w:hAnsi="仿宋" w:eastAsia="仿宋" w:cs="仿宋"/>
          <w:color w:val="auto"/>
          <w:kern w:val="0"/>
          <w:szCs w:val="21"/>
          <w:highlight w:val="none"/>
          <w:u w:val="single"/>
          <w:lang w:val="en-US" w:eastAsia="zh-CN"/>
        </w:rPr>
        <w:t>安装</w:t>
      </w:r>
      <w:r>
        <w:rPr>
          <w:rFonts w:hint="eastAsia" w:ascii="仿宋" w:hAnsi="仿宋" w:eastAsia="仿宋" w:cs="仿宋"/>
          <w:color w:val="auto"/>
          <w:kern w:val="0"/>
          <w:szCs w:val="21"/>
          <w:highlight w:val="none"/>
          <w:u w:val="single"/>
        </w:rPr>
        <w:t>场地内的自有人员设备及第三方生命财产办理保险并支付保险费用，费用已包含在总价内。期间所发生的一切与本工程有关的</w:t>
      </w:r>
      <w:r>
        <w:rPr>
          <w:rFonts w:hint="eastAsia" w:ascii="仿宋" w:hAnsi="仿宋" w:eastAsia="仿宋" w:cs="仿宋"/>
          <w:color w:val="auto"/>
          <w:kern w:val="0"/>
          <w:szCs w:val="21"/>
          <w:highlight w:val="none"/>
          <w:u w:val="single"/>
          <w:lang w:val="en-US" w:eastAsia="zh-CN"/>
        </w:rPr>
        <w:t>中标</w:t>
      </w:r>
      <w:r>
        <w:rPr>
          <w:rFonts w:hint="eastAsia" w:ascii="仿宋" w:hAnsi="仿宋" w:eastAsia="仿宋" w:cs="仿宋"/>
          <w:color w:val="auto"/>
          <w:kern w:val="0"/>
          <w:szCs w:val="21"/>
          <w:highlight w:val="none"/>
          <w:u w:val="single"/>
        </w:rPr>
        <w:t>人及第三方的人员、财产等意外伤害、损失，由</w:t>
      </w:r>
      <w:r>
        <w:rPr>
          <w:rFonts w:hint="eastAsia" w:ascii="仿宋" w:hAnsi="仿宋" w:eastAsia="仿宋" w:cs="仿宋"/>
          <w:color w:val="auto"/>
          <w:kern w:val="0"/>
          <w:szCs w:val="21"/>
          <w:highlight w:val="none"/>
          <w:u w:val="single"/>
          <w:lang w:val="en-US" w:eastAsia="zh-CN"/>
        </w:rPr>
        <w:t>中标人</w:t>
      </w:r>
      <w:r>
        <w:rPr>
          <w:rFonts w:hint="eastAsia" w:ascii="仿宋" w:hAnsi="仿宋" w:eastAsia="仿宋" w:cs="仿宋"/>
          <w:color w:val="auto"/>
          <w:kern w:val="0"/>
          <w:szCs w:val="21"/>
          <w:highlight w:val="none"/>
          <w:u w:val="single"/>
        </w:rPr>
        <w:t>承担全部责任和费用</w:t>
      </w:r>
      <w:r>
        <w:rPr>
          <w:rFonts w:hint="eastAsia" w:ascii="仿宋" w:hAnsi="仿宋" w:eastAsia="仿宋" w:cs="仿宋"/>
          <w:color w:val="auto"/>
          <w:kern w:val="0"/>
          <w:szCs w:val="21"/>
          <w:highlight w:val="none"/>
          <w:u w:val="single"/>
          <w:lang w:eastAsia="zh-CN"/>
        </w:rPr>
        <w:t>。</w:t>
      </w:r>
    </w:p>
    <w:p>
      <w:pPr>
        <w:spacing w:line="240" w:lineRule="auto"/>
        <w:ind w:firstLine="0" w:firstLineChars="0"/>
        <w:outlineLvl w:val="9"/>
        <w:rPr>
          <w:rFonts w:hint="eastAsia"/>
          <w:color w:val="auto"/>
          <w:highlight w:val="none"/>
          <w:lang w:val="en-US" w:eastAsia="zh-CN"/>
        </w:rPr>
      </w:pPr>
    </w:p>
    <w:p>
      <w:pPr>
        <w:spacing w:line="360" w:lineRule="auto"/>
        <w:ind w:firstLine="482" w:firstLineChars="200"/>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维修工期及</w:t>
      </w:r>
      <w:r>
        <w:rPr>
          <w:rFonts w:hint="eastAsia" w:ascii="仿宋" w:hAnsi="仿宋" w:eastAsia="仿宋" w:cs="仿宋"/>
          <w:b/>
          <w:bCs/>
          <w:color w:val="auto"/>
          <w:sz w:val="24"/>
          <w:szCs w:val="24"/>
          <w:highlight w:val="none"/>
          <w:lang w:eastAsia="zh-CN"/>
        </w:rPr>
        <w:t>维保</w:t>
      </w:r>
      <w:r>
        <w:rPr>
          <w:rFonts w:hint="eastAsia" w:ascii="仿宋" w:hAnsi="仿宋" w:eastAsia="仿宋" w:cs="仿宋"/>
          <w:b/>
          <w:bCs/>
          <w:color w:val="auto"/>
          <w:sz w:val="24"/>
          <w:szCs w:val="24"/>
          <w:highlight w:val="none"/>
        </w:rPr>
        <w:t>服务期</w:t>
      </w:r>
    </w:p>
    <w:p>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维保服务期：自</w:t>
      </w:r>
      <w:r>
        <w:rPr>
          <w:rFonts w:hint="eastAsia" w:ascii="仿宋" w:hAnsi="仿宋" w:eastAsia="仿宋" w:cs="仿宋"/>
          <w:b w:val="0"/>
          <w:bCs w:val="0"/>
          <w:color w:val="auto"/>
          <w:sz w:val="24"/>
          <w:szCs w:val="24"/>
          <w:highlight w:val="none"/>
          <w:lang w:val="en-US" w:eastAsia="zh-CN"/>
        </w:rPr>
        <w:t>合同签订之日起至完成</w:t>
      </w:r>
      <w:r>
        <w:rPr>
          <w:rFonts w:hint="eastAsia" w:ascii="仿宋" w:hAnsi="仿宋" w:eastAsia="仿宋" w:cs="仿宋"/>
          <w:b w:val="0"/>
          <w:bCs w:val="0"/>
          <w:color w:val="auto"/>
          <w:sz w:val="24"/>
          <w:szCs w:val="24"/>
          <w:highlight w:val="none"/>
        </w:rPr>
        <w:t>现有机组存在的故障材料更换</w:t>
      </w:r>
      <w:r>
        <w:rPr>
          <w:rFonts w:hint="eastAsia" w:ascii="仿宋" w:hAnsi="仿宋" w:eastAsia="仿宋" w:cs="仿宋"/>
          <w:b w:val="0"/>
          <w:bCs w:val="0"/>
          <w:color w:val="auto"/>
          <w:sz w:val="24"/>
          <w:szCs w:val="24"/>
          <w:highlight w:val="none"/>
          <w:lang w:eastAsia="zh-CN"/>
        </w:rPr>
        <w:t>、更新</w:t>
      </w:r>
      <w:r>
        <w:rPr>
          <w:rFonts w:hint="eastAsia" w:ascii="仿宋" w:hAnsi="仿宋" w:eastAsia="仿宋" w:cs="仿宋"/>
          <w:b w:val="0"/>
          <w:bCs w:val="0"/>
          <w:color w:val="auto"/>
          <w:sz w:val="24"/>
          <w:szCs w:val="24"/>
          <w:highlight w:val="none"/>
          <w:lang w:val="en-US" w:eastAsia="zh-CN"/>
        </w:rPr>
        <w:t>改造并正常运行后三</w:t>
      </w:r>
      <w:r>
        <w:rPr>
          <w:rFonts w:hint="eastAsia" w:ascii="仿宋" w:hAnsi="仿宋" w:eastAsia="仿宋" w:cs="仿宋"/>
          <w:b w:val="0"/>
          <w:bCs w:val="0"/>
          <w:color w:val="auto"/>
          <w:sz w:val="24"/>
          <w:szCs w:val="24"/>
          <w:highlight w:val="none"/>
        </w:rPr>
        <w:t>年</w:t>
      </w:r>
      <w:r>
        <w:rPr>
          <w:rFonts w:hint="eastAsia" w:ascii="仿宋" w:hAnsi="仿宋" w:eastAsia="仿宋" w:cs="仿宋"/>
          <w:b w:val="0"/>
          <w:bCs w:val="0"/>
          <w:color w:val="auto"/>
          <w:sz w:val="24"/>
          <w:szCs w:val="24"/>
          <w:highlight w:val="none"/>
          <w:lang w:val="en-US" w:eastAsia="zh-CN"/>
        </w:rPr>
        <w:t>的</w:t>
      </w:r>
      <w:r>
        <w:rPr>
          <w:rFonts w:hint="eastAsia" w:ascii="仿宋" w:hAnsi="仿宋" w:eastAsia="仿宋" w:cs="仿宋"/>
          <w:b w:val="0"/>
          <w:bCs w:val="0"/>
          <w:color w:val="auto"/>
          <w:sz w:val="24"/>
          <w:szCs w:val="24"/>
          <w:highlight w:val="none"/>
        </w:rPr>
        <w:t>维护保养</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color w:val="auto"/>
          <w:sz w:val="24"/>
          <w:szCs w:val="24"/>
          <w:highlight w:val="none"/>
          <w:lang w:val="en-US" w:eastAsia="zh-CN"/>
        </w:rPr>
        <w:t>其中针对原系统的维修更新：要求在合同签订之日起2个月内完成并能投入正常使用（期间要求充分考虑院内手术室的正常运行，不影响日常手术的正常开展，投标文件中提供相应的实施计划方案）。</w:t>
      </w:r>
    </w:p>
    <w:p>
      <w:pPr>
        <w:spacing w:line="240" w:lineRule="auto"/>
        <w:ind w:firstLine="0" w:firstLineChars="0"/>
        <w:rPr>
          <w:rFonts w:hint="eastAsia"/>
          <w:color w:val="auto"/>
          <w:highlight w:val="none"/>
          <w:lang w:val="en-GB"/>
        </w:rPr>
      </w:pPr>
    </w:p>
    <w:p>
      <w:pPr>
        <w:spacing w:line="360" w:lineRule="auto"/>
        <w:ind w:firstLine="482" w:firstLineChars="200"/>
        <w:outlineLvl w:val="1"/>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lang w:val="en-US"/>
        </w:rPr>
        <w:t>、付款方式：</w:t>
      </w:r>
    </w:p>
    <w:p>
      <w:pPr>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合同签订生效并具备实施条件后7个工作日内支付合同金额的40%作为预付款，完成现有机组更新维修、机组正常运</w:t>
      </w:r>
      <w:r>
        <w:rPr>
          <w:rFonts w:hint="eastAsia" w:ascii="仿宋" w:hAnsi="仿宋" w:eastAsia="仿宋" w:cs="仿宋"/>
          <w:color w:val="auto"/>
          <w:sz w:val="24"/>
          <w:szCs w:val="24"/>
          <w:highlight w:val="none"/>
          <w:lang w:val="en-US" w:eastAsia="zh-CN"/>
        </w:rPr>
        <w:t>行</w:t>
      </w:r>
      <w:r>
        <w:rPr>
          <w:rFonts w:hint="eastAsia" w:ascii="仿宋" w:hAnsi="仿宋" w:eastAsia="仿宋" w:cs="仿宋"/>
          <w:color w:val="auto"/>
          <w:sz w:val="24"/>
          <w:szCs w:val="24"/>
          <w:highlight w:val="none"/>
          <w:lang w:val="en-GB"/>
        </w:rPr>
        <w:t>一个月后按维修量按实结算，最多支付至合同总价的70%。之后维保按年度支付，每个周期的第一个月支付合同金额的10%（扣除考核款），最后一个周期的第一个月付5%，剩余款项须在服务周期结束，经甲方验收合格根据考核得分支付。</w:t>
      </w:r>
    </w:p>
    <w:p>
      <w:pPr>
        <w:pStyle w:val="23"/>
        <w:rPr>
          <w:rFonts w:hint="default" w:eastAsia="仿宋"/>
          <w:color w:val="auto"/>
          <w:highlight w:val="none"/>
          <w:lang w:val="en-US" w:eastAsia="zh-CN"/>
        </w:rPr>
      </w:pPr>
    </w:p>
    <w:p>
      <w:pPr>
        <w:numPr>
          <w:ilvl w:val="0"/>
          <w:numId w:val="0"/>
        </w:numPr>
        <w:adjustRightInd/>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八、验收</w:t>
      </w:r>
    </w:p>
    <w:p>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产品保护：供应商在验收合格并正常运行两周内有责任对材料设备的成品保护、维护和清洗负责。</w:t>
      </w:r>
    </w:p>
    <w:p>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验收合格条件</w:t>
      </w:r>
    </w:p>
    <w:p>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中标人提供的货物的品牌、规格、型号、数量、性能及服务承诺等必须与应标文件中一致。甲乙双方参照货物清单，进行产品品牌、型号、数量到货初验，如果发现数量不足或有质量、技术等问题，乙方应在5日内，按照甲方的要求，采取补足、更换或退货等处理措施，并承担由此发生的一切损失和费用。货物符合要求的，给予签收。</w:t>
      </w:r>
    </w:p>
    <w:p>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运行结果符合合同要求。</w:t>
      </w:r>
    </w:p>
    <w:p>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3</w:t>
      </w:r>
      <w:r>
        <w:rPr>
          <w:rFonts w:hint="eastAsia" w:ascii="仿宋" w:hAnsi="仿宋" w:eastAsia="仿宋" w:cs="仿宋"/>
          <w:color w:val="auto"/>
          <w:sz w:val="24"/>
          <w:highlight w:val="none"/>
        </w:rPr>
        <w:t>）在进行测试、验收运行过程中发生的故障和发现的隐患已被排除并得到采购人认可。</w:t>
      </w:r>
    </w:p>
    <w:p>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）所有合同中规定的货物和资料都已提交。</w:t>
      </w:r>
    </w:p>
    <w:p>
      <w:pPr>
        <w:snapToGrid w:val="0"/>
        <w:spacing w:line="500" w:lineRule="exact"/>
        <w:ind w:firstLine="480" w:firstLineChars="200"/>
        <w:rPr>
          <w:rFonts w:hint="eastAsia"/>
          <w:color w:val="auto"/>
          <w:highlight w:val="none"/>
          <w:lang w:val="en-US" w:eastAsia="zh-CN"/>
        </w:rPr>
        <w:sectPr>
          <w:pgSz w:w="11906" w:h="16838"/>
          <w:pgMar w:top="1440" w:right="1800" w:bottom="1440" w:left="1800" w:header="851" w:footer="992" w:gutter="0"/>
          <w:pgNumType w:fmt="decimal"/>
          <w:cols w:space="0" w:num="1"/>
          <w:rtlGutter w:val="0"/>
          <w:docGrid w:type="lines" w:linePitch="312" w:charSpace="0"/>
        </w:sect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5</w:t>
      </w:r>
      <w:r>
        <w:rPr>
          <w:rFonts w:hint="eastAsia" w:ascii="仿宋" w:hAnsi="仿宋" w:eastAsia="仿宋" w:cs="仿宋"/>
          <w:color w:val="auto"/>
          <w:sz w:val="24"/>
          <w:highlight w:val="none"/>
        </w:rPr>
        <w:t>）甲乙双方共同签署验收合格证书。</w:t>
      </w:r>
    </w:p>
    <w:p>
      <w:pPr>
        <w:numPr>
          <w:ilvl w:val="-1"/>
          <w:numId w:val="0"/>
        </w:numPr>
        <w:spacing w:line="360" w:lineRule="auto"/>
        <w:ind w:left="0" w:leftChars="0" w:firstLine="482" w:firstLineChars="200"/>
        <w:outlineLvl w:val="1"/>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九、现有设备情况：</w:t>
      </w:r>
    </w:p>
    <w:tbl>
      <w:tblPr>
        <w:tblStyle w:val="63"/>
        <w:tblW w:w="5000" w:type="pct"/>
        <w:tblInd w:w="0" w:type="dxa"/>
        <w:tblLayout w:type="fixed"/>
        <w:tblCellMar>
          <w:top w:w="0" w:type="dxa"/>
          <w:left w:w="108" w:type="dxa"/>
          <w:bottom w:w="0" w:type="dxa"/>
          <w:right w:w="108" w:type="dxa"/>
        </w:tblCellMar>
      </w:tblPr>
      <w:tblGrid>
        <w:gridCol w:w="653"/>
        <w:gridCol w:w="781"/>
        <w:gridCol w:w="3229"/>
        <w:gridCol w:w="706"/>
        <w:gridCol w:w="709"/>
        <w:gridCol w:w="565"/>
        <w:gridCol w:w="709"/>
        <w:gridCol w:w="709"/>
        <w:gridCol w:w="565"/>
        <w:gridCol w:w="709"/>
        <w:gridCol w:w="565"/>
        <w:gridCol w:w="848"/>
        <w:gridCol w:w="848"/>
        <w:gridCol w:w="1274"/>
        <w:gridCol w:w="706"/>
        <w:gridCol w:w="956"/>
      </w:tblGrid>
      <w:tr>
        <w:tblPrEx>
          <w:tblCellMar>
            <w:top w:w="0" w:type="dxa"/>
            <w:left w:w="108" w:type="dxa"/>
            <w:bottom w:w="0" w:type="dxa"/>
            <w:right w:w="108" w:type="dxa"/>
          </w:tblCellMar>
        </w:tblPrEx>
        <w:trPr>
          <w:trHeight w:val="269" w:hRule="atLeast"/>
        </w:trPr>
        <w:tc>
          <w:tcPr>
            <w:tcW w:w="5000" w:type="pct"/>
            <w:gridSpan w:val="16"/>
            <w:tcBorders>
              <w:top w:val="nil"/>
              <w:left w:val="nil"/>
              <w:bottom w:val="nil"/>
              <w:right w:val="nil"/>
            </w:tcBorders>
            <w:noWrap/>
            <w:vAlign w:val="bottom"/>
          </w:tcPr>
          <w:p>
            <w:pPr>
              <w:widowControl/>
              <w:textAlignment w:val="bottom"/>
              <w:rPr>
                <w:rFonts w:hint="eastAsia" w:ascii="仿宋" w:hAnsi="仿宋" w:eastAsia="仿宋" w:cs="仿宋"/>
                <w:color w:val="auto"/>
                <w:sz w:val="22"/>
                <w:highlight w:val="none"/>
              </w:rPr>
            </w:pPr>
          </w:p>
        </w:tc>
      </w:tr>
      <w:tr>
        <w:tblPrEx>
          <w:tblCellMar>
            <w:top w:w="0" w:type="dxa"/>
            <w:left w:w="108" w:type="dxa"/>
            <w:bottom w:w="0" w:type="dxa"/>
            <w:right w:w="108" w:type="dxa"/>
          </w:tblCellMar>
        </w:tblPrEx>
        <w:trPr>
          <w:trHeight w:val="630" w:hRule="atLeast"/>
        </w:trPr>
        <w:tc>
          <w:tcPr>
            <w:tcW w:w="22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kern w:val="0"/>
                <w:sz w:val="22"/>
                <w:highlight w:val="none"/>
                <w:lang w:bidi="ar"/>
              </w:rPr>
              <w:t>编号</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kern w:val="0"/>
                <w:sz w:val="22"/>
                <w:highlight w:val="none"/>
                <w:lang w:bidi="ar"/>
              </w:rPr>
              <w:t>名称</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参数</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 w:val="16"/>
                <w:szCs w:val="16"/>
                <w:highlight w:val="none"/>
                <w:lang w:eastAsia="zh-CN" w:bidi="ar"/>
              </w:rPr>
            </w:pPr>
            <w:r>
              <w:rPr>
                <w:rFonts w:hint="eastAsia" w:ascii="仿宋" w:hAnsi="仿宋" w:eastAsia="仿宋" w:cs="仿宋"/>
                <w:color w:val="auto"/>
                <w:kern w:val="0"/>
                <w:sz w:val="16"/>
                <w:szCs w:val="16"/>
                <w:highlight w:val="none"/>
                <w:lang w:bidi="ar"/>
              </w:rPr>
              <w:t>额定风量</w:t>
            </w:r>
          </w:p>
          <w:p>
            <w:pPr>
              <w:widowControl/>
              <w:jc w:val="center"/>
              <w:textAlignment w:val="center"/>
              <w:rPr>
                <w:rFonts w:hint="eastAsia" w:ascii="仿宋" w:hAnsi="仿宋" w:eastAsia="仿宋" w:cs="仿宋"/>
                <w:color w:val="auto"/>
                <w:sz w:val="16"/>
                <w:szCs w:val="16"/>
                <w:highlight w:val="none"/>
              </w:rPr>
            </w:pPr>
            <w:r>
              <w:rPr>
                <w:rFonts w:hint="eastAsia" w:ascii="仿宋" w:hAnsi="仿宋" w:eastAsia="仿宋" w:cs="仿宋"/>
                <w:color w:val="auto"/>
                <w:kern w:val="0"/>
                <w:sz w:val="16"/>
                <w:szCs w:val="16"/>
                <w:highlight w:val="none"/>
                <w:lang w:bidi="ar"/>
              </w:rPr>
              <w:t>m3/h</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 w:val="16"/>
                <w:szCs w:val="16"/>
                <w:highlight w:val="none"/>
                <w:lang w:eastAsia="zh-CN" w:bidi="ar"/>
              </w:rPr>
            </w:pPr>
            <w:r>
              <w:rPr>
                <w:rFonts w:hint="eastAsia" w:ascii="仿宋" w:hAnsi="仿宋" w:eastAsia="仿宋" w:cs="仿宋"/>
                <w:color w:val="auto"/>
                <w:kern w:val="0"/>
                <w:sz w:val="16"/>
                <w:szCs w:val="16"/>
                <w:highlight w:val="none"/>
                <w:lang w:bidi="ar"/>
              </w:rPr>
              <w:t>新风量</w:t>
            </w:r>
          </w:p>
          <w:p>
            <w:pPr>
              <w:widowControl/>
              <w:jc w:val="center"/>
              <w:textAlignment w:val="center"/>
              <w:rPr>
                <w:rFonts w:hint="eastAsia" w:ascii="仿宋" w:hAnsi="仿宋" w:eastAsia="仿宋" w:cs="仿宋"/>
                <w:color w:val="auto"/>
                <w:sz w:val="16"/>
                <w:szCs w:val="16"/>
                <w:highlight w:val="none"/>
              </w:rPr>
            </w:pPr>
            <w:r>
              <w:rPr>
                <w:rFonts w:hint="eastAsia" w:ascii="仿宋" w:hAnsi="仿宋" w:eastAsia="仿宋" w:cs="仿宋"/>
                <w:color w:val="auto"/>
                <w:kern w:val="0"/>
                <w:sz w:val="16"/>
                <w:szCs w:val="16"/>
                <w:highlight w:val="none"/>
                <w:lang w:bidi="ar"/>
              </w:rPr>
              <w:t>m3/h</w:t>
            </w:r>
          </w:p>
        </w:tc>
        <w:tc>
          <w:tcPr>
            <w:tcW w:w="19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 w:val="16"/>
                <w:szCs w:val="16"/>
                <w:highlight w:val="none"/>
                <w:lang w:eastAsia="zh-CN" w:bidi="ar"/>
              </w:rPr>
            </w:pPr>
            <w:r>
              <w:rPr>
                <w:rFonts w:hint="eastAsia" w:ascii="仿宋" w:hAnsi="仿宋" w:eastAsia="仿宋" w:cs="仿宋"/>
                <w:color w:val="auto"/>
                <w:kern w:val="0"/>
                <w:sz w:val="16"/>
                <w:szCs w:val="16"/>
                <w:highlight w:val="none"/>
                <w:lang w:bidi="ar"/>
              </w:rPr>
              <w:t>机外压力</w:t>
            </w:r>
          </w:p>
          <w:p>
            <w:pPr>
              <w:widowControl/>
              <w:jc w:val="center"/>
              <w:textAlignment w:val="center"/>
              <w:rPr>
                <w:rFonts w:hint="eastAsia" w:ascii="仿宋" w:hAnsi="仿宋" w:eastAsia="仿宋" w:cs="仿宋"/>
                <w:color w:val="auto"/>
                <w:sz w:val="16"/>
                <w:szCs w:val="16"/>
                <w:highlight w:val="none"/>
              </w:rPr>
            </w:pPr>
            <w:r>
              <w:rPr>
                <w:rFonts w:hint="eastAsia" w:ascii="仿宋" w:hAnsi="仿宋" w:eastAsia="仿宋" w:cs="仿宋"/>
                <w:color w:val="auto"/>
                <w:kern w:val="0"/>
                <w:sz w:val="16"/>
                <w:szCs w:val="16"/>
                <w:highlight w:val="none"/>
                <w:lang w:bidi="ar"/>
              </w:rPr>
              <w:t>Pa</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 w:val="16"/>
                <w:szCs w:val="16"/>
                <w:highlight w:val="none"/>
                <w:lang w:eastAsia="zh-CN" w:bidi="ar"/>
              </w:rPr>
            </w:pPr>
            <w:r>
              <w:rPr>
                <w:rFonts w:hint="eastAsia" w:ascii="仿宋" w:hAnsi="仿宋" w:eastAsia="仿宋" w:cs="仿宋"/>
                <w:color w:val="auto"/>
                <w:kern w:val="0"/>
                <w:sz w:val="16"/>
                <w:szCs w:val="16"/>
                <w:highlight w:val="none"/>
                <w:lang w:bidi="ar"/>
              </w:rPr>
              <w:t>风机功率</w:t>
            </w:r>
          </w:p>
          <w:p>
            <w:pPr>
              <w:widowControl/>
              <w:jc w:val="center"/>
              <w:textAlignment w:val="center"/>
              <w:rPr>
                <w:rFonts w:hint="eastAsia" w:ascii="仿宋" w:hAnsi="仿宋" w:eastAsia="仿宋" w:cs="仿宋"/>
                <w:color w:val="auto"/>
                <w:sz w:val="16"/>
                <w:szCs w:val="16"/>
                <w:highlight w:val="none"/>
              </w:rPr>
            </w:pPr>
            <w:r>
              <w:rPr>
                <w:rFonts w:hint="eastAsia" w:ascii="仿宋" w:hAnsi="仿宋" w:eastAsia="仿宋" w:cs="仿宋"/>
                <w:color w:val="auto"/>
                <w:kern w:val="0"/>
                <w:sz w:val="16"/>
                <w:szCs w:val="16"/>
                <w:highlight w:val="none"/>
                <w:lang w:bidi="ar"/>
              </w:rPr>
              <w:t>kw</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 w:val="16"/>
                <w:szCs w:val="16"/>
                <w:highlight w:val="none"/>
                <w:lang w:eastAsia="zh-CN" w:bidi="ar"/>
              </w:rPr>
            </w:pPr>
            <w:r>
              <w:rPr>
                <w:rFonts w:hint="eastAsia" w:ascii="仿宋" w:hAnsi="仿宋" w:eastAsia="仿宋" w:cs="仿宋"/>
                <w:color w:val="auto"/>
                <w:kern w:val="0"/>
                <w:sz w:val="16"/>
                <w:szCs w:val="16"/>
                <w:highlight w:val="none"/>
                <w:lang w:bidi="ar"/>
              </w:rPr>
              <w:t>冷量</w:t>
            </w:r>
          </w:p>
          <w:p>
            <w:pPr>
              <w:widowControl/>
              <w:jc w:val="center"/>
              <w:textAlignment w:val="center"/>
              <w:rPr>
                <w:rFonts w:hint="eastAsia" w:ascii="仿宋" w:hAnsi="仿宋" w:eastAsia="仿宋" w:cs="仿宋"/>
                <w:color w:val="auto"/>
                <w:sz w:val="16"/>
                <w:szCs w:val="16"/>
                <w:highlight w:val="none"/>
              </w:rPr>
            </w:pPr>
            <w:r>
              <w:rPr>
                <w:rFonts w:hint="eastAsia" w:ascii="仿宋" w:hAnsi="仿宋" w:eastAsia="仿宋" w:cs="仿宋"/>
                <w:color w:val="auto"/>
                <w:kern w:val="0"/>
                <w:sz w:val="16"/>
                <w:szCs w:val="16"/>
                <w:highlight w:val="none"/>
                <w:lang w:bidi="ar"/>
              </w:rPr>
              <w:t>kW</w:t>
            </w:r>
          </w:p>
        </w:tc>
        <w:tc>
          <w:tcPr>
            <w:tcW w:w="19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 w:val="16"/>
                <w:szCs w:val="16"/>
                <w:highlight w:val="none"/>
                <w:lang w:eastAsia="zh-CN" w:bidi="ar"/>
              </w:rPr>
            </w:pPr>
            <w:r>
              <w:rPr>
                <w:rFonts w:hint="eastAsia" w:ascii="仿宋" w:hAnsi="仿宋" w:eastAsia="仿宋" w:cs="仿宋"/>
                <w:color w:val="auto"/>
                <w:kern w:val="0"/>
                <w:sz w:val="16"/>
                <w:szCs w:val="16"/>
                <w:highlight w:val="none"/>
                <w:lang w:bidi="ar"/>
              </w:rPr>
              <w:t>电加热功率</w:t>
            </w:r>
          </w:p>
          <w:p>
            <w:pPr>
              <w:widowControl/>
              <w:jc w:val="center"/>
              <w:textAlignment w:val="center"/>
              <w:rPr>
                <w:rFonts w:hint="eastAsia" w:ascii="仿宋" w:hAnsi="仿宋" w:eastAsia="仿宋" w:cs="仿宋"/>
                <w:color w:val="auto"/>
                <w:sz w:val="16"/>
                <w:szCs w:val="16"/>
                <w:highlight w:val="none"/>
              </w:rPr>
            </w:pPr>
            <w:r>
              <w:rPr>
                <w:rFonts w:hint="eastAsia" w:ascii="仿宋" w:hAnsi="仿宋" w:eastAsia="仿宋" w:cs="仿宋"/>
                <w:color w:val="auto"/>
                <w:kern w:val="0"/>
                <w:sz w:val="16"/>
                <w:szCs w:val="16"/>
                <w:highlight w:val="none"/>
                <w:lang w:bidi="ar"/>
              </w:rPr>
              <w:t>kW</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 w:val="16"/>
                <w:szCs w:val="16"/>
                <w:highlight w:val="none"/>
                <w:lang w:eastAsia="zh-CN" w:bidi="ar"/>
              </w:rPr>
            </w:pPr>
            <w:r>
              <w:rPr>
                <w:rFonts w:hint="eastAsia" w:ascii="仿宋" w:hAnsi="仿宋" w:eastAsia="仿宋" w:cs="仿宋"/>
                <w:color w:val="auto"/>
                <w:kern w:val="0"/>
                <w:sz w:val="16"/>
                <w:szCs w:val="16"/>
                <w:highlight w:val="none"/>
                <w:lang w:bidi="ar"/>
              </w:rPr>
              <w:t>加湿喷杆</w:t>
            </w:r>
          </w:p>
          <w:p>
            <w:pPr>
              <w:widowControl/>
              <w:jc w:val="center"/>
              <w:textAlignment w:val="center"/>
              <w:rPr>
                <w:rFonts w:hint="eastAsia" w:ascii="仿宋" w:hAnsi="仿宋" w:eastAsia="仿宋" w:cs="仿宋"/>
                <w:color w:val="auto"/>
                <w:sz w:val="16"/>
                <w:szCs w:val="16"/>
                <w:highlight w:val="none"/>
              </w:rPr>
            </w:pPr>
            <w:r>
              <w:rPr>
                <w:rFonts w:hint="eastAsia" w:ascii="仿宋" w:hAnsi="仿宋" w:eastAsia="仿宋" w:cs="仿宋"/>
                <w:color w:val="auto"/>
                <w:kern w:val="0"/>
                <w:sz w:val="16"/>
                <w:szCs w:val="16"/>
                <w:highlight w:val="none"/>
                <w:lang w:bidi="ar"/>
              </w:rPr>
              <w:t>kg/h</w:t>
            </w:r>
          </w:p>
        </w:tc>
        <w:tc>
          <w:tcPr>
            <w:tcW w:w="19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6"/>
                <w:szCs w:val="16"/>
                <w:highlight w:val="none"/>
              </w:rPr>
            </w:pPr>
            <w:r>
              <w:rPr>
                <w:rFonts w:hint="eastAsia" w:ascii="仿宋" w:hAnsi="仿宋" w:eastAsia="仿宋" w:cs="仿宋"/>
                <w:color w:val="auto"/>
                <w:kern w:val="0"/>
                <w:sz w:val="16"/>
                <w:szCs w:val="16"/>
                <w:highlight w:val="none"/>
                <w:lang w:bidi="ar"/>
              </w:rPr>
              <w:t>数量</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对应地点</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增加或更换制热盘管</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更换制冷盘管（增加迎风面积）</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增加深度除湿</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更换电极式加湿器</w:t>
            </w:r>
          </w:p>
        </w:tc>
      </w:tr>
      <w:tr>
        <w:tblPrEx>
          <w:tblCellMar>
            <w:top w:w="0" w:type="dxa"/>
            <w:left w:w="108" w:type="dxa"/>
            <w:bottom w:w="0" w:type="dxa"/>
            <w:right w:w="108" w:type="dxa"/>
          </w:tblCellMar>
        </w:tblPrEx>
        <w:trPr>
          <w:trHeight w:val="1280" w:hRule="atLeast"/>
        </w:trPr>
        <w:tc>
          <w:tcPr>
            <w:tcW w:w="22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kern w:val="0"/>
                <w:sz w:val="22"/>
                <w:highlight w:val="none"/>
                <w:lang w:bidi="ar"/>
              </w:rPr>
              <w:t>1</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kern w:val="0"/>
                <w:sz w:val="22"/>
                <w:highlight w:val="none"/>
                <w:lang w:bidi="ar"/>
              </w:rPr>
              <w:t>AHU-413</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AHU-413额定风量：1600m3/h；新风量：160m3/h；机外压力：650Pa；风机功率：1.5kw变频；冷量：7.82kW；电加热功率：6kW；加湿喷杆：6kg/h；功能段排布：进风段+送风机+均流段+初中效过滤段+冷水盘管+电加热器+加湿器+出风段</w:t>
            </w:r>
          </w:p>
        </w:tc>
        <w:tc>
          <w:tcPr>
            <w:tcW w:w="2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1600</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160</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650</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1.5</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7.82</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1号手术室</w:t>
            </w:r>
          </w:p>
        </w:tc>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c>
          <w:tcPr>
            <w:tcW w:w="2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否</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r>
      <w:tr>
        <w:tblPrEx>
          <w:tblCellMar>
            <w:top w:w="0" w:type="dxa"/>
            <w:left w:w="108" w:type="dxa"/>
            <w:bottom w:w="0" w:type="dxa"/>
            <w:right w:w="108" w:type="dxa"/>
          </w:tblCellMar>
        </w:tblPrEx>
        <w:trPr>
          <w:trHeight w:val="1360" w:hRule="atLeast"/>
        </w:trPr>
        <w:tc>
          <w:tcPr>
            <w:tcW w:w="22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kern w:val="0"/>
                <w:sz w:val="22"/>
                <w:highlight w:val="none"/>
                <w:lang w:bidi="ar"/>
              </w:rPr>
              <w:t>2</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kern w:val="0"/>
                <w:sz w:val="22"/>
                <w:highlight w:val="none"/>
                <w:lang w:bidi="ar"/>
              </w:rPr>
              <w:t>AHU-410</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AHU-410额定风量：4100m3/h；新风量：410m3/h；机外压力：600Pa；风机功率：4kw变频；冷量：23.12kW；电加热功率：14kW；加湿喷杆：45kg/h；功能段排布：进风段+送风机+均流段+初中效过滤段+冷水盘管+电加热器+加湿器+出风段</w:t>
            </w:r>
          </w:p>
        </w:tc>
        <w:tc>
          <w:tcPr>
            <w:tcW w:w="2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4100</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410</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600</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23.12</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14</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45</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2、3、4号手术室</w:t>
            </w:r>
          </w:p>
        </w:tc>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c>
          <w:tcPr>
            <w:tcW w:w="2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否</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r>
      <w:tr>
        <w:tblPrEx>
          <w:tblCellMar>
            <w:top w:w="0" w:type="dxa"/>
            <w:left w:w="108" w:type="dxa"/>
            <w:bottom w:w="0" w:type="dxa"/>
            <w:right w:w="108" w:type="dxa"/>
          </w:tblCellMar>
        </w:tblPrEx>
        <w:trPr>
          <w:trHeight w:val="1220" w:hRule="atLeast"/>
        </w:trPr>
        <w:tc>
          <w:tcPr>
            <w:tcW w:w="22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kern w:val="0"/>
                <w:sz w:val="22"/>
                <w:highlight w:val="none"/>
                <w:lang w:bidi="ar"/>
              </w:rPr>
              <w:t>3</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kern w:val="0"/>
                <w:sz w:val="22"/>
                <w:highlight w:val="none"/>
                <w:lang w:bidi="ar"/>
              </w:rPr>
              <w:t>AHU-412</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AHU-412额定风量：3100m3/h；新风量：310m3/h；机外压力：600Pa；风机功率：3kw变频；冷量：19.17kW；电加热功率：12kW；加湿喷杆：45kg/h；功能段排布：进风段+送风机+均流段+初中效过滤段+冷水盘管+电加热器+加湿器+出风段</w:t>
            </w:r>
          </w:p>
        </w:tc>
        <w:tc>
          <w:tcPr>
            <w:tcW w:w="2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3100</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310</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600</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19.17</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45</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5、9号手术室</w:t>
            </w:r>
          </w:p>
        </w:tc>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c>
          <w:tcPr>
            <w:tcW w:w="2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否</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r>
      <w:tr>
        <w:tblPrEx>
          <w:tblCellMar>
            <w:top w:w="0" w:type="dxa"/>
            <w:left w:w="108" w:type="dxa"/>
            <w:bottom w:w="0" w:type="dxa"/>
            <w:right w:w="108" w:type="dxa"/>
          </w:tblCellMar>
        </w:tblPrEx>
        <w:trPr>
          <w:trHeight w:val="1240" w:hRule="atLeast"/>
        </w:trPr>
        <w:tc>
          <w:tcPr>
            <w:tcW w:w="22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kern w:val="0"/>
                <w:sz w:val="22"/>
                <w:highlight w:val="none"/>
                <w:lang w:bidi="ar"/>
              </w:rPr>
              <w:t>4</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kern w:val="0"/>
                <w:sz w:val="22"/>
                <w:highlight w:val="none"/>
                <w:lang w:bidi="ar"/>
              </w:rPr>
              <w:t>AHU-411</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AHU-411 额定风量：4100m3/h；新风量：410m3/h；机外压力：600Pa；风机功率：4kw变频；冷量：21.76kW；电加热功率：14kW；加湿喷杆：45kg/h；功能段排布：进风段+送风机+均流段+初中效过滤段+冷水盘管+电加热器+加湿器+出风段</w:t>
            </w:r>
          </w:p>
        </w:tc>
        <w:tc>
          <w:tcPr>
            <w:tcW w:w="2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4100</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410</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600</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21.76</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14</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45</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 xml:space="preserve"> 6、7、8号手术室</w:t>
            </w:r>
          </w:p>
        </w:tc>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c>
          <w:tcPr>
            <w:tcW w:w="2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否</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r>
      <w:tr>
        <w:tblPrEx>
          <w:tblCellMar>
            <w:top w:w="0" w:type="dxa"/>
            <w:left w:w="108" w:type="dxa"/>
            <w:bottom w:w="0" w:type="dxa"/>
            <w:right w:w="108" w:type="dxa"/>
          </w:tblCellMar>
        </w:tblPrEx>
        <w:trPr>
          <w:trHeight w:val="841" w:hRule="atLeast"/>
        </w:trPr>
        <w:tc>
          <w:tcPr>
            <w:tcW w:w="22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kern w:val="0"/>
                <w:sz w:val="22"/>
                <w:highlight w:val="none"/>
                <w:lang w:bidi="ar"/>
              </w:rPr>
              <w:t>5</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kern w:val="0"/>
                <w:sz w:val="22"/>
                <w:highlight w:val="none"/>
                <w:lang w:bidi="ar"/>
              </w:rPr>
              <w:t>AHU-403，404，405，406，201</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AHU-201，403，404，405，406 额定风量：3650m3/h；新风量：365m3/h；机外压力：650Pa；风机功率：3kw变频；冷量：14.19kW；电加热功率：12kW；加湿喷杆：6kg/h；功能段排布：进风段+送风机+均流段+初中效过滤段+冷水盘管+电加热器+加湿器+出风段</w:t>
            </w:r>
          </w:p>
        </w:tc>
        <w:tc>
          <w:tcPr>
            <w:tcW w:w="2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3650</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365</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650</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14.19</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10、11、12、13号手术室；EICU净化病房</w:t>
            </w:r>
          </w:p>
        </w:tc>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c>
          <w:tcPr>
            <w:tcW w:w="2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否</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r>
      <w:tr>
        <w:tblPrEx>
          <w:tblCellMar>
            <w:top w:w="0" w:type="dxa"/>
            <w:left w:w="108" w:type="dxa"/>
            <w:bottom w:w="0" w:type="dxa"/>
            <w:right w:w="108" w:type="dxa"/>
          </w:tblCellMar>
        </w:tblPrEx>
        <w:trPr>
          <w:trHeight w:val="1160" w:hRule="atLeast"/>
        </w:trPr>
        <w:tc>
          <w:tcPr>
            <w:tcW w:w="22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kern w:val="0"/>
                <w:sz w:val="22"/>
                <w:highlight w:val="none"/>
                <w:lang w:bidi="ar"/>
              </w:rPr>
              <w:t>6</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kern w:val="0"/>
                <w:sz w:val="22"/>
                <w:highlight w:val="none"/>
                <w:lang w:bidi="ar"/>
              </w:rPr>
              <w:t>AHU-401</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AHU-401额定风量：9600m3/h；新风量：960m3/h；机外压力：700Pa；风机功率：5.5kw变频；冷量：33.33kW；电加热功率：36kW；加湿喷杆：12kg/h；功能段排布：进风段+送风机+均流段+初中效过滤段+冷水盘管+电加热器+加湿器+出风段</w:t>
            </w:r>
          </w:p>
        </w:tc>
        <w:tc>
          <w:tcPr>
            <w:tcW w:w="2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9600</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960</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700</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5.5</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33.33</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36</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 xml:space="preserve"> 14号手术室</w:t>
            </w:r>
          </w:p>
        </w:tc>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c>
          <w:tcPr>
            <w:tcW w:w="2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否</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r>
      <w:tr>
        <w:tblPrEx>
          <w:tblCellMar>
            <w:top w:w="0" w:type="dxa"/>
            <w:left w:w="108" w:type="dxa"/>
            <w:bottom w:w="0" w:type="dxa"/>
            <w:right w:w="108" w:type="dxa"/>
          </w:tblCellMar>
        </w:tblPrEx>
        <w:trPr>
          <w:trHeight w:val="1240" w:hRule="atLeast"/>
        </w:trPr>
        <w:tc>
          <w:tcPr>
            <w:tcW w:w="22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kern w:val="0"/>
                <w:sz w:val="22"/>
                <w:highlight w:val="none"/>
                <w:lang w:bidi="ar"/>
              </w:rPr>
              <w:t>7</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kern w:val="0"/>
                <w:sz w:val="22"/>
                <w:highlight w:val="none"/>
                <w:lang w:bidi="ar"/>
              </w:rPr>
              <w:t>AHU-407</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AHU-407 额定风量：3100m3/h；新风量：310m3/h；机外压力：600Pa；风机功率：3kw变频；冷量：12.05kW；电加热功率：10kW；加湿喷杆：6kg/h功能段排布：进风段+送风机+均流段+初中效过滤段+冷水盘管+电加热器+加湿器+出风段</w:t>
            </w:r>
          </w:p>
        </w:tc>
        <w:tc>
          <w:tcPr>
            <w:tcW w:w="2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3100</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310</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600</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12.05</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 xml:space="preserve"> 15号手术室</w:t>
            </w:r>
          </w:p>
        </w:tc>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c>
          <w:tcPr>
            <w:tcW w:w="2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否</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r>
      <w:tr>
        <w:tblPrEx>
          <w:tblCellMar>
            <w:top w:w="0" w:type="dxa"/>
            <w:left w:w="108" w:type="dxa"/>
            <w:bottom w:w="0" w:type="dxa"/>
            <w:right w:w="108" w:type="dxa"/>
          </w:tblCellMar>
        </w:tblPrEx>
        <w:trPr>
          <w:trHeight w:val="1160" w:hRule="atLeast"/>
        </w:trPr>
        <w:tc>
          <w:tcPr>
            <w:tcW w:w="22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kern w:val="0"/>
                <w:sz w:val="22"/>
                <w:highlight w:val="none"/>
                <w:lang w:bidi="ar"/>
              </w:rPr>
              <w:t>8</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kern w:val="0"/>
                <w:sz w:val="22"/>
                <w:highlight w:val="none"/>
                <w:lang w:bidi="ar"/>
              </w:rPr>
              <w:t>AHU-408，409</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AHU-408，409 额定风量：4100m3/h；新风量：410m3/h；机外压力：600Pa；风机功率：4kw变频；冷量：15.35kW；电加热功率：14kW；加湿喷杆：6kg/h；功能段排布：进风段+送风机+均流段+初中效过滤段+冷水盘管+电加热器+加湿器+出风段</w:t>
            </w:r>
          </w:p>
        </w:tc>
        <w:tc>
          <w:tcPr>
            <w:tcW w:w="2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4100</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410</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600</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15.35</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14</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 xml:space="preserve"> 16、17号手术室</w:t>
            </w:r>
          </w:p>
        </w:tc>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c>
          <w:tcPr>
            <w:tcW w:w="2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否</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r>
      <w:tr>
        <w:tblPrEx>
          <w:tblCellMar>
            <w:top w:w="0" w:type="dxa"/>
            <w:left w:w="108" w:type="dxa"/>
            <w:bottom w:w="0" w:type="dxa"/>
            <w:right w:w="108" w:type="dxa"/>
          </w:tblCellMar>
        </w:tblPrEx>
        <w:trPr>
          <w:trHeight w:val="1240" w:hRule="atLeast"/>
        </w:trPr>
        <w:tc>
          <w:tcPr>
            <w:tcW w:w="22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kern w:val="0"/>
                <w:sz w:val="22"/>
                <w:highlight w:val="none"/>
                <w:lang w:bidi="ar"/>
              </w:rPr>
              <w:t>9</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kern w:val="0"/>
                <w:sz w:val="22"/>
                <w:highlight w:val="none"/>
                <w:lang w:bidi="ar"/>
              </w:rPr>
              <w:t>AHU-402</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AHU-402 额定风量：10350m3/h；新风量：1035m3/h；机外压力：650Pa；风机功率：7.5kw变频；冷量：62kW；电加热功率：36kW；加湿喷杆：12kg/h；功能段排布：进风段+送风机+均流段+初中效过滤段+冷水盘管+电加热器+加湿器+出风段</w:t>
            </w:r>
          </w:p>
        </w:tc>
        <w:tc>
          <w:tcPr>
            <w:tcW w:w="2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10350</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1035</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650</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7.5</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62</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36</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18号手术室</w:t>
            </w:r>
          </w:p>
        </w:tc>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c>
          <w:tcPr>
            <w:tcW w:w="2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否</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r>
      <w:tr>
        <w:tblPrEx>
          <w:tblCellMar>
            <w:top w:w="0" w:type="dxa"/>
            <w:left w:w="108" w:type="dxa"/>
            <w:bottom w:w="0" w:type="dxa"/>
            <w:right w:w="108" w:type="dxa"/>
          </w:tblCellMar>
        </w:tblPrEx>
        <w:trPr>
          <w:trHeight w:val="1280" w:hRule="atLeast"/>
        </w:trPr>
        <w:tc>
          <w:tcPr>
            <w:tcW w:w="22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kern w:val="0"/>
                <w:sz w:val="22"/>
                <w:highlight w:val="none"/>
                <w:lang w:bidi="ar"/>
              </w:rPr>
              <w:t>10</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kern w:val="0"/>
                <w:sz w:val="22"/>
                <w:highlight w:val="none"/>
                <w:lang w:bidi="ar"/>
              </w:rPr>
              <w:t>AHU-414</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AHU-414 额定风量：11000m3/h；新风量：1100m3/h机外压力：600Pa；风机功率：7.5kw变频；冷量：57.52kW；电加热功率：38kW；加湿喷杆：6kg/h功能段排布：进风段+送风机+均流段+初中效过滤段+冷水盘管+电加热器+加湿器+出风段</w:t>
            </w:r>
          </w:p>
        </w:tc>
        <w:tc>
          <w:tcPr>
            <w:tcW w:w="2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11000</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1100</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600</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7.5</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57.52</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38</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 xml:space="preserve"> 南走廊</w:t>
            </w:r>
          </w:p>
        </w:tc>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c>
          <w:tcPr>
            <w:tcW w:w="2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否</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r>
      <w:tr>
        <w:tblPrEx>
          <w:tblCellMar>
            <w:top w:w="0" w:type="dxa"/>
            <w:left w:w="108" w:type="dxa"/>
            <w:bottom w:w="0" w:type="dxa"/>
            <w:right w:w="108" w:type="dxa"/>
          </w:tblCellMar>
        </w:tblPrEx>
        <w:trPr>
          <w:trHeight w:val="1200" w:hRule="atLeast"/>
        </w:trPr>
        <w:tc>
          <w:tcPr>
            <w:tcW w:w="22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kern w:val="0"/>
                <w:sz w:val="22"/>
                <w:highlight w:val="none"/>
                <w:lang w:bidi="ar"/>
              </w:rPr>
              <w:t>11</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kern w:val="0"/>
                <w:sz w:val="22"/>
                <w:highlight w:val="none"/>
                <w:lang w:bidi="ar"/>
              </w:rPr>
              <w:t>AHU-416</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AHU-416额定风量：9500m3/h；新风量：950m3/h机外压力：650Pa；风机功率：5.5kw变频；冷量：45.91kW；电加热功率：32kW；加湿喷杆：15kg/h；功能段排布：进风段+送风机+均流段+初中效过滤段+冷水盘管+电加热器+加湿器+出风段</w:t>
            </w:r>
          </w:p>
        </w:tc>
        <w:tc>
          <w:tcPr>
            <w:tcW w:w="2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9500</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950</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650</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5.5</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45.91</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32</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15</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 xml:space="preserve"> 中走廊</w:t>
            </w:r>
          </w:p>
        </w:tc>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c>
          <w:tcPr>
            <w:tcW w:w="2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否</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r>
      <w:tr>
        <w:tblPrEx>
          <w:tblCellMar>
            <w:top w:w="0" w:type="dxa"/>
            <w:left w:w="108" w:type="dxa"/>
            <w:bottom w:w="0" w:type="dxa"/>
            <w:right w:w="108" w:type="dxa"/>
          </w:tblCellMar>
        </w:tblPrEx>
        <w:trPr>
          <w:trHeight w:val="1200" w:hRule="atLeast"/>
        </w:trPr>
        <w:tc>
          <w:tcPr>
            <w:tcW w:w="22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kern w:val="0"/>
                <w:sz w:val="22"/>
                <w:highlight w:val="none"/>
                <w:lang w:bidi="ar"/>
              </w:rPr>
              <w:t>12</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kern w:val="0"/>
                <w:sz w:val="22"/>
                <w:highlight w:val="none"/>
                <w:lang w:bidi="ar"/>
              </w:rPr>
              <w:t>AHU-415</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AHU-415额定风量：15200m3/h；新风量：1520m3/h；机外压力：650Pa；风机功率：11kw变频；冷量：69.52kW；电加热功率：56kW；加湿喷杆：45kg/h；功能段排布：进风段+送风机+均流段+初中效过滤段+冷水盘管+电加热器+加湿器+出风段</w:t>
            </w:r>
          </w:p>
        </w:tc>
        <w:tc>
          <w:tcPr>
            <w:tcW w:w="2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15200</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1520</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650</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11</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69.52</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56</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45</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护士台、走廊</w:t>
            </w:r>
          </w:p>
        </w:tc>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c>
          <w:tcPr>
            <w:tcW w:w="2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否</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r>
      <w:tr>
        <w:tblPrEx>
          <w:tblCellMar>
            <w:top w:w="0" w:type="dxa"/>
            <w:left w:w="108" w:type="dxa"/>
            <w:bottom w:w="0" w:type="dxa"/>
            <w:right w:w="108" w:type="dxa"/>
          </w:tblCellMar>
        </w:tblPrEx>
        <w:trPr>
          <w:trHeight w:val="1200" w:hRule="atLeast"/>
        </w:trPr>
        <w:tc>
          <w:tcPr>
            <w:tcW w:w="22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kern w:val="0"/>
                <w:sz w:val="22"/>
                <w:highlight w:val="none"/>
                <w:lang w:bidi="ar"/>
              </w:rPr>
              <w:t>13</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kern w:val="0"/>
                <w:sz w:val="22"/>
                <w:highlight w:val="none"/>
                <w:lang w:bidi="ar"/>
              </w:rPr>
              <w:t>PAU-401</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PAU-401额定风量：16850m3/h；新风量：16850m3/h，机外压力：850Pa；风机功率：15kw变频；预热：107.96kW；冷量：428.66kW；功能段排布：初效过滤段+送风机+均流段+中效过滤段+高效过滤段+热水盘管+冷水盘管+出风段</w:t>
            </w:r>
          </w:p>
        </w:tc>
        <w:tc>
          <w:tcPr>
            <w:tcW w:w="2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16850</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16850</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850</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15</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428.66</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107.96</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 xml:space="preserve"> 手术室新风1</w:t>
            </w:r>
          </w:p>
        </w:tc>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c>
          <w:tcPr>
            <w:tcW w:w="2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否</w:t>
            </w:r>
          </w:p>
        </w:tc>
      </w:tr>
      <w:tr>
        <w:tblPrEx>
          <w:tblCellMar>
            <w:top w:w="0" w:type="dxa"/>
            <w:left w:w="108" w:type="dxa"/>
            <w:bottom w:w="0" w:type="dxa"/>
            <w:right w:w="108" w:type="dxa"/>
          </w:tblCellMar>
        </w:tblPrEx>
        <w:trPr>
          <w:trHeight w:val="1200" w:hRule="atLeast"/>
        </w:trPr>
        <w:tc>
          <w:tcPr>
            <w:tcW w:w="22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kern w:val="0"/>
                <w:sz w:val="22"/>
                <w:highlight w:val="none"/>
                <w:lang w:bidi="ar"/>
              </w:rPr>
              <w:t>14</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kern w:val="0"/>
                <w:sz w:val="22"/>
                <w:highlight w:val="none"/>
                <w:lang w:bidi="ar"/>
              </w:rPr>
              <w:t>PAU-402</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PAU-402额定风量：9500m3/h；新风量：9500m3/h机外压力：900Pa；风机功率：7.5kw变频；冷量：236.1kW；热水盘管：87.22kW；功能段排布：初效过滤段+送风机+均流段+中效过滤段+高效过滤段+热水盘管+冷水盘管+出风段</w:t>
            </w:r>
          </w:p>
        </w:tc>
        <w:tc>
          <w:tcPr>
            <w:tcW w:w="2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9500</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9500</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900</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7.8</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236.1</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87.22</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手术室新风2</w:t>
            </w:r>
          </w:p>
        </w:tc>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c>
          <w:tcPr>
            <w:tcW w:w="2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否</w:t>
            </w:r>
          </w:p>
        </w:tc>
      </w:tr>
      <w:tr>
        <w:tblPrEx>
          <w:tblCellMar>
            <w:top w:w="0" w:type="dxa"/>
            <w:left w:w="108" w:type="dxa"/>
            <w:bottom w:w="0" w:type="dxa"/>
            <w:right w:w="108" w:type="dxa"/>
          </w:tblCellMar>
        </w:tblPrEx>
        <w:trPr>
          <w:trHeight w:val="1200" w:hRule="atLeast"/>
        </w:trPr>
        <w:tc>
          <w:tcPr>
            <w:tcW w:w="22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kern w:val="0"/>
                <w:sz w:val="22"/>
                <w:highlight w:val="none"/>
                <w:lang w:bidi="ar"/>
              </w:rPr>
              <w:t>15</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kern w:val="0"/>
                <w:sz w:val="22"/>
                <w:highlight w:val="none"/>
                <w:lang w:bidi="ar"/>
              </w:rPr>
              <w:t>AHU-417</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AHU-417额定风量：4200m3/h；新风量：420m3/h机外压力：600Pa；风机功率：2.2kw变频；冷量：45.22kW；电加热功率：14kW；加湿喷杆：45kg/h；功能段排布：进风段+送风机+均流段+初中效过滤段+冷水盘管+电加热器+加湿器+出风段</w:t>
            </w:r>
          </w:p>
        </w:tc>
        <w:tc>
          <w:tcPr>
            <w:tcW w:w="2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4200</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420</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600</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2.2</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45.22</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14</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45</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ICU</w:t>
            </w:r>
          </w:p>
        </w:tc>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c>
          <w:tcPr>
            <w:tcW w:w="2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否</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r>
      <w:tr>
        <w:tblPrEx>
          <w:tblCellMar>
            <w:top w:w="0" w:type="dxa"/>
            <w:left w:w="108" w:type="dxa"/>
            <w:bottom w:w="0" w:type="dxa"/>
            <w:right w:w="108" w:type="dxa"/>
          </w:tblCellMar>
        </w:tblPrEx>
        <w:trPr>
          <w:trHeight w:val="1200" w:hRule="atLeast"/>
        </w:trPr>
        <w:tc>
          <w:tcPr>
            <w:tcW w:w="22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kern w:val="0"/>
                <w:sz w:val="22"/>
                <w:highlight w:val="none"/>
                <w:lang w:bidi="ar"/>
              </w:rPr>
              <w:t>16</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kern w:val="0"/>
                <w:sz w:val="22"/>
                <w:highlight w:val="none"/>
                <w:lang w:bidi="ar"/>
              </w:rPr>
              <w:t>AHU-418</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AHU-418额定风量：2650m3/h；新风量：265m3/h；机外压力：700Pa；风机功率：2.2kw变频；冷量：74.32kW；电加热功率：8kW；加湿喷杆：6kg/h；功能段排布：进风段+送风机+均流段+初中效过滤段+冷水盘管+电加热器+加湿器+出风段</w:t>
            </w:r>
          </w:p>
        </w:tc>
        <w:tc>
          <w:tcPr>
            <w:tcW w:w="2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2650</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265</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700</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2.2</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74.32</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8</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ICU</w:t>
            </w:r>
          </w:p>
        </w:tc>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c>
          <w:tcPr>
            <w:tcW w:w="2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否</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r>
      <w:tr>
        <w:tblPrEx>
          <w:tblCellMar>
            <w:top w:w="0" w:type="dxa"/>
            <w:left w:w="108" w:type="dxa"/>
            <w:bottom w:w="0" w:type="dxa"/>
            <w:right w:w="108" w:type="dxa"/>
          </w:tblCellMar>
        </w:tblPrEx>
        <w:trPr>
          <w:trHeight w:val="1200" w:hRule="atLeast"/>
        </w:trPr>
        <w:tc>
          <w:tcPr>
            <w:tcW w:w="22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kern w:val="0"/>
                <w:sz w:val="22"/>
                <w:highlight w:val="none"/>
                <w:lang w:bidi="ar"/>
              </w:rPr>
              <w:t>17</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kern w:val="0"/>
                <w:sz w:val="22"/>
                <w:highlight w:val="none"/>
                <w:lang w:bidi="ar"/>
              </w:rPr>
              <w:t>AHU-419</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AHU-419额定风量：19050m3/h；新风量：1905m3/h；机外压力：600Pa；风机功率：15kw双机变频；冷量：208.79kW；电加热功率：70kW；加湿喷杆：45kg/h；功能段排布：进风段+送风机+均流段+初中效过滤段+冷水盘管+电加热器+加湿器+出风段</w:t>
            </w:r>
          </w:p>
        </w:tc>
        <w:tc>
          <w:tcPr>
            <w:tcW w:w="2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19050</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1905</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600</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15</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208.79</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70</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45</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ICU</w:t>
            </w:r>
          </w:p>
        </w:tc>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c>
          <w:tcPr>
            <w:tcW w:w="2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否</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r>
      <w:tr>
        <w:tblPrEx>
          <w:tblCellMar>
            <w:top w:w="0" w:type="dxa"/>
            <w:left w:w="108" w:type="dxa"/>
            <w:bottom w:w="0" w:type="dxa"/>
            <w:right w:w="108" w:type="dxa"/>
          </w:tblCellMar>
        </w:tblPrEx>
        <w:trPr>
          <w:trHeight w:val="1200" w:hRule="atLeast"/>
        </w:trPr>
        <w:tc>
          <w:tcPr>
            <w:tcW w:w="22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kern w:val="0"/>
                <w:sz w:val="22"/>
                <w:highlight w:val="none"/>
                <w:lang w:bidi="ar"/>
              </w:rPr>
              <w:t>18</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kern w:val="0"/>
                <w:sz w:val="22"/>
                <w:highlight w:val="none"/>
                <w:lang w:bidi="ar"/>
              </w:rPr>
              <w:t>AHU-501</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AHU-501额定风量：2400m3/h；新风量：240m3/h机外压力：600Pa；风机功率：2.2kw变频；冷量：36.63kW；电加热功率：8kW；加湿喷杆：45kg/h；功能段排布：进风段+送风机+均流段+初中效过滤段+冷水盘管+电加热器+加湿器+出风段</w:t>
            </w:r>
          </w:p>
        </w:tc>
        <w:tc>
          <w:tcPr>
            <w:tcW w:w="2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2400</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240</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600</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2.2</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36.63</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8</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45</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产房VIP</w:t>
            </w:r>
          </w:p>
        </w:tc>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c>
          <w:tcPr>
            <w:tcW w:w="2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否</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r>
      <w:tr>
        <w:tblPrEx>
          <w:tblCellMar>
            <w:top w:w="0" w:type="dxa"/>
            <w:left w:w="108" w:type="dxa"/>
            <w:bottom w:w="0" w:type="dxa"/>
            <w:right w:w="108" w:type="dxa"/>
          </w:tblCellMar>
        </w:tblPrEx>
        <w:trPr>
          <w:trHeight w:val="1200" w:hRule="atLeast"/>
        </w:trPr>
        <w:tc>
          <w:tcPr>
            <w:tcW w:w="22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kern w:val="0"/>
                <w:sz w:val="22"/>
                <w:highlight w:val="none"/>
                <w:lang w:bidi="ar"/>
              </w:rPr>
              <w:t>19</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kern w:val="0"/>
                <w:sz w:val="22"/>
                <w:highlight w:val="none"/>
                <w:lang w:bidi="ar"/>
              </w:rPr>
              <w:t>AHU-502</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AHU-502 额定风量：3550m3/h；新风量：355m3/h机外压力：550Pa；风机功率：3kw变频；冷量：75kW；电加热功率：12kW；加湿喷杆：45kg/h；功能段排布：进风段+送风机+均流段+初中效过滤段+冷水盘管+电加热器+加湿器+出风段</w:t>
            </w:r>
          </w:p>
        </w:tc>
        <w:tc>
          <w:tcPr>
            <w:tcW w:w="2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3550</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355</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550</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75</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45</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 xml:space="preserve"> 产房备用</w:t>
            </w:r>
          </w:p>
        </w:tc>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c>
          <w:tcPr>
            <w:tcW w:w="2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否</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r>
      <w:tr>
        <w:tblPrEx>
          <w:tblCellMar>
            <w:top w:w="0" w:type="dxa"/>
            <w:left w:w="108" w:type="dxa"/>
            <w:bottom w:w="0" w:type="dxa"/>
            <w:right w:w="108" w:type="dxa"/>
          </w:tblCellMar>
        </w:tblPrEx>
        <w:trPr>
          <w:trHeight w:val="1200" w:hRule="atLeast"/>
        </w:trPr>
        <w:tc>
          <w:tcPr>
            <w:tcW w:w="22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kern w:val="0"/>
                <w:sz w:val="22"/>
                <w:highlight w:val="none"/>
                <w:lang w:bidi="ar"/>
              </w:rPr>
              <w:t>20</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kern w:val="0"/>
                <w:sz w:val="22"/>
                <w:highlight w:val="none"/>
                <w:lang w:bidi="ar"/>
              </w:rPr>
              <w:t>AHU-503</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AHU-503额定风量：10300m3/h；新风量：1030m3/h机外压力：650Pa；风机功率：7.5kw变频；冷量：137.14kW；电加热功率：36kW；加湿喷杆：45kg/h；功能段排布：进风段+送风机+均流段+初中效过滤段+冷水盘管+电加热器+加湿器+出风段</w:t>
            </w:r>
          </w:p>
        </w:tc>
        <w:tc>
          <w:tcPr>
            <w:tcW w:w="2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10300</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1030</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650</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7.5</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137.14</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36</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45</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 xml:space="preserve"> 产房1</w:t>
            </w:r>
          </w:p>
        </w:tc>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c>
          <w:tcPr>
            <w:tcW w:w="2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否</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r>
      <w:tr>
        <w:tblPrEx>
          <w:tblCellMar>
            <w:top w:w="0" w:type="dxa"/>
            <w:left w:w="108" w:type="dxa"/>
            <w:bottom w:w="0" w:type="dxa"/>
            <w:right w:w="108" w:type="dxa"/>
          </w:tblCellMar>
        </w:tblPrEx>
        <w:trPr>
          <w:trHeight w:val="1200" w:hRule="atLeast"/>
        </w:trPr>
        <w:tc>
          <w:tcPr>
            <w:tcW w:w="22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kern w:val="0"/>
                <w:sz w:val="22"/>
                <w:highlight w:val="none"/>
                <w:lang w:bidi="ar"/>
              </w:rPr>
              <w:t>21</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kern w:val="0"/>
                <w:sz w:val="22"/>
                <w:highlight w:val="none"/>
                <w:lang w:bidi="ar"/>
              </w:rPr>
              <w:t>AHU-504</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AHU-504额定风量：7150m3/h；新风量：715m3/h机外压力：550Pa；风机功率：5.5kw变频；冷量：81.35kW；电加热功率：24kW；加湿喷杆：45kg/h；功能段排布：进风段+送风机+均流段+初中效过滤段+冷水盘管+电加热器+加湿器+出风段</w:t>
            </w:r>
          </w:p>
        </w:tc>
        <w:tc>
          <w:tcPr>
            <w:tcW w:w="2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7150</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715</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550</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5.5</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81.35</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24</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45</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产房2</w:t>
            </w:r>
          </w:p>
        </w:tc>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c>
          <w:tcPr>
            <w:tcW w:w="2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否</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r>
      <w:tr>
        <w:tblPrEx>
          <w:tblCellMar>
            <w:top w:w="0" w:type="dxa"/>
            <w:left w:w="108" w:type="dxa"/>
            <w:bottom w:w="0" w:type="dxa"/>
            <w:right w:w="108" w:type="dxa"/>
          </w:tblCellMar>
        </w:tblPrEx>
        <w:trPr>
          <w:trHeight w:val="1300" w:hRule="atLeast"/>
        </w:trPr>
        <w:tc>
          <w:tcPr>
            <w:tcW w:w="22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kern w:val="0"/>
                <w:sz w:val="22"/>
                <w:highlight w:val="none"/>
                <w:lang w:bidi="ar"/>
              </w:rPr>
              <w:t>22</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kern w:val="0"/>
                <w:sz w:val="22"/>
                <w:highlight w:val="none"/>
                <w:lang w:bidi="ar"/>
              </w:rPr>
              <w:t>AHU-505，420</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AHU-420，505额定风量：5000m3/h；新风量：500m3/h机外压力：600Pa；风机功率：4kw变频；冷量：68.37kW；电加热功率：16kW；加湿喷杆：45kg/h；功能段排布：进风段+送风机+均流段+初中效过滤段+冷水盘管+电加热器+加湿器+出风段</w:t>
            </w:r>
          </w:p>
        </w:tc>
        <w:tc>
          <w:tcPr>
            <w:tcW w:w="2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5000</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500</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600</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68.37</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16</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45</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产科新生儿，门诊手术室</w:t>
            </w:r>
          </w:p>
        </w:tc>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c>
          <w:tcPr>
            <w:tcW w:w="2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否</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r>
      <w:tr>
        <w:tblPrEx>
          <w:tblCellMar>
            <w:top w:w="0" w:type="dxa"/>
            <w:left w:w="108" w:type="dxa"/>
            <w:bottom w:w="0" w:type="dxa"/>
            <w:right w:w="108" w:type="dxa"/>
          </w:tblCellMar>
        </w:tblPrEx>
        <w:trPr>
          <w:trHeight w:val="1180" w:hRule="atLeast"/>
        </w:trPr>
        <w:tc>
          <w:tcPr>
            <w:tcW w:w="22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kern w:val="0"/>
                <w:sz w:val="22"/>
                <w:highlight w:val="none"/>
                <w:lang w:bidi="ar"/>
              </w:rPr>
              <w:t>23</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kern w:val="0"/>
                <w:sz w:val="22"/>
                <w:highlight w:val="none"/>
                <w:lang w:bidi="ar"/>
              </w:rPr>
              <w:t>AHU-101</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AHU-101额定风量：3850m3/h；新风量：385m3/h；机外压力：93Pa；风机功率：3kw变频；冷量：-21.9KW，42.9kW；电加热功率：15kW；加湿喷杆：45kg/h；功能段排布：进风段+送风机+均流段+初中效过滤段+冷水盘管+电加热器+加湿器+出风段</w:t>
            </w:r>
          </w:p>
        </w:tc>
        <w:tc>
          <w:tcPr>
            <w:tcW w:w="2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3850</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385</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93</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‘-21.9；42.9</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15</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45</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急诊室</w:t>
            </w:r>
          </w:p>
        </w:tc>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否</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c>
          <w:tcPr>
            <w:tcW w:w="2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否</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是</w:t>
            </w:r>
          </w:p>
        </w:tc>
      </w:tr>
      <w:tr>
        <w:tblPrEx>
          <w:tblCellMar>
            <w:top w:w="0" w:type="dxa"/>
            <w:left w:w="108" w:type="dxa"/>
            <w:bottom w:w="0" w:type="dxa"/>
            <w:right w:w="108" w:type="dxa"/>
          </w:tblCellMar>
        </w:tblPrEx>
        <w:trPr>
          <w:trHeight w:val="1180" w:hRule="atLeast"/>
        </w:trPr>
        <w:tc>
          <w:tcPr>
            <w:tcW w:w="22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 w:hAnsi="仿宋" w:eastAsia="仿宋" w:cs="仿宋"/>
                <w:color w:val="auto"/>
                <w:kern w:val="0"/>
                <w:sz w:val="22"/>
                <w:highlight w:val="none"/>
                <w:lang w:val="en-US" w:eastAsia="zh-CN" w:bidi="ar"/>
              </w:rPr>
            </w:pPr>
            <w:r>
              <w:rPr>
                <w:rFonts w:hint="eastAsia" w:ascii="仿宋" w:hAnsi="仿宋" w:eastAsia="仿宋" w:cs="仿宋"/>
                <w:color w:val="auto"/>
                <w:kern w:val="0"/>
                <w:sz w:val="22"/>
                <w:highlight w:val="none"/>
                <w:lang w:val="en-US" w:eastAsia="zh-CN" w:bidi="ar"/>
              </w:rPr>
              <w:t>24</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 w:val="22"/>
                <w:highlight w:val="none"/>
                <w:lang w:bidi="ar"/>
              </w:rPr>
            </w:pPr>
            <w:r>
              <w:rPr>
                <w:rFonts w:hint="eastAsia" w:ascii="仿宋" w:hAnsi="仿宋" w:eastAsia="仿宋" w:cs="仿宋"/>
                <w:color w:val="auto"/>
                <w:kern w:val="0"/>
                <w:sz w:val="22"/>
                <w:highlight w:val="none"/>
                <w:lang w:bidi="ar"/>
              </w:rPr>
              <w:t>AHU-B101</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color w:val="auto"/>
                <w:kern w:val="0"/>
                <w:sz w:val="18"/>
                <w:szCs w:val="18"/>
                <w:highlight w:val="none"/>
                <w:lang w:bidi="ar"/>
              </w:rPr>
              <w:t>AHU-B101额定风量：13300m3/h；新风量：1330m3/h；机外压力：1187Pa；风机功率：11kw变频；冷量：162.8.kW；电加热功率：50kW；加湿喷杆：45kg/h；功能段排布：进风段+送风机+均流段+初中效过滤段+冷水盘管+电加热器+加湿器+出风段</w:t>
            </w:r>
          </w:p>
        </w:tc>
        <w:tc>
          <w:tcPr>
            <w:tcW w:w="2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13300</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1330</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1187</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11</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162.8</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50</w:t>
            </w:r>
          </w:p>
        </w:tc>
        <w:tc>
          <w:tcPr>
            <w:tcW w:w="2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45</w:t>
            </w:r>
          </w:p>
        </w:tc>
        <w:tc>
          <w:tcPr>
            <w:tcW w:w="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供应室</w:t>
            </w:r>
          </w:p>
        </w:tc>
        <w:tc>
          <w:tcPr>
            <w:tcW w:w="1301" w:type="pct"/>
            <w:gridSpan w:val="4"/>
            <w:tcBorders>
              <w:top w:val="single" w:color="000000" w:sz="4" w:space="0"/>
              <w:left w:val="single" w:color="000000" w:sz="4" w:space="0"/>
              <w:bottom w:val="single" w:color="000000" w:sz="4" w:space="0"/>
              <w:right w:val="single" w:color="000000" w:sz="4" w:space="0"/>
            </w:tcBorders>
            <w:noWrap/>
            <w:vAlign w:val="center"/>
          </w:tcPr>
          <w:p>
            <w:pPr>
              <w:widowControl/>
              <w:tabs>
                <w:tab w:val="left" w:pos="659"/>
              </w:tabs>
              <w:jc w:val="left"/>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color w:val="auto"/>
                <w:kern w:val="0"/>
                <w:sz w:val="18"/>
                <w:szCs w:val="18"/>
                <w:highlight w:val="none"/>
                <w:lang w:bidi="ar"/>
              </w:rPr>
              <w:t>参数参考原设备，更换为恒温恒湿型净化直膨空气组合机组，</w:t>
            </w:r>
            <w:r>
              <w:rPr>
                <w:rFonts w:hint="eastAsia" w:ascii="仿宋" w:hAnsi="仿宋" w:eastAsia="仿宋" w:cs="仿宋"/>
                <w:color w:val="auto"/>
                <w:kern w:val="0"/>
                <w:sz w:val="18"/>
                <w:szCs w:val="18"/>
                <w:highlight w:val="none"/>
                <w:lang w:bidi="ar"/>
              </w:rPr>
              <w:tab/>
            </w:r>
          </w:p>
          <w:p>
            <w:pPr>
              <w:widowControl/>
              <w:tabs>
                <w:tab w:val="left" w:pos="659"/>
              </w:tabs>
              <w:jc w:val="left"/>
              <w:textAlignment w:val="center"/>
              <w:rPr>
                <w:rFonts w:hint="eastAsia" w:ascii="仿宋" w:hAnsi="仿宋" w:eastAsia="仿宋" w:cs="仿宋"/>
                <w:color w:val="auto"/>
                <w:kern w:val="0"/>
                <w:sz w:val="18"/>
                <w:szCs w:val="18"/>
                <w:highlight w:val="none"/>
                <w:lang w:bidi="ar"/>
              </w:rPr>
            </w:pPr>
          </w:p>
        </w:tc>
      </w:tr>
    </w:tbl>
    <w:p>
      <w:pPr>
        <w:pStyle w:val="37"/>
        <w:rPr>
          <w:rFonts w:hint="eastAsia" w:ascii="仿宋" w:hAnsi="仿宋" w:eastAsia="仿宋" w:cs="仿宋"/>
          <w:color w:val="auto"/>
          <w:highlight w:val="none"/>
          <w:lang w:val="en-US" w:eastAsia="zh-CN"/>
        </w:rPr>
      </w:pPr>
    </w:p>
    <w:p>
      <w:pPr>
        <w:pStyle w:val="37"/>
        <w:rPr>
          <w:rFonts w:hint="eastAsia" w:ascii="仿宋" w:hAnsi="仿宋" w:eastAsia="仿宋" w:cs="仿宋"/>
          <w:color w:val="auto"/>
          <w:highlight w:val="none"/>
          <w:lang w:val="en-US" w:eastAsia="zh-CN"/>
        </w:rPr>
        <w:sectPr>
          <w:footerReference r:id="rId7" w:type="default"/>
          <w:pgSz w:w="16838" w:h="11906" w:orient="landscape"/>
          <w:pgMar w:top="1418" w:right="1276" w:bottom="1418" w:left="1247" w:header="851" w:footer="992" w:gutter="0"/>
          <w:pgBorders>
            <w:top w:val="none" w:sz="0" w:space="0"/>
            <w:left w:val="none" w:sz="0" w:space="0"/>
            <w:bottom w:val="none" w:sz="0" w:space="0"/>
            <w:right w:val="none" w:sz="0" w:space="0"/>
          </w:pgBorders>
          <w:pgNumType w:fmt="decimal"/>
          <w:cols w:space="720" w:num="1"/>
          <w:docGrid w:linePitch="312" w:charSpace="0"/>
        </w:sectPr>
      </w:pPr>
    </w:p>
    <w:p>
      <w:pPr>
        <w:numPr>
          <w:ilvl w:val="-1"/>
          <w:numId w:val="0"/>
        </w:numPr>
        <w:spacing w:line="360" w:lineRule="auto"/>
        <w:ind w:left="0" w:firstLine="482" w:firstLineChars="200"/>
        <w:outlineLvl w:val="1"/>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十</w:t>
      </w:r>
      <w:r>
        <w:rPr>
          <w:rFonts w:hint="default" w:ascii="仿宋" w:hAnsi="仿宋" w:eastAsia="仿宋" w:cs="仿宋"/>
          <w:b/>
          <w:bCs/>
          <w:color w:val="auto"/>
          <w:sz w:val="24"/>
          <w:highlight w:val="none"/>
          <w:lang w:val="en-US" w:eastAsia="zh-CN"/>
        </w:rPr>
        <w:t>、其它要求</w:t>
      </w:r>
    </w:p>
    <w:p>
      <w:pPr>
        <w:adjustRightInd w:val="0"/>
        <w:snapToGrid w:val="0"/>
        <w:spacing w:line="5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1.投标人应具有2021年1月1日至今（以合同签订时间为准）</w:t>
      </w:r>
      <w:r>
        <w:rPr>
          <w:rFonts w:hint="eastAsia" w:ascii="仿宋" w:hAnsi="仿宋" w:eastAsia="仿宋" w:cs="仿宋"/>
          <w:i w:val="0"/>
          <w:iCs w:val="0"/>
          <w:color w:val="auto"/>
          <w:kern w:val="0"/>
          <w:sz w:val="24"/>
          <w:szCs w:val="24"/>
          <w:highlight w:val="none"/>
          <w:u w:val="none"/>
          <w:lang w:val="en-US" w:eastAsia="zh-CN" w:bidi="ar"/>
        </w:rPr>
        <w:t>类似空调或暖通改造项目实施业绩的</w:t>
      </w:r>
      <w:r>
        <w:rPr>
          <w:rFonts w:hint="eastAsia" w:ascii="仿宋" w:hAnsi="仿宋" w:eastAsia="仿宋" w:cs="仿宋"/>
          <w:color w:val="auto"/>
          <w:sz w:val="24"/>
          <w:highlight w:val="none"/>
          <w:lang w:val="en-US" w:eastAsia="zh-CN"/>
        </w:rPr>
        <w:t>。</w:t>
      </w:r>
    </w:p>
    <w:p>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2.投标人应具有质量管理体系认证、环境管理体系认证、职业健康体系认证且在有效期内。</w:t>
      </w:r>
    </w:p>
    <w:p>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3.投标人应提供</w:t>
      </w:r>
      <w:r>
        <w:rPr>
          <w:rFonts w:hint="eastAsia" w:ascii="仿宋" w:hAnsi="仿宋" w:eastAsia="仿宋" w:cs="仿宋"/>
          <w:color w:val="auto"/>
          <w:sz w:val="24"/>
          <w:highlight w:val="none"/>
          <w:lang w:val="en-US" w:eastAsia="zh-CN"/>
        </w:rPr>
        <w:t>空调改造的</w:t>
      </w:r>
      <w:r>
        <w:rPr>
          <w:rFonts w:hint="eastAsia" w:ascii="仿宋" w:hAnsi="仿宋" w:eastAsia="仿宋" w:cs="仿宋"/>
          <w:color w:val="auto"/>
          <w:sz w:val="24"/>
          <w:highlight w:val="none"/>
        </w:rPr>
        <w:t>技术方案：包括不限于</w:t>
      </w:r>
      <w:r>
        <w:rPr>
          <w:rFonts w:hint="eastAsia" w:ascii="仿宋" w:hAnsi="仿宋" w:eastAsia="仿宋" w:cs="仿宋"/>
          <w:color w:val="auto"/>
          <w:sz w:val="24"/>
          <w:highlight w:val="none"/>
          <w:lang w:val="en-US" w:eastAsia="zh-CN"/>
        </w:rPr>
        <w:t>项目改造过程中新设备的吊装方案、施工方案</w:t>
      </w:r>
      <w:r>
        <w:rPr>
          <w:rFonts w:hint="eastAsia" w:ascii="仿宋" w:hAnsi="仿宋" w:eastAsia="仿宋" w:cs="仿宋"/>
          <w:color w:val="auto"/>
          <w:sz w:val="24"/>
          <w:highlight w:val="none"/>
        </w:rPr>
        <w:t>。</w:t>
      </w:r>
    </w:p>
    <w:p>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4.投标人应提供</w:t>
      </w:r>
      <w:r>
        <w:rPr>
          <w:rFonts w:hint="eastAsia" w:ascii="仿宋" w:hAnsi="仿宋" w:eastAsia="仿宋" w:cs="仿宋"/>
          <w:color w:val="auto"/>
          <w:sz w:val="24"/>
          <w:highlight w:val="none"/>
          <w:lang w:val="en-US" w:eastAsia="zh-CN"/>
        </w:rPr>
        <w:t>维保服务方案，包括维保服务内容，范围、服务响应时间、服务人员配置等</w:t>
      </w:r>
      <w:r>
        <w:rPr>
          <w:rFonts w:hint="eastAsia" w:ascii="仿宋" w:hAnsi="仿宋" w:eastAsia="仿宋" w:cs="仿宋"/>
          <w:color w:val="auto"/>
          <w:sz w:val="24"/>
          <w:highlight w:val="none"/>
        </w:rPr>
        <w:t>。</w:t>
      </w:r>
    </w:p>
    <w:p>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5.投标人应提供变流量变水温节能改造方案</w:t>
      </w:r>
      <w:r>
        <w:rPr>
          <w:rFonts w:hint="eastAsia" w:ascii="仿宋" w:hAnsi="仿宋" w:eastAsia="仿宋" w:cs="仿宋"/>
          <w:color w:val="auto"/>
          <w:sz w:val="24"/>
          <w:highlight w:val="none"/>
          <w:lang w:val="en-US" w:eastAsia="zh-CN"/>
        </w:rPr>
        <w:t>的详细方案，包括AHU空调箱自控改造方案、</w:t>
      </w:r>
      <w:r>
        <w:rPr>
          <w:rFonts w:hint="eastAsia" w:ascii="仿宋" w:hAnsi="仿宋" w:eastAsia="仿宋" w:cs="仿宋"/>
          <w:color w:val="auto"/>
          <w:sz w:val="24"/>
          <w:highlight w:val="none"/>
        </w:rPr>
        <w:t>二次泵水力模块自控系统</w:t>
      </w:r>
      <w:r>
        <w:rPr>
          <w:rFonts w:hint="eastAsia" w:ascii="仿宋" w:hAnsi="仿宋" w:eastAsia="仿宋" w:cs="仿宋"/>
          <w:color w:val="auto"/>
          <w:sz w:val="24"/>
          <w:highlight w:val="none"/>
          <w:lang w:val="en-US" w:eastAsia="zh-CN"/>
        </w:rPr>
        <w:t>配置方案、</w:t>
      </w:r>
      <w:r>
        <w:rPr>
          <w:rFonts w:hint="eastAsia" w:ascii="仿宋" w:hAnsi="仿宋" w:eastAsia="仿宋" w:cs="仿宋"/>
          <w:color w:val="auto"/>
          <w:sz w:val="24"/>
          <w:highlight w:val="none"/>
        </w:rPr>
        <w:t>热泵机组自控系统配置</w:t>
      </w:r>
      <w:r>
        <w:rPr>
          <w:rFonts w:hint="eastAsia" w:ascii="仿宋" w:hAnsi="仿宋" w:eastAsia="仿宋" w:cs="仿宋"/>
          <w:color w:val="auto"/>
          <w:sz w:val="24"/>
          <w:highlight w:val="none"/>
          <w:lang w:val="en-US" w:eastAsia="zh-CN"/>
        </w:rPr>
        <w:t>方案、自控系统配置方案等</w:t>
      </w:r>
      <w:r>
        <w:rPr>
          <w:rFonts w:hint="eastAsia" w:ascii="仿宋" w:hAnsi="仿宋" w:eastAsia="仿宋" w:cs="仿宋"/>
          <w:color w:val="auto"/>
          <w:sz w:val="24"/>
          <w:highlight w:val="none"/>
        </w:rPr>
        <w:t>。</w:t>
      </w:r>
    </w:p>
    <w:p>
      <w:pPr>
        <w:adjustRightInd w:val="0"/>
        <w:snapToGrid w:val="0"/>
        <w:spacing w:line="5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6.为保障维保期内设备正常运转，投标人须提供巡检服务方案。</w:t>
      </w:r>
    </w:p>
    <w:p>
      <w:pPr>
        <w:adjustRightInd w:val="0"/>
        <w:snapToGrid w:val="0"/>
        <w:spacing w:line="50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7.为保障项目实施，及项目维护期间正常运转，投标人应根据项目实际情况，及投标方案提供</w:t>
      </w:r>
      <w:r>
        <w:rPr>
          <w:rFonts w:hint="default" w:ascii="仿宋" w:hAnsi="仿宋" w:eastAsia="仿宋" w:cs="仿宋"/>
          <w:color w:val="auto"/>
          <w:sz w:val="24"/>
          <w:highlight w:val="none"/>
          <w:lang w:val="en-US" w:eastAsia="zh-CN"/>
        </w:rPr>
        <w:t>工器具及主材设备</w:t>
      </w:r>
      <w:r>
        <w:rPr>
          <w:rFonts w:hint="eastAsia" w:ascii="仿宋" w:hAnsi="仿宋" w:eastAsia="仿宋" w:cs="仿宋"/>
          <w:color w:val="auto"/>
          <w:sz w:val="24"/>
          <w:highlight w:val="none"/>
          <w:lang w:val="en-US" w:eastAsia="zh-CN"/>
        </w:rPr>
        <w:t>。</w:t>
      </w:r>
    </w:p>
    <w:p>
      <w:pPr>
        <w:adjustRightInd w:val="0"/>
        <w:snapToGrid w:val="0"/>
        <w:spacing w:line="5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.服务团队人</w:t>
      </w:r>
      <w:r>
        <w:rPr>
          <w:rFonts w:hint="eastAsia" w:ascii="仿宋" w:hAnsi="仿宋" w:eastAsia="仿宋" w:cs="仿宋"/>
          <w:color w:val="auto"/>
          <w:sz w:val="24"/>
          <w:highlight w:val="none"/>
          <w:lang w:val="en-US" w:eastAsia="zh-CN"/>
        </w:rPr>
        <w:t>应</w:t>
      </w:r>
      <w:r>
        <w:rPr>
          <w:rFonts w:hint="eastAsia" w:ascii="仿宋" w:hAnsi="仿宋" w:eastAsia="仿宋" w:cs="仿宋"/>
          <w:color w:val="auto"/>
          <w:sz w:val="24"/>
          <w:highlight w:val="none"/>
        </w:rPr>
        <w:t>具有</w:t>
      </w:r>
      <w:r>
        <w:rPr>
          <w:rFonts w:hint="eastAsia" w:ascii="仿宋" w:hAnsi="仿宋" w:eastAsia="仿宋" w:cs="仿宋"/>
          <w:color w:val="auto"/>
          <w:sz w:val="24"/>
          <w:highlight w:val="none"/>
          <w:lang w:eastAsia="zh-CN"/>
        </w:rPr>
        <w:t>应急管理主管部门签发的</w:t>
      </w:r>
      <w:r>
        <w:rPr>
          <w:rFonts w:hint="eastAsia" w:ascii="仿宋" w:hAnsi="仿宋" w:eastAsia="仿宋" w:cs="仿宋"/>
          <w:color w:val="auto"/>
          <w:sz w:val="24"/>
          <w:highlight w:val="none"/>
        </w:rPr>
        <w:t>制冷与空调作业证书、电工作业证书、高处作业证书、焊接与热切割作业证书</w:t>
      </w:r>
      <w:r>
        <w:rPr>
          <w:rFonts w:hint="eastAsia" w:ascii="仿宋" w:hAnsi="仿宋" w:eastAsia="仿宋" w:cs="仿宋"/>
          <w:color w:val="auto"/>
          <w:sz w:val="24"/>
          <w:highlight w:val="none"/>
          <w:lang w:eastAsia="zh-CN"/>
        </w:rPr>
        <w:t>。</w:t>
      </w:r>
    </w:p>
    <w:p>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投标人应</w:t>
      </w:r>
      <w:r>
        <w:rPr>
          <w:rFonts w:hint="eastAsia" w:ascii="仿宋" w:hAnsi="仿宋" w:eastAsia="仿宋" w:cs="仿宋"/>
          <w:color w:val="auto"/>
          <w:sz w:val="24"/>
          <w:highlight w:val="none"/>
        </w:rPr>
        <w:t>充分考虑院内手术室的正常运行，合理安排维修、维保实施方案。</w:t>
      </w:r>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napToGrid w:val="0"/>
        <w:spacing w:line="36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18" w:name="_Toc184310312"/>
      <w:bookmarkEnd w:id="18"/>
      <w:bookmarkStart w:id="19" w:name="_Toc184308105"/>
      <w:bookmarkEnd w:id="19"/>
      <w:bookmarkStart w:id="20" w:name="_Toc184310335"/>
      <w:bookmarkEnd w:id="20"/>
      <w:bookmarkStart w:id="21" w:name="_Toc184312109"/>
      <w:bookmarkEnd w:id="21"/>
      <w:bookmarkStart w:id="22" w:name="_Toc184314469"/>
      <w:bookmarkEnd w:id="22"/>
      <w:bookmarkStart w:id="23" w:name="_Toc184312085"/>
      <w:bookmarkEnd w:id="23"/>
      <w:bookmarkStart w:id="24" w:name="_Toc184310337"/>
      <w:bookmarkEnd w:id="24"/>
      <w:bookmarkStart w:id="25" w:name="_Toc184310325"/>
      <w:bookmarkEnd w:id="25"/>
      <w:bookmarkStart w:id="26" w:name="_Toc184313257"/>
      <w:bookmarkEnd w:id="26"/>
      <w:bookmarkStart w:id="27" w:name="_Toc184313262"/>
      <w:bookmarkEnd w:id="27"/>
      <w:bookmarkStart w:id="28" w:name="_Toc184312103"/>
      <w:bookmarkEnd w:id="28"/>
      <w:bookmarkStart w:id="29" w:name="_Toc184310333"/>
      <w:bookmarkEnd w:id="29"/>
      <w:bookmarkStart w:id="30" w:name="_Toc184313242"/>
      <w:bookmarkEnd w:id="30"/>
      <w:bookmarkStart w:id="31" w:name="_Toc184308048"/>
      <w:bookmarkEnd w:id="31"/>
      <w:bookmarkStart w:id="32" w:name="_Toc184310287"/>
      <w:bookmarkEnd w:id="32"/>
      <w:bookmarkStart w:id="33" w:name="_Toc184314457"/>
      <w:bookmarkEnd w:id="33"/>
      <w:bookmarkStart w:id="34" w:name="_Toc184310327"/>
      <w:bookmarkEnd w:id="34"/>
      <w:bookmarkStart w:id="35" w:name="_Toc184312068"/>
      <w:bookmarkEnd w:id="35"/>
      <w:bookmarkStart w:id="36" w:name="_Toc184308038"/>
      <w:bookmarkEnd w:id="36"/>
      <w:bookmarkStart w:id="37" w:name="_Toc184312070"/>
      <w:bookmarkEnd w:id="37"/>
      <w:bookmarkStart w:id="38" w:name="_Toc184310323"/>
      <w:bookmarkEnd w:id="38"/>
      <w:bookmarkStart w:id="39" w:name="_Toc184314443"/>
      <w:bookmarkEnd w:id="39"/>
      <w:bookmarkStart w:id="40" w:name="_Toc184312104"/>
      <w:bookmarkEnd w:id="40"/>
      <w:bookmarkStart w:id="41" w:name="_Toc184308094"/>
      <w:bookmarkEnd w:id="41"/>
      <w:bookmarkStart w:id="42" w:name="_Toc184313303"/>
      <w:bookmarkEnd w:id="42"/>
      <w:bookmarkStart w:id="43" w:name="_Toc184308051"/>
      <w:bookmarkEnd w:id="43"/>
      <w:bookmarkStart w:id="44" w:name="_Toc184310336"/>
      <w:bookmarkEnd w:id="44"/>
      <w:bookmarkStart w:id="45" w:name="_Toc184310298"/>
      <w:bookmarkEnd w:id="45"/>
      <w:bookmarkStart w:id="46" w:name="_Toc184313244"/>
      <w:bookmarkEnd w:id="46"/>
      <w:bookmarkStart w:id="47" w:name="_Toc184314481"/>
      <w:bookmarkEnd w:id="47"/>
      <w:bookmarkStart w:id="48" w:name="_Toc184314434"/>
      <w:bookmarkEnd w:id="48"/>
      <w:bookmarkStart w:id="49" w:name="_Toc184313297"/>
      <w:bookmarkEnd w:id="49"/>
      <w:bookmarkStart w:id="50" w:name="_Toc184312097"/>
      <w:bookmarkEnd w:id="50"/>
      <w:bookmarkStart w:id="51" w:name="_Toc184313281"/>
      <w:bookmarkEnd w:id="51"/>
      <w:bookmarkStart w:id="52" w:name="_Toc184313243"/>
      <w:bookmarkEnd w:id="52"/>
      <w:bookmarkStart w:id="53" w:name="_Toc184310275"/>
      <w:bookmarkEnd w:id="53"/>
      <w:bookmarkStart w:id="54" w:name="_Toc184314439"/>
      <w:bookmarkEnd w:id="54"/>
      <w:bookmarkStart w:id="55" w:name="_Toc184312096"/>
      <w:bookmarkEnd w:id="55"/>
      <w:bookmarkStart w:id="56" w:name="_Toc184312093"/>
      <w:bookmarkEnd w:id="56"/>
      <w:bookmarkStart w:id="57" w:name="_Toc184313254"/>
      <w:bookmarkEnd w:id="57"/>
      <w:bookmarkStart w:id="58" w:name="_Toc184310310"/>
      <w:bookmarkEnd w:id="58"/>
      <w:bookmarkStart w:id="59" w:name="_Toc184308070"/>
      <w:bookmarkEnd w:id="59"/>
      <w:bookmarkStart w:id="60" w:name="_Toc184312114"/>
      <w:bookmarkEnd w:id="60"/>
      <w:bookmarkStart w:id="61" w:name="_Toc184310313"/>
      <w:bookmarkEnd w:id="61"/>
      <w:bookmarkStart w:id="62" w:name="_Toc184313249"/>
      <w:bookmarkEnd w:id="62"/>
      <w:bookmarkStart w:id="63" w:name="_Toc184310334"/>
      <w:bookmarkEnd w:id="63"/>
      <w:bookmarkStart w:id="64" w:name="_Toc184310331"/>
      <w:bookmarkEnd w:id="64"/>
      <w:bookmarkStart w:id="65" w:name="_Toc184314455"/>
      <w:bookmarkEnd w:id="65"/>
      <w:bookmarkStart w:id="66" w:name="_Toc184308074"/>
      <w:bookmarkEnd w:id="66"/>
      <w:bookmarkStart w:id="67" w:name="_Toc184312072"/>
      <w:bookmarkEnd w:id="67"/>
      <w:bookmarkStart w:id="68" w:name="_Toc184314430"/>
      <w:bookmarkEnd w:id="68"/>
      <w:bookmarkStart w:id="69" w:name="_Toc184310302"/>
      <w:bookmarkEnd w:id="69"/>
      <w:bookmarkStart w:id="70" w:name="_Toc184314449"/>
      <w:bookmarkEnd w:id="70"/>
      <w:bookmarkStart w:id="71" w:name="_Toc184312091"/>
      <w:bookmarkEnd w:id="71"/>
      <w:bookmarkStart w:id="72" w:name="_Toc184308081"/>
      <w:bookmarkEnd w:id="72"/>
      <w:bookmarkStart w:id="73" w:name="_Toc184314418"/>
      <w:bookmarkEnd w:id="73"/>
      <w:bookmarkStart w:id="74" w:name="_Toc184310289"/>
      <w:bookmarkEnd w:id="74"/>
      <w:bookmarkStart w:id="75" w:name="_Toc184312069"/>
      <w:bookmarkEnd w:id="75"/>
      <w:bookmarkStart w:id="76" w:name="_Toc184313300"/>
      <w:bookmarkEnd w:id="76"/>
      <w:bookmarkStart w:id="77" w:name="_Toc184312101"/>
      <w:bookmarkEnd w:id="77"/>
      <w:bookmarkStart w:id="78" w:name="_Toc184314462"/>
      <w:bookmarkEnd w:id="78"/>
      <w:bookmarkStart w:id="79" w:name="_Toc184314472"/>
      <w:bookmarkEnd w:id="79"/>
      <w:bookmarkStart w:id="80" w:name="_Toc184313238"/>
      <w:bookmarkEnd w:id="80"/>
      <w:bookmarkStart w:id="81" w:name="_Toc184310306"/>
      <w:bookmarkEnd w:id="81"/>
      <w:bookmarkStart w:id="82" w:name="_Toc184312121"/>
      <w:bookmarkEnd w:id="82"/>
      <w:bookmarkStart w:id="83" w:name="_Toc184308097"/>
      <w:bookmarkEnd w:id="83"/>
      <w:bookmarkStart w:id="84" w:name="_Toc184312136"/>
      <w:bookmarkEnd w:id="84"/>
      <w:bookmarkStart w:id="85" w:name="_Toc184313264"/>
      <w:bookmarkEnd w:id="85"/>
      <w:bookmarkStart w:id="86" w:name="_Toc184313266"/>
      <w:bookmarkEnd w:id="86"/>
      <w:bookmarkStart w:id="87" w:name="_Toc184312113"/>
      <w:bookmarkEnd w:id="87"/>
      <w:bookmarkStart w:id="88" w:name="_Toc184314473"/>
      <w:bookmarkEnd w:id="88"/>
      <w:bookmarkStart w:id="89" w:name="_Toc184308036"/>
      <w:bookmarkEnd w:id="89"/>
      <w:bookmarkStart w:id="90" w:name="_Toc184314410"/>
      <w:bookmarkEnd w:id="90"/>
      <w:bookmarkStart w:id="91" w:name="_Toc184308050"/>
      <w:bookmarkEnd w:id="91"/>
      <w:bookmarkStart w:id="92" w:name="_Toc184308078"/>
      <w:bookmarkEnd w:id="92"/>
      <w:bookmarkStart w:id="93" w:name="_Toc184314454"/>
      <w:bookmarkEnd w:id="93"/>
      <w:bookmarkStart w:id="94" w:name="_Toc184313286"/>
      <w:bookmarkEnd w:id="94"/>
      <w:bookmarkStart w:id="95" w:name="_Toc184313246"/>
      <w:bookmarkEnd w:id="95"/>
      <w:bookmarkStart w:id="96" w:name="_Toc184308047"/>
      <w:bookmarkEnd w:id="96"/>
      <w:bookmarkStart w:id="97" w:name="_Toc184308107"/>
      <w:bookmarkEnd w:id="97"/>
      <w:bookmarkStart w:id="98" w:name="_Toc184308088"/>
      <w:bookmarkEnd w:id="98"/>
      <w:bookmarkStart w:id="99" w:name="_Toc184313275"/>
      <w:bookmarkEnd w:id="99"/>
      <w:bookmarkStart w:id="100" w:name="_Toc184312084"/>
      <w:bookmarkEnd w:id="100"/>
      <w:bookmarkStart w:id="101" w:name="_Toc184313305"/>
      <w:bookmarkEnd w:id="101"/>
      <w:bookmarkStart w:id="102" w:name="_Toc184313291"/>
      <w:bookmarkEnd w:id="102"/>
      <w:bookmarkStart w:id="103" w:name="_Toc184308100"/>
      <w:bookmarkEnd w:id="103"/>
      <w:bookmarkStart w:id="104" w:name="_Toc184310277"/>
      <w:bookmarkEnd w:id="104"/>
      <w:bookmarkStart w:id="105" w:name="_Toc184314480"/>
      <w:bookmarkEnd w:id="105"/>
      <w:bookmarkStart w:id="106" w:name="_Toc184314412"/>
      <w:bookmarkEnd w:id="106"/>
      <w:bookmarkStart w:id="107" w:name="_Toc184312073"/>
      <w:bookmarkEnd w:id="107"/>
      <w:bookmarkStart w:id="108" w:name="_Toc184313298"/>
      <w:bookmarkEnd w:id="108"/>
      <w:bookmarkStart w:id="109" w:name="_Toc184312137"/>
      <w:bookmarkEnd w:id="109"/>
      <w:bookmarkStart w:id="110" w:name="_Toc184310272"/>
      <w:bookmarkEnd w:id="110"/>
      <w:bookmarkStart w:id="111" w:name="_Toc184314428"/>
      <w:bookmarkEnd w:id="111"/>
      <w:bookmarkStart w:id="112" w:name="_Toc184312067"/>
      <w:bookmarkEnd w:id="112"/>
      <w:bookmarkStart w:id="113" w:name="_Toc184310288"/>
      <w:bookmarkEnd w:id="113"/>
      <w:bookmarkStart w:id="114" w:name="_Toc184313251"/>
      <w:bookmarkEnd w:id="114"/>
      <w:bookmarkStart w:id="115" w:name="_Toc184314431"/>
      <w:bookmarkEnd w:id="115"/>
      <w:bookmarkStart w:id="116" w:name="_Toc184314459"/>
      <w:bookmarkEnd w:id="116"/>
      <w:bookmarkStart w:id="117" w:name="_Toc184310297"/>
      <w:bookmarkEnd w:id="117"/>
      <w:bookmarkStart w:id="118" w:name="_Toc184312116"/>
      <w:bookmarkEnd w:id="118"/>
      <w:bookmarkStart w:id="119" w:name="_Toc184310309"/>
      <w:bookmarkEnd w:id="119"/>
      <w:bookmarkStart w:id="120" w:name="_Toc184308049"/>
      <w:bookmarkEnd w:id="120"/>
      <w:bookmarkStart w:id="121" w:name="_Toc184308056"/>
      <w:bookmarkEnd w:id="121"/>
      <w:bookmarkStart w:id="122" w:name="_Toc184314458"/>
      <w:bookmarkEnd w:id="122"/>
      <w:bookmarkStart w:id="123" w:name="_Toc184313284"/>
      <w:bookmarkEnd w:id="123"/>
      <w:bookmarkStart w:id="124" w:name="_Toc184313258"/>
      <w:bookmarkEnd w:id="124"/>
      <w:bookmarkStart w:id="125" w:name="_Toc184310294"/>
      <w:bookmarkEnd w:id="125"/>
      <w:bookmarkStart w:id="126" w:name="_Toc184310295"/>
      <w:bookmarkEnd w:id="126"/>
      <w:bookmarkStart w:id="127" w:name="_Toc184308098"/>
      <w:bookmarkEnd w:id="127"/>
      <w:bookmarkStart w:id="128" w:name="_Toc184308063"/>
      <w:bookmarkEnd w:id="128"/>
      <w:bookmarkStart w:id="129" w:name="_Toc184310280"/>
      <w:bookmarkEnd w:id="129"/>
      <w:bookmarkStart w:id="130" w:name="_Toc184312125"/>
      <w:bookmarkEnd w:id="130"/>
      <w:bookmarkStart w:id="131" w:name="_Toc184310279"/>
      <w:bookmarkEnd w:id="131"/>
      <w:bookmarkStart w:id="132" w:name="_Toc184312077"/>
      <w:bookmarkEnd w:id="132"/>
      <w:bookmarkStart w:id="133" w:name="_Toc184308076"/>
      <w:bookmarkEnd w:id="133"/>
      <w:bookmarkStart w:id="134" w:name="_Toc184310311"/>
      <w:bookmarkEnd w:id="134"/>
      <w:bookmarkStart w:id="135" w:name="_Toc184314445"/>
      <w:bookmarkEnd w:id="135"/>
      <w:bookmarkStart w:id="136" w:name="_Toc184310322"/>
      <w:bookmarkEnd w:id="136"/>
      <w:bookmarkStart w:id="137" w:name="_Toc184312123"/>
      <w:bookmarkEnd w:id="137"/>
      <w:bookmarkStart w:id="138" w:name="_Toc184314416"/>
      <w:bookmarkEnd w:id="138"/>
      <w:bookmarkStart w:id="139" w:name="_Toc184312095"/>
      <w:bookmarkEnd w:id="139"/>
      <w:bookmarkStart w:id="140" w:name="_Toc184308086"/>
      <w:bookmarkEnd w:id="140"/>
      <w:bookmarkStart w:id="141" w:name="_Toc184313287"/>
      <w:bookmarkEnd w:id="141"/>
      <w:bookmarkStart w:id="142" w:name="_Toc184312080"/>
      <w:bookmarkEnd w:id="142"/>
      <w:bookmarkStart w:id="143" w:name="_Toc184310317"/>
      <w:bookmarkEnd w:id="143"/>
      <w:bookmarkStart w:id="144" w:name="_Toc184314453"/>
      <w:bookmarkEnd w:id="144"/>
      <w:bookmarkStart w:id="145" w:name="_Toc184314460"/>
      <w:bookmarkEnd w:id="145"/>
      <w:bookmarkStart w:id="146" w:name="_Toc184308093"/>
      <w:bookmarkEnd w:id="146"/>
      <w:bookmarkStart w:id="147" w:name="_Toc184310339"/>
      <w:bookmarkEnd w:id="147"/>
      <w:bookmarkStart w:id="148" w:name="_Toc184308064"/>
      <w:bookmarkEnd w:id="148"/>
      <w:bookmarkStart w:id="149" w:name="_Toc184310273"/>
      <w:bookmarkEnd w:id="149"/>
      <w:bookmarkStart w:id="150" w:name="_Toc184313290"/>
      <w:bookmarkEnd w:id="150"/>
      <w:bookmarkStart w:id="151" w:name="_Toc184310292"/>
      <w:bookmarkEnd w:id="151"/>
      <w:bookmarkStart w:id="152" w:name="_Toc184312130"/>
      <w:bookmarkEnd w:id="152"/>
      <w:bookmarkStart w:id="153" w:name="_Toc184308084"/>
      <w:bookmarkEnd w:id="153"/>
      <w:bookmarkStart w:id="154" w:name="_Toc184314442"/>
      <w:bookmarkEnd w:id="154"/>
      <w:bookmarkStart w:id="155" w:name="_Toc184310341"/>
      <w:bookmarkEnd w:id="155"/>
      <w:bookmarkStart w:id="156" w:name="_Toc184313296"/>
      <w:bookmarkEnd w:id="156"/>
      <w:bookmarkStart w:id="157" w:name="_Toc184308092"/>
      <w:bookmarkEnd w:id="157"/>
      <w:bookmarkStart w:id="158" w:name="_Toc184310338"/>
      <w:bookmarkEnd w:id="158"/>
      <w:bookmarkStart w:id="159" w:name="_Toc184308058"/>
      <w:bookmarkEnd w:id="159"/>
      <w:bookmarkStart w:id="160" w:name="_Toc184312099"/>
      <w:bookmarkEnd w:id="160"/>
      <w:bookmarkStart w:id="161" w:name="_Toc184308090"/>
      <w:bookmarkEnd w:id="161"/>
      <w:bookmarkStart w:id="162" w:name="_Toc184310342"/>
      <w:bookmarkEnd w:id="162"/>
      <w:bookmarkStart w:id="163" w:name="_Toc184313267"/>
      <w:bookmarkEnd w:id="163"/>
      <w:bookmarkStart w:id="164" w:name="_Toc184310308"/>
      <w:bookmarkEnd w:id="164"/>
      <w:bookmarkStart w:id="165" w:name="_Toc184313256"/>
      <w:bookmarkEnd w:id="165"/>
      <w:bookmarkStart w:id="166" w:name="_Toc184308096"/>
      <w:bookmarkEnd w:id="166"/>
      <w:bookmarkStart w:id="167" w:name="_Toc184313277"/>
      <w:bookmarkEnd w:id="167"/>
      <w:bookmarkStart w:id="168" w:name="_Toc184313248"/>
      <w:bookmarkEnd w:id="168"/>
      <w:bookmarkStart w:id="169" w:name="_Toc184310344"/>
      <w:bookmarkEnd w:id="169"/>
      <w:bookmarkStart w:id="170" w:name="_Toc184308065"/>
      <w:bookmarkEnd w:id="170"/>
      <w:bookmarkStart w:id="171" w:name="_Toc184313245"/>
      <w:bookmarkEnd w:id="171"/>
      <w:bookmarkStart w:id="172" w:name="_Toc184313278"/>
      <w:bookmarkEnd w:id="172"/>
      <w:bookmarkStart w:id="173" w:name="_Toc184312115"/>
      <w:bookmarkEnd w:id="173"/>
      <w:bookmarkStart w:id="174" w:name="_Toc184313239"/>
      <w:bookmarkEnd w:id="174"/>
      <w:bookmarkStart w:id="175" w:name="_Toc184314415"/>
      <w:bookmarkEnd w:id="175"/>
      <w:bookmarkStart w:id="176" w:name="_Toc184314448"/>
      <w:bookmarkEnd w:id="176"/>
      <w:bookmarkStart w:id="177" w:name="_Toc184310315"/>
      <w:bookmarkEnd w:id="177"/>
      <w:bookmarkStart w:id="178" w:name="_Toc184308077"/>
      <w:bookmarkEnd w:id="178"/>
      <w:bookmarkStart w:id="179" w:name="_Toc184313247"/>
      <w:bookmarkEnd w:id="179"/>
      <w:bookmarkStart w:id="180" w:name="_Toc184312106"/>
      <w:bookmarkEnd w:id="180"/>
      <w:bookmarkStart w:id="181" w:name="_Toc184313302"/>
      <w:bookmarkEnd w:id="181"/>
      <w:bookmarkStart w:id="182" w:name="_Toc184313270"/>
      <w:bookmarkEnd w:id="182"/>
      <w:bookmarkStart w:id="183" w:name="_Toc184314425"/>
      <w:bookmarkEnd w:id="183"/>
      <w:bookmarkStart w:id="184" w:name="_Toc184314479"/>
      <w:bookmarkEnd w:id="184"/>
      <w:bookmarkStart w:id="185" w:name="_Toc184314456"/>
      <w:bookmarkEnd w:id="185"/>
      <w:bookmarkStart w:id="186" w:name="_Toc184314438"/>
      <w:bookmarkEnd w:id="186"/>
      <w:bookmarkStart w:id="187" w:name="_Toc184310282"/>
      <w:bookmarkEnd w:id="187"/>
      <w:bookmarkStart w:id="188" w:name="_Toc184310303"/>
      <w:bookmarkEnd w:id="188"/>
      <w:bookmarkStart w:id="189" w:name="_Toc184312078"/>
      <w:bookmarkEnd w:id="189"/>
      <w:bookmarkStart w:id="190" w:name="_Toc184310301"/>
      <w:bookmarkEnd w:id="190"/>
      <w:bookmarkStart w:id="191" w:name="_Toc184310299"/>
      <w:bookmarkEnd w:id="191"/>
      <w:bookmarkStart w:id="192" w:name="_Toc184313292"/>
      <w:bookmarkEnd w:id="192"/>
      <w:bookmarkStart w:id="193" w:name="_Toc184310304"/>
      <w:bookmarkEnd w:id="193"/>
      <w:bookmarkStart w:id="194" w:name="_Toc184314427"/>
      <w:bookmarkEnd w:id="194"/>
      <w:bookmarkStart w:id="195" w:name="_Toc184312127"/>
      <w:bookmarkEnd w:id="195"/>
      <w:bookmarkStart w:id="196" w:name="_Toc184308066"/>
      <w:bookmarkEnd w:id="196"/>
      <w:bookmarkStart w:id="197" w:name="_Toc184310332"/>
      <w:bookmarkEnd w:id="197"/>
      <w:bookmarkStart w:id="198" w:name="_Toc184314463"/>
      <w:bookmarkEnd w:id="198"/>
      <w:bookmarkStart w:id="199" w:name="_Toc184308085"/>
      <w:bookmarkEnd w:id="199"/>
      <w:bookmarkStart w:id="200" w:name="_Toc184310290"/>
      <w:bookmarkEnd w:id="200"/>
      <w:bookmarkStart w:id="201" w:name="_Toc184314419"/>
      <w:bookmarkEnd w:id="201"/>
      <w:bookmarkStart w:id="202" w:name="_Toc184308045"/>
      <w:bookmarkEnd w:id="202"/>
      <w:bookmarkStart w:id="203" w:name="_Toc184312107"/>
      <w:bookmarkEnd w:id="203"/>
      <w:bookmarkStart w:id="204" w:name="_Toc184313310"/>
      <w:bookmarkEnd w:id="204"/>
      <w:bookmarkStart w:id="205" w:name="_Toc184314433"/>
      <w:bookmarkEnd w:id="205"/>
      <w:bookmarkStart w:id="206" w:name="_Toc184308072"/>
      <w:bookmarkEnd w:id="206"/>
      <w:bookmarkStart w:id="207" w:name="_Toc184314466"/>
      <w:bookmarkEnd w:id="207"/>
      <w:bookmarkStart w:id="208" w:name="_Toc184310305"/>
      <w:bookmarkEnd w:id="208"/>
      <w:bookmarkStart w:id="209" w:name="_Toc184314464"/>
      <w:bookmarkEnd w:id="209"/>
      <w:bookmarkStart w:id="210" w:name="_Toc184310330"/>
      <w:bookmarkEnd w:id="210"/>
      <w:bookmarkStart w:id="211" w:name="_Toc184310296"/>
      <w:bookmarkEnd w:id="211"/>
      <w:bookmarkStart w:id="212" w:name="_Toc184314440"/>
      <w:bookmarkEnd w:id="212"/>
      <w:bookmarkStart w:id="213" w:name="_Toc184314478"/>
      <w:bookmarkEnd w:id="213"/>
      <w:bookmarkStart w:id="214" w:name="_Toc184313265"/>
      <w:bookmarkEnd w:id="214"/>
      <w:bookmarkStart w:id="215" w:name="_Toc184314477"/>
      <w:bookmarkEnd w:id="215"/>
      <w:bookmarkStart w:id="216" w:name="_Toc184314436"/>
      <w:bookmarkEnd w:id="216"/>
      <w:bookmarkStart w:id="217" w:name="_Toc184310285"/>
      <w:bookmarkEnd w:id="217"/>
      <w:bookmarkStart w:id="218" w:name="_Toc184314444"/>
      <w:bookmarkEnd w:id="218"/>
      <w:bookmarkStart w:id="219" w:name="_Toc184314482"/>
      <w:bookmarkEnd w:id="219"/>
      <w:bookmarkStart w:id="220" w:name="_Toc184312074"/>
      <w:bookmarkEnd w:id="220"/>
      <w:bookmarkStart w:id="221" w:name="_Toc184310324"/>
      <w:bookmarkEnd w:id="221"/>
      <w:bookmarkStart w:id="222" w:name="_Toc184310278"/>
      <w:bookmarkEnd w:id="222"/>
      <w:bookmarkStart w:id="223" w:name="_Toc184308073"/>
      <w:bookmarkEnd w:id="223"/>
      <w:bookmarkStart w:id="224" w:name="_Toc184314461"/>
      <w:bookmarkEnd w:id="224"/>
      <w:bookmarkStart w:id="225" w:name="_Toc184310318"/>
      <w:bookmarkEnd w:id="225"/>
      <w:bookmarkStart w:id="226" w:name="_Toc184312133"/>
      <w:bookmarkEnd w:id="226"/>
      <w:bookmarkStart w:id="227" w:name="_Toc184308057"/>
      <w:bookmarkEnd w:id="227"/>
      <w:bookmarkStart w:id="228" w:name="_Toc184313285"/>
      <w:bookmarkEnd w:id="228"/>
      <w:bookmarkStart w:id="229" w:name="_Toc184312110"/>
      <w:bookmarkEnd w:id="229"/>
      <w:bookmarkStart w:id="230" w:name="_Toc184308106"/>
      <w:bookmarkEnd w:id="230"/>
      <w:bookmarkStart w:id="231" w:name="_Toc184314447"/>
      <w:bookmarkEnd w:id="231"/>
      <w:bookmarkStart w:id="232" w:name="_Toc184314451"/>
      <w:bookmarkEnd w:id="232"/>
      <w:bookmarkStart w:id="233" w:name="_Toc184314424"/>
      <w:bookmarkEnd w:id="233"/>
      <w:bookmarkStart w:id="234" w:name="_Toc184312088"/>
      <w:bookmarkEnd w:id="234"/>
      <w:bookmarkStart w:id="235" w:name="_Toc184313240"/>
      <w:bookmarkEnd w:id="235"/>
      <w:bookmarkStart w:id="236" w:name="_Toc184308102"/>
      <w:bookmarkEnd w:id="236"/>
      <w:bookmarkStart w:id="237" w:name="_Toc184308071"/>
      <w:bookmarkEnd w:id="237"/>
      <w:bookmarkStart w:id="238" w:name="_Toc184313273"/>
      <w:bookmarkEnd w:id="238"/>
      <w:bookmarkStart w:id="239" w:name="_Toc184308101"/>
      <w:bookmarkEnd w:id="239"/>
      <w:bookmarkStart w:id="240" w:name="_Toc184313260"/>
      <w:bookmarkEnd w:id="240"/>
      <w:bookmarkStart w:id="241" w:name="_Toc184313288"/>
      <w:bookmarkEnd w:id="241"/>
      <w:bookmarkStart w:id="242" w:name="_Toc184308044"/>
      <w:bookmarkEnd w:id="242"/>
      <w:bookmarkStart w:id="243" w:name="_Toc184312122"/>
      <w:bookmarkEnd w:id="243"/>
      <w:bookmarkStart w:id="244" w:name="_Toc184308061"/>
      <w:bookmarkEnd w:id="244"/>
      <w:bookmarkStart w:id="245" w:name="_Toc184313301"/>
      <w:bookmarkEnd w:id="245"/>
      <w:bookmarkStart w:id="246" w:name="_Toc184308069"/>
      <w:bookmarkEnd w:id="246"/>
      <w:bookmarkStart w:id="247" w:name="_Toc184310340"/>
      <w:bookmarkEnd w:id="247"/>
      <w:bookmarkStart w:id="248" w:name="_Toc184314471"/>
      <w:bookmarkEnd w:id="248"/>
      <w:bookmarkStart w:id="249" w:name="_Toc184310291"/>
      <w:bookmarkEnd w:id="249"/>
      <w:bookmarkStart w:id="250" w:name="_Toc184313280"/>
      <w:bookmarkEnd w:id="250"/>
      <w:bookmarkStart w:id="251" w:name="_Toc184313289"/>
      <w:bookmarkEnd w:id="251"/>
      <w:bookmarkStart w:id="252" w:name="_Toc184312112"/>
      <w:bookmarkEnd w:id="252"/>
      <w:bookmarkStart w:id="253" w:name="_Toc184314437"/>
      <w:bookmarkEnd w:id="253"/>
      <w:bookmarkStart w:id="254" w:name="_Toc184312076"/>
      <w:bookmarkEnd w:id="254"/>
      <w:bookmarkStart w:id="255" w:name="_Toc184312126"/>
      <w:bookmarkEnd w:id="255"/>
      <w:bookmarkStart w:id="256" w:name="_Toc184310276"/>
      <w:bookmarkEnd w:id="256"/>
      <w:bookmarkStart w:id="257" w:name="_Toc184313307"/>
      <w:bookmarkEnd w:id="257"/>
      <w:bookmarkStart w:id="258" w:name="_Toc184313253"/>
      <w:bookmarkEnd w:id="258"/>
      <w:bookmarkStart w:id="259" w:name="_Toc184308054"/>
      <w:bookmarkEnd w:id="259"/>
      <w:bookmarkStart w:id="260" w:name="_Toc184308079"/>
      <w:bookmarkEnd w:id="260"/>
      <w:bookmarkStart w:id="261" w:name="_Toc184314426"/>
      <w:bookmarkEnd w:id="261"/>
      <w:bookmarkStart w:id="262" w:name="_Toc184308062"/>
      <w:bookmarkEnd w:id="262"/>
      <w:bookmarkStart w:id="263" w:name="_Toc184310343"/>
      <w:bookmarkEnd w:id="263"/>
      <w:bookmarkStart w:id="264" w:name="_Toc184313295"/>
      <w:bookmarkEnd w:id="264"/>
      <w:bookmarkStart w:id="265" w:name="_Toc184313294"/>
      <w:bookmarkEnd w:id="265"/>
      <w:bookmarkStart w:id="266" w:name="_Toc184308091"/>
      <w:bookmarkEnd w:id="266"/>
      <w:bookmarkStart w:id="267" w:name="_Toc184308043"/>
      <w:bookmarkEnd w:id="267"/>
      <w:bookmarkStart w:id="268" w:name="_Toc184308067"/>
      <w:bookmarkEnd w:id="268"/>
      <w:bookmarkStart w:id="269" w:name="_Toc184314475"/>
      <w:bookmarkEnd w:id="269"/>
      <w:bookmarkStart w:id="270" w:name="_Toc184312119"/>
      <w:bookmarkEnd w:id="270"/>
      <w:bookmarkStart w:id="271" w:name="_Toc184314452"/>
      <w:bookmarkEnd w:id="271"/>
      <w:bookmarkStart w:id="272" w:name="_Toc184313306"/>
      <w:bookmarkEnd w:id="272"/>
      <w:bookmarkStart w:id="273" w:name="_Toc184312118"/>
      <w:bookmarkEnd w:id="273"/>
      <w:bookmarkStart w:id="274" w:name="_Toc184312111"/>
      <w:bookmarkEnd w:id="274"/>
      <w:bookmarkStart w:id="275" w:name="_Toc184314467"/>
      <w:bookmarkEnd w:id="275"/>
      <w:bookmarkStart w:id="276" w:name="_Toc184308087"/>
      <w:bookmarkEnd w:id="276"/>
      <w:bookmarkStart w:id="277" w:name="_Toc184310281"/>
      <w:bookmarkEnd w:id="277"/>
      <w:bookmarkStart w:id="278" w:name="_Toc184312098"/>
      <w:bookmarkEnd w:id="278"/>
      <w:bookmarkStart w:id="279" w:name="_Toc184312132"/>
      <w:bookmarkEnd w:id="279"/>
      <w:bookmarkStart w:id="280" w:name="_Toc184313255"/>
      <w:bookmarkEnd w:id="280"/>
      <w:bookmarkStart w:id="281" w:name="_Toc184310316"/>
      <w:bookmarkEnd w:id="281"/>
      <w:bookmarkStart w:id="282" w:name="_Toc184310329"/>
      <w:bookmarkEnd w:id="282"/>
      <w:bookmarkStart w:id="283" w:name="_Toc184314421"/>
      <w:bookmarkEnd w:id="283"/>
      <w:bookmarkStart w:id="284" w:name="_Toc184308108"/>
      <w:bookmarkEnd w:id="284"/>
      <w:bookmarkStart w:id="285" w:name="_Toc184312089"/>
      <w:bookmarkEnd w:id="285"/>
      <w:bookmarkStart w:id="286" w:name="_Toc184308060"/>
      <w:bookmarkEnd w:id="286"/>
      <w:bookmarkStart w:id="287" w:name="_Toc184312108"/>
      <w:bookmarkEnd w:id="287"/>
      <w:bookmarkStart w:id="288" w:name="_Toc184312128"/>
      <w:bookmarkEnd w:id="288"/>
      <w:bookmarkStart w:id="289" w:name="_Toc184312090"/>
      <w:bookmarkEnd w:id="289"/>
      <w:bookmarkStart w:id="290" w:name="_Toc184308041"/>
      <w:bookmarkEnd w:id="290"/>
      <w:bookmarkStart w:id="291" w:name="_Toc184310326"/>
      <w:bookmarkEnd w:id="291"/>
      <w:bookmarkStart w:id="292" w:name="_Toc184308053"/>
      <w:bookmarkEnd w:id="292"/>
      <w:bookmarkStart w:id="293" w:name="_Toc184312129"/>
      <w:bookmarkEnd w:id="293"/>
      <w:bookmarkStart w:id="294" w:name="_Toc184310293"/>
      <w:bookmarkEnd w:id="294"/>
      <w:bookmarkStart w:id="295" w:name="_Toc184312087"/>
      <w:bookmarkEnd w:id="295"/>
      <w:bookmarkStart w:id="296" w:name="_Toc184314414"/>
      <w:bookmarkEnd w:id="296"/>
      <w:bookmarkStart w:id="297" w:name="_Toc184308104"/>
      <w:bookmarkEnd w:id="297"/>
      <w:bookmarkStart w:id="298" w:name="_Toc184313299"/>
      <w:bookmarkEnd w:id="298"/>
      <w:bookmarkStart w:id="299" w:name="_Toc184310274"/>
      <w:bookmarkEnd w:id="299"/>
      <w:bookmarkStart w:id="300" w:name="_Toc184312135"/>
      <w:bookmarkEnd w:id="300"/>
      <w:bookmarkStart w:id="301" w:name="_Toc184314441"/>
      <w:bookmarkEnd w:id="301"/>
      <w:bookmarkStart w:id="302" w:name="_Toc184314422"/>
      <w:bookmarkEnd w:id="302"/>
      <w:bookmarkStart w:id="303" w:name="_Toc184308089"/>
      <w:bookmarkEnd w:id="303"/>
      <w:bookmarkStart w:id="304" w:name="_Toc184312131"/>
      <w:bookmarkEnd w:id="304"/>
      <w:bookmarkStart w:id="305" w:name="_Toc184313304"/>
      <w:bookmarkEnd w:id="305"/>
      <w:bookmarkStart w:id="306" w:name="_Toc184312082"/>
      <w:bookmarkEnd w:id="306"/>
      <w:bookmarkStart w:id="307" w:name="_Toc184308040"/>
      <w:bookmarkEnd w:id="307"/>
      <w:bookmarkStart w:id="308" w:name="_Toc184312081"/>
      <w:bookmarkEnd w:id="308"/>
      <w:bookmarkStart w:id="309" w:name="_Toc184313308"/>
      <w:bookmarkEnd w:id="309"/>
      <w:bookmarkStart w:id="310" w:name="_Toc184312124"/>
      <w:bookmarkEnd w:id="310"/>
      <w:bookmarkStart w:id="311" w:name="_Toc184314476"/>
      <w:bookmarkEnd w:id="311"/>
      <w:bookmarkStart w:id="312" w:name="_Toc184314420"/>
      <w:bookmarkEnd w:id="312"/>
      <w:bookmarkStart w:id="313" w:name="_Toc184313309"/>
      <w:bookmarkEnd w:id="313"/>
      <w:bookmarkStart w:id="314" w:name="_Toc184313279"/>
      <w:bookmarkEnd w:id="314"/>
      <w:bookmarkStart w:id="315" w:name="_Toc184308075"/>
      <w:bookmarkEnd w:id="315"/>
      <w:bookmarkStart w:id="316" w:name="_Toc184312102"/>
      <w:bookmarkEnd w:id="316"/>
      <w:bookmarkStart w:id="317" w:name="_Toc184308068"/>
      <w:bookmarkEnd w:id="317"/>
      <w:bookmarkStart w:id="318" w:name="_Toc184308046"/>
      <w:bookmarkEnd w:id="318"/>
      <w:bookmarkStart w:id="319" w:name="_Toc184313250"/>
      <w:bookmarkEnd w:id="319"/>
      <w:bookmarkStart w:id="320" w:name="_Toc184313261"/>
      <w:bookmarkEnd w:id="320"/>
      <w:bookmarkStart w:id="321" w:name="_Toc184314470"/>
      <w:bookmarkEnd w:id="321"/>
      <w:bookmarkStart w:id="322" w:name="_Toc184308082"/>
      <w:bookmarkEnd w:id="322"/>
      <w:bookmarkStart w:id="323" w:name="_Toc184314423"/>
      <w:bookmarkEnd w:id="323"/>
      <w:bookmarkStart w:id="324" w:name="_Toc184314468"/>
      <w:bookmarkEnd w:id="324"/>
      <w:bookmarkStart w:id="325" w:name="_Toc184308052"/>
      <w:bookmarkEnd w:id="325"/>
      <w:bookmarkStart w:id="326" w:name="_Toc184312079"/>
      <w:bookmarkEnd w:id="326"/>
      <w:bookmarkStart w:id="327" w:name="_Toc184308037"/>
      <w:bookmarkEnd w:id="327"/>
      <w:bookmarkStart w:id="328" w:name="_Toc184312138"/>
      <w:bookmarkEnd w:id="328"/>
      <w:bookmarkStart w:id="329" w:name="_Toc184310283"/>
      <w:bookmarkEnd w:id="329"/>
      <w:bookmarkStart w:id="330" w:name="_Toc184313268"/>
      <w:bookmarkEnd w:id="330"/>
      <w:bookmarkStart w:id="331" w:name="_Toc184313282"/>
      <w:bookmarkEnd w:id="331"/>
      <w:bookmarkStart w:id="332" w:name="_Toc184314429"/>
      <w:bookmarkEnd w:id="332"/>
      <w:bookmarkStart w:id="333" w:name="_Toc184314474"/>
      <w:bookmarkEnd w:id="333"/>
      <w:bookmarkStart w:id="334" w:name="_Toc184310321"/>
      <w:bookmarkEnd w:id="334"/>
      <w:bookmarkStart w:id="335" w:name="_Toc184308055"/>
      <w:bookmarkEnd w:id="335"/>
      <w:bookmarkStart w:id="336" w:name="_Toc184308095"/>
      <w:bookmarkEnd w:id="336"/>
      <w:bookmarkStart w:id="337" w:name="_Toc184313271"/>
      <w:bookmarkEnd w:id="337"/>
      <w:bookmarkStart w:id="338" w:name="_Toc184314465"/>
      <w:bookmarkEnd w:id="338"/>
      <w:bookmarkStart w:id="339" w:name="_Toc184310286"/>
      <w:bookmarkEnd w:id="339"/>
      <w:bookmarkStart w:id="340" w:name="_Toc184314417"/>
      <w:bookmarkEnd w:id="340"/>
      <w:bookmarkStart w:id="341" w:name="_Toc184308039"/>
      <w:bookmarkEnd w:id="341"/>
      <w:bookmarkStart w:id="342" w:name="_Toc184310320"/>
      <w:bookmarkEnd w:id="342"/>
      <w:bookmarkStart w:id="343" w:name="_Toc184312083"/>
      <w:bookmarkEnd w:id="343"/>
      <w:bookmarkStart w:id="344" w:name="_Toc184308099"/>
      <w:bookmarkEnd w:id="344"/>
      <w:bookmarkStart w:id="345" w:name="_Toc184313293"/>
      <w:bookmarkEnd w:id="345"/>
      <w:bookmarkStart w:id="346" w:name="_Toc184313274"/>
      <w:bookmarkEnd w:id="346"/>
      <w:bookmarkStart w:id="347" w:name="_Toc184312105"/>
      <w:bookmarkEnd w:id="347"/>
      <w:bookmarkStart w:id="348" w:name="_Toc184312094"/>
      <w:bookmarkEnd w:id="348"/>
      <w:bookmarkStart w:id="349" w:name="_Toc184310300"/>
      <w:bookmarkEnd w:id="349"/>
      <w:bookmarkStart w:id="350" w:name="_Toc184314450"/>
      <w:bookmarkEnd w:id="350"/>
      <w:bookmarkStart w:id="351" w:name="_Toc184312092"/>
      <w:bookmarkEnd w:id="351"/>
      <w:bookmarkStart w:id="352" w:name="_Toc184314435"/>
      <w:bookmarkEnd w:id="352"/>
      <w:bookmarkStart w:id="353" w:name="_Toc184312134"/>
      <w:bookmarkEnd w:id="353"/>
      <w:bookmarkStart w:id="354" w:name="_Toc184312071"/>
      <w:bookmarkEnd w:id="354"/>
      <w:bookmarkStart w:id="355" w:name="_Toc184312139"/>
      <w:bookmarkEnd w:id="355"/>
      <w:bookmarkStart w:id="356" w:name="_Toc184312086"/>
      <w:bookmarkEnd w:id="356"/>
      <w:bookmarkStart w:id="357" w:name="_Toc184313276"/>
      <w:bookmarkEnd w:id="357"/>
      <w:bookmarkStart w:id="358" w:name="_Toc184308103"/>
      <w:bookmarkEnd w:id="358"/>
      <w:bookmarkStart w:id="359" w:name="_Toc184312100"/>
      <w:bookmarkEnd w:id="359"/>
      <w:bookmarkStart w:id="360" w:name="_Toc184313272"/>
      <w:bookmarkEnd w:id="360"/>
      <w:bookmarkStart w:id="361" w:name="_Toc184308042"/>
      <w:bookmarkEnd w:id="361"/>
      <w:bookmarkStart w:id="362" w:name="_Toc184310319"/>
      <w:bookmarkEnd w:id="362"/>
      <w:bookmarkStart w:id="363" w:name="_Toc184310284"/>
      <w:bookmarkEnd w:id="363"/>
      <w:bookmarkStart w:id="364" w:name="_Toc184314432"/>
      <w:bookmarkEnd w:id="364"/>
      <w:bookmarkStart w:id="365" w:name="_Toc184313259"/>
      <w:bookmarkEnd w:id="365"/>
      <w:bookmarkStart w:id="366" w:name="_Toc184308080"/>
      <w:bookmarkEnd w:id="366"/>
      <w:bookmarkStart w:id="367" w:name="_Toc184313269"/>
      <w:bookmarkEnd w:id="367"/>
      <w:bookmarkStart w:id="368" w:name="_Toc184308083"/>
      <w:bookmarkEnd w:id="368"/>
      <w:bookmarkStart w:id="369" w:name="_Toc184313283"/>
      <w:bookmarkEnd w:id="369"/>
      <w:bookmarkStart w:id="370" w:name="_Toc184310328"/>
      <w:bookmarkEnd w:id="370"/>
      <w:bookmarkStart w:id="371" w:name="_Toc184313263"/>
      <w:bookmarkEnd w:id="371"/>
      <w:bookmarkStart w:id="372" w:name="_Toc184312117"/>
      <w:bookmarkEnd w:id="372"/>
      <w:bookmarkStart w:id="373" w:name="_Toc184314411"/>
      <w:bookmarkEnd w:id="373"/>
      <w:bookmarkStart w:id="374" w:name="_Toc184312120"/>
      <w:bookmarkEnd w:id="374"/>
      <w:bookmarkStart w:id="375" w:name="_Toc184310307"/>
      <w:bookmarkEnd w:id="375"/>
      <w:bookmarkStart w:id="376" w:name="_Toc184314446"/>
      <w:bookmarkEnd w:id="376"/>
      <w:bookmarkStart w:id="377" w:name="_Toc184310314"/>
      <w:bookmarkEnd w:id="377"/>
      <w:bookmarkStart w:id="378" w:name="_Toc184313252"/>
      <w:bookmarkEnd w:id="378"/>
      <w:bookmarkStart w:id="379" w:name="_Toc184308059"/>
      <w:bookmarkEnd w:id="379"/>
      <w:bookmarkStart w:id="380" w:name="_Toc184313241"/>
      <w:bookmarkEnd w:id="380"/>
      <w:bookmarkStart w:id="381" w:name="_Toc184312075"/>
      <w:bookmarkEnd w:id="381"/>
      <w:bookmarkStart w:id="382" w:name="_Toc184314413"/>
      <w:bookmarkEnd w:id="382"/>
      <w:r>
        <w:rPr>
          <w:rFonts w:hint="eastAsia" w:ascii="仿宋" w:hAnsi="仿宋" w:eastAsia="仿宋" w:cs="仿宋"/>
          <w:b/>
          <w:color w:val="auto"/>
          <w:sz w:val="36"/>
          <w:szCs w:val="36"/>
          <w:highlight w:val="none"/>
        </w:rPr>
        <w:t>评标办法</w:t>
      </w:r>
    </w:p>
    <w:p>
      <w:pP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3"/>
        <w:tblW w:w="9320" w:type="dxa"/>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8" w:hRule="atLeast"/>
        </w:trPr>
        <w:tc>
          <w:tcPr>
            <w:tcW w:w="9320" w:type="dxa"/>
            <w:vAlign w:val="center"/>
          </w:tcPr>
          <w:p>
            <w:pPr>
              <w:autoSpaceDE w:val="0"/>
              <w:autoSpaceDN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本项目采用综合评分法</w:t>
            </w:r>
            <w:r>
              <w:rPr>
                <w:rFonts w:hint="eastAsia" w:ascii="仿宋" w:hAnsi="仿宋" w:eastAsia="仿宋" w:cs="仿宋"/>
                <w:color w:val="auto"/>
                <w:sz w:val="24"/>
                <w:highlight w:val="none"/>
              </w:rPr>
              <w:t>：</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标委员会将对各投标人的投标报价、投标人提供的资信与商务部分、技术部分等方面进行综合评审，评标委员会各成员应当独立对每个有效投标人的投标文件进行评价、打分。经统计，得出各投标人的最终评审分,按最终评审分由高到低顺序排列。得分相同的，按投标报价由低到高顺序排列，</w:t>
            </w:r>
            <w:r>
              <w:rPr>
                <w:rFonts w:hint="eastAsia" w:ascii="仿宋" w:hAnsi="仿宋" w:eastAsia="仿宋" w:cs="仿宋"/>
                <w:color w:val="auto"/>
                <w:sz w:val="24"/>
                <w:szCs w:val="21"/>
                <w:highlight w:val="none"/>
              </w:rPr>
              <w:t>得分且投标报价相同的并列</w:t>
            </w:r>
            <w:r>
              <w:rPr>
                <w:rFonts w:hint="eastAsia" w:ascii="仿宋" w:hAnsi="仿宋" w:eastAsia="仿宋" w:cs="仿宋"/>
                <w:color w:val="auto"/>
                <w:sz w:val="24"/>
                <w:highlight w:val="none"/>
              </w:rPr>
              <w:t xml:space="preserve">，并形成评标意见。 </w:t>
            </w:r>
          </w:p>
          <w:p>
            <w:pPr>
              <w:spacing w:line="360" w:lineRule="auto"/>
              <w:ind w:left="105" w:leftChars="50" w:firstLine="427" w:firstLineChars="178"/>
              <w:rPr>
                <w:rFonts w:ascii="仿宋" w:hAnsi="仿宋" w:eastAsia="仿宋" w:cs="仿宋"/>
                <w:color w:val="auto"/>
                <w:sz w:val="24"/>
                <w:highlight w:val="none"/>
              </w:rPr>
            </w:pPr>
            <w:r>
              <w:rPr>
                <w:rFonts w:hint="eastAsia" w:ascii="仿宋" w:hAnsi="仿宋" w:eastAsia="仿宋" w:cs="仿宋"/>
                <w:color w:val="auto"/>
                <w:sz w:val="24"/>
                <w:highlight w:val="none"/>
              </w:rPr>
              <w:t>各投标人的综合得分为：投标价格得分+</w:t>
            </w:r>
            <w:r>
              <w:rPr>
                <w:rFonts w:hint="eastAsia" w:ascii="仿宋" w:hAnsi="仿宋" w:eastAsia="仿宋" w:cs="仿宋"/>
                <w:bCs/>
                <w:color w:val="auto"/>
                <w:sz w:val="24"/>
                <w:highlight w:val="none"/>
              </w:rPr>
              <w:t>技术和服务方案部分</w:t>
            </w:r>
            <w:r>
              <w:rPr>
                <w:rFonts w:hint="eastAsia" w:ascii="仿宋" w:hAnsi="仿宋" w:eastAsia="仿宋" w:cs="仿宋"/>
                <w:color w:val="auto"/>
                <w:sz w:val="24"/>
                <w:highlight w:val="none"/>
              </w:rPr>
              <w:t>得分+资信与商务部分得分之和，满分为</w:t>
            </w:r>
            <w:r>
              <w:rPr>
                <w:rFonts w:hint="eastAsia" w:ascii="仿宋" w:hAnsi="仿宋" w:eastAsia="仿宋" w:cs="仿宋"/>
                <w:color w:val="auto"/>
                <w:sz w:val="24"/>
                <w:highlight w:val="none"/>
                <w:u w:val="single"/>
              </w:rPr>
              <w:t>100</w:t>
            </w:r>
            <w:r>
              <w:rPr>
                <w:rFonts w:hint="eastAsia" w:ascii="仿宋" w:hAnsi="仿宋" w:eastAsia="仿宋" w:cs="仿宋"/>
                <w:color w:val="auto"/>
                <w:sz w:val="24"/>
                <w:highlight w:val="none"/>
              </w:rPr>
              <w:t xml:space="preserve">分， </w:t>
            </w:r>
          </w:p>
          <w:p>
            <w:pPr>
              <w:pStyle w:val="19"/>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各投标人的技术和服务方案、投标人资信与商务部分得分为：评标委员会各成员评分的算术平均值。评分时保留小数点后1位小数，计算评分值时保留小数点后2位小数。</w:t>
            </w:r>
          </w:p>
          <w:p>
            <w:pPr>
              <w:autoSpaceDE w:val="0"/>
              <w:autoSpaceDN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各投标人的投标价格得分按投标价格评分公式由采购机构计算，评标委员会审核。</w:t>
            </w:r>
            <w:r>
              <w:rPr>
                <w:rFonts w:hint="eastAsia" w:ascii="仿宋" w:hAnsi="仿宋" w:eastAsia="仿宋" w:cs="仿宋"/>
                <w:color w:val="auto"/>
                <w:sz w:val="24"/>
                <w:highlight w:val="none"/>
              </w:rPr>
              <w:t>根据上述评标原则，分值安排如下：</w:t>
            </w:r>
          </w:p>
        </w:tc>
      </w:tr>
    </w:tbl>
    <w:p>
      <w:pPr>
        <w:widowControl/>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1、资信与商务部分（</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分）</w:t>
      </w:r>
    </w:p>
    <w:tbl>
      <w:tblPr>
        <w:tblStyle w:val="63"/>
        <w:tblW w:w="894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3"/>
        <w:gridCol w:w="720"/>
        <w:gridCol w:w="1147"/>
        <w:gridCol w:w="4751"/>
        <w:gridCol w:w="725"/>
        <w:gridCol w:w="7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8" w:hRule="atLeast"/>
          <w:jc w:val="center"/>
        </w:trPr>
        <w:tc>
          <w:tcPr>
            <w:tcW w:w="893" w:type="dxa"/>
            <w:shd w:val="clear" w:color="auto" w:fill="auto"/>
            <w:vAlign w:val="center"/>
          </w:tcPr>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720"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5898" w:type="dxa"/>
            <w:gridSpan w:val="2"/>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评分内容和标准</w:t>
            </w:r>
          </w:p>
        </w:tc>
        <w:tc>
          <w:tcPr>
            <w:tcW w:w="725" w:type="dxa"/>
            <w:tcBorders>
              <w:tl2br w:val="nil"/>
              <w:tr2bl w:val="nil"/>
            </w:tcBorders>
            <w:shd w:val="clear" w:color="auto" w:fill="auto"/>
            <w:vAlign w:val="center"/>
          </w:tcPr>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708" w:type="dxa"/>
            <w:tcBorders>
              <w:tl2br w:val="nil"/>
              <w:tr2bl w:val="nil"/>
            </w:tcBorders>
            <w:vAlign w:val="center"/>
          </w:tcPr>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主客</w:t>
            </w:r>
          </w:p>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93" w:type="dxa"/>
            <w:vMerge w:val="restart"/>
            <w:shd w:val="clear" w:color="auto" w:fill="auto"/>
            <w:vAlign w:val="center"/>
          </w:tcPr>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商</w:t>
            </w:r>
          </w:p>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务</w:t>
            </w:r>
          </w:p>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资</w:t>
            </w:r>
          </w:p>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信</w:t>
            </w:r>
          </w:p>
        </w:tc>
        <w:tc>
          <w:tcPr>
            <w:tcW w:w="720" w:type="dxa"/>
            <w:tcBorders>
              <w:tl2br w:val="nil"/>
              <w:tr2bl w:val="nil"/>
            </w:tcBorders>
            <w:shd w:val="clear" w:color="auto" w:fill="auto"/>
            <w:vAlign w:val="center"/>
          </w:tcPr>
          <w:p>
            <w:pPr>
              <w:widowControl/>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147" w:type="dxa"/>
            <w:tcBorders>
              <w:tl2br w:val="nil"/>
              <w:tr2bl w:val="nil"/>
            </w:tcBorders>
            <w:shd w:val="clear" w:color="auto" w:fill="auto"/>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投标人管理体系</w:t>
            </w:r>
          </w:p>
        </w:tc>
        <w:tc>
          <w:tcPr>
            <w:tcW w:w="4751" w:type="dxa"/>
            <w:tcBorders>
              <w:tl2br w:val="nil"/>
              <w:tr2bl w:val="nil"/>
            </w:tcBorders>
            <w:shd w:val="clear" w:color="auto" w:fill="auto"/>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投标人提供有效期内的质量管理体系认证、环境管理体系认证、职业健康体系认证，每项得1分。</w:t>
            </w:r>
          </w:p>
          <w:p>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证明材料：提供证书的复印件/扫描件和全国认证认可信息公共服务平台截图为准。</w:t>
            </w:r>
          </w:p>
        </w:tc>
        <w:tc>
          <w:tcPr>
            <w:tcW w:w="725" w:type="dxa"/>
            <w:tcBorders>
              <w:tl2br w:val="nil"/>
              <w:tr2bl w:val="nil"/>
            </w:tcBorders>
            <w:shd w:val="clear" w:color="auto" w:fill="auto"/>
            <w:vAlign w:val="center"/>
          </w:tcPr>
          <w:p>
            <w:pPr>
              <w:rPr>
                <w:rFonts w:ascii="仿宋" w:hAnsi="仿宋" w:eastAsia="仿宋" w:cs="仿宋"/>
                <w:color w:val="auto"/>
                <w:sz w:val="24"/>
                <w:highlight w:val="none"/>
              </w:rPr>
            </w:pPr>
            <w:r>
              <w:rPr>
                <w:rFonts w:hint="eastAsia" w:ascii="仿宋" w:hAnsi="仿宋" w:eastAsia="仿宋" w:cs="仿宋"/>
                <w:color w:val="auto"/>
                <w:sz w:val="24"/>
                <w:szCs w:val="24"/>
                <w:highlight w:val="none"/>
              </w:rPr>
              <w:t>0-3</w:t>
            </w:r>
          </w:p>
        </w:tc>
        <w:tc>
          <w:tcPr>
            <w:tcW w:w="708" w:type="dxa"/>
            <w:tcBorders>
              <w:tl2br w:val="nil"/>
              <w:tr2bl w:val="nil"/>
            </w:tcBorders>
            <w:shd w:val="clear" w:color="auto" w:fill="auto"/>
            <w:vAlign w:val="center"/>
          </w:tcPr>
          <w:p>
            <w:pPr>
              <w:widowControl/>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93" w:type="dxa"/>
            <w:vMerge w:val="continue"/>
            <w:shd w:val="clear" w:color="auto" w:fill="auto"/>
            <w:vAlign w:val="center"/>
          </w:tcPr>
          <w:p>
            <w:pPr>
              <w:widowControl/>
              <w:spacing w:line="360" w:lineRule="auto"/>
              <w:jc w:val="center"/>
              <w:rPr>
                <w:rFonts w:ascii="仿宋" w:hAnsi="仿宋" w:eastAsia="仿宋" w:cs="仿宋"/>
                <w:color w:val="auto"/>
                <w:sz w:val="24"/>
                <w:highlight w:val="none"/>
              </w:rPr>
            </w:pPr>
          </w:p>
        </w:tc>
        <w:tc>
          <w:tcPr>
            <w:tcW w:w="720" w:type="dxa"/>
            <w:tcBorders>
              <w:tl2br w:val="nil"/>
              <w:tr2bl w:val="nil"/>
            </w:tcBorders>
            <w:shd w:val="clear" w:color="auto" w:fill="auto"/>
            <w:vAlign w:val="center"/>
          </w:tcPr>
          <w:p>
            <w:pPr>
              <w:widowControl/>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147" w:type="dxa"/>
            <w:tcBorders>
              <w:tl2br w:val="nil"/>
              <w:tr2bl w:val="nil"/>
            </w:tcBorders>
            <w:shd w:val="clear" w:color="auto" w:fill="auto"/>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投标人员配置</w:t>
            </w:r>
          </w:p>
        </w:tc>
        <w:tc>
          <w:tcPr>
            <w:tcW w:w="4751"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拟派项目负责人具有建筑类中级职称或机电类相关专业中级职称的，得1分；具有建筑类高级及以上职称或机电类相关专业高级及以上职称的，得2分。</w:t>
            </w:r>
          </w:p>
          <w:p>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评审依据/证明材料：项目负责人职称证书扫描件及近三个月内任意时间的社保证明扫描件。</w:t>
            </w:r>
          </w:p>
        </w:tc>
        <w:tc>
          <w:tcPr>
            <w:tcW w:w="725" w:type="dxa"/>
            <w:tcBorders>
              <w:tl2br w:val="nil"/>
              <w:tr2bl w:val="nil"/>
            </w:tcBorders>
            <w:shd w:val="clear" w:color="auto" w:fill="auto"/>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0-2</w:t>
            </w:r>
          </w:p>
        </w:tc>
        <w:tc>
          <w:tcPr>
            <w:tcW w:w="708" w:type="dxa"/>
            <w:tcBorders>
              <w:tl2br w:val="nil"/>
              <w:tr2bl w:val="nil"/>
            </w:tcBorders>
            <w:shd w:val="clear" w:color="auto" w:fill="auto"/>
            <w:vAlign w:val="center"/>
          </w:tcPr>
          <w:p>
            <w:pPr>
              <w:widowControl/>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93" w:type="dxa"/>
            <w:vMerge w:val="continue"/>
            <w:shd w:val="clear" w:color="auto" w:fill="auto"/>
            <w:vAlign w:val="center"/>
          </w:tcPr>
          <w:p>
            <w:pPr>
              <w:widowControl/>
              <w:spacing w:line="360" w:lineRule="auto"/>
              <w:jc w:val="center"/>
              <w:rPr>
                <w:rFonts w:ascii="仿宋" w:hAnsi="仿宋" w:eastAsia="仿宋" w:cs="仿宋"/>
                <w:color w:val="auto"/>
                <w:sz w:val="24"/>
                <w:highlight w:val="none"/>
              </w:rPr>
            </w:pPr>
          </w:p>
        </w:tc>
        <w:tc>
          <w:tcPr>
            <w:tcW w:w="720"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147" w:type="dxa"/>
            <w:tcBorders>
              <w:tl2br w:val="nil"/>
              <w:tr2bl w:val="nil"/>
            </w:tcBorders>
            <w:shd w:val="clear" w:color="auto" w:fill="auto"/>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投标人项目案例</w:t>
            </w:r>
          </w:p>
        </w:tc>
        <w:tc>
          <w:tcPr>
            <w:tcW w:w="4751"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投标人自2021年1月1日以来【</w:t>
            </w:r>
            <w:r>
              <w:rPr>
                <w:rFonts w:hint="eastAsia" w:ascii="仿宋" w:hAnsi="仿宋" w:eastAsia="仿宋" w:cs="仿宋"/>
                <w:color w:val="auto"/>
                <w:sz w:val="24"/>
                <w:highlight w:val="none"/>
              </w:rPr>
              <w:t>以合同签订时间为准</w:t>
            </w:r>
            <w:r>
              <w:rPr>
                <w:rFonts w:hint="eastAsia" w:ascii="仿宋" w:hAnsi="仿宋" w:eastAsia="仿宋" w:cs="仿宋"/>
                <w:i w:val="0"/>
                <w:iCs w:val="0"/>
                <w:color w:val="auto"/>
                <w:kern w:val="0"/>
                <w:sz w:val="24"/>
                <w:szCs w:val="24"/>
                <w:highlight w:val="none"/>
                <w:u w:val="none"/>
                <w:lang w:val="en-US" w:eastAsia="zh-CN" w:bidi="ar"/>
              </w:rPr>
              <w:t>】以来具有类似空调或暖通改造项目实施业绩的，每项得1分，本项最高得2分。业绩证明材料：合同复印件</w:t>
            </w:r>
          </w:p>
        </w:tc>
        <w:tc>
          <w:tcPr>
            <w:tcW w:w="725" w:type="dxa"/>
            <w:tcBorders>
              <w:tl2br w:val="nil"/>
              <w:tr2bl w:val="nil"/>
            </w:tcBorders>
            <w:shd w:val="clear" w:color="auto" w:fill="auto"/>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0-2</w:t>
            </w:r>
          </w:p>
        </w:tc>
        <w:tc>
          <w:tcPr>
            <w:tcW w:w="708" w:type="dxa"/>
            <w:tcBorders>
              <w:tl2br w:val="nil"/>
              <w:tr2bl w:val="nil"/>
            </w:tcBorders>
            <w:shd w:val="clear" w:color="auto" w:fill="auto"/>
            <w:vAlign w:val="center"/>
          </w:tcPr>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r>
    </w:tbl>
    <w:p>
      <w:pPr>
        <w:widowControl/>
        <w:adjustRightInd/>
        <w:spacing w:line="360" w:lineRule="auto"/>
        <w:jc w:val="left"/>
        <w:rPr>
          <w:rFonts w:ascii="仿宋" w:hAnsi="仿宋" w:eastAsia="仿宋" w:cs="仿宋"/>
          <w:color w:val="auto"/>
          <w:sz w:val="24"/>
          <w:highlight w:val="none"/>
        </w:rPr>
      </w:pPr>
    </w:p>
    <w:p>
      <w:pPr>
        <w:widowControl/>
        <w:adjustRightInd/>
        <w:jc w:val="left"/>
        <w:rPr>
          <w:rFonts w:ascii="仿宋" w:hAnsi="仿宋" w:eastAsia="仿宋" w:cs="仿宋"/>
          <w:color w:val="auto"/>
          <w:sz w:val="24"/>
          <w:highlight w:val="none"/>
        </w:rPr>
      </w:pPr>
      <w:r>
        <w:rPr>
          <w:rFonts w:hint="eastAsia" w:ascii="仿宋" w:hAnsi="仿宋" w:eastAsia="仿宋" w:cs="仿宋"/>
          <w:color w:val="auto"/>
          <w:sz w:val="24"/>
          <w:highlight w:val="none"/>
        </w:rPr>
        <w:t>2、技术和服务方案（</w:t>
      </w:r>
      <w:r>
        <w:rPr>
          <w:rFonts w:hint="eastAsia" w:ascii="仿宋" w:hAnsi="仿宋" w:eastAsia="仿宋" w:cs="仿宋"/>
          <w:color w:val="auto"/>
          <w:sz w:val="24"/>
          <w:highlight w:val="none"/>
          <w:lang w:val="en-US" w:eastAsia="zh-CN"/>
        </w:rPr>
        <w:t>73</w:t>
      </w:r>
      <w:r>
        <w:rPr>
          <w:rFonts w:hint="eastAsia" w:ascii="仿宋" w:hAnsi="仿宋" w:eastAsia="仿宋" w:cs="仿宋"/>
          <w:color w:val="auto"/>
          <w:sz w:val="24"/>
          <w:highlight w:val="none"/>
        </w:rPr>
        <w:t>分）</w:t>
      </w:r>
    </w:p>
    <w:tbl>
      <w:tblPr>
        <w:tblStyle w:val="63"/>
        <w:tblW w:w="914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57"/>
        <w:gridCol w:w="737"/>
        <w:gridCol w:w="1102"/>
        <w:gridCol w:w="4798"/>
        <w:gridCol w:w="713"/>
        <w:gridCol w:w="7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55" w:hRule="atLeast"/>
        </w:trPr>
        <w:tc>
          <w:tcPr>
            <w:tcW w:w="1057" w:type="dxa"/>
            <w:vMerge w:val="restart"/>
            <w:tcBorders>
              <w:tl2br w:val="nil"/>
              <w:tr2bl w:val="nil"/>
            </w:tcBorders>
            <w:shd w:val="clear" w:color="auto" w:fill="auto"/>
            <w:vAlign w:val="center"/>
          </w:tcPr>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技</w:t>
            </w:r>
          </w:p>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术</w:t>
            </w:r>
          </w:p>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和</w:t>
            </w:r>
          </w:p>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服</w:t>
            </w:r>
          </w:p>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务</w:t>
            </w:r>
          </w:p>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方</w:t>
            </w:r>
          </w:p>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案</w:t>
            </w:r>
          </w:p>
        </w:tc>
        <w:tc>
          <w:tcPr>
            <w:tcW w:w="737" w:type="dxa"/>
            <w:tcBorders>
              <w:tl2br w:val="nil"/>
              <w:tr2bl w:val="nil"/>
            </w:tcBorders>
            <w:shd w:val="clear" w:color="auto" w:fill="auto"/>
            <w:vAlign w:val="center"/>
          </w:tcPr>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5900" w:type="dxa"/>
            <w:gridSpan w:val="2"/>
            <w:tcBorders>
              <w:tl2br w:val="nil"/>
              <w:tr2bl w:val="nil"/>
            </w:tcBorders>
            <w:shd w:val="clear" w:color="auto" w:fill="auto"/>
            <w:vAlign w:val="center"/>
          </w:tcPr>
          <w:p>
            <w:pPr>
              <w:widowControl/>
              <w:spacing w:line="360" w:lineRule="auto"/>
              <w:ind w:right="134" w:rightChars="64"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评分内容和标准具体描述</w:t>
            </w:r>
          </w:p>
        </w:tc>
        <w:tc>
          <w:tcPr>
            <w:tcW w:w="713" w:type="dxa"/>
            <w:tcBorders>
              <w:tl2br w:val="nil"/>
              <w:tr2bl w:val="nil"/>
            </w:tcBorders>
            <w:shd w:val="clear" w:color="auto" w:fill="auto"/>
            <w:vAlign w:val="center"/>
          </w:tcPr>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737" w:type="dxa"/>
            <w:tcBorders>
              <w:tl2br w:val="nil"/>
              <w:tr2bl w:val="nil"/>
            </w:tcBorders>
            <w:shd w:val="clear" w:color="auto" w:fill="auto"/>
            <w:vAlign w:val="center"/>
          </w:tcPr>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主客观分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16" w:hRule="atLeast"/>
        </w:trPr>
        <w:tc>
          <w:tcPr>
            <w:tcW w:w="1057" w:type="dxa"/>
            <w:vMerge w:val="continue"/>
            <w:tcBorders>
              <w:tl2br w:val="nil"/>
              <w:tr2bl w:val="nil"/>
            </w:tcBorders>
            <w:shd w:val="clear" w:color="auto" w:fill="auto"/>
            <w:vAlign w:val="center"/>
          </w:tcPr>
          <w:p>
            <w:pPr>
              <w:widowControl/>
              <w:spacing w:line="360" w:lineRule="auto"/>
              <w:jc w:val="center"/>
              <w:rPr>
                <w:rFonts w:ascii="仿宋" w:hAnsi="仿宋" w:eastAsia="仿宋" w:cs="仿宋"/>
                <w:b/>
                <w:bCs/>
                <w:color w:val="auto"/>
                <w:sz w:val="24"/>
                <w:highlight w:val="none"/>
              </w:rPr>
            </w:pPr>
          </w:p>
        </w:tc>
        <w:tc>
          <w:tcPr>
            <w:tcW w:w="737" w:type="dxa"/>
            <w:tcBorders>
              <w:bottom w:val="single" w:color="auto" w:sz="4" w:space="0"/>
              <w:tl2br w:val="nil"/>
              <w:tr2bl w:val="nil"/>
            </w:tcBorders>
            <w:shd w:val="clear" w:color="auto" w:fill="auto"/>
            <w:vAlign w:val="center"/>
          </w:tcPr>
          <w:p>
            <w:pPr>
              <w:widowControl/>
              <w:spacing w:line="36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w:t>
            </w:r>
          </w:p>
        </w:tc>
        <w:tc>
          <w:tcPr>
            <w:tcW w:w="1102" w:type="dxa"/>
            <w:tcBorders>
              <w:bottom w:val="single" w:color="auto" w:sz="4" w:space="0"/>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AHU空调箱自控改造方案</w:t>
            </w:r>
          </w:p>
        </w:tc>
        <w:tc>
          <w:tcPr>
            <w:tcW w:w="4798" w:type="dxa"/>
            <w:tcBorders>
              <w:tl2br w:val="nil"/>
              <w:tr2bl w:val="nil"/>
            </w:tcBorders>
            <w:shd w:val="clear" w:color="auto" w:fill="auto"/>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lang w:val="en-US" w:eastAsia="zh-CN" w:bidi="ar"/>
              </w:rPr>
              <w:t>投标人根据采购文件第三部分采购需求四、空调机组更新维修要求4.2条改造要求，提供自动控制的改造方案（系统配置、技术阐述等）</w:t>
            </w:r>
            <w:r>
              <w:rPr>
                <w:rFonts w:hint="eastAsia" w:ascii="仿宋" w:hAnsi="仿宋" w:eastAsia="仿宋" w:cs="仿宋"/>
                <w:color w:val="auto"/>
                <w:sz w:val="24"/>
                <w:szCs w:val="24"/>
                <w:highlight w:val="none"/>
              </w:rPr>
              <w:t>分值（3.0、2.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5、1.0、</w:t>
            </w:r>
            <w:r>
              <w:rPr>
                <w:rFonts w:hint="eastAsia" w:ascii="仿宋" w:hAnsi="仿宋" w:eastAsia="仿宋" w:cs="仿宋"/>
                <w:color w:val="auto"/>
                <w:sz w:val="24"/>
                <w:szCs w:val="24"/>
                <w:highlight w:val="none"/>
              </w:rPr>
              <w:t>0）。</w:t>
            </w:r>
          </w:p>
          <w:p>
            <w:pPr>
              <w:keepNext w:val="0"/>
              <w:keepLines w:val="0"/>
              <w:widowControl/>
              <w:suppressLineNumbers w:val="0"/>
              <w:jc w:val="both"/>
              <w:textAlignment w:val="center"/>
              <w:rPr>
                <w:rFonts w:ascii="仿宋" w:hAnsi="仿宋" w:eastAsia="仿宋" w:cs="仿宋"/>
                <w:b/>
                <w:bCs/>
                <w:color w:val="auto"/>
                <w:sz w:val="24"/>
                <w:highlight w:val="none"/>
              </w:rPr>
            </w:pPr>
            <w:r>
              <w:rPr>
                <w:rFonts w:hint="eastAsia" w:ascii="仿宋" w:hAnsi="仿宋" w:eastAsia="仿宋" w:cs="仿宋"/>
                <w:b/>
                <w:bCs/>
                <w:color w:val="auto"/>
                <w:sz w:val="24"/>
                <w:szCs w:val="24"/>
                <w:highlight w:val="none"/>
              </w:rPr>
              <w:t>评审依据/证明材料：</w:t>
            </w:r>
            <w:r>
              <w:rPr>
                <w:rFonts w:hint="eastAsia" w:ascii="仿宋" w:hAnsi="仿宋" w:eastAsia="仿宋" w:cs="仿宋"/>
                <w:b/>
                <w:bCs/>
                <w:color w:val="auto"/>
                <w:sz w:val="24"/>
                <w:szCs w:val="24"/>
                <w:highlight w:val="none"/>
                <w:lang w:val="en-US" w:eastAsia="zh-CN"/>
              </w:rPr>
              <w:t>自</w:t>
            </w:r>
            <w:r>
              <w:rPr>
                <w:rFonts w:hint="eastAsia" w:ascii="仿宋" w:hAnsi="仿宋" w:eastAsia="仿宋" w:cs="仿宋"/>
                <w:color w:val="auto"/>
                <w:kern w:val="0"/>
                <w:sz w:val="24"/>
                <w:highlight w:val="none"/>
                <w:lang w:val="en-US" w:eastAsia="zh-CN" w:bidi="ar"/>
              </w:rPr>
              <w:t>动控制改造方案</w:t>
            </w:r>
            <w:r>
              <w:rPr>
                <w:rFonts w:hint="eastAsia" w:ascii="仿宋" w:hAnsi="仿宋" w:eastAsia="仿宋" w:cs="仿宋"/>
                <w:color w:val="auto"/>
                <w:sz w:val="24"/>
                <w:szCs w:val="24"/>
                <w:highlight w:val="none"/>
              </w:rPr>
              <w:t>的详细描述</w:t>
            </w:r>
          </w:p>
        </w:tc>
        <w:tc>
          <w:tcPr>
            <w:tcW w:w="713" w:type="dxa"/>
            <w:tcBorders>
              <w:tl2br w:val="nil"/>
              <w:tr2bl w:val="nil"/>
            </w:tcBorders>
            <w:shd w:val="clear" w:color="auto" w:fill="auto"/>
            <w:vAlign w:val="center"/>
          </w:tcPr>
          <w:p>
            <w:pPr>
              <w:keepNext w:val="0"/>
              <w:keepLines w:val="0"/>
              <w:widowControl/>
              <w:suppressLineNumbers w:val="0"/>
              <w:jc w:val="center"/>
              <w:textAlignment w:val="center"/>
              <w:rPr>
                <w:rFonts w:ascii="仿宋" w:hAnsi="仿宋" w:eastAsia="仿宋" w:cs="仿宋"/>
                <w:color w:val="auto"/>
                <w:sz w:val="24"/>
                <w:highlight w:val="none"/>
              </w:rPr>
            </w:pPr>
            <w:r>
              <w:rPr>
                <w:rFonts w:hint="eastAsia" w:ascii="仿宋" w:hAnsi="仿宋" w:eastAsia="仿宋" w:cs="仿宋"/>
                <w:i w:val="0"/>
                <w:iCs w:val="0"/>
                <w:color w:val="auto"/>
                <w:kern w:val="0"/>
                <w:sz w:val="24"/>
                <w:szCs w:val="24"/>
                <w:highlight w:val="none"/>
                <w:u w:val="none"/>
                <w:lang w:val="en-US" w:eastAsia="zh-CN" w:bidi="ar"/>
              </w:rPr>
              <w:t>0-3</w:t>
            </w:r>
          </w:p>
        </w:tc>
        <w:tc>
          <w:tcPr>
            <w:tcW w:w="737" w:type="dxa"/>
            <w:tcBorders>
              <w:tl2br w:val="nil"/>
              <w:tr2bl w:val="nil"/>
            </w:tcBorders>
            <w:shd w:val="clear" w:color="auto" w:fill="auto"/>
            <w:vAlign w:val="center"/>
          </w:tcPr>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57" w:type="dxa"/>
            <w:vMerge w:val="continue"/>
            <w:tcBorders>
              <w:tl2br w:val="nil"/>
              <w:tr2bl w:val="nil"/>
            </w:tcBorders>
            <w:shd w:val="clear" w:color="auto" w:fill="auto"/>
            <w:vAlign w:val="center"/>
          </w:tcPr>
          <w:p>
            <w:pPr>
              <w:widowControl/>
              <w:spacing w:line="360" w:lineRule="auto"/>
              <w:jc w:val="center"/>
              <w:rPr>
                <w:rFonts w:ascii="仿宋" w:hAnsi="仿宋" w:eastAsia="仿宋" w:cs="仿宋"/>
                <w:b/>
                <w:bCs/>
                <w:color w:val="auto"/>
                <w:sz w:val="24"/>
                <w:highlight w:val="none"/>
              </w:rPr>
            </w:pPr>
          </w:p>
        </w:tc>
        <w:tc>
          <w:tcPr>
            <w:tcW w:w="737" w:type="dxa"/>
            <w:tcBorders>
              <w:top w:val="single" w:color="auto" w:sz="4" w:space="0"/>
              <w:bottom w:val="single" w:color="auto" w:sz="4" w:space="0"/>
              <w:tl2br w:val="nil"/>
              <w:tr2bl w:val="nil"/>
            </w:tcBorders>
            <w:shd w:val="clear" w:color="auto" w:fill="auto"/>
            <w:vAlign w:val="center"/>
          </w:tcPr>
          <w:p>
            <w:pPr>
              <w:widowControl/>
              <w:spacing w:line="36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c>
          <w:tcPr>
            <w:tcW w:w="1102" w:type="dxa"/>
            <w:vMerge w:val="restart"/>
            <w:tcBorders>
              <w:top w:val="single" w:color="auto" w:sz="4" w:space="0"/>
              <w:tl2br w:val="nil"/>
              <w:tr2bl w:val="nil"/>
            </w:tcBorders>
            <w:shd w:val="clear" w:color="auto" w:fill="auto"/>
            <w:vAlign w:val="center"/>
          </w:tcPr>
          <w:p>
            <w:pPr>
              <w:widowControl/>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二次泵水力模块自控系统</w:t>
            </w:r>
            <w:r>
              <w:rPr>
                <w:rFonts w:hint="eastAsia" w:ascii="仿宋" w:hAnsi="仿宋" w:eastAsia="仿宋" w:cs="仿宋"/>
                <w:color w:val="auto"/>
                <w:sz w:val="24"/>
                <w:highlight w:val="none"/>
                <w:lang w:val="en-US" w:eastAsia="zh-CN"/>
              </w:rPr>
              <w:t>配置方案</w:t>
            </w:r>
          </w:p>
        </w:tc>
        <w:tc>
          <w:tcPr>
            <w:tcW w:w="4798"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变频数据控制模块配置方案，根据采购文件第三部分采购需求四、空调机组更新维修要求4.3第</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条</w:t>
            </w:r>
            <w:r>
              <w:rPr>
                <w:rFonts w:hint="eastAsia" w:ascii="仿宋" w:hAnsi="仿宋" w:eastAsia="仿宋" w:cs="仿宋"/>
                <w:i w:val="0"/>
                <w:iCs w:val="0"/>
                <w:color w:val="auto"/>
                <w:kern w:val="0"/>
                <w:sz w:val="24"/>
                <w:szCs w:val="24"/>
                <w:highlight w:val="none"/>
                <w:u w:val="none"/>
                <w:lang w:val="en-US" w:eastAsia="zh-CN" w:bidi="ar"/>
              </w:rPr>
              <w:t>的改造要求，提供变频数据控制模块配置及实现功能详细方案描述。分值</w:t>
            </w:r>
            <w:r>
              <w:rPr>
                <w:rFonts w:hint="eastAsia" w:ascii="仿宋" w:hAnsi="仿宋" w:eastAsia="仿宋" w:cs="仿宋"/>
                <w:color w:val="auto"/>
                <w:sz w:val="24"/>
                <w:szCs w:val="24"/>
                <w:highlight w:val="none"/>
              </w:rPr>
              <w:t>（3.0、2.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5、1.0、</w:t>
            </w:r>
            <w:r>
              <w:rPr>
                <w:rFonts w:hint="eastAsia" w:ascii="仿宋" w:hAnsi="仿宋" w:eastAsia="仿宋" w:cs="仿宋"/>
                <w:color w:val="auto"/>
                <w:sz w:val="24"/>
                <w:szCs w:val="24"/>
                <w:highlight w:val="none"/>
              </w:rPr>
              <w:t>0）</w:t>
            </w:r>
            <w:r>
              <w:rPr>
                <w:rFonts w:hint="eastAsia" w:ascii="仿宋" w:hAnsi="仿宋" w:eastAsia="仿宋" w:cs="仿宋"/>
                <w:i w:val="0"/>
                <w:iCs w:val="0"/>
                <w:color w:val="auto"/>
                <w:kern w:val="0"/>
                <w:sz w:val="24"/>
                <w:szCs w:val="24"/>
                <w:highlight w:val="none"/>
                <w:u w:val="none"/>
                <w:lang w:val="en-US" w:eastAsia="zh-CN" w:bidi="ar"/>
              </w:rPr>
              <w:t>。</w:t>
            </w:r>
          </w:p>
        </w:tc>
        <w:tc>
          <w:tcPr>
            <w:tcW w:w="7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0-3</w:t>
            </w:r>
          </w:p>
        </w:tc>
        <w:tc>
          <w:tcPr>
            <w:tcW w:w="737"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57" w:type="dxa"/>
            <w:vMerge w:val="continue"/>
            <w:tcBorders>
              <w:tl2br w:val="nil"/>
              <w:tr2bl w:val="nil"/>
            </w:tcBorders>
            <w:shd w:val="clear" w:color="auto" w:fill="auto"/>
            <w:vAlign w:val="center"/>
          </w:tcPr>
          <w:p>
            <w:pPr>
              <w:widowControl/>
              <w:spacing w:line="360" w:lineRule="auto"/>
              <w:jc w:val="center"/>
              <w:rPr>
                <w:rFonts w:ascii="仿宋" w:hAnsi="仿宋" w:eastAsia="仿宋" w:cs="仿宋"/>
                <w:b/>
                <w:bCs/>
                <w:color w:val="auto"/>
                <w:sz w:val="24"/>
                <w:highlight w:val="none"/>
              </w:rPr>
            </w:pPr>
          </w:p>
        </w:tc>
        <w:tc>
          <w:tcPr>
            <w:tcW w:w="737" w:type="dxa"/>
            <w:tcBorders>
              <w:top w:val="single" w:color="auto" w:sz="4" w:space="0"/>
              <w:bottom w:val="single" w:color="auto" w:sz="4" w:space="0"/>
              <w:tl2br w:val="nil"/>
              <w:tr2bl w:val="nil"/>
            </w:tcBorders>
            <w:shd w:val="clear" w:color="auto" w:fill="auto"/>
            <w:vAlign w:val="center"/>
          </w:tcPr>
          <w:p>
            <w:pPr>
              <w:widowControl/>
              <w:spacing w:line="36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w:t>
            </w:r>
          </w:p>
        </w:tc>
        <w:tc>
          <w:tcPr>
            <w:tcW w:w="1102"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rPr>
            </w:pPr>
          </w:p>
        </w:tc>
        <w:tc>
          <w:tcPr>
            <w:tcW w:w="4798"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现场控制器配置方案，根据采购文件第三部分采购需求四、空调机组更新维修要求4.3第</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条</w:t>
            </w:r>
            <w:r>
              <w:rPr>
                <w:rFonts w:hint="eastAsia" w:ascii="仿宋" w:hAnsi="仿宋" w:eastAsia="仿宋" w:cs="仿宋"/>
                <w:i w:val="0"/>
                <w:iCs w:val="0"/>
                <w:color w:val="auto"/>
                <w:kern w:val="0"/>
                <w:sz w:val="24"/>
                <w:szCs w:val="24"/>
                <w:highlight w:val="none"/>
                <w:u w:val="none"/>
                <w:lang w:val="en-US" w:eastAsia="zh-CN" w:bidi="ar"/>
              </w:rPr>
              <w:t>的改造要求，提供现场控制器配置及实现功能详细方案描述。分值（2.0、1.5、1.0、0）。</w:t>
            </w:r>
          </w:p>
        </w:tc>
        <w:tc>
          <w:tcPr>
            <w:tcW w:w="7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0-2</w:t>
            </w:r>
          </w:p>
        </w:tc>
        <w:tc>
          <w:tcPr>
            <w:tcW w:w="737" w:type="dxa"/>
            <w:tcBorders>
              <w:tl2br w:val="nil"/>
              <w:tr2bl w:val="nil"/>
            </w:tcBorders>
            <w:shd w:val="clear" w:color="auto" w:fill="auto"/>
            <w:vAlign w:val="center"/>
          </w:tcPr>
          <w:p>
            <w:pPr>
              <w:widowControl/>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57" w:type="dxa"/>
            <w:vMerge w:val="continue"/>
            <w:tcBorders>
              <w:tl2br w:val="nil"/>
              <w:tr2bl w:val="nil"/>
            </w:tcBorders>
            <w:shd w:val="clear" w:color="auto" w:fill="auto"/>
            <w:vAlign w:val="center"/>
          </w:tcPr>
          <w:p>
            <w:pPr>
              <w:widowControl/>
              <w:spacing w:line="360" w:lineRule="auto"/>
              <w:jc w:val="center"/>
              <w:rPr>
                <w:rFonts w:ascii="仿宋" w:hAnsi="仿宋" w:eastAsia="仿宋" w:cs="仿宋"/>
                <w:b/>
                <w:bCs/>
                <w:color w:val="auto"/>
                <w:sz w:val="24"/>
                <w:highlight w:val="none"/>
              </w:rPr>
            </w:pPr>
          </w:p>
        </w:tc>
        <w:tc>
          <w:tcPr>
            <w:tcW w:w="737" w:type="dxa"/>
            <w:tcBorders>
              <w:top w:val="single" w:color="auto" w:sz="4" w:space="0"/>
              <w:tl2br w:val="nil"/>
              <w:tr2bl w:val="nil"/>
            </w:tcBorders>
            <w:shd w:val="clear" w:color="auto" w:fill="auto"/>
            <w:vAlign w:val="center"/>
          </w:tcPr>
          <w:p>
            <w:pPr>
              <w:widowControl/>
              <w:spacing w:line="36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w:t>
            </w:r>
          </w:p>
        </w:tc>
        <w:tc>
          <w:tcPr>
            <w:tcW w:w="1102" w:type="dxa"/>
            <w:vMerge w:val="continue"/>
            <w:tcBorders>
              <w:bottom w:val="single" w:color="auto" w:sz="4" w:space="0"/>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rPr>
            </w:pPr>
          </w:p>
        </w:tc>
        <w:tc>
          <w:tcPr>
            <w:tcW w:w="4798"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u w:val="none"/>
                <w:lang w:bidi="ar"/>
              </w:rPr>
              <w:t>图形控制中心（水力模块内置）</w:t>
            </w:r>
            <w:r>
              <w:rPr>
                <w:rFonts w:hint="eastAsia" w:ascii="仿宋" w:hAnsi="仿宋" w:eastAsia="仿宋" w:cs="仿宋"/>
                <w:color w:val="auto"/>
                <w:kern w:val="0"/>
                <w:sz w:val="24"/>
                <w:szCs w:val="24"/>
                <w:highlight w:val="none"/>
                <w:u w:val="none"/>
                <w:lang w:val="en-US" w:eastAsia="zh-CN" w:bidi="ar"/>
              </w:rPr>
              <w:t>方案，</w:t>
            </w:r>
            <w:r>
              <w:rPr>
                <w:rFonts w:hint="eastAsia" w:ascii="仿宋" w:hAnsi="仿宋" w:eastAsia="仿宋" w:cs="仿宋"/>
                <w:i w:val="0"/>
                <w:iCs w:val="0"/>
                <w:color w:val="auto"/>
                <w:kern w:val="0"/>
                <w:sz w:val="24"/>
                <w:szCs w:val="24"/>
                <w:highlight w:val="none"/>
                <w:u w:val="none"/>
                <w:lang w:val="en-US" w:eastAsia="zh-CN" w:bidi="ar"/>
              </w:rPr>
              <w:t>根据采购文件第三部分采购需求四、空调机组更新维修要求4.3第</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条</w:t>
            </w:r>
            <w:r>
              <w:rPr>
                <w:rFonts w:hint="eastAsia" w:ascii="仿宋" w:hAnsi="仿宋" w:eastAsia="仿宋" w:cs="仿宋"/>
                <w:i w:val="0"/>
                <w:iCs w:val="0"/>
                <w:color w:val="auto"/>
                <w:kern w:val="0"/>
                <w:sz w:val="24"/>
                <w:szCs w:val="24"/>
                <w:highlight w:val="none"/>
                <w:u w:val="none"/>
                <w:lang w:val="en-US" w:eastAsia="zh-CN" w:bidi="ar"/>
              </w:rPr>
              <w:t>的改造要求，提供</w:t>
            </w:r>
            <w:r>
              <w:rPr>
                <w:rFonts w:hint="eastAsia" w:ascii="仿宋" w:hAnsi="仿宋" w:eastAsia="仿宋" w:cs="仿宋"/>
                <w:color w:val="auto"/>
                <w:kern w:val="0"/>
                <w:sz w:val="24"/>
                <w:szCs w:val="24"/>
                <w:highlight w:val="none"/>
                <w:u w:val="none"/>
                <w:lang w:val="en-US" w:eastAsia="zh-CN" w:bidi="ar"/>
              </w:rPr>
              <w:t>包括</w:t>
            </w:r>
            <w:r>
              <w:rPr>
                <w:rFonts w:hint="eastAsia" w:ascii="仿宋" w:hAnsi="仿宋" w:eastAsia="仿宋" w:cs="仿宋"/>
                <w:i w:val="0"/>
                <w:iCs w:val="0"/>
                <w:color w:val="auto"/>
                <w:kern w:val="0"/>
                <w:sz w:val="24"/>
                <w:szCs w:val="24"/>
                <w:highlight w:val="none"/>
                <w:u w:val="none"/>
                <w:lang w:val="en-US" w:eastAsia="zh-CN" w:bidi="ar"/>
              </w:rPr>
              <w:t>图形控制中心软件、硬件配置、功能实现等内容的详细描述。分值</w:t>
            </w:r>
            <w:r>
              <w:rPr>
                <w:rFonts w:hint="eastAsia" w:ascii="仿宋" w:hAnsi="仿宋" w:eastAsia="仿宋" w:cs="仿宋"/>
                <w:color w:val="auto"/>
                <w:sz w:val="24"/>
                <w:szCs w:val="24"/>
                <w:highlight w:val="none"/>
              </w:rPr>
              <w:t>（3.0、2.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5、1.0、</w:t>
            </w:r>
            <w:r>
              <w:rPr>
                <w:rFonts w:hint="eastAsia" w:ascii="仿宋" w:hAnsi="仿宋" w:eastAsia="仿宋" w:cs="仿宋"/>
                <w:color w:val="auto"/>
                <w:sz w:val="24"/>
                <w:szCs w:val="24"/>
                <w:highlight w:val="none"/>
              </w:rPr>
              <w:t>0）。</w:t>
            </w:r>
          </w:p>
        </w:tc>
        <w:tc>
          <w:tcPr>
            <w:tcW w:w="7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0-3</w:t>
            </w:r>
          </w:p>
        </w:tc>
        <w:tc>
          <w:tcPr>
            <w:tcW w:w="737" w:type="dxa"/>
            <w:tcBorders>
              <w:tl2br w:val="nil"/>
              <w:tr2bl w:val="nil"/>
            </w:tcBorders>
            <w:shd w:val="clear" w:color="auto" w:fill="auto"/>
            <w:vAlign w:val="center"/>
          </w:tcPr>
          <w:p>
            <w:pPr>
              <w:widowControl/>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75" w:hRule="atLeast"/>
        </w:trPr>
        <w:tc>
          <w:tcPr>
            <w:tcW w:w="1057" w:type="dxa"/>
            <w:vMerge w:val="continue"/>
            <w:tcBorders>
              <w:tl2br w:val="nil"/>
              <w:tr2bl w:val="nil"/>
            </w:tcBorders>
            <w:shd w:val="clear" w:color="auto" w:fill="auto"/>
            <w:vAlign w:val="center"/>
          </w:tcPr>
          <w:p>
            <w:pPr>
              <w:widowControl/>
              <w:spacing w:line="360" w:lineRule="auto"/>
              <w:jc w:val="center"/>
              <w:rPr>
                <w:rFonts w:ascii="仿宋" w:hAnsi="仿宋" w:eastAsia="仿宋" w:cs="仿宋"/>
                <w:b/>
                <w:bCs/>
                <w:color w:val="auto"/>
                <w:sz w:val="24"/>
                <w:highlight w:val="none"/>
              </w:rPr>
            </w:pPr>
          </w:p>
        </w:tc>
        <w:tc>
          <w:tcPr>
            <w:tcW w:w="737" w:type="dxa"/>
            <w:tcBorders>
              <w:tl2br w:val="nil"/>
              <w:tr2bl w:val="nil"/>
            </w:tcBorders>
            <w:shd w:val="clear" w:color="auto" w:fill="auto"/>
            <w:vAlign w:val="center"/>
          </w:tcPr>
          <w:p>
            <w:pPr>
              <w:widowControl/>
              <w:spacing w:line="36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w:t>
            </w:r>
          </w:p>
        </w:tc>
        <w:tc>
          <w:tcPr>
            <w:tcW w:w="1102" w:type="dxa"/>
            <w:vMerge w:val="restart"/>
            <w:tcBorders>
              <w:top w:val="single" w:color="auto" w:sz="4" w:space="0"/>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热泵机组自控系统配置</w:t>
            </w:r>
            <w:r>
              <w:rPr>
                <w:rFonts w:hint="eastAsia" w:ascii="仿宋" w:hAnsi="仿宋" w:eastAsia="仿宋" w:cs="仿宋"/>
                <w:color w:val="auto"/>
                <w:sz w:val="24"/>
                <w:highlight w:val="none"/>
                <w:lang w:val="en-US" w:eastAsia="zh-CN"/>
              </w:rPr>
              <w:t>方案</w:t>
            </w:r>
          </w:p>
        </w:tc>
        <w:tc>
          <w:tcPr>
            <w:tcW w:w="4798" w:type="dxa"/>
            <w:tcBorders>
              <w:tl2br w:val="nil"/>
              <w:tr2bl w:val="nil"/>
            </w:tcBorders>
            <w:shd w:val="clear" w:color="auto" w:fill="auto"/>
            <w:vAlign w:val="center"/>
          </w:tcPr>
          <w:p>
            <w:pPr>
              <w:keepNext w:val="0"/>
              <w:keepLines w:val="0"/>
              <w:widowControl/>
              <w:suppressLineNumbers w:val="0"/>
              <w:jc w:val="both"/>
              <w:textAlignment w:val="center"/>
              <w:rPr>
                <w:rFonts w:ascii="仿宋" w:hAnsi="仿宋" w:eastAsia="仿宋" w:cs="仿宋"/>
                <w:color w:val="auto"/>
                <w:sz w:val="24"/>
                <w:highlight w:val="none"/>
              </w:rPr>
            </w:pPr>
            <w:r>
              <w:rPr>
                <w:rFonts w:hint="eastAsia" w:ascii="仿宋" w:hAnsi="仿宋" w:eastAsia="仿宋" w:cs="仿宋"/>
                <w:b w:val="0"/>
                <w:bCs w:val="0"/>
                <w:color w:val="auto"/>
                <w:kern w:val="0"/>
                <w:sz w:val="24"/>
                <w:szCs w:val="24"/>
                <w:highlight w:val="none"/>
                <w:u w:val="none"/>
                <w:lang w:bidi="ar"/>
              </w:rPr>
              <w:t>热泵机组自控系统</w:t>
            </w:r>
            <w:r>
              <w:rPr>
                <w:rFonts w:hint="eastAsia" w:ascii="仿宋" w:hAnsi="仿宋" w:eastAsia="仿宋" w:cs="仿宋"/>
                <w:b w:val="0"/>
                <w:bCs w:val="0"/>
                <w:color w:val="auto"/>
                <w:kern w:val="0"/>
                <w:sz w:val="24"/>
                <w:szCs w:val="24"/>
                <w:highlight w:val="none"/>
                <w:u w:val="none"/>
                <w:lang w:val="en-US" w:eastAsia="zh-CN" w:bidi="ar"/>
              </w:rPr>
              <w:t>配置方案，根据采购文件第三部分采购需求四、空调机组更新维修要求4.4条配置要求，提供</w:t>
            </w:r>
            <w:r>
              <w:rPr>
                <w:rFonts w:hint="eastAsia" w:ascii="仿宋" w:hAnsi="仿宋" w:eastAsia="仿宋" w:cs="仿宋"/>
                <w:i w:val="0"/>
                <w:iCs w:val="0"/>
                <w:color w:val="auto"/>
                <w:kern w:val="0"/>
                <w:sz w:val="24"/>
                <w:szCs w:val="24"/>
                <w:highlight w:val="none"/>
                <w:u w:val="none"/>
                <w:lang w:val="en-US" w:eastAsia="zh-CN" w:bidi="ar"/>
              </w:rPr>
              <w:t>热泵机组自控系统配置、功能实现等详细方案。分值（2.0、1.5、1.0、0）。</w:t>
            </w:r>
          </w:p>
        </w:tc>
        <w:tc>
          <w:tcPr>
            <w:tcW w:w="713" w:type="dxa"/>
            <w:tcBorders>
              <w:tl2br w:val="nil"/>
              <w:tr2bl w:val="nil"/>
            </w:tcBorders>
            <w:shd w:val="clear" w:color="auto" w:fill="auto"/>
            <w:vAlign w:val="center"/>
          </w:tcPr>
          <w:p>
            <w:pPr>
              <w:keepNext w:val="0"/>
              <w:keepLines w:val="0"/>
              <w:widowControl/>
              <w:suppressLineNumbers w:val="0"/>
              <w:jc w:val="center"/>
              <w:textAlignment w:val="center"/>
              <w:rPr>
                <w:rFonts w:ascii="仿宋" w:hAnsi="仿宋" w:eastAsia="仿宋" w:cs="仿宋"/>
                <w:color w:val="auto"/>
                <w:sz w:val="24"/>
                <w:highlight w:val="none"/>
              </w:rPr>
            </w:pPr>
            <w:r>
              <w:rPr>
                <w:rFonts w:hint="eastAsia" w:ascii="仿宋" w:hAnsi="仿宋" w:eastAsia="仿宋" w:cs="仿宋"/>
                <w:i w:val="0"/>
                <w:iCs w:val="0"/>
                <w:color w:val="auto"/>
                <w:kern w:val="0"/>
                <w:sz w:val="24"/>
                <w:szCs w:val="24"/>
                <w:highlight w:val="none"/>
                <w:u w:val="none"/>
                <w:lang w:val="en-US" w:eastAsia="zh-CN" w:bidi="ar"/>
              </w:rPr>
              <w:t>0-2</w:t>
            </w:r>
          </w:p>
        </w:tc>
        <w:tc>
          <w:tcPr>
            <w:tcW w:w="737" w:type="dxa"/>
            <w:tcBorders>
              <w:tl2br w:val="nil"/>
              <w:tr2bl w:val="nil"/>
            </w:tcBorders>
            <w:shd w:val="clear" w:color="auto" w:fill="auto"/>
            <w:vAlign w:val="center"/>
          </w:tcPr>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6" w:hRule="atLeast"/>
        </w:trPr>
        <w:tc>
          <w:tcPr>
            <w:tcW w:w="1057" w:type="dxa"/>
            <w:vMerge w:val="continue"/>
            <w:tcBorders>
              <w:tl2br w:val="nil"/>
              <w:tr2bl w:val="nil"/>
            </w:tcBorders>
            <w:shd w:val="clear" w:color="auto" w:fill="auto"/>
            <w:vAlign w:val="center"/>
          </w:tcPr>
          <w:p>
            <w:pPr>
              <w:widowControl/>
              <w:spacing w:line="360" w:lineRule="auto"/>
              <w:jc w:val="center"/>
              <w:rPr>
                <w:rFonts w:ascii="仿宋" w:hAnsi="仿宋" w:eastAsia="仿宋" w:cs="仿宋"/>
                <w:color w:val="auto"/>
                <w:sz w:val="24"/>
                <w:highlight w:val="none"/>
              </w:rPr>
            </w:pPr>
          </w:p>
        </w:tc>
        <w:tc>
          <w:tcPr>
            <w:tcW w:w="737" w:type="dxa"/>
            <w:tcBorders>
              <w:tl2br w:val="nil"/>
              <w:tr2bl w:val="nil"/>
            </w:tcBorders>
            <w:shd w:val="clear" w:color="auto" w:fill="auto"/>
            <w:vAlign w:val="center"/>
          </w:tcPr>
          <w:p>
            <w:pPr>
              <w:widowControl/>
              <w:spacing w:line="36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w:t>
            </w:r>
          </w:p>
        </w:tc>
        <w:tc>
          <w:tcPr>
            <w:tcW w:w="1102" w:type="dxa"/>
            <w:vMerge w:val="restart"/>
            <w:tcBorders>
              <w:tl2br w:val="nil"/>
              <w:tr2bl w:val="nil"/>
            </w:tcBorders>
            <w:shd w:val="clear" w:color="auto" w:fill="auto"/>
            <w:vAlign w:val="center"/>
          </w:tcPr>
          <w:p>
            <w:pPr>
              <w:widowControl/>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自控系统</w:t>
            </w:r>
            <w:r>
              <w:rPr>
                <w:rFonts w:hint="eastAsia" w:ascii="仿宋" w:hAnsi="仿宋" w:eastAsia="仿宋" w:cs="仿宋"/>
                <w:color w:val="auto"/>
                <w:sz w:val="24"/>
                <w:highlight w:val="none"/>
                <w:lang w:val="en-US" w:eastAsia="zh-CN"/>
              </w:rPr>
              <w:t>配置方案</w:t>
            </w:r>
          </w:p>
        </w:tc>
        <w:tc>
          <w:tcPr>
            <w:tcW w:w="4798"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color w:val="auto"/>
                <w:kern w:val="0"/>
                <w:sz w:val="24"/>
                <w:szCs w:val="24"/>
                <w:highlight w:val="none"/>
                <w:u w:val="none"/>
                <w:lang w:val="en-US" w:eastAsia="zh-CN" w:bidi="ar"/>
              </w:rPr>
              <w:t>根据采购文件第三部分采购需求四、空调机组更新维修要求4.5条</w:t>
            </w:r>
            <w:r>
              <w:rPr>
                <w:rFonts w:hint="eastAsia" w:ascii="仿宋" w:hAnsi="仿宋" w:eastAsia="仿宋" w:cs="仿宋"/>
                <w:b w:val="0"/>
                <w:bCs w:val="0"/>
                <w:color w:val="auto"/>
                <w:kern w:val="0"/>
                <w:sz w:val="24"/>
                <w:szCs w:val="24"/>
                <w:highlight w:val="none"/>
                <w:u w:val="none"/>
                <w:lang w:bidi="ar"/>
              </w:rPr>
              <w:t>自控系统功能要求</w:t>
            </w:r>
            <w:r>
              <w:rPr>
                <w:rFonts w:hint="eastAsia" w:ascii="仿宋" w:hAnsi="仿宋" w:eastAsia="仿宋" w:cs="仿宋"/>
                <w:b w:val="0"/>
                <w:bCs w:val="0"/>
                <w:color w:val="auto"/>
                <w:kern w:val="0"/>
                <w:sz w:val="24"/>
                <w:szCs w:val="24"/>
                <w:highlight w:val="none"/>
                <w:u w:val="none"/>
                <w:lang w:val="en-US" w:eastAsia="zh-CN" w:bidi="ar"/>
              </w:rPr>
              <w:t>1）硬件配置方案</w:t>
            </w:r>
            <w:r>
              <w:rPr>
                <w:rFonts w:hint="eastAsia" w:ascii="仿宋" w:hAnsi="仿宋" w:eastAsia="仿宋" w:cs="仿宋"/>
                <w:b w:val="0"/>
                <w:bCs w:val="0"/>
                <w:color w:val="auto"/>
                <w:kern w:val="0"/>
                <w:sz w:val="24"/>
                <w:szCs w:val="24"/>
                <w:highlight w:val="none"/>
                <w:u w:val="none"/>
                <w:lang w:eastAsia="zh-CN" w:bidi="ar"/>
              </w:rPr>
              <w:t>，提供</w:t>
            </w:r>
            <w:r>
              <w:rPr>
                <w:rFonts w:hint="eastAsia" w:ascii="仿宋" w:hAnsi="仿宋" w:eastAsia="仿宋" w:cs="仿宋"/>
                <w:i w:val="0"/>
                <w:iCs w:val="0"/>
                <w:color w:val="auto"/>
                <w:kern w:val="0"/>
                <w:sz w:val="24"/>
                <w:szCs w:val="24"/>
                <w:highlight w:val="none"/>
                <w:u w:val="none"/>
                <w:lang w:val="en-US" w:eastAsia="zh-CN" w:bidi="ar"/>
              </w:rPr>
              <w:t>就地控制柜，智能化操作控制面板，电源空气开关等硬件详细方案。分值（2.0、1.5、1.0、0）。</w:t>
            </w:r>
          </w:p>
          <w:p>
            <w:pPr>
              <w:keepNext w:val="0"/>
              <w:keepLines w:val="0"/>
              <w:widowControl/>
              <w:suppressLineNumbers w:val="0"/>
              <w:jc w:val="both"/>
              <w:textAlignment w:val="center"/>
              <w:rPr>
                <w:rFonts w:ascii="仿宋" w:hAnsi="仿宋" w:eastAsia="仿宋" w:cs="仿宋"/>
                <w:color w:val="auto"/>
                <w:sz w:val="24"/>
                <w:highlight w:val="none"/>
              </w:rPr>
            </w:pPr>
            <w:r>
              <w:rPr>
                <w:rFonts w:hint="eastAsia" w:ascii="仿宋" w:hAnsi="仿宋" w:eastAsia="仿宋" w:cs="仿宋"/>
                <w:i w:val="0"/>
                <w:iCs w:val="0"/>
                <w:color w:val="auto"/>
                <w:kern w:val="0"/>
                <w:sz w:val="24"/>
                <w:szCs w:val="24"/>
                <w:highlight w:val="none"/>
                <w:u w:val="none"/>
                <w:lang w:val="en-US" w:eastAsia="zh-CN" w:bidi="ar"/>
              </w:rPr>
              <w:t>评审依据/证明材料：就地控制柜的详细描述</w:t>
            </w:r>
          </w:p>
        </w:tc>
        <w:tc>
          <w:tcPr>
            <w:tcW w:w="713" w:type="dxa"/>
            <w:tcBorders>
              <w:tl2br w:val="nil"/>
              <w:tr2bl w:val="nil"/>
            </w:tcBorders>
            <w:shd w:val="clear" w:color="auto" w:fill="auto"/>
            <w:vAlign w:val="center"/>
          </w:tcPr>
          <w:p>
            <w:pPr>
              <w:keepNext w:val="0"/>
              <w:keepLines w:val="0"/>
              <w:widowControl/>
              <w:suppressLineNumbers w:val="0"/>
              <w:jc w:val="center"/>
              <w:textAlignment w:val="center"/>
              <w:rPr>
                <w:rFonts w:ascii="仿宋" w:hAnsi="仿宋" w:eastAsia="仿宋" w:cs="仿宋"/>
                <w:color w:val="auto"/>
                <w:sz w:val="24"/>
                <w:highlight w:val="none"/>
              </w:rPr>
            </w:pPr>
            <w:r>
              <w:rPr>
                <w:rFonts w:hint="eastAsia" w:ascii="仿宋" w:hAnsi="仿宋" w:eastAsia="仿宋" w:cs="仿宋"/>
                <w:i w:val="0"/>
                <w:iCs w:val="0"/>
                <w:color w:val="auto"/>
                <w:kern w:val="0"/>
                <w:sz w:val="24"/>
                <w:szCs w:val="24"/>
                <w:highlight w:val="none"/>
                <w:u w:val="none"/>
                <w:lang w:val="en-US" w:eastAsia="zh-CN" w:bidi="ar"/>
              </w:rPr>
              <w:t>0-2</w:t>
            </w:r>
          </w:p>
        </w:tc>
        <w:tc>
          <w:tcPr>
            <w:tcW w:w="737" w:type="dxa"/>
            <w:tcBorders>
              <w:tl2br w:val="nil"/>
              <w:tr2bl w:val="nil"/>
            </w:tcBorders>
            <w:shd w:val="clear" w:color="auto" w:fill="auto"/>
            <w:vAlign w:val="center"/>
          </w:tcPr>
          <w:p>
            <w:pPr>
              <w:widowControl/>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97" w:hRule="atLeast"/>
        </w:trPr>
        <w:tc>
          <w:tcPr>
            <w:tcW w:w="1057" w:type="dxa"/>
            <w:vMerge w:val="continue"/>
            <w:tcBorders>
              <w:tl2br w:val="nil"/>
              <w:tr2bl w:val="nil"/>
            </w:tcBorders>
            <w:shd w:val="clear" w:color="auto" w:fill="auto"/>
            <w:vAlign w:val="center"/>
          </w:tcPr>
          <w:p>
            <w:pPr>
              <w:widowControl/>
              <w:spacing w:line="360" w:lineRule="auto"/>
              <w:jc w:val="center"/>
              <w:rPr>
                <w:rFonts w:ascii="仿宋" w:hAnsi="仿宋" w:eastAsia="仿宋" w:cs="仿宋"/>
                <w:color w:val="auto"/>
                <w:sz w:val="24"/>
                <w:highlight w:val="none"/>
              </w:rPr>
            </w:pPr>
          </w:p>
        </w:tc>
        <w:tc>
          <w:tcPr>
            <w:tcW w:w="737" w:type="dxa"/>
            <w:tcBorders>
              <w:bottom w:val="single" w:color="auto" w:sz="4" w:space="0"/>
              <w:tl2br w:val="nil"/>
              <w:tr2bl w:val="nil"/>
            </w:tcBorders>
            <w:shd w:val="clear" w:color="auto" w:fill="auto"/>
            <w:vAlign w:val="center"/>
          </w:tcPr>
          <w:p>
            <w:pPr>
              <w:widowControl/>
              <w:spacing w:line="36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w:t>
            </w:r>
          </w:p>
        </w:tc>
        <w:tc>
          <w:tcPr>
            <w:tcW w:w="1102"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rPr>
            </w:pPr>
          </w:p>
        </w:tc>
        <w:tc>
          <w:tcPr>
            <w:tcW w:w="4798" w:type="dxa"/>
            <w:tcBorders>
              <w:bottom w:val="single" w:color="auto" w:sz="4" w:space="0"/>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color w:val="auto"/>
                <w:kern w:val="0"/>
                <w:sz w:val="24"/>
                <w:szCs w:val="24"/>
                <w:highlight w:val="none"/>
                <w:u w:val="none"/>
                <w:lang w:val="en-US" w:eastAsia="zh-CN" w:bidi="ar"/>
              </w:rPr>
              <w:t>根据采购文件第三部分采购需求四、空调机组更新维修要求4.5条</w:t>
            </w:r>
            <w:r>
              <w:rPr>
                <w:rFonts w:hint="eastAsia" w:ascii="仿宋" w:hAnsi="仿宋" w:eastAsia="仿宋" w:cs="仿宋"/>
                <w:b w:val="0"/>
                <w:bCs w:val="0"/>
                <w:color w:val="auto"/>
                <w:kern w:val="0"/>
                <w:sz w:val="24"/>
                <w:szCs w:val="24"/>
                <w:highlight w:val="none"/>
                <w:u w:val="none"/>
                <w:lang w:bidi="ar"/>
              </w:rPr>
              <w:t>自控系统功能要求</w:t>
            </w:r>
            <w:r>
              <w:rPr>
                <w:rFonts w:hint="eastAsia" w:ascii="仿宋" w:hAnsi="仿宋" w:eastAsia="仿宋" w:cs="仿宋"/>
                <w:b w:val="0"/>
                <w:bCs w:val="0"/>
                <w:color w:val="auto"/>
                <w:kern w:val="0"/>
                <w:sz w:val="24"/>
                <w:szCs w:val="24"/>
                <w:highlight w:val="none"/>
                <w:u w:val="none"/>
                <w:lang w:val="en-US" w:eastAsia="zh-CN" w:bidi="ar"/>
              </w:rPr>
              <w:t>2）软件配置方案</w:t>
            </w:r>
            <w:r>
              <w:rPr>
                <w:rFonts w:hint="eastAsia" w:ascii="仿宋" w:hAnsi="仿宋" w:eastAsia="仿宋" w:cs="仿宋"/>
                <w:b w:val="0"/>
                <w:bCs w:val="0"/>
                <w:color w:val="auto"/>
                <w:kern w:val="0"/>
                <w:sz w:val="24"/>
                <w:szCs w:val="24"/>
                <w:highlight w:val="none"/>
                <w:u w:val="none"/>
                <w:lang w:eastAsia="zh-CN" w:bidi="ar"/>
              </w:rPr>
              <w:t>，提供</w:t>
            </w:r>
            <w:r>
              <w:rPr>
                <w:rFonts w:hint="eastAsia" w:ascii="仿宋" w:hAnsi="仿宋" w:eastAsia="仿宋" w:cs="仿宋"/>
                <w:i w:val="0"/>
                <w:iCs w:val="0"/>
                <w:color w:val="auto"/>
                <w:kern w:val="0"/>
                <w:sz w:val="24"/>
                <w:szCs w:val="24"/>
                <w:highlight w:val="none"/>
                <w:u w:val="none"/>
                <w:lang w:val="en-US" w:eastAsia="zh-CN" w:bidi="ar"/>
              </w:rPr>
              <w:t>软件配置方案详细描述。分值</w:t>
            </w:r>
            <w:r>
              <w:rPr>
                <w:rFonts w:hint="eastAsia" w:ascii="仿宋" w:hAnsi="仿宋" w:eastAsia="仿宋" w:cs="仿宋"/>
                <w:color w:val="auto"/>
                <w:sz w:val="24"/>
                <w:szCs w:val="24"/>
                <w:highlight w:val="none"/>
              </w:rPr>
              <w:t>（3.0、2.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5、1.0、</w:t>
            </w:r>
            <w:r>
              <w:rPr>
                <w:rFonts w:hint="eastAsia" w:ascii="仿宋" w:hAnsi="仿宋" w:eastAsia="仿宋" w:cs="仿宋"/>
                <w:color w:val="auto"/>
                <w:sz w:val="24"/>
                <w:szCs w:val="24"/>
                <w:highlight w:val="none"/>
              </w:rPr>
              <w:t>0）</w:t>
            </w:r>
            <w:r>
              <w:rPr>
                <w:rFonts w:hint="eastAsia" w:ascii="仿宋" w:hAnsi="仿宋" w:eastAsia="仿宋" w:cs="仿宋"/>
                <w:i w:val="0"/>
                <w:iCs w:val="0"/>
                <w:color w:val="auto"/>
                <w:kern w:val="0"/>
                <w:sz w:val="24"/>
                <w:szCs w:val="24"/>
                <w:highlight w:val="none"/>
                <w:u w:val="none"/>
                <w:lang w:val="en-US" w:eastAsia="zh-CN" w:bidi="ar"/>
              </w:rPr>
              <w:t>。</w:t>
            </w:r>
          </w:p>
          <w:p>
            <w:pPr>
              <w:keepNext w:val="0"/>
              <w:keepLines w:val="0"/>
              <w:widowControl/>
              <w:suppressLineNumbers w:val="0"/>
              <w:jc w:val="both"/>
              <w:textAlignment w:val="center"/>
              <w:rPr>
                <w:rFonts w:ascii="仿宋" w:hAnsi="仿宋" w:eastAsia="仿宋" w:cs="仿宋"/>
                <w:color w:val="auto"/>
                <w:sz w:val="24"/>
                <w:highlight w:val="none"/>
              </w:rPr>
            </w:pPr>
            <w:r>
              <w:rPr>
                <w:rFonts w:hint="eastAsia" w:ascii="仿宋" w:hAnsi="仿宋" w:eastAsia="仿宋" w:cs="仿宋"/>
                <w:i w:val="0"/>
                <w:iCs w:val="0"/>
                <w:color w:val="auto"/>
                <w:kern w:val="0"/>
                <w:sz w:val="24"/>
                <w:szCs w:val="24"/>
                <w:highlight w:val="none"/>
                <w:u w:val="none"/>
                <w:lang w:val="en-US" w:eastAsia="zh-CN" w:bidi="ar"/>
              </w:rPr>
              <w:t>评审依据/证明材料：软件配置方案的详细描述</w:t>
            </w:r>
          </w:p>
        </w:tc>
        <w:tc>
          <w:tcPr>
            <w:tcW w:w="713" w:type="dxa"/>
            <w:tcBorders>
              <w:tl2br w:val="nil"/>
              <w:tr2bl w:val="nil"/>
            </w:tcBorders>
            <w:shd w:val="clear" w:color="auto" w:fill="auto"/>
            <w:vAlign w:val="center"/>
          </w:tcPr>
          <w:p>
            <w:pPr>
              <w:keepNext w:val="0"/>
              <w:keepLines w:val="0"/>
              <w:widowControl/>
              <w:suppressLineNumbers w:val="0"/>
              <w:jc w:val="center"/>
              <w:textAlignment w:val="center"/>
              <w:rPr>
                <w:rFonts w:ascii="仿宋" w:hAnsi="仿宋" w:eastAsia="仿宋" w:cs="仿宋"/>
                <w:color w:val="auto"/>
                <w:sz w:val="24"/>
                <w:highlight w:val="none"/>
              </w:rPr>
            </w:pPr>
            <w:r>
              <w:rPr>
                <w:rFonts w:hint="eastAsia" w:ascii="仿宋" w:hAnsi="仿宋" w:eastAsia="仿宋" w:cs="仿宋"/>
                <w:i w:val="0"/>
                <w:iCs w:val="0"/>
                <w:color w:val="auto"/>
                <w:kern w:val="0"/>
                <w:sz w:val="24"/>
                <w:szCs w:val="24"/>
                <w:highlight w:val="none"/>
                <w:u w:val="none"/>
                <w:lang w:val="en-US" w:eastAsia="zh-CN" w:bidi="ar"/>
              </w:rPr>
              <w:t>0-3</w:t>
            </w:r>
          </w:p>
        </w:tc>
        <w:tc>
          <w:tcPr>
            <w:tcW w:w="737" w:type="dxa"/>
            <w:tcBorders>
              <w:tl2br w:val="nil"/>
              <w:tr2bl w:val="nil"/>
            </w:tcBorders>
            <w:shd w:val="clear" w:color="auto" w:fill="auto"/>
            <w:vAlign w:val="center"/>
          </w:tcPr>
          <w:p>
            <w:pPr>
              <w:widowControl/>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 w:hRule="atLeast"/>
        </w:trPr>
        <w:tc>
          <w:tcPr>
            <w:tcW w:w="1057" w:type="dxa"/>
            <w:vMerge w:val="continue"/>
            <w:tcBorders>
              <w:tl2br w:val="nil"/>
              <w:tr2bl w:val="nil"/>
            </w:tcBorders>
            <w:shd w:val="clear" w:color="auto" w:fill="auto"/>
            <w:vAlign w:val="center"/>
          </w:tcPr>
          <w:p>
            <w:pPr>
              <w:widowControl/>
              <w:spacing w:line="360" w:lineRule="auto"/>
              <w:jc w:val="center"/>
              <w:rPr>
                <w:rFonts w:ascii="仿宋" w:hAnsi="仿宋" w:eastAsia="仿宋" w:cs="仿宋"/>
                <w:color w:val="auto"/>
                <w:sz w:val="24"/>
                <w:highlight w:val="none"/>
              </w:rPr>
            </w:pPr>
          </w:p>
        </w:tc>
        <w:tc>
          <w:tcPr>
            <w:tcW w:w="737" w:type="dxa"/>
            <w:tcBorders>
              <w:top w:val="single" w:color="auto" w:sz="4" w:space="0"/>
              <w:tl2br w:val="nil"/>
              <w:tr2bl w:val="nil"/>
            </w:tcBorders>
            <w:shd w:val="clear" w:color="auto" w:fill="auto"/>
            <w:vAlign w:val="center"/>
          </w:tcPr>
          <w:p>
            <w:pPr>
              <w:widowControl/>
              <w:spacing w:line="360" w:lineRule="auto"/>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w:t>
            </w:r>
          </w:p>
        </w:tc>
        <w:tc>
          <w:tcPr>
            <w:tcW w:w="1102"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rPr>
            </w:pPr>
          </w:p>
        </w:tc>
        <w:tc>
          <w:tcPr>
            <w:tcW w:w="4798" w:type="dxa"/>
            <w:tcBorders>
              <w:top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color w:val="auto"/>
                <w:sz w:val="24"/>
                <w:highlight w:val="none"/>
                <w:lang w:eastAsia="zh-CN"/>
              </w:rPr>
            </w:pPr>
            <w:r>
              <w:rPr>
                <w:rFonts w:hint="eastAsia" w:ascii="仿宋" w:hAnsi="仿宋" w:eastAsia="仿宋" w:cs="仿宋"/>
                <w:b w:val="0"/>
                <w:bCs w:val="0"/>
                <w:color w:val="auto"/>
                <w:kern w:val="0"/>
                <w:sz w:val="24"/>
                <w:szCs w:val="24"/>
                <w:highlight w:val="none"/>
                <w:u w:val="none"/>
                <w:lang w:val="en-US" w:eastAsia="zh-CN" w:bidi="ar"/>
              </w:rPr>
              <w:t>根据采购文件第三部分采购需求四、空调机组更新维修要求4.5条</w:t>
            </w:r>
            <w:r>
              <w:rPr>
                <w:rFonts w:hint="eastAsia" w:ascii="仿宋" w:hAnsi="仿宋" w:eastAsia="仿宋" w:cs="仿宋"/>
                <w:b w:val="0"/>
                <w:bCs w:val="0"/>
                <w:color w:val="auto"/>
                <w:kern w:val="0"/>
                <w:sz w:val="24"/>
                <w:szCs w:val="24"/>
                <w:highlight w:val="none"/>
                <w:u w:val="none"/>
                <w:lang w:bidi="ar"/>
              </w:rPr>
              <w:t>自控系统功能要求</w:t>
            </w:r>
            <w:r>
              <w:rPr>
                <w:rFonts w:hint="eastAsia" w:ascii="仿宋" w:hAnsi="仿宋" w:eastAsia="仿宋" w:cs="仿宋"/>
                <w:b w:val="0"/>
                <w:bCs w:val="0"/>
                <w:color w:val="auto"/>
                <w:kern w:val="0"/>
                <w:sz w:val="24"/>
                <w:szCs w:val="24"/>
                <w:highlight w:val="none"/>
                <w:u w:val="none"/>
                <w:lang w:val="en-US" w:eastAsia="zh-CN" w:bidi="ar"/>
              </w:rPr>
              <w:t>3）</w:t>
            </w:r>
            <w:r>
              <w:rPr>
                <w:rFonts w:hint="eastAsia" w:ascii="仿宋" w:hAnsi="仿宋" w:eastAsia="仿宋" w:cs="仿宋"/>
                <w:i w:val="0"/>
                <w:iCs w:val="0"/>
                <w:color w:val="auto"/>
                <w:kern w:val="0"/>
                <w:sz w:val="24"/>
                <w:szCs w:val="24"/>
                <w:highlight w:val="none"/>
                <w:u w:val="none"/>
                <w:lang w:val="en-US" w:eastAsia="zh-CN" w:bidi="ar"/>
              </w:rPr>
              <w:t>开放远程 OPC 接口给远程客户端，通过局域网读取 OPC 服务器中各 DDC 的数据。满足此项得3分，不满足的不得分。</w:t>
            </w:r>
          </w:p>
        </w:tc>
        <w:tc>
          <w:tcPr>
            <w:tcW w:w="713" w:type="dxa"/>
            <w:tcBorders>
              <w:tl2br w:val="nil"/>
              <w:tr2bl w:val="nil"/>
            </w:tcBorders>
            <w:shd w:val="clear" w:color="auto" w:fill="auto"/>
            <w:vAlign w:val="center"/>
          </w:tcPr>
          <w:p>
            <w:pPr>
              <w:keepNext w:val="0"/>
              <w:keepLines w:val="0"/>
              <w:widowControl/>
              <w:suppressLineNumbers w:val="0"/>
              <w:jc w:val="center"/>
              <w:textAlignment w:val="center"/>
              <w:rPr>
                <w:rFonts w:ascii="仿宋" w:hAnsi="仿宋" w:eastAsia="仿宋" w:cs="仿宋"/>
                <w:color w:val="auto"/>
                <w:sz w:val="24"/>
                <w:highlight w:val="none"/>
              </w:rPr>
            </w:pPr>
            <w:r>
              <w:rPr>
                <w:rFonts w:hint="eastAsia" w:ascii="仿宋" w:hAnsi="仿宋" w:eastAsia="仿宋" w:cs="仿宋"/>
                <w:i w:val="0"/>
                <w:iCs w:val="0"/>
                <w:color w:val="auto"/>
                <w:kern w:val="0"/>
                <w:sz w:val="24"/>
                <w:szCs w:val="24"/>
                <w:highlight w:val="none"/>
                <w:u w:val="none"/>
                <w:lang w:val="en-US" w:eastAsia="zh-CN" w:bidi="ar"/>
              </w:rPr>
              <w:t>0-3</w:t>
            </w:r>
          </w:p>
        </w:tc>
        <w:tc>
          <w:tcPr>
            <w:tcW w:w="737"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2" w:hRule="atLeast"/>
        </w:trPr>
        <w:tc>
          <w:tcPr>
            <w:tcW w:w="1057" w:type="dxa"/>
            <w:vMerge w:val="continue"/>
            <w:tcBorders>
              <w:tl2br w:val="nil"/>
              <w:tr2bl w:val="nil"/>
            </w:tcBorders>
            <w:shd w:val="clear" w:color="auto" w:fill="auto"/>
            <w:vAlign w:val="center"/>
          </w:tcPr>
          <w:p>
            <w:pPr>
              <w:widowControl/>
              <w:spacing w:line="360" w:lineRule="auto"/>
              <w:jc w:val="center"/>
              <w:rPr>
                <w:rFonts w:ascii="仿宋" w:hAnsi="仿宋" w:eastAsia="仿宋" w:cs="仿宋"/>
                <w:color w:val="auto"/>
                <w:sz w:val="24"/>
                <w:highlight w:val="none"/>
              </w:rPr>
            </w:pPr>
          </w:p>
        </w:tc>
        <w:tc>
          <w:tcPr>
            <w:tcW w:w="737" w:type="dxa"/>
            <w:tcBorders>
              <w:tl2br w:val="nil"/>
              <w:tr2bl w:val="nil"/>
            </w:tcBorders>
            <w:shd w:val="clear" w:color="auto" w:fill="auto"/>
            <w:vAlign w:val="center"/>
          </w:tcPr>
          <w:p>
            <w:pPr>
              <w:widowControl/>
              <w:spacing w:line="36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w:t>
            </w:r>
          </w:p>
        </w:tc>
        <w:tc>
          <w:tcPr>
            <w:tcW w:w="1102"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rPr>
            </w:pPr>
          </w:p>
        </w:tc>
        <w:tc>
          <w:tcPr>
            <w:tcW w:w="4798"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color w:val="auto"/>
                <w:sz w:val="24"/>
                <w:highlight w:val="none"/>
                <w:lang w:eastAsia="zh-CN"/>
              </w:rPr>
            </w:pPr>
            <w:r>
              <w:rPr>
                <w:rFonts w:hint="eastAsia" w:ascii="仿宋" w:hAnsi="仿宋" w:eastAsia="仿宋" w:cs="仿宋"/>
                <w:b w:val="0"/>
                <w:bCs w:val="0"/>
                <w:color w:val="auto"/>
                <w:kern w:val="0"/>
                <w:sz w:val="24"/>
                <w:szCs w:val="24"/>
                <w:highlight w:val="none"/>
                <w:u w:val="none"/>
                <w:lang w:bidi="ar"/>
              </w:rPr>
              <w:t>根据采购文件第三部分采购需求四、空调机组更新维修要求4.5条自控系统功能要求</w:t>
            </w:r>
            <w:r>
              <w:rPr>
                <w:rFonts w:hint="eastAsia" w:ascii="仿宋" w:hAnsi="仿宋" w:eastAsia="仿宋" w:cs="仿宋"/>
                <w:b w:val="0"/>
                <w:bCs w:val="0"/>
                <w:color w:val="auto"/>
                <w:kern w:val="0"/>
                <w:sz w:val="24"/>
                <w:szCs w:val="24"/>
                <w:highlight w:val="none"/>
                <w:u w:val="none"/>
                <w:lang w:val="en-US" w:eastAsia="zh-CN" w:bidi="ar"/>
              </w:rPr>
              <w:t>5）控制功能，提供</w:t>
            </w:r>
            <w:r>
              <w:rPr>
                <w:rFonts w:hint="eastAsia" w:ascii="仿宋" w:hAnsi="仿宋" w:eastAsia="仿宋" w:cs="仿宋"/>
                <w:i w:val="0"/>
                <w:iCs w:val="0"/>
                <w:color w:val="auto"/>
                <w:kern w:val="0"/>
                <w:sz w:val="24"/>
                <w:szCs w:val="24"/>
                <w:highlight w:val="none"/>
                <w:u w:val="none"/>
                <w:lang w:val="en-US" w:eastAsia="zh-CN" w:bidi="ar"/>
              </w:rPr>
              <w:t>电脑远程操控系统方案的详细描述（2.0、1.5、1.0、0）。</w:t>
            </w:r>
          </w:p>
        </w:tc>
        <w:tc>
          <w:tcPr>
            <w:tcW w:w="713" w:type="dxa"/>
            <w:tcBorders>
              <w:tl2br w:val="nil"/>
              <w:tr2bl w:val="nil"/>
            </w:tcBorders>
            <w:shd w:val="clear" w:color="auto" w:fill="auto"/>
            <w:vAlign w:val="center"/>
          </w:tcPr>
          <w:p>
            <w:pPr>
              <w:keepNext w:val="0"/>
              <w:keepLines w:val="0"/>
              <w:widowControl/>
              <w:suppressLineNumbers w:val="0"/>
              <w:jc w:val="center"/>
              <w:textAlignment w:val="center"/>
              <w:rPr>
                <w:rFonts w:ascii="仿宋" w:hAnsi="仿宋" w:eastAsia="仿宋" w:cs="仿宋"/>
                <w:color w:val="auto"/>
                <w:sz w:val="24"/>
                <w:highlight w:val="none"/>
              </w:rPr>
            </w:pPr>
            <w:r>
              <w:rPr>
                <w:rFonts w:hint="eastAsia" w:ascii="仿宋" w:hAnsi="仿宋" w:eastAsia="仿宋" w:cs="仿宋"/>
                <w:i w:val="0"/>
                <w:iCs w:val="0"/>
                <w:color w:val="auto"/>
                <w:kern w:val="0"/>
                <w:sz w:val="24"/>
                <w:szCs w:val="24"/>
                <w:highlight w:val="none"/>
                <w:u w:val="none"/>
                <w:lang w:val="en-US" w:eastAsia="zh-CN" w:bidi="ar"/>
              </w:rPr>
              <w:t>0-2</w:t>
            </w:r>
          </w:p>
        </w:tc>
        <w:tc>
          <w:tcPr>
            <w:tcW w:w="737" w:type="dxa"/>
            <w:tcBorders>
              <w:tl2br w:val="nil"/>
              <w:tr2bl w:val="nil"/>
            </w:tcBorders>
            <w:shd w:val="clear" w:color="auto" w:fill="auto"/>
            <w:vAlign w:val="center"/>
          </w:tcPr>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0" w:hRule="atLeast"/>
        </w:trPr>
        <w:tc>
          <w:tcPr>
            <w:tcW w:w="1057" w:type="dxa"/>
            <w:vMerge w:val="continue"/>
            <w:tcBorders>
              <w:tl2br w:val="nil"/>
              <w:tr2bl w:val="nil"/>
            </w:tcBorders>
            <w:shd w:val="clear" w:color="auto" w:fill="auto"/>
            <w:vAlign w:val="center"/>
          </w:tcPr>
          <w:p>
            <w:pPr>
              <w:widowControl/>
              <w:spacing w:line="360" w:lineRule="auto"/>
              <w:jc w:val="center"/>
              <w:rPr>
                <w:rFonts w:ascii="仿宋" w:hAnsi="仿宋" w:eastAsia="仿宋" w:cs="仿宋"/>
                <w:color w:val="auto"/>
                <w:sz w:val="24"/>
                <w:highlight w:val="none"/>
              </w:rPr>
            </w:pPr>
          </w:p>
        </w:tc>
        <w:tc>
          <w:tcPr>
            <w:tcW w:w="737" w:type="dxa"/>
            <w:tcBorders>
              <w:tl2br w:val="nil"/>
              <w:tr2bl w:val="nil"/>
            </w:tcBorders>
            <w:shd w:val="clear" w:color="auto" w:fill="auto"/>
            <w:vAlign w:val="center"/>
          </w:tcPr>
          <w:p>
            <w:pPr>
              <w:widowControl/>
              <w:spacing w:line="36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w:t>
            </w:r>
          </w:p>
        </w:tc>
        <w:tc>
          <w:tcPr>
            <w:tcW w:w="1102"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rPr>
            </w:pPr>
          </w:p>
        </w:tc>
        <w:tc>
          <w:tcPr>
            <w:tcW w:w="4798" w:type="dxa"/>
            <w:tcBorders>
              <w:tl2br w:val="nil"/>
              <w:tr2bl w:val="nil"/>
            </w:tcBorders>
            <w:shd w:val="clear" w:color="auto" w:fill="auto"/>
            <w:vAlign w:val="center"/>
          </w:tcPr>
          <w:p>
            <w:pPr>
              <w:keepNext w:val="0"/>
              <w:keepLines w:val="0"/>
              <w:widowControl/>
              <w:suppressLineNumbers w:val="0"/>
              <w:jc w:val="both"/>
              <w:textAlignment w:val="center"/>
              <w:rPr>
                <w:rFonts w:ascii="仿宋" w:hAnsi="仿宋" w:eastAsia="仿宋" w:cs="仿宋"/>
                <w:color w:val="auto"/>
                <w:sz w:val="24"/>
                <w:highlight w:val="none"/>
              </w:rPr>
            </w:pPr>
            <w:r>
              <w:rPr>
                <w:rFonts w:hint="eastAsia" w:ascii="仿宋" w:hAnsi="仿宋" w:eastAsia="仿宋" w:cs="仿宋"/>
                <w:b w:val="0"/>
                <w:bCs w:val="0"/>
                <w:color w:val="auto"/>
                <w:kern w:val="0"/>
                <w:sz w:val="24"/>
                <w:szCs w:val="24"/>
                <w:highlight w:val="none"/>
                <w:u w:val="none"/>
                <w:lang w:val="en-US" w:eastAsia="zh-CN" w:bidi="ar"/>
              </w:rPr>
              <w:t>根据采购文件第三部分采购需求四、空调机组更新维修要求4.5条自控系统功能要求5）控制功能，提供</w:t>
            </w:r>
            <w:r>
              <w:rPr>
                <w:rFonts w:hint="eastAsia" w:ascii="仿宋" w:hAnsi="仿宋" w:eastAsia="仿宋" w:cs="仿宋"/>
                <w:i w:val="0"/>
                <w:iCs w:val="0"/>
                <w:color w:val="auto"/>
                <w:kern w:val="0"/>
                <w:sz w:val="24"/>
                <w:szCs w:val="24"/>
                <w:highlight w:val="none"/>
                <w:u w:val="none"/>
                <w:lang w:val="en-US" w:eastAsia="zh-CN" w:bidi="ar"/>
              </w:rPr>
              <w:t>末端设备的安全和节能运行的详细描述。分值</w:t>
            </w:r>
            <w:r>
              <w:rPr>
                <w:rFonts w:hint="eastAsia" w:ascii="仿宋" w:hAnsi="仿宋" w:eastAsia="仿宋" w:cs="仿宋"/>
                <w:color w:val="auto"/>
                <w:sz w:val="24"/>
                <w:szCs w:val="24"/>
                <w:highlight w:val="none"/>
              </w:rPr>
              <w:t>（3.0、2.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5、1.0、</w:t>
            </w:r>
            <w:r>
              <w:rPr>
                <w:rFonts w:hint="eastAsia" w:ascii="仿宋" w:hAnsi="仿宋" w:eastAsia="仿宋" w:cs="仿宋"/>
                <w:color w:val="auto"/>
                <w:sz w:val="24"/>
                <w:szCs w:val="24"/>
                <w:highlight w:val="none"/>
              </w:rPr>
              <w:t>0）。</w:t>
            </w:r>
          </w:p>
        </w:tc>
        <w:tc>
          <w:tcPr>
            <w:tcW w:w="713" w:type="dxa"/>
            <w:tcBorders>
              <w:tl2br w:val="nil"/>
              <w:tr2bl w:val="nil"/>
            </w:tcBorders>
            <w:shd w:val="clear" w:color="auto" w:fill="auto"/>
            <w:vAlign w:val="center"/>
          </w:tcPr>
          <w:p>
            <w:pPr>
              <w:keepNext w:val="0"/>
              <w:keepLines w:val="0"/>
              <w:widowControl/>
              <w:suppressLineNumbers w:val="0"/>
              <w:jc w:val="center"/>
              <w:textAlignment w:val="center"/>
              <w:rPr>
                <w:rFonts w:ascii="仿宋" w:hAnsi="仿宋" w:eastAsia="仿宋" w:cs="仿宋"/>
                <w:color w:val="auto"/>
                <w:sz w:val="24"/>
                <w:highlight w:val="none"/>
              </w:rPr>
            </w:pPr>
            <w:r>
              <w:rPr>
                <w:rFonts w:hint="eastAsia" w:ascii="仿宋" w:hAnsi="仿宋" w:eastAsia="仿宋" w:cs="仿宋"/>
                <w:i w:val="0"/>
                <w:iCs w:val="0"/>
                <w:color w:val="auto"/>
                <w:kern w:val="0"/>
                <w:sz w:val="24"/>
                <w:szCs w:val="24"/>
                <w:highlight w:val="none"/>
                <w:u w:val="none"/>
                <w:lang w:val="en-US" w:eastAsia="zh-CN" w:bidi="ar"/>
              </w:rPr>
              <w:t>0-3</w:t>
            </w:r>
          </w:p>
        </w:tc>
        <w:tc>
          <w:tcPr>
            <w:tcW w:w="737" w:type="dxa"/>
            <w:tcBorders>
              <w:tl2br w:val="nil"/>
              <w:tr2bl w:val="nil"/>
            </w:tcBorders>
            <w:shd w:val="clear" w:color="auto" w:fill="auto"/>
            <w:vAlign w:val="center"/>
          </w:tcPr>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78" w:hRule="atLeast"/>
        </w:trPr>
        <w:tc>
          <w:tcPr>
            <w:tcW w:w="1057" w:type="dxa"/>
            <w:vMerge w:val="continue"/>
            <w:tcBorders>
              <w:tl2br w:val="nil"/>
              <w:tr2bl w:val="nil"/>
            </w:tcBorders>
            <w:shd w:val="clear" w:color="auto" w:fill="auto"/>
            <w:vAlign w:val="center"/>
          </w:tcPr>
          <w:p>
            <w:pPr>
              <w:widowControl/>
              <w:spacing w:line="360" w:lineRule="auto"/>
              <w:jc w:val="center"/>
              <w:rPr>
                <w:rFonts w:ascii="仿宋" w:hAnsi="仿宋" w:eastAsia="仿宋" w:cs="仿宋"/>
                <w:color w:val="auto"/>
                <w:sz w:val="24"/>
                <w:highlight w:val="none"/>
              </w:rPr>
            </w:pPr>
          </w:p>
        </w:tc>
        <w:tc>
          <w:tcPr>
            <w:tcW w:w="737" w:type="dxa"/>
            <w:tcBorders>
              <w:tl2br w:val="nil"/>
              <w:tr2bl w:val="nil"/>
            </w:tcBorders>
            <w:shd w:val="clear" w:color="auto" w:fill="auto"/>
            <w:vAlign w:val="center"/>
          </w:tcPr>
          <w:p>
            <w:pPr>
              <w:widowControl/>
              <w:spacing w:line="36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w:t>
            </w:r>
          </w:p>
        </w:tc>
        <w:tc>
          <w:tcPr>
            <w:tcW w:w="1102"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rPr>
            </w:pPr>
          </w:p>
        </w:tc>
        <w:tc>
          <w:tcPr>
            <w:tcW w:w="4798"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color w:val="auto"/>
                <w:kern w:val="0"/>
                <w:sz w:val="24"/>
                <w:szCs w:val="24"/>
                <w:highlight w:val="none"/>
                <w:u w:val="none"/>
                <w:lang w:val="en-US" w:eastAsia="zh-CN" w:bidi="ar"/>
              </w:rPr>
              <w:t>根据采购文件第三部分采购需求四、空调机组更新维修要求4.5条自控系统功能要求5）控制功能，</w:t>
            </w:r>
            <w:r>
              <w:rPr>
                <w:rFonts w:hint="eastAsia" w:ascii="仿宋" w:hAnsi="仿宋" w:eastAsia="仿宋" w:cs="仿宋"/>
                <w:i w:val="0"/>
                <w:iCs w:val="0"/>
                <w:color w:val="auto"/>
                <w:kern w:val="0"/>
                <w:sz w:val="24"/>
                <w:szCs w:val="24"/>
                <w:highlight w:val="none"/>
                <w:u w:val="none"/>
                <w:lang w:val="en-US" w:eastAsia="zh-CN" w:bidi="ar"/>
              </w:rPr>
              <w:t>设立不同的自动控制模式以方便业主方灵活使用，并详细阐述其控制方式及原理，能设置管理密码，避免误操作。分值（2.0、1.5、1.0、0）。</w:t>
            </w:r>
          </w:p>
          <w:p>
            <w:pPr>
              <w:keepNext w:val="0"/>
              <w:keepLines w:val="0"/>
              <w:widowControl/>
              <w:suppressLineNumbers w:val="0"/>
              <w:jc w:val="both"/>
              <w:textAlignment w:val="center"/>
              <w:rPr>
                <w:rFonts w:ascii="仿宋" w:hAnsi="仿宋" w:eastAsia="仿宋" w:cs="仿宋"/>
                <w:color w:val="auto"/>
                <w:sz w:val="24"/>
                <w:highlight w:val="none"/>
              </w:rPr>
            </w:pPr>
            <w:r>
              <w:rPr>
                <w:rFonts w:hint="eastAsia" w:ascii="仿宋" w:hAnsi="仿宋" w:eastAsia="仿宋" w:cs="仿宋"/>
                <w:i w:val="0"/>
                <w:iCs w:val="0"/>
                <w:color w:val="auto"/>
                <w:kern w:val="0"/>
                <w:sz w:val="24"/>
                <w:szCs w:val="24"/>
                <w:highlight w:val="none"/>
                <w:u w:val="none"/>
                <w:lang w:val="en-US" w:eastAsia="zh-CN" w:bidi="ar"/>
              </w:rPr>
              <w:t>评审依据/证明材料：自动控制模式的详细描述</w:t>
            </w:r>
          </w:p>
        </w:tc>
        <w:tc>
          <w:tcPr>
            <w:tcW w:w="713" w:type="dxa"/>
            <w:tcBorders>
              <w:tl2br w:val="nil"/>
              <w:tr2bl w:val="nil"/>
            </w:tcBorders>
            <w:shd w:val="clear" w:color="auto" w:fill="auto"/>
            <w:vAlign w:val="center"/>
          </w:tcPr>
          <w:p>
            <w:pPr>
              <w:keepNext w:val="0"/>
              <w:keepLines w:val="0"/>
              <w:widowControl/>
              <w:suppressLineNumbers w:val="0"/>
              <w:jc w:val="center"/>
              <w:textAlignment w:val="center"/>
              <w:rPr>
                <w:rFonts w:ascii="仿宋" w:hAnsi="仿宋" w:eastAsia="仿宋" w:cs="仿宋"/>
                <w:color w:val="auto"/>
                <w:sz w:val="24"/>
                <w:highlight w:val="none"/>
              </w:rPr>
            </w:pPr>
            <w:r>
              <w:rPr>
                <w:rFonts w:hint="eastAsia" w:ascii="仿宋" w:hAnsi="仿宋" w:eastAsia="仿宋" w:cs="仿宋"/>
                <w:i w:val="0"/>
                <w:iCs w:val="0"/>
                <w:color w:val="auto"/>
                <w:kern w:val="0"/>
                <w:sz w:val="24"/>
                <w:szCs w:val="24"/>
                <w:highlight w:val="none"/>
                <w:u w:val="none"/>
                <w:lang w:val="en-US" w:eastAsia="zh-CN" w:bidi="ar"/>
              </w:rPr>
              <w:t>0-2</w:t>
            </w:r>
          </w:p>
        </w:tc>
        <w:tc>
          <w:tcPr>
            <w:tcW w:w="737" w:type="dxa"/>
            <w:tcBorders>
              <w:tl2br w:val="nil"/>
              <w:tr2bl w:val="nil"/>
            </w:tcBorders>
            <w:shd w:val="clear" w:color="auto" w:fill="auto"/>
            <w:vAlign w:val="center"/>
          </w:tcPr>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78" w:hRule="atLeast"/>
        </w:trPr>
        <w:tc>
          <w:tcPr>
            <w:tcW w:w="1057" w:type="dxa"/>
            <w:vMerge w:val="continue"/>
            <w:tcBorders>
              <w:tl2br w:val="nil"/>
              <w:tr2bl w:val="nil"/>
            </w:tcBorders>
            <w:shd w:val="clear" w:color="auto" w:fill="auto"/>
            <w:vAlign w:val="center"/>
          </w:tcPr>
          <w:p>
            <w:pPr>
              <w:widowControl/>
              <w:spacing w:line="360" w:lineRule="auto"/>
              <w:jc w:val="center"/>
              <w:rPr>
                <w:rFonts w:ascii="仿宋" w:hAnsi="仿宋" w:eastAsia="仿宋" w:cs="仿宋"/>
                <w:color w:val="auto"/>
                <w:sz w:val="24"/>
                <w:highlight w:val="none"/>
              </w:rPr>
            </w:pPr>
          </w:p>
        </w:tc>
        <w:tc>
          <w:tcPr>
            <w:tcW w:w="737" w:type="dxa"/>
            <w:tcBorders>
              <w:tl2br w:val="nil"/>
              <w:tr2bl w:val="nil"/>
            </w:tcBorders>
            <w:shd w:val="clear" w:color="auto" w:fill="auto"/>
            <w:vAlign w:val="center"/>
          </w:tcPr>
          <w:p>
            <w:pPr>
              <w:widowControl/>
              <w:spacing w:line="36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w:t>
            </w:r>
          </w:p>
        </w:tc>
        <w:tc>
          <w:tcPr>
            <w:tcW w:w="1102"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rPr>
            </w:pPr>
          </w:p>
        </w:tc>
        <w:tc>
          <w:tcPr>
            <w:tcW w:w="4798"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u w:val="none"/>
                <w:lang w:bidi="ar"/>
              </w:rPr>
              <w:t>根据采购文件第三部分采购需求四、空调机组更新维修要求4.5条自控系统功能</w:t>
            </w:r>
            <w:r>
              <w:rPr>
                <w:rFonts w:hint="eastAsia" w:ascii="仿宋" w:hAnsi="仿宋" w:eastAsia="仿宋" w:cs="仿宋"/>
                <w:color w:val="auto"/>
                <w:kern w:val="0"/>
                <w:sz w:val="24"/>
                <w:highlight w:val="none"/>
                <w:u w:val="none"/>
                <w:lang w:eastAsia="zh-CN" w:bidi="ar"/>
              </w:rPr>
              <w:t>，</w:t>
            </w:r>
            <w:r>
              <w:rPr>
                <w:rFonts w:hint="eastAsia" w:ascii="仿宋" w:hAnsi="仿宋" w:eastAsia="仿宋" w:cs="仿宋"/>
                <w:i w:val="0"/>
                <w:iCs w:val="0"/>
                <w:color w:val="auto"/>
                <w:kern w:val="0"/>
                <w:sz w:val="24"/>
                <w:szCs w:val="24"/>
                <w:highlight w:val="none"/>
                <w:u w:val="none"/>
                <w:lang w:val="en-US" w:eastAsia="zh-CN" w:bidi="ar"/>
              </w:rPr>
              <w:t>自控系统能对一些参数进行调整，比如①最低供水温度，②最高供水温度，③频率上限、下限，④设置有经济模式。每满足一项得0.5分，满分2分。评审依据/证明材料：自动控制设置的详细描述</w:t>
            </w:r>
          </w:p>
        </w:tc>
        <w:tc>
          <w:tcPr>
            <w:tcW w:w="713" w:type="dxa"/>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0-2</w:t>
            </w:r>
          </w:p>
        </w:tc>
        <w:tc>
          <w:tcPr>
            <w:tcW w:w="737"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客</w:t>
            </w:r>
            <w:r>
              <w:rPr>
                <w:rFonts w:hint="eastAsia" w:ascii="仿宋" w:hAnsi="仿宋" w:eastAsia="仿宋" w:cs="仿宋"/>
                <w:color w:val="auto"/>
                <w:sz w:val="24"/>
                <w:highlight w:val="none"/>
              </w:rPr>
              <w:t>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2" w:hRule="atLeast"/>
        </w:trPr>
        <w:tc>
          <w:tcPr>
            <w:tcW w:w="1057" w:type="dxa"/>
            <w:vMerge w:val="continue"/>
            <w:tcBorders>
              <w:tl2br w:val="nil"/>
              <w:tr2bl w:val="nil"/>
            </w:tcBorders>
            <w:shd w:val="clear" w:color="auto" w:fill="auto"/>
            <w:vAlign w:val="center"/>
          </w:tcPr>
          <w:p>
            <w:pPr>
              <w:widowControl/>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9</w:t>
            </w:r>
          </w:p>
        </w:tc>
        <w:tc>
          <w:tcPr>
            <w:tcW w:w="737" w:type="dxa"/>
            <w:tcBorders>
              <w:tl2br w:val="nil"/>
              <w:tr2bl w:val="nil"/>
            </w:tcBorders>
            <w:shd w:val="clear" w:color="auto" w:fill="auto"/>
            <w:vAlign w:val="center"/>
          </w:tcPr>
          <w:p>
            <w:pPr>
              <w:widowControl/>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16</w:t>
            </w:r>
          </w:p>
        </w:tc>
        <w:tc>
          <w:tcPr>
            <w:tcW w:w="1102"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改造调试方案</w:t>
            </w:r>
          </w:p>
        </w:tc>
        <w:tc>
          <w:tcPr>
            <w:tcW w:w="4798"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根据采购文件第三部分采购需求四、空调机组更新维修要求4.9条冷热盘管及自控系统功能要求，</w:t>
            </w:r>
            <w:r>
              <w:rPr>
                <w:rFonts w:hint="eastAsia" w:ascii="仿宋" w:hAnsi="仿宋" w:eastAsia="仿宋" w:cs="仿宋"/>
                <w:i w:val="0"/>
                <w:iCs w:val="0"/>
                <w:color w:val="auto"/>
                <w:kern w:val="0"/>
                <w:sz w:val="24"/>
                <w:szCs w:val="24"/>
                <w:highlight w:val="none"/>
                <w:u w:val="none"/>
                <w:lang w:val="en-US" w:eastAsia="zh-CN" w:bidi="ar"/>
              </w:rPr>
              <w:t>提供管道及控制原理及调试方案</w:t>
            </w:r>
            <w:r>
              <w:rPr>
                <w:rFonts w:hint="eastAsia" w:ascii="仿宋" w:hAnsi="仿宋" w:eastAsia="仿宋" w:cs="仿宋"/>
                <w:i w:val="0"/>
                <w:iCs w:val="0"/>
                <w:color w:val="auto"/>
                <w:kern w:val="0"/>
                <w:sz w:val="24"/>
                <w:szCs w:val="24"/>
                <w:highlight w:val="none"/>
                <w:u w:val="none"/>
                <w:lang w:val="en-US" w:eastAsia="zh-CN" w:bidi="ar"/>
              </w:rPr>
              <w:t>的详细描述及实施方案。分值</w:t>
            </w:r>
            <w:r>
              <w:rPr>
                <w:rFonts w:hint="eastAsia" w:ascii="仿宋" w:hAnsi="仿宋" w:eastAsia="仿宋" w:cs="仿宋"/>
                <w:color w:val="auto"/>
                <w:sz w:val="24"/>
                <w:szCs w:val="24"/>
                <w:highlight w:val="none"/>
              </w:rPr>
              <w:t>（3.0、2.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5、1.0、</w:t>
            </w:r>
            <w:r>
              <w:rPr>
                <w:rFonts w:hint="eastAsia" w:ascii="仿宋" w:hAnsi="仿宋" w:eastAsia="仿宋" w:cs="仿宋"/>
                <w:color w:val="auto"/>
                <w:sz w:val="24"/>
                <w:szCs w:val="24"/>
                <w:highlight w:val="none"/>
              </w:rPr>
              <w:t>0）。</w:t>
            </w:r>
          </w:p>
          <w:p>
            <w:pPr>
              <w:keepNext w:val="0"/>
              <w:keepLines w:val="0"/>
              <w:widowControl/>
              <w:suppressLineNumbers w:val="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评审依据/证明材料：管道及控制原理及调试方案的详细描述</w:t>
            </w:r>
          </w:p>
        </w:tc>
        <w:tc>
          <w:tcPr>
            <w:tcW w:w="7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0-3</w:t>
            </w:r>
          </w:p>
        </w:tc>
        <w:tc>
          <w:tcPr>
            <w:tcW w:w="737" w:type="dxa"/>
            <w:tcBorders>
              <w:tl2br w:val="nil"/>
              <w:tr2bl w:val="nil"/>
            </w:tcBorders>
            <w:shd w:val="clear" w:color="auto" w:fill="auto"/>
            <w:vAlign w:val="center"/>
          </w:tcPr>
          <w:p>
            <w:pPr>
              <w:widowControl/>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主</w:t>
            </w:r>
            <w:r>
              <w:rPr>
                <w:rFonts w:hint="eastAsia" w:ascii="仿宋" w:hAnsi="仿宋" w:eastAsia="仿宋" w:cs="仿宋"/>
                <w:color w:val="auto"/>
                <w:sz w:val="24"/>
                <w:highlight w:val="none"/>
              </w:rPr>
              <w:t>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trPr>
        <w:tc>
          <w:tcPr>
            <w:tcW w:w="1057" w:type="dxa"/>
            <w:vMerge w:val="continue"/>
            <w:tcBorders>
              <w:tl2br w:val="nil"/>
              <w:tr2bl w:val="nil"/>
            </w:tcBorders>
            <w:shd w:val="clear" w:color="auto" w:fill="auto"/>
            <w:vAlign w:val="center"/>
          </w:tcPr>
          <w:p>
            <w:pPr>
              <w:widowControl/>
              <w:spacing w:line="360" w:lineRule="auto"/>
              <w:jc w:val="center"/>
              <w:rPr>
                <w:rFonts w:ascii="仿宋" w:hAnsi="仿宋" w:eastAsia="仿宋" w:cs="仿宋"/>
                <w:color w:val="auto"/>
                <w:sz w:val="24"/>
                <w:highlight w:val="none"/>
              </w:rPr>
            </w:pPr>
          </w:p>
        </w:tc>
        <w:tc>
          <w:tcPr>
            <w:tcW w:w="737" w:type="dxa"/>
            <w:tcBorders>
              <w:tl2br w:val="nil"/>
              <w:tr2bl w:val="nil"/>
            </w:tcBorders>
            <w:shd w:val="clear" w:color="auto" w:fill="auto"/>
            <w:vAlign w:val="center"/>
          </w:tcPr>
          <w:p>
            <w:pPr>
              <w:widowControl/>
              <w:spacing w:line="36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17</w:t>
            </w:r>
          </w:p>
        </w:tc>
        <w:tc>
          <w:tcPr>
            <w:tcW w:w="110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仿宋" w:hAnsi="仿宋" w:eastAsia="仿宋" w:cs="仿宋"/>
                <w:i w:val="0"/>
                <w:iCs w:val="0"/>
                <w:color w:val="auto"/>
                <w:kern w:val="0"/>
                <w:sz w:val="24"/>
                <w:szCs w:val="24"/>
                <w:highlight w:val="none"/>
                <w:u w:val="none"/>
                <w:lang w:val="en-US" w:eastAsia="zh-CN" w:bidi="ar"/>
              </w:rPr>
              <w:t>AHU空调箱参数符合性</w:t>
            </w:r>
          </w:p>
        </w:tc>
        <w:tc>
          <w:tcPr>
            <w:tcW w:w="4798"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提供产品的参数（包括风量、新风量、机外压力、风机功率、制冷量、制热量、加湿量），全部优于原有每台设备参数的10%以上，每满足1台机组得0.5分，共计27台，最高得13.5分。</w:t>
            </w:r>
          </w:p>
        </w:tc>
        <w:tc>
          <w:tcPr>
            <w:tcW w:w="7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0-13.5</w:t>
            </w:r>
          </w:p>
        </w:tc>
        <w:tc>
          <w:tcPr>
            <w:tcW w:w="737"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9" w:hRule="atLeast"/>
        </w:trPr>
        <w:tc>
          <w:tcPr>
            <w:tcW w:w="1057" w:type="dxa"/>
            <w:vMerge w:val="continue"/>
            <w:tcBorders>
              <w:tl2br w:val="nil"/>
              <w:tr2bl w:val="nil"/>
            </w:tcBorders>
            <w:shd w:val="clear" w:color="auto" w:fill="auto"/>
            <w:vAlign w:val="center"/>
          </w:tcPr>
          <w:p>
            <w:pPr>
              <w:widowControl/>
              <w:spacing w:line="360" w:lineRule="auto"/>
              <w:jc w:val="center"/>
              <w:rPr>
                <w:rFonts w:ascii="仿宋" w:hAnsi="仿宋" w:eastAsia="仿宋" w:cs="仿宋"/>
                <w:color w:val="auto"/>
                <w:sz w:val="24"/>
                <w:highlight w:val="none"/>
              </w:rPr>
            </w:pPr>
          </w:p>
        </w:tc>
        <w:tc>
          <w:tcPr>
            <w:tcW w:w="737" w:type="dxa"/>
            <w:tcBorders>
              <w:tl2br w:val="nil"/>
              <w:tr2bl w:val="nil"/>
            </w:tcBorders>
            <w:shd w:val="clear" w:color="auto" w:fill="auto"/>
            <w:vAlign w:val="center"/>
          </w:tcPr>
          <w:p>
            <w:pPr>
              <w:widowControl/>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18</w:t>
            </w:r>
          </w:p>
        </w:tc>
        <w:tc>
          <w:tcPr>
            <w:tcW w:w="110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仿宋" w:hAnsi="仿宋" w:eastAsia="仿宋" w:cs="仿宋"/>
                <w:i w:val="0"/>
                <w:iCs w:val="0"/>
                <w:color w:val="auto"/>
                <w:kern w:val="0"/>
                <w:sz w:val="24"/>
                <w:szCs w:val="24"/>
                <w:highlight w:val="none"/>
                <w:u w:val="none"/>
                <w:lang w:val="en-US" w:eastAsia="zh-CN" w:bidi="ar"/>
              </w:rPr>
              <w:t>恒温恒湿型净化直膨空气组合机组参数符合性</w:t>
            </w:r>
          </w:p>
        </w:tc>
        <w:tc>
          <w:tcPr>
            <w:tcW w:w="4798"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提供的恒温恒湿型净化直膨空气组合机组的参数（包括风量、机外压力、制冷量、制热量、加湿量），全部优于原设备参数的情况进行打分，每项参数得0.5分，最高得2.5分</w:t>
            </w:r>
            <w:r>
              <w:rPr>
                <w:rFonts w:hint="eastAsia" w:ascii="仿宋" w:hAnsi="仿宋" w:eastAsia="仿宋" w:cs="仿宋"/>
                <w:i w:val="0"/>
                <w:iCs w:val="0"/>
                <w:color w:val="auto"/>
                <w:kern w:val="0"/>
                <w:sz w:val="24"/>
                <w:szCs w:val="24"/>
                <w:highlight w:val="none"/>
                <w:u w:val="none"/>
                <w:lang w:val="en-US" w:eastAsia="zh-CN" w:bidi="ar"/>
              </w:rPr>
              <w:t>。</w:t>
            </w:r>
          </w:p>
        </w:tc>
        <w:tc>
          <w:tcPr>
            <w:tcW w:w="7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0-2.5</w:t>
            </w:r>
          </w:p>
        </w:tc>
        <w:tc>
          <w:tcPr>
            <w:tcW w:w="737"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2" w:hRule="atLeast"/>
        </w:trPr>
        <w:tc>
          <w:tcPr>
            <w:tcW w:w="1057" w:type="dxa"/>
            <w:vMerge w:val="continue"/>
            <w:tcBorders>
              <w:tl2br w:val="nil"/>
              <w:tr2bl w:val="nil"/>
            </w:tcBorders>
            <w:shd w:val="clear" w:color="auto" w:fill="auto"/>
            <w:vAlign w:val="center"/>
          </w:tcPr>
          <w:p>
            <w:pPr>
              <w:widowControl/>
              <w:spacing w:line="360" w:lineRule="auto"/>
              <w:jc w:val="center"/>
              <w:rPr>
                <w:rFonts w:ascii="仿宋" w:hAnsi="仿宋" w:eastAsia="仿宋" w:cs="仿宋"/>
                <w:color w:val="auto"/>
                <w:sz w:val="24"/>
                <w:highlight w:val="none"/>
              </w:rPr>
            </w:pPr>
          </w:p>
        </w:tc>
        <w:tc>
          <w:tcPr>
            <w:tcW w:w="737" w:type="dxa"/>
            <w:tcBorders>
              <w:bottom w:val="single" w:color="auto" w:sz="4" w:space="0"/>
              <w:tl2br w:val="nil"/>
              <w:tr2bl w:val="nil"/>
            </w:tcBorders>
            <w:shd w:val="clear" w:color="auto" w:fill="auto"/>
            <w:vAlign w:val="center"/>
          </w:tcPr>
          <w:p>
            <w:pPr>
              <w:widowControl/>
              <w:spacing w:line="36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19</w:t>
            </w:r>
          </w:p>
        </w:tc>
        <w:tc>
          <w:tcPr>
            <w:tcW w:w="1102" w:type="dxa"/>
            <w:vMerge w:val="restart"/>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维保服务方案</w:t>
            </w:r>
          </w:p>
        </w:tc>
        <w:tc>
          <w:tcPr>
            <w:tcW w:w="4798"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本项目改造过程中新设备安全吊装就位及设备安全吊装方案的科学性、合理性、规范性，可操作性。分值</w:t>
            </w:r>
            <w:r>
              <w:rPr>
                <w:rFonts w:hint="eastAsia" w:ascii="仿宋" w:hAnsi="仿宋" w:eastAsia="仿宋" w:cs="仿宋"/>
                <w:color w:val="auto"/>
                <w:sz w:val="24"/>
                <w:szCs w:val="24"/>
                <w:highlight w:val="none"/>
              </w:rPr>
              <w:t>（3.0、2.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5、1.0、</w:t>
            </w:r>
            <w:r>
              <w:rPr>
                <w:rFonts w:hint="eastAsia" w:ascii="仿宋" w:hAnsi="仿宋" w:eastAsia="仿宋" w:cs="仿宋"/>
                <w:color w:val="auto"/>
                <w:sz w:val="24"/>
                <w:szCs w:val="24"/>
                <w:highlight w:val="none"/>
              </w:rPr>
              <w:t>0）。</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评审依据/证明材料：设备吊装就位方案的详细描述</w:t>
            </w:r>
          </w:p>
        </w:tc>
        <w:tc>
          <w:tcPr>
            <w:tcW w:w="7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0-3</w:t>
            </w:r>
          </w:p>
        </w:tc>
        <w:tc>
          <w:tcPr>
            <w:tcW w:w="737"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6" w:hRule="atLeast"/>
        </w:trPr>
        <w:tc>
          <w:tcPr>
            <w:tcW w:w="1057" w:type="dxa"/>
            <w:vMerge w:val="continue"/>
            <w:tcBorders>
              <w:tl2br w:val="nil"/>
              <w:tr2bl w:val="nil"/>
            </w:tcBorders>
            <w:shd w:val="clear" w:color="auto" w:fill="auto"/>
            <w:vAlign w:val="center"/>
          </w:tcPr>
          <w:p>
            <w:pPr>
              <w:widowControl/>
              <w:spacing w:line="360" w:lineRule="auto"/>
              <w:jc w:val="center"/>
              <w:rPr>
                <w:rFonts w:ascii="仿宋" w:hAnsi="仿宋" w:eastAsia="仿宋" w:cs="仿宋"/>
                <w:color w:val="auto"/>
                <w:sz w:val="24"/>
                <w:highlight w:val="none"/>
              </w:rPr>
            </w:pPr>
          </w:p>
        </w:tc>
        <w:tc>
          <w:tcPr>
            <w:tcW w:w="737" w:type="dxa"/>
            <w:tcBorders>
              <w:top w:val="single" w:color="auto" w:sz="4" w:space="0"/>
              <w:bottom w:val="single" w:color="auto" w:sz="4" w:space="0"/>
              <w:tl2br w:val="nil"/>
              <w:tr2bl w:val="nil"/>
            </w:tcBorders>
            <w:shd w:val="clear" w:color="auto" w:fill="auto"/>
            <w:vAlign w:val="center"/>
          </w:tcPr>
          <w:p>
            <w:pPr>
              <w:widowControl/>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20</w:t>
            </w:r>
          </w:p>
        </w:tc>
        <w:tc>
          <w:tcPr>
            <w:tcW w:w="1102"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rPr>
            </w:pPr>
          </w:p>
        </w:tc>
        <w:tc>
          <w:tcPr>
            <w:tcW w:w="4798"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根据改造组织实施方案的科学性、合理性、规范性、可操作性:包</w:t>
            </w:r>
            <w:r>
              <w:rPr>
                <w:rFonts w:hint="eastAsia" w:ascii="仿宋" w:hAnsi="仿宋" w:eastAsia="仿宋" w:cs="仿宋"/>
                <w:i w:val="0"/>
                <w:iCs w:val="0"/>
                <w:color w:val="auto"/>
                <w:kern w:val="0"/>
                <w:sz w:val="24"/>
                <w:szCs w:val="24"/>
                <w:highlight w:val="none"/>
                <w:u w:val="none"/>
                <w:lang w:val="en-US" w:eastAsia="zh-CN" w:bidi="ar"/>
              </w:rPr>
              <w:t>括设计、生产、供货、</w:t>
            </w:r>
            <w:r>
              <w:rPr>
                <w:rFonts w:hint="eastAsia" w:ascii="仿宋" w:hAnsi="仿宋" w:eastAsia="仿宋" w:cs="仿宋"/>
                <w:i w:val="0"/>
                <w:iCs w:val="0"/>
                <w:color w:val="auto"/>
                <w:kern w:val="0"/>
                <w:sz w:val="24"/>
                <w:szCs w:val="24"/>
                <w:highlight w:val="none"/>
                <w:u w:val="none"/>
                <w:lang w:val="en-US" w:eastAsia="zh-CN" w:bidi="ar"/>
              </w:rPr>
              <w:t>安装施工工艺、安装调试、使用维护、项目验收等内容，以及组织机构、工作时间进度表、工作程序和步骤、管理和协调方法、关键步骤的思路和要点等。分值（5.0、4.0、3.0、2.0、1.0、0）</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评审依据/证明材料：施工组织实施方案的详细描述</w:t>
            </w:r>
          </w:p>
        </w:tc>
        <w:tc>
          <w:tcPr>
            <w:tcW w:w="7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0-5</w:t>
            </w:r>
          </w:p>
        </w:tc>
        <w:tc>
          <w:tcPr>
            <w:tcW w:w="737"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2" w:hRule="atLeast"/>
        </w:trPr>
        <w:tc>
          <w:tcPr>
            <w:tcW w:w="1057" w:type="dxa"/>
            <w:vMerge w:val="continue"/>
            <w:tcBorders>
              <w:tl2br w:val="nil"/>
              <w:tr2bl w:val="nil"/>
            </w:tcBorders>
            <w:shd w:val="clear" w:color="auto" w:fill="auto"/>
            <w:vAlign w:val="center"/>
          </w:tcPr>
          <w:p>
            <w:pPr>
              <w:widowControl/>
              <w:spacing w:line="360" w:lineRule="auto"/>
              <w:jc w:val="center"/>
              <w:rPr>
                <w:rFonts w:ascii="仿宋" w:hAnsi="仿宋" w:eastAsia="仿宋" w:cs="仿宋"/>
                <w:color w:val="auto"/>
                <w:sz w:val="24"/>
                <w:highlight w:val="none"/>
              </w:rPr>
            </w:pPr>
          </w:p>
        </w:tc>
        <w:tc>
          <w:tcPr>
            <w:tcW w:w="737" w:type="dxa"/>
            <w:tcBorders>
              <w:top w:val="single" w:color="auto" w:sz="4" w:space="0"/>
              <w:tl2br w:val="nil"/>
              <w:tr2bl w:val="nil"/>
            </w:tcBorders>
            <w:shd w:val="clear" w:color="auto" w:fill="auto"/>
            <w:vAlign w:val="center"/>
          </w:tcPr>
          <w:p>
            <w:pPr>
              <w:widowControl/>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21</w:t>
            </w:r>
          </w:p>
        </w:tc>
        <w:tc>
          <w:tcPr>
            <w:tcW w:w="1102"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rPr>
            </w:pPr>
          </w:p>
        </w:tc>
        <w:tc>
          <w:tcPr>
            <w:tcW w:w="4798"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维保服务范围涵盖全面、服务响应时间快、服务人员配备充足。分值（5.0、4.0、3.0、2.0、1.0、0）</w:t>
            </w:r>
          </w:p>
          <w:p>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评审依据/证明材料：服务方案的详细描述</w:t>
            </w:r>
          </w:p>
        </w:tc>
        <w:tc>
          <w:tcPr>
            <w:tcW w:w="7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0-5</w:t>
            </w:r>
          </w:p>
        </w:tc>
        <w:tc>
          <w:tcPr>
            <w:tcW w:w="737"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2" w:hRule="atLeast"/>
        </w:trPr>
        <w:tc>
          <w:tcPr>
            <w:tcW w:w="1057" w:type="dxa"/>
            <w:vMerge w:val="continue"/>
            <w:tcBorders>
              <w:tl2br w:val="nil"/>
              <w:tr2bl w:val="nil"/>
            </w:tcBorders>
            <w:shd w:val="clear" w:color="auto" w:fill="auto"/>
            <w:vAlign w:val="center"/>
          </w:tcPr>
          <w:p>
            <w:pPr>
              <w:widowControl/>
              <w:spacing w:line="360" w:lineRule="auto"/>
              <w:jc w:val="center"/>
              <w:rPr>
                <w:rFonts w:ascii="仿宋" w:hAnsi="仿宋" w:eastAsia="仿宋" w:cs="仿宋"/>
                <w:color w:val="auto"/>
                <w:sz w:val="24"/>
                <w:highlight w:val="none"/>
              </w:rPr>
            </w:pPr>
          </w:p>
        </w:tc>
        <w:tc>
          <w:tcPr>
            <w:tcW w:w="737" w:type="dxa"/>
            <w:tcBorders>
              <w:tl2br w:val="nil"/>
              <w:tr2bl w:val="nil"/>
            </w:tcBorders>
            <w:shd w:val="clear" w:color="auto" w:fill="auto"/>
            <w:vAlign w:val="center"/>
          </w:tcPr>
          <w:p>
            <w:pPr>
              <w:widowControl/>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22</w:t>
            </w:r>
          </w:p>
        </w:tc>
        <w:tc>
          <w:tcPr>
            <w:tcW w:w="110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仿宋" w:hAnsi="仿宋" w:eastAsia="仿宋" w:cs="仿宋"/>
                <w:i w:val="0"/>
                <w:iCs w:val="0"/>
                <w:color w:val="auto"/>
                <w:kern w:val="0"/>
                <w:sz w:val="24"/>
                <w:szCs w:val="24"/>
                <w:highlight w:val="none"/>
                <w:u w:val="none"/>
                <w:lang w:val="en-US" w:eastAsia="zh-CN" w:bidi="ar"/>
              </w:rPr>
              <w:t>巡检服务</w:t>
            </w:r>
          </w:p>
        </w:tc>
        <w:tc>
          <w:tcPr>
            <w:tcW w:w="4798"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巡检服务合理、具有可操作。分值（1.0、0.5、0）</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评审依据/证明材料：巡检服务的详细描述</w:t>
            </w:r>
          </w:p>
        </w:tc>
        <w:tc>
          <w:tcPr>
            <w:tcW w:w="7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0-1</w:t>
            </w:r>
          </w:p>
        </w:tc>
        <w:tc>
          <w:tcPr>
            <w:tcW w:w="737"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2" w:hRule="atLeast"/>
        </w:trPr>
        <w:tc>
          <w:tcPr>
            <w:tcW w:w="1057" w:type="dxa"/>
            <w:vMerge w:val="continue"/>
            <w:tcBorders>
              <w:tl2br w:val="nil"/>
              <w:tr2bl w:val="nil"/>
            </w:tcBorders>
            <w:shd w:val="clear" w:color="auto" w:fill="auto"/>
            <w:vAlign w:val="center"/>
          </w:tcPr>
          <w:p>
            <w:pPr>
              <w:widowControl/>
              <w:spacing w:line="360" w:lineRule="auto"/>
              <w:jc w:val="center"/>
              <w:rPr>
                <w:rFonts w:ascii="仿宋" w:hAnsi="仿宋" w:eastAsia="仿宋" w:cs="仿宋"/>
                <w:color w:val="auto"/>
                <w:sz w:val="24"/>
                <w:highlight w:val="none"/>
              </w:rPr>
            </w:pPr>
          </w:p>
        </w:tc>
        <w:tc>
          <w:tcPr>
            <w:tcW w:w="737" w:type="dxa"/>
            <w:tcBorders>
              <w:tl2br w:val="nil"/>
              <w:tr2bl w:val="nil"/>
            </w:tcBorders>
            <w:shd w:val="clear" w:color="auto" w:fill="auto"/>
            <w:vAlign w:val="center"/>
          </w:tcPr>
          <w:p>
            <w:pPr>
              <w:widowControl/>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23</w:t>
            </w:r>
          </w:p>
        </w:tc>
        <w:tc>
          <w:tcPr>
            <w:tcW w:w="1102"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auto"/>
                <w:sz w:val="24"/>
                <w:highlight w:val="none"/>
              </w:rPr>
            </w:pPr>
            <w:r>
              <w:rPr>
                <w:rFonts w:hint="eastAsia" w:ascii="仿宋" w:hAnsi="仿宋" w:eastAsia="仿宋" w:cs="仿宋"/>
                <w:i w:val="0"/>
                <w:iCs w:val="0"/>
                <w:color w:val="auto"/>
                <w:kern w:val="0"/>
                <w:sz w:val="24"/>
                <w:szCs w:val="24"/>
                <w:highlight w:val="none"/>
                <w:u w:val="none"/>
                <w:lang w:val="en-US" w:eastAsia="zh-CN" w:bidi="ar"/>
              </w:rPr>
              <w:t>拟投入的工器具及主材设备</w:t>
            </w:r>
          </w:p>
        </w:tc>
        <w:tc>
          <w:tcPr>
            <w:tcW w:w="4798"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拟投入工器具及主材设备合理，有效，充分。分值（4.0、3.0、2.0、1.0、0）</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评审依据/证明材料：拟投入工器具及主材设备的详细描述</w:t>
            </w:r>
          </w:p>
        </w:tc>
        <w:tc>
          <w:tcPr>
            <w:tcW w:w="7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0-4</w:t>
            </w:r>
          </w:p>
        </w:tc>
        <w:tc>
          <w:tcPr>
            <w:tcW w:w="737"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2" w:hRule="atLeast"/>
        </w:trPr>
        <w:tc>
          <w:tcPr>
            <w:tcW w:w="1057" w:type="dxa"/>
            <w:vMerge w:val="continue"/>
            <w:tcBorders>
              <w:tl2br w:val="nil"/>
              <w:tr2bl w:val="nil"/>
            </w:tcBorders>
            <w:shd w:val="clear" w:color="auto" w:fill="auto"/>
            <w:vAlign w:val="center"/>
          </w:tcPr>
          <w:p>
            <w:pPr>
              <w:widowControl/>
              <w:spacing w:line="360" w:lineRule="auto"/>
              <w:jc w:val="center"/>
              <w:rPr>
                <w:rFonts w:ascii="仿宋" w:hAnsi="仿宋" w:eastAsia="仿宋" w:cs="仿宋"/>
                <w:color w:val="auto"/>
                <w:sz w:val="24"/>
                <w:highlight w:val="none"/>
              </w:rPr>
            </w:pPr>
          </w:p>
        </w:tc>
        <w:tc>
          <w:tcPr>
            <w:tcW w:w="737" w:type="dxa"/>
            <w:tcBorders>
              <w:tl2br w:val="nil"/>
              <w:tr2bl w:val="nil"/>
            </w:tcBorders>
            <w:shd w:val="clear" w:color="auto" w:fill="auto"/>
            <w:vAlign w:val="center"/>
          </w:tcPr>
          <w:p>
            <w:pPr>
              <w:widowControl/>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24</w:t>
            </w:r>
          </w:p>
        </w:tc>
        <w:tc>
          <w:tcPr>
            <w:tcW w:w="1102"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auto"/>
                <w:sz w:val="24"/>
                <w:highlight w:val="none"/>
              </w:rPr>
            </w:pPr>
            <w:r>
              <w:rPr>
                <w:rFonts w:hint="eastAsia" w:ascii="仿宋" w:hAnsi="仿宋" w:eastAsia="仿宋" w:cs="仿宋"/>
                <w:i w:val="0"/>
                <w:iCs w:val="0"/>
                <w:color w:val="auto"/>
                <w:kern w:val="0"/>
                <w:sz w:val="24"/>
                <w:szCs w:val="24"/>
                <w:highlight w:val="none"/>
                <w:u w:val="none"/>
                <w:lang w:val="en-US" w:eastAsia="zh-CN" w:bidi="ar"/>
              </w:rPr>
              <w:t>服务人员及团队</w:t>
            </w:r>
          </w:p>
        </w:tc>
        <w:tc>
          <w:tcPr>
            <w:tcW w:w="4798"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服务团队人具有有效期内的应急管理主管部门签发的制冷与空调作业证书、电工作业证书、高处作业证书、焊接与热切割作业证书每提供一本得1分（提供最近6个月内社保任意一月），一人多证可以重复计算。持证人员须提供本单位近六个月社保缴纳证明，证书及社保证明原件备查。</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评审依据/证明材料：制冷与空调作业证书、电工作业证书、高处作业证书、焊接与热切割作业证书、持证人员社保缴纳证明</w:t>
            </w:r>
          </w:p>
        </w:tc>
        <w:tc>
          <w:tcPr>
            <w:tcW w:w="7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0-4</w:t>
            </w:r>
          </w:p>
        </w:tc>
        <w:tc>
          <w:tcPr>
            <w:tcW w:w="737"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2" w:hRule="atLeast"/>
        </w:trPr>
        <w:tc>
          <w:tcPr>
            <w:tcW w:w="1057" w:type="dxa"/>
            <w:vMerge w:val="continue"/>
            <w:tcBorders>
              <w:tl2br w:val="nil"/>
              <w:tr2bl w:val="nil"/>
            </w:tcBorders>
            <w:shd w:val="clear" w:color="auto" w:fill="auto"/>
            <w:vAlign w:val="center"/>
          </w:tcPr>
          <w:p>
            <w:pPr>
              <w:widowControl/>
              <w:spacing w:line="360" w:lineRule="auto"/>
              <w:jc w:val="center"/>
              <w:rPr>
                <w:rFonts w:ascii="仿宋" w:hAnsi="仿宋" w:eastAsia="仿宋" w:cs="仿宋"/>
                <w:color w:val="auto"/>
                <w:sz w:val="24"/>
                <w:highlight w:val="none"/>
              </w:rPr>
            </w:pPr>
          </w:p>
        </w:tc>
        <w:tc>
          <w:tcPr>
            <w:tcW w:w="737" w:type="dxa"/>
            <w:tcBorders>
              <w:tl2br w:val="nil"/>
              <w:tr2bl w:val="nil"/>
            </w:tcBorders>
            <w:shd w:val="clear" w:color="auto" w:fill="auto"/>
            <w:vAlign w:val="center"/>
          </w:tcPr>
          <w:p>
            <w:pPr>
              <w:widowControl/>
              <w:spacing w:line="36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25</w:t>
            </w:r>
          </w:p>
        </w:tc>
        <w:tc>
          <w:tcPr>
            <w:tcW w:w="1102"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auto"/>
                <w:sz w:val="24"/>
                <w:highlight w:val="none"/>
              </w:rPr>
            </w:pPr>
            <w:r>
              <w:rPr>
                <w:rFonts w:hint="eastAsia" w:ascii="仿宋" w:hAnsi="仿宋" w:eastAsia="仿宋" w:cs="仿宋"/>
                <w:i w:val="0"/>
                <w:iCs w:val="0"/>
                <w:color w:val="auto"/>
                <w:kern w:val="0"/>
                <w:sz w:val="24"/>
                <w:szCs w:val="24"/>
                <w:highlight w:val="none"/>
                <w:u w:val="none"/>
                <w:lang w:val="en-US" w:eastAsia="zh-CN" w:bidi="ar"/>
              </w:rPr>
              <w:t>实施计划</w:t>
            </w:r>
          </w:p>
        </w:tc>
        <w:tc>
          <w:tcPr>
            <w:tcW w:w="4798"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bookmarkStart w:id="390" w:name="_GoBack"/>
            <w:r>
              <w:rPr>
                <w:rFonts w:hint="eastAsia" w:ascii="仿宋" w:hAnsi="仿宋" w:eastAsia="仿宋" w:cs="仿宋"/>
                <w:i w:val="0"/>
                <w:iCs w:val="0"/>
                <w:color w:val="auto"/>
                <w:kern w:val="0"/>
                <w:sz w:val="24"/>
                <w:szCs w:val="24"/>
                <w:highlight w:val="none"/>
                <w:u w:val="none"/>
                <w:lang w:val="en-US" w:eastAsia="zh-CN" w:bidi="ar"/>
              </w:rPr>
              <w:t>充分考虑院内手术室的正常运行，合理安排维修、维保实施方案。分值（2.0、1.5、1.0、0）</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评审依据/证明材料：实施计划</w:t>
            </w:r>
            <w:bookmarkEnd w:id="390"/>
          </w:p>
        </w:tc>
        <w:tc>
          <w:tcPr>
            <w:tcW w:w="7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0-2</w:t>
            </w:r>
          </w:p>
        </w:tc>
        <w:tc>
          <w:tcPr>
            <w:tcW w:w="737"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r>
    </w:tbl>
    <w:p>
      <w:pPr>
        <w:widowControl/>
        <w:spacing w:line="360" w:lineRule="auto"/>
        <w:rPr>
          <w:rFonts w:ascii="仿宋" w:hAnsi="仿宋" w:eastAsia="仿宋" w:cs="仿宋"/>
          <w:b/>
          <w:color w:val="auto"/>
          <w:sz w:val="24"/>
          <w:highlight w:val="none"/>
        </w:rPr>
      </w:pPr>
    </w:p>
    <w:p>
      <w:pPr>
        <w:widowControl/>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1、评分条款中涉及的业绩、荣誉、人员、社保等证明材料如为投标人或其分公司出具的均有效。</w:t>
      </w:r>
    </w:p>
    <w:p>
      <w:pPr>
        <w:widowControl/>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widowControl/>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3、投标人编制投标文件（商务技术文件部分）时，建议按此目录（序号和内容）提供评标标准相应的商务技术资料。 </w:t>
      </w:r>
    </w:p>
    <w:p>
      <w:pPr>
        <w:widowControl/>
        <w:spacing w:line="360" w:lineRule="auto"/>
        <w:ind w:firstLine="480" w:firstLineChars="200"/>
        <w:rPr>
          <w:rFonts w:hint="eastAsia" w:ascii="仿宋" w:hAnsi="仿宋" w:eastAsia="仿宋" w:cs="仿宋"/>
          <w:color w:val="auto"/>
          <w:sz w:val="24"/>
          <w:highlight w:val="none"/>
        </w:rPr>
      </w:pPr>
    </w:p>
    <w:p>
      <w:pPr>
        <w:widowControl/>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3、价格分（</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分）</w:t>
      </w:r>
    </w:p>
    <w:tbl>
      <w:tblPr>
        <w:tblStyle w:val="63"/>
        <w:tblpPr w:leftFromText="180" w:rightFromText="180" w:vertAnchor="text" w:horzAnchor="page" w:tblpX="1643" w:tblpY="452"/>
        <w:tblOverlap w:val="never"/>
        <w:tblW w:w="8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价格权值=</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最低有效投标价格为评标基准价</w:t>
            </w:r>
          </w:p>
          <w:p>
            <w:pPr>
              <w:widowControl/>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投标报价得分=(评标基准价／投标报价)×价格权值（即</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 xml:space="preserve">%）×100 </w:t>
            </w:r>
          </w:p>
          <w:p>
            <w:pPr>
              <w:widowControl/>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tc>
      </w:tr>
    </w:tbl>
    <w:p>
      <w:pPr>
        <w:rPr>
          <w:color w:val="auto"/>
          <w:highlight w:val="none"/>
        </w:rPr>
      </w:pPr>
    </w:p>
    <w:p>
      <w:pPr>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pPr>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pacing w:line="360" w:lineRule="auto"/>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w:t>
      </w:r>
      <w:r>
        <w:rPr>
          <w:rFonts w:hint="eastAsia" w:ascii="仿宋" w:hAnsi="仿宋" w:eastAsia="仿宋" w:cs="仿宋"/>
          <w:b/>
          <w:color w:val="auto"/>
          <w:sz w:val="32"/>
          <w:szCs w:val="32"/>
          <w:highlight w:val="none"/>
        </w:rPr>
        <w:t>评标程序</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40"/>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4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pPr>
        <w:pStyle w:val="14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pPr>
        <w:pStyle w:val="14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pPr>
        <w:pStyle w:val="14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pPr>
        <w:pStyle w:val="14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pPr>
        <w:pStyle w:val="14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pPr>
        <w:pStyle w:val="14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对于未预留份额专门面向中小企业的政府采购货物或服务项目，以及预留份额政府采购货物或服务项目中的非预留部分标项，对小型和微型企业的投标报价给予1</w:t>
      </w:r>
      <w:r>
        <w:rPr>
          <w:rFonts w:ascii="仿宋" w:hAnsi="仿宋" w:eastAsia="仿宋" w:cs="仿宋"/>
          <w:color w:val="auto"/>
          <w:kern w:val="0"/>
          <w:szCs w:val="24"/>
          <w:highlight w:val="none"/>
        </w:rPr>
        <w:t>0%的扣除，用扣除后的价格参与评审。接受大中型企业与小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w:t>
      </w:r>
      <w:r>
        <w:rPr>
          <w:rFonts w:hint="eastAsia" w:ascii="仿宋" w:hAnsi="仿宋" w:eastAsia="仿宋" w:cs="仿宋"/>
          <w:color w:val="auto"/>
          <w:kern w:val="0"/>
          <w:szCs w:val="24"/>
          <w:highlight w:val="none"/>
        </w:rPr>
        <w:t>4</w:t>
      </w:r>
      <w:r>
        <w:rPr>
          <w:rFonts w:ascii="仿宋" w:hAnsi="仿宋" w:eastAsia="仿宋" w:cs="仿宋"/>
          <w:color w:val="auto"/>
          <w:kern w:val="0"/>
          <w:szCs w:val="24"/>
          <w:highlight w:val="none"/>
        </w:rPr>
        <w:t>%的扣除，用扣除后的价格参加评审。组成联合体或者接受分包的小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pPr>
        <w:spacing w:line="360" w:lineRule="auto"/>
        <w:ind w:firstLine="482" w:firstLineChars="200"/>
        <w:rPr>
          <w:rFonts w:hint="default" w:ascii="仿宋" w:hAnsi="仿宋" w:eastAsia="仿宋" w:cs="仿宋"/>
          <w:color w:val="auto"/>
          <w:kern w:val="0"/>
          <w:sz w:val="24"/>
          <w:highlight w:val="none"/>
          <w:lang w:val="en-US"/>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color w:val="auto"/>
          <w:kern w:val="0"/>
          <w:sz w:val="24"/>
          <w:highlight w:val="none"/>
          <w:lang w:val="en-US" w:eastAsia="zh-CN"/>
        </w:rPr>
        <w:t>本项目推荐一名中标候选人。</w:t>
      </w:r>
    </w:p>
    <w:p>
      <w:pPr>
        <w:spacing w:line="36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140"/>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4.2.11投标人有恶意串通、妨碍其他投标人的竞争行为、损害采购人或者其他投标人的合法权益情形的；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pPr>
        <w:spacing w:line="360" w:lineRule="auto"/>
        <w:ind w:firstLine="480" w:firstLineChars="200"/>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24"/>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pPr>
        <w:pStyle w:val="24"/>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24"/>
        <w:snapToGrid w:val="0"/>
        <w:spacing w:line="360" w:lineRule="auto"/>
        <w:ind w:firstLine="600" w:firstLineChars="250"/>
        <w:rPr>
          <w:rFonts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4"/>
        <w:snapToGrid w:val="0"/>
        <w:spacing w:line="360" w:lineRule="auto"/>
        <w:rPr>
          <w:rFonts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bookmarkEnd w:id="14"/>
      <w:bookmarkStart w:id="383" w:name="第五部分"/>
      <w:bookmarkStart w:id="384" w:name="_Toc86217003"/>
    </w:p>
    <w:p>
      <w:pPr>
        <w:jc w:val="left"/>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snapToGrid w:val="0"/>
        <w:spacing w:line="360" w:lineRule="auto"/>
        <w:ind w:firstLine="420" w:firstLineChars="200"/>
        <w:rPr>
          <w:rFonts w:ascii="仿宋" w:hAnsi="仿宋" w:eastAsia="仿宋" w:cs="仿宋"/>
          <w:color w:val="auto"/>
          <w:szCs w:val="21"/>
          <w:highlight w:val="none"/>
        </w:rPr>
      </w:pPr>
    </w:p>
    <w:p>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合同将由杭州市萧山区第一人民医院医共体总院（杭州市萧山区第一人民医院）（以下简称甲方）与经评审最终确定的中标供应商（以下简称乙方）结合本项目具体情况协商后签订。以下为采购人提出涉及乙方的主要条款，供应商在招标文件中应对其进行确认或拒绝。如供应商在其招标文件中未做拒绝或提出修改要求的，采购人将视作认同。</w:t>
      </w:r>
    </w:p>
    <w:p>
      <w:pPr>
        <w:spacing w:line="360" w:lineRule="auto"/>
        <w:rPr>
          <w:color w:val="auto"/>
          <w:highlight w:val="none"/>
        </w:rPr>
      </w:pPr>
    </w:p>
    <w:p>
      <w:pPr>
        <w:tabs>
          <w:tab w:val="left" w:pos="2143"/>
          <w:tab w:val="center" w:pos="4664"/>
        </w:tabs>
        <w:spacing w:line="360" w:lineRule="auto"/>
        <w:jc w:val="center"/>
        <w:rPr>
          <w:rFonts w:ascii="仿宋" w:hAnsi="仿宋" w:eastAsia="仿宋" w:cs="仿宋"/>
          <w:b/>
          <w:color w:val="auto"/>
          <w:kern w:val="0"/>
          <w:sz w:val="36"/>
          <w:szCs w:val="36"/>
          <w:highlight w:val="none"/>
        </w:rPr>
      </w:pPr>
      <w:r>
        <w:rPr>
          <w:rFonts w:hint="eastAsia" w:ascii="仿宋" w:hAnsi="仿宋" w:eastAsia="仿宋" w:cs="仿宋"/>
          <w:b/>
          <w:color w:val="auto"/>
          <w:sz w:val="36"/>
          <w:szCs w:val="36"/>
          <w:highlight w:val="none"/>
        </w:rPr>
        <w:t>杭州市萧山区第一人民医院医共体总院（杭州市萧山区第一人民医院）</w:t>
      </w:r>
      <w:r>
        <w:rPr>
          <w:rFonts w:hint="eastAsia" w:ascii="仿宋" w:hAnsi="仿宋" w:eastAsia="仿宋" w:cs="仿宋"/>
          <w:b/>
          <w:color w:val="auto"/>
          <w:sz w:val="36"/>
          <w:szCs w:val="36"/>
          <w:highlight w:val="none"/>
          <w:lang w:eastAsia="zh-CN"/>
        </w:rPr>
        <w:t>净化系统空调机组更新维护</w:t>
      </w:r>
      <w:r>
        <w:rPr>
          <w:rFonts w:hint="eastAsia" w:ascii="仿宋" w:hAnsi="仿宋" w:eastAsia="仿宋" w:cs="仿宋"/>
          <w:b/>
          <w:color w:val="auto"/>
          <w:sz w:val="36"/>
          <w:szCs w:val="36"/>
          <w:highlight w:val="none"/>
        </w:rPr>
        <w:t>合同</w:t>
      </w:r>
    </w:p>
    <w:p>
      <w:pPr>
        <w:pStyle w:val="24"/>
        <w:snapToGrid w:val="0"/>
        <w:spacing w:line="360" w:lineRule="auto"/>
        <w:ind w:firstLine="0" w:firstLineChars="0"/>
        <w:rPr>
          <w:rFonts w:ascii="仿宋" w:hAnsi="仿宋" w:eastAsia="仿宋" w:cs="仿宋"/>
          <w:b/>
          <w:color w:val="auto"/>
          <w:kern w:val="0"/>
          <w:highlight w:val="none"/>
        </w:rPr>
      </w:pPr>
      <w:r>
        <w:rPr>
          <w:rFonts w:hint="eastAsia" w:ascii="仿宋" w:hAnsi="仿宋" w:eastAsia="仿宋" w:cs="仿宋"/>
          <w:b/>
          <w:color w:val="auto"/>
          <w:kern w:val="0"/>
          <w:highlight w:val="none"/>
        </w:rPr>
        <w:t xml:space="preserve">  </w:t>
      </w:r>
    </w:p>
    <w:p>
      <w:pPr>
        <w:pStyle w:val="24"/>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甲方：杭州市萧山区第一人民医院</w:t>
      </w:r>
    </w:p>
    <w:p>
      <w:pPr>
        <w:widowControl/>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乙方：</w:t>
      </w:r>
      <w:r>
        <w:rPr>
          <w:rFonts w:hint="eastAsia" w:ascii="仿宋" w:hAnsi="仿宋" w:eastAsia="仿宋" w:cs="仿宋"/>
          <w:color w:val="auto"/>
          <w:kern w:val="0"/>
          <w:sz w:val="24"/>
          <w:highlight w:val="none"/>
        </w:rPr>
        <w:t xml:space="preserve"> </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根据《中华人民共和国民法典》的有关规定，结合甲方</w:t>
      </w:r>
      <w:r>
        <w:rPr>
          <w:rFonts w:hint="eastAsia" w:ascii="仿宋" w:hAnsi="仿宋" w:eastAsia="仿宋" w:cs="仿宋"/>
          <w:color w:val="auto"/>
          <w:sz w:val="24"/>
          <w:highlight w:val="none"/>
          <w:u w:val="single"/>
          <w:lang w:eastAsia="zh-CN"/>
        </w:rPr>
        <w:t>净化系统空调机组更新维护</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XSYY2024-GK-011</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公开招标结果，经甲、乙双方协商一致，签订本合同，共同信守。</w:t>
      </w:r>
    </w:p>
    <w:p>
      <w:pPr>
        <w:autoSpaceDE w:val="0"/>
        <w:autoSpaceDN w:val="0"/>
        <w:snapToGrid w:val="0"/>
        <w:spacing w:line="360" w:lineRule="auto"/>
        <w:ind w:firstLine="480" w:firstLineChars="200"/>
        <w:textAlignment w:val="bottom"/>
        <w:rPr>
          <w:rFonts w:ascii="仿宋" w:hAnsi="仿宋" w:eastAsia="仿宋"/>
          <w:b/>
          <w:color w:val="auto"/>
          <w:sz w:val="24"/>
          <w:highlight w:val="none"/>
        </w:rPr>
      </w:pPr>
      <w:r>
        <w:rPr>
          <w:rFonts w:hint="eastAsia" w:ascii="仿宋" w:hAnsi="仿宋" w:eastAsia="仿宋"/>
          <w:color w:val="auto"/>
          <w:sz w:val="24"/>
          <w:highlight w:val="none"/>
        </w:rPr>
        <w:t>一、</w:t>
      </w:r>
      <w:r>
        <w:rPr>
          <w:rFonts w:hint="eastAsia" w:ascii="仿宋" w:hAnsi="仿宋" w:eastAsia="仿宋"/>
          <w:b/>
          <w:color w:val="auto"/>
          <w:sz w:val="24"/>
          <w:highlight w:val="none"/>
        </w:rPr>
        <w:t>组成合同文件及其优先顺序（按顺序号的先后）</w:t>
      </w:r>
    </w:p>
    <w:p>
      <w:pPr>
        <w:autoSpaceDE w:val="0"/>
        <w:autoSpaceDN w:val="0"/>
        <w:snapToGrid w:val="0"/>
        <w:spacing w:line="360" w:lineRule="auto"/>
        <w:ind w:firstLine="480" w:firstLineChars="200"/>
        <w:textAlignment w:val="bottom"/>
        <w:rPr>
          <w:rFonts w:ascii="仿宋" w:hAnsi="仿宋" w:eastAsia="仿宋"/>
          <w:color w:val="auto"/>
          <w:sz w:val="24"/>
          <w:highlight w:val="none"/>
        </w:rPr>
      </w:pPr>
      <w:r>
        <w:rPr>
          <w:rFonts w:hint="eastAsia" w:ascii="仿宋" w:hAnsi="仿宋" w:eastAsia="仿宋"/>
          <w:color w:val="auto"/>
          <w:sz w:val="24"/>
          <w:highlight w:val="none"/>
        </w:rPr>
        <w:t>组成合同的各项文件应相互解释，互为说明。除合同另有规定外，其优先顺序如下：</w:t>
      </w:r>
    </w:p>
    <w:p>
      <w:pPr>
        <w:autoSpaceDE w:val="0"/>
        <w:autoSpaceDN w:val="0"/>
        <w:snapToGrid w:val="0"/>
        <w:spacing w:line="360" w:lineRule="auto"/>
        <w:ind w:firstLine="480" w:firstLineChars="200"/>
        <w:textAlignment w:val="bottom"/>
        <w:rPr>
          <w:rFonts w:ascii="仿宋" w:hAnsi="仿宋" w:eastAsia="仿宋"/>
          <w:color w:val="auto"/>
          <w:sz w:val="24"/>
          <w:highlight w:val="none"/>
        </w:rPr>
      </w:pPr>
      <w:r>
        <w:rPr>
          <w:rFonts w:ascii="仿宋" w:hAnsi="仿宋" w:eastAsia="仿宋"/>
          <w:color w:val="auto"/>
          <w:sz w:val="24"/>
          <w:highlight w:val="none"/>
        </w:rPr>
        <w:t>（1）合同</w:t>
      </w:r>
      <w:r>
        <w:rPr>
          <w:rFonts w:hint="eastAsia" w:ascii="仿宋" w:hAnsi="仿宋" w:eastAsia="仿宋"/>
          <w:color w:val="auto"/>
          <w:sz w:val="24"/>
          <w:highlight w:val="none"/>
        </w:rPr>
        <w:t>文本。</w:t>
      </w:r>
    </w:p>
    <w:p>
      <w:pPr>
        <w:autoSpaceDE w:val="0"/>
        <w:autoSpaceDN w:val="0"/>
        <w:snapToGrid w:val="0"/>
        <w:spacing w:line="360" w:lineRule="auto"/>
        <w:ind w:firstLine="480" w:firstLineChars="200"/>
        <w:textAlignment w:val="bottom"/>
        <w:rPr>
          <w:rFonts w:ascii="仿宋" w:hAnsi="仿宋" w:eastAsia="仿宋"/>
          <w:color w:val="auto"/>
          <w:sz w:val="24"/>
          <w:highlight w:val="none"/>
        </w:rPr>
      </w:pPr>
      <w:r>
        <w:rPr>
          <w:rFonts w:ascii="仿宋" w:hAnsi="仿宋" w:eastAsia="仿宋"/>
          <w:color w:val="auto"/>
          <w:sz w:val="24"/>
          <w:highlight w:val="none"/>
        </w:rPr>
        <w:t>（2）中标通知书</w:t>
      </w:r>
      <w:r>
        <w:rPr>
          <w:rFonts w:hint="eastAsia" w:ascii="仿宋" w:hAnsi="仿宋" w:eastAsia="仿宋"/>
          <w:color w:val="auto"/>
          <w:sz w:val="24"/>
          <w:highlight w:val="none"/>
        </w:rPr>
        <w:t>。</w:t>
      </w:r>
    </w:p>
    <w:p>
      <w:pPr>
        <w:autoSpaceDE w:val="0"/>
        <w:autoSpaceDN w:val="0"/>
        <w:snapToGrid w:val="0"/>
        <w:spacing w:line="360" w:lineRule="auto"/>
        <w:ind w:firstLine="480" w:firstLineChars="200"/>
        <w:textAlignment w:val="bottom"/>
        <w:rPr>
          <w:rFonts w:ascii="仿宋" w:hAnsi="仿宋" w:eastAsia="仿宋"/>
          <w:color w:val="auto"/>
          <w:sz w:val="24"/>
          <w:highlight w:val="none"/>
        </w:rPr>
      </w:pPr>
      <w:r>
        <w:rPr>
          <w:rFonts w:ascii="仿宋" w:hAnsi="仿宋" w:eastAsia="仿宋"/>
          <w:color w:val="auto"/>
          <w:sz w:val="24"/>
          <w:highlight w:val="none"/>
        </w:rPr>
        <w:t>（</w:t>
      </w:r>
      <w:r>
        <w:rPr>
          <w:rFonts w:hint="eastAsia" w:ascii="仿宋" w:hAnsi="仿宋" w:eastAsia="仿宋"/>
          <w:color w:val="auto"/>
          <w:sz w:val="24"/>
          <w:highlight w:val="none"/>
        </w:rPr>
        <w:t>3</w:t>
      </w:r>
      <w:r>
        <w:rPr>
          <w:rFonts w:ascii="仿宋" w:hAnsi="仿宋" w:eastAsia="仿宋"/>
          <w:color w:val="auto"/>
          <w:sz w:val="24"/>
          <w:highlight w:val="none"/>
        </w:rPr>
        <w:t>）投标文件及其附件（含询标纪要）；</w:t>
      </w:r>
      <w:r>
        <w:rPr>
          <w:rFonts w:hint="eastAsia" w:ascii="仿宋" w:hAnsi="仿宋" w:eastAsia="仿宋"/>
          <w:color w:val="auto"/>
          <w:sz w:val="24"/>
          <w:highlight w:val="none"/>
        </w:rPr>
        <w:t>【如有负偏离招标文件要求的内容，则无条件按招标文件执行】。</w:t>
      </w:r>
    </w:p>
    <w:p>
      <w:pPr>
        <w:autoSpaceDE w:val="0"/>
        <w:autoSpaceDN w:val="0"/>
        <w:snapToGrid w:val="0"/>
        <w:spacing w:line="360" w:lineRule="auto"/>
        <w:ind w:firstLine="480" w:firstLineChars="200"/>
        <w:textAlignment w:val="bottom"/>
        <w:rPr>
          <w:rFonts w:ascii="仿宋" w:hAnsi="仿宋" w:eastAsia="仿宋"/>
          <w:color w:val="auto"/>
          <w:sz w:val="24"/>
          <w:highlight w:val="none"/>
        </w:rPr>
      </w:pPr>
      <w:r>
        <w:rPr>
          <w:rFonts w:ascii="仿宋" w:hAnsi="仿宋" w:eastAsia="仿宋"/>
          <w:color w:val="auto"/>
          <w:sz w:val="24"/>
          <w:highlight w:val="none"/>
        </w:rPr>
        <w:t>（</w:t>
      </w:r>
      <w:r>
        <w:rPr>
          <w:rFonts w:hint="eastAsia" w:ascii="仿宋" w:hAnsi="仿宋" w:eastAsia="仿宋"/>
          <w:color w:val="auto"/>
          <w:sz w:val="24"/>
          <w:highlight w:val="none"/>
        </w:rPr>
        <w:t>4</w:t>
      </w:r>
      <w:r>
        <w:rPr>
          <w:rFonts w:ascii="仿宋" w:hAnsi="仿宋" w:eastAsia="仿宋"/>
          <w:color w:val="auto"/>
          <w:sz w:val="24"/>
          <w:highlight w:val="none"/>
        </w:rPr>
        <w:t>）招标文件（含补充文件、答疑纪要）</w:t>
      </w:r>
      <w:r>
        <w:rPr>
          <w:rFonts w:hint="eastAsia" w:ascii="仿宋" w:hAnsi="仿宋" w:eastAsia="仿宋"/>
          <w:color w:val="auto"/>
          <w:sz w:val="24"/>
          <w:highlight w:val="none"/>
        </w:rPr>
        <w:t>。</w:t>
      </w:r>
    </w:p>
    <w:p>
      <w:pPr>
        <w:autoSpaceDE w:val="0"/>
        <w:autoSpaceDN w:val="0"/>
        <w:snapToGrid w:val="0"/>
        <w:spacing w:line="360" w:lineRule="auto"/>
        <w:ind w:firstLine="480" w:firstLineChars="200"/>
        <w:textAlignment w:val="bottom"/>
        <w:rPr>
          <w:rFonts w:ascii="仿宋" w:hAnsi="仿宋" w:eastAsia="仿宋"/>
          <w:color w:val="auto"/>
          <w:sz w:val="24"/>
          <w:highlight w:val="none"/>
        </w:rPr>
      </w:pPr>
      <w:r>
        <w:rPr>
          <w:rFonts w:ascii="仿宋" w:hAnsi="仿宋" w:eastAsia="仿宋"/>
          <w:color w:val="auto"/>
          <w:sz w:val="24"/>
          <w:highlight w:val="none"/>
        </w:rPr>
        <w:t>（</w:t>
      </w:r>
      <w:r>
        <w:rPr>
          <w:rFonts w:hint="eastAsia" w:ascii="仿宋" w:hAnsi="仿宋" w:eastAsia="仿宋"/>
          <w:color w:val="auto"/>
          <w:sz w:val="24"/>
          <w:highlight w:val="none"/>
        </w:rPr>
        <w:t>5</w:t>
      </w:r>
      <w:r>
        <w:rPr>
          <w:rFonts w:ascii="仿宋" w:hAnsi="仿宋" w:eastAsia="仿宋"/>
          <w:color w:val="auto"/>
          <w:sz w:val="24"/>
          <w:highlight w:val="none"/>
        </w:rPr>
        <w:t>）标准、规范及有关技术文件</w:t>
      </w:r>
      <w:r>
        <w:rPr>
          <w:rFonts w:hint="eastAsia" w:ascii="仿宋" w:hAnsi="仿宋" w:eastAsia="仿宋"/>
          <w:color w:val="auto"/>
          <w:sz w:val="24"/>
          <w:highlight w:val="none"/>
        </w:rPr>
        <w:t>。</w:t>
      </w:r>
    </w:p>
    <w:p>
      <w:pPr>
        <w:autoSpaceDE w:val="0"/>
        <w:autoSpaceDN w:val="0"/>
        <w:snapToGrid w:val="0"/>
        <w:spacing w:line="360" w:lineRule="auto"/>
        <w:ind w:firstLine="480" w:firstLineChars="200"/>
        <w:textAlignment w:val="bottom"/>
        <w:rPr>
          <w:rFonts w:ascii="仿宋" w:hAnsi="仿宋" w:eastAsia="仿宋"/>
          <w:color w:val="auto"/>
          <w:sz w:val="24"/>
          <w:highlight w:val="none"/>
        </w:rPr>
      </w:pPr>
      <w:r>
        <w:rPr>
          <w:rFonts w:hint="eastAsia" w:ascii="仿宋" w:hAnsi="仿宋" w:eastAsia="仿宋"/>
          <w:color w:val="auto"/>
          <w:sz w:val="24"/>
          <w:highlight w:val="none"/>
        </w:rPr>
        <w:t>甲乙双方</w:t>
      </w:r>
      <w:r>
        <w:rPr>
          <w:rFonts w:ascii="仿宋" w:hAnsi="仿宋" w:eastAsia="仿宋"/>
          <w:color w:val="auto"/>
          <w:sz w:val="24"/>
          <w:highlight w:val="none"/>
        </w:rPr>
        <w:t>有关</w:t>
      </w:r>
      <w:r>
        <w:rPr>
          <w:rFonts w:hint="eastAsia" w:ascii="仿宋" w:hAnsi="仿宋" w:eastAsia="仿宋"/>
          <w:color w:val="auto"/>
          <w:sz w:val="24"/>
          <w:highlight w:val="none"/>
        </w:rPr>
        <w:t>项目实施过程中</w:t>
      </w:r>
      <w:r>
        <w:rPr>
          <w:rFonts w:ascii="仿宋" w:hAnsi="仿宋" w:eastAsia="仿宋"/>
          <w:color w:val="auto"/>
          <w:sz w:val="24"/>
          <w:highlight w:val="none"/>
        </w:rPr>
        <w:t>的洽商、变更等书面协议或文件作为本合同的组成部分。</w:t>
      </w:r>
    </w:p>
    <w:p>
      <w:pPr>
        <w:autoSpaceDE w:val="0"/>
        <w:autoSpaceDN w:val="0"/>
        <w:snapToGrid w:val="0"/>
        <w:spacing w:line="360" w:lineRule="auto"/>
        <w:ind w:firstLine="480" w:firstLineChars="200"/>
        <w:textAlignment w:val="bottom"/>
        <w:rPr>
          <w:rFonts w:ascii="仿宋" w:hAnsi="仿宋" w:eastAsia="仿宋"/>
          <w:color w:val="auto"/>
          <w:sz w:val="24"/>
          <w:highlight w:val="none"/>
        </w:rPr>
      </w:pPr>
      <w:r>
        <w:rPr>
          <w:rFonts w:hint="eastAsia" w:ascii="仿宋" w:hAnsi="仿宋" w:eastAsia="仿宋"/>
          <w:color w:val="auto"/>
          <w:sz w:val="24"/>
          <w:highlight w:val="none"/>
        </w:rPr>
        <w:t>（签订合同时，招标要求、投标的优惠承诺等均可作为合同条款。）</w:t>
      </w:r>
    </w:p>
    <w:p>
      <w:pPr>
        <w:autoSpaceDE w:val="0"/>
        <w:autoSpaceDN w:val="0"/>
        <w:snapToGrid w:val="0"/>
        <w:spacing w:line="360" w:lineRule="auto"/>
        <w:ind w:firstLine="482" w:firstLineChars="200"/>
        <w:textAlignment w:val="bottom"/>
        <w:rPr>
          <w:rFonts w:ascii="仿宋" w:hAnsi="仿宋" w:eastAsia="仿宋"/>
          <w:b/>
          <w:color w:val="auto"/>
          <w:sz w:val="24"/>
          <w:highlight w:val="none"/>
        </w:rPr>
      </w:pPr>
      <w:r>
        <w:rPr>
          <w:rFonts w:hint="eastAsia" w:ascii="仿宋" w:hAnsi="仿宋" w:eastAsia="仿宋"/>
          <w:b/>
          <w:color w:val="auto"/>
          <w:sz w:val="24"/>
          <w:highlight w:val="none"/>
        </w:rPr>
        <w:t>2、服务期：</w:t>
      </w:r>
      <w:r>
        <w:rPr>
          <w:rFonts w:hint="eastAsia" w:ascii="仿宋" w:hAnsi="仿宋" w:eastAsia="仿宋"/>
          <w:b/>
          <w:color w:val="auto"/>
          <w:sz w:val="24"/>
          <w:highlight w:val="none"/>
          <w:u w:val="single"/>
        </w:rPr>
        <w:t xml:space="preserve">                     </w:t>
      </w:r>
      <w:r>
        <w:rPr>
          <w:rFonts w:hint="eastAsia" w:ascii="仿宋" w:hAnsi="仿宋" w:eastAsia="仿宋"/>
          <w:b/>
          <w:color w:val="auto"/>
          <w:sz w:val="24"/>
          <w:highlight w:val="none"/>
        </w:rPr>
        <w:t>。</w:t>
      </w:r>
    </w:p>
    <w:p>
      <w:pPr>
        <w:pStyle w:val="33"/>
        <w:snapToGrid w:val="0"/>
        <w:spacing w:before="120" w:after="120"/>
        <w:ind w:left="1" w:firstLine="447" w:firstLineChars="213"/>
        <w:rPr>
          <w:color w:val="auto"/>
          <w:highlight w:val="none"/>
        </w:rPr>
      </w:pPr>
      <w:r>
        <w:rPr>
          <w:rFonts w:hint="eastAsia"/>
          <w:color w:val="auto"/>
          <w:highlight w:val="none"/>
        </w:rPr>
        <w:t>3、服务要求：</w:t>
      </w:r>
      <w:r>
        <w:rPr>
          <w:rFonts w:hint="eastAsia"/>
          <w:color w:val="auto"/>
          <w:highlight w:val="none"/>
          <w:u w:val="single"/>
        </w:rPr>
        <w:t xml:space="preserve">                   </w:t>
      </w:r>
      <w:r>
        <w:rPr>
          <w:rFonts w:hint="eastAsia"/>
          <w:color w:val="auto"/>
          <w:highlight w:val="none"/>
        </w:rPr>
        <w:t>。</w:t>
      </w:r>
    </w:p>
    <w:p>
      <w:pPr>
        <w:snapToGrid w:val="0"/>
        <w:spacing w:before="120" w:after="120" w:line="360" w:lineRule="auto"/>
        <w:ind w:firstLine="513" w:firstLineChars="213"/>
        <w:rPr>
          <w:rFonts w:ascii="仿宋" w:hAnsi="仿宋" w:eastAsia="仿宋" w:cs="宋体"/>
          <w:b/>
          <w:snapToGrid w:val="0"/>
          <w:color w:val="auto"/>
          <w:kern w:val="0"/>
          <w:sz w:val="24"/>
          <w:highlight w:val="none"/>
        </w:rPr>
      </w:pPr>
      <w:r>
        <w:rPr>
          <w:rFonts w:hint="eastAsia" w:ascii="仿宋" w:hAnsi="仿宋" w:eastAsia="仿宋" w:cs="宋体"/>
          <w:b/>
          <w:snapToGrid w:val="0"/>
          <w:color w:val="auto"/>
          <w:kern w:val="0"/>
          <w:sz w:val="24"/>
          <w:highlight w:val="none"/>
        </w:rPr>
        <w:t>二、技术资料</w:t>
      </w:r>
    </w:p>
    <w:p>
      <w:pPr>
        <w:snapToGrid w:val="0"/>
        <w:spacing w:before="120" w:after="120" w:line="360" w:lineRule="auto"/>
        <w:ind w:firstLine="511" w:firstLineChars="213"/>
        <w:rPr>
          <w:rFonts w:ascii="仿宋" w:hAnsi="仿宋" w:eastAsia="仿宋" w:cs="宋体"/>
          <w:snapToGrid w:val="0"/>
          <w:color w:val="auto"/>
          <w:kern w:val="0"/>
          <w:sz w:val="24"/>
          <w:highlight w:val="none"/>
        </w:rPr>
      </w:pPr>
      <w:r>
        <w:rPr>
          <w:rFonts w:hint="eastAsia" w:ascii="仿宋" w:hAnsi="仿宋" w:eastAsia="仿宋" w:cs="宋体"/>
          <w:snapToGrid w:val="0"/>
          <w:color w:val="auto"/>
          <w:kern w:val="0"/>
          <w:sz w:val="24"/>
          <w:highlight w:val="none"/>
        </w:rPr>
        <w:t>1.乙方应按招标文件规定的时间向甲方提供使用货物的有关技术资料。</w:t>
      </w:r>
    </w:p>
    <w:p>
      <w:pPr>
        <w:snapToGrid w:val="0"/>
        <w:spacing w:before="120" w:after="120" w:line="360" w:lineRule="auto"/>
        <w:ind w:firstLine="511" w:firstLineChars="213"/>
        <w:rPr>
          <w:rFonts w:ascii="仿宋" w:hAnsi="仿宋" w:eastAsia="仿宋" w:cs="宋体"/>
          <w:snapToGrid w:val="0"/>
          <w:color w:val="auto"/>
          <w:kern w:val="0"/>
          <w:sz w:val="24"/>
          <w:highlight w:val="none"/>
        </w:rPr>
      </w:pPr>
      <w:r>
        <w:rPr>
          <w:rFonts w:hint="eastAsia" w:ascii="仿宋" w:hAnsi="仿宋" w:eastAsia="仿宋" w:cs="宋体"/>
          <w:snapToGrid w:val="0"/>
          <w:color w:val="auto"/>
          <w:kern w:val="0"/>
          <w:sz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before="120" w:after="120" w:line="360" w:lineRule="auto"/>
        <w:ind w:firstLine="477" w:firstLineChars="198"/>
        <w:rPr>
          <w:rFonts w:ascii="仿宋" w:hAnsi="仿宋" w:eastAsia="仿宋" w:cs="宋体"/>
          <w:b/>
          <w:snapToGrid w:val="0"/>
          <w:color w:val="auto"/>
          <w:kern w:val="0"/>
          <w:sz w:val="24"/>
          <w:highlight w:val="none"/>
        </w:rPr>
      </w:pPr>
      <w:r>
        <w:rPr>
          <w:rFonts w:hint="eastAsia" w:ascii="仿宋" w:hAnsi="仿宋" w:eastAsia="仿宋" w:cs="宋体"/>
          <w:b/>
          <w:snapToGrid w:val="0"/>
          <w:color w:val="auto"/>
          <w:kern w:val="0"/>
          <w:sz w:val="24"/>
          <w:highlight w:val="none"/>
        </w:rPr>
        <w:t>三、知识产权</w:t>
      </w:r>
    </w:p>
    <w:p>
      <w:pPr>
        <w:snapToGrid w:val="0"/>
        <w:spacing w:before="120" w:after="120" w:line="360" w:lineRule="auto"/>
        <w:ind w:firstLine="511" w:firstLineChars="213"/>
        <w:rPr>
          <w:rFonts w:ascii="仿宋" w:hAnsi="仿宋" w:eastAsia="仿宋" w:cs="宋体"/>
          <w:bCs/>
          <w:snapToGrid w:val="0"/>
          <w:color w:val="auto"/>
          <w:kern w:val="0"/>
          <w:sz w:val="24"/>
          <w:highlight w:val="none"/>
        </w:rPr>
      </w:pPr>
      <w:r>
        <w:rPr>
          <w:rFonts w:hint="eastAsia" w:ascii="仿宋" w:hAnsi="仿宋" w:eastAsia="仿宋" w:cs="宋体"/>
          <w:snapToGrid w:val="0"/>
          <w:color w:val="auto"/>
          <w:kern w:val="0"/>
          <w:sz w:val="24"/>
          <w:highlight w:val="none"/>
        </w:rPr>
        <w:t>乙方应保证所提供的货物或其任何一部分均不会侵犯任何第三方的知识产权</w:t>
      </w:r>
      <w:r>
        <w:rPr>
          <w:rFonts w:hint="eastAsia" w:ascii="仿宋" w:hAnsi="仿宋" w:eastAsia="仿宋" w:cs="宋体"/>
          <w:bCs/>
          <w:snapToGrid w:val="0"/>
          <w:color w:val="auto"/>
          <w:kern w:val="0"/>
          <w:sz w:val="24"/>
          <w:highlight w:val="none"/>
        </w:rPr>
        <w:t>。</w:t>
      </w:r>
    </w:p>
    <w:p>
      <w:pPr>
        <w:snapToGrid w:val="0"/>
        <w:spacing w:before="120" w:after="120" w:line="360" w:lineRule="auto"/>
        <w:ind w:firstLine="477" w:firstLineChars="198"/>
        <w:rPr>
          <w:rFonts w:ascii="仿宋" w:hAnsi="仿宋" w:eastAsia="仿宋" w:cs="宋体"/>
          <w:snapToGrid w:val="0"/>
          <w:color w:val="auto"/>
          <w:kern w:val="0"/>
          <w:sz w:val="24"/>
          <w:highlight w:val="none"/>
          <w:u w:val="single"/>
        </w:rPr>
      </w:pPr>
      <w:r>
        <w:rPr>
          <w:rFonts w:hint="eastAsia" w:ascii="仿宋" w:hAnsi="仿宋" w:eastAsia="仿宋" w:cs="宋体"/>
          <w:b/>
          <w:snapToGrid w:val="0"/>
          <w:color w:val="auto"/>
          <w:kern w:val="0"/>
          <w:sz w:val="24"/>
          <w:highlight w:val="none"/>
        </w:rPr>
        <w:t>四、产权担保</w:t>
      </w:r>
    </w:p>
    <w:p>
      <w:pPr>
        <w:snapToGrid w:val="0"/>
        <w:spacing w:before="120" w:after="120" w:line="360" w:lineRule="auto"/>
        <w:ind w:firstLine="511" w:firstLineChars="213"/>
        <w:rPr>
          <w:rFonts w:ascii="仿宋" w:hAnsi="仿宋" w:eastAsia="仿宋" w:cs="宋体"/>
          <w:snapToGrid w:val="0"/>
          <w:color w:val="auto"/>
          <w:kern w:val="0"/>
          <w:sz w:val="24"/>
          <w:highlight w:val="none"/>
          <w:u w:val="single"/>
        </w:rPr>
      </w:pPr>
      <w:r>
        <w:rPr>
          <w:rFonts w:hint="eastAsia" w:ascii="仿宋" w:hAnsi="仿宋" w:eastAsia="仿宋" w:cs="宋体"/>
          <w:snapToGrid w:val="0"/>
          <w:color w:val="auto"/>
          <w:kern w:val="0"/>
          <w:sz w:val="24"/>
          <w:highlight w:val="none"/>
        </w:rPr>
        <w:t>乙方保证所交付的货物的所有权完全属于乙方且无任何抵押、查封等产权瑕疵。</w:t>
      </w:r>
    </w:p>
    <w:p>
      <w:pPr>
        <w:snapToGrid w:val="0"/>
        <w:spacing w:before="120" w:after="120" w:line="360" w:lineRule="auto"/>
        <w:ind w:firstLine="477" w:firstLineChars="198"/>
        <w:rPr>
          <w:rFonts w:ascii="仿宋" w:hAnsi="仿宋" w:eastAsia="仿宋" w:cs="宋体"/>
          <w:b/>
          <w:snapToGrid w:val="0"/>
          <w:color w:val="auto"/>
          <w:kern w:val="0"/>
          <w:sz w:val="24"/>
          <w:highlight w:val="none"/>
        </w:rPr>
      </w:pPr>
      <w:r>
        <w:rPr>
          <w:rFonts w:hint="eastAsia" w:ascii="仿宋" w:hAnsi="仿宋" w:eastAsia="仿宋" w:cs="宋体"/>
          <w:b/>
          <w:snapToGrid w:val="0"/>
          <w:color w:val="auto"/>
          <w:kern w:val="0"/>
          <w:sz w:val="24"/>
          <w:highlight w:val="none"/>
        </w:rPr>
        <w:t>五、转包或分包</w:t>
      </w:r>
    </w:p>
    <w:p>
      <w:pPr>
        <w:snapToGrid w:val="0"/>
        <w:spacing w:beforeLines="50" w:afterLines="50" w:line="360" w:lineRule="auto"/>
        <w:ind w:firstLine="511" w:firstLineChars="213"/>
        <w:rPr>
          <w:rFonts w:ascii="仿宋" w:hAnsi="仿宋" w:eastAsia="仿宋" w:cs="宋体"/>
          <w:snapToGrid w:val="0"/>
          <w:color w:val="auto"/>
          <w:kern w:val="0"/>
          <w:sz w:val="24"/>
          <w:highlight w:val="none"/>
        </w:rPr>
      </w:pPr>
      <w:r>
        <w:rPr>
          <w:rFonts w:hint="eastAsia" w:ascii="仿宋" w:hAnsi="仿宋" w:eastAsia="仿宋" w:cs="宋体"/>
          <w:snapToGrid w:val="0"/>
          <w:color w:val="auto"/>
          <w:kern w:val="0"/>
          <w:sz w:val="24"/>
          <w:highlight w:val="none"/>
        </w:rPr>
        <w:t>本合同范围的货物，应由乙方直接供应，不得转让他人供应，否则，甲方有权解除合同，没收履约保证金并追究乙方的违约责任。</w:t>
      </w:r>
    </w:p>
    <w:p>
      <w:pPr>
        <w:snapToGrid w:val="0"/>
        <w:spacing w:before="120" w:after="120" w:line="360" w:lineRule="auto"/>
        <w:ind w:firstLine="513" w:firstLineChars="213"/>
        <w:rPr>
          <w:rFonts w:ascii="仿宋" w:hAnsi="仿宋" w:eastAsia="仿宋" w:cs="宋体"/>
          <w:b/>
          <w:snapToGrid w:val="0"/>
          <w:color w:val="auto"/>
          <w:kern w:val="0"/>
          <w:sz w:val="24"/>
          <w:highlight w:val="none"/>
        </w:rPr>
      </w:pPr>
      <w:r>
        <w:rPr>
          <w:rFonts w:hint="eastAsia" w:ascii="仿宋" w:hAnsi="仿宋" w:eastAsia="仿宋" w:cs="宋体"/>
          <w:b/>
          <w:snapToGrid w:val="0"/>
          <w:color w:val="auto"/>
          <w:kern w:val="0"/>
          <w:sz w:val="24"/>
          <w:highlight w:val="none"/>
        </w:rPr>
        <w:t>六、付款方式：</w:t>
      </w:r>
    </w:p>
    <w:p>
      <w:pPr>
        <w:snapToGrid w:val="0"/>
        <w:spacing w:beforeLines="50" w:afterLines="50" w:line="360" w:lineRule="auto"/>
        <w:ind w:firstLine="511" w:firstLineChars="213"/>
        <w:rPr>
          <w:rFonts w:ascii="仿宋" w:hAnsi="仿宋" w:eastAsia="仿宋" w:cs="宋体"/>
          <w:b/>
          <w:snapToGrid w:val="0"/>
          <w:color w:val="auto"/>
          <w:kern w:val="0"/>
          <w:sz w:val="24"/>
          <w:highlight w:val="none"/>
        </w:rPr>
      </w:pPr>
      <w:r>
        <w:rPr>
          <w:rFonts w:hint="eastAsia" w:ascii="仿宋" w:hAnsi="仿宋" w:eastAsia="仿宋" w:cs="仿宋"/>
          <w:color w:val="auto"/>
          <w:sz w:val="24"/>
          <w:szCs w:val="24"/>
          <w:highlight w:val="none"/>
          <w:lang w:val="en-GB"/>
        </w:rPr>
        <w:t>合同签订生效并具备实施条件后7个工作日内支付合同金额的40%作为预付款，完成现有机组更新维修、机组正常运</w:t>
      </w:r>
      <w:r>
        <w:rPr>
          <w:rFonts w:hint="eastAsia" w:ascii="仿宋" w:hAnsi="仿宋" w:eastAsia="仿宋" w:cs="仿宋"/>
          <w:color w:val="auto"/>
          <w:sz w:val="24"/>
          <w:szCs w:val="24"/>
          <w:highlight w:val="none"/>
          <w:lang w:val="en-US" w:eastAsia="zh-CN"/>
        </w:rPr>
        <w:t>行</w:t>
      </w:r>
      <w:r>
        <w:rPr>
          <w:rFonts w:hint="eastAsia" w:ascii="仿宋" w:hAnsi="仿宋" w:eastAsia="仿宋" w:cs="仿宋"/>
          <w:color w:val="auto"/>
          <w:sz w:val="24"/>
          <w:szCs w:val="24"/>
          <w:highlight w:val="none"/>
          <w:lang w:val="en-GB"/>
        </w:rPr>
        <w:t>一个月后按维修量按实结算，最多支付至合同总价的70%。之后维保按年度支付，每个周期的第一个月支付合同金额的10%（扣除考核款），最后一个周期的第一个月付5%，剩余款项须在服务周期结束，经甲方验收合格根据考核得分支付。</w:t>
      </w:r>
      <w:r>
        <w:rPr>
          <w:rFonts w:hint="eastAsia" w:ascii="仿宋" w:hAnsi="仿宋" w:eastAsia="仿宋" w:cs="宋体"/>
          <w:b/>
          <w:snapToGrid w:val="0"/>
          <w:color w:val="auto"/>
          <w:kern w:val="0"/>
          <w:sz w:val="24"/>
          <w:highlight w:val="none"/>
        </w:rPr>
        <w:t xml:space="preserve"> </w:t>
      </w:r>
    </w:p>
    <w:p>
      <w:pPr>
        <w:snapToGrid w:val="0"/>
        <w:spacing w:beforeLines="50" w:afterLines="50" w:line="360" w:lineRule="auto"/>
        <w:ind w:firstLine="513" w:firstLineChars="213"/>
        <w:rPr>
          <w:rFonts w:ascii="仿宋" w:hAnsi="仿宋" w:eastAsia="仿宋" w:cs="宋体"/>
          <w:b/>
          <w:snapToGrid w:val="0"/>
          <w:color w:val="auto"/>
          <w:kern w:val="0"/>
          <w:sz w:val="24"/>
          <w:highlight w:val="none"/>
        </w:rPr>
      </w:pPr>
      <w:r>
        <w:rPr>
          <w:rFonts w:hint="eastAsia" w:ascii="仿宋" w:hAnsi="仿宋" w:eastAsia="仿宋" w:cs="宋体"/>
          <w:b/>
          <w:snapToGrid w:val="0"/>
          <w:color w:val="auto"/>
          <w:kern w:val="0"/>
          <w:sz w:val="24"/>
          <w:highlight w:val="none"/>
        </w:rPr>
        <w:t>七、税费</w:t>
      </w:r>
    </w:p>
    <w:p>
      <w:pPr>
        <w:snapToGrid w:val="0"/>
        <w:spacing w:beforeLines="50" w:afterLines="50" w:line="360" w:lineRule="auto"/>
        <w:ind w:firstLine="511" w:firstLineChars="213"/>
        <w:rPr>
          <w:rFonts w:ascii="仿宋" w:hAnsi="仿宋" w:eastAsia="仿宋" w:cs="宋体"/>
          <w:snapToGrid w:val="0"/>
          <w:color w:val="auto"/>
          <w:kern w:val="0"/>
          <w:sz w:val="24"/>
          <w:highlight w:val="none"/>
        </w:rPr>
      </w:pPr>
      <w:r>
        <w:rPr>
          <w:rFonts w:hint="eastAsia" w:ascii="仿宋" w:hAnsi="仿宋" w:eastAsia="仿宋" w:cs="宋体"/>
          <w:snapToGrid w:val="0"/>
          <w:color w:val="auto"/>
          <w:kern w:val="0"/>
          <w:sz w:val="24"/>
          <w:highlight w:val="none"/>
        </w:rPr>
        <w:t>本合同执行中相关的一切税费均由乙方负担。</w:t>
      </w:r>
    </w:p>
    <w:p>
      <w:pPr>
        <w:snapToGrid w:val="0"/>
        <w:spacing w:beforeLines="50" w:afterLines="50" w:line="360" w:lineRule="auto"/>
        <w:ind w:firstLine="513" w:firstLineChars="213"/>
        <w:rPr>
          <w:rFonts w:ascii="仿宋" w:hAnsi="仿宋" w:eastAsia="仿宋" w:cs="宋体"/>
          <w:b/>
          <w:snapToGrid w:val="0"/>
          <w:color w:val="auto"/>
          <w:kern w:val="0"/>
          <w:sz w:val="24"/>
          <w:highlight w:val="none"/>
        </w:rPr>
      </w:pPr>
      <w:r>
        <w:rPr>
          <w:rFonts w:hint="eastAsia" w:ascii="仿宋" w:hAnsi="仿宋" w:eastAsia="仿宋" w:cs="宋体"/>
          <w:b/>
          <w:snapToGrid w:val="0"/>
          <w:color w:val="auto"/>
          <w:kern w:val="0"/>
          <w:sz w:val="24"/>
          <w:highlight w:val="none"/>
        </w:rPr>
        <w:t>八、各方职责</w:t>
      </w:r>
    </w:p>
    <w:p>
      <w:pPr>
        <w:autoSpaceDE w:val="0"/>
        <w:autoSpaceDN w:val="0"/>
        <w:spacing w:line="360" w:lineRule="auto"/>
        <w:ind w:firstLine="360" w:firstLineChars="15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rPr>
        <w:t>1、</w:t>
      </w:r>
      <w:r>
        <w:rPr>
          <w:rFonts w:hint="eastAsia" w:ascii="仿宋" w:hAnsi="仿宋" w:eastAsia="仿宋" w:cs="宋体"/>
          <w:color w:val="auto"/>
          <w:kern w:val="0"/>
          <w:sz w:val="24"/>
          <w:highlight w:val="none"/>
          <w:lang w:val="zh-CN"/>
        </w:rPr>
        <w:t>甲方职责：</w:t>
      </w:r>
    </w:p>
    <w:p>
      <w:pPr>
        <w:autoSpaceDE w:val="0"/>
        <w:autoSpaceDN w:val="0"/>
        <w:spacing w:line="360" w:lineRule="auto"/>
        <w:ind w:firstLine="600" w:firstLineChars="25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 甲方应向乙方提供技术服务所需要的技术资料和数据，参与整个项目的全过程，协助配合乙方做好需求调研、方案设计及现场等工作，对各项业务的需求报告及时确认。</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(2) 确保有专人负责软件的使用和管理，确保设施运行环境（包括计算机、打印机及相关硬件设备）的安全，为软件正常运行提供保障。</w:t>
      </w:r>
    </w:p>
    <w:p>
      <w:pPr>
        <w:spacing w:line="360" w:lineRule="auto"/>
        <w:ind w:firstLine="600" w:firstLineChars="250"/>
        <w:rPr>
          <w:rFonts w:ascii="仿宋" w:hAnsi="仿宋" w:eastAsia="仿宋" w:cs="宋体"/>
          <w:b/>
          <w:bCs/>
          <w:color w:val="auto"/>
          <w:kern w:val="0"/>
          <w:sz w:val="24"/>
          <w:highlight w:val="none"/>
          <w:lang w:val="zh-CN"/>
        </w:rPr>
      </w:pPr>
      <w:r>
        <w:rPr>
          <w:rFonts w:hint="eastAsia" w:ascii="仿宋" w:hAnsi="仿宋" w:eastAsia="仿宋" w:cs="宋体"/>
          <w:color w:val="auto"/>
          <w:sz w:val="24"/>
          <w:highlight w:val="none"/>
        </w:rPr>
        <w:t>(3) 在乙方进行维护与技术支持时，根据乙方要求，指定配合工作的员工，提供必要的设备,配合检查软件系统运行是否正常。</w:t>
      </w:r>
    </w:p>
    <w:p>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rPr>
        <w:t>2、</w:t>
      </w:r>
      <w:r>
        <w:rPr>
          <w:rFonts w:hint="eastAsia" w:ascii="仿宋" w:hAnsi="仿宋" w:eastAsia="仿宋" w:cs="宋体"/>
          <w:color w:val="auto"/>
          <w:kern w:val="0"/>
          <w:sz w:val="24"/>
          <w:highlight w:val="none"/>
          <w:lang w:val="zh-CN"/>
        </w:rPr>
        <w:t>乙方职责：</w:t>
      </w:r>
    </w:p>
    <w:p>
      <w:pPr>
        <w:autoSpaceDE w:val="0"/>
        <w:autoSpaceDN w:val="0"/>
        <w:spacing w:line="360" w:lineRule="auto"/>
        <w:ind w:firstLine="660" w:firstLineChars="275"/>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 乙方承诺按照本合同约定的服务内容和服务进度向甲方提供合格的服务，并做好项目管理，指定项目负责人。</w:t>
      </w:r>
    </w:p>
    <w:p>
      <w:pPr>
        <w:autoSpaceDE w:val="0"/>
        <w:autoSpaceDN w:val="0"/>
        <w:spacing w:line="360" w:lineRule="auto"/>
        <w:ind w:firstLine="360" w:firstLineChars="15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(2) 乙方保证提供的技术资料具有正确性，简明性，可操作性和规范性。乙方须进行必要的技术指导，并保证甲方能正确、安全、有效的使用服务成果。 </w:t>
      </w:r>
    </w:p>
    <w:p>
      <w:pPr>
        <w:autoSpaceDE w:val="0"/>
        <w:autoSpaceDN w:val="0"/>
        <w:spacing w:line="360" w:lineRule="auto"/>
        <w:ind w:firstLine="360" w:firstLineChars="15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rPr>
        <w:t xml:space="preserve">  (3) 乙方保证派驻甲方的人员遵守甲方的</w:t>
      </w:r>
      <w:r>
        <w:rPr>
          <w:rFonts w:hint="eastAsia" w:ascii="仿宋" w:hAnsi="仿宋" w:eastAsia="仿宋" w:cs="宋体"/>
          <w:color w:val="auto"/>
          <w:kern w:val="0"/>
          <w:sz w:val="24"/>
          <w:highlight w:val="none"/>
          <w:lang w:val="zh-CN"/>
        </w:rPr>
        <w:t>有关制度、工作纪律和安定，乙方服务人员应在甲方规定的工作场地范围内工作。</w:t>
      </w:r>
    </w:p>
    <w:p>
      <w:pPr>
        <w:autoSpaceDE w:val="0"/>
        <w:autoSpaceDN w:val="0"/>
        <w:spacing w:line="360" w:lineRule="auto"/>
        <w:ind w:firstLine="360" w:firstLineChars="15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（4）因</w:t>
      </w:r>
      <w:r>
        <w:rPr>
          <w:rFonts w:hint="eastAsia" w:ascii="仿宋" w:hAnsi="仿宋" w:eastAsia="仿宋" w:cs="宋体"/>
          <w:color w:val="auto"/>
          <w:kern w:val="0"/>
          <w:sz w:val="24"/>
          <w:highlight w:val="none"/>
          <w:lang w:val="en-US" w:eastAsia="zh-CN"/>
        </w:rPr>
        <w:t>中标人</w:t>
      </w:r>
      <w:r>
        <w:rPr>
          <w:rFonts w:hint="eastAsia" w:ascii="仿宋" w:hAnsi="仿宋" w:eastAsia="仿宋" w:cs="宋体"/>
          <w:color w:val="auto"/>
          <w:kern w:val="0"/>
          <w:sz w:val="24"/>
          <w:highlight w:val="none"/>
        </w:rPr>
        <w:t>原因造成工期延误，逾期竣工违约金的计算方法为:因</w:t>
      </w:r>
      <w:r>
        <w:rPr>
          <w:rFonts w:hint="eastAsia" w:ascii="仿宋" w:hAnsi="仿宋" w:eastAsia="仿宋" w:cs="宋体"/>
          <w:color w:val="auto"/>
          <w:kern w:val="0"/>
          <w:sz w:val="24"/>
          <w:highlight w:val="none"/>
          <w:lang w:val="en-US" w:eastAsia="zh-CN"/>
        </w:rPr>
        <w:t>中标人</w:t>
      </w:r>
      <w:r>
        <w:rPr>
          <w:rFonts w:hint="eastAsia" w:ascii="仿宋" w:hAnsi="仿宋" w:eastAsia="仿宋" w:cs="宋体"/>
          <w:color w:val="auto"/>
          <w:kern w:val="0"/>
          <w:sz w:val="24"/>
          <w:highlight w:val="none"/>
        </w:rPr>
        <w:t>原因造成的工期延误，每延误一天按中标造价的万分之二予以罚款</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rPr>
        <w:t>因</w:t>
      </w:r>
      <w:r>
        <w:rPr>
          <w:rFonts w:hint="eastAsia" w:ascii="仿宋" w:hAnsi="仿宋" w:eastAsia="仿宋" w:cs="宋体"/>
          <w:color w:val="auto"/>
          <w:kern w:val="0"/>
          <w:sz w:val="24"/>
          <w:highlight w:val="none"/>
          <w:lang w:val="en-US" w:eastAsia="zh-CN"/>
        </w:rPr>
        <w:t>中标人</w:t>
      </w:r>
      <w:r>
        <w:rPr>
          <w:rFonts w:hint="eastAsia" w:ascii="仿宋" w:hAnsi="仿宋" w:eastAsia="仿宋" w:cs="宋体"/>
          <w:color w:val="auto"/>
          <w:kern w:val="0"/>
          <w:sz w:val="24"/>
          <w:highlight w:val="none"/>
        </w:rPr>
        <w:t>原因造成工期延误，逾期竣工违约金的上限:若所有工期履约保证金全部罚没，</w:t>
      </w:r>
      <w:r>
        <w:rPr>
          <w:rFonts w:hint="eastAsia" w:ascii="仿宋" w:hAnsi="仿宋" w:eastAsia="仿宋" w:cs="宋体"/>
          <w:color w:val="auto"/>
          <w:kern w:val="0"/>
          <w:sz w:val="24"/>
          <w:highlight w:val="none"/>
          <w:lang w:val="en-US" w:eastAsia="zh-CN"/>
        </w:rPr>
        <w:t>采购人</w:t>
      </w:r>
      <w:r>
        <w:rPr>
          <w:rFonts w:hint="eastAsia" w:ascii="仿宋" w:hAnsi="仿宋" w:eastAsia="仿宋" w:cs="宋体"/>
          <w:color w:val="auto"/>
          <w:kern w:val="0"/>
          <w:sz w:val="24"/>
          <w:highlight w:val="none"/>
        </w:rPr>
        <w:t>有权提出超额工期赔偿及其他相关赔偿，并有权终止合同，清退</w:t>
      </w:r>
      <w:r>
        <w:rPr>
          <w:rFonts w:hint="eastAsia" w:ascii="仿宋" w:hAnsi="仿宋" w:eastAsia="仿宋" w:cs="宋体"/>
          <w:color w:val="auto"/>
          <w:kern w:val="0"/>
          <w:sz w:val="24"/>
          <w:highlight w:val="none"/>
          <w:lang w:val="en-US" w:eastAsia="zh-CN"/>
        </w:rPr>
        <w:t>中标人</w:t>
      </w:r>
      <w:r>
        <w:rPr>
          <w:rFonts w:hint="eastAsia" w:ascii="仿宋" w:hAnsi="仿宋" w:eastAsia="仿宋" w:cs="宋体"/>
          <w:color w:val="auto"/>
          <w:kern w:val="0"/>
          <w:sz w:val="24"/>
          <w:highlight w:val="none"/>
        </w:rPr>
        <w:t>出场。</w:t>
      </w:r>
    </w:p>
    <w:p>
      <w:pPr>
        <w:snapToGrid w:val="0"/>
        <w:spacing w:before="120" w:after="120"/>
        <w:rPr>
          <w:rFonts w:ascii="仿宋" w:hAnsi="仿宋" w:eastAsia="仿宋" w:cs="宋体"/>
          <w:b/>
          <w:color w:val="auto"/>
          <w:sz w:val="24"/>
          <w:highlight w:val="none"/>
        </w:rPr>
      </w:pPr>
      <w:r>
        <w:rPr>
          <w:rFonts w:hint="eastAsia" w:ascii="仿宋" w:hAnsi="仿宋" w:eastAsia="仿宋" w:cs="宋体"/>
          <w:b/>
          <w:color w:val="auto"/>
          <w:sz w:val="24"/>
          <w:highlight w:val="none"/>
        </w:rPr>
        <w:tab/>
      </w:r>
      <w:r>
        <w:rPr>
          <w:rFonts w:hint="eastAsia" w:ascii="仿宋" w:hAnsi="仿宋" w:eastAsia="仿宋" w:cs="宋体"/>
          <w:b/>
          <w:color w:val="auto"/>
          <w:sz w:val="24"/>
          <w:highlight w:val="none"/>
        </w:rPr>
        <w:t>九、技术服务范围与内容</w:t>
      </w:r>
    </w:p>
    <w:p>
      <w:pPr>
        <w:autoSpaceDE w:val="0"/>
        <w:autoSpaceDN w:val="0"/>
        <w:spacing w:line="360" w:lineRule="auto"/>
        <w:ind w:firstLine="360" w:firstLineChars="150"/>
        <w:jc w:val="left"/>
        <w:rPr>
          <w:rFonts w:ascii="仿宋" w:hAnsi="仿宋" w:eastAsia="仿宋" w:cs="宋体"/>
          <w:color w:val="auto"/>
          <w:kern w:val="0"/>
          <w:sz w:val="24"/>
          <w:highlight w:val="none"/>
          <w:u w:val="single"/>
        </w:rPr>
      </w:pPr>
      <w:bookmarkStart w:id="385" w:name="_Toc142970449"/>
      <w:bookmarkStart w:id="386" w:name="_Toc144721928"/>
      <w:r>
        <w:rPr>
          <w:rFonts w:hint="eastAsia" w:ascii="仿宋" w:hAnsi="仿宋" w:eastAsia="仿宋" w:cs="宋体"/>
          <w:color w:val="auto"/>
          <w:kern w:val="0"/>
          <w:sz w:val="24"/>
          <w:highlight w:val="none"/>
          <w:u w:val="single"/>
        </w:rPr>
        <w:t xml:space="preserve">                              </w:t>
      </w:r>
    </w:p>
    <w:p>
      <w:pPr>
        <w:snapToGrid w:val="0"/>
        <w:spacing w:before="120" w:after="120" w:line="360" w:lineRule="auto"/>
        <w:ind w:firstLine="513" w:firstLineChars="213"/>
        <w:rPr>
          <w:rFonts w:ascii="仿宋" w:hAnsi="仿宋" w:eastAsia="仿宋" w:cs="宋体"/>
          <w:b/>
          <w:snapToGrid w:val="0"/>
          <w:color w:val="auto"/>
          <w:kern w:val="0"/>
          <w:sz w:val="24"/>
          <w:highlight w:val="none"/>
        </w:rPr>
      </w:pPr>
      <w:r>
        <w:rPr>
          <w:rFonts w:hint="eastAsia" w:ascii="仿宋" w:hAnsi="仿宋" w:eastAsia="仿宋" w:cs="宋体"/>
          <w:b/>
          <w:snapToGrid w:val="0"/>
          <w:color w:val="auto"/>
          <w:kern w:val="0"/>
          <w:sz w:val="24"/>
          <w:highlight w:val="none"/>
        </w:rPr>
        <w:t>十、项目验收</w:t>
      </w:r>
    </w:p>
    <w:p>
      <w:pPr>
        <w:snapToGrid w:val="0"/>
        <w:spacing w:before="120" w:after="120" w:line="360" w:lineRule="auto"/>
        <w:ind w:firstLine="511" w:firstLineChars="213"/>
        <w:jc w:val="left"/>
        <w:rPr>
          <w:rFonts w:ascii="仿宋" w:hAnsi="仿宋" w:eastAsia="仿宋" w:cs="宋体"/>
          <w:snapToGrid w:val="0"/>
          <w:color w:val="auto"/>
          <w:kern w:val="0"/>
          <w:sz w:val="24"/>
          <w:highlight w:val="none"/>
        </w:rPr>
      </w:pPr>
      <w:r>
        <w:rPr>
          <w:rFonts w:hint="eastAsia" w:ascii="仿宋" w:hAnsi="仿宋" w:eastAsia="仿宋" w:cs="宋体"/>
          <w:snapToGrid w:val="0"/>
          <w:color w:val="auto"/>
          <w:kern w:val="0"/>
          <w:sz w:val="24"/>
          <w:highlight w:val="none"/>
        </w:rPr>
        <w:t>1.乙方根据约定服务范围与内容提供技术服务，完成服务内容后可提出验收，甲方需在十个工作日内验收。</w:t>
      </w:r>
    </w:p>
    <w:p>
      <w:pPr>
        <w:snapToGrid w:val="0"/>
        <w:spacing w:before="120" w:after="120" w:line="360" w:lineRule="auto"/>
        <w:ind w:firstLine="511" w:firstLineChars="213"/>
        <w:rPr>
          <w:rFonts w:ascii="仿宋" w:hAnsi="仿宋" w:eastAsia="仿宋" w:cs="宋体"/>
          <w:snapToGrid w:val="0"/>
          <w:color w:val="auto"/>
          <w:kern w:val="0"/>
          <w:sz w:val="24"/>
          <w:highlight w:val="none"/>
        </w:rPr>
      </w:pPr>
      <w:r>
        <w:rPr>
          <w:rFonts w:hint="eastAsia" w:ascii="仿宋" w:hAnsi="仿宋" w:eastAsia="仿宋" w:cs="宋体"/>
          <w:snapToGrid w:val="0"/>
          <w:color w:val="auto"/>
          <w:kern w:val="0"/>
          <w:sz w:val="24"/>
          <w:highlight w:val="none"/>
        </w:rPr>
        <w:t>2. 验收前，乙方应对产品作出全面检查和对验收文件进行整理，并列出清单，拟订验收报告交与甲方。</w:t>
      </w:r>
    </w:p>
    <w:p>
      <w:pPr>
        <w:snapToGrid w:val="0"/>
        <w:spacing w:before="120" w:after="120" w:line="360" w:lineRule="auto"/>
        <w:ind w:firstLine="511" w:firstLineChars="213"/>
        <w:rPr>
          <w:rFonts w:ascii="仿宋" w:hAnsi="仿宋" w:eastAsia="仿宋" w:cs="宋体"/>
          <w:snapToGrid w:val="0"/>
          <w:color w:val="auto"/>
          <w:kern w:val="0"/>
          <w:sz w:val="24"/>
          <w:highlight w:val="none"/>
          <w:u w:val="single"/>
        </w:rPr>
      </w:pPr>
      <w:r>
        <w:rPr>
          <w:rFonts w:hint="eastAsia" w:ascii="仿宋" w:hAnsi="仿宋" w:eastAsia="仿宋" w:cs="宋体"/>
          <w:snapToGrid w:val="0"/>
          <w:color w:val="auto"/>
          <w:kern w:val="0"/>
          <w:sz w:val="24"/>
          <w:highlight w:val="none"/>
        </w:rPr>
        <w:t>3. 甲方根据合同约定审查项目完成情况，直到符合技术要求，甲方才做最终验收。</w:t>
      </w:r>
    </w:p>
    <w:p>
      <w:pPr>
        <w:snapToGrid w:val="0"/>
        <w:spacing w:before="120" w:after="120" w:line="360" w:lineRule="auto"/>
        <w:ind w:firstLine="511" w:firstLineChars="213"/>
        <w:rPr>
          <w:rFonts w:ascii="仿宋" w:hAnsi="仿宋" w:eastAsia="仿宋" w:cs="宋体"/>
          <w:snapToGrid w:val="0"/>
          <w:color w:val="auto"/>
          <w:kern w:val="0"/>
          <w:sz w:val="24"/>
          <w:highlight w:val="none"/>
        </w:rPr>
      </w:pPr>
      <w:r>
        <w:rPr>
          <w:rFonts w:hint="eastAsia" w:ascii="仿宋" w:hAnsi="仿宋" w:eastAsia="仿宋" w:cs="宋体"/>
          <w:snapToGrid w:val="0"/>
          <w:color w:val="auto"/>
          <w:kern w:val="0"/>
          <w:sz w:val="24"/>
          <w:highlight w:val="none"/>
        </w:rPr>
        <w:t>4. 验收时乙方必须在现场，验收完毕后5个工作日内作出验收结果报告；验收费用由乙方负责。</w:t>
      </w:r>
      <w:bookmarkEnd w:id="385"/>
      <w:bookmarkEnd w:id="386"/>
    </w:p>
    <w:p>
      <w:pPr>
        <w:snapToGrid w:val="0"/>
        <w:spacing w:before="120" w:after="120" w:line="360" w:lineRule="auto"/>
        <w:ind w:firstLine="513" w:firstLineChars="213"/>
        <w:rPr>
          <w:rFonts w:ascii="仿宋" w:hAnsi="仿宋" w:eastAsia="仿宋" w:cs="宋体"/>
          <w:b/>
          <w:snapToGrid w:val="0"/>
          <w:color w:val="auto"/>
          <w:kern w:val="0"/>
          <w:sz w:val="24"/>
          <w:highlight w:val="none"/>
        </w:rPr>
      </w:pPr>
      <w:r>
        <w:rPr>
          <w:rFonts w:hint="eastAsia" w:ascii="仿宋" w:hAnsi="仿宋" w:eastAsia="仿宋" w:cs="宋体"/>
          <w:b/>
          <w:snapToGrid w:val="0"/>
          <w:color w:val="auto"/>
          <w:kern w:val="0"/>
          <w:sz w:val="24"/>
          <w:highlight w:val="none"/>
        </w:rPr>
        <w:t>十一、不可抗力事件处理</w:t>
      </w:r>
    </w:p>
    <w:p>
      <w:pPr>
        <w:snapToGrid w:val="0"/>
        <w:spacing w:before="120" w:after="120" w:line="360" w:lineRule="auto"/>
        <w:ind w:firstLine="511" w:firstLineChars="213"/>
        <w:rPr>
          <w:rFonts w:ascii="仿宋" w:hAnsi="仿宋" w:eastAsia="仿宋" w:cs="宋体"/>
          <w:snapToGrid w:val="0"/>
          <w:color w:val="auto"/>
          <w:kern w:val="0"/>
          <w:sz w:val="24"/>
          <w:highlight w:val="none"/>
        </w:rPr>
      </w:pPr>
      <w:r>
        <w:rPr>
          <w:rFonts w:hint="eastAsia" w:ascii="仿宋" w:hAnsi="仿宋" w:eastAsia="仿宋" w:cs="宋体"/>
          <w:snapToGrid w:val="0"/>
          <w:color w:val="auto"/>
          <w:kern w:val="0"/>
          <w:sz w:val="24"/>
          <w:highlight w:val="none"/>
        </w:rPr>
        <w:t>合同有效期内，任何一方因不可抗力事件导致不能履行合同，则合同履行期可延长，其延长期与不可抗力影响期相同。</w:t>
      </w:r>
    </w:p>
    <w:p>
      <w:pPr>
        <w:snapToGrid w:val="0"/>
        <w:spacing w:before="120" w:after="120" w:line="360" w:lineRule="auto"/>
        <w:ind w:firstLine="511" w:firstLineChars="213"/>
        <w:rPr>
          <w:rFonts w:ascii="仿宋" w:hAnsi="仿宋" w:eastAsia="仿宋" w:cs="宋体"/>
          <w:snapToGrid w:val="0"/>
          <w:color w:val="auto"/>
          <w:kern w:val="0"/>
          <w:sz w:val="24"/>
          <w:highlight w:val="none"/>
        </w:rPr>
      </w:pPr>
      <w:r>
        <w:rPr>
          <w:rFonts w:hint="eastAsia" w:ascii="仿宋" w:hAnsi="仿宋" w:eastAsia="仿宋" w:cs="宋体"/>
          <w:snapToGrid w:val="0"/>
          <w:color w:val="auto"/>
          <w:kern w:val="0"/>
          <w:sz w:val="24"/>
          <w:highlight w:val="none"/>
        </w:rPr>
        <w:t>2. 不可抗力事件发生后，应立即通知对方，并寄送有关权威机构出具的证明。</w:t>
      </w:r>
    </w:p>
    <w:p>
      <w:pPr>
        <w:snapToGrid w:val="0"/>
        <w:spacing w:before="120" w:after="120" w:line="360" w:lineRule="auto"/>
        <w:ind w:firstLine="511" w:firstLineChars="213"/>
        <w:rPr>
          <w:rFonts w:ascii="仿宋" w:hAnsi="仿宋" w:eastAsia="仿宋" w:cs="宋体"/>
          <w:snapToGrid w:val="0"/>
          <w:color w:val="auto"/>
          <w:kern w:val="0"/>
          <w:sz w:val="24"/>
          <w:highlight w:val="none"/>
        </w:rPr>
      </w:pPr>
      <w:r>
        <w:rPr>
          <w:rFonts w:hint="eastAsia" w:ascii="仿宋" w:hAnsi="仿宋" w:eastAsia="仿宋" w:cs="宋体"/>
          <w:snapToGrid w:val="0"/>
          <w:color w:val="auto"/>
          <w:kern w:val="0"/>
          <w:sz w:val="24"/>
          <w:highlight w:val="none"/>
        </w:rPr>
        <w:t>3. 不可抗力事件延续120天以上，双方应通过友好协商，确定是否继续履行合同。</w:t>
      </w:r>
    </w:p>
    <w:p>
      <w:pPr>
        <w:snapToGrid w:val="0"/>
        <w:spacing w:before="120" w:after="120" w:line="360" w:lineRule="auto"/>
        <w:ind w:firstLine="513" w:firstLineChars="213"/>
        <w:rPr>
          <w:rFonts w:ascii="仿宋" w:hAnsi="仿宋" w:eastAsia="仿宋" w:cs="宋体"/>
          <w:b/>
          <w:snapToGrid w:val="0"/>
          <w:color w:val="auto"/>
          <w:kern w:val="0"/>
          <w:sz w:val="24"/>
          <w:highlight w:val="none"/>
        </w:rPr>
      </w:pPr>
      <w:r>
        <w:rPr>
          <w:rFonts w:hint="eastAsia" w:ascii="仿宋" w:hAnsi="仿宋" w:eastAsia="仿宋" w:cs="宋体"/>
          <w:b/>
          <w:snapToGrid w:val="0"/>
          <w:color w:val="auto"/>
          <w:kern w:val="0"/>
          <w:sz w:val="24"/>
          <w:highlight w:val="none"/>
        </w:rPr>
        <w:t>十二、诉讼</w:t>
      </w:r>
    </w:p>
    <w:p>
      <w:pPr>
        <w:snapToGrid w:val="0"/>
        <w:spacing w:before="120" w:after="120" w:line="360" w:lineRule="auto"/>
        <w:ind w:left="2" w:firstLine="511" w:firstLineChars="213"/>
        <w:rPr>
          <w:rFonts w:ascii="仿宋" w:hAnsi="仿宋" w:eastAsia="仿宋" w:cs="宋体"/>
          <w:snapToGrid w:val="0"/>
          <w:color w:val="auto"/>
          <w:kern w:val="0"/>
          <w:sz w:val="24"/>
          <w:highlight w:val="none"/>
        </w:rPr>
      </w:pPr>
      <w:r>
        <w:rPr>
          <w:rFonts w:hint="eastAsia" w:ascii="仿宋" w:hAnsi="仿宋" w:eastAsia="仿宋" w:cs="宋体"/>
          <w:snapToGrid w:val="0"/>
          <w:color w:val="auto"/>
          <w:kern w:val="0"/>
          <w:sz w:val="24"/>
          <w:highlight w:val="none"/>
        </w:rPr>
        <w:t>双方在执行合同中所发生的一切争议，应通过协商解决。如协商不成，可向甲方所在地法院起诉。</w:t>
      </w:r>
    </w:p>
    <w:p>
      <w:pPr>
        <w:snapToGrid w:val="0"/>
        <w:spacing w:before="120" w:after="120" w:line="360" w:lineRule="auto"/>
        <w:ind w:firstLine="513" w:firstLineChars="213"/>
        <w:rPr>
          <w:rFonts w:ascii="仿宋" w:hAnsi="仿宋" w:eastAsia="仿宋" w:cs="宋体"/>
          <w:b/>
          <w:snapToGrid w:val="0"/>
          <w:color w:val="auto"/>
          <w:kern w:val="0"/>
          <w:sz w:val="24"/>
          <w:highlight w:val="none"/>
        </w:rPr>
      </w:pPr>
      <w:r>
        <w:rPr>
          <w:rFonts w:hint="eastAsia" w:ascii="仿宋" w:hAnsi="仿宋" w:eastAsia="仿宋" w:cs="宋体"/>
          <w:b/>
          <w:snapToGrid w:val="0"/>
          <w:color w:val="auto"/>
          <w:kern w:val="0"/>
          <w:sz w:val="24"/>
          <w:highlight w:val="none"/>
        </w:rPr>
        <w:t>十三、合同生效及其它</w:t>
      </w:r>
    </w:p>
    <w:p>
      <w:pPr>
        <w:snapToGrid w:val="0"/>
        <w:spacing w:before="120" w:after="120" w:line="360" w:lineRule="auto"/>
        <w:ind w:firstLine="511" w:firstLineChars="213"/>
        <w:rPr>
          <w:rFonts w:ascii="仿宋" w:hAnsi="仿宋" w:eastAsia="仿宋" w:cs="宋体"/>
          <w:snapToGrid w:val="0"/>
          <w:color w:val="auto"/>
          <w:kern w:val="0"/>
          <w:sz w:val="24"/>
          <w:highlight w:val="none"/>
        </w:rPr>
      </w:pPr>
      <w:r>
        <w:rPr>
          <w:rFonts w:hint="eastAsia" w:ascii="仿宋" w:hAnsi="仿宋" w:eastAsia="仿宋" w:cs="宋体"/>
          <w:snapToGrid w:val="0"/>
          <w:color w:val="auto"/>
          <w:kern w:val="0"/>
          <w:sz w:val="24"/>
          <w:highlight w:val="none"/>
        </w:rPr>
        <w:t>1. 合同经甲、乙双方签字并加盖单位公章后生效。</w:t>
      </w:r>
    </w:p>
    <w:p>
      <w:pPr>
        <w:snapToGrid w:val="0"/>
        <w:spacing w:before="120" w:after="120" w:line="360" w:lineRule="auto"/>
        <w:ind w:firstLine="511" w:firstLineChars="213"/>
        <w:rPr>
          <w:rFonts w:ascii="仿宋" w:hAnsi="仿宋" w:eastAsia="仿宋" w:cs="宋体"/>
          <w:snapToGrid w:val="0"/>
          <w:color w:val="auto"/>
          <w:kern w:val="0"/>
          <w:sz w:val="24"/>
          <w:highlight w:val="none"/>
        </w:rPr>
      </w:pPr>
      <w:r>
        <w:rPr>
          <w:rFonts w:hint="eastAsia" w:ascii="仿宋" w:hAnsi="仿宋" w:eastAsia="仿宋" w:cs="宋体"/>
          <w:snapToGrid w:val="0"/>
          <w:color w:val="auto"/>
          <w:kern w:val="0"/>
          <w:sz w:val="24"/>
          <w:highlight w:val="none"/>
        </w:rPr>
        <w:t>2.招标文件、投标文件与本合同具有同等法律效力。</w:t>
      </w:r>
    </w:p>
    <w:p>
      <w:pPr>
        <w:snapToGrid w:val="0"/>
        <w:spacing w:before="120" w:after="120" w:line="360" w:lineRule="auto"/>
        <w:ind w:firstLine="511" w:firstLineChars="213"/>
        <w:rPr>
          <w:rFonts w:ascii="仿宋" w:hAnsi="仿宋" w:eastAsia="仿宋" w:cs="宋体"/>
          <w:snapToGrid w:val="0"/>
          <w:color w:val="auto"/>
          <w:kern w:val="0"/>
          <w:sz w:val="24"/>
          <w:highlight w:val="none"/>
        </w:rPr>
      </w:pPr>
      <w:r>
        <w:rPr>
          <w:rFonts w:hint="eastAsia" w:ascii="仿宋" w:hAnsi="仿宋" w:eastAsia="仿宋" w:cs="宋体"/>
          <w:snapToGrid w:val="0"/>
          <w:color w:val="auto"/>
          <w:kern w:val="0"/>
          <w:sz w:val="24"/>
          <w:highlight w:val="none"/>
        </w:rPr>
        <w:t>3.本合同未尽事宜，遵照相关法律法规执行。</w:t>
      </w:r>
    </w:p>
    <w:p>
      <w:pPr>
        <w:snapToGrid w:val="0"/>
        <w:spacing w:before="120" w:after="120" w:line="360" w:lineRule="auto"/>
        <w:ind w:firstLine="511" w:firstLineChars="213"/>
        <w:rPr>
          <w:rFonts w:ascii="仿宋" w:hAnsi="仿宋" w:eastAsia="仿宋" w:cs="宋体"/>
          <w:snapToGrid w:val="0"/>
          <w:color w:val="auto"/>
          <w:kern w:val="0"/>
          <w:sz w:val="24"/>
          <w:highlight w:val="none"/>
        </w:rPr>
      </w:pPr>
      <w:r>
        <w:rPr>
          <w:rFonts w:hint="eastAsia" w:ascii="仿宋" w:hAnsi="仿宋" w:eastAsia="仿宋" w:cs="宋体"/>
          <w:snapToGrid w:val="0"/>
          <w:color w:val="auto"/>
          <w:kern w:val="0"/>
          <w:sz w:val="24"/>
          <w:highlight w:val="none"/>
        </w:rPr>
        <w:t>4.本合同一式六份，具有同等法律效力，甲、乙双方各执三份。</w:t>
      </w:r>
    </w:p>
    <w:p>
      <w:pPr>
        <w:spacing w:line="360" w:lineRule="auto"/>
        <w:rPr>
          <w:rFonts w:ascii="仿宋" w:hAnsi="仿宋" w:eastAsia="仿宋" w:cs="仿宋"/>
          <w:color w:val="auto"/>
          <w:sz w:val="24"/>
          <w:highlight w:val="none"/>
        </w:rPr>
      </w:pPr>
    </w:p>
    <w:tbl>
      <w:tblPr>
        <w:tblStyle w:val="64"/>
        <w:tblW w:w="9248" w:type="dxa"/>
        <w:jc w:val="center"/>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108" w:type="dxa"/>
          <w:bottom w:w="0" w:type="dxa"/>
          <w:right w:w="108" w:type="dxa"/>
        </w:tblCellMar>
      </w:tblPr>
      <w:tblGrid>
        <w:gridCol w:w="1417"/>
        <w:gridCol w:w="633"/>
        <w:gridCol w:w="2532"/>
        <w:gridCol w:w="1305"/>
        <w:gridCol w:w="713"/>
        <w:gridCol w:w="2648"/>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108" w:type="dxa"/>
            <w:bottom w:w="0" w:type="dxa"/>
            <w:right w:w="108" w:type="dxa"/>
          </w:tblCellMar>
        </w:tblPrEx>
        <w:trPr>
          <w:trHeight w:val="508" w:hRule="atLeast"/>
          <w:jc w:val="center"/>
        </w:trPr>
        <w:tc>
          <w:tcPr>
            <w:tcW w:w="1417" w:type="dxa"/>
            <w:vAlign w:val="center"/>
          </w:tcPr>
          <w:p>
            <w:pPr>
              <w:pStyle w:val="25"/>
              <w:spacing w:line="360" w:lineRule="auto"/>
              <w:ind w:left="0" w:leftChars="0"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甲  方：</w:t>
            </w:r>
          </w:p>
        </w:tc>
        <w:tc>
          <w:tcPr>
            <w:tcW w:w="3165" w:type="dxa"/>
            <w:gridSpan w:val="2"/>
            <w:vAlign w:val="center"/>
          </w:tcPr>
          <w:p>
            <w:pPr>
              <w:pStyle w:val="24"/>
              <w:spacing w:line="360" w:lineRule="auto"/>
              <w:ind w:left="5520" w:hanging="5520" w:hangingChars="2300"/>
              <w:rPr>
                <w:rFonts w:ascii="仿宋" w:hAnsi="仿宋" w:eastAsia="仿宋" w:cs="仿宋"/>
                <w:color w:val="auto"/>
                <w:highlight w:val="none"/>
              </w:rPr>
            </w:pPr>
            <w:r>
              <w:rPr>
                <w:rFonts w:hint="eastAsia" w:ascii="仿宋" w:hAnsi="仿宋" w:eastAsia="仿宋" w:cs="仿宋"/>
                <w:color w:val="auto"/>
                <w:highlight w:val="none"/>
              </w:rPr>
              <w:t>杭州市萧山区第一人民医院院</w:t>
            </w:r>
          </w:p>
        </w:tc>
        <w:tc>
          <w:tcPr>
            <w:tcW w:w="1305" w:type="dxa"/>
            <w:vAlign w:val="center"/>
          </w:tcPr>
          <w:p>
            <w:pPr>
              <w:pStyle w:val="25"/>
              <w:spacing w:line="360" w:lineRule="auto"/>
              <w:ind w:left="0" w:leftChars="0"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乙  方：</w:t>
            </w:r>
          </w:p>
        </w:tc>
        <w:tc>
          <w:tcPr>
            <w:tcW w:w="3361" w:type="dxa"/>
            <w:gridSpan w:val="2"/>
            <w:vAlign w:val="center"/>
          </w:tcPr>
          <w:p>
            <w:pPr>
              <w:pStyle w:val="25"/>
              <w:spacing w:line="360" w:lineRule="auto"/>
              <w:ind w:firstLine="480"/>
              <w:jc w:val="left"/>
              <w:rPr>
                <w:rFonts w:ascii="仿宋" w:hAnsi="仿宋" w:eastAsia="仿宋" w:cs="仿宋"/>
                <w:color w:val="auto"/>
                <w:sz w:val="24"/>
                <w:highlight w:val="none"/>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108" w:type="dxa"/>
            <w:bottom w:w="0" w:type="dxa"/>
            <w:right w:w="108" w:type="dxa"/>
          </w:tblCellMar>
        </w:tblPrEx>
        <w:trPr>
          <w:trHeight w:val="471" w:hRule="atLeast"/>
          <w:jc w:val="center"/>
        </w:trPr>
        <w:tc>
          <w:tcPr>
            <w:tcW w:w="2050" w:type="dxa"/>
            <w:gridSpan w:val="2"/>
            <w:vAlign w:val="center"/>
          </w:tcPr>
          <w:p>
            <w:pPr>
              <w:pStyle w:val="25"/>
              <w:spacing w:line="360" w:lineRule="auto"/>
              <w:ind w:left="0" w:leftChars="0"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统一社会信用代码：</w:t>
            </w:r>
          </w:p>
        </w:tc>
        <w:tc>
          <w:tcPr>
            <w:tcW w:w="2532" w:type="dxa"/>
            <w:vAlign w:val="center"/>
          </w:tcPr>
          <w:p>
            <w:pPr>
              <w:pStyle w:val="25"/>
              <w:spacing w:line="360" w:lineRule="auto"/>
              <w:ind w:left="0" w:leftChars="0"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12330109470453493C</w:t>
            </w:r>
          </w:p>
        </w:tc>
        <w:tc>
          <w:tcPr>
            <w:tcW w:w="2018" w:type="dxa"/>
            <w:gridSpan w:val="2"/>
            <w:vAlign w:val="center"/>
          </w:tcPr>
          <w:p>
            <w:pPr>
              <w:pStyle w:val="25"/>
              <w:spacing w:line="360" w:lineRule="auto"/>
              <w:ind w:left="0" w:leftChars="0"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统一社会信用代码：</w:t>
            </w:r>
          </w:p>
        </w:tc>
        <w:tc>
          <w:tcPr>
            <w:tcW w:w="2648" w:type="dxa"/>
            <w:vAlign w:val="center"/>
          </w:tcPr>
          <w:p>
            <w:pPr>
              <w:pStyle w:val="25"/>
              <w:spacing w:line="360" w:lineRule="auto"/>
              <w:ind w:firstLine="480"/>
              <w:jc w:val="left"/>
              <w:rPr>
                <w:rFonts w:ascii="仿宋" w:hAnsi="仿宋" w:eastAsia="仿宋" w:cs="仿宋"/>
                <w:color w:val="auto"/>
                <w:sz w:val="24"/>
                <w:highlight w:val="none"/>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108" w:type="dxa"/>
            <w:bottom w:w="0" w:type="dxa"/>
            <w:right w:w="108" w:type="dxa"/>
          </w:tblCellMar>
        </w:tblPrEx>
        <w:trPr>
          <w:trHeight w:val="394" w:hRule="atLeast"/>
          <w:jc w:val="center"/>
        </w:trPr>
        <w:tc>
          <w:tcPr>
            <w:tcW w:w="1417" w:type="dxa"/>
            <w:vAlign w:val="center"/>
          </w:tcPr>
          <w:p>
            <w:pPr>
              <w:pStyle w:val="25"/>
              <w:spacing w:line="360" w:lineRule="auto"/>
              <w:ind w:left="0" w:leftChars="0"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地  址：</w:t>
            </w:r>
          </w:p>
        </w:tc>
        <w:tc>
          <w:tcPr>
            <w:tcW w:w="3165" w:type="dxa"/>
            <w:gridSpan w:val="2"/>
            <w:vAlign w:val="center"/>
          </w:tcPr>
          <w:p>
            <w:pPr>
              <w:pStyle w:val="25"/>
              <w:spacing w:line="360" w:lineRule="auto"/>
              <w:ind w:left="0" w:leftChars="0"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杭州市萧山区市心南路199号</w:t>
            </w:r>
          </w:p>
        </w:tc>
        <w:tc>
          <w:tcPr>
            <w:tcW w:w="1305" w:type="dxa"/>
            <w:vAlign w:val="center"/>
          </w:tcPr>
          <w:p>
            <w:pPr>
              <w:pStyle w:val="25"/>
              <w:spacing w:line="360" w:lineRule="auto"/>
              <w:ind w:left="0" w:leftChars="0"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地  址：</w:t>
            </w:r>
          </w:p>
        </w:tc>
        <w:tc>
          <w:tcPr>
            <w:tcW w:w="3361" w:type="dxa"/>
            <w:gridSpan w:val="2"/>
            <w:vAlign w:val="center"/>
          </w:tcPr>
          <w:p>
            <w:pPr>
              <w:pStyle w:val="25"/>
              <w:spacing w:line="360" w:lineRule="auto"/>
              <w:ind w:firstLine="480"/>
              <w:jc w:val="left"/>
              <w:rPr>
                <w:rFonts w:ascii="仿宋" w:hAnsi="仿宋" w:eastAsia="仿宋" w:cs="仿宋"/>
                <w:color w:val="auto"/>
                <w:sz w:val="24"/>
                <w:highlight w:val="none"/>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108" w:type="dxa"/>
            <w:bottom w:w="0" w:type="dxa"/>
            <w:right w:w="108" w:type="dxa"/>
          </w:tblCellMar>
        </w:tblPrEx>
        <w:trPr>
          <w:trHeight w:val="719" w:hRule="atLeast"/>
          <w:jc w:val="center"/>
        </w:trPr>
        <w:tc>
          <w:tcPr>
            <w:tcW w:w="4582" w:type="dxa"/>
            <w:gridSpan w:val="3"/>
            <w:vAlign w:val="center"/>
          </w:tcPr>
          <w:p>
            <w:pPr>
              <w:pStyle w:val="25"/>
              <w:spacing w:line="360" w:lineRule="auto"/>
              <w:ind w:left="0" w:leftChars="0"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法定代表或授权代表：</w:t>
            </w:r>
          </w:p>
        </w:tc>
        <w:tc>
          <w:tcPr>
            <w:tcW w:w="4666" w:type="dxa"/>
            <w:gridSpan w:val="3"/>
            <w:vAlign w:val="center"/>
          </w:tcPr>
          <w:p>
            <w:pPr>
              <w:pStyle w:val="25"/>
              <w:spacing w:line="360" w:lineRule="auto"/>
              <w:ind w:left="0" w:leftChars="0"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法定代表或授权代表：</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108" w:type="dxa"/>
            <w:bottom w:w="0" w:type="dxa"/>
            <w:right w:w="108" w:type="dxa"/>
          </w:tblCellMar>
        </w:tblPrEx>
        <w:trPr>
          <w:trHeight w:val="419" w:hRule="atLeast"/>
          <w:jc w:val="center"/>
        </w:trPr>
        <w:tc>
          <w:tcPr>
            <w:tcW w:w="1417" w:type="dxa"/>
            <w:vAlign w:val="center"/>
          </w:tcPr>
          <w:p>
            <w:pPr>
              <w:pStyle w:val="25"/>
              <w:spacing w:line="360" w:lineRule="auto"/>
              <w:ind w:left="0" w:leftChars="0"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3165" w:type="dxa"/>
            <w:gridSpan w:val="2"/>
            <w:vAlign w:val="center"/>
          </w:tcPr>
          <w:p>
            <w:pPr>
              <w:pStyle w:val="25"/>
              <w:spacing w:line="360" w:lineRule="auto"/>
              <w:ind w:firstLine="480"/>
              <w:jc w:val="left"/>
              <w:rPr>
                <w:rFonts w:ascii="仿宋" w:hAnsi="仿宋" w:eastAsia="仿宋" w:cs="仿宋"/>
                <w:color w:val="auto"/>
                <w:sz w:val="24"/>
                <w:highlight w:val="none"/>
              </w:rPr>
            </w:pPr>
          </w:p>
        </w:tc>
        <w:tc>
          <w:tcPr>
            <w:tcW w:w="1305" w:type="dxa"/>
            <w:vAlign w:val="center"/>
          </w:tcPr>
          <w:p>
            <w:pPr>
              <w:pStyle w:val="25"/>
              <w:spacing w:line="360" w:lineRule="auto"/>
              <w:ind w:left="0" w:leftChars="0"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3361" w:type="dxa"/>
            <w:gridSpan w:val="2"/>
            <w:vAlign w:val="center"/>
          </w:tcPr>
          <w:p>
            <w:pPr>
              <w:pStyle w:val="25"/>
              <w:spacing w:line="360" w:lineRule="auto"/>
              <w:ind w:firstLine="480"/>
              <w:jc w:val="left"/>
              <w:rPr>
                <w:rFonts w:ascii="仿宋" w:hAnsi="仿宋" w:eastAsia="仿宋" w:cs="仿宋"/>
                <w:color w:val="auto"/>
                <w:sz w:val="24"/>
                <w:highlight w:val="none"/>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108" w:type="dxa"/>
            <w:bottom w:w="0" w:type="dxa"/>
            <w:right w:w="108" w:type="dxa"/>
          </w:tblCellMar>
        </w:tblPrEx>
        <w:trPr>
          <w:trHeight w:val="344" w:hRule="atLeast"/>
          <w:jc w:val="center"/>
        </w:trPr>
        <w:tc>
          <w:tcPr>
            <w:tcW w:w="1417" w:type="dxa"/>
            <w:vAlign w:val="center"/>
          </w:tcPr>
          <w:p>
            <w:pPr>
              <w:pStyle w:val="25"/>
              <w:spacing w:line="360" w:lineRule="auto"/>
              <w:ind w:left="0" w:leftChars="0"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开户银行：</w:t>
            </w:r>
          </w:p>
        </w:tc>
        <w:tc>
          <w:tcPr>
            <w:tcW w:w="3165" w:type="dxa"/>
            <w:gridSpan w:val="2"/>
            <w:vAlign w:val="center"/>
          </w:tcPr>
          <w:p>
            <w:pPr>
              <w:pStyle w:val="25"/>
              <w:spacing w:line="360" w:lineRule="auto"/>
              <w:ind w:left="0" w:leftChars="0"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工商银行萧山分行</w:t>
            </w:r>
          </w:p>
        </w:tc>
        <w:tc>
          <w:tcPr>
            <w:tcW w:w="1305" w:type="dxa"/>
            <w:vAlign w:val="center"/>
          </w:tcPr>
          <w:p>
            <w:pPr>
              <w:pStyle w:val="25"/>
              <w:spacing w:line="360" w:lineRule="auto"/>
              <w:ind w:left="0" w:leftChars="0"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开户银行：</w:t>
            </w:r>
          </w:p>
        </w:tc>
        <w:tc>
          <w:tcPr>
            <w:tcW w:w="3361" w:type="dxa"/>
            <w:gridSpan w:val="2"/>
            <w:vAlign w:val="center"/>
          </w:tcPr>
          <w:p>
            <w:pPr>
              <w:pStyle w:val="25"/>
              <w:spacing w:line="360" w:lineRule="auto"/>
              <w:ind w:firstLine="480"/>
              <w:jc w:val="left"/>
              <w:rPr>
                <w:rFonts w:ascii="仿宋" w:hAnsi="仿宋" w:eastAsia="仿宋" w:cs="仿宋"/>
                <w:color w:val="auto"/>
                <w:sz w:val="24"/>
                <w:highlight w:val="none"/>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108" w:type="dxa"/>
            <w:bottom w:w="0" w:type="dxa"/>
            <w:right w:w="108" w:type="dxa"/>
          </w:tblCellMar>
        </w:tblPrEx>
        <w:trPr>
          <w:trHeight w:val="319" w:hRule="atLeast"/>
          <w:jc w:val="center"/>
        </w:trPr>
        <w:tc>
          <w:tcPr>
            <w:tcW w:w="1417" w:type="dxa"/>
            <w:vAlign w:val="center"/>
          </w:tcPr>
          <w:p>
            <w:pPr>
              <w:pStyle w:val="25"/>
              <w:spacing w:line="360" w:lineRule="auto"/>
              <w:ind w:left="0" w:leftChars="0"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账  号：</w:t>
            </w:r>
          </w:p>
        </w:tc>
        <w:tc>
          <w:tcPr>
            <w:tcW w:w="3165" w:type="dxa"/>
            <w:gridSpan w:val="2"/>
            <w:vAlign w:val="center"/>
          </w:tcPr>
          <w:p>
            <w:pPr>
              <w:pStyle w:val="25"/>
              <w:spacing w:line="360" w:lineRule="auto"/>
              <w:ind w:left="0" w:leftChars="0"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1202090109014432013</w:t>
            </w:r>
          </w:p>
        </w:tc>
        <w:tc>
          <w:tcPr>
            <w:tcW w:w="1305" w:type="dxa"/>
            <w:vAlign w:val="center"/>
          </w:tcPr>
          <w:p>
            <w:pPr>
              <w:pStyle w:val="25"/>
              <w:spacing w:line="360" w:lineRule="auto"/>
              <w:ind w:left="0" w:leftChars="0"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账   号：</w:t>
            </w:r>
          </w:p>
        </w:tc>
        <w:tc>
          <w:tcPr>
            <w:tcW w:w="3361" w:type="dxa"/>
            <w:gridSpan w:val="2"/>
            <w:vAlign w:val="center"/>
          </w:tcPr>
          <w:p>
            <w:pPr>
              <w:pStyle w:val="25"/>
              <w:spacing w:line="360" w:lineRule="auto"/>
              <w:ind w:firstLine="480"/>
              <w:jc w:val="left"/>
              <w:rPr>
                <w:rFonts w:ascii="仿宋" w:hAnsi="仿宋" w:eastAsia="仿宋" w:cs="仿宋"/>
                <w:color w:val="auto"/>
                <w:sz w:val="24"/>
                <w:highlight w:val="none"/>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108" w:type="dxa"/>
            <w:bottom w:w="0" w:type="dxa"/>
            <w:right w:w="108" w:type="dxa"/>
          </w:tblCellMar>
        </w:tblPrEx>
        <w:trPr>
          <w:trHeight w:val="375" w:hRule="atLeast"/>
          <w:jc w:val="center"/>
        </w:trPr>
        <w:tc>
          <w:tcPr>
            <w:tcW w:w="1417" w:type="dxa"/>
            <w:vAlign w:val="center"/>
          </w:tcPr>
          <w:p>
            <w:pPr>
              <w:pStyle w:val="25"/>
              <w:spacing w:line="360" w:lineRule="auto"/>
              <w:ind w:left="0" w:leftChars="0"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签订日期：</w:t>
            </w:r>
          </w:p>
        </w:tc>
        <w:tc>
          <w:tcPr>
            <w:tcW w:w="3165" w:type="dxa"/>
            <w:gridSpan w:val="2"/>
            <w:vAlign w:val="center"/>
          </w:tcPr>
          <w:p>
            <w:pPr>
              <w:pStyle w:val="25"/>
              <w:spacing w:line="360" w:lineRule="auto"/>
              <w:ind w:firstLine="480"/>
              <w:jc w:val="left"/>
              <w:rPr>
                <w:rFonts w:ascii="仿宋" w:hAnsi="仿宋" w:eastAsia="仿宋" w:cs="仿宋"/>
                <w:color w:val="auto"/>
                <w:sz w:val="24"/>
                <w:highlight w:val="none"/>
              </w:rPr>
            </w:pPr>
          </w:p>
        </w:tc>
        <w:tc>
          <w:tcPr>
            <w:tcW w:w="1305" w:type="dxa"/>
            <w:vAlign w:val="center"/>
          </w:tcPr>
          <w:p>
            <w:pPr>
              <w:pStyle w:val="25"/>
              <w:spacing w:line="360" w:lineRule="auto"/>
              <w:ind w:left="0" w:leftChars="0"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签订日期：</w:t>
            </w:r>
          </w:p>
        </w:tc>
        <w:tc>
          <w:tcPr>
            <w:tcW w:w="3361" w:type="dxa"/>
            <w:gridSpan w:val="2"/>
            <w:vAlign w:val="center"/>
          </w:tcPr>
          <w:p>
            <w:pPr>
              <w:pStyle w:val="25"/>
              <w:spacing w:line="360" w:lineRule="auto"/>
              <w:ind w:firstLine="480"/>
              <w:jc w:val="left"/>
              <w:rPr>
                <w:rFonts w:ascii="仿宋" w:hAnsi="仿宋" w:eastAsia="仿宋" w:cs="仿宋"/>
                <w:color w:val="auto"/>
                <w:sz w:val="24"/>
                <w:highlight w:val="none"/>
              </w:rPr>
            </w:pPr>
          </w:p>
        </w:tc>
      </w:tr>
    </w:tbl>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461"/>
        <w:spacing w:before="240"/>
        <w:rPr>
          <w:rFonts w:ascii="仿宋" w:eastAsia="仿宋" w:cs="仿宋"/>
          <w:color w:val="auto"/>
          <w:kern w:val="2"/>
          <w:sz w:val="24"/>
          <w:highlight w:val="none"/>
        </w:rPr>
      </w:pPr>
      <w:r>
        <w:rPr>
          <w:rFonts w:hint="eastAsia" w:ascii="仿宋" w:eastAsia="仿宋" w:cs="仿宋"/>
          <w:color w:val="auto"/>
          <w:kern w:val="2"/>
          <w:sz w:val="24"/>
          <w:highlight w:val="none"/>
        </w:rPr>
        <w:t>附件一：</w:t>
      </w:r>
    </w:p>
    <w:p>
      <w:pPr>
        <w:pStyle w:val="461"/>
        <w:spacing w:before="240"/>
        <w:jc w:val="center"/>
        <w:rPr>
          <w:rFonts w:ascii="仿宋" w:eastAsia="仿宋" w:cs="仿宋"/>
          <w:color w:val="auto"/>
          <w:kern w:val="2"/>
          <w:highlight w:val="none"/>
        </w:rPr>
      </w:pPr>
      <w:r>
        <w:rPr>
          <w:rFonts w:hint="eastAsia" w:ascii="仿宋" w:eastAsia="仿宋" w:cs="仿宋"/>
          <w:color w:val="auto"/>
          <w:kern w:val="2"/>
          <w:highlight w:val="none"/>
        </w:rPr>
        <w:t>廉洁合规相关承诺书</w:t>
      </w:r>
    </w:p>
    <w:p>
      <w:pPr>
        <w:spacing w:before="240"/>
        <w:rPr>
          <w:color w:val="auto"/>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第一部分  合规条款</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 乙方保证企业运营符合法律法规要求，遵守乙方及其分支机构所在国家和地区需适用的法律法规，包括但不限于当地的、国家的、地区的和国际的法律法规；保证每一个员工接受到足够的有关法律法规的信息和培训。</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2. 乙方保证在和甲方的商业合作中遵循公平竞争的原则，遵守国家及地方有关反商业贿赂、反不正当竞争及反垄断行为的各项规定，在其商业活动中，有义务遵守良好的商业道德，不得提供虚假资料或使用其他违背诚实信用原则的方式开展商业活动。</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3. 乙方保证加强对自身人员的管理，要求其员工、代理人、管理人员严格遵守所在地法律法规，自觉抵制业务活动中不符合职业道德的不廉洁商业行为。</w:t>
      </w: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第二部分 反商业贿赂和反舞弊（廉洁条款）</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 乙方保证自觉遵守国家、地方法律法规以及本协议的约定，在合同的订立、履行过程中廉洁自律。</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2. 乙方保证决不为获得交易机会或为达到交易目的而向甲方的任何人员及其关系人或第三方提供、给付各种不正当利益或达成不正当利益的分成。</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3. 乙方保证绝不向甲方的任何人员或其关系人及/或其指定人要求进行任何贿赂或给付其他不正当利益，包括但不限于给予现金或商品形式的回扣、礼金、有价票券、借款、免费旅游或度假、招待、娱乐、置业、房屋装修、餐饮宴席、节日礼物、通讯工具、解决子女或亲属入学以及就业等一切精神上或物质上的利益。</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4. 乙方保证决不为谋取不正当利益引诱或使甲方的任何人员违背职务接受或共同编造虚假议价资料、影响交易价格或交易的达成，或使其擅自同意或暗中默认将交易机会给予乙方或第三方，以及其他损害甲方利益的行为。</w:t>
      </w: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第三部分 利益冲突条款</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 乙方保证决不以任何形式雇佣甲方员工及其关系人到乙方或乙方的关联公司工作。如乙方在签署本合同前已雇佣甲方员工或其亲属在乙方或乙方的关联公司工作，则应当在签署本合同之时将该事实披露给甲方知悉。</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2. 乙方保证决不以任何形式雇佣从甲方离职十年内的员工及其亲属担任重要职位或担任与甲方业务接口工作，或合作过程中不得接受甲方在职人员或离职人员及其亲属或投资伙伴投资、持股。</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3. 乙方与甲方存在下列几种情况时，乙方应将该事实于双方合作业务发生前及本协议签订时披露给甲方知悉，否则甲方有权单方解除本协议及双方签订的所有合同，并依据双方相关业务合同及本协议约定追究乙方违约责任。</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3.1 乙方与甲方的任何人员之间有合作关系；</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3.2 乙方员工或亲属持有甲方股份；</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3.3 乙方员工属于关系人的范围；</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3.4 甲方离职员工（离职10年内）及其亲属或投资伙伴在乙方投资、入股、担任重要职位或担任与甲方业务接口工作的。</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4. 乙方与甲方在职管理人员存在关联关系、合作服务关系或属于关系人的，应当在合作业务发生前及本协议签订前主动按照甲方要求进行申报，并获甲方批准后方可合作。</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5. 乙方如发现甲方工作人员有违反上述协议者，应向甲方举报。</w:t>
      </w: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第四部分 反洗钱条款</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 乙方保证其所开展及已开展的运营活动在任何时候均符合所有适用管辖区域的反洗钱相关法律法规，以及由任何政府或政府机构签发、管理或执行的任何相关或类似的规则、法规或指引（统称为“反洗钱法”）。并且，不存在任何法院、政府、监管机构、主管单位、机构或仲裁员正在进行或可能进行的任何涉及甲乙双方公司或其任何子公司有关反洗钱法的法律行动、行动或司法/行政程序。</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2. 乙方应当根据适用法律和税务机关的要求进行税费申报并缴付税费，并应遵守所有适用的反洗钱法律。</w:t>
      </w: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pStyle w:val="461"/>
        <w:spacing w:before="240"/>
        <w:ind w:firstLine="4819" w:firstLineChars="2000"/>
        <w:outlineLvl w:val="9"/>
        <w:rPr>
          <w:rFonts w:ascii="仿宋" w:eastAsia="仿宋" w:cs="仿宋"/>
          <w:color w:val="auto"/>
          <w:kern w:val="2"/>
          <w:sz w:val="24"/>
          <w:highlight w:val="none"/>
        </w:rPr>
      </w:pPr>
      <w:r>
        <w:rPr>
          <w:rFonts w:hint="eastAsia" w:ascii="仿宋" w:eastAsia="仿宋" w:cs="仿宋"/>
          <w:color w:val="auto"/>
          <w:kern w:val="2"/>
          <w:sz w:val="24"/>
          <w:highlight w:val="none"/>
        </w:rPr>
        <w:t xml:space="preserve">   乙方（盖章）：                   </w:t>
      </w:r>
    </w:p>
    <w:p>
      <w:pPr>
        <w:pStyle w:val="461"/>
        <w:spacing w:before="240"/>
        <w:jc w:val="right"/>
        <w:outlineLvl w:val="9"/>
        <w:rPr>
          <w:rFonts w:ascii="仿宋" w:eastAsia="仿宋" w:cs="仿宋"/>
          <w:color w:val="auto"/>
          <w:kern w:val="2"/>
          <w:sz w:val="24"/>
          <w:highlight w:val="none"/>
        </w:rPr>
      </w:pPr>
      <w:r>
        <w:rPr>
          <w:rFonts w:hint="eastAsia" w:ascii="仿宋" w:eastAsia="仿宋" w:cs="仿宋"/>
          <w:color w:val="auto"/>
          <w:kern w:val="2"/>
          <w:sz w:val="24"/>
          <w:highlight w:val="none"/>
        </w:rPr>
        <w:t xml:space="preserve">                                   </w:t>
      </w:r>
    </w:p>
    <w:p>
      <w:pPr>
        <w:pStyle w:val="461"/>
        <w:spacing w:before="240"/>
        <w:jc w:val="right"/>
        <w:outlineLvl w:val="9"/>
        <w:rPr>
          <w:rFonts w:ascii="仿宋" w:eastAsia="仿宋" w:cs="仿宋"/>
          <w:color w:val="auto"/>
          <w:kern w:val="2"/>
          <w:sz w:val="24"/>
          <w:highlight w:val="none"/>
        </w:rPr>
      </w:pPr>
      <w:r>
        <w:rPr>
          <w:rFonts w:hint="eastAsia" w:ascii="仿宋" w:eastAsia="仿宋" w:cs="仿宋"/>
          <w:color w:val="auto"/>
          <w:kern w:val="2"/>
          <w:sz w:val="24"/>
          <w:highlight w:val="none"/>
        </w:rPr>
        <w:t xml:space="preserve">                    日  期：    年   月   日</w:t>
      </w:r>
    </w:p>
    <w:p>
      <w:pPr>
        <w:spacing w:line="240" w:lineRule="auto"/>
        <w:ind w:left="0" w:firstLine="0" w:firstLineChars="0"/>
        <w:outlineLvl w:val="9"/>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spacing w:line="360" w:lineRule="auto"/>
        <w:ind w:left="720" w:firstLine="723" w:firstLineChars="200"/>
        <w:outlineLvl w:val="9"/>
        <w:rPr>
          <w:rFonts w:hint="eastAsia" w:ascii="仿宋" w:hAnsi="仿宋" w:eastAsia="仿宋" w:cs="仿宋"/>
          <w:b/>
          <w:color w:val="auto"/>
          <w:sz w:val="36"/>
          <w:szCs w:val="20"/>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461"/>
        <w:spacing w:before="240"/>
        <w:rPr>
          <w:rFonts w:ascii="仿宋" w:eastAsia="仿宋" w:cs="仿宋"/>
          <w:color w:val="auto"/>
          <w:kern w:val="2"/>
          <w:sz w:val="24"/>
          <w:highlight w:val="none"/>
        </w:rPr>
      </w:pPr>
      <w:r>
        <w:rPr>
          <w:rFonts w:hint="eastAsia" w:ascii="仿宋" w:eastAsia="仿宋" w:cs="仿宋"/>
          <w:color w:val="auto"/>
          <w:kern w:val="2"/>
          <w:sz w:val="24"/>
          <w:highlight w:val="none"/>
        </w:rPr>
        <w:t>附件</w:t>
      </w:r>
      <w:r>
        <w:rPr>
          <w:rFonts w:hint="eastAsia" w:ascii="仿宋" w:eastAsia="仿宋" w:cs="仿宋"/>
          <w:color w:val="auto"/>
          <w:kern w:val="2"/>
          <w:sz w:val="24"/>
          <w:highlight w:val="none"/>
          <w:lang w:val="en-US" w:eastAsia="zh-CN"/>
        </w:rPr>
        <w:t>二</w:t>
      </w:r>
      <w:r>
        <w:rPr>
          <w:rFonts w:hint="eastAsia" w:ascii="仿宋" w:eastAsia="仿宋" w:cs="仿宋"/>
          <w:color w:val="auto"/>
          <w:kern w:val="2"/>
          <w:sz w:val="24"/>
          <w:highlight w:val="none"/>
        </w:rPr>
        <w:t>：</w:t>
      </w:r>
    </w:p>
    <w:tbl>
      <w:tblPr>
        <w:tblStyle w:val="63"/>
        <w:tblW w:w="902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7"/>
        <w:gridCol w:w="1270"/>
        <w:gridCol w:w="4490"/>
        <w:gridCol w:w="24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902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医学装备维保合同履约情况考核表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902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8"/>
                <w:szCs w:val="28"/>
                <w:highlight w:val="none"/>
                <w:u w:val="none"/>
                <w:lang w:val="en-US" w:eastAsia="zh-CN" w:bidi="ar"/>
              </w:rPr>
            </w:pPr>
            <w:r>
              <w:rPr>
                <w:rFonts w:hint="eastAsia" w:ascii="宋体" w:hAnsi="宋体" w:eastAsia="宋体" w:cs="宋体"/>
                <w:b/>
                <w:bCs/>
                <w:i w:val="0"/>
                <w:iCs w:val="0"/>
                <w:color w:val="auto"/>
                <w:kern w:val="0"/>
                <w:sz w:val="28"/>
                <w:szCs w:val="28"/>
                <w:highlight w:val="none"/>
                <w:u w:val="none"/>
                <w:lang w:val="en-US" w:eastAsia="zh-CN" w:bidi="ar"/>
              </w:rPr>
              <w:t>合同项目：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trPr>
        <w:tc>
          <w:tcPr>
            <w:tcW w:w="21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考核项目</w:t>
            </w:r>
          </w:p>
        </w:tc>
        <w:tc>
          <w:tcPr>
            <w:tcW w:w="4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考核内容</w:t>
            </w:r>
          </w:p>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充分满足临床需求9-10分，满足临床需求7-8分，基本满足临床需求5-6分，</w:t>
            </w:r>
            <w:r>
              <w:rPr>
                <w:rFonts w:hint="eastAsia" w:ascii="宋体" w:hAnsi="宋体" w:eastAsia="宋体" w:cs="宋体"/>
                <w:color w:val="auto"/>
                <w:sz w:val="20"/>
                <w:szCs w:val="20"/>
                <w:highlight w:val="none"/>
              </w:rPr>
              <w:t>存在较大的缺陷与临床要求差距较大</w:t>
            </w:r>
            <w:r>
              <w:rPr>
                <w:rFonts w:hint="eastAsia" w:ascii="宋体" w:hAnsi="宋体" w:eastAsia="宋体" w:cs="宋体"/>
                <w:color w:val="auto"/>
                <w:sz w:val="20"/>
                <w:szCs w:val="20"/>
                <w:highlight w:val="none"/>
                <w:lang w:val="en-US" w:eastAsia="zh-CN"/>
              </w:rPr>
              <w:t>0-4分。）</w:t>
            </w:r>
          </w:p>
        </w:tc>
        <w:tc>
          <w:tcPr>
            <w:tcW w:w="2422"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eastAsia="zh-CN"/>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6"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服务能力</w:t>
            </w:r>
          </w:p>
        </w:tc>
        <w:tc>
          <w:tcPr>
            <w:tcW w:w="4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维保工程师具有专业技术能力和资质要求；如需要特种设备上岗证等资质要求，相关复印件附在合同后面。</w:t>
            </w:r>
          </w:p>
        </w:tc>
        <w:tc>
          <w:tcPr>
            <w:tcW w:w="2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响应及时</w:t>
            </w:r>
          </w:p>
        </w:tc>
        <w:tc>
          <w:tcPr>
            <w:tcW w:w="4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接到报修及时响应，按规定时间到场处理故障</w:t>
            </w:r>
          </w:p>
        </w:tc>
        <w:tc>
          <w:tcPr>
            <w:tcW w:w="2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修理方案</w:t>
            </w:r>
          </w:p>
        </w:tc>
        <w:tc>
          <w:tcPr>
            <w:tcW w:w="4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现场及时正确地判断故障，迅速合理地确定修理方案，保障设备的正常运转</w:t>
            </w:r>
          </w:p>
        </w:tc>
        <w:tc>
          <w:tcPr>
            <w:tcW w:w="2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4</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备件速度</w:t>
            </w:r>
          </w:p>
        </w:tc>
        <w:tc>
          <w:tcPr>
            <w:tcW w:w="4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及时保障维修零备件采购速度，并在要求时间内完成维修</w:t>
            </w:r>
          </w:p>
        </w:tc>
        <w:tc>
          <w:tcPr>
            <w:tcW w:w="2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eastAsia="zh-CN"/>
              </w:rPr>
              <w:t>维修质量</w:t>
            </w:r>
          </w:p>
        </w:tc>
        <w:tc>
          <w:tcPr>
            <w:tcW w:w="4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仿宋"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同故障反复维修情况，不影响设备正常运行。</w:t>
            </w:r>
          </w:p>
        </w:tc>
        <w:tc>
          <w:tcPr>
            <w:tcW w:w="2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保养质检</w:t>
            </w:r>
          </w:p>
        </w:tc>
        <w:tc>
          <w:tcPr>
            <w:tcW w:w="4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按规定和要求完成设备保养和质检工作，保障设备的正常运转。进行维护保养后及时清洁现场。</w:t>
            </w:r>
          </w:p>
        </w:tc>
        <w:tc>
          <w:tcPr>
            <w:tcW w:w="2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eastAsia="zh-CN"/>
              </w:rPr>
              <w:t>维护时间</w:t>
            </w:r>
          </w:p>
        </w:tc>
        <w:tc>
          <w:tcPr>
            <w:tcW w:w="4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协调维护保养时间与设备使用时间，以设备使用需求优先。</w:t>
            </w:r>
          </w:p>
        </w:tc>
        <w:tc>
          <w:tcPr>
            <w:tcW w:w="2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工单管理</w:t>
            </w:r>
          </w:p>
        </w:tc>
        <w:tc>
          <w:tcPr>
            <w:tcW w:w="4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服务完成有完整的纸质或电子版工单报告，按照科室要求做好服务记录；保养维护发生后需要维护方，临床科室，设备科相关科室签字确认。</w:t>
            </w:r>
          </w:p>
        </w:tc>
        <w:tc>
          <w:tcPr>
            <w:tcW w:w="2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沟通汇报</w:t>
            </w:r>
          </w:p>
        </w:tc>
        <w:tc>
          <w:tcPr>
            <w:tcW w:w="4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及时沟通维修进度，分析故障原因及建议临床科室使用注意事项，一季度向设备科汇报设备维护情况并提交相关资料。</w:t>
            </w:r>
          </w:p>
        </w:tc>
        <w:tc>
          <w:tcPr>
            <w:tcW w:w="2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配件保障</w:t>
            </w:r>
          </w:p>
        </w:tc>
        <w:tc>
          <w:tcPr>
            <w:tcW w:w="4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lang w:eastAsia="zh-CN"/>
              </w:rPr>
            </w:pPr>
            <w:r>
              <w:rPr>
                <w:rFonts w:hint="eastAsia" w:ascii="宋体" w:hAnsi="宋体" w:eastAsia="宋体" w:cs="宋体"/>
                <w:i w:val="0"/>
                <w:iCs w:val="0"/>
                <w:color w:val="auto"/>
                <w:sz w:val="20"/>
                <w:szCs w:val="20"/>
                <w:highlight w:val="none"/>
                <w:u w:val="none"/>
                <w:lang w:eastAsia="zh-CN"/>
              </w:rPr>
              <w:t>维修维护中更换的配件为原品牌型号配件或优于原品牌型号。</w:t>
            </w:r>
          </w:p>
        </w:tc>
        <w:tc>
          <w:tcPr>
            <w:tcW w:w="2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0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eastAsia="zh-CN"/>
              </w:rPr>
              <w:t>总分</w:t>
            </w:r>
            <w:r>
              <w:rPr>
                <w:rFonts w:hint="eastAsia" w:ascii="宋体" w:hAnsi="宋体" w:eastAsia="宋体" w:cs="宋体"/>
                <w:i w:val="0"/>
                <w:iCs w:val="0"/>
                <w:color w:val="auto"/>
                <w:sz w:val="22"/>
                <w:szCs w:val="22"/>
                <w:highlight w:val="none"/>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90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考核时间范围：           年     月      日  至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90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考核结果：</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p>
            <w:pPr>
              <w:keepNext w:val="0"/>
              <w:keepLines w:val="0"/>
              <w:widowControl/>
              <w:suppressLineNumbers w:val="0"/>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考核人签名：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0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考核标准：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0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 考核部门：临床科室和设备科；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90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2)考核平均分90分达标，在90分以上共同找出问题进行整改，每次平均分90分以下（不含）扣除每一期应付款的2%，扣款金额在下一期付款的金额中扣除。累计三次平均分低于90分（不含）的，医院有权解除合同。                                                                                                                                                                                                                  </w:t>
            </w:r>
          </w:p>
        </w:tc>
      </w:tr>
    </w:tbl>
    <w:p>
      <w:pPr>
        <w:spacing w:line="240" w:lineRule="auto"/>
        <w:ind w:left="0" w:firstLine="0" w:firstLineChars="0"/>
        <w:outlineLvl w:val="9"/>
        <w:rPr>
          <w:rFonts w:hint="eastAsia" w:ascii="仿宋" w:hAnsi="仿宋" w:eastAsia="仿宋" w:cs="仿宋"/>
          <w:b/>
          <w:color w:val="auto"/>
          <w:sz w:val="36"/>
          <w:szCs w:val="20"/>
          <w:highlight w:val="none"/>
        </w:rPr>
      </w:pPr>
    </w:p>
    <w:p>
      <w:pPr>
        <w:spacing w:line="360" w:lineRule="auto"/>
        <w:ind w:left="720" w:firstLine="723" w:firstLineChars="200"/>
        <w:outlineLvl w:val="9"/>
        <w:rPr>
          <w:rFonts w:hint="eastAsia" w:ascii="仿宋" w:hAnsi="仿宋" w:eastAsia="仿宋" w:cs="仿宋"/>
          <w:b/>
          <w:color w:val="auto"/>
          <w:sz w:val="36"/>
          <w:szCs w:val="20"/>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docGrid w:linePitch="312" w:charSpace="0"/>
        </w:sectPr>
      </w:pPr>
    </w:p>
    <w:p>
      <w:pPr>
        <w:spacing w:line="360" w:lineRule="auto"/>
        <w:ind w:left="720" w:firstLine="723" w:firstLineChars="200"/>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83"/>
      <w:r>
        <w:rPr>
          <w:rFonts w:hint="eastAsia" w:ascii="仿宋" w:hAnsi="仿宋" w:eastAsia="仿宋" w:cs="仿宋"/>
          <w:b/>
          <w:color w:val="auto"/>
          <w:sz w:val="36"/>
          <w:szCs w:val="20"/>
          <w:highlight w:val="none"/>
        </w:rPr>
        <w:t xml:space="preserve"> </w:t>
      </w:r>
      <w:bookmarkEnd w:id="384"/>
      <w:r>
        <w:rPr>
          <w:rFonts w:hint="eastAsia" w:ascii="仿宋" w:hAnsi="仿宋" w:eastAsia="仿宋" w:cs="仿宋"/>
          <w:b/>
          <w:color w:val="auto"/>
          <w:sz w:val="36"/>
          <w:szCs w:val="20"/>
          <w:highlight w:val="none"/>
        </w:rPr>
        <w:t>应提交的有关格式范例</w:t>
      </w:r>
    </w:p>
    <w:p>
      <w:pPr>
        <w:spacing w:line="240" w:lineRule="auto"/>
        <w:jc w:val="left"/>
        <w:outlineLvl w:val="9"/>
        <w:rPr>
          <w:color w:val="auto"/>
          <w:highlight w:val="none"/>
        </w:rPr>
      </w:pP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240" w:lineRule="auto"/>
        <w:jc w:val="left"/>
        <w:outlineLvl w:val="9"/>
        <w:rPr>
          <w:color w:val="auto"/>
          <w:highlight w:val="none"/>
        </w:rPr>
      </w:pPr>
    </w:p>
    <w:p>
      <w:pPr>
        <w:pStyle w:val="725"/>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以联合体形式参加本项目投标的，联合体各方均应当提供如下资格证明材料。</w:t>
      </w:r>
    </w:p>
    <w:p>
      <w:pPr>
        <w:pStyle w:val="725"/>
        <w:shd w:val="clear"/>
        <w:snapToGrid w:val="0"/>
        <w:spacing w:line="360" w:lineRule="auto"/>
        <w:ind w:firstLine="420"/>
        <w:rPr>
          <w:rFonts w:hint="eastAsia" w:ascii="仿宋" w:hAnsi="仿宋" w:eastAsia="仿宋" w:cs="仿宋"/>
          <w:color w:val="auto"/>
          <w:szCs w:val="20"/>
          <w:highlight w:val="none"/>
        </w:rPr>
      </w:pPr>
      <w:r>
        <w:rPr>
          <w:rFonts w:hint="eastAsia" w:ascii="仿宋" w:hAnsi="仿宋" w:eastAsia="仿宋" w:cs="仿宋"/>
          <w:color w:val="auto"/>
          <w:szCs w:val="20"/>
          <w:highlight w:val="none"/>
          <w:lang w:val="en-US" w:eastAsia="zh-CN"/>
        </w:rPr>
        <w:t>1.</w:t>
      </w:r>
      <w:r>
        <w:rPr>
          <w:rFonts w:hint="eastAsia" w:ascii="仿宋" w:hAnsi="仿宋" w:eastAsia="仿宋" w:cs="仿宋"/>
          <w:color w:val="auto"/>
          <w:szCs w:val="20"/>
          <w:highlight w:val="none"/>
        </w:rPr>
        <w:t>符合参与政府采购活动资格条件的承诺函；</w:t>
      </w:r>
    </w:p>
    <w:p>
      <w:pPr>
        <w:pStyle w:val="72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落实政府采购政策需满足的资格要求</w:t>
      </w:r>
      <w:r>
        <w:rPr>
          <w:rFonts w:hint="eastAsia" w:ascii="仿宋" w:hAnsi="仿宋" w:eastAsia="仿宋" w:cs="仿宋"/>
          <w:color w:val="auto"/>
          <w:sz w:val="24"/>
          <w:highlight w:val="none"/>
          <w:lang w:val="en-US" w:eastAsia="zh-CN"/>
        </w:rPr>
        <w:t>：</w:t>
      </w:r>
      <w:r>
        <w:rPr>
          <w:rFonts w:hint="eastAsia" w:ascii="仿宋" w:hAnsi="仿宋" w:eastAsia="仿宋" w:cs="仿宋"/>
          <w:color w:val="auto"/>
          <w:highlight w:val="none"/>
          <w:lang w:val="en-US" w:eastAsia="zh-CN"/>
        </w:rPr>
        <w:t>中小企业声明函</w:t>
      </w:r>
      <w:r>
        <w:rPr>
          <w:rFonts w:hint="eastAsia" w:ascii="仿宋" w:hAnsi="仿宋" w:eastAsia="仿宋" w:cs="仿宋"/>
          <w:color w:val="auto"/>
          <w:sz w:val="24"/>
          <w:highlight w:val="none"/>
          <w:lang w:val="en-US" w:eastAsia="zh-CN"/>
        </w:rPr>
        <w:t>。</w:t>
      </w:r>
    </w:p>
    <w:p>
      <w:pPr>
        <w:pStyle w:val="725"/>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本项目的特定资格要求:无</w:t>
      </w:r>
    </w:p>
    <w:p>
      <w:pPr>
        <w:snapToGrid w:val="0"/>
        <w:spacing w:line="360" w:lineRule="auto"/>
        <w:rPr>
          <w:rFonts w:ascii="仿宋" w:hAnsi="仿宋" w:eastAsia="仿宋" w:cs="仿宋"/>
          <w:color w:val="auto"/>
          <w:sz w:val="24"/>
          <w:highlight w:val="none"/>
        </w:rPr>
      </w:pPr>
    </w:p>
    <w:p>
      <w:pPr>
        <w:snapToGrid w:val="0"/>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p>
    <w:p>
      <w:pPr>
        <w:snapToGrid w:val="0"/>
        <w:spacing w:line="360" w:lineRule="auto"/>
        <w:ind w:right="482"/>
        <w:jc w:val="center"/>
        <w:outlineLvl w:val="1"/>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一、符合参加政府采购活动应当具备的一般条件的承诺函</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rPr>
          <w:rFonts w:ascii="仿宋" w:hAnsi="仿宋" w:eastAsia="仿宋" w:cs="仿宋"/>
          <w:color w:val="auto"/>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ind w:right="482"/>
        <w:jc w:val="center"/>
        <w:outlineLvl w:val="1"/>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pPr>
        <w:rPr>
          <w:rFonts w:ascii="仿宋" w:hAnsi="仿宋" w:eastAsia="仿宋" w:cs="仿宋"/>
          <w:b/>
          <w:color w:val="auto"/>
          <w:kern w:val="0"/>
          <w:sz w:val="32"/>
          <w:szCs w:val="32"/>
          <w:highlight w:val="none"/>
        </w:rPr>
      </w:pPr>
    </w:p>
    <w:p>
      <w:pPr>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ind w:right="482"/>
        <w:jc w:val="center"/>
        <w:outlineLvl w:val="1"/>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三、实政府采购政策需满足的资格要求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snapToGrid/>
        <w:spacing w:before="0" w:after="0" w:line="240" w:lineRule="auto"/>
        <w:ind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spacing w:line="360" w:lineRule="auto"/>
        <w:jc w:val="center"/>
        <w:outlineLvl w:val="1"/>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pPr>
        <w:spacing w:line="360" w:lineRule="auto"/>
        <w:rPr>
          <w:rFonts w:ascii="仿宋" w:hAnsi="仿宋" w:eastAsia="仿宋" w:cs="仿宋"/>
          <w:color w:val="auto"/>
          <w:highlight w:val="none"/>
        </w:rPr>
      </w:pPr>
    </w:p>
    <w:p>
      <w:pPr>
        <w:spacing w:line="360" w:lineRule="auto"/>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ind w:right="1120" w:firstLine="4680" w:firstLineChars="1950"/>
        <w:rPr>
          <w:rFonts w:ascii="仿宋" w:hAnsi="仿宋" w:eastAsia="仿宋" w:cs="仿宋"/>
          <w:b/>
          <w:color w:val="auto"/>
          <w:sz w:val="32"/>
          <w:szCs w:val="32"/>
          <w:highlight w:val="none"/>
        </w:rPr>
      </w:pPr>
      <w:r>
        <w:rPr>
          <w:rFonts w:hint="eastAsia" w:ascii="仿宋" w:hAnsi="仿宋" w:eastAsia="仿宋" w:cs="仿宋"/>
          <w:color w:val="auto"/>
          <w:sz w:val="24"/>
          <w:highlight w:val="none"/>
        </w:rPr>
        <w:t>日 期：</w:t>
      </w:r>
    </w:p>
    <w:p>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b/>
          <w:bCs/>
          <w:color w:val="auto"/>
          <w:sz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4"/>
        <w:rPr>
          <w:rFonts w:ascii="仿宋" w:hAnsi="仿宋" w:eastAsia="仿宋" w:cs="仿宋"/>
          <w:color w:val="auto"/>
          <w:highlight w:val="none"/>
        </w:rPr>
      </w:pPr>
    </w:p>
    <w:p>
      <w:pPr>
        <w:rPr>
          <w:rFonts w:ascii="仿宋" w:hAnsi="仿宋" w:eastAsia="仿宋" w:cs="仿宋"/>
          <w:color w:val="auto"/>
          <w:sz w:val="24"/>
          <w:highlight w:val="none"/>
        </w:rPr>
      </w:pPr>
    </w:p>
    <w:p>
      <w:pPr>
        <w:pStyle w:val="24"/>
        <w:rPr>
          <w:rFonts w:ascii="仿宋" w:hAnsi="仿宋" w:eastAsia="仿宋" w:cs="仿宋"/>
          <w:color w:val="auto"/>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2"/>
        <w:rPr>
          <w:rFonts w:ascii="仿宋" w:hAnsi="仿宋" w:eastAsia="仿宋" w:cs="仿宋"/>
          <w:color w:val="auto"/>
          <w:highlight w:val="none"/>
        </w:rPr>
        <w:sectPr>
          <w:pgSz w:w="16838" w:h="11906" w:orient="landscape"/>
          <w:pgMar w:top="1418" w:right="1276" w:bottom="1418" w:left="1247"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color w:val="auto"/>
          <w:highlight w:val="none"/>
        </w:rPr>
        <w:drawing>
          <wp:inline distT="0" distB="0" distL="114300" distR="114300">
            <wp:extent cx="9091295" cy="5498465"/>
            <wp:effectExtent l="0" t="0" r="14605" b="698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6"/>
                    <a:stretch>
                      <a:fillRect/>
                    </a:stretch>
                  </pic:blipFill>
                  <pic:spPr>
                    <a:xfrm>
                      <a:off x="0" y="0"/>
                      <a:ext cx="9091295" cy="5498465"/>
                    </a:xfrm>
                    <a:prstGeom prst="rect">
                      <a:avLst/>
                    </a:prstGeom>
                    <a:noFill/>
                    <a:ln>
                      <a:noFill/>
                    </a:ln>
                  </pic:spPr>
                </pic:pic>
              </a:graphicData>
            </a:graphic>
          </wp:inline>
        </w:drawing>
      </w:r>
    </w:p>
    <w:p>
      <w:pPr>
        <w:pStyle w:val="3"/>
        <w:ind w:left="0" w:firstLine="0"/>
        <w:rPr>
          <w:rFonts w:ascii="仿宋" w:eastAsia="仿宋" w:cs="仿宋"/>
          <w:color w:val="auto"/>
          <w:highlight w:val="none"/>
        </w:rPr>
      </w:pPr>
      <w:r>
        <w:rPr>
          <w:rFonts w:hint="eastAsia" w:ascii="仿宋" w:eastAsia="仿宋" w:cs="仿宋"/>
          <w:color w:val="auto"/>
          <w:highlight w:val="none"/>
        </w:rPr>
        <w:t>供应商为监狱企业的证明文件：省级以上监狱管理局、戒毒管理局（含新疆生产建设兵团）出具（如有）</w:t>
      </w:r>
    </w:p>
    <w:p>
      <w:pPr>
        <w:spacing w:line="360" w:lineRule="auto"/>
        <w:rPr>
          <w:rFonts w:ascii="仿宋" w:hAnsi="仿宋" w:eastAsia="仿宋" w:cs="仿宋"/>
          <w:color w:val="auto"/>
          <w:highlight w:val="none"/>
        </w:rPr>
      </w:pPr>
    </w:p>
    <w:p>
      <w:pPr>
        <w:pStyle w:val="3"/>
        <w:ind w:left="0" w:firstLine="0"/>
        <w:rPr>
          <w:rFonts w:ascii="仿宋" w:eastAsia="仿宋" w:cs="仿宋"/>
          <w:color w:val="auto"/>
          <w:highlight w:val="none"/>
        </w:rPr>
      </w:pPr>
      <w:r>
        <w:rPr>
          <w:rFonts w:hint="eastAsia" w:ascii="仿宋" w:eastAsia="仿宋" w:cs="仿宋"/>
          <w:color w:val="auto"/>
          <w:highlight w:val="none"/>
        </w:rPr>
        <w:br w:type="page"/>
      </w:r>
      <w:r>
        <w:rPr>
          <w:rFonts w:hint="eastAsia" w:ascii="仿宋" w:eastAsia="仿宋" w:cs="仿宋"/>
          <w:color w:val="auto"/>
          <w:highlight w:val="none"/>
        </w:rPr>
        <w:t>残疾人福利性单位声明函（如有）</w:t>
      </w:r>
    </w:p>
    <w:p>
      <w:pPr>
        <w:snapToGrid w:val="0"/>
        <w:spacing w:line="360" w:lineRule="auto"/>
        <w:jc w:val="center"/>
        <w:rPr>
          <w:rFonts w:ascii="仿宋" w:hAnsi="仿宋" w:eastAsia="仿宋" w:cs="仿宋"/>
          <w:b/>
          <w:bCs/>
          <w:color w:val="auto"/>
          <w:sz w:val="32"/>
          <w:szCs w:val="32"/>
          <w:highlight w:val="none"/>
        </w:rPr>
      </w:pPr>
    </w:p>
    <w:p>
      <w:pPr>
        <w:snapToGrid w:val="0"/>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残疾人福利性单位声明函</w:t>
      </w:r>
    </w:p>
    <w:p>
      <w:pPr>
        <w:snapToGrid w:val="0"/>
        <w:spacing w:line="360" w:lineRule="auto"/>
        <w:jc w:val="center"/>
        <w:rPr>
          <w:rFonts w:ascii="仿宋" w:hAnsi="仿宋" w:eastAsia="仿宋" w:cs="仿宋"/>
          <w:b/>
          <w:bCs/>
          <w:color w:val="auto"/>
          <w:sz w:val="24"/>
          <w:highlight w:val="none"/>
        </w:rPr>
      </w:pPr>
    </w:p>
    <w:p>
      <w:pPr>
        <w:snapToGrid w:val="0"/>
        <w:spacing w:line="360" w:lineRule="auto"/>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本单位郑重声明，根据《财政部民政部中国残疾人联合会关于促进残疾人就业政府采购政策的通知》（财库</w:t>
      </w:r>
      <w:r>
        <w:rPr>
          <w:rFonts w:hint="eastAsia" w:ascii="仿宋" w:hAnsi="仿宋" w:eastAsia="仿宋" w:cs="仿宋"/>
          <w:color w:val="auto"/>
          <w:sz w:val="24"/>
          <w:highlight w:val="none"/>
        </w:rPr>
        <w:t>〔2017〕141</w:t>
      </w:r>
      <w:r>
        <w:rPr>
          <w:rFonts w:hint="eastAsia" w:ascii="仿宋" w:hAnsi="仿宋" w:eastAsia="仿宋" w:cs="仿宋"/>
          <w:color w:val="auto"/>
          <w:spacing w:val="6"/>
          <w:sz w:val="24"/>
          <w:highlight w:val="none"/>
        </w:rPr>
        <w:t>号）的规定，本单位为符合条件的残疾人福利性单位，且本单位参加</w:t>
      </w:r>
      <w:r>
        <w:rPr>
          <w:rFonts w:hint="eastAsia" w:ascii="仿宋" w:hAnsi="仿宋" w:eastAsia="仿宋" w:cs="仿宋"/>
          <w:color w:val="auto"/>
          <w:spacing w:val="6"/>
          <w:sz w:val="24"/>
          <w:highlight w:val="none"/>
          <w:u w:val="single"/>
        </w:rPr>
        <w:t>（采购人名称）</w:t>
      </w:r>
      <w:r>
        <w:rPr>
          <w:rFonts w:hint="eastAsia" w:ascii="仿宋" w:hAnsi="仿宋" w:eastAsia="仿宋" w:cs="仿宋"/>
          <w:color w:val="auto"/>
          <w:spacing w:val="6"/>
          <w:sz w:val="24"/>
          <w:highlight w:val="none"/>
        </w:rPr>
        <w:t>单位的</w:t>
      </w:r>
      <w:r>
        <w:rPr>
          <w:rFonts w:hint="eastAsia" w:ascii="仿宋" w:hAnsi="仿宋" w:eastAsia="仿宋" w:cs="仿宋"/>
          <w:color w:val="auto"/>
          <w:spacing w:val="6"/>
          <w:sz w:val="24"/>
          <w:highlight w:val="none"/>
          <w:u w:val="single"/>
        </w:rPr>
        <w:t>（项目名称）</w:t>
      </w:r>
      <w:r>
        <w:rPr>
          <w:rFonts w:hint="eastAsia" w:ascii="仿宋" w:hAnsi="仿宋" w:eastAsia="仿宋" w:cs="仿宋"/>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本单位对上述声明的真实性负责。如有虚假，将依法承担相应责任。</w:t>
      </w:r>
    </w:p>
    <w:p>
      <w:pPr>
        <w:snapToGrid w:val="0"/>
        <w:spacing w:line="360" w:lineRule="auto"/>
        <w:ind w:firstLine="504" w:firstLineChars="200"/>
        <w:rPr>
          <w:rFonts w:ascii="仿宋" w:hAnsi="仿宋" w:eastAsia="仿宋" w:cs="仿宋"/>
          <w:color w:val="auto"/>
          <w:spacing w:val="6"/>
          <w:sz w:val="24"/>
          <w:highlight w:val="none"/>
        </w:rPr>
      </w:pPr>
    </w:p>
    <w:p>
      <w:pPr>
        <w:snapToGrid w:val="0"/>
        <w:spacing w:line="360" w:lineRule="auto"/>
        <w:ind w:firstLine="504" w:firstLineChars="200"/>
        <w:rPr>
          <w:rFonts w:ascii="仿宋" w:hAnsi="仿宋" w:eastAsia="仿宋" w:cs="仿宋"/>
          <w:color w:val="auto"/>
          <w:spacing w:val="6"/>
          <w:sz w:val="24"/>
          <w:highlight w:val="none"/>
        </w:rPr>
      </w:pPr>
    </w:p>
    <w:p>
      <w:pPr>
        <w:snapToGrid w:val="0"/>
        <w:spacing w:line="360" w:lineRule="auto"/>
        <w:ind w:firstLine="480" w:firstLineChars="20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供应商名称（盖章）：</w:t>
      </w:r>
    </w:p>
    <w:p>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pPr>
        <w:snapToGrid w:val="0"/>
        <w:spacing w:before="50" w:after="50" w:line="360" w:lineRule="auto"/>
        <w:ind w:firstLine="470" w:firstLineChars="196"/>
        <w:jc w:val="left"/>
        <w:rPr>
          <w:rFonts w:hint="eastAsia" w:ascii="仿宋" w:hAnsi="仿宋" w:eastAsia="仿宋" w:cs="仿宋"/>
          <w:color w:val="auto"/>
          <w:sz w:val="24"/>
          <w:highlight w:val="none"/>
        </w:rPr>
      </w:pPr>
    </w:p>
    <w:p>
      <w:pPr>
        <w:jc w:val="left"/>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outlineLvl w:val="1"/>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联合协议</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outlineLvl w:val="1"/>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3"/>
        <w:ind w:left="664" w:leftChars="316" w:firstLine="229" w:firstLineChars="95"/>
        <w:rPr>
          <w:rFonts w:ascii="仿宋" w:eastAsia="仿宋" w:cs="仿宋"/>
          <w:color w:val="auto"/>
          <w:highlight w:val="none"/>
        </w:rPr>
      </w:pPr>
      <w:r>
        <w:rPr>
          <w:rFonts w:hint="eastAsia" w:ascii="仿宋" w:eastAsia="仿宋" w:cs="仿宋"/>
          <w:color w:val="auto"/>
          <w:kern w:val="0"/>
          <w:sz w:val="24"/>
          <w:szCs w:val="24"/>
          <w:highlight w:val="none"/>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snapToGrid w:val="0"/>
        <w:spacing w:line="360" w:lineRule="auto"/>
        <w:ind w:firstLine="5640" w:firstLineChars="235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widowControl/>
        <w:spacing w:line="360" w:lineRule="auto"/>
        <w:ind w:left="147"/>
        <w:jc w:val="center"/>
        <w:outlineLvl w:val="1"/>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、本项目的特定资格要求</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ascii="仿宋" w:hAnsi="仿宋" w:eastAsia="仿宋" w:cs="仿宋"/>
          <w:color w:val="auto"/>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spacing w:line="240" w:lineRule="auto"/>
        <w:ind w:right="0"/>
        <w:jc w:val="left"/>
        <w:rPr>
          <w:color w:val="auto"/>
          <w:highlight w:val="none"/>
        </w:rPr>
      </w:pPr>
    </w:p>
    <w:p>
      <w:pPr>
        <w:snapToGrid/>
        <w:spacing w:line="240" w:lineRule="auto"/>
        <w:ind w:right="0"/>
        <w:jc w:val="left"/>
        <w:rPr>
          <w:color w:val="auto"/>
          <w:highlight w:val="none"/>
        </w:rPr>
      </w:pPr>
    </w:p>
    <w:p>
      <w:pPr>
        <w:spacing w:line="240" w:lineRule="auto"/>
        <w:jc w:val="left"/>
        <w:outlineLvl w:val="9"/>
        <w:rPr>
          <w:color w:val="auto"/>
          <w:highlight w:val="none"/>
        </w:rPr>
      </w:pPr>
    </w:p>
    <w:p>
      <w:pPr>
        <w:snapToGrid/>
        <w:spacing w:line="240" w:lineRule="auto"/>
        <w:ind w:right="0"/>
        <w:jc w:val="left"/>
        <w:rPr>
          <w:color w:val="auto"/>
          <w:highlight w:val="none"/>
        </w:rPr>
      </w:pPr>
    </w:p>
    <w:p>
      <w:pPr>
        <w:spacing w:line="240" w:lineRule="auto"/>
        <w:jc w:val="left"/>
        <w:outlineLvl w:val="9"/>
        <w:rPr>
          <w:color w:val="auto"/>
          <w:highlight w:val="none"/>
        </w:rPr>
      </w:pPr>
    </w:p>
    <w:p>
      <w:pPr>
        <w:snapToGrid/>
        <w:spacing w:line="240" w:lineRule="auto"/>
        <w:ind w:right="0"/>
        <w:jc w:val="left"/>
        <w:rPr>
          <w:color w:val="auto"/>
          <w:highlight w:val="none"/>
        </w:rPr>
      </w:pPr>
    </w:p>
    <w:p>
      <w:pPr>
        <w:spacing w:line="240" w:lineRule="auto"/>
        <w:jc w:val="left"/>
        <w:outlineLvl w:val="9"/>
        <w:rPr>
          <w:color w:val="auto"/>
          <w:highlight w:val="none"/>
        </w:rPr>
      </w:pPr>
    </w:p>
    <w:p>
      <w:pP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pacing w:line="360" w:lineRule="auto"/>
        <w:ind w:right="420" w:firstLine="3614" w:firstLineChars="1000"/>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240" w:lineRule="auto"/>
        <w:jc w:val="left"/>
        <w:outlineLvl w:val="9"/>
        <w:rPr>
          <w:color w:val="auto"/>
          <w:highlight w:val="none"/>
        </w:rPr>
      </w:pPr>
    </w:p>
    <w:p>
      <w:pPr>
        <w:spacing w:line="360"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numPr>
          <w:ilvl w:val="0"/>
          <w:numId w:val="4"/>
        </w:numPr>
        <w:snapToGrid w:val="0"/>
        <w:spacing w:line="360" w:lineRule="auto"/>
        <w:ind w:firstLine="900" w:firstLineChars="375"/>
        <w:rPr>
          <w:rFonts w:ascii="仿宋" w:hAnsi="仿宋" w:eastAsia="仿宋" w:cs="仿宋"/>
          <w:color w:val="auto"/>
          <w:sz w:val="24"/>
          <w:highlight w:val="none"/>
        </w:rPr>
      </w:pPr>
      <w:r>
        <w:rPr>
          <w:rFonts w:hint="eastAsia" w:ascii="仿宋" w:hAnsi="仿宋" w:eastAsia="仿宋" w:cs="仿宋"/>
          <w:color w:val="auto"/>
          <w:sz w:val="24"/>
          <w:highlight w:val="none"/>
        </w:rPr>
        <w:t>投标函；</w:t>
      </w:r>
      <w:r>
        <w:rPr>
          <w:rFonts w:hint="eastAsia" w:ascii="仿宋" w:hAnsi="仿宋" w:eastAsia="仿宋" w:cs="仿宋"/>
          <w:color w:val="auto"/>
          <w:sz w:val="24"/>
          <w:highlight w:val="none"/>
          <w:lang w:val="zh-CN"/>
        </w:rPr>
        <w:t xml:space="preserve"> </w:t>
      </w:r>
    </w:p>
    <w:p>
      <w:pPr>
        <w:numPr>
          <w:ilvl w:val="0"/>
          <w:numId w:val="4"/>
        </w:numPr>
        <w:snapToGrid w:val="0"/>
        <w:spacing w:line="360" w:lineRule="auto"/>
        <w:ind w:firstLine="900" w:firstLineChars="375"/>
        <w:rPr>
          <w:rFonts w:ascii="仿宋" w:hAnsi="仿宋" w:eastAsia="仿宋" w:cs="仿宋"/>
          <w:color w:val="auto"/>
          <w:sz w:val="24"/>
          <w:highlight w:val="none"/>
        </w:rPr>
      </w:pPr>
      <w:r>
        <w:rPr>
          <w:rFonts w:hint="eastAsia" w:ascii="仿宋" w:hAnsi="仿宋" w:eastAsia="仿宋" w:cs="仿宋"/>
          <w:color w:val="auto"/>
          <w:sz w:val="24"/>
          <w:highlight w:val="none"/>
        </w:rPr>
        <w:t>授权委托书或法定代表人（单位负责人、自然人本人）身份证明；</w:t>
      </w:r>
    </w:p>
    <w:p>
      <w:pPr>
        <w:pStyle w:val="725"/>
        <w:numPr>
          <w:ilvl w:val="0"/>
          <w:numId w:val="4"/>
        </w:numPr>
        <w:ind w:firstLine="900" w:firstLineChars="375"/>
        <w:rPr>
          <w:rFonts w:ascii="仿宋" w:hAnsi="仿宋" w:eastAsia="仿宋" w:cs="仿宋"/>
          <w:color w:val="auto"/>
          <w:highlight w:val="none"/>
        </w:rPr>
      </w:pPr>
      <w:r>
        <w:rPr>
          <w:rFonts w:hint="eastAsia" w:ascii="仿宋" w:hAnsi="仿宋" w:eastAsia="仿宋" w:cs="仿宋"/>
          <w:color w:val="auto"/>
          <w:highlight w:val="none"/>
        </w:rPr>
        <w:t>符合性审查资料；</w:t>
      </w:r>
    </w:p>
    <w:p>
      <w:pPr>
        <w:pStyle w:val="725"/>
        <w:numPr>
          <w:ilvl w:val="0"/>
          <w:numId w:val="4"/>
        </w:numPr>
        <w:ind w:firstLine="900" w:firstLineChars="375"/>
        <w:rPr>
          <w:rFonts w:ascii="仿宋" w:hAnsi="仿宋" w:eastAsia="仿宋" w:cs="仿宋"/>
          <w:color w:val="auto"/>
          <w:highlight w:val="none"/>
        </w:rPr>
      </w:pPr>
      <w:r>
        <w:rPr>
          <w:rFonts w:hint="eastAsia" w:ascii="仿宋" w:hAnsi="仿宋" w:eastAsia="仿宋" w:cs="仿宋"/>
          <w:color w:val="auto"/>
          <w:highlight w:val="none"/>
        </w:rPr>
        <w:t>评标标准相应的商务技术资料；</w:t>
      </w:r>
    </w:p>
    <w:p>
      <w:pPr>
        <w:pStyle w:val="725"/>
        <w:numPr>
          <w:ilvl w:val="0"/>
          <w:numId w:val="4"/>
        </w:numPr>
        <w:ind w:firstLine="900" w:firstLineChars="375"/>
        <w:rPr>
          <w:rFonts w:ascii="仿宋" w:hAnsi="仿宋" w:eastAsia="仿宋" w:cs="仿宋"/>
          <w:color w:val="auto"/>
          <w:highlight w:val="none"/>
        </w:rPr>
      </w:pPr>
      <w:r>
        <w:rPr>
          <w:rFonts w:hint="eastAsia" w:ascii="仿宋" w:hAnsi="仿宋" w:eastAsia="仿宋" w:cs="仿宋"/>
          <w:color w:val="auto"/>
          <w:highlight w:val="none"/>
        </w:rPr>
        <w:t>技术规格偏离表；</w:t>
      </w:r>
    </w:p>
    <w:p>
      <w:pPr>
        <w:pStyle w:val="725"/>
        <w:numPr>
          <w:ilvl w:val="0"/>
          <w:numId w:val="4"/>
        </w:numPr>
        <w:ind w:firstLine="900" w:firstLineChars="375"/>
        <w:rPr>
          <w:rFonts w:ascii="仿宋" w:hAnsi="仿宋" w:eastAsia="仿宋" w:cs="仿宋"/>
          <w:color w:val="auto"/>
          <w:highlight w:val="none"/>
        </w:rPr>
      </w:pPr>
      <w:r>
        <w:rPr>
          <w:rFonts w:hint="eastAsia" w:ascii="仿宋" w:hAnsi="仿宋" w:eastAsia="仿宋" w:cs="仿宋"/>
          <w:color w:val="auto"/>
          <w:highlight w:val="none"/>
        </w:rPr>
        <w:t>商务条款偏离表；</w:t>
      </w:r>
    </w:p>
    <w:p>
      <w:pPr>
        <w:pStyle w:val="725"/>
        <w:numPr>
          <w:ilvl w:val="0"/>
          <w:numId w:val="4"/>
        </w:numPr>
        <w:ind w:firstLine="900" w:firstLineChars="375"/>
        <w:rPr>
          <w:rFonts w:ascii="仿宋" w:hAnsi="仿宋" w:eastAsia="仿宋" w:cs="仿宋"/>
          <w:color w:val="auto"/>
          <w:highlight w:val="none"/>
        </w:rPr>
      </w:pPr>
      <w:r>
        <w:rPr>
          <w:rFonts w:hint="eastAsia" w:ascii="仿宋" w:hAnsi="仿宋" w:eastAsia="仿宋" w:cs="仿宋"/>
          <w:color w:val="auto"/>
          <w:highlight w:val="none"/>
        </w:rPr>
        <w:t>同类项目业绩：类似空调或暖通项目实施业绩，提供合同复印件；</w:t>
      </w:r>
    </w:p>
    <w:p>
      <w:pPr>
        <w:pStyle w:val="725"/>
        <w:numPr>
          <w:ilvl w:val="0"/>
          <w:numId w:val="4"/>
        </w:numPr>
        <w:spacing w:line="360" w:lineRule="auto"/>
        <w:ind w:firstLine="900" w:firstLineChars="375"/>
        <w:rPr>
          <w:rFonts w:ascii="仿宋" w:hAnsi="仿宋" w:eastAsia="仿宋" w:cs="仿宋"/>
          <w:color w:val="auto"/>
          <w:highlight w:val="none"/>
        </w:rPr>
      </w:pPr>
      <w:r>
        <w:rPr>
          <w:rFonts w:hint="eastAsia" w:ascii="仿宋" w:hAnsi="仿宋" w:eastAsia="仿宋" w:cs="仿宋"/>
          <w:color w:val="auto"/>
          <w:highlight w:val="none"/>
        </w:rPr>
        <w:t>服务方案；</w:t>
      </w:r>
    </w:p>
    <w:p>
      <w:pPr>
        <w:numPr>
          <w:ilvl w:val="0"/>
          <w:numId w:val="4"/>
        </w:numPr>
        <w:spacing w:line="360" w:lineRule="auto"/>
        <w:ind w:firstLine="900" w:firstLineChars="375"/>
        <w:rPr>
          <w:rFonts w:ascii="仿宋" w:hAnsi="仿宋" w:eastAsia="仿宋" w:cs="仿宋"/>
          <w:color w:val="auto"/>
          <w:sz w:val="24"/>
          <w:highlight w:val="none"/>
        </w:rPr>
      </w:pPr>
      <w:r>
        <w:rPr>
          <w:rFonts w:hint="eastAsia" w:ascii="仿宋" w:hAnsi="仿宋" w:eastAsia="仿宋" w:cs="仿宋"/>
          <w:color w:val="auto"/>
          <w:sz w:val="24"/>
          <w:highlight w:val="none"/>
        </w:rPr>
        <w:t>供应商认为有必要提供的其它文件。</w:t>
      </w:r>
    </w:p>
    <w:p>
      <w:pPr>
        <w:numPr>
          <w:ilvl w:val="0"/>
          <w:numId w:val="4"/>
        </w:numPr>
        <w:spacing w:line="360" w:lineRule="auto"/>
        <w:ind w:firstLine="900" w:firstLineChars="375"/>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政府采购供应商廉洁自律承诺书；</w:t>
      </w: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spacing w:line="240" w:lineRule="auto"/>
        <w:jc w:val="left"/>
        <w:outlineLvl w:val="9"/>
        <w:rPr>
          <w:color w:val="auto"/>
          <w:highlight w:val="none"/>
        </w:rPr>
      </w:pPr>
    </w:p>
    <w:p>
      <w:pPr>
        <w:snapToGrid/>
        <w:spacing w:line="240" w:lineRule="auto"/>
        <w:jc w:val="left"/>
        <w:outlineLvl w:val="9"/>
        <w:rPr>
          <w:color w:val="auto"/>
          <w:highlight w:val="none"/>
        </w:rPr>
      </w:pPr>
    </w:p>
    <w:p>
      <w:pPr>
        <w:rPr>
          <w:color w:val="auto"/>
          <w:highlight w:val="none"/>
        </w:rPr>
      </w:pPr>
    </w:p>
    <w:p>
      <w:pPr>
        <w:snapToGrid/>
        <w:spacing w:line="240" w:lineRule="auto"/>
        <w:jc w:val="left"/>
        <w:outlineLvl w:val="9"/>
        <w:rPr>
          <w:color w:val="auto"/>
          <w:highlight w:val="none"/>
        </w:rPr>
      </w:pPr>
    </w:p>
    <w:p>
      <w:pPr>
        <w:snapToGrid/>
        <w:spacing w:line="240" w:lineRule="auto"/>
        <w:jc w:val="left"/>
        <w:outlineLvl w:val="9"/>
        <w:rPr>
          <w:color w:val="auto"/>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jc w:val="center"/>
        <w:outlineLvl w:val="1"/>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420" w:leftChars="200"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pStyle w:val="725"/>
        <w:spacing w:line="360" w:lineRule="auto"/>
        <w:ind w:left="420" w:leftChars="200" w:firstLine="420" w:firstLineChars="175"/>
        <w:rPr>
          <w:rFonts w:ascii="仿宋" w:hAnsi="仿宋" w:eastAsia="仿宋" w:cs="仿宋"/>
          <w:color w:val="auto"/>
          <w:highlight w:val="none"/>
        </w:rPr>
      </w:pPr>
      <w:r>
        <w:rPr>
          <w:rFonts w:hint="eastAsia" w:ascii="仿宋" w:hAnsi="仿宋" w:eastAsia="仿宋" w:cs="仿宋"/>
          <w:color w:val="auto"/>
          <w:highlight w:val="none"/>
        </w:rPr>
        <w:t>2.1.1符合参与政府采购活动资格条件的承诺函；</w:t>
      </w:r>
    </w:p>
    <w:p>
      <w:pPr>
        <w:pStyle w:val="725"/>
        <w:ind w:left="420" w:leftChars="200"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2.1.2落实政府采购政策需满足的资格要求：本项目为专门面向中小微企业采购项目，须提供中小企业声明函。</w:t>
      </w:r>
    </w:p>
    <w:p>
      <w:pPr>
        <w:pStyle w:val="725"/>
        <w:spacing w:line="360" w:lineRule="auto"/>
        <w:ind w:left="420" w:leftChars="200" w:firstLine="420" w:firstLineChars="175"/>
        <w:rPr>
          <w:rFonts w:ascii="仿宋" w:hAnsi="仿宋" w:eastAsia="仿宋" w:cs="仿宋"/>
          <w:color w:val="auto"/>
          <w:highlight w:val="none"/>
        </w:rPr>
      </w:pPr>
      <w:r>
        <w:rPr>
          <w:rFonts w:hint="eastAsia" w:ascii="仿宋" w:hAnsi="仿宋" w:eastAsia="仿宋" w:cs="仿宋"/>
          <w:color w:val="auto"/>
          <w:highlight w:val="none"/>
        </w:rPr>
        <w:t>（1）中小企业声明函；</w:t>
      </w:r>
    </w:p>
    <w:p>
      <w:pPr>
        <w:pStyle w:val="725"/>
        <w:spacing w:line="360" w:lineRule="auto"/>
        <w:ind w:left="420" w:leftChars="200" w:firstLine="420" w:firstLineChars="175"/>
        <w:rPr>
          <w:rFonts w:ascii="仿宋" w:hAnsi="仿宋" w:eastAsia="仿宋" w:cs="仿宋"/>
          <w:color w:val="auto"/>
          <w:highlight w:val="none"/>
        </w:rPr>
      </w:pPr>
      <w:r>
        <w:rPr>
          <w:rFonts w:hint="eastAsia" w:ascii="仿宋" w:hAnsi="仿宋" w:eastAsia="仿宋" w:cs="仿宋"/>
          <w:color w:val="auto"/>
          <w:highlight w:val="none"/>
        </w:rPr>
        <w:t>（2）供应商为监狱企业的证明文件：省级以上监狱管理局、戒毒管理局（含新疆生产建设兵团）出具（如有）；</w:t>
      </w:r>
    </w:p>
    <w:p>
      <w:pPr>
        <w:pStyle w:val="725"/>
        <w:spacing w:line="360" w:lineRule="auto"/>
        <w:ind w:left="420" w:leftChars="200" w:firstLine="420" w:firstLineChars="175"/>
        <w:rPr>
          <w:rFonts w:hint="eastAsia" w:ascii="仿宋" w:hAnsi="仿宋" w:eastAsia="仿宋" w:cs="仿宋"/>
          <w:color w:val="auto"/>
          <w:highlight w:val="none"/>
        </w:rPr>
      </w:pPr>
      <w:r>
        <w:rPr>
          <w:rFonts w:hint="eastAsia" w:ascii="仿宋" w:hAnsi="仿宋" w:eastAsia="仿宋" w:cs="仿宋"/>
          <w:color w:val="auto"/>
          <w:highlight w:val="none"/>
        </w:rPr>
        <w:t>（3）残疾人福利性单位声明函（如有）；</w:t>
      </w:r>
    </w:p>
    <w:p>
      <w:pPr>
        <w:pStyle w:val="725"/>
        <w:spacing w:line="360" w:lineRule="auto"/>
        <w:ind w:left="420" w:leftChars="200" w:firstLine="420" w:firstLineChars="175"/>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2.1.3</w:t>
      </w:r>
      <w:r>
        <w:rPr>
          <w:rFonts w:hint="eastAsia" w:ascii="仿宋" w:hAnsi="仿宋" w:eastAsia="仿宋" w:cs="仿宋"/>
          <w:color w:val="auto"/>
          <w:sz w:val="24"/>
          <w:highlight w:val="none"/>
        </w:rPr>
        <w:t>联合协议（如有）；</w:t>
      </w:r>
    </w:p>
    <w:p>
      <w:pPr>
        <w:pStyle w:val="725"/>
        <w:spacing w:line="360" w:lineRule="auto"/>
        <w:ind w:left="420" w:leftChars="200" w:firstLine="420" w:firstLineChars="175"/>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2.1.4</w:t>
      </w:r>
      <w:r>
        <w:rPr>
          <w:rFonts w:hint="eastAsia" w:ascii="仿宋" w:hAnsi="仿宋" w:eastAsia="仿宋" w:cs="仿宋"/>
          <w:color w:val="auto"/>
          <w:sz w:val="24"/>
          <w:highlight w:val="none"/>
        </w:rPr>
        <w:t>分包意向协议（如有）；</w:t>
      </w:r>
    </w:p>
    <w:p>
      <w:pPr>
        <w:snapToGrid w:val="0"/>
        <w:spacing w:line="360" w:lineRule="auto"/>
        <w:ind w:left="420" w:leftChars="200"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2.1.3本项目的特定资格要求:无</w:t>
      </w:r>
    </w:p>
    <w:p>
      <w:pPr>
        <w:snapToGrid w:val="0"/>
        <w:spacing w:line="360" w:lineRule="auto"/>
        <w:ind w:left="420" w:leftChars="200" w:firstLine="420" w:firstLineChars="175"/>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pStyle w:val="725"/>
        <w:ind w:left="420" w:leftChars="20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en-US"/>
        </w:rPr>
        <w:t xml:space="preserve"> </w:t>
      </w:r>
    </w:p>
    <w:p>
      <w:pPr>
        <w:pStyle w:val="725"/>
        <w:ind w:left="420" w:leftChars="20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2.2.2授权委托书或法定代表人（单位负责人、自然人本人）身份证明；</w:t>
      </w:r>
    </w:p>
    <w:p>
      <w:pPr>
        <w:pStyle w:val="725"/>
        <w:ind w:left="420" w:leftChars="20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2.2.3</w:t>
      </w:r>
      <w:r>
        <w:rPr>
          <w:rFonts w:hint="eastAsia" w:ascii="仿宋" w:hAnsi="仿宋" w:eastAsia="仿宋" w:cs="仿宋"/>
          <w:color w:val="auto"/>
          <w:highlight w:val="none"/>
        </w:rPr>
        <w:t>符合性审查资料；</w:t>
      </w:r>
    </w:p>
    <w:p>
      <w:pPr>
        <w:pStyle w:val="725"/>
        <w:ind w:left="420" w:leftChars="20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2.2.4</w:t>
      </w:r>
      <w:r>
        <w:rPr>
          <w:rFonts w:hint="eastAsia" w:ascii="仿宋" w:hAnsi="仿宋" w:eastAsia="仿宋" w:cs="仿宋"/>
          <w:color w:val="auto"/>
          <w:highlight w:val="none"/>
        </w:rPr>
        <w:t>评标标准相应的商务技术资料；</w:t>
      </w:r>
    </w:p>
    <w:p>
      <w:pPr>
        <w:pStyle w:val="725"/>
        <w:spacing w:line="360" w:lineRule="auto"/>
        <w:ind w:left="420" w:leftChars="200" w:firstLine="420" w:firstLineChars="175"/>
        <w:rPr>
          <w:rFonts w:hint="eastAsia" w:ascii="仿宋" w:hAnsi="仿宋" w:eastAsia="仿宋" w:cs="仿宋"/>
          <w:color w:val="auto"/>
          <w:highlight w:val="none"/>
        </w:rPr>
      </w:pPr>
      <w:r>
        <w:rPr>
          <w:rFonts w:hint="eastAsia" w:ascii="仿宋" w:hAnsi="仿宋" w:eastAsia="仿宋" w:cs="仿宋"/>
          <w:color w:val="auto"/>
          <w:highlight w:val="none"/>
        </w:rPr>
        <w:t>2.2.5技术规格偏离表；</w:t>
      </w:r>
    </w:p>
    <w:p>
      <w:pPr>
        <w:pStyle w:val="725"/>
        <w:spacing w:line="360" w:lineRule="auto"/>
        <w:ind w:left="420" w:leftChars="200" w:firstLine="420" w:firstLineChars="175"/>
        <w:rPr>
          <w:rFonts w:hint="eastAsia" w:ascii="仿宋" w:hAnsi="仿宋" w:eastAsia="仿宋" w:cs="仿宋"/>
          <w:color w:val="auto"/>
          <w:highlight w:val="none"/>
        </w:rPr>
      </w:pPr>
      <w:r>
        <w:rPr>
          <w:rFonts w:hint="eastAsia" w:ascii="仿宋" w:hAnsi="仿宋" w:eastAsia="仿宋" w:cs="仿宋"/>
          <w:color w:val="auto"/>
          <w:highlight w:val="none"/>
        </w:rPr>
        <w:t>2.2.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 xml:space="preserve"> 商务条款偏离表；</w:t>
      </w:r>
    </w:p>
    <w:p>
      <w:pPr>
        <w:pStyle w:val="725"/>
        <w:spacing w:line="360" w:lineRule="auto"/>
        <w:ind w:left="420" w:leftChars="200" w:firstLine="420" w:firstLineChars="175"/>
        <w:rPr>
          <w:rFonts w:hint="eastAsia" w:ascii="仿宋" w:hAnsi="仿宋" w:eastAsia="仿宋" w:cs="仿宋"/>
          <w:color w:val="auto"/>
          <w:highlight w:val="none"/>
        </w:rPr>
      </w:pPr>
      <w:r>
        <w:rPr>
          <w:rFonts w:hint="eastAsia" w:ascii="仿宋" w:hAnsi="仿宋" w:eastAsia="仿宋" w:cs="仿宋"/>
          <w:color w:val="auto"/>
          <w:highlight w:val="none"/>
        </w:rPr>
        <w:t>2.2.</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类似空调或暖通项目实施业绩，提供合同复印件；</w:t>
      </w:r>
    </w:p>
    <w:p>
      <w:pPr>
        <w:pStyle w:val="725"/>
        <w:spacing w:line="360" w:lineRule="auto"/>
        <w:ind w:left="420" w:leftChars="200" w:firstLine="420" w:firstLineChars="175"/>
        <w:rPr>
          <w:rFonts w:hint="eastAsia" w:ascii="仿宋" w:hAnsi="仿宋" w:eastAsia="仿宋" w:cs="仿宋"/>
          <w:color w:val="auto"/>
          <w:highlight w:val="none"/>
        </w:rPr>
      </w:pPr>
      <w:r>
        <w:rPr>
          <w:rFonts w:hint="eastAsia" w:ascii="仿宋" w:hAnsi="仿宋" w:eastAsia="仿宋" w:cs="仿宋"/>
          <w:color w:val="auto"/>
          <w:highlight w:val="none"/>
        </w:rPr>
        <w:t>2.2.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服务方案：包括但不限于服务响应时间、故障解决方案；售后服务机构技术服务人员情况，提供姓名、工作经验、资质证书情况等；</w:t>
      </w:r>
    </w:p>
    <w:p>
      <w:pPr>
        <w:pStyle w:val="725"/>
        <w:ind w:left="420" w:leftChars="20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供应商认为有必要提供的其它文件。</w:t>
      </w:r>
    </w:p>
    <w:p>
      <w:pPr>
        <w:pStyle w:val="725"/>
        <w:ind w:left="420" w:leftChars="200" w:firstLine="420" w:firstLineChars="175"/>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rPr>
        <w:t>.</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lang w:val="en-US"/>
        </w:rPr>
        <w:t>政府采购供应商廉洁自律承诺书；</w:t>
      </w:r>
    </w:p>
    <w:p>
      <w:pPr>
        <w:snapToGrid w:val="0"/>
        <w:spacing w:line="360" w:lineRule="auto"/>
        <w:ind w:left="420" w:leftChars="200" w:firstLine="420" w:firstLineChars="175"/>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2.</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snapToGrid w:val="0"/>
        <w:spacing w:line="360" w:lineRule="auto"/>
        <w:ind w:left="420" w:leftChars="200"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pStyle w:val="725"/>
        <w:spacing w:line="360" w:lineRule="auto"/>
        <w:ind w:left="420" w:leftChars="200" w:firstLine="420" w:firstLineChars="175"/>
        <w:rPr>
          <w:rFonts w:ascii="仿宋" w:hAnsi="仿宋" w:eastAsia="仿宋" w:cs="仿宋"/>
          <w:color w:val="auto"/>
          <w:highlight w:val="none"/>
        </w:rPr>
      </w:pPr>
      <w:r>
        <w:rPr>
          <w:rFonts w:hint="eastAsia" w:ascii="仿宋" w:hAnsi="仿宋" w:eastAsia="仿宋" w:cs="仿宋"/>
          <w:color w:val="auto"/>
          <w:highlight w:val="none"/>
        </w:rPr>
        <w:t>2.3.2 分项报价表；</w:t>
      </w:r>
    </w:p>
    <w:p>
      <w:pPr>
        <w:pStyle w:val="725"/>
        <w:spacing w:line="360" w:lineRule="auto"/>
        <w:ind w:left="420" w:leftChars="200" w:firstLine="420" w:firstLineChars="175"/>
        <w:rPr>
          <w:rFonts w:ascii="仿宋" w:hAnsi="仿宋" w:eastAsia="仿宋" w:cs="仿宋"/>
          <w:color w:val="auto"/>
          <w:highlight w:val="none"/>
        </w:rPr>
      </w:pPr>
      <w:r>
        <w:rPr>
          <w:rFonts w:hint="eastAsia" w:ascii="仿宋" w:hAnsi="仿宋" w:eastAsia="仿宋" w:cs="仿宋"/>
          <w:color w:val="auto"/>
          <w:highlight w:val="none"/>
        </w:rPr>
        <w:t>2.3.3 中标服务费支付承诺书；</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ascii="仿宋" w:hAnsi="仿宋" w:eastAsia="仿宋" w:cs="仿宋"/>
          <w:color w:val="auto"/>
          <w:kern w:val="0"/>
          <w:sz w:val="24"/>
          <w:highlight w:val="none"/>
          <w:u w:val="single"/>
        </w:rPr>
      </w:pP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pPr>
        <w:jc w:val="left"/>
        <w:outlineLvl w:val="1"/>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2872" w:firstLineChars="894"/>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rPr>
          <w:rFonts w:ascii="仿宋" w:hAnsi="仿宋" w:eastAsia="仿宋" w:cs="仿宋"/>
          <w:color w:val="auto"/>
          <w:highlight w:val="none"/>
        </w:rPr>
      </w:pP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left"/>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58"/>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8"/>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58"/>
              <w:adjustRightInd w:val="0"/>
              <w:spacing w:line="360" w:lineRule="auto"/>
              <w:rPr>
                <w:rFonts w:ascii="仿宋" w:hAnsi="仿宋" w:eastAsia="仿宋" w:cs="仿宋"/>
                <w:bCs/>
                <w:color w:val="auto"/>
                <w:sz w:val="24"/>
                <w:highlight w:val="none"/>
              </w:rPr>
            </w:pPr>
          </w:p>
        </w:tc>
      </w:tr>
    </w:tbl>
    <w:p>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jc w:val="center"/>
        <w:outlineLvl w:val="1"/>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、符合性审查资料</w:t>
      </w:r>
    </w:p>
    <w:p>
      <w:pPr>
        <w:jc w:val="center"/>
        <w:rPr>
          <w:rFonts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pPr>
              <w:rPr>
                <w:rFonts w:ascii="仿宋" w:hAnsi="仿宋" w:eastAsia="仿宋" w:cs="仿宋"/>
                <w:color w:val="auto"/>
                <w:sz w:val="24"/>
                <w:highlight w:val="none"/>
              </w:rPr>
            </w:pPr>
          </w:p>
          <w:p>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spacing w:line="240" w:lineRule="auto"/>
        <w:jc w:val="center"/>
        <w:outlineLvl w:val="1"/>
        <w:rPr>
          <w:rFonts w:ascii="仿宋" w:hAnsi="仿宋" w:eastAsia="仿宋" w:cs="仿宋"/>
          <w:b/>
          <w:color w:val="auto"/>
          <w:kern w:val="0"/>
          <w:sz w:val="32"/>
          <w:szCs w:val="32"/>
          <w:highlight w:val="none"/>
          <w:lang w:val="zh-CN"/>
        </w:rPr>
      </w:pPr>
      <w:r>
        <w:rPr>
          <w:rFonts w:hint="default" w:ascii="仿宋" w:hAnsi="仿宋" w:eastAsia="仿宋" w:cs="仿宋"/>
          <w:b/>
          <w:color w:val="auto"/>
          <w:kern w:val="0"/>
          <w:sz w:val="32"/>
          <w:szCs w:val="32"/>
          <w:highlight w:val="none"/>
          <w:lang w:val="zh-CN" w:eastAsia="zh-CN"/>
        </w:rPr>
        <w:t>四、</w:t>
      </w:r>
      <w:r>
        <w:rPr>
          <w:rFonts w:hint="eastAsia" w:ascii="仿宋" w:hAnsi="仿宋" w:eastAsia="仿宋" w:cs="仿宋"/>
          <w:b/>
          <w:color w:val="auto"/>
          <w:kern w:val="0"/>
          <w:sz w:val="32"/>
          <w:szCs w:val="32"/>
          <w:highlight w:val="none"/>
          <w:lang w:val="zh-CN"/>
        </w:rPr>
        <w:t>评标标准相应的商务技术资料</w:t>
      </w:r>
    </w:p>
    <w:p>
      <w:pPr>
        <w:snapToGrid w:val="0"/>
        <w:spacing w:line="360" w:lineRule="auto"/>
        <w:jc w:val="left"/>
        <w:rPr>
          <w:rFonts w:ascii="仿宋" w:hAnsi="仿宋" w:eastAsia="仿宋" w:cs="仿宋"/>
          <w:b/>
          <w:color w:val="auto"/>
          <w:sz w:val="24"/>
          <w:highlight w:val="none"/>
        </w:rPr>
      </w:pPr>
    </w:p>
    <w:p>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ind w:firstLine="422"/>
        <w:rPr>
          <w:color w:val="auto"/>
          <w:highlight w:val="none"/>
        </w:rPr>
      </w:pPr>
    </w:p>
    <w:p>
      <w:pPr>
        <w:jc w:val="left"/>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snapToGrid/>
        <w:spacing w:line="240" w:lineRule="auto"/>
        <w:jc w:val="center"/>
        <w:outlineLvl w:val="1"/>
        <w:rPr>
          <w:rFonts w:ascii="仿宋" w:hAnsi="仿宋" w:eastAsia="仿宋" w:cs="仿宋"/>
          <w:b/>
          <w:bCs w:val="0"/>
          <w:color w:val="auto"/>
          <w:kern w:val="0"/>
          <w:sz w:val="32"/>
          <w:szCs w:val="32"/>
          <w:highlight w:val="none"/>
          <w:lang w:val="zh-CN"/>
        </w:rPr>
      </w:pPr>
      <w:r>
        <w:rPr>
          <w:rFonts w:hint="eastAsia" w:ascii="仿宋" w:hAnsi="仿宋" w:eastAsia="仿宋" w:cs="仿宋"/>
          <w:b/>
          <w:bCs w:val="0"/>
          <w:color w:val="auto"/>
          <w:kern w:val="0"/>
          <w:sz w:val="32"/>
          <w:szCs w:val="32"/>
          <w:highlight w:val="none"/>
          <w:lang w:val="en-US" w:eastAsia="zh-CN"/>
        </w:rPr>
        <w:t>五</w:t>
      </w:r>
      <w:r>
        <w:rPr>
          <w:rFonts w:hint="default" w:ascii="仿宋" w:hAnsi="仿宋" w:eastAsia="仿宋" w:cs="仿宋"/>
          <w:b/>
          <w:bCs w:val="0"/>
          <w:color w:val="auto"/>
          <w:kern w:val="0"/>
          <w:sz w:val="32"/>
          <w:szCs w:val="32"/>
          <w:highlight w:val="none"/>
          <w:lang w:val="zh-CN"/>
        </w:rPr>
        <w:t>、技术规格偏离表</w:t>
      </w:r>
    </w:p>
    <w:p>
      <w:pPr>
        <w:snapToGrid w:val="0"/>
        <w:spacing w:line="300" w:lineRule="auto"/>
        <w:rPr>
          <w:rFonts w:ascii="仿宋" w:hAnsi="仿宋" w:eastAsia="仿宋" w:cs="仿宋"/>
          <w:color w:val="auto"/>
          <w:highlight w:val="none"/>
        </w:rPr>
      </w:pPr>
    </w:p>
    <w:p>
      <w:pPr>
        <w:snapToGrid w:val="0"/>
        <w:spacing w:line="360" w:lineRule="auto"/>
        <w:rPr>
          <w:rFonts w:ascii="仿宋" w:hAnsi="仿宋" w:eastAsia="仿宋" w:cs="仿宋"/>
          <w:color w:val="auto"/>
          <w:highlight w:val="none"/>
          <w:u w:val="single"/>
        </w:rPr>
      </w:pPr>
      <w:r>
        <w:rPr>
          <w:rFonts w:hint="eastAsia" w:ascii="仿宋" w:hAnsi="仿宋" w:eastAsia="仿宋" w:cs="仿宋"/>
          <w:color w:val="auto"/>
          <w:highlight w:val="none"/>
        </w:rPr>
        <w:t>项目名称：</w:t>
      </w:r>
    </w:p>
    <w:p>
      <w:pPr>
        <w:snapToGrid w:val="0"/>
        <w:spacing w:line="360" w:lineRule="auto"/>
        <w:rPr>
          <w:rFonts w:ascii="仿宋" w:hAnsi="仿宋" w:eastAsia="仿宋" w:cs="仿宋"/>
          <w:color w:val="auto"/>
          <w:highlight w:val="none"/>
          <w:u w:val="single"/>
        </w:rPr>
      </w:pPr>
      <w:r>
        <w:rPr>
          <w:rFonts w:hint="eastAsia" w:ascii="仿宋" w:hAnsi="仿宋" w:eastAsia="仿宋" w:cs="仿宋"/>
          <w:color w:val="auto"/>
          <w:highlight w:val="none"/>
        </w:rPr>
        <w:t>招标项目编号：</w:t>
      </w:r>
    </w:p>
    <w:p>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标项内容：</w:t>
      </w:r>
    </w:p>
    <w:p>
      <w:pPr>
        <w:snapToGrid/>
        <w:spacing w:line="240" w:lineRule="auto"/>
        <w:rPr>
          <w:color w:val="auto"/>
          <w:highlight w:val="none"/>
        </w:rPr>
      </w:pPr>
    </w:p>
    <w:tbl>
      <w:tblPr>
        <w:tblStyle w:val="63"/>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458" w:type="dxa"/>
            <w:vAlign w:val="center"/>
          </w:tcPr>
          <w:p>
            <w:pPr>
              <w:spacing w:after="156"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招标</w:t>
            </w:r>
            <w:r>
              <w:rPr>
                <w:rFonts w:hint="eastAsia" w:ascii="仿宋" w:hAnsi="仿宋" w:eastAsia="仿宋" w:cs="仿宋"/>
                <w:color w:val="auto"/>
                <w:highlight w:val="none"/>
              </w:rPr>
              <w:t>要求</w:t>
            </w:r>
          </w:p>
        </w:tc>
        <w:tc>
          <w:tcPr>
            <w:tcW w:w="2458" w:type="dxa"/>
            <w:vAlign w:val="center"/>
          </w:tcPr>
          <w:p>
            <w:pPr>
              <w:spacing w:after="156"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w:t>
            </w:r>
            <w:r>
              <w:rPr>
                <w:rFonts w:hint="eastAsia" w:ascii="仿宋" w:hAnsi="仿宋" w:eastAsia="仿宋" w:cs="仿宋"/>
                <w:color w:val="auto"/>
                <w:highlight w:val="none"/>
              </w:rPr>
              <w:t>响应</w:t>
            </w:r>
          </w:p>
        </w:tc>
        <w:tc>
          <w:tcPr>
            <w:tcW w:w="1432" w:type="dxa"/>
            <w:vAlign w:val="center"/>
          </w:tcPr>
          <w:p>
            <w:pPr>
              <w:spacing w:after="156"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偏离情况</w:t>
            </w:r>
          </w:p>
        </w:tc>
        <w:tc>
          <w:tcPr>
            <w:tcW w:w="1432" w:type="dxa"/>
            <w:vAlign w:val="center"/>
          </w:tcPr>
          <w:p>
            <w:pPr>
              <w:spacing w:after="156"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line="360" w:lineRule="auto"/>
              <w:jc w:val="center"/>
              <w:rPr>
                <w:rFonts w:ascii="仿宋" w:hAnsi="仿宋" w:eastAsia="仿宋" w:cs="仿宋"/>
                <w:color w:val="auto"/>
                <w:szCs w:val="21"/>
                <w:highlight w:val="none"/>
              </w:rPr>
            </w:pPr>
          </w:p>
        </w:tc>
        <w:tc>
          <w:tcPr>
            <w:tcW w:w="2458" w:type="dxa"/>
            <w:vAlign w:val="center"/>
          </w:tcPr>
          <w:p>
            <w:pPr>
              <w:spacing w:after="156" w:line="360" w:lineRule="auto"/>
              <w:jc w:val="center"/>
              <w:rPr>
                <w:rFonts w:ascii="仿宋" w:hAnsi="仿宋" w:eastAsia="仿宋" w:cs="仿宋"/>
                <w:color w:val="auto"/>
                <w:szCs w:val="21"/>
                <w:highlight w:val="none"/>
              </w:rPr>
            </w:pPr>
          </w:p>
        </w:tc>
        <w:tc>
          <w:tcPr>
            <w:tcW w:w="2458" w:type="dxa"/>
            <w:vAlign w:val="center"/>
          </w:tcPr>
          <w:p>
            <w:pPr>
              <w:spacing w:after="156" w:line="360" w:lineRule="auto"/>
              <w:jc w:val="center"/>
              <w:rPr>
                <w:rFonts w:ascii="仿宋" w:hAnsi="仿宋" w:eastAsia="仿宋" w:cs="仿宋"/>
                <w:color w:val="auto"/>
                <w:szCs w:val="21"/>
                <w:highlight w:val="none"/>
              </w:rPr>
            </w:pPr>
          </w:p>
        </w:tc>
        <w:tc>
          <w:tcPr>
            <w:tcW w:w="1432" w:type="dxa"/>
            <w:vAlign w:val="center"/>
          </w:tcPr>
          <w:p>
            <w:pPr>
              <w:spacing w:after="156" w:line="360" w:lineRule="auto"/>
              <w:jc w:val="center"/>
              <w:rPr>
                <w:rFonts w:ascii="仿宋" w:hAnsi="仿宋" w:eastAsia="仿宋" w:cs="仿宋"/>
                <w:color w:val="auto"/>
                <w:szCs w:val="21"/>
                <w:highlight w:val="none"/>
              </w:rPr>
            </w:pPr>
          </w:p>
        </w:tc>
        <w:tc>
          <w:tcPr>
            <w:tcW w:w="1432" w:type="dxa"/>
            <w:vAlign w:val="center"/>
          </w:tcPr>
          <w:p>
            <w:pPr>
              <w:spacing w:after="156" w:line="360" w:lineRule="auto"/>
              <w:jc w:val="center"/>
              <w:rPr>
                <w:rFonts w:ascii="仿宋" w:hAnsi="仿宋" w:eastAsia="仿宋" w:cs="仿宋"/>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line="360" w:lineRule="auto"/>
              <w:jc w:val="center"/>
              <w:rPr>
                <w:rFonts w:ascii="仿宋" w:hAnsi="仿宋" w:eastAsia="仿宋" w:cs="仿宋"/>
                <w:color w:val="auto"/>
                <w:szCs w:val="21"/>
                <w:highlight w:val="none"/>
              </w:rPr>
            </w:pPr>
          </w:p>
        </w:tc>
        <w:tc>
          <w:tcPr>
            <w:tcW w:w="2458" w:type="dxa"/>
            <w:vAlign w:val="center"/>
          </w:tcPr>
          <w:p>
            <w:pPr>
              <w:spacing w:after="156" w:line="360" w:lineRule="auto"/>
              <w:jc w:val="center"/>
              <w:rPr>
                <w:rFonts w:ascii="仿宋" w:hAnsi="仿宋" w:eastAsia="仿宋" w:cs="仿宋"/>
                <w:color w:val="auto"/>
                <w:szCs w:val="21"/>
                <w:highlight w:val="none"/>
              </w:rPr>
            </w:pPr>
          </w:p>
        </w:tc>
        <w:tc>
          <w:tcPr>
            <w:tcW w:w="2458" w:type="dxa"/>
            <w:vAlign w:val="center"/>
          </w:tcPr>
          <w:p>
            <w:pPr>
              <w:spacing w:after="156" w:line="360" w:lineRule="auto"/>
              <w:jc w:val="center"/>
              <w:rPr>
                <w:rFonts w:ascii="仿宋" w:hAnsi="仿宋" w:eastAsia="仿宋" w:cs="仿宋"/>
                <w:color w:val="auto"/>
                <w:szCs w:val="21"/>
                <w:highlight w:val="none"/>
              </w:rPr>
            </w:pPr>
          </w:p>
        </w:tc>
        <w:tc>
          <w:tcPr>
            <w:tcW w:w="1432" w:type="dxa"/>
            <w:vAlign w:val="center"/>
          </w:tcPr>
          <w:p>
            <w:pPr>
              <w:spacing w:after="156" w:line="360" w:lineRule="auto"/>
              <w:jc w:val="center"/>
              <w:rPr>
                <w:rFonts w:ascii="仿宋" w:hAnsi="仿宋" w:eastAsia="仿宋" w:cs="仿宋"/>
                <w:color w:val="auto"/>
                <w:szCs w:val="21"/>
                <w:highlight w:val="none"/>
              </w:rPr>
            </w:pPr>
          </w:p>
        </w:tc>
        <w:tc>
          <w:tcPr>
            <w:tcW w:w="1432" w:type="dxa"/>
            <w:vAlign w:val="center"/>
          </w:tcPr>
          <w:p>
            <w:pPr>
              <w:spacing w:after="156" w:line="360" w:lineRule="auto"/>
              <w:jc w:val="center"/>
              <w:rPr>
                <w:rFonts w:ascii="仿宋" w:hAnsi="仿宋" w:eastAsia="仿宋" w:cs="仿宋"/>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line="360" w:lineRule="auto"/>
              <w:jc w:val="center"/>
              <w:rPr>
                <w:rFonts w:ascii="仿宋" w:hAnsi="仿宋" w:eastAsia="仿宋" w:cs="仿宋"/>
                <w:color w:val="auto"/>
                <w:szCs w:val="21"/>
                <w:highlight w:val="none"/>
              </w:rPr>
            </w:pPr>
          </w:p>
        </w:tc>
        <w:tc>
          <w:tcPr>
            <w:tcW w:w="2458" w:type="dxa"/>
            <w:vAlign w:val="center"/>
          </w:tcPr>
          <w:p>
            <w:pPr>
              <w:spacing w:after="156" w:line="360" w:lineRule="auto"/>
              <w:jc w:val="center"/>
              <w:rPr>
                <w:rFonts w:ascii="仿宋" w:hAnsi="仿宋" w:eastAsia="仿宋" w:cs="仿宋"/>
                <w:color w:val="auto"/>
                <w:szCs w:val="21"/>
                <w:highlight w:val="none"/>
              </w:rPr>
            </w:pPr>
          </w:p>
        </w:tc>
        <w:tc>
          <w:tcPr>
            <w:tcW w:w="2458" w:type="dxa"/>
            <w:vAlign w:val="center"/>
          </w:tcPr>
          <w:p>
            <w:pPr>
              <w:spacing w:after="156" w:line="360" w:lineRule="auto"/>
              <w:jc w:val="center"/>
              <w:rPr>
                <w:rFonts w:ascii="仿宋" w:hAnsi="仿宋" w:eastAsia="仿宋" w:cs="仿宋"/>
                <w:color w:val="auto"/>
                <w:szCs w:val="21"/>
                <w:highlight w:val="none"/>
              </w:rPr>
            </w:pPr>
          </w:p>
        </w:tc>
        <w:tc>
          <w:tcPr>
            <w:tcW w:w="1432" w:type="dxa"/>
            <w:vAlign w:val="center"/>
          </w:tcPr>
          <w:p>
            <w:pPr>
              <w:spacing w:after="156" w:line="360" w:lineRule="auto"/>
              <w:jc w:val="center"/>
              <w:rPr>
                <w:rFonts w:ascii="仿宋" w:hAnsi="仿宋" w:eastAsia="仿宋" w:cs="仿宋"/>
                <w:color w:val="auto"/>
                <w:szCs w:val="21"/>
                <w:highlight w:val="none"/>
              </w:rPr>
            </w:pPr>
          </w:p>
        </w:tc>
        <w:tc>
          <w:tcPr>
            <w:tcW w:w="1432" w:type="dxa"/>
            <w:vAlign w:val="center"/>
          </w:tcPr>
          <w:p>
            <w:pPr>
              <w:spacing w:after="156" w:line="360" w:lineRule="auto"/>
              <w:jc w:val="center"/>
              <w:rPr>
                <w:rFonts w:ascii="仿宋" w:hAnsi="仿宋" w:eastAsia="仿宋" w:cs="仿宋"/>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line="360" w:lineRule="auto"/>
              <w:jc w:val="center"/>
              <w:rPr>
                <w:rFonts w:ascii="仿宋" w:hAnsi="仿宋" w:eastAsia="仿宋" w:cs="仿宋"/>
                <w:color w:val="auto"/>
                <w:szCs w:val="21"/>
                <w:highlight w:val="none"/>
              </w:rPr>
            </w:pPr>
          </w:p>
        </w:tc>
        <w:tc>
          <w:tcPr>
            <w:tcW w:w="2458" w:type="dxa"/>
            <w:vAlign w:val="center"/>
          </w:tcPr>
          <w:p>
            <w:pPr>
              <w:spacing w:after="156" w:line="360" w:lineRule="auto"/>
              <w:jc w:val="center"/>
              <w:rPr>
                <w:rFonts w:ascii="仿宋" w:hAnsi="仿宋" w:eastAsia="仿宋" w:cs="仿宋"/>
                <w:color w:val="auto"/>
                <w:szCs w:val="21"/>
                <w:highlight w:val="none"/>
              </w:rPr>
            </w:pPr>
          </w:p>
        </w:tc>
        <w:tc>
          <w:tcPr>
            <w:tcW w:w="2458" w:type="dxa"/>
            <w:vAlign w:val="center"/>
          </w:tcPr>
          <w:p>
            <w:pPr>
              <w:spacing w:after="156" w:line="360" w:lineRule="auto"/>
              <w:jc w:val="center"/>
              <w:rPr>
                <w:rFonts w:ascii="仿宋" w:hAnsi="仿宋" w:eastAsia="仿宋" w:cs="仿宋"/>
                <w:color w:val="auto"/>
                <w:szCs w:val="21"/>
                <w:highlight w:val="none"/>
              </w:rPr>
            </w:pPr>
          </w:p>
        </w:tc>
        <w:tc>
          <w:tcPr>
            <w:tcW w:w="1432" w:type="dxa"/>
            <w:vAlign w:val="center"/>
          </w:tcPr>
          <w:p>
            <w:pPr>
              <w:spacing w:after="156" w:line="360" w:lineRule="auto"/>
              <w:jc w:val="center"/>
              <w:rPr>
                <w:rFonts w:ascii="仿宋" w:hAnsi="仿宋" w:eastAsia="仿宋" w:cs="仿宋"/>
                <w:color w:val="auto"/>
                <w:szCs w:val="21"/>
                <w:highlight w:val="none"/>
              </w:rPr>
            </w:pPr>
          </w:p>
        </w:tc>
        <w:tc>
          <w:tcPr>
            <w:tcW w:w="1432" w:type="dxa"/>
            <w:vAlign w:val="center"/>
          </w:tcPr>
          <w:p>
            <w:pPr>
              <w:spacing w:after="156" w:line="360" w:lineRule="auto"/>
              <w:jc w:val="center"/>
              <w:rPr>
                <w:rFonts w:ascii="仿宋" w:hAnsi="仿宋" w:eastAsia="仿宋" w:cs="仿宋"/>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line="360" w:lineRule="auto"/>
              <w:jc w:val="center"/>
              <w:rPr>
                <w:rFonts w:ascii="仿宋" w:hAnsi="仿宋" w:eastAsia="仿宋" w:cs="仿宋"/>
                <w:color w:val="auto"/>
                <w:szCs w:val="21"/>
                <w:highlight w:val="none"/>
              </w:rPr>
            </w:pPr>
          </w:p>
        </w:tc>
        <w:tc>
          <w:tcPr>
            <w:tcW w:w="2458" w:type="dxa"/>
            <w:vAlign w:val="center"/>
          </w:tcPr>
          <w:p>
            <w:pPr>
              <w:spacing w:after="156" w:line="360" w:lineRule="auto"/>
              <w:jc w:val="center"/>
              <w:rPr>
                <w:rFonts w:ascii="仿宋" w:hAnsi="仿宋" w:eastAsia="仿宋" w:cs="仿宋"/>
                <w:color w:val="auto"/>
                <w:szCs w:val="21"/>
                <w:highlight w:val="none"/>
              </w:rPr>
            </w:pPr>
          </w:p>
        </w:tc>
        <w:tc>
          <w:tcPr>
            <w:tcW w:w="2458" w:type="dxa"/>
            <w:vAlign w:val="center"/>
          </w:tcPr>
          <w:p>
            <w:pPr>
              <w:spacing w:after="156" w:line="360" w:lineRule="auto"/>
              <w:jc w:val="center"/>
              <w:rPr>
                <w:rFonts w:ascii="仿宋" w:hAnsi="仿宋" w:eastAsia="仿宋" w:cs="仿宋"/>
                <w:color w:val="auto"/>
                <w:szCs w:val="21"/>
                <w:highlight w:val="none"/>
              </w:rPr>
            </w:pPr>
          </w:p>
        </w:tc>
        <w:tc>
          <w:tcPr>
            <w:tcW w:w="1432" w:type="dxa"/>
            <w:vAlign w:val="center"/>
          </w:tcPr>
          <w:p>
            <w:pPr>
              <w:spacing w:after="156" w:line="360" w:lineRule="auto"/>
              <w:jc w:val="center"/>
              <w:rPr>
                <w:rFonts w:ascii="仿宋" w:hAnsi="仿宋" w:eastAsia="仿宋" w:cs="仿宋"/>
                <w:color w:val="auto"/>
                <w:szCs w:val="21"/>
                <w:highlight w:val="none"/>
              </w:rPr>
            </w:pPr>
          </w:p>
        </w:tc>
        <w:tc>
          <w:tcPr>
            <w:tcW w:w="1432" w:type="dxa"/>
            <w:vAlign w:val="center"/>
          </w:tcPr>
          <w:p>
            <w:pPr>
              <w:spacing w:after="156" w:line="360" w:lineRule="auto"/>
              <w:jc w:val="center"/>
              <w:rPr>
                <w:rFonts w:ascii="仿宋" w:hAnsi="仿宋" w:eastAsia="仿宋" w:cs="仿宋"/>
                <w:color w:val="auto"/>
                <w:szCs w:val="21"/>
                <w:highlight w:val="none"/>
              </w:rPr>
            </w:pPr>
          </w:p>
        </w:tc>
      </w:tr>
    </w:tbl>
    <w:p>
      <w:pPr>
        <w:snapToGrid w:val="0"/>
        <w:spacing w:line="360" w:lineRule="auto"/>
        <w:rPr>
          <w:rFonts w:ascii="仿宋" w:hAnsi="仿宋" w:eastAsia="仿宋" w:cs="仿宋"/>
          <w:color w:val="auto"/>
          <w:highlight w:val="none"/>
        </w:rPr>
      </w:pPr>
    </w:p>
    <w:p>
      <w:pPr>
        <w:snapToGrid w:val="0"/>
        <w:spacing w:line="360" w:lineRule="auto"/>
        <w:rPr>
          <w:rFonts w:ascii="仿宋" w:hAnsi="仿宋" w:eastAsia="仿宋" w:cs="仿宋"/>
          <w:color w:val="auto"/>
          <w:highlight w:val="none"/>
        </w:rPr>
      </w:pPr>
    </w:p>
    <w:p>
      <w:pPr>
        <w:snapToGrid w:val="0"/>
        <w:spacing w:line="360" w:lineRule="auto"/>
        <w:rPr>
          <w:rFonts w:ascii="仿宋" w:hAnsi="仿宋" w:eastAsia="仿宋" w:cs="仿宋"/>
          <w:color w:val="auto"/>
          <w:highlight w:val="none"/>
          <w:u w:val="single"/>
        </w:rPr>
      </w:pPr>
    </w:p>
    <w:p>
      <w:pPr>
        <w:snapToGrid w:val="0"/>
        <w:spacing w:line="360" w:lineRule="auto"/>
        <w:rPr>
          <w:rFonts w:ascii="仿宋" w:hAnsi="仿宋" w:eastAsia="仿宋" w:cs="仿宋"/>
          <w:color w:val="auto"/>
          <w:spacing w:val="20"/>
          <w:highlight w:val="none"/>
          <w:u w:val="single"/>
        </w:rPr>
      </w:pPr>
      <w:r>
        <w:rPr>
          <w:rFonts w:hint="eastAsia" w:ascii="仿宋" w:hAnsi="仿宋" w:eastAsia="仿宋" w:cs="仿宋"/>
          <w:color w:val="auto"/>
          <w:highlight w:val="none"/>
        </w:rPr>
        <w:t>供应商全称（盖单位公章或电子签章）：</w:t>
      </w:r>
    </w:p>
    <w:p>
      <w:pPr>
        <w:snapToGrid w:val="0"/>
        <w:spacing w:line="360" w:lineRule="auto"/>
        <w:rPr>
          <w:rFonts w:ascii="仿宋" w:hAnsi="仿宋" w:eastAsia="仿宋" w:cs="仿宋"/>
          <w:color w:val="auto"/>
          <w:highlight w:val="none"/>
        </w:rPr>
      </w:pPr>
      <w:r>
        <w:rPr>
          <w:rFonts w:hint="eastAsia" w:ascii="仿宋" w:hAnsi="仿宋" w:eastAsia="仿宋" w:cs="仿宋"/>
          <w:color w:val="auto"/>
          <w:spacing w:val="20"/>
          <w:highlight w:val="none"/>
        </w:rPr>
        <w:t xml:space="preserve">日期：  </w:t>
      </w:r>
      <w:r>
        <w:rPr>
          <w:rFonts w:hint="eastAsia" w:ascii="仿宋" w:hAnsi="仿宋" w:eastAsia="仿宋" w:cs="仿宋"/>
          <w:color w:val="auto"/>
          <w:highlight w:val="none"/>
        </w:rPr>
        <w:t>年  月  日</w:t>
      </w:r>
    </w:p>
    <w:p>
      <w:pPr>
        <w:snapToGrid w:val="0"/>
        <w:spacing w:line="360" w:lineRule="auto"/>
        <w:rPr>
          <w:rFonts w:ascii="仿宋" w:hAnsi="仿宋" w:eastAsia="仿宋" w:cs="仿宋"/>
          <w:color w:val="auto"/>
          <w:highlight w:val="none"/>
        </w:rPr>
      </w:pPr>
    </w:p>
    <w:p>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注：</w:t>
      </w:r>
    </w:p>
    <w:p>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1、“偏离情况”栏填写：“正偏离”或“负偏离”或“符合”，如表格中填的内容与产品说明书中的不一致，以产品说明书为准。</w:t>
      </w:r>
    </w:p>
    <w:p>
      <w:pPr>
        <w:snapToGrid w:val="0"/>
        <w:spacing w:line="300" w:lineRule="auto"/>
        <w:rPr>
          <w:rFonts w:ascii="仿宋" w:hAnsi="仿宋" w:eastAsia="仿宋" w:cs="仿宋"/>
          <w:color w:val="auto"/>
          <w:spacing w:val="20"/>
          <w:highlight w:val="none"/>
        </w:rPr>
      </w:pPr>
    </w:p>
    <w:p>
      <w:pPr>
        <w:ind w:firstLine="502"/>
        <w:rPr>
          <w:color w:val="auto"/>
          <w:highlight w:val="none"/>
        </w:rPr>
      </w:pPr>
      <w:r>
        <w:rPr>
          <w:rFonts w:hint="eastAsia"/>
          <w:color w:val="auto"/>
          <w:highlight w:val="none"/>
        </w:rPr>
        <w:br w:type="page"/>
      </w:r>
    </w:p>
    <w:p>
      <w:pPr>
        <w:snapToGrid/>
        <w:spacing w:line="240" w:lineRule="auto"/>
        <w:jc w:val="center"/>
        <w:outlineLvl w:val="1"/>
        <w:rPr>
          <w:rFonts w:ascii="仿宋" w:hAnsi="仿宋" w:eastAsia="仿宋" w:cs="仿宋"/>
          <w:b/>
          <w:bCs w:val="0"/>
          <w:color w:val="auto"/>
          <w:kern w:val="0"/>
          <w:sz w:val="32"/>
          <w:szCs w:val="32"/>
          <w:highlight w:val="none"/>
        </w:rPr>
      </w:pPr>
      <w:r>
        <w:rPr>
          <w:rFonts w:hint="eastAsia" w:ascii="仿宋" w:hAnsi="仿宋" w:eastAsia="仿宋" w:cs="仿宋"/>
          <w:b/>
          <w:bCs w:val="0"/>
          <w:color w:val="auto"/>
          <w:kern w:val="0"/>
          <w:sz w:val="32"/>
          <w:szCs w:val="32"/>
          <w:highlight w:val="none"/>
          <w:lang w:val="en-US" w:eastAsia="zh-CN"/>
        </w:rPr>
        <w:t>六</w:t>
      </w:r>
      <w:r>
        <w:rPr>
          <w:rFonts w:hint="default" w:ascii="仿宋" w:hAnsi="仿宋" w:eastAsia="仿宋" w:cs="仿宋"/>
          <w:b/>
          <w:bCs w:val="0"/>
          <w:color w:val="auto"/>
          <w:kern w:val="0"/>
          <w:sz w:val="32"/>
          <w:szCs w:val="32"/>
          <w:highlight w:val="none"/>
        </w:rPr>
        <w:t>、商务条款偏离表</w:t>
      </w:r>
    </w:p>
    <w:p>
      <w:pPr>
        <w:pStyle w:val="15"/>
        <w:rPr>
          <w:rFonts w:ascii="仿宋" w:hAnsi="仿宋" w:eastAsia="仿宋" w:cs="仿宋"/>
          <w:color w:val="auto"/>
          <w:highlight w:val="none"/>
        </w:rPr>
      </w:pPr>
    </w:p>
    <w:p>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标项内容：</w:t>
      </w:r>
    </w:p>
    <w:p>
      <w:pPr>
        <w:snapToGrid w:val="0"/>
        <w:spacing w:line="360" w:lineRule="auto"/>
        <w:rPr>
          <w:rFonts w:ascii="仿宋" w:hAnsi="仿宋" w:eastAsia="仿宋" w:cs="仿宋"/>
          <w:color w:val="auto"/>
          <w:sz w:val="24"/>
          <w:highlight w:val="none"/>
        </w:rPr>
      </w:pPr>
    </w:p>
    <w:tbl>
      <w:tblPr>
        <w:tblStyle w:val="63"/>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567" w:hRule="atLeast"/>
          <w:jc w:val="center"/>
        </w:trPr>
        <w:tc>
          <w:tcPr>
            <w:tcW w:w="941" w:type="dxa"/>
            <w:vAlign w:val="center"/>
          </w:tcPr>
          <w:p>
            <w:pPr>
              <w:spacing w:after="156"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458" w:type="dxa"/>
            <w:vAlign w:val="center"/>
          </w:tcPr>
          <w:p>
            <w:pPr>
              <w:spacing w:after="156"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招标要求</w:t>
            </w:r>
          </w:p>
        </w:tc>
        <w:tc>
          <w:tcPr>
            <w:tcW w:w="2458" w:type="dxa"/>
            <w:vAlign w:val="center"/>
          </w:tcPr>
          <w:p>
            <w:pPr>
              <w:spacing w:after="156"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投标响应</w:t>
            </w:r>
          </w:p>
        </w:tc>
        <w:tc>
          <w:tcPr>
            <w:tcW w:w="1432" w:type="dxa"/>
            <w:vAlign w:val="center"/>
          </w:tcPr>
          <w:p>
            <w:pPr>
              <w:spacing w:after="156"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偏离情况</w:t>
            </w:r>
          </w:p>
        </w:tc>
        <w:tc>
          <w:tcPr>
            <w:tcW w:w="1432" w:type="dxa"/>
            <w:vAlign w:val="center"/>
          </w:tcPr>
          <w:p>
            <w:pPr>
              <w:spacing w:after="156"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line="360" w:lineRule="auto"/>
              <w:jc w:val="center"/>
              <w:rPr>
                <w:rFonts w:ascii="仿宋" w:hAnsi="仿宋" w:eastAsia="仿宋" w:cs="仿宋"/>
                <w:color w:val="auto"/>
                <w:sz w:val="24"/>
                <w:highlight w:val="none"/>
              </w:rPr>
            </w:pPr>
          </w:p>
        </w:tc>
        <w:tc>
          <w:tcPr>
            <w:tcW w:w="2458" w:type="dxa"/>
            <w:vAlign w:val="center"/>
          </w:tcPr>
          <w:p>
            <w:pPr>
              <w:spacing w:after="156" w:line="360" w:lineRule="auto"/>
              <w:jc w:val="center"/>
              <w:rPr>
                <w:rFonts w:ascii="仿宋" w:hAnsi="仿宋" w:eastAsia="仿宋" w:cs="仿宋"/>
                <w:color w:val="auto"/>
                <w:sz w:val="24"/>
                <w:highlight w:val="none"/>
              </w:rPr>
            </w:pPr>
          </w:p>
        </w:tc>
        <w:tc>
          <w:tcPr>
            <w:tcW w:w="2458" w:type="dxa"/>
            <w:vAlign w:val="center"/>
          </w:tcPr>
          <w:p>
            <w:pPr>
              <w:spacing w:after="156" w:line="360" w:lineRule="auto"/>
              <w:jc w:val="center"/>
              <w:rPr>
                <w:rFonts w:ascii="仿宋" w:hAnsi="仿宋" w:eastAsia="仿宋" w:cs="仿宋"/>
                <w:color w:val="auto"/>
                <w:sz w:val="24"/>
                <w:highlight w:val="none"/>
              </w:rPr>
            </w:pPr>
          </w:p>
        </w:tc>
        <w:tc>
          <w:tcPr>
            <w:tcW w:w="1432" w:type="dxa"/>
            <w:vAlign w:val="center"/>
          </w:tcPr>
          <w:p>
            <w:pPr>
              <w:spacing w:after="156" w:line="360" w:lineRule="auto"/>
              <w:jc w:val="center"/>
              <w:rPr>
                <w:rFonts w:ascii="仿宋" w:hAnsi="仿宋" w:eastAsia="仿宋" w:cs="仿宋"/>
                <w:color w:val="auto"/>
                <w:sz w:val="24"/>
                <w:highlight w:val="none"/>
              </w:rPr>
            </w:pPr>
          </w:p>
        </w:tc>
        <w:tc>
          <w:tcPr>
            <w:tcW w:w="1432" w:type="dxa"/>
            <w:vAlign w:val="center"/>
          </w:tcPr>
          <w:p>
            <w:pPr>
              <w:spacing w:after="156" w:line="360" w:lineRule="auto"/>
              <w:jc w:val="center"/>
              <w:rPr>
                <w:rFonts w:ascii="仿宋" w:hAnsi="仿宋" w:eastAsia="仿宋" w:cs="仿宋"/>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line="360" w:lineRule="auto"/>
              <w:jc w:val="center"/>
              <w:rPr>
                <w:rFonts w:ascii="仿宋" w:hAnsi="仿宋" w:eastAsia="仿宋" w:cs="仿宋"/>
                <w:color w:val="auto"/>
                <w:sz w:val="24"/>
                <w:highlight w:val="none"/>
              </w:rPr>
            </w:pPr>
          </w:p>
        </w:tc>
        <w:tc>
          <w:tcPr>
            <w:tcW w:w="2458" w:type="dxa"/>
            <w:vAlign w:val="center"/>
          </w:tcPr>
          <w:p>
            <w:pPr>
              <w:spacing w:after="156" w:line="360" w:lineRule="auto"/>
              <w:jc w:val="center"/>
              <w:rPr>
                <w:rFonts w:ascii="仿宋" w:hAnsi="仿宋" w:eastAsia="仿宋" w:cs="仿宋"/>
                <w:color w:val="auto"/>
                <w:sz w:val="24"/>
                <w:highlight w:val="none"/>
              </w:rPr>
            </w:pPr>
          </w:p>
        </w:tc>
        <w:tc>
          <w:tcPr>
            <w:tcW w:w="2458" w:type="dxa"/>
            <w:vAlign w:val="center"/>
          </w:tcPr>
          <w:p>
            <w:pPr>
              <w:spacing w:after="156" w:line="360" w:lineRule="auto"/>
              <w:jc w:val="center"/>
              <w:rPr>
                <w:rFonts w:ascii="仿宋" w:hAnsi="仿宋" w:eastAsia="仿宋" w:cs="仿宋"/>
                <w:color w:val="auto"/>
                <w:sz w:val="24"/>
                <w:highlight w:val="none"/>
              </w:rPr>
            </w:pPr>
          </w:p>
        </w:tc>
        <w:tc>
          <w:tcPr>
            <w:tcW w:w="1432" w:type="dxa"/>
            <w:vAlign w:val="center"/>
          </w:tcPr>
          <w:p>
            <w:pPr>
              <w:spacing w:after="156" w:line="360" w:lineRule="auto"/>
              <w:jc w:val="center"/>
              <w:rPr>
                <w:rFonts w:ascii="仿宋" w:hAnsi="仿宋" w:eastAsia="仿宋" w:cs="仿宋"/>
                <w:color w:val="auto"/>
                <w:sz w:val="24"/>
                <w:highlight w:val="none"/>
              </w:rPr>
            </w:pPr>
          </w:p>
        </w:tc>
        <w:tc>
          <w:tcPr>
            <w:tcW w:w="1432" w:type="dxa"/>
            <w:vAlign w:val="center"/>
          </w:tcPr>
          <w:p>
            <w:pPr>
              <w:spacing w:after="156" w:line="360" w:lineRule="auto"/>
              <w:jc w:val="center"/>
              <w:rPr>
                <w:rFonts w:ascii="仿宋" w:hAnsi="仿宋" w:eastAsia="仿宋" w:cs="仿宋"/>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line="360" w:lineRule="auto"/>
              <w:jc w:val="center"/>
              <w:rPr>
                <w:rFonts w:ascii="仿宋" w:hAnsi="仿宋" w:eastAsia="仿宋" w:cs="仿宋"/>
                <w:color w:val="auto"/>
                <w:sz w:val="24"/>
                <w:highlight w:val="none"/>
              </w:rPr>
            </w:pPr>
          </w:p>
        </w:tc>
        <w:tc>
          <w:tcPr>
            <w:tcW w:w="2458" w:type="dxa"/>
            <w:vAlign w:val="center"/>
          </w:tcPr>
          <w:p>
            <w:pPr>
              <w:spacing w:after="156" w:line="360" w:lineRule="auto"/>
              <w:jc w:val="center"/>
              <w:rPr>
                <w:rFonts w:ascii="仿宋" w:hAnsi="仿宋" w:eastAsia="仿宋" w:cs="仿宋"/>
                <w:color w:val="auto"/>
                <w:sz w:val="24"/>
                <w:highlight w:val="none"/>
              </w:rPr>
            </w:pPr>
          </w:p>
        </w:tc>
        <w:tc>
          <w:tcPr>
            <w:tcW w:w="2458" w:type="dxa"/>
            <w:vAlign w:val="center"/>
          </w:tcPr>
          <w:p>
            <w:pPr>
              <w:spacing w:after="156" w:line="360" w:lineRule="auto"/>
              <w:jc w:val="center"/>
              <w:rPr>
                <w:rFonts w:ascii="仿宋" w:hAnsi="仿宋" w:eastAsia="仿宋" w:cs="仿宋"/>
                <w:color w:val="auto"/>
                <w:sz w:val="24"/>
                <w:highlight w:val="none"/>
              </w:rPr>
            </w:pPr>
          </w:p>
        </w:tc>
        <w:tc>
          <w:tcPr>
            <w:tcW w:w="1432" w:type="dxa"/>
            <w:vAlign w:val="center"/>
          </w:tcPr>
          <w:p>
            <w:pPr>
              <w:spacing w:after="156" w:line="360" w:lineRule="auto"/>
              <w:jc w:val="center"/>
              <w:rPr>
                <w:rFonts w:ascii="仿宋" w:hAnsi="仿宋" w:eastAsia="仿宋" w:cs="仿宋"/>
                <w:color w:val="auto"/>
                <w:sz w:val="24"/>
                <w:highlight w:val="none"/>
              </w:rPr>
            </w:pPr>
          </w:p>
        </w:tc>
        <w:tc>
          <w:tcPr>
            <w:tcW w:w="1432" w:type="dxa"/>
            <w:vAlign w:val="center"/>
          </w:tcPr>
          <w:p>
            <w:pPr>
              <w:spacing w:after="156" w:line="360" w:lineRule="auto"/>
              <w:jc w:val="center"/>
              <w:rPr>
                <w:rFonts w:ascii="仿宋" w:hAnsi="仿宋" w:eastAsia="仿宋" w:cs="仿宋"/>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line="360" w:lineRule="auto"/>
              <w:jc w:val="center"/>
              <w:rPr>
                <w:rFonts w:ascii="仿宋" w:hAnsi="仿宋" w:eastAsia="仿宋" w:cs="仿宋"/>
                <w:color w:val="auto"/>
                <w:sz w:val="24"/>
                <w:highlight w:val="none"/>
              </w:rPr>
            </w:pPr>
          </w:p>
        </w:tc>
        <w:tc>
          <w:tcPr>
            <w:tcW w:w="2458" w:type="dxa"/>
            <w:vAlign w:val="center"/>
          </w:tcPr>
          <w:p>
            <w:pPr>
              <w:spacing w:after="156" w:line="360" w:lineRule="auto"/>
              <w:jc w:val="center"/>
              <w:rPr>
                <w:rFonts w:ascii="仿宋" w:hAnsi="仿宋" w:eastAsia="仿宋" w:cs="仿宋"/>
                <w:color w:val="auto"/>
                <w:sz w:val="24"/>
                <w:highlight w:val="none"/>
              </w:rPr>
            </w:pPr>
          </w:p>
        </w:tc>
        <w:tc>
          <w:tcPr>
            <w:tcW w:w="2458" w:type="dxa"/>
            <w:vAlign w:val="center"/>
          </w:tcPr>
          <w:p>
            <w:pPr>
              <w:spacing w:after="156" w:line="360" w:lineRule="auto"/>
              <w:jc w:val="center"/>
              <w:rPr>
                <w:rFonts w:ascii="仿宋" w:hAnsi="仿宋" w:eastAsia="仿宋" w:cs="仿宋"/>
                <w:color w:val="auto"/>
                <w:sz w:val="24"/>
                <w:highlight w:val="none"/>
              </w:rPr>
            </w:pPr>
          </w:p>
        </w:tc>
        <w:tc>
          <w:tcPr>
            <w:tcW w:w="1432" w:type="dxa"/>
            <w:vAlign w:val="center"/>
          </w:tcPr>
          <w:p>
            <w:pPr>
              <w:spacing w:after="156" w:line="360" w:lineRule="auto"/>
              <w:jc w:val="center"/>
              <w:rPr>
                <w:rFonts w:ascii="仿宋" w:hAnsi="仿宋" w:eastAsia="仿宋" w:cs="仿宋"/>
                <w:color w:val="auto"/>
                <w:sz w:val="24"/>
                <w:highlight w:val="none"/>
              </w:rPr>
            </w:pPr>
          </w:p>
        </w:tc>
        <w:tc>
          <w:tcPr>
            <w:tcW w:w="1432" w:type="dxa"/>
            <w:vAlign w:val="center"/>
          </w:tcPr>
          <w:p>
            <w:pPr>
              <w:spacing w:after="156" w:line="360" w:lineRule="auto"/>
              <w:jc w:val="center"/>
              <w:rPr>
                <w:rFonts w:ascii="仿宋" w:hAnsi="仿宋" w:eastAsia="仿宋" w:cs="仿宋"/>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line="360" w:lineRule="auto"/>
              <w:jc w:val="center"/>
              <w:rPr>
                <w:rFonts w:ascii="仿宋" w:hAnsi="仿宋" w:eastAsia="仿宋" w:cs="仿宋"/>
                <w:color w:val="auto"/>
                <w:sz w:val="24"/>
                <w:highlight w:val="none"/>
              </w:rPr>
            </w:pPr>
          </w:p>
        </w:tc>
        <w:tc>
          <w:tcPr>
            <w:tcW w:w="2458" w:type="dxa"/>
            <w:vAlign w:val="center"/>
          </w:tcPr>
          <w:p>
            <w:pPr>
              <w:spacing w:after="156" w:line="360" w:lineRule="auto"/>
              <w:jc w:val="center"/>
              <w:rPr>
                <w:rFonts w:ascii="仿宋" w:hAnsi="仿宋" w:eastAsia="仿宋" w:cs="仿宋"/>
                <w:color w:val="auto"/>
                <w:sz w:val="24"/>
                <w:highlight w:val="none"/>
              </w:rPr>
            </w:pPr>
          </w:p>
        </w:tc>
        <w:tc>
          <w:tcPr>
            <w:tcW w:w="2458" w:type="dxa"/>
            <w:vAlign w:val="center"/>
          </w:tcPr>
          <w:p>
            <w:pPr>
              <w:spacing w:after="156" w:line="360" w:lineRule="auto"/>
              <w:jc w:val="center"/>
              <w:rPr>
                <w:rFonts w:ascii="仿宋" w:hAnsi="仿宋" w:eastAsia="仿宋" w:cs="仿宋"/>
                <w:color w:val="auto"/>
                <w:sz w:val="24"/>
                <w:highlight w:val="none"/>
              </w:rPr>
            </w:pPr>
          </w:p>
        </w:tc>
        <w:tc>
          <w:tcPr>
            <w:tcW w:w="1432" w:type="dxa"/>
            <w:vAlign w:val="center"/>
          </w:tcPr>
          <w:p>
            <w:pPr>
              <w:spacing w:after="156" w:line="360" w:lineRule="auto"/>
              <w:jc w:val="center"/>
              <w:rPr>
                <w:rFonts w:ascii="仿宋" w:hAnsi="仿宋" w:eastAsia="仿宋" w:cs="仿宋"/>
                <w:color w:val="auto"/>
                <w:sz w:val="24"/>
                <w:highlight w:val="none"/>
              </w:rPr>
            </w:pPr>
          </w:p>
        </w:tc>
        <w:tc>
          <w:tcPr>
            <w:tcW w:w="1432" w:type="dxa"/>
            <w:vAlign w:val="center"/>
          </w:tcPr>
          <w:p>
            <w:pPr>
              <w:spacing w:after="156" w:line="360" w:lineRule="auto"/>
              <w:jc w:val="center"/>
              <w:rPr>
                <w:rFonts w:ascii="仿宋" w:hAnsi="仿宋" w:eastAsia="仿宋" w:cs="仿宋"/>
                <w:color w:val="auto"/>
                <w:sz w:val="24"/>
                <w:highlight w:val="none"/>
              </w:rPr>
            </w:pPr>
          </w:p>
        </w:tc>
      </w:tr>
    </w:tbl>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u w:val="single"/>
        </w:rPr>
      </w:pPr>
    </w:p>
    <w:p>
      <w:pPr>
        <w:snapToGrid w:val="0"/>
        <w:spacing w:line="360" w:lineRule="auto"/>
        <w:rPr>
          <w:rFonts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注：</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1、“偏离情况”栏填写：“正偏离”或“负偏离”或“符合”</w:t>
      </w:r>
    </w:p>
    <w:p>
      <w:pPr>
        <w:snapToGrid w:val="0"/>
        <w:spacing w:line="300" w:lineRule="auto"/>
        <w:rPr>
          <w:rFonts w:ascii="仿宋" w:hAnsi="仿宋" w:eastAsia="仿宋" w:cs="仿宋"/>
          <w:color w:val="auto"/>
          <w:spacing w:val="20"/>
          <w:highlight w:val="none"/>
        </w:rPr>
      </w:pPr>
    </w:p>
    <w:p>
      <w:pPr>
        <w:pStyle w:val="3"/>
        <w:ind w:firstLine="502"/>
        <w:rPr>
          <w:rFonts w:ascii="仿宋" w:eastAsia="仿宋" w:cs="仿宋"/>
          <w:color w:val="auto"/>
          <w:highlight w:val="none"/>
        </w:rPr>
      </w:pPr>
      <w:r>
        <w:rPr>
          <w:rFonts w:hint="eastAsia" w:ascii="仿宋" w:eastAsia="仿宋" w:cs="仿宋"/>
          <w:color w:val="auto"/>
          <w:spacing w:val="20"/>
          <w:highlight w:val="none"/>
        </w:rPr>
        <w:br w:type="page"/>
      </w:r>
      <w:r>
        <w:rPr>
          <w:rFonts w:hint="eastAsia" w:ascii="仿宋" w:eastAsia="仿宋" w:cs="仿宋"/>
          <w:color w:val="auto"/>
          <w:spacing w:val="20"/>
          <w:highlight w:val="none"/>
          <w:lang w:val="en-US" w:eastAsia="zh-CN"/>
        </w:rPr>
        <w:t>七</w:t>
      </w:r>
      <w:r>
        <w:rPr>
          <w:rFonts w:hint="default" w:ascii="仿宋" w:eastAsia="仿宋" w:cs="仿宋"/>
          <w:bCs w:val="0"/>
          <w:color w:val="auto"/>
          <w:kern w:val="0"/>
          <w:highlight w:val="none"/>
          <w:lang w:val="en-US"/>
        </w:rPr>
        <w:t>、同类项目业绩：类似空调或暖通项目实施业绩，提供合同复印件；</w:t>
      </w:r>
    </w:p>
    <w:p>
      <w:pPr>
        <w:snapToGrid w:val="0"/>
        <w:spacing w:line="300" w:lineRule="auto"/>
        <w:jc w:val="center"/>
        <w:rPr>
          <w:rFonts w:ascii="仿宋" w:hAnsi="仿宋" w:eastAsia="仿宋" w:cs="仿宋"/>
          <w:color w:val="auto"/>
          <w:kern w:val="0"/>
          <w:szCs w:val="21"/>
          <w:highlight w:val="none"/>
        </w:rPr>
      </w:pPr>
    </w:p>
    <w:p>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标项内容：</w:t>
      </w:r>
    </w:p>
    <w:p>
      <w:pPr>
        <w:spacing w:line="360" w:lineRule="auto"/>
        <w:rPr>
          <w:rFonts w:ascii="仿宋" w:hAnsi="仿宋" w:eastAsia="仿宋" w:cs="仿宋"/>
          <w:color w:val="auto"/>
          <w:sz w:val="24"/>
          <w:highlight w:val="none"/>
        </w:rPr>
      </w:pPr>
    </w:p>
    <w:tbl>
      <w:tblPr>
        <w:tblStyle w:val="63"/>
        <w:tblW w:w="856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1080"/>
        <w:gridCol w:w="1080"/>
        <w:gridCol w:w="1980"/>
        <w:gridCol w:w="1440"/>
        <w:gridCol w:w="900"/>
        <w:gridCol w:w="126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tcPr>
          <w:p>
            <w:pPr>
              <w:spacing w:line="360" w:lineRule="auto"/>
              <w:jc w:val="center"/>
              <w:rPr>
                <w:rFonts w:ascii="仿宋" w:hAnsi="仿宋" w:eastAsia="仿宋" w:cs="仿宋"/>
                <w:caps/>
                <w:color w:val="auto"/>
                <w:sz w:val="24"/>
                <w:highlight w:val="none"/>
              </w:rPr>
            </w:pPr>
            <w:r>
              <w:rPr>
                <w:rFonts w:hint="eastAsia" w:ascii="仿宋" w:hAnsi="仿宋" w:eastAsia="仿宋" w:cs="仿宋"/>
                <w:caps/>
                <w:color w:val="auto"/>
                <w:sz w:val="24"/>
                <w:highlight w:val="none"/>
              </w:rPr>
              <w:t>序号</w:t>
            </w:r>
          </w:p>
        </w:tc>
        <w:tc>
          <w:tcPr>
            <w:tcW w:w="1080" w:type="dxa"/>
          </w:tcPr>
          <w:p>
            <w:pPr>
              <w:spacing w:line="360" w:lineRule="auto"/>
              <w:jc w:val="center"/>
              <w:rPr>
                <w:rFonts w:ascii="仿宋" w:hAnsi="仿宋" w:eastAsia="仿宋" w:cs="仿宋"/>
                <w:caps/>
                <w:color w:val="auto"/>
                <w:sz w:val="24"/>
                <w:highlight w:val="none"/>
              </w:rPr>
            </w:pPr>
            <w:r>
              <w:rPr>
                <w:rFonts w:hint="eastAsia" w:ascii="仿宋" w:hAnsi="仿宋" w:eastAsia="仿宋" w:cs="仿宋"/>
                <w:caps/>
                <w:color w:val="auto"/>
                <w:sz w:val="24"/>
                <w:highlight w:val="none"/>
              </w:rPr>
              <w:t>用户名称</w:t>
            </w:r>
          </w:p>
        </w:tc>
        <w:tc>
          <w:tcPr>
            <w:tcW w:w="1080" w:type="dxa"/>
          </w:tcPr>
          <w:p>
            <w:pPr>
              <w:spacing w:line="360" w:lineRule="auto"/>
              <w:jc w:val="center"/>
              <w:rPr>
                <w:rFonts w:ascii="仿宋" w:hAnsi="仿宋" w:eastAsia="仿宋" w:cs="仿宋"/>
                <w:caps/>
                <w:color w:val="auto"/>
                <w:sz w:val="24"/>
                <w:highlight w:val="none"/>
              </w:rPr>
            </w:pPr>
            <w:r>
              <w:rPr>
                <w:rFonts w:hint="eastAsia" w:ascii="仿宋" w:hAnsi="仿宋" w:eastAsia="仿宋" w:cs="仿宋"/>
                <w:caps/>
                <w:color w:val="auto"/>
                <w:sz w:val="24"/>
                <w:highlight w:val="none"/>
              </w:rPr>
              <w:t>设备型号</w:t>
            </w:r>
          </w:p>
        </w:tc>
        <w:tc>
          <w:tcPr>
            <w:tcW w:w="1980" w:type="dxa"/>
          </w:tcPr>
          <w:p>
            <w:pPr>
              <w:spacing w:line="360" w:lineRule="auto"/>
              <w:jc w:val="center"/>
              <w:rPr>
                <w:rFonts w:ascii="仿宋" w:hAnsi="仿宋" w:eastAsia="仿宋" w:cs="仿宋"/>
                <w:caps/>
                <w:color w:val="auto"/>
                <w:sz w:val="24"/>
                <w:highlight w:val="none"/>
              </w:rPr>
            </w:pPr>
            <w:r>
              <w:rPr>
                <w:rFonts w:hint="eastAsia" w:ascii="仿宋" w:hAnsi="仿宋" w:eastAsia="仿宋" w:cs="仿宋"/>
                <w:caps/>
                <w:color w:val="auto"/>
                <w:sz w:val="24"/>
                <w:highlight w:val="none"/>
              </w:rPr>
              <w:t>数量</w:t>
            </w:r>
          </w:p>
        </w:tc>
        <w:tc>
          <w:tcPr>
            <w:tcW w:w="1440" w:type="dxa"/>
          </w:tcPr>
          <w:p>
            <w:pPr>
              <w:spacing w:line="360" w:lineRule="auto"/>
              <w:jc w:val="center"/>
              <w:rPr>
                <w:rFonts w:ascii="仿宋" w:hAnsi="仿宋" w:eastAsia="仿宋" w:cs="仿宋"/>
                <w:caps/>
                <w:color w:val="auto"/>
                <w:sz w:val="24"/>
                <w:highlight w:val="none"/>
              </w:rPr>
            </w:pPr>
            <w:r>
              <w:rPr>
                <w:rFonts w:hint="eastAsia" w:ascii="仿宋" w:hAnsi="仿宋" w:eastAsia="仿宋" w:cs="仿宋"/>
                <w:color w:val="auto"/>
                <w:sz w:val="24"/>
                <w:highlight w:val="none"/>
              </w:rPr>
              <w:t>签约日期</w:t>
            </w:r>
          </w:p>
        </w:tc>
        <w:tc>
          <w:tcPr>
            <w:tcW w:w="900" w:type="dxa"/>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联系人</w:t>
            </w:r>
          </w:p>
        </w:tc>
        <w:tc>
          <w:tcPr>
            <w:tcW w:w="1260" w:type="dxa"/>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tcPr>
          <w:p>
            <w:pPr>
              <w:spacing w:line="360" w:lineRule="auto"/>
              <w:rPr>
                <w:rFonts w:ascii="仿宋" w:hAnsi="仿宋" w:eastAsia="仿宋" w:cs="仿宋"/>
                <w:color w:val="auto"/>
                <w:sz w:val="24"/>
                <w:highlight w:val="none"/>
              </w:rPr>
            </w:pPr>
          </w:p>
        </w:tc>
        <w:tc>
          <w:tcPr>
            <w:tcW w:w="1080" w:type="dxa"/>
          </w:tcPr>
          <w:p>
            <w:pPr>
              <w:spacing w:line="360" w:lineRule="auto"/>
              <w:rPr>
                <w:rFonts w:ascii="仿宋" w:hAnsi="仿宋" w:eastAsia="仿宋" w:cs="仿宋"/>
                <w:color w:val="auto"/>
                <w:sz w:val="24"/>
                <w:highlight w:val="none"/>
              </w:rPr>
            </w:pPr>
          </w:p>
        </w:tc>
        <w:tc>
          <w:tcPr>
            <w:tcW w:w="1080" w:type="dxa"/>
          </w:tcPr>
          <w:p>
            <w:pPr>
              <w:spacing w:line="360" w:lineRule="auto"/>
              <w:rPr>
                <w:rFonts w:ascii="仿宋" w:hAnsi="仿宋" w:eastAsia="仿宋" w:cs="仿宋"/>
                <w:color w:val="auto"/>
                <w:sz w:val="24"/>
                <w:highlight w:val="none"/>
              </w:rPr>
            </w:pPr>
          </w:p>
        </w:tc>
        <w:tc>
          <w:tcPr>
            <w:tcW w:w="1980" w:type="dxa"/>
          </w:tcPr>
          <w:p>
            <w:pPr>
              <w:spacing w:line="360" w:lineRule="auto"/>
              <w:rPr>
                <w:rFonts w:ascii="仿宋" w:hAnsi="仿宋" w:eastAsia="仿宋" w:cs="仿宋"/>
                <w:color w:val="auto"/>
                <w:sz w:val="24"/>
                <w:highlight w:val="none"/>
              </w:rPr>
            </w:pPr>
          </w:p>
        </w:tc>
        <w:tc>
          <w:tcPr>
            <w:tcW w:w="1440" w:type="dxa"/>
          </w:tcPr>
          <w:p>
            <w:pPr>
              <w:spacing w:line="360" w:lineRule="auto"/>
              <w:rPr>
                <w:rFonts w:ascii="仿宋" w:hAnsi="仿宋" w:eastAsia="仿宋" w:cs="仿宋"/>
                <w:color w:val="auto"/>
                <w:sz w:val="24"/>
                <w:highlight w:val="none"/>
              </w:rPr>
            </w:pPr>
          </w:p>
        </w:tc>
        <w:tc>
          <w:tcPr>
            <w:tcW w:w="900" w:type="dxa"/>
          </w:tcPr>
          <w:p>
            <w:pPr>
              <w:spacing w:line="360" w:lineRule="auto"/>
              <w:rPr>
                <w:rFonts w:ascii="仿宋" w:hAnsi="仿宋" w:eastAsia="仿宋" w:cs="仿宋"/>
                <w:color w:val="auto"/>
                <w:sz w:val="24"/>
                <w:highlight w:val="none"/>
              </w:rPr>
            </w:pPr>
          </w:p>
        </w:tc>
        <w:tc>
          <w:tcPr>
            <w:tcW w:w="1260" w:type="dxa"/>
          </w:tcPr>
          <w:p>
            <w:pPr>
              <w:spacing w:line="360" w:lineRule="auto"/>
              <w:rPr>
                <w:rFonts w:ascii="仿宋" w:hAnsi="仿宋" w:eastAsia="仿宋" w:cs="仿宋"/>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tcPr>
          <w:p>
            <w:pPr>
              <w:spacing w:line="360" w:lineRule="auto"/>
              <w:rPr>
                <w:rFonts w:ascii="仿宋" w:hAnsi="仿宋" w:eastAsia="仿宋" w:cs="仿宋"/>
                <w:color w:val="auto"/>
                <w:sz w:val="24"/>
                <w:highlight w:val="none"/>
              </w:rPr>
            </w:pPr>
          </w:p>
        </w:tc>
        <w:tc>
          <w:tcPr>
            <w:tcW w:w="1080" w:type="dxa"/>
          </w:tcPr>
          <w:p>
            <w:pPr>
              <w:spacing w:line="360" w:lineRule="auto"/>
              <w:rPr>
                <w:rFonts w:ascii="仿宋" w:hAnsi="仿宋" w:eastAsia="仿宋" w:cs="仿宋"/>
                <w:color w:val="auto"/>
                <w:sz w:val="24"/>
                <w:highlight w:val="none"/>
              </w:rPr>
            </w:pPr>
          </w:p>
        </w:tc>
        <w:tc>
          <w:tcPr>
            <w:tcW w:w="1080" w:type="dxa"/>
          </w:tcPr>
          <w:p>
            <w:pPr>
              <w:spacing w:line="360" w:lineRule="auto"/>
              <w:rPr>
                <w:rFonts w:ascii="仿宋" w:hAnsi="仿宋" w:eastAsia="仿宋" w:cs="仿宋"/>
                <w:color w:val="auto"/>
                <w:sz w:val="24"/>
                <w:highlight w:val="none"/>
              </w:rPr>
            </w:pPr>
          </w:p>
        </w:tc>
        <w:tc>
          <w:tcPr>
            <w:tcW w:w="1980" w:type="dxa"/>
          </w:tcPr>
          <w:p>
            <w:pPr>
              <w:spacing w:line="360" w:lineRule="auto"/>
              <w:rPr>
                <w:rFonts w:ascii="仿宋" w:hAnsi="仿宋" w:eastAsia="仿宋" w:cs="仿宋"/>
                <w:color w:val="auto"/>
                <w:sz w:val="24"/>
                <w:highlight w:val="none"/>
              </w:rPr>
            </w:pPr>
          </w:p>
        </w:tc>
        <w:tc>
          <w:tcPr>
            <w:tcW w:w="1440" w:type="dxa"/>
          </w:tcPr>
          <w:p>
            <w:pPr>
              <w:spacing w:line="360" w:lineRule="auto"/>
              <w:rPr>
                <w:rFonts w:ascii="仿宋" w:hAnsi="仿宋" w:eastAsia="仿宋" w:cs="仿宋"/>
                <w:color w:val="auto"/>
                <w:sz w:val="24"/>
                <w:highlight w:val="none"/>
              </w:rPr>
            </w:pPr>
          </w:p>
        </w:tc>
        <w:tc>
          <w:tcPr>
            <w:tcW w:w="900" w:type="dxa"/>
          </w:tcPr>
          <w:p>
            <w:pPr>
              <w:spacing w:line="360" w:lineRule="auto"/>
              <w:rPr>
                <w:rFonts w:ascii="仿宋" w:hAnsi="仿宋" w:eastAsia="仿宋" w:cs="仿宋"/>
                <w:color w:val="auto"/>
                <w:sz w:val="24"/>
                <w:highlight w:val="none"/>
              </w:rPr>
            </w:pPr>
          </w:p>
        </w:tc>
        <w:tc>
          <w:tcPr>
            <w:tcW w:w="1260" w:type="dxa"/>
          </w:tcPr>
          <w:p>
            <w:pPr>
              <w:spacing w:line="360" w:lineRule="auto"/>
              <w:rPr>
                <w:rFonts w:ascii="仿宋" w:hAnsi="仿宋" w:eastAsia="仿宋" w:cs="仿宋"/>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tcPr>
          <w:p>
            <w:pPr>
              <w:spacing w:line="360" w:lineRule="auto"/>
              <w:rPr>
                <w:rFonts w:ascii="仿宋" w:hAnsi="仿宋" w:eastAsia="仿宋" w:cs="仿宋"/>
                <w:color w:val="auto"/>
                <w:sz w:val="24"/>
                <w:highlight w:val="none"/>
              </w:rPr>
            </w:pPr>
          </w:p>
        </w:tc>
        <w:tc>
          <w:tcPr>
            <w:tcW w:w="1080" w:type="dxa"/>
          </w:tcPr>
          <w:p>
            <w:pPr>
              <w:spacing w:line="360" w:lineRule="auto"/>
              <w:rPr>
                <w:rFonts w:ascii="仿宋" w:hAnsi="仿宋" w:eastAsia="仿宋" w:cs="仿宋"/>
                <w:color w:val="auto"/>
                <w:sz w:val="24"/>
                <w:highlight w:val="none"/>
              </w:rPr>
            </w:pPr>
          </w:p>
        </w:tc>
        <w:tc>
          <w:tcPr>
            <w:tcW w:w="1080" w:type="dxa"/>
          </w:tcPr>
          <w:p>
            <w:pPr>
              <w:spacing w:line="360" w:lineRule="auto"/>
              <w:rPr>
                <w:rFonts w:ascii="仿宋" w:hAnsi="仿宋" w:eastAsia="仿宋" w:cs="仿宋"/>
                <w:color w:val="auto"/>
                <w:sz w:val="24"/>
                <w:highlight w:val="none"/>
              </w:rPr>
            </w:pPr>
          </w:p>
        </w:tc>
        <w:tc>
          <w:tcPr>
            <w:tcW w:w="1980" w:type="dxa"/>
          </w:tcPr>
          <w:p>
            <w:pPr>
              <w:spacing w:line="360" w:lineRule="auto"/>
              <w:rPr>
                <w:rFonts w:ascii="仿宋" w:hAnsi="仿宋" w:eastAsia="仿宋" w:cs="仿宋"/>
                <w:color w:val="auto"/>
                <w:sz w:val="24"/>
                <w:highlight w:val="none"/>
              </w:rPr>
            </w:pPr>
          </w:p>
        </w:tc>
        <w:tc>
          <w:tcPr>
            <w:tcW w:w="1440" w:type="dxa"/>
          </w:tcPr>
          <w:p>
            <w:pPr>
              <w:spacing w:line="360" w:lineRule="auto"/>
              <w:rPr>
                <w:rFonts w:ascii="仿宋" w:hAnsi="仿宋" w:eastAsia="仿宋" w:cs="仿宋"/>
                <w:color w:val="auto"/>
                <w:sz w:val="24"/>
                <w:highlight w:val="none"/>
              </w:rPr>
            </w:pPr>
          </w:p>
        </w:tc>
        <w:tc>
          <w:tcPr>
            <w:tcW w:w="900" w:type="dxa"/>
          </w:tcPr>
          <w:p>
            <w:pPr>
              <w:spacing w:line="360" w:lineRule="auto"/>
              <w:rPr>
                <w:rFonts w:ascii="仿宋" w:hAnsi="仿宋" w:eastAsia="仿宋" w:cs="仿宋"/>
                <w:color w:val="auto"/>
                <w:sz w:val="24"/>
                <w:highlight w:val="none"/>
              </w:rPr>
            </w:pPr>
          </w:p>
        </w:tc>
        <w:tc>
          <w:tcPr>
            <w:tcW w:w="1260" w:type="dxa"/>
          </w:tcPr>
          <w:p>
            <w:pPr>
              <w:spacing w:line="360" w:lineRule="auto"/>
              <w:rPr>
                <w:rFonts w:ascii="仿宋" w:hAnsi="仿宋" w:eastAsia="仿宋" w:cs="仿宋"/>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tcPr>
          <w:p>
            <w:pPr>
              <w:spacing w:line="360" w:lineRule="auto"/>
              <w:rPr>
                <w:rFonts w:ascii="仿宋" w:hAnsi="仿宋" w:eastAsia="仿宋" w:cs="仿宋"/>
                <w:color w:val="auto"/>
                <w:sz w:val="24"/>
                <w:highlight w:val="none"/>
              </w:rPr>
            </w:pPr>
          </w:p>
        </w:tc>
        <w:tc>
          <w:tcPr>
            <w:tcW w:w="1080" w:type="dxa"/>
          </w:tcPr>
          <w:p>
            <w:pPr>
              <w:spacing w:line="360" w:lineRule="auto"/>
              <w:rPr>
                <w:rFonts w:ascii="仿宋" w:hAnsi="仿宋" w:eastAsia="仿宋" w:cs="仿宋"/>
                <w:color w:val="auto"/>
                <w:sz w:val="24"/>
                <w:highlight w:val="none"/>
              </w:rPr>
            </w:pPr>
          </w:p>
        </w:tc>
        <w:tc>
          <w:tcPr>
            <w:tcW w:w="1080" w:type="dxa"/>
          </w:tcPr>
          <w:p>
            <w:pPr>
              <w:spacing w:line="360" w:lineRule="auto"/>
              <w:rPr>
                <w:rFonts w:ascii="仿宋" w:hAnsi="仿宋" w:eastAsia="仿宋" w:cs="仿宋"/>
                <w:color w:val="auto"/>
                <w:sz w:val="24"/>
                <w:highlight w:val="none"/>
              </w:rPr>
            </w:pPr>
          </w:p>
        </w:tc>
        <w:tc>
          <w:tcPr>
            <w:tcW w:w="1980" w:type="dxa"/>
          </w:tcPr>
          <w:p>
            <w:pPr>
              <w:spacing w:line="360" w:lineRule="auto"/>
              <w:rPr>
                <w:rFonts w:ascii="仿宋" w:hAnsi="仿宋" w:eastAsia="仿宋" w:cs="仿宋"/>
                <w:color w:val="auto"/>
                <w:sz w:val="24"/>
                <w:highlight w:val="none"/>
              </w:rPr>
            </w:pPr>
          </w:p>
        </w:tc>
        <w:tc>
          <w:tcPr>
            <w:tcW w:w="1440" w:type="dxa"/>
          </w:tcPr>
          <w:p>
            <w:pPr>
              <w:spacing w:line="360" w:lineRule="auto"/>
              <w:rPr>
                <w:rFonts w:ascii="仿宋" w:hAnsi="仿宋" w:eastAsia="仿宋" w:cs="仿宋"/>
                <w:color w:val="auto"/>
                <w:sz w:val="24"/>
                <w:highlight w:val="none"/>
              </w:rPr>
            </w:pPr>
          </w:p>
        </w:tc>
        <w:tc>
          <w:tcPr>
            <w:tcW w:w="900" w:type="dxa"/>
          </w:tcPr>
          <w:p>
            <w:pPr>
              <w:spacing w:line="360" w:lineRule="auto"/>
              <w:rPr>
                <w:rFonts w:ascii="仿宋" w:hAnsi="仿宋" w:eastAsia="仿宋" w:cs="仿宋"/>
                <w:color w:val="auto"/>
                <w:sz w:val="24"/>
                <w:highlight w:val="none"/>
              </w:rPr>
            </w:pPr>
          </w:p>
        </w:tc>
        <w:tc>
          <w:tcPr>
            <w:tcW w:w="1260" w:type="dxa"/>
          </w:tcPr>
          <w:p>
            <w:pPr>
              <w:spacing w:line="360" w:lineRule="auto"/>
              <w:rPr>
                <w:rFonts w:ascii="仿宋" w:hAnsi="仿宋" w:eastAsia="仿宋" w:cs="仿宋"/>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tcPr>
          <w:p>
            <w:pPr>
              <w:spacing w:line="360" w:lineRule="auto"/>
              <w:rPr>
                <w:rFonts w:ascii="仿宋" w:hAnsi="仿宋" w:eastAsia="仿宋" w:cs="仿宋"/>
                <w:color w:val="auto"/>
                <w:sz w:val="24"/>
                <w:highlight w:val="none"/>
              </w:rPr>
            </w:pPr>
          </w:p>
        </w:tc>
        <w:tc>
          <w:tcPr>
            <w:tcW w:w="1080" w:type="dxa"/>
          </w:tcPr>
          <w:p>
            <w:pPr>
              <w:spacing w:line="360" w:lineRule="auto"/>
              <w:rPr>
                <w:rFonts w:ascii="仿宋" w:hAnsi="仿宋" w:eastAsia="仿宋" w:cs="仿宋"/>
                <w:color w:val="auto"/>
                <w:sz w:val="24"/>
                <w:highlight w:val="none"/>
              </w:rPr>
            </w:pPr>
          </w:p>
        </w:tc>
        <w:tc>
          <w:tcPr>
            <w:tcW w:w="1080" w:type="dxa"/>
          </w:tcPr>
          <w:p>
            <w:pPr>
              <w:spacing w:line="360" w:lineRule="auto"/>
              <w:rPr>
                <w:rFonts w:ascii="仿宋" w:hAnsi="仿宋" w:eastAsia="仿宋" w:cs="仿宋"/>
                <w:color w:val="auto"/>
                <w:sz w:val="24"/>
                <w:highlight w:val="none"/>
              </w:rPr>
            </w:pPr>
          </w:p>
        </w:tc>
        <w:tc>
          <w:tcPr>
            <w:tcW w:w="1980" w:type="dxa"/>
          </w:tcPr>
          <w:p>
            <w:pPr>
              <w:spacing w:line="360" w:lineRule="auto"/>
              <w:rPr>
                <w:rFonts w:ascii="仿宋" w:hAnsi="仿宋" w:eastAsia="仿宋" w:cs="仿宋"/>
                <w:color w:val="auto"/>
                <w:sz w:val="24"/>
                <w:highlight w:val="none"/>
              </w:rPr>
            </w:pPr>
          </w:p>
        </w:tc>
        <w:tc>
          <w:tcPr>
            <w:tcW w:w="1440" w:type="dxa"/>
          </w:tcPr>
          <w:p>
            <w:pPr>
              <w:spacing w:line="360" w:lineRule="auto"/>
              <w:rPr>
                <w:rFonts w:ascii="仿宋" w:hAnsi="仿宋" w:eastAsia="仿宋" w:cs="仿宋"/>
                <w:color w:val="auto"/>
                <w:sz w:val="24"/>
                <w:highlight w:val="none"/>
              </w:rPr>
            </w:pPr>
          </w:p>
        </w:tc>
        <w:tc>
          <w:tcPr>
            <w:tcW w:w="900" w:type="dxa"/>
          </w:tcPr>
          <w:p>
            <w:pPr>
              <w:spacing w:line="360" w:lineRule="auto"/>
              <w:rPr>
                <w:rFonts w:ascii="仿宋" w:hAnsi="仿宋" w:eastAsia="仿宋" w:cs="仿宋"/>
                <w:color w:val="auto"/>
                <w:sz w:val="24"/>
                <w:highlight w:val="none"/>
              </w:rPr>
            </w:pPr>
          </w:p>
        </w:tc>
        <w:tc>
          <w:tcPr>
            <w:tcW w:w="1260" w:type="dxa"/>
          </w:tcPr>
          <w:p>
            <w:pPr>
              <w:spacing w:line="360" w:lineRule="auto"/>
              <w:rPr>
                <w:rFonts w:ascii="仿宋" w:hAnsi="仿宋" w:eastAsia="仿宋" w:cs="仿宋"/>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tcPr>
          <w:p>
            <w:pPr>
              <w:spacing w:line="360" w:lineRule="auto"/>
              <w:rPr>
                <w:rFonts w:ascii="仿宋" w:hAnsi="仿宋" w:eastAsia="仿宋" w:cs="仿宋"/>
                <w:color w:val="auto"/>
                <w:sz w:val="24"/>
                <w:highlight w:val="none"/>
              </w:rPr>
            </w:pPr>
          </w:p>
        </w:tc>
        <w:tc>
          <w:tcPr>
            <w:tcW w:w="1080" w:type="dxa"/>
          </w:tcPr>
          <w:p>
            <w:pPr>
              <w:spacing w:line="360" w:lineRule="auto"/>
              <w:rPr>
                <w:rFonts w:ascii="仿宋" w:hAnsi="仿宋" w:eastAsia="仿宋" w:cs="仿宋"/>
                <w:color w:val="auto"/>
                <w:sz w:val="24"/>
                <w:highlight w:val="none"/>
              </w:rPr>
            </w:pPr>
          </w:p>
        </w:tc>
        <w:tc>
          <w:tcPr>
            <w:tcW w:w="1080" w:type="dxa"/>
          </w:tcPr>
          <w:p>
            <w:pPr>
              <w:spacing w:line="360" w:lineRule="auto"/>
              <w:rPr>
                <w:rFonts w:ascii="仿宋" w:hAnsi="仿宋" w:eastAsia="仿宋" w:cs="仿宋"/>
                <w:color w:val="auto"/>
                <w:sz w:val="24"/>
                <w:highlight w:val="none"/>
              </w:rPr>
            </w:pPr>
          </w:p>
        </w:tc>
        <w:tc>
          <w:tcPr>
            <w:tcW w:w="1980" w:type="dxa"/>
          </w:tcPr>
          <w:p>
            <w:pPr>
              <w:spacing w:line="360" w:lineRule="auto"/>
              <w:rPr>
                <w:rFonts w:ascii="仿宋" w:hAnsi="仿宋" w:eastAsia="仿宋" w:cs="仿宋"/>
                <w:color w:val="auto"/>
                <w:sz w:val="24"/>
                <w:highlight w:val="none"/>
              </w:rPr>
            </w:pPr>
          </w:p>
        </w:tc>
        <w:tc>
          <w:tcPr>
            <w:tcW w:w="1440" w:type="dxa"/>
          </w:tcPr>
          <w:p>
            <w:pPr>
              <w:spacing w:line="360" w:lineRule="auto"/>
              <w:rPr>
                <w:rFonts w:ascii="仿宋" w:hAnsi="仿宋" w:eastAsia="仿宋" w:cs="仿宋"/>
                <w:color w:val="auto"/>
                <w:sz w:val="24"/>
                <w:highlight w:val="none"/>
              </w:rPr>
            </w:pPr>
          </w:p>
        </w:tc>
        <w:tc>
          <w:tcPr>
            <w:tcW w:w="900" w:type="dxa"/>
          </w:tcPr>
          <w:p>
            <w:pPr>
              <w:spacing w:line="360" w:lineRule="auto"/>
              <w:rPr>
                <w:rFonts w:ascii="仿宋" w:hAnsi="仿宋" w:eastAsia="仿宋" w:cs="仿宋"/>
                <w:color w:val="auto"/>
                <w:sz w:val="24"/>
                <w:highlight w:val="none"/>
              </w:rPr>
            </w:pPr>
          </w:p>
        </w:tc>
        <w:tc>
          <w:tcPr>
            <w:tcW w:w="1260" w:type="dxa"/>
          </w:tcPr>
          <w:p>
            <w:pPr>
              <w:spacing w:line="360" w:lineRule="auto"/>
              <w:rPr>
                <w:rFonts w:ascii="仿宋" w:hAnsi="仿宋" w:eastAsia="仿宋" w:cs="仿宋"/>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tcPr>
          <w:p>
            <w:pPr>
              <w:spacing w:line="360" w:lineRule="auto"/>
              <w:rPr>
                <w:rFonts w:ascii="仿宋" w:hAnsi="仿宋" w:eastAsia="仿宋" w:cs="仿宋"/>
                <w:color w:val="auto"/>
                <w:sz w:val="24"/>
                <w:highlight w:val="none"/>
              </w:rPr>
            </w:pPr>
          </w:p>
        </w:tc>
        <w:tc>
          <w:tcPr>
            <w:tcW w:w="1080" w:type="dxa"/>
          </w:tcPr>
          <w:p>
            <w:pPr>
              <w:spacing w:line="360" w:lineRule="auto"/>
              <w:rPr>
                <w:rFonts w:ascii="仿宋" w:hAnsi="仿宋" w:eastAsia="仿宋" w:cs="仿宋"/>
                <w:color w:val="auto"/>
                <w:sz w:val="24"/>
                <w:highlight w:val="none"/>
              </w:rPr>
            </w:pPr>
          </w:p>
        </w:tc>
        <w:tc>
          <w:tcPr>
            <w:tcW w:w="1080" w:type="dxa"/>
          </w:tcPr>
          <w:p>
            <w:pPr>
              <w:spacing w:line="360" w:lineRule="auto"/>
              <w:rPr>
                <w:rFonts w:ascii="仿宋" w:hAnsi="仿宋" w:eastAsia="仿宋" w:cs="仿宋"/>
                <w:color w:val="auto"/>
                <w:sz w:val="24"/>
                <w:highlight w:val="none"/>
              </w:rPr>
            </w:pPr>
          </w:p>
        </w:tc>
        <w:tc>
          <w:tcPr>
            <w:tcW w:w="1980" w:type="dxa"/>
          </w:tcPr>
          <w:p>
            <w:pPr>
              <w:spacing w:line="360" w:lineRule="auto"/>
              <w:rPr>
                <w:rFonts w:ascii="仿宋" w:hAnsi="仿宋" w:eastAsia="仿宋" w:cs="仿宋"/>
                <w:color w:val="auto"/>
                <w:sz w:val="24"/>
                <w:highlight w:val="none"/>
              </w:rPr>
            </w:pPr>
          </w:p>
        </w:tc>
        <w:tc>
          <w:tcPr>
            <w:tcW w:w="1440" w:type="dxa"/>
          </w:tcPr>
          <w:p>
            <w:pPr>
              <w:spacing w:line="360" w:lineRule="auto"/>
              <w:rPr>
                <w:rFonts w:ascii="仿宋" w:hAnsi="仿宋" w:eastAsia="仿宋" w:cs="仿宋"/>
                <w:color w:val="auto"/>
                <w:sz w:val="24"/>
                <w:highlight w:val="none"/>
              </w:rPr>
            </w:pPr>
          </w:p>
        </w:tc>
        <w:tc>
          <w:tcPr>
            <w:tcW w:w="900" w:type="dxa"/>
          </w:tcPr>
          <w:p>
            <w:pPr>
              <w:spacing w:line="360" w:lineRule="auto"/>
              <w:rPr>
                <w:rFonts w:ascii="仿宋" w:hAnsi="仿宋" w:eastAsia="仿宋" w:cs="仿宋"/>
                <w:color w:val="auto"/>
                <w:sz w:val="24"/>
                <w:highlight w:val="none"/>
              </w:rPr>
            </w:pPr>
          </w:p>
        </w:tc>
        <w:tc>
          <w:tcPr>
            <w:tcW w:w="1260" w:type="dxa"/>
          </w:tcPr>
          <w:p>
            <w:pPr>
              <w:spacing w:line="360" w:lineRule="auto"/>
              <w:rPr>
                <w:rFonts w:ascii="仿宋" w:hAnsi="仿宋" w:eastAsia="仿宋" w:cs="仿宋"/>
                <w:color w:val="auto"/>
                <w:sz w:val="24"/>
                <w:highlight w:val="none"/>
              </w:rPr>
            </w:pPr>
          </w:p>
        </w:tc>
      </w:tr>
    </w:tbl>
    <w:p>
      <w:pPr>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附：合同复印件</w:t>
      </w:r>
    </w:p>
    <w:p>
      <w:pPr>
        <w:pStyle w:val="725"/>
        <w:spacing w:line="360" w:lineRule="auto"/>
        <w:ind w:firstLine="900" w:firstLineChars="375"/>
        <w:outlineLvl w:val="1"/>
        <w:rPr>
          <w:rFonts w:ascii="仿宋" w:hAnsi="仿宋" w:eastAsia="仿宋" w:cs="仿宋"/>
          <w:b/>
          <w:bCs/>
          <w:color w:val="auto"/>
          <w:sz w:val="28"/>
          <w:szCs w:val="28"/>
          <w:highlight w:val="none"/>
        </w:rPr>
      </w:pPr>
      <w:r>
        <w:rPr>
          <w:rFonts w:hint="eastAsia" w:ascii="仿宋" w:hAnsi="仿宋" w:eastAsia="仿宋" w:cs="仿宋"/>
          <w:color w:val="auto"/>
          <w:highlight w:val="none"/>
        </w:rPr>
        <w:br w:type="page"/>
      </w:r>
      <w:r>
        <w:rPr>
          <w:rFonts w:hint="eastAsia" w:ascii="仿宋" w:hAnsi="仿宋" w:eastAsia="仿宋" w:cs="仿宋"/>
          <w:b/>
          <w:bCs/>
          <w:color w:val="auto"/>
          <w:sz w:val="28"/>
          <w:szCs w:val="28"/>
          <w:highlight w:val="none"/>
          <w:lang w:val="en-US" w:eastAsia="zh-CN"/>
        </w:rPr>
        <w:t>八</w:t>
      </w:r>
      <w:r>
        <w:rPr>
          <w:rFonts w:hint="eastAsia" w:ascii="仿宋" w:hAnsi="仿宋" w:eastAsia="仿宋" w:cs="仿宋"/>
          <w:b/>
          <w:bCs/>
          <w:color w:val="auto"/>
          <w:sz w:val="28"/>
          <w:szCs w:val="28"/>
          <w:highlight w:val="none"/>
        </w:rPr>
        <w:t>、服务方案；</w:t>
      </w:r>
    </w:p>
    <w:p>
      <w:pPr>
        <w:pStyle w:val="725"/>
        <w:spacing w:line="360" w:lineRule="auto"/>
        <w:ind w:firstLine="1054" w:firstLineChars="375"/>
        <w:rPr>
          <w:rFonts w:ascii="仿宋" w:hAnsi="仿宋" w:eastAsia="仿宋" w:cs="仿宋"/>
          <w:b/>
          <w:bCs/>
          <w:color w:val="auto"/>
          <w:sz w:val="28"/>
          <w:szCs w:val="28"/>
          <w:highlight w:val="none"/>
        </w:rPr>
      </w:pPr>
    </w:p>
    <w:p>
      <w:pPr>
        <w:pStyle w:val="725"/>
        <w:spacing w:line="360" w:lineRule="auto"/>
        <w:ind w:firstLine="1054" w:firstLineChars="375"/>
        <w:rPr>
          <w:rFonts w:ascii="仿宋" w:hAnsi="仿宋" w:eastAsia="仿宋" w:cs="仿宋"/>
          <w:b/>
          <w:bCs/>
          <w:color w:val="auto"/>
          <w:sz w:val="28"/>
          <w:szCs w:val="28"/>
          <w:highlight w:val="none"/>
        </w:rPr>
      </w:pPr>
    </w:p>
    <w:p>
      <w:pPr>
        <w:pStyle w:val="725"/>
        <w:spacing w:line="360" w:lineRule="auto"/>
        <w:ind w:firstLine="420"/>
        <w:rPr>
          <w:rFonts w:ascii="仿宋" w:hAnsi="仿宋" w:eastAsia="仿宋" w:cs="仿宋"/>
          <w:b/>
          <w:bCs/>
          <w:color w:val="auto"/>
          <w:sz w:val="28"/>
          <w:szCs w:val="28"/>
          <w:highlight w:val="none"/>
        </w:rPr>
      </w:pPr>
    </w:p>
    <w:p>
      <w:pPr>
        <w:pStyle w:val="725"/>
        <w:spacing w:line="360" w:lineRule="auto"/>
        <w:ind w:firstLine="422"/>
        <w:rPr>
          <w:rFonts w:ascii="仿宋" w:hAnsi="仿宋" w:eastAsia="仿宋" w:cs="仿宋"/>
          <w:b/>
          <w:bCs/>
          <w:color w:val="auto"/>
          <w:sz w:val="28"/>
          <w:szCs w:val="28"/>
          <w:highlight w:val="none"/>
        </w:rPr>
      </w:pPr>
    </w:p>
    <w:p>
      <w:pPr>
        <w:pStyle w:val="725"/>
        <w:spacing w:line="360" w:lineRule="auto"/>
        <w:ind w:firstLine="422"/>
        <w:rPr>
          <w:rFonts w:ascii="仿宋" w:hAnsi="仿宋" w:eastAsia="仿宋" w:cs="仿宋"/>
          <w:b/>
          <w:bCs/>
          <w:color w:val="auto"/>
          <w:sz w:val="28"/>
          <w:szCs w:val="28"/>
          <w:highlight w:val="none"/>
        </w:rPr>
      </w:pPr>
    </w:p>
    <w:p>
      <w:pPr>
        <w:rPr>
          <w:rFonts w:ascii="仿宋" w:hAnsi="仿宋" w:eastAsia="仿宋" w:cs="仿宋"/>
          <w:color w:val="auto"/>
          <w:highlight w:val="none"/>
        </w:rPr>
      </w:pPr>
      <w:r>
        <w:rPr>
          <w:rFonts w:hint="eastAsia" w:ascii="仿宋" w:hAnsi="仿宋" w:eastAsia="仿宋" w:cs="仿宋"/>
          <w:color w:val="auto"/>
          <w:highlight w:val="none"/>
        </w:rPr>
        <w:br w:type="page"/>
      </w:r>
    </w:p>
    <w:p>
      <w:pPr>
        <w:ind w:firstLine="1911" w:firstLineChars="595"/>
        <w:outlineLvl w:val="1"/>
        <w:rPr>
          <w:rFonts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lang w:val="en-US" w:eastAsia="zh-CN"/>
        </w:rPr>
        <w:t>九</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ascii="仿宋" w:hAnsi="仿宋" w:eastAsia="仿宋" w:cs="仿宋"/>
          <w:b/>
          <w:bCs/>
          <w:color w:val="auto"/>
          <w:sz w:val="24"/>
          <w:highlight w:val="none"/>
        </w:rPr>
      </w:pP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outlineLvl w:val="1"/>
        <w:rPr>
          <w:rFonts w:ascii="仿宋" w:hAnsi="仿宋" w:eastAsia="仿宋" w:cs="仿宋"/>
          <w:b/>
          <w:color w:val="auto"/>
          <w:kern w:val="0"/>
          <w:sz w:val="32"/>
          <w:szCs w:val="32"/>
          <w:highlight w:val="none"/>
          <w:lang w:val="zh-CN"/>
        </w:rPr>
      </w:pPr>
      <w:r>
        <w:rPr>
          <w:rFonts w:hint="eastAsia" w:ascii="仿宋" w:hAnsi="仿宋" w:eastAsia="仿宋" w:cs="仿宋"/>
          <w:b/>
          <w:bCs/>
          <w:color w:val="auto"/>
          <w:sz w:val="24"/>
          <w:highlight w:val="none"/>
        </w:rPr>
        <w:br w:type="page"/>
      </w:r>
      <w:r>
        <w:rPr>
          <w:rFonts w:hint="eastAsia" w:ascii="仿宋" w:hAnsi="仿宋" w:eastAsia="仿宋" w:cs="仿宋"/>
          <w:b/>
          <w:color w:val="auto"/>
          <w:kern w:val="0"/>
          <w:sz w:val="32"/>
          <w:szCs w:val="32"/>
          <w:highlight w:val="none"/>
          <w:lang w:val="zh-CN"/>
        </w:rPr>
        <w:t>承诺书</w:t>
      </w:r>
    </w:p>
    <w:p>
      <w:pPr>
        <w:jc w:val="center"/>
        <w:rPr>
          <w:rFonts w:ascii="仿宋" w:hAnsi="仿宋" w:eastAsia="仿宋" w:cs="仿宋"/>
          <w:b/>
          <w:color w:val="auto"/>
          <w:kern w:val="0"/>
          <w:sz w:val="32"/>
          <w:szCs w:val="32"/>
          <w:highlight w:val="none"/>
          <w:lang w:val="zh-CN"/>
        </w:rPr>
      </w:pPr>
    </w:p>
    <w:p>
      <w:pPr>
        <w:jc w:val="left"/>
        <w:rPr>
          <w:rFonts w:ascii="仿宋" w:hAnsi="仿宋" w:eastAsia="仿宋" w:cs="仿宋"/>
          <w:b/>
          <w:bCs/>
          <w:color w:val="auto"/>
          <w:sz w:val="24"/>
          <w:highlight w:val="none"/>
        </w:rPr>
      </w:pP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sz w:val="24"/>
          <w:highlight w:val="none"/>
          <w:lang w:val="zh-CN"/>
        </w:rPr>
        <w:t>：</w:t>
      </w:r>
    </w:p>
    <w:p>
      <w:pPr>
        <w:snapToGrid w:val="0"/>
        <w:spacing w:line="360" w:lineRule="auto"/>
        <w:ind w:firstLine="480" w:firstLineChars="200"/>
        <w:jc w:val="left"/>
        <w:rPr>
          <w:rFonts w:ascii="仿宋" w:hAnsi="仿宋" w:eastAsia="仿宋" w:cs="仿宋"/>
          <w:color w:val="auto"/>
          <w:sz w:val="24"/>
          <w:highlight w:val="none"/>
          <w:lang w:val="zh-CN"/>
        </w:rPr>
      </w:pPr>
    </w:p>
    <w:p>
      <w:pPr>
        <w:snapToGrid w:val="0"/>
        <w:spacing w:line="360" w:lineRule="auto"/>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我单位响应你</w:t>
      </w:r>
      <w:r>
        <w:rPr>
          <w:rFonts w:hint="eastAsia" w:ascii="仿宋" w:hAnsi="仿宋" w:eastAsia="仿宋" w:cs="仿宋"/>
          <w:color w:val="auto"/>
          <w:sz w:val="24"/>
          <w:highlight w:val="none"/>
        </w:rPr>
        <w:t xml:space="preserve">单位                   </w:t>
      </w:r>
      <w:r>
        <w:rPr>
          <w:rFonts w:hint="eastAsia" w:ascii="仿宋" w:hAnsi="仿宋" w:eastAsia="仿宋" w:cs="仿宋"/>
          <w:color w:val="auto"/>
          <w:sz w:val="24"/>
          <w:highlight w:val="none"/>
          <w:lang w:val="zh-CN"/>
        </w:rPr>
        <w:t>项目招标要求参加投标。关于此次项目的合同条款及附件，我司已仔细阅读，并知晓相关要求。</w:t>
      </w:r>
    </w:p>
    <w:p>
      <w:pPr>
        <w:snapToGrid w:val="0"/>
        <w:spacing w:line="360" w:lineRule="auto"/>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特在此郑重承诺：</w:t>
      </w:r>
    </w:p>
    <w:p>
      <w:pPr>
        <w:snapToGrid w:val="0"/>
        <w:spacing w:line="360" w:lineRule="auto"/>
        <w:ind w:firstLine="480" w:firstLineChars="200"/>
        <w:jc w:val="left"/>
        <w:rPr>
          <w:rFonts w:ascii="仿宋" w:hAnsi="仿宋" w:eastAsia="仿宋" w:cs="仿宋"/>
          <w:color w:val="auto"/>
          <w:sz w:val="24"/>
          <w:highlight w:val="none"/>
        </w:rPr>
      </w:pPr>
    </w:p>
    <w:p>
      <w:pPr>
        <w:snapToGrid w:val="0"/>
        <w:spacing w:line="360" w:lineRule="auto"/>
        <w:ind w:firstLine="480" w:firstLineChars="200"/>
        <w:jc w:val="left"/>
        <w:rPr>
          <w:rFonts w:ascii="仿宋" w:hAnsi="仿宋" w:eastAsia="仿宋" w:cs="仿宋"/>
          <w:color w:val="auto"/>
          <w:sz w:val="24"/>
          <w:highlight w:val="none"/>
        </w:rPr>
      </w:pPr>
    </w:p>
    <w:p>
      <w:pPr>
        <w:snapToGrid w:val="0"/>
        <w:spacing w:line="360" w:lineRule="auto"/>
        <w:ind w:firstLine="480" w:firstLineChars="200"/>
        <w:jc w:val="left"/>
        <w:rPr>
          <w:rFonts w:ascii="仿宋" w:hAnsi="仿宋" w:eastAsia="仿宋" w:cs="仿宋"/>
          <w:color w:val="auto"/>
          <w:sz w:val="24"/>
          <w:highlight w:val="none"/>
        </w:rPr>
      </w:pPr>
    </w:p>
    <w:p>
      <w:pPr>
        <w:snapToGrid w:val="0"/>
        <w:spacing w:line="360" w:lineRule="auto"/>
        <w:ind w:firstLine="480" w:firstLineChars="200"/>
        <w:jc w:val="left"/>
        <w:rPr>
          <w:rFonts w:ascii="仿宋" w:hAnsi="仿宋" w:eastAsia="仿宋" w:cs="仿宋"/>
          <w:color w:val="auto"/>
          <w:sz w:val="24"/>
          <w:highlight w:val="none"/>
        </w:rPr>
      </w:pPr>
    </w:p>
    <w:p>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ascii="仿宋" w:hAnsi="仿宋" w:eastAsia="仿宋" w:cs="仿宋"/>
          <w:b/>
          <w:bCs/>
          <w:color w:val="auto"/>
          <w:sz w:val="24"/>
          <w:highlight w:val="none"/>
        </w:rPr>
      </w:pP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ind w:firstLine="480" w:firstLineChars="200"/>
        <w:jc w:val="left"/>
        <w:rPr>
          <w:rFonts w:ascii="仿宋" w:hAnsi="仿宋" w:eastAsia="仿宋" w:cs="仿宋"/>
          <w:color w:val="auto"/>
          <w:sz w:val="24"/>
          <w:highlight w:val="none"/>
        </w:rPr>
      </w:pPr>
    </w:p>
    <w:p>
      <w:pPr>
        <w:snapToGrid w:val="0"/>
        <w:spacing w:line="360" w:lineRule="auto"/>
        <w:ind w:firstLine="480" w:firstLineChars="200"/>
        <w:jc w:val="left"/>
        <w:rPr>
          <w:rFonts w:ascii="仿宋" w:hAnsi="仿宋" w:eastAsia="仿宋" w:cs="仿宋"/>
          <w:color w:val="auto"/>
          <w:sz w:val="24"/>
          <w:highlight w:val="none"/>
        </w:rPr>
      </w:pPr>
    </w:p>
    <w:p>
      <w:pPr>
        <w:snapToGrid w:val="0"/>
        <w:spacing w:line="360" w:lineRule="auto"/>
        <w:ind w:firstLine="480" w:firstLineChars="200"/>
        <w:jc w:val="right"/>
        <w:rPr>
          <w:rFonts w:ascii="仿宋" w:hAnsi="仿宋" w:eastAsia="仿宋" w:cs="仿宋"/>
          <w:color w:val="auto"/>
          <w:sz w:val="24"/>
          <w:highlight w:val="none"/>
        </w:rPr>
      </w:pPr>
    </w:p>
    <w:p>
      <w:pPr>
        <w:snapToGrid w:val="0"/>
        <w:spacing w:line="360" w:lineRule="auto"/>
        <w:jc w:val="left"/>
        <w:rPr>
          <w:rFonts w:ascii="仿宋" w:hAnsi="仿宋" w:eastAsia="仿宋" w:cs="仿宋"/>
          <w:b/>
          <w:bCs/>
          <w:color w:val="auto"/>
          <w:sz w:val="32"/>
          <w:szCs w:val="32"/>
          <w:highlight w:val="none"/>
        </w:rPr>
      </w:pPr>
      <w:r>
        <w:rPr>
          <w:rFonts w:hint="eastAsia" w:ascii="仿宋" w:hAnsi="仿宋" w:eastAsia="仿宋" w:cs="仿宋"/>
          <w:color w:val="auto"/>
          <w:sz w:val="24"/>
          <w:highlight w:val="none"/>
        </w:rPr>
        <w:br w:type="page"/>
      </w:r>
    </w:p>
    <w:p>
      <w:pPr>
        <w:jc w:val="center"/>
        <w:outlineLvl w:val="1"/>
        <w:rPr>
          <w:rFonts w:ascii="仿宋" w:hAnsi="仿宋" w:eastAsia="仿宋" w:cs="仿宋"/>
          <w:b/>
          <w:bCs/>
          <w:color w:val="auto"/>
          <w:kern w:val="0"/>
          <w:sz w:val="28"/>
          <w:szCs w:val="28"/>
          <w:highlight w:val="none"/>
        </w:rPr>
      </w:pPr>
      <w:r>
        <w:rPr>
          <w:rFonts w:hint="eastAsia" w:ascii="仿宋" w:hAnsi="仿宋" w:eastAsia="仿宋" w:cs="仿宋"/>
          <w:b/>
          <w:bCs/>
          <w:color w:val="auto"/>
          <w:sz w:val="32"/>
          <w:szCs w:val="32"/>
          <w:highlight w:val="none"/>
        </w:rPr>
        <w:t>十、供应商认为有必要提供的其它文件</w:t>
      </w:r>
    </w:p>
    <w:p>
      <w:pPr>
        <w:jc w:val="left"/>
        <w:rPr>
          <w:rFonts w:ascii="仿宋" w:hAnsi="仿宋" w:eastAsia="仿宋" w:cs="仿宋"/>
          <w:b/>
          <w:bCs/>
          <w:color w:val="auto"/>
          <w:sz w:val="24"/>
          <w:highlight w:val="none"/>
        </w:rPr>
      </w:pPr>
    </w:p>
    <w:p>
      <w:pPr>
        <w:rPr>
          <w:rFonts w:ascii="仿宋" w:hAnsi="仿宋" w:eastAsia="仿宋" w:cs="仿宋"/>
          <w:color w:val="auto"/>
          <w:highlight w:val="none"/>
        </w:rPr>
      </w:pPr>
      <w:r>
        <w:rPr>
          <w:rFonts w:hint="eastAsia" w:ascii="仿宋" w:hAnsi="仿宋" w:eastAsia="仿宋" w:cs="仿宋"/>
          <w:color w:val="auto"/>
          <w:highlight w:val="none"/>
        </w:rPr>
        <w:br w:type="page"/>
      </w:r>
    </w:p>
    <w:p>
      <w:pPr>
        <w:pStyle w:val="15"/>
        <w:rPr>
          <w:rFonts w:ascii="仿宋" w:hAnsi="仿宋" w:eastAsia="仿宋" w:cs="仿宋"/>
          <w:color w:val="auto"/>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240" w:lineRule="auto"/>
        <w:jc w:val="left"/>
        <w:outlineLvl w:val="9"/>
        <w:rPr>
          <w:color w:val="auto"/>
          <w:highlight w:val="none"/>
        </w:rPr>
      </w:pPr>
    </w:p>
    <w:p>
      <w:pPr>
        <w:pStyle w:val="725"/>
        <w:shd w:val="clear"/>
        <w:snapToGrid w:val="0"/>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1.开标一览表（报价表）；</w:t>
      </w:r>
    </w:p>
    <w:p>
      <w:pPr>
        <w:pStyle w:val="725"/>
        <w:shd w:val="clear"/>
        <w:snapToGrid w:val="0"/>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 分项报价表；</w:t>
      </w:r>
    </w:p>
    <w:p>
      <w:pPr>
        <w:pStyle w:val="725"/>
        <w:shd w:val="clea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中标服务费支付承诺书；</w:t>
      </w:r>
    </w:p>
    <w:p>
      <w:pPr>
        <w:pStyle w:val="725"/>
        <w:shd w:val="clear"/>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4.其他投标人认为需要提供的报价文件。</w:t>
      </w:r>
    </w:p>
    <w:p>
      <w:pPr>
        <w:pStyle w:val="725"/>
        <w:spacing w:line="360" w:lineRule="auto"/>
        <w:ind w:firstLine="420" w:firstLineChars="175"/>
        <w:rPr>
          <w:rFonts w:ascii="仿宋" w:hAnsi="仿宋" w:eastAsia="仿宋" w:cs="仿宋"/>
          <w:color w:val="auto"/>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pStyle w:val="15"/>
        <w:rPr>
          <w:rFonts w:ascii="仿宋" w:hAnsi="仿宋" w:eastAsia="仿宋" w:cs="仿宋"/>
          <w:color w:val="auto"/>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规格型号（或具体服务）</w:t>
            </w:r>
          </w:p>
        </w:tc>
        <w:tc>
          <w:tcPr>
            <w:tcW w:w="993"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3119" w:type="dxa"/>
            <w:vAlign w:val="center"/>
          </w:tcPr>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质保或服务年限</w:t>
            </w:r>
          </w:p>
          <w:p>
            <w:pPr>
              <w:spacing w:line="360" w:lineRule="auto"/>
              <w:jc w:val="center"/>
              <w:rPr>
                <w:rFonts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pPr>
              <w:snapToGrid w:val="0"/>
              <w:spacing w:line="360" w:lineRule="auto"/>
              <w:jc w:val="center"/>
              <w:rPr>
                <w:rFonts w:ascii="仿宋" w:hAnsi="仿宋" w:eastAsia="仿宋" w:cs="仿宋"/>
                <w:color w:val="auto"/>
                <w:sz w:val="24"/>
                <w:highlight w:val="none"/>
              </w:rPr>
            </w:pPr>
          </w:p>
        </w:tc>
        <w:tc>
          <w:tcPr>
            <w:tcW w:w="1843" w:type="dxa"/>
            <w:vAlign w:val="center"/>
          </w:tcPr>
          <w:p>
            <w:pPr>
              <w:snapToGrid w:val="0"/>
              <w:spacing w:line="360" w:lineRule="auto"/>
              <w:jc w:val="center"/>
              <w:rPr>
                <w:rFonts w:ascii="仿宋" w:hAnsi="仿宋" w:eastAsia="仿宋" w:cs="仿宋"/>
                <w:color w:val="auto"/>
                <w:sz w:val="24"/>
                <w:highlight w:val="none"/>
              </w:rPr>
            </w:pPr>
          </w:p>
        </w:tc>
        <w:tc>
          <w:tcPr>
            <w:tcW w:w="3118" w:type="dxa"/>
            <w:vAlign w:val="center"/>
          </w:tcPr>
          <w:p>
            <w:pPr>
              <w:snapToGrid w:val="0"/>
              <w:spacing w:line="360" w:lineRule="auto"/>
              <w:jc w:val="center"/>
              <w:rPr>
                <w:rFonts w:ascii="仿宋" w:hAnsi="仿宋" w:eastAsia="仿宋" w:cs="仿宋"/>
                <w:color w:val="auto"/>
                <w:sz w:val="24"/>
                <w:highlight w:val="none"/>
              </w:rPr>
            </w:pPr>
          </w:p>
        </w:tc>
        <w:tc>
          <w:tcPr>
            <w:tcW w:w="993" w:type="dxa"/>
            <w:vAlign w:val="center"/>
          </w:tcPr>
          <w:p>
            <w:pPr>
              <w:snapToGrid w:val="0"/>
              <w:spacing w:line="360" w:lineRule="auto"/>
              <w:jc w:val="center"/>
              <w:rPr>
                <w:rFonts w:ascii="仿宋" w:hAnsi="仿宋" w:eastAsia="仿宋" w:cs="仿宋"/>
                <w:color w:val="auto"/>
                <w:sz w:val="24"/>
                <w:highlight w:val="none"/>
              </w:rPr>
            </w:pPr>
          </w:p>
        </w:tc>
        <w:tc>
          <w:tcPr>
            <w:tcW w:w="1559" w:type="dxa"/>
            <w:vAlign w:val="center"/>
          </w:tcPr>
          <w:p>
            <w:pPr>
              <w:spacing w:line="360" w:lineRule="auto"/>
              <w:jc w:val="center"/>
              <w:rPr>
                <w:rFonts w:ascii="仿宋" w:hAnsi="仿宋" w:eastAsia="仿宋" w:cs="仿宋"/>
                <w:color w:val="auto"/>
                <w:sz w:val="24"/>
                <w:highlight w:val="none"/>
              </w:rPr>
            </w:pPr>
          </w:p>
        </w:tc>
        <w:tc>
          <w:tcPr>
            <w:tcW w:w="1984" w:type="dxa"/>
            <w:vAlign w:val="center"/>
          </w:tcPr>
          <w:p>
            <w:pPr>
              <w:spacing w:line="360" w:lineRule="auto"/>
              <w:jc w:val="center"/>
              <w:rPr>
                <w:rFonts w:ascii="仿宋" w:hAnsi="仿宋" w:eastAsia="仿宋" w:cs="仿宋"/>
                <w:color w:val="auto"/>
                <w:sz w:val="24"/>
                <w:highlight w:val="none"/>
              </w:rPr>
            </w:pPr>
          </w:p>
        </w:tc>
        <w:tc>
          <w:tcPr>
            <w:tcW w:w="3119"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pPr>
              <w:snapToGrid w:val="0"/>
              <w:spacing w:line="360" w:lineRule="auto"/>
              <w:jc w:val="center"/>
              <w:rPr>
                <w:rFonts w:ascii="仿宋" w:hAnsi="仿宋" w:eastAsia="仿宋" w:cs="仿宋"/>
                <w:color w:val="auto"/>
                <w:sz w:val="24"/>
                <w:highlight w:val="none"/>
              </w:rPr>
            </w:pPr>
          </w:p>
        </w:tc>
        <w:tc>
          <w:tcPr>
            <w:tcW w:w="1843" w:type="dxa"/>
            <w:vAlign w:val="center"/>
          </w:tcPr>
          <w:p>
            <w:pPr>
              <w:snapToGrid w:val="0"/>
              <w:spacing w:line="360" w:lineRule="auto"/>
              <w:jc w:val="center"/>
              <w:rPr>
                <w:rFonts w:ascii="仿宋" w:hAnsi="仿宋" w:eastAsia="仿宋" w:cs="仿宋"/>
                <w:color w:val="auto"/>
                <w:sz w:val="24"/>
                <w:highlight w:val="none"/>
              </w:rPr>
            </w:pPr>
          </w:p>
        </w:tc>
        <w:tc>
          <w:tcPr>
            <w:tcW w:w="3118" w:type="dxa"/>
            <w:vAlign w:val="center"/>
          </w:tcPr>
          <w:p>
            <w:pPr>
              <w:snapToGrid w:val="0"/>
              <w:spacing w:line="360" w:lineRule="auto"/>
              <w:jc w:val="center"/>
              <w:rPr>
                <w:rFonts w:ascii="仿宋" w:hAnsi="仿宋" w:eastAsia="仿宋" w:cs="仿宋"/>
                <w:color w:val="auto"/>
                <w:sz w:val="24"/>
                <w:highlight w:val="none"/>
              </w:rPr>
            </w:pPr>
          </w:p>
        </w:tc>
        <w:tc>
          <w:tcPr>
            <w:tcW w:w="993" w:type="dxa"/>
            <w:vAlign w:val="center"/>
          </w:tcPr>
          <w:p>
            <w:pPr>
              <w:snapToGrid w:val="0"/>
              <w:spacing w:line="360" w:lineRule="auto"/>
              <w:jc w:val="center"/>
              <w:rPr>
                <w:rFonts w:ascii="仿宋" w:hAnsi="仿宋" w:eastAsia="仿宋" w:cs="仿宋"/>
                <w:color w:val="auto"/>
                <w:sz w:val="24"/>
                <w:highlight w:val="none"/>
              </w:rPr>
            </w:pPr>
          </w:p>
        </w:tc>
        <w:tc>
          <w:tcPr>
            <w:tcW w:w="1559" w:type="dxa"/>
            <w:vAlign w:val="center"/>
          </w:tcPr>
          <w:p>
            <w:pPr>
              <w:spacing w:line="360" w:lineRule="auto"/>
              <w:jc w:val="center"/>
              <w:rPr>
                <w:rFonts w:ascii="仿宋" w:hAnsi="仿宋" w:eastAsia="仿宋" w:cs="仿宋"/>
                <w:color w:val="auto"/>
                <w:sz w:val="24"/>
                <w:highlight w:val="none"/>
              </w:rPr>
            </w:pPr>
          </w:p>
        </w:tc>
        <w:tc>
          <w:tcPr>
            <w:tcW w:w="1984" w:type="dxa"/>
            <w:vAlign w:val="center"/>
          </w:tcPr>
          <w:p>
            <w:pPr>
              <w:spacing w:line="360" w:lineRule="auto"/>
              <w:jc w:val="center"/>
              <w:rPr>
                <w:rFonts w:ascii="仿宋" w:hAnsi="仿宋" w:eastAsia="仿宋" w:cs="仿宋"/>
                <w:color w:val="auto"/>
                <w:sz w:val="24"/>
                <w:highlight w:val="none"/>
              </w:rPr>
            </w:pPr>
          </w:p>
        </w:tc>
        <w:tc>
          <w:tcPr>
            <w:tcW w:w="3119"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pPr>
              <w:snapToGrid w:val="0"/>
              <w:spacing w:line="360" w:lineRule="auto"/>
              <w:jc w:val="center"/>
              <w:rPr>
                <w:rFonts w:ascii="仿宋" w:hAnsi="仿宋" w:eastAsia="仿宋" w:cs="仿宋"/>
                <w:color w:val="auto"/>
                <w:sz w:val="24"/>
                <w:highlight w:val="none"/>
              </w:rPr>
            </w:pPr>
          </w:p>
        </w:tc>
        <w:tc>
          <w:tcPr>
            <w:tcW w:w="1843" w:type="dxa"/>
            <w:vAlign w:val="center"/>
          </w:tcPr>
          <w:p>
            <w:pPr>
              <w:snapToGrid w:val="0"/>
              <w:spacing w:line="360" w:lineRule="auto"/>
              <w:jc w:val="center"/>
              <w:rPr>
                <w:rFonts w:ascii="仿宋" w:hAnsi="仿宋" w:eastAsia="仿宋" w:cs="仿宋"/>
                <w:color w:val="auto"/>
                <w:sz w:val="24"/>
                <w:highlight w:val="none"/>
              </w:rPr>
            </w:pPr>
          </w:p>
        </w:tc>
        <w:tc>
          <w:tcPr>
            <w:tcW w:w="3118" w:type="dxa"/>
            <w:vAlign w:val="center"/>
          </w:tcPr>
          <w:p>
            <w:pPr>
              <w:snapToGrid w:val="0"/>
              <w:spacing w:line="360" w:lineRule="auto"/>
              <w:jc w:val="center"/>
              <w:rPr>
                <w:rFonts w:ascii="仿宋" w:hAnsi="仿宋" w:eastAsia="仿宋" w:cs="仿宋"/>
                <w:color w:val="auto"/>
                <w:sz w:val="24"/>
                <w:highlight w:val="none"/>
              </w:rPr>
            </w:pPr>
          </w:p>
        </w:tc>
        <w:tc>
          <w:tcPr>
            <w:tcW w:w="993" w:type="dxa"/>
            <w:vAlign w:val="center"/>
          </w:tcPr>
          <w:p>
            <w:pPr>
              <w:snapToGrid w:val="0"/>
              <w:spacing w:line="360" w:lineRule="auto"/>
              <w:jc w:val="center"/>
              <w:rPr>
                <w:rFonts w:ascii="仿宋" w:hAnsi="仿宋" w:eastAsia="仿宋" w:cs="仿宋"/>
                <w:color w:val="auto"/>
                <w:sz w:val="24"/>
                <w:highlight w:val="none"/>
              </w:rPr>
            </w:pPr>
          </w:p>
        </w:tc>
        <w:tc>
          <w:tcPr>
            <w:tcW w:w="1559" w:type="dxa"/>
            <w:vAlign w:val="center"/>
          </w:tcPr>
          <w:p>
            <w:pPr>
              <w:spacing w:line="360" w:lineRule="auto"/>
              <w:jc w:val="center"/>
              <w:rPr>
                <w:rFonts w:ascii="仿宋" w:hAnsi="仿宋" w:eastAsia="仿宋" w:cs="仿宋"/>
                <w:color w:val="auto"/>
                <w:sz w:val="24"/>
                <w:highlight w:val="none"/>
              </w:rPr>
            </w:pPr>
          </w:p>
        </w:tc>
        <w:tc>
          <w:tcPr>
            <w:tcW w:w="1984" w:type="dxa"/>
            <w:vAlign w:val="center"/>
          </w:tcPr>
          <w:p>
            <w:pPr>
              <w:spacing w:line="360" w:lineRule="auto"/>
              <w:jc w:val="center"/>
              <w:rPr>
                <w:rFonts w:ascii="仿宋" w:hAnsi="仿宋" w:eastAsia="仿宋" w:cs="仿宋"/>
                <w:color w:val="auto"/>
                <w:sz w:val="24"/>
                <w:highlight w:val="none"/>
              </w:rPr>
            </w:pPr>
          </w:p>
        </w:tc>
        <w:tc>
          <w:tcPr>
            <w:tcW w:w="3119"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color w:val="auto"/>
                <w:sz w:val="24"/>
                <w:highlight w:val="none"/>
              </w:rPr>
            </w:pPr>
          </w:p>
        </w:tc>
        <w:tc>
          <w:tcPr>
            <w:tcW w:w="1417" w:type="dxa"/>
            <w:vAlign w:val="center"/>
          </w:tcPr>
          <w:p>
            <w:pPr>
              <w:snapToGrid w:val="0"/>
              <w:spacing w:line="360" w:lineRule="auto"/>
              <w:jc w:val="center"/>
              <w:rPr>
                <w:rFonts w:ascii="仿宋" w:hAnsi="仿宋" w:eastAsia="仿宋" w:cs="仿宋"/>
                <w:color w:val="auto"/>
                <w:sz w:val="24"/>
                <w:highlight w:val="none"/>
              </w:rPr>
            </w:pPr>
          </w:p>
        </w:tc>
        <w:tc>
          <w:tcPr>
            <w:tcW w:w="1843" w:type="dxa"/>
            <w:vAlign w:val="center"/>
          </w:tcPr>
          <w:p>
            <w:pPr>
              <w:snapToGrid w:val="0"/>
              <w:spacing w:line="360" w:lineRule="auto"/>
              <w:jc w:val="center"/>
              <w:rPr>
                <w:rFonts w:ascii="仿宋" w:hAnsi="仿宋" w:eastAsia="仿宋" w:cs="仿宋"/>
                <w:color w:val="auto"/>
                <w:sz w:val="24"/>
                <w:highlight w:val="none"/>
              </w:rPr>
            </w:pPr>
          </w:p>
        </w:tc>
        <w:tc>
          <w:tcPr>
            <w:tcW w:w="3118" w:type="dxa"/>
            <w:vAlign w:val="center"/>
          </w:tcPr>
          <w:p>
            <w:pPr>
              <w:snapToGrid w:val="0"/>
              <w:spacing w:line="360" w:lineRule="auto"/>
              <w:jc w:val="center"/>
              <w:rPr>
                <w:rFonts w:ascii="仿宋" w:hAnsi="仿宋" w:eastAsia="仿宋" w:cs="仿宋"/>
                <w:color w:val="auto"/>
                <w:sz w:val="24"/>
                <w:highlight w:val="none"/>
              </w:rPr>
            </w:pPr>
          </w:p>
        </w:tc>
        <w:tc>
          <w:tcPr>
            <w:tcW w:w="993" w:type="dxa"/>
            <w:vAlign w:val="center"/>
          </w:tcPr>
          <w:p>
            <w:pPr>
              <w:snapToGrid w:val="0"/>
              <w:spacing w:line="360" w:lineRule="auto"/>
              <w:jc w:val="center"/>
              <w:rPr>
                <w:rFonts w:ascii="仿宋" w:hAnsi="仿宋" w:eastAsia="仿宋" w:cs="仿宋"/>
                <w:color w:val="auto"/>
                <w:sz w:val="24"/>
                <w:highlight w:val="none"/>
              </w:rPr>
            </w:pPr>
          </w:p>
        </w:tc>
        <w:tc>
          <w:tcPr>
            <w:tcW w:w="1559" w:type="dxa"/>
            <w:vAlign w:val="center"/>
          </w:tcPr>
          <w:p>
            <w:pPr>
              <w:spacing w:line="360" w:lineRule="auto"/>
              <w:jc w:val="center"/>
              <w:rPr>
                <w:rFonts w:ascii="仿宋" w:hAnsi="仿宋" w:eastAsia="仿宋" w:cs="仿宋"/>
                <w:color w:val="auto"/>
                <w:sz w:val="24"/>
                <w:highlight w:val="none"/>
              </w:rPr>
            </w:pPr>
          </w:p>
        </w:tc>
        <w:tc>
          <w:tcPr>
            <w:tcW w:w="1984" w:type="dxa"/>
            <w:vAlign w:val="center"/>
          </w:tcPr>
          <w:p>
            <w:pPr>
              <w:spacing w:line="360" w:lineRule="auto"/>
              <w:jc w:val="center"/>
              <w:rPr>
                <w:rFonts w:ascii="仿宋" w:hAnsi="仿宋" w:eastAsia="仿宋" w:cs="仿宋"/>
                <w:color w:val="auto"/>
                <w:sz w:val="24"/>
                <w:highlight w:val="none"/>
              </w:rPr>
            </w:pPr>
          </w:p>
        </w:tc>
        <w:tc>
          <w:tcPr>
            <w:tcW w:w="3119"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color w:val="auto"/>
                <w:sz w:val="24"/>
                <w:highlight w:val="none"/>
              </w:rPr>
            </w:pPr>
          </w:p>
        </w:tc>
        <w:tc>
          <w:tcPr>
            <w:tcW w:w="1417" w:type="dxa"/>
            <w:vAlign w:val="center"/>
          </w:tcPr>
          <w:p>
            <w:pPr>
              <w:snapToGrid w:val="0"/>
              <w:spacing w:line="360" w:lineRule="auto"/>
              <w:jc w:val="center"/>
              <w:rPr>
                <w:rFonts w:ascii="仿宋" w:hAnsi="仿宋" w:eastAsia="仿宋" w:cs="仿宋"/>
                <w:color w:val="auto"/>
                <w:sz w:val="24"/>
                <w:highlight w:val="none"/>
              </w:rPr>
            </w:pPr>
          </w:p>
        </w:tc>
        <w:tc>
          <w:tcPr>
            <w:tcW w:w="1843" w:type="dxa"/>
            <w:vAlign w:val="center"/>
          </w:tcPr>
          <w:p>
            <w:pPr>
              <w:snapToGrid w:val="0"/>
              <w:spacing w:line="360" w:lineRule="auto"/>
              <w:jc w:val="center"/>
              <w:rPr>
                <w:rFonts w:ascii="仿宋" w:hAnsi="仿宋" w:eastAsia="仿宋" w:cs="仿宋"/>
                <w:color w:val="auto"/>
                <w:sz w:val="24"/>
                <w:highlight w:val="none"/>
              </w:rPr>
            </w:pPr>
          </w:p>
        </w:tc>
        <w:tc>
          <w:tcPr>
            <w:tcW w:w="3118" w:type="dxa"/>
            <w:vAlign w:val="center"/>
          </w:tcPr>
          <w:p>
            <w:pPr>
              <w:snapToGrid w:val="0"/>
              <w:spacing w:line="360" w:lineRule="auto"/>
              <w:jc w:val="center"/>
              <w:rPr>
                <w:rFonts w:ascii="仿宋" w:hAnsi="仿宋" w:eastAsia="仿宋" w:cs="仿宋"/>
                <w:color w:val="auto"/>
                <w:sz w:val="24"/>
                <w:highlight w:val="none"/>
              </w:rPr>
            </w:pPr>
          </w:p>
        </w:tc>
        <w:tc>
          <w:tcPr>
            <w:tcW w:w="993" w:type="dxa"/>
            <w:vAlign w:val="center"/>
          </w:tcPr>
          <w:p>
            <w:pPr>
              <w:snapToGrid w:val="0"/>
              <w:spacing w:line="360" w:lineRule="auto"/>
              <w:jc w:val="center"/>
              <w:rPr>
                <w:rFonts w:ascii="仿宋" w:hAnsi="仿宋" w:eastAsia="仿宋" w:cs="仿宋"/>
                <w:color w:val="auto"/>
                <w:sz w:val="24"/>
                <w:highlight w:val="none"/>
              </w:rPr>
            </w:pPr>
          </w:p>
        </w:tc>
        <w:tc>
          <w:tcPr>
            <w:tcW w:w="1559" w:type="dxa"/>
            <w:vAlign w:val="center"/>
          </w:tcPr>
          <w:p>
            <w:pPr>
              <w:spacing w:line="360" w:lineRule="auto"/>
              <w:jc w:val="center"/>
              <w:rPr>
                <w:rFonts w:ascii="仿宋" w:hAnsi="仿宋" w:eastAsia="仿宋" w:cs="仿宋"/>
                <w:color w:val="auto"/>
                <w:sz w:val="24"/>
                <w:highlight w:val="none"/>
              </w:rPr>
            </w:pPr>
          </w:p>
        </w:tc>
        <w:tc>
          <w:tcPr>
            <w:tcW w:w="1984" w:type="dxa"/>
            <w:vAlign w:val="center"/>
          </w:tcPr>
          <w:p>
            <w:pPr>
              <w:spacing w:line="360" w:lineRule="auto"/>
              <w:jc w:val="center"/>
              <w:rPr>
                <w:rFonts w:ascii="仿宋" w:hAnsi="仿宋" w:eastAsia="仿宋" w:cs="仿宋"/>
                <w:color w:val="auto"/>
                <w:sz w:val="24"/>
                <w:highlight w:val="none"/>
              </w:rPr>
            </w:pPr>
          </w:p>
        </w:tc>
        <w:tc>
          <w:tcPr>
            <w:tcW w:w="3119"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pPr>
              <w:spacing w:line="360" w:lineRule="auto"/>
              <w:jc w:val="center"/>
              <w:rPr>
                <w:rFonts w:ascii="仿宋" w:hAnsi="仿宋" w:eastAsia="仿宋" w:cs="仿宋"/>
                <w:color w:val="auto"/>
                <w:sz w:val="24"/>
                <w:highlight w:val="none"/>
              </w:rPr>
            </w:pPr>
          </w:p>
        </w:tc>
      </w:tr>
    </w:tbl>
    <w:p>
      <w:pPr>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w:t>
      </w:r>
      <w:r>
        <w:rPr>
          <w:rFonts w:hint="eastAsia" w:ascii="仿宋_GB2312" w:hAnsi="仿宋" w:eastAsia="仿宋_GB2312" w:cs="仿宋_GB2312"/>
          <w:color w:val="auto"/>
          <w:kern w:val="0"/>
          <w:sz w:val="24"/>
          <w:highlight w:val="none"/>
          <w:lang w:val="zh-CN"/>
        </w:rPr>
        <w:t>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5、</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仿宋" w:hAnsi="仿宋" w:eastAsia="仿宋" w:cs="仿宋"/>
          <w:b/>
          <w:color w:val="auto"/>
          <w:kern w:val="0"/>
          <w:sz w:val="24"/>
          <w:highlight w:val="none"/>
        </w:rPr>
      </w:pPr>
    </w:p>
    <w:p>
      <w:pPr>
        <w:pStyle w:val="694"/>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pPr>
        <w:pStyle w:val="694"/>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24"/>
        <w:spacing w:line="600" w:lineRule="exact"/>
        <w:ind w:firstLine="562"/>
        <w:jc w:val="center"/>
        <w:rPr>
          <w:rFonts w:ascii="仿宋" w:hAnsi="仿宋" w:eastAsia="仿宋" w:cs="仿宋"/>
          <w:b/>
          <w:bCs/>
          <w:snapToGrid w:val="0"/>
          <w:color w:val="auto"/>
          <w:kern w:val="0"/>
          <w:sz w:val="28"/>
          <w:szCs w:val="28"/>
          <w:highlight w:val="none"/>
        </w:rPr>
      </w:pPr>
      <w:r>
        <w:rPr>
          <w:rFonts w:hint="eastAsia" w:ascii="仿宋" w:hAnsi="仿宋" w:eastAsia="仿宋" w:cs="仿宋"/>
          <w:b/>
          <w:bCs/>
          <w:snapToGrid w:val="0"/>
          <w:color w:val="auto"/>
          <w:kern w:val="0"/>
          <w:sz w:val="28"/>
          <w:szCs w:val="28"/>
          <w:highlight w:val="none"/>
        </w:rPr>
        <w:t>二、分项报价表（或成本测算说明）</w:t>
      </w:r>
    </w:p>
    <w:p>
      <w:pPr>
        <w:rPr>
          <w:rFonts w:ascii="仿宋" w:hAnsi="仿宋" w:eastAsia="仿宋" w:cs="仿宋"/>
          <w:color w:val="auto"/>
          <w:szCs w:val="21"/>
          <w:highlight w:val="none"/>
        </w:rPr>
      </w:pPr>
    </w:p>
    <w:p>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标项内容：</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价格单位：     元 人民币</w:t>
      </w:r>
    </w:p>
    <w:tbl>
      <w:tblPr>
        <w:tblStyle w:val="63"/>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33"/>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03" w:type="dxa"/>
            <w:vAlign w:val="center"/>
          </w:tcPr>
          <w:p>
            <w:pPr>
              <w:pStyle w:val="33"/>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275" w:type="dxa"/>
            <w:vAlign w:val="center"/>
          </w:tcPr>
          <w:p>
            <w:pPr>
              <w:pStyle w:val="33"/>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服务内容</w:t>
            </w:r>
          </w:p>
        </w:tc>
        <w:tc>
          <w:tcPr>
            <w:tcW w:w="720" w:type="dxa"/>
            <w:vAlign w:val="center"/>
          </w:tcPr>
          <w:p>
            <w:pPr>
              <w:pStyle w:val="33"/>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720" w:type="dxa"/>
            <w:vAlign w:val="center"/>
          </w:tcPr>
          <w:p>
            <w:pPr>
              <w:pStyle w:val="33"/>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538" w:type="dxa"/>
            <w:vAlign w:val="center"/>
          </w:tcPr>
          <w:p>
            <w:pPr>
              <w:pStyle w:val="33"/>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详细描述</w:t>
            </w:r>
          </w:p>
        </w:tc>
        <w:tc>
          <w:tcPr>
            <w:tcW w:w="937" w:type="dxa"/>
            <w:vAlign w:val="center"/>
          </w:tcPr>
          <w:p>
            <w:pPr>
              <w:pStyle w:val="33"/>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976" w:type="dxa"/>
            <w:vAlign w:val="center"/>
          </w:tcPr>
          <w:p>
            <w:pPr>
              <w:pStyle w:val="33"/>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合价</w:t>
            </w:r>
          </w:p>
        </w:tc>
        <w:tc>
          <w:tcPr>
            <w:tcW w:w="816" w:type="dxa"/>
            <w:vAlign w:val="center"/>
          </w:tcPr>
          <w:p>
            <w:pPr>
              <w:pStyle w:val="33"/>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33"/>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03" w:type="dxa"/>
            <w:vAlign w:val="center"/>
          </w:tcPr>
          <w:p>
            <w:pPr>
              <w:pStyle w:val="33"/>
              <w:snapToGrid w:val="0"/>
              <w:spacing w:line="360" w:lineRule="auto"/>
              <w:jc w:val="center"/>
              <w:rPr>
                <w:rFonts w:ascii="仿宋" w:hAnsi="仿宋" w:eastAsia="仿宋" w:cs="仿宋"/>
                <w:color w:val="auto"/>
                <w:sz w:val="24"/>
                <w:szCs w:val="24"/>
                <w:highlight w:val="none"/>
              </w:rPr>
            </w:pPr>
          </w:p>
        </w:tc>
        <w:tc>
          <w:tcPr>
            <w:tcW w:w="1275" w:type="dxa"/>
            <w:vAlign w:val="center"/>
          </w:tcPr>
          <w:p>
            <w:pPr>
              <w:pStyle w:val="33"/>
              <w:snapToGrid w:val="0"/>
              <w:spacing w:line="360" w:lineRule="auto"/>
              <w:jc w:val="center"/>
              <w:rPr>
                <w:rFonts w:ascii="仿宋" w:hAnsi="仿宋" w:eastAsia="仿宋" w:cs="仿宋"/>
                <w:color w:val="auto"/>
                <w:sz w:val="24"/>
                <w:szCs w:val="24"/>
                <w:highlight w:val="none"/>
              </w:rPr>
            </w:pPr>
          </w:p>
        </w:tc>
        <w:tc>
          <w:tcPr>
            <w:tcW w:w="720" w:type="dxa"/>
            <w:vAlign w:val="center"/>
          </w:tcPr>
          <w:p>
            <w:pPr>
              <w:pStyle w:val="33"/>
              <w:snapToGrid w:val="0"/>
              <w:spacing w:line="360" w:lineRule="auto"/>
              <w:jc w:val="center"/>
              <w:rPr>
                <w:rFonts w:ascii="仿宋" w:hAnsi="仿宋" w:eastAsia="仿宋" w:cs="仿宋"/>
                <w:color w:val="auto"/>
                <w:sz w:val="24"/>
                <w:szCs w:val="24"/>
                <w:highlight w:val="none"/>
              </w:rPr>
            </w:pPr>
          </w:p>
        </w:tc>
        <w:tc>
          <w:tcPr>
            <w:tcW w:w="720" w:type="dxa"/>
            <w:vAlign w:val="center"/>
          </w:tcPr>
          <w:p>
            <w:pPr>
              <w:pStyle w:val="33"/>
              <w:snapToGrid w:val="0"/>
              <w:spacing w:line="360" w:lineRule="auto"/>
              <w:jc w:val="center"/>
              <w:rPr>
                <w:rFonts w:ascii="仿宋" w:hAnsi="仿宋" w:eastAsia="仿宋" w:cs="仿宋"/>
                <w:color w:val="auto"/>
                <w:sz w:val="24"/>
                <w:szCs w:val="24"/>
                <w:highlight w:val="none"/>
              </w:rPr>
            </w:pPr>
          </w:p>
        </w:tc>
        <w:tc>
          <w:tcPr>
            <w:tcW w:w="1538" w:type="dxa"/>
            <w:vAlign w:val="center"/>
          </w:tcPr>
          <w:p>
            <w:pPr>
              <w:pStyle w:val="33"/>
              <w:snapToGrid w:val="0"/>
              <w:spacing w:line="360" w:lineRule="auto"/>
              <w:jc w:val="center"/>
              <w:rPr>
                <w:rFonts w:ascii="仿宋" w:hAnsi="仿宋" w:eastAsia="仿宋" w:cs="仿宋"/>
                <w:color w:val="auto"/>
                <w:sz w:val="24"/>
                <w:szCs w:val="24"/>
                <w:highlight w:val="none"/>
              </w:rPr>
            </w:pPr>
          </w:p>
        </w:tc>
        <w:tc>
          <w:tcPr>
            <w:tcW w:w="937" w:type="dxa"/>
            <w:vAlign w:val="center"/>
          </w:tcPr>
          <w:p>
            <w:pPr>
              <w:pStyle w:val="33"/>
              <w:snapToGrid w:val="0"/>
              <w:spacing w:line="360" w:lineRule="auto"/>
              <w:jc w:val="center"/>
              <w:rPr>
                <w:rFonts w:ascii="仿宋" w:hAnsi="仿宋" w:eastAsia="仿宋" w:cs="仿宋"/>
                <w:color w:val="auto"/>
                <w:sz w:val="24"/>
                <w:szCs w:val="24"/>
                <w:highlight w:val="none"/>
              </w:rPr>
            </w:pPr>
          </w:p>
        </w:tc>
        <w:tc>
          <w:tcPr>
            <w:tcW w:w="976" w:type="dxa"/>
            <w:vAlign w:val="center"/>
          </w:tcPr>
          <w:p>
            <w:pPr>
              <w:pStyle w:val="33"/>
              <w:snapToGrid w:val="0"/>
              <w:spacing w:line="360" w:lineRule="auto"/>
              <w:jc w:val="center"/>
              <w:rPr>
                <w:rFonts w:ascii="仿宋" w:hAnsi="仿宋" w:eastAsia="仿宋" w:cs="仿宋"/>
                <w:color w:val="auto"/>
                <w:sz w:val="24"/>
                <w:szCs w:val="24"/>
                <w:highlight w:val="none"/>
              </w:rPr>
            </w:pPr>
          </w:p>
        </w:tc>
        <w:tc>
          <w:tcPr>
            <w:tcW w:w="816" w:type="dxa"/>
            <w:vAlign w:val="center"/>
          </w:tcPr>
          <w:p>
            <w:pPr>
              <w:pStyle w:val="33"/>
              <w:snapToGrid w:val="0"/>
              <w:spacing w:line="360" w:lineRule="auto"/>
              <w:jc w:val="center"/>
              <w:rPr>
                <w:rFonts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33"/>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03" w:type="dxa"/>
            <w:vAlign w:val="center"/>
          </w:tcPr>
          <w:p>
            <w:pPr>
              <w:pStyle w:val="33"/>
              <w:snapToGrid w:val="0"/>
              <w:spacing w:line="360" w:lineRule="auto"/>
              <w:jc w:val="center"/>
              <w:rPr>
                <w:rFonts w:ascii="仿宋" w:hAnsi="仿宋" w:eastAsia="仿宋" w:cs="仿宋"/>
                <w:color w:val="auto"/>
                <w:sz w:val="24"/>
                <w:szCs w:val="24"/>
                <w:highlight w:val="none"/>
              </w:rPr>
            </w:pPr>
          </w:p>
        </w:tc>
        <w:tc>
          <w:tcPr>
            <w:tcW w:w="1275" w:type="dxa"/>
            <w:vAlign w:val="center"/>
          </w:tcPr>
          <w:p>
            <w:pPr>
              <w:pStyle w:val="33"/>
              <w:snapToGrid w:val="0"/>
              <w:spacing w:line="360" w:lineRule="auto"/>
              <w:jc w:val="center"/>
              <w:rPr>
                <w:rFonts w:ascii="仿宋" w:hAnsi="仿宋" w:eastAsia="仿宋" w:cs="仿宋"/>
                <w:color w:val="auto"/>
                <w:sz w:val="24"/>
                <w:szCs w:val="24"/>
                <w:highlight w:val="none"/>
              </w:rPr>
            </w:pPr>
          </w:p>
        </w:tc>
        <w:tc>
          <w:tcPr>
            <w:tcW w:w="720" w:type="dxa"/>
            <w:vAlign w:val="center"/>
          </w:tcPr>
          <w:p>
            <w:pPr>
              <w:pStyle w:val="33"/>
              <w:snapToGrid w:val="0"/>
              <w:spacing w:line="360" w:lineRule="auto"/>
              <w:jc w:val="center"/>
              <w:rPr>
                <w:rFonts w:ascii="仿宋" w:hAnsi="仿宋" w:eastAsia="仿宋" w:cs="仿宋"/>
                <w:color w:val="auto"/>
                <w:sz w:val="24"/>
                <w:szCs w:val="24"/>
                <w:highlight w:val="none"/>
              </w:rPr>
            </w:pPr>
          </w:p>
        </w:tc>
        <w:tc>
          <w:tcPr>
            <w:tcW w:w="720" w:type="dxa"/>
            <w:vAlign w:val="center"/>
          </w:tcPr>
          <w:p>
            <w:pPr>
              <w:pStyle w:val="33"/>
              <w:snapToGrid w:val="0"/>
              <w:spacing w:line="360" w:lineRule="auto"/>
              <w:jc w:val="center"/>
              <w:rPr>
                <w:rFonts w:ascii="仿宋" w:hAnsi="仿宋" w:eastAsia="仿宋" w:cs="仿宋"/>
                <w:color w:val="auto"/>
                <w:sz w:val="24"/>
                <w:szCs w:val="24"/>
                <w:highlight w:val="none"/>
              </w:rPr>
            </w:pPr>
          </w:p>
        </w:tc>
        <w:tc>
          <w:tcPr>
            <w:tcW w:w="1538" w:type="dxa"/>
            <w:vAlign w:val="center"/>
          </w:tcPr>
          <w:p>
            <w:pPr>
              <w:pStyle w:val="33"/>
              <w:snapToGrid w:val="0"/>
              <w:spacing w:line="360" w:lineRule="auto"/>
              <w:jc w:val="center"/>
              <w:rPr>
                <w:rFonts w:ascii="仿宋" w:hAnsi="仿宋" w:eastAsia="仿宋" w:cs="仿宋"/>
                <w:color w:val="auto"/>
                <w:sz w:val="24"/>
                <w:szCs w:val="24"/>
                <w:highlight w:val="none"/>
              </w:rPr>
            </w:pPr>
          </w:p>
        </w:tc>
        <w:tc>
          <w:tcPr>
            <w:tcW w:w="937" w:type="dxa"/>
            <w:vAlign w:val="center"/>
          </w:tcPr>
          <w:p>
            <w:pPr>
              <w:pStyle w:val="33"/>
              <w:snapToGrid w:val="0"/>
              <w:spacing w:line="360" w:lineRule="auto"/>
              <w:jc w:val="center"/>
              <w:rPr>
                <w:rFonts w:ascii="仿宋" w:hAnsi="仿宋" w:eastAsia="仿宋" w:cs="仿宋"/>
                <w:color w:val="auto"/>
                <w:sz w:val="24"/>
                <w:szCs w:val="24"/>
                <w:highlight w:val="none"/>
              </w:rPr>
            </w:pPr>
          </w:p>
        </w:tc>
        <w:tc>
          <w:tcPr>
            <w:tcW w:w="976" w:type="dxa"/>
            <w:vAlign w:val="center"/>
          </w:tcPr>
          <w:p>
            <w:pPr>
              <w:pStyle w:val="33"/>
              <w:snapToGrid w:val="0"/>
              <w:spacing w:line="360" w:lineRule="auto"/>
              <w:jc w:val="center"/>
              <w:rPr>
                <w:rFonts w:ascii="仿宋" w:hAnsi="仿宋" w:eastAsia="仿宋" w:cs="仿宋"/>
                <w:color w:val="auto"/>
                <w:sz w:val="24"/>
                <w:szCs w:val="24"/>
                <w:highlight w:val="none"/>
              </w:rPr>
            </w:pPr>
          </w:p>
        </w:tc>
        <w:tc>
          <w:tcPr>
            <w:tcW w:w="816" w:type="dxa"/>
            <w:vAlign w:val="center"/>
          </w:tcPr>
          <w:p>
            <w:pPr>
              <w:pStyle w:val="33"/>
              <w:snapToGrid w:val="0"/>
              <w:spacing w:line="360" w:lineRule="auto"/>
              <w:jc w:val="center"/>
              <w:rPr>
                <w:rFonts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33"/>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603" w:type="dxa"/>
            <w:vAlign w:val="center"/>
          </w:tcPr>
          <w:p>
            <w:pPr>
              <w:pStyle w:val="33"/>
              <w:snapToGrid w:val="0"/>
              <w:spacing w:line="360" w:lineRule="auto"/>
              <w:jc w:val="center"/>
              <w:rPr>
                <w:rFonts w:ascii="仿宋" w:hAnsi="仿宋" w:eastAsia="仿宋" w:cs="仿宋"/>
                <w:color w:val="auto"/>
                <w:sz w:val="24"/>
                <w:szCs w:val="24"/>
                <w:highlight w:val="none"/>
              </w:rPr>
            </w:pPr>
          </w:p>
        </w:tc>
        <w:tc>
          <w:tcPr>
            <w:tcW w:w="1275" w:type="dxa"/>
            <w:vAlign w:val="center"/>
          </w:tcPr>
          <w:p>
            <w:pPr>
              <w:pStyle w:val="33"/>
              <w:snapToGrid w:val="0"/>
              <w:spacing w:line="360" w:lineRule="auto"/>
              <w:jc w:val="center"/>
              <w:rPr>
                <w:rFonts w:ascii="仿宋" w:hAnsi="仿宋" w:eastAsia="仿宋" w:cs="仿宋"/>
                <w:color w:val="auto"/>
                <w:sz w:val="24"/>
                <w:szCs w:val="24"/>
                <w:highlight w:val="none"/>
              </w:rPr>
            </w:pPr>
          </w:p>
        </w:tc>
        <w:tc>
          <w:tcPr>
            <w:tcW w:w="720" w:type="dxa"/>
            <w:vAlign w:val="center"/>
          </w:tcPr>
          <w:p>
            <w:pPr>
              <w:pStyle w:val="33"/>
              <w:snapToGrid w:val="0"/>
              <w:spacing w:line="360" w:lineRule="auto"/>
              <w:jc w:val="center"/>
              <w:rPr>
                <w:rFonts w:ascii="仿宋" w:hAnsi="仿宋" w:eastAsia="仿宋" w:cs="仿宋"/>
                <w:color w:val="auto"/>
                <w:sz w:val="24"/>
                <w:szCs w:val="24"/>
                <w:highlight w:val="none"/>
              </w:rPr>
            </w:pPr>
          </w:p>
        </w:tc>
        <w:tc>
          <w:tcPr>
            <w:tcW w:w="720" w:type="dxa"/>
            <w:vAlign w:val="center"/>
          </w:tcPr>
          <w:p>
            <w:pPr>
              <w:pStyle w:val="33"/>
              <w:snapToGrid w:val="0"/>
              <w:spacing w:line="360" w:lineRule="auto"/>
              <w:jc w:val="center"/>
              <w:rPr>
                <w:rFonts w:ascii="仿宋" w:hAnsi="仿宋" w:eastAsia="仿宋" w:cs="仿宋"/>
                <w:color w:val="auto"/>
                <w:sz w:val="24"/>
                <w:szCs w:val="24"/>
                <w:highlight w:val="none"/>
              </w:rPr>
            </w:pPr>
          </w:p>
        </w:tc>
        <w:tc>
          <w:tcPr>
            <w:tcW w:w="1538" w:type="dxa"/>
            <w:vAlign w:val="center"/>
          </w:tcPr>
          <w:p>
            <w:pPr>
              <w:pStyle w:val="33"/>
              <w:snapToGrid w:val="0"/>
              <w:spacing w:line="360" w:lineRule="auto"/>
              <w:jc w:val="center"/>
              <w:rPr>
                <w:rFonts w:ascii="仿宋" w:hAnsi="仿宋" w:eastAsia="仿宋" w:cs="仿宋"/>
                <w:color w:val="auto"/>
                <w:sz w:val="24"/>
                <w:szCs w:val="24"/>
                <w:highlight w:val="none"/>
              </w:rPr>
            </w:pPr>
          </w:p>
        </w:tc>
        <w:tc>
          <w:tcPr>
            <w:tcW w:w="937" w:type="dxa"/>
            <w:vAlign w:val="center"/>
          </w:tcPr>
          <w:p>
            <w:pPr>
              <w:pStyle w:val="33"/>
              <w:snapToGrid w:val="0"/>
              <w:spacing w:line="360" w:lineRule="auto"/>
              <w:jc w:val="center"/>
              <w:rPr>
                <w:rFonts w:ascii="仿宋" w:hAnsi="仿宋" w:eastAsia="仿宋" w:cs="仿宋"/>
                <w:color w:val="auto"/>
                <w:sz w:val="24"/>
                <w:szCs w:val="24"/>
                <w:highlight w:val="none"/>
              </w:rPr>
            </w:pPr>
          </w:p>
        </w:tc>
        <w:tc>
          <w:tcPr>
            <w:tcW w:w="976" w:type="dxa"/>
            <w:vAlign w:val="center"/>
          </w:tcPr>
          <w:p>
            <w:pPr>
              <w:pStyle w:val="33"/>
              <w:snapToGrid w:val="0"/>
              <w:spacing w:line="360" w:lineRule="auto"/>
              <w:jc w:val="center"/>
              <w:rPr>
                <w:rFonts w:ascii="仿宋" w:hAnsi="仿宋" w:eastAsia="仿宋" w:cs="仿宋"/>
                <w:color w:val="auto"/>
                <w:sz w:val="24"/>
                <w:szCs w:val="24"/>
                <w:highlight w:val="none"/>
              </w:rPr>
            </w:pPr>
          </w:p>
        </w:tc>
        <w:tc>
          <w:tcPr>
            <w:tcW w:w="816" w:type="dxa"/>
            <w:vAlign w:val="center"/>
          </w:tcPr>
          <w:p>
            <w:pPr>
              <w:pStyle w:val="33"/>
              <w:snapToGrid w:val="0"/>
              <w:spacing w:line="360" w:lineRule="auto"/>
              <w:jc w:val="center"/>
              <w:rPr>
                <w:rFonts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33"/>
              <w:snapToGrid w:val="0"/>
              <w:spacing w:line="360" w:lineRule="auto"/>
              <w:jc w:val="center"/>
              <w:rPr>
                <w:rFonts w:ascii="仿宋" w:hAnsi="仿宋" w:eastAsia="仿宋" w:cs="仿宋"/>
                <w:color w:val="auto"/>
                <w:sz w:val="24"/>
                <w:szCs w:val="24"/>
                <w:highlight w:val="none"/>
              </w:rPr>
            </w:pPr>
          </w:p>
        </w:tc>
        <w:tc>
          <w:tcPr>
            <w:tcW w:w="1603" w:type="dxa"/>
            <w:vAlign w:val="center"/>
          </w:tcPr>
          <w:p>
            <w:pPr>
              <w:pStyle w:val="33"/>
              <w:snapToGrid w:val="0"/>
              <w:spacing w:line="360" w:lineRule="auto"/>
              <w:jc w:val="center"/>
              <w:rPr>
                <w:rFonts w:ascii="仿宋" w:hAnsi="仿宋" w:eastAsia="仿宋" w:cs="仿宋"/>
                <w:color w:val="auto"/>
                <w:sz w:val="24"/>
                <w:szCs w:val="24"/>
                <w:highlight w:val="none"/>
              </w:rPr>
            </w:pPr>
          </w:p>
        </w:tc>
        <w:tc>
          <w:tcPr>
            <w:tcW w:w="1275" w:type="dxa"/>
            <w:vAlign w:val="center"/>
          </w:tcPr>
          <w:p>
            <w:pPr>
              <w:pStyle w:val="33"/>
              <w:snapToGrid w:val="0"/>
              <w:spacing w:line="360" w:lineRule="auto"/>
              <w:jc w:val="center"/>
              <w:rPr>
                <w:rFonts w:ascii="仿宋" w:hAnsi="仿宋" w:eastAsia="仿宋" w:cs="仿宋"/>
                <w:color w:val="auto"/>
                <w:sz w:val="24"/>
                <w:szCs w:val="24"/>
                <w:highlight w:val="none"/>
              </w:rPr>
            </w:pPr>
          </w:p>
        </w:tc>
        <w:tc>
          <w:tcPr>
            <w:tcW w:w="720" w:type="dxa"/>
            <w:vAlign w:val="center"/>
          </w:tcPr>
          <w:p>
            <w:pPr>
              <w:pStyle w:val="33"/>
              <w:snapToGrid w:val="0"/>
              <w:spacing w:line="360" w:lineRule="auto"/>
              <w:jc w:val="center"/>
              <w:rPr>
                <w:rFonts w:ascii="仿宋" w:hAnsi="仿宋" w:eastAsia="仿宋" w:cs="仿宋"/>
                <w:color w:val="auto"/>
                <w:sz w:val="24"/>
                <w:szCs w:val="24"/>
                <w:highlight w:val="none"/>
              </w:rPr>
            </w:pPr>
          </w:p>
        </w:tc>
        <w:tc>
          <w:tcPr>
            <w:tcW w:w="720" w:type="dxa"/>
            <w:vAlign w:val="center"/>
          </w:tcPr>
          <w:p>
            <w:pPr>
              <w:pStyle w:val="33"/>
              <w:snapToGrid w:val="0"/>
              <w:spacing w:line="360" w:lineRule="auto"/>
              <w:jc w:val="center"/>
              <w:rPr>
                <w:rFonts w:ascii="仿宋" w:hAnsi="仿宋" w:eastAsia="仿宋" w:cs="仿宋"/>
                <w:color w:val="auto"/>
                <w:sz w:val="24"/>
                <w:szCs w:val="24"/>
                <w:highlight w:val="none"/>
              </w:rPr>
            </w:pPr>
          </w:p>
        </w:tc>
        <w:tc>
          <w:tcPr>
            <w:tcW w:w="1538" w:type="dxa"/>
            <w:vAlign w:val="center"/>
          </w:tcPr>
          <w:p>
            <w:pPr>
              <w:pStyle w:val="33"/>
              <w:snapToGrid w:val="0"/>
              <w:spacing w:line="360" w:lineRule="auto"/>
              <w:jc w:val="center"/>
              <w:rPr>
                <w:rFonts w:ascii="仿宋" w:hAnsi="仿宋" w:eastAsia="仿宋" w:cs="仿宋"/>
                <w:color w:val="auto"/>
                <w:sz w:val="24"/>
                <w:szCs w:val="24"/>
                <w:highlight w:val="none"/>
              </w:rPr>
            </w:pPr>
          </w:p>
        </w:tc>
        <w:tc>
          <w:tcPr>
            <w:tcW w:w="937" w:type="dxa"/>
            <w:vAlign w:val="center"/>
          </w:tcPr>
          <w:p>
            <w:pPr>
              <w:pStyle w:val="33"/>
              <w:snapToGrid w:val="0"/>
              <w:spacing w:line="360" w:lineRule="auto"/>
              <w:jc w:val="center"/>
              <w:rPr>
                <w:rFonts w:ascii="仿宋" w:hAnsi="仿宋" w:eastAsia="仿宋" w:cs="仿宋"/>
                <w:color w:val="auto"/>
                <w:sz w:val="24"/>
                <w:szCs w:val="24"/>
                <w:highlight w:val="none"/>
              </w:rPr>
            </w:pPr>
          </w:p>
        </w:tc>
        <w:tc>
          <w:tcPr>
            <w:tcW w:w="976" w:type="dxa"/>
            <w:vAlign w:val="center"/>
          </w:tcPr>
          <w:p>
            <w:pPr>
              <w:pStyle w:val="33"/>
              <w:snapToGrid w:val="0"/>
              <w:spacing w:line="360" w:lineRule="auto"/>
              <w:jc w:val="center"/>
              <w:rPr>
                <w:rFonts w:ascii="仿宋" w:hAnsi="仿宋" w:eastAsia="仿宋" w:cs="仿宋"/>
                <w:color w:val="auto"/>
                <w:sz w:val="24"/>
                <w:szCs w:val="24"/>
                <w:highlight w:val="none"/>
              </w:rPr>
            </w:pPr>
          </w:p>
        </w:tc>
        <w:tc>
          <w:tcPr>
            <w:tcW w:w="816" w:type="dxa"/>
            <w:vAlign w:val="center"/>
          </w:tcPr>
          <w:p>
            <w:pPr>
              <w:pStyle w:val="33"/>
              <w:snapToGrid w:val="0"/>
              <w:spacing w:line="360" w:lineRule="auto"/>
              <w:jc w:val="center"/>
              <w:rPr>
                <w:rFonts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33"/>
              <w:snapToGrid w:val="0"/>
              <w:spacing w:line="360" w:lineRule="auto"/>
              <w:jc w:val="center"/>
              <w:rPr>
                <w:rFonts w:ascii="仿宋" w:hAnsi="仿宋" w:eastAsia="仿宋" w:cs="仿宋"/>
                <w:color w:val="auto"/>
                <w:sz w:val="24"/>
                <w:szCs w:val="24"/>
                <w:highlight w:val="none"/>
              </w:rPr>
            </w:pPr>
          </w:p>
        </w:tc>
        <w:tc>
          <w:tcPr>
            <w:tcW w:w="8585" w:type="dxa"/>
            <w:gridSpan w:val="8"/>
            <w:vAlign w:val="center"/>
          </w:tcPr>
          <w:p>
            <w:pPr>
              <w:pStyle w:val="33"/>
              <w:snapToGrid w:val="0"/>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投标总价：</w:t>
            </w:r>
          </w:p>
        </w:tc>
      </w:tr>
    </w:tbl>
    <w:p>
      <w:pPr>
        <w:pStyle w:val="33"/>
        <w:snapToGrid w:val="0"/>
        <w:spacing w:line="360" w:lineRule="auto"/>
        <w:ind w:firstLine="480"/>
        <w:rPr>
          <w:rFonts w:ascii="仿宋" w:hAnsi="仿宋" w:eastAsia="仿宋" w:cs="仿宋"/>
          <w:color w:val="auto"/>
          <w:sz w:val="24"/>
          <w:szCs w:val="24"/>
          <w:highlight w:val="none"/>
        </w:rPr>
      </w:pPr>
    </w:p>
    <w:p>
      <w:pPr>
        <w:pStyle w:val="33"/>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报价说明：</w:t>
      </w:r>
    </w:p>
    <w:p>
      <w:pPr>
        <w:pStyle w:val="33"/>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1）本项目价格包括</w:t>
      </w:r>
      <w:r>
        <w:rPr>
          <w:rFonts w:hint="eastAsia" w:ascii="仿宋" w:hAnsi="仿宋" w:eastAsia="仿宋" w:cs="仿宋"/>
          <w:color w:val="auto"/>
          <w:kern w:val="0"/>
          <w:sz w:val="24"/>
          <w:highlight w:val="none"/>
          <w:lang w:val="zh-CN"/>
        </w:rPr>
        <w:t>有关本项目实施所需的所有费用（含税费），为全保服务，包含全部零配件。</w:t>
      </w:r>
    </w:p>
    <w:p>
      <w:pPr>
        <w:pStyle w:val="33"/>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2）表中不得有给予采购人的赠品、回扣或者与本项目采购无关的其他商品、服务。</w:t>
      </w:r>
    </w:p>
    <w:p>
      <w:pPr>
        <w:pStyle w:val="33"/>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3）表格可扩展。</w:t>
      </w:r>
    </w:p>
    <w:p>
      <w:pPr>
        <w:pStyle w:val="33"/>
        <w:snapToGrid w:val="0"/>
        <w:spacing w:line="360" w:lineRule="auto"/>
        <w:ind w:firstLine="480"/>
        <w:rPr>
          <w:rFonts w:ascii="仿宋" w:hAnsi="仿宋" w:eastAsia="仿宋" w:cs="仿宋"/>
          <w:color w:val="auto"/>
          <w:sz w:val="24"/>
          <w:szCs w:val="24"/>
          <w:highlight w:val="none"/>
        </w:rPr>
      </w:pPr>
    </w:p>
    <w:p>
      <w:pPr>
        <w:pStyle w:val="33"/>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供应商全称（盖单位公章或电子签章）：</w:t>
      </w:r>
    </w:p>
    <w:p>
      <w:pPr>
        <w:pStyle w:val="33"/>
        <w:snapToGrid w:val="0"/>
        <w:spacing w:line="360" w:lineRule="auto"/>
        <w:ind w:firstLine="480"/>
        <w:rPr>
          <w:rFonts w:ascii="仿宋" w:hAnsi="仿宋" w:eastAsia="仿宋" w:cs="仿宋"/>
          <w:color w:val="auto"/>
          <w:sz w:val="24"/>
          <w:szCs w:val="24"/>
          <w:highlight w:val="none"/>
        </w:rPr>
      </w:pPr>
    </w:p>
    <w:p>
      <w:pPr>
        <w:pStyle w:val="33"/>
        <w:snapToGrid w:val="0"/>
        <w:spacing w:line="360" w:lineRule="auto"/>
        <w:ind w:firstLine="480"/>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 xml:space="preserve">日期：  </w:t>
      </w:r>
      <w:r>
        <w:rPr>
          <w:rFonts w:hint="eastAsia" w:ascii="仿宋" w:hAnsi="仿宋" w:eastAsia="仿宋" w:cs="仿宋"/>
          <w:color w:val="auto"/>
          <w:kern w:val="0"/>
          <w:sz w:val="24"/>
          <w:szCs w:val="24"/>
          <w:highlight w:val="none"/>
        </w:rPr>
        <w:t>年  月  日</w:t>
      </w:r>
    </w:p>
    <w:p>
      <w:pP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rPr>
        <w:t>、 中标服务费支付承诺书</w:t>
      </w:r>
    </w:p>
    <w:p>
      <w:pPr>
        <w:rPr>
          <w:rFonts w:ascii="仿宋" w:hAnsi="仿宋" w:eastAsia="仿宋" w:cs="仿宋"/>
          <w:color w:val="auto"/>
          <w:sz w:val="24"/>
          <w:highlight w:val="none"/>
        </w:rPr>
      </w:pPr>
    </w:p>
    <w:p>
      <w:pPr>
        <w:rPr>
          <w:rFonts w:ascii="仿宋" w:hAnsi="仿宋" w:eastAsia="仿宋" w:cs="仿宋"/>
          <w:color w:val="auto"/>
          <w:sz w:val="24"/>
          <w:highlight w:val="none"/>
        </w:rPr>
      </w:pPr>
    </w:p>
    <w:p>
      <w:pPr>
        <w:rPr>
          <w:rFonts w:ascii="仿宋" w:hAnsi="仿宋" w:eastAsia="仿宋" w:cs="仿宋"/>
          <w:color w:val="auto"/>
          <w:sz w:val="24"/>
          <w:highlight w:val="none"/>
        </w:rPr>
      </w:pPr>
    </w:p>
    <w:p>
      <w:pPr>
        <w:rPr>
          <w:rFonts w:ascii="仿宋" w:hAnsi="仿宋" w:eastAsia="仿宋" w:cs="仿宋"/>
          <w:color w:val="auto"/>
          <w:sz w:val="24"/>
          <w:highlight w:val="none"/>
        </w:rPr>
      </w:pPr>
    </w:p>
    <w:p>
      <w:pPr>
        <w:snapToGrid w:val="0"/>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中标服务费支付承诺书</w:t>
      </w:r>
    </w:p>
    <w:p>
      <w:pPr>
        <w:spacing w:line="600" w:lineRule="auto"/>
        <w:jc w:val="center"/>
        <w:rPr>
          <w:rFonts w:ascii="仿宋" w:hAnsi="仿宋" w:eastAsia="仿宋" w:cs="仿宋"/>
          <w:b/>
          <w:color w:val="auto"/>
          <w:sz w:val="24"/>
          <w:highlight w:val="none"/>
        </w:rPr>
      </w:pPr>
    </w:p>
    <w:p>
      <w:pPr>
        <w:pStyle w:val="3"/>
        <w:spacing w:line="600" w:lineRule="auto"/>
        <w:ind w:firstLine="470" w:firstLineChars="196"/>
        <w:rPr>
          <w:rFonts w:ascii="仿宋" w:eastAsia="仿宋" w:cs="仿宋"/>
          <w:b w:val="0"/>
          <w:color w:val="auto"/>
          <w:sz w:val="24"/>
          <w:szCs w:val="24"/>
          <w:highlight w:val="none"/>
          <w:u w:val="single"/>
        </w:rPr>
      </w:pPr>
      <w:r>
        <w:rPr>
          <w:rFonts w:hint="eastAsia" w:ascii="仿宋" w:eastAsia="仿宋" w:cs="仿宋"/>
          <w:b w:val="0"/>
          <w:color w:val="auto"/>
          <w:sz w:val="24"/>
          <w:szCs w:val="24"/>
          <w:highlight w:val="none"/>
          <w:u w:val="single"/>
        </w:rPr>
        <w:t>浙江国际招投标有限公司：</w:t>
      </w:r>
    </w:p>
    <w:p>
      <w:pPr>
        <w:spacing w:line="600" w:lineRule="auto"/>
        <w:ind w:firstLine="420"/>
        <w:rPr>
          <w:color w:val="auto"/>
          <w:highlight w:val="none"/>
        </w:rPr>
      </w:pPr>
    </w:p>
    <w:p>
      <w:pPr>
        <w:pStyle w:val="3"/>
        <w:spacing w:line="600" w:lineRule="auto"/>
        <w:ind w:firstLine="420"/>
        <w:rPr>
          <w:rFonts w:ascii="仿宋" w:eastAsia="仿宋" w:cs="仿宋"/>
          <w:b w:val="0"/>
          <w:color w:val="auto"/>
          <w:sz w:val="24"/>
          <w:szCs w:val="24"/>
          <w:highlight w:val="none"/>
        </w:rPr>
      </w:pPr>
      <w:r>
        <w:rPr>
          <w:rFonts w:hint="eastAsia" w:ascii="仿宋" w:eastAsia="仿宋" w:cs="仿宋"/>
          <w:b w:val="0"/>
          <w:color w:val="auto"/>
          <w:sz w:val="24"/>
          <w:szCs w:val="24"/>
          <w:highlight w:val="none"/>
        </w:rPr>
        <w:t>本单位在此承诺：如在本项目中标，中标之日起5个工作日之内，向贵公司按采购文件约定支付中标服务费。</w:t>
      </w:r>
    </w:p>
    <w:p>
      <w:pPr>
        <w:rPr>
          <w:rFonts w:ascii="仿宋" w:hAnsi="仿宋" w:eastAsia="仿宋" w:cs="仿宋"/>
          <w:color w:val="auto"/>
          <w:sz w:val="24"/>
          <w:highlight w:val="none"/>
        </w:rPr>
      </w:pPr>
    </w:p>
    <w:p>
      <w:pPr>
        <w:rPr>
          <w:rFonts w:ascii="仿宋" w:hAnsi="仿宋" w:eastAsia="仿宋" w:cs="仿宋"/>
          <w:color w:val="auto"/>
          <w:sz w:val="24"/>
          <w:highlight w:val="none"/>
        </w:rPr>
      </w:pPr>
    </w:p>
    <w:p>
      <w:pPr>
        <w:rPr>
          <w:rFonts w:ascii="仿宋" w:hAnsi="仿宋" w:eastAsia="仿宋" w:cs="仿宋"/>
          <w:color w:val="auto"/>
          <w:sz w:val="24"/>
          <w:highlight w:val="none"/>
        </w:rPr>
      </w:pPr>
    </w:p>
    <w:p>
      <w:pPr>
        <w:snapToGrid w:val="0"/>
        <w:spacing w:line="300" w:lineRule="auto"/>
        <w:jc w:val="right"/>
        <w:rPr>
          <w:rFonts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pPr>
        <w:snapToGrid w:val="0"/>
        <w:spacing w:line="300" w:lineRule="auto"/>
        <w:jc w:val="right"/>
        <w:rPr>
          <w:rFonts w:ascii="仿宋" w:hAnsi="仿宋" w:eastAsia="仿宋" w:cs="仿宋"/>
          <w:color w:val="auto"/>
          <w:sz w:val="24"/>
          <w:highlight w:val="none"/>
        </w:rPr>
      </w:pPr>
    </w:p>
    <w:p>
      <w:pPr>
        <w:ind w:right="375"/>
        <w:jc w:val="right"/>
        <w:rPr>
          <w:rFonts w:ascii="仿宋" w:hAnsi="仿宋" w:eastAsia="仿宋" w:cs="仿宋"/>
          <w:color w:val="auto"/>
          <w:spacing w:val="20"/>
          <w:sz w:val="24"/>
          <w:highlight w:val="none"/>
        </w:rPr>
      </w:pPr>
    </w:p>
    <w:p>
      <w:pPr>
        <w:ind w:right="375"/>
        <w:jc w:val="right"/>
        <w:rPr>
          <w:rFonts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pPr>
        <w:ind w:right="480"/>
        <w:rPr>
          <w:rFonts w:ascii="仿宋" w:hAnsi="仿宋" w:eastAsia="仿宋" w:cs="仿宋"/>
          <w:color w:val="auto"/>
          <w:sz w:val="24"/>
          <w:highlight w:val="none"/>
        </w:rPr>
      </w:pPr>
    </w:p>
    <w:p>
      <w:pPr>
        <w:ind w:right="480"/>
        <w:rPr>
          <w:rFonts w:ascii="仿宋" w:hAnsi="仿宋" w:eastAsia="仿宋" w:cs="仿宋"/>
          <w:color w:val="auto"/>
          <w:sz w:val="24"/>
          <w:highlight w:val="none"/>
        </w:rPr>
      </w:pPr>
    </w:p>
    <w:p>
      <w:pPr>
        <w:ind w:right="480"/>
        <w:rPr>
          <w:rFonts w:ascii="仿宋" w:hAnsi="仿宋" w:eastAsia="仿宋" w:cs="仿宋"/>
          <w:color w:val="auto"/>
          <w:sz w:val="24"/>
          <w:highlight w:val="none"/>
        </w:rPr>
      </w:pPr>
    </w:p>
    <w:p>
      <w:pPr>
        <w:ind w:right="480"/>
        <w:rPr>
          <w:rFonts w:ascii="仿宋" w:hAnsi="仿宋" w:eastAsia="仿宋" w:cs="仿宋"/>
          <w:color w:val="auto"/>
          <w:sz w:val="24"/>
          <w:highlight w:val="none"/>
        </w:rPr>
      </w:pPr>
    </w:p>
    <w:p>
      <w:pPr>
        <w:ind w:right="480"/>
        <w:rPr>
          <w:rFonts w:ascii="仿宋" w:hAnsi="仿宋" w:eastAsia="仿宋" w:cs="仿宋"/>
          <w:color w:val="auto"/>
          <w:sz w:val="24"/>
          <w:highlight w:val="none"/>
        </w:rPr>
      </w:pPr>
    </w:p>
    <w:p>
      <w:pPr>
        <w:ind w:right="480"/>
        <w:rPr>
          <w:rFonts w:ascii="仿宋" w:hAnsi="仿宋" w:eastAsia="仿宋" w:cs="仿宋"/>
          <w:color w:val="auto"/>
          <w:sz w:val="24"/>
          <w:highlight w:val="none"/>
        </w:rPr>
      </w:pPr>
    </w:p>
    <w:p>
      <w:pPr>
        <w:widowControl/>
        <w:snapToGrid w:val="0"/>
        <w:spacing w:line="360" w:lineRule="auto"/>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浙江国际招投标有限公司中标服务费收取账号</w:t>
      </w:r>
    </w:p>
    <w:p>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收款单位（户名）：浙江国际招投标有限公司</w:t>
      </w:r>
    </w:p>
    <w:p>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开户银行：中国工商银行杭州武林支行</w:t>
      </w:r>
    </w:p>
    <w:p>
      <w:pPr>
        <w:widowControl/>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银行账号：1202021209906782015</w:t>
      </w:r>
    </w:p>
    <w:p>
      <w:pPr>
        <w:spacing w:line="360" w:lineRule="auto"/>
        <w:ind w:firstLine="4515" w:firstLineChars="2150"/>
        <w:rPr>
          <w:rFonts w:ascii="仿宋" w:hAnsi="仿宋" w:eastAsia="仿宋" w:cs="仿宋"/>
          <w:color w:val="auto"/>
          <w:szCs w:val="21"/>
          <w:highlight w:val="none"/>
        </w:rPr>
      </w:pPr>
      <w:r>
        <w:rPr>
          <w:rFonts w:hint="eastAsia" w:ascii="仿宋" w:hAnsi="仿宋" w:eastAsia="仿宋" w:cs="仿宋"/>
          <w:color w:val="auto"/>
          <w:kern w:val="0"/>
          <w:szCs w:val="21"/>
          <w:highlight w:val="none"/>
        </w:rPr>
        <w:br w:type="page"/>
      </w:r>
    </w:p>
    <w:p>
      <w:pPr>
        <w:tabs>
          <w:tab w:val="left" w:pos="8085"/>
        </w:tabs>
        <w:spacing w:line="360" w:lineRule="auto"/>
        <w:ind w:firstLine="1285" w:firstLineChars="400"/>
        <w:jc w:val="left"/>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pPr>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pPr>
        <w:pStyle w:val="3"/>
        <w:numPr>
          <w:ilvl w:val="255"/>
          <w:numId w:val="0"/>
        </w:numPr>
        <w:ind w:firstLine="960" w:firstLineChars="400"/>
        <w:rPr>
          <w:rFonts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（三）杭州e融平台申请融资</w:t>
      </w:r>
    </w:p>
    <w:p>
      <w:pPr>
        <w:pStyle w:val="3"/>
        <w:numPr>
          <w:ilvl w:val="255"/>
          <w:numId w:val="0"/>
        </w:numPr>
        <w:ind w:firstLine="960" w:firstLineChars="400"/>
        <w:rPr>
          <w:rFonts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仿宋" w:hAnsi="仿宋" w:eastAsia="仿宋" w:cs="仿宋"/>
          <w:b/>
          <w:bCs/>
          <w:color w:val="auto"/>
          <w:kern w:val="0"/>
          <w:sz w:val="24"/>
          <w:highlight w:val="none"/>
        </w:rPr>
      </w:pPr>
    </w:p>
    <w:p>
      <w:pPr>
        <w:pStyle w:val="2"/>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highlight w:val="none"/>
        </w:rPr>
      </w:pPr>
      <w:bookmarkStart w:id="387" w:name="_Toc465665161"/>
      <w:r>
        <w:rPr>
          <w:rFonts w:hint="eastAsia" w:ascii="仿宋" w:hAnsi="仿宋" w:eastAsia="仿宋" w:cs="仿宋"/>
          <w:color w:val="auto"/>
          <w:highlight w:val="none"/>
        </w:rPr>
        <w:t>附件</w:t>
      </w:r>
      <w:bookmarkEnd w:id="387"/>
    </w:p>
    <w:p>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pStyle w:val="608"/>
        <w:snapToGrid w:val="0"/>
        <w:spacing w:line="500" w:lineRule="exact"/>
        <w:jc w:val="center"/>
        <w:rPr>
          <w:rFonts w:hint="default" w:ascii="仿宋" w:hAnsi="仿宋" w:eastAsia="仿宋" w:cs="仿宋"/>
          <w:b/>
          <w:color w:val="auto"/>
          <w:sz w:val="28"/>
          <w:szCs w:val="28"/>
          <w:highlight w:val="none"/>
        </w:rPr>
      </w:pPr>
      <w:bookmarkStart w:id="388" w:name="OLE_LINK14"/>
      <w:bookmarkStart w:id="389" w:name="OLE_LINK13"/>
      <w:r>
        <w:rPr>
          <w:rFonts w:ascii="仿宋" w:hAnsi="仿宋" w:eastAsia="仿宋" w:cs="仿宋"/>
          <w:b/>
          <w:color w:val="auto"/>
          <w:sz w:val="28"/>
          <w:szCs w:val="28"/>
          <w:highlight w:val="none"/>
        </w:rPr>
        <w:t>政府采购活动现场确认声明书</w:t>
      </w:r>
    </w:p>
    <w:p>
      <w:pPr>
        <w:pStyle w:val="608"/>
        <w:adjustRightInd w:val="0"/>
        <w:snapToGrid w:val="0"/>
        <w:spacing w:line="360" w:lineRule="auto"/>
        <w:rPr>
          <w:rFonts w:hint="default" w:ascii="仿宋" w:hAnsi="仿宋" w:eastAsia="仿宋" w:cs="仿宋"/>
          <w:color w:val="auto"/>
          <w:kern w:val="0"/>
          <w:szCs w:val="21"/>
          <w:highlight w:val="none"/>
          <w:u w:val="single"/>
        </w:rPr>
      </w:pPr>
    </w:p>
    <w:p>
      <w:pPr>
        <w:pStyle w:val="608"/>
        <w:adjustRightInd w:val="0"/>
        <w:snapToGrid w:val="0"/>
        <w:spacing w:line="360" w:lineRule="auto"/>
        <w:rPr>
          <w:rFonts w:hint="default" w:ascii="仿宋" w:hAnsi="仿宋" w:eastAsia="仿宋" w:cs="仿宋"/>
          <w:b/>
          <w:color w:val="auto"/>
          <w:szCs w:val="21"/>
          <w:highlight w:val="none"/>
        </w:rPr>
      </w:pPr>
      <w:r>
        <w:rPr>
          <w:rFonts w:ascii="仿宋" w:hAnsi="仿宋" w:eastAsia="仿宋" w:cs="仿宋"/>
          <w:color w:val="auto"/>
          <w:kern w:val="0"/>
          <w:szCs w:val="21"/>
          <w:highlight w:val="none"/>
          <w:u w:val="single"/>
        </w:rPr>
        <w:t>浙江国际招投标有限公司</w:t>
      </w:r>
      <w:r>
        <w:rPr>
          <w:rFonts w:ascii="仿宋" w:hAnsi="仿宋" w:eastAsia="仿宋" w:cs="仿宋"/>
          <w:color w:val="auto"/>
          <w:kern w:val="0"/>
          <w:szCs w:val="21"/>
          <w:highlight w:val="none"/>
        </w:rPr>
        <w:t>：</w:t>
      </w:r>
    </w:p>
    <w:p>
      <w:pPr>
        <w:pStyle w:val="608"/>
        <w:adjustRightInd w:val="0"/>
        <w:snapToGrid w:val="0"/>
        <w:spacing w:line="360" w:lineRule="auto"/>
        <w:ind w:firstLine="444" w:firstLineChars="200"/>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本人经由</w:t>
      </w:r>
      <w:r>
        <w:rPr>
          <w:rFonts w:ascii="仿宋" w:hAnsi="仿宋" w:eastAsia="仿宋" w:cs="仿宋"/>
          <w:color w:val="auto"/>
          <w:spacing w:val="6"/>
          <w:szCs w:val="21"/>
          <w:highlight w:val="none"/>
          <w:u w:val="single"/>
        </w:rPr>
        <w:t xml:space="preserve">              （单位）</w:t>
      </w:r>
      <w:r>
        <w:rPr>
          <w:rFonts w:ascii="仿宋" w:hAnsi="仿宋" w:eastAsia="仿宋" w:cs="仿宋"/>
          <w:color w:val="auto"/>
          <w:spacing w:val="6"/>
          <w:szCs w:val="21"/>
          <w:highlight w:val="none"/>
        </w:rPr>
        <w:t>负责人</w:t>
      </w:r>
      <w:r>
        <w:rPr>
          <w:rFonts w:ascii="仿宋" w:hAnsi="仿宋" w:eastAsia="仿宋" w:cs="仿宋"/>
          <w:color w:val="auto"/>
          <w:spacing w:val="6"/>
          <w:szCs w:val="21"/>
          <w:highlight w:val="none"/>
          <w:u w:val="single"/>
        </w:rPr>
        <w:t xml:space="preserve">      （姓名）</w:t>
      </w:r>
      <w:r>
        <w:rPr>
          <w:rFonts w:ascii="仿宋" w:hAnsi="仿宋" w:eastAsia="仿宋" w:cs="仿宋"/>
          <w:color w:val="auto"/>
          <w:spacing w:val="6"/>
          <w:szCs w:val="21"/>
          <w:highlight w:val="none"/>
        </w:rPr>
        <w:t>合法授权参加</w:t>
      </w:r>
      <w:r>
        <w:rPr>
          <w:rFonts w:ascii="仿宋" w:hAnsi="仿宋" w:eastAsia="仿宋" w:cs="仿宋"/>
          <w:color w:val="auto"/>
          <w:spacing w:val="6"/>
          <w:szCs w:val="21"/>
          <w:highlight w:val="none"/>
          <w:u w:val="single"/>
        </w:rPr>
        <w:t xml:space="preserve">           </w:t>
      </w:r>
      <w:r>
        <w:rPr>
          <w:rFonts w:ascii="仿宋" w:hAnsi="仿宋" w:eastAsia="仿宋" w:cs="仿宋"/>
          <w:color w:val="auto"/>
          <w:spacing w:val="6"/>
          <w:szCs w:val="21"/>
          <w:highlight w:val="none"/>
        </w:rPr>
        <w:t>项目</w:t>
      </w:r>
      <w:r>
        <w:rPr>
          <w:rFonts w:ascii="仿宋" w:hAnsi="仿宋" w:eastAsia="仿宋" w:cs="仿宋"/>
          <w:color w:val="auto"/>
          <w:spacing w:val="6"/>
          <w:szCs w:val="21"/>
          <w:highlight w:val="none"/>
          <w:u w:val="single"/>
        </w:rPr>
        <w:t>（编号：    ）</w:t>
      </w:r>
      <w:r>
        <w:rPr>
          <w:rFonts w:ascii="仿宋" w:hAnsi="仿宋" w:eastAsia="仿宋" w:cs="仿宋"/>
          <w:color w:val="auto"/>
          <w:spacing w:val="6"/>
          <w:szCs w:val="21"/>
          <w:highlight w:val="none"/>
        </w:rPr>
        <w:t xml:space="preserve">政府采购活动，经与本单位法人代表（负责人）联系确认，现就有关公平竞争事项郑重声明如下： </w:t>
      </w:r>
    </w:p>
    <w:p>
      <w:pPr>
        <w:pStyle w:val="609"/>
        <w:widowControl/>
        <w:numPr>
          <w:ilvl w:val="0"/>
          <w:numId w:val="5"/>
        </w:numPr>
        <w:adjustRightInd w:val="0"/>
        <w:snapToGrid w:val="0"/>
        <w:spacing w:line="360" w:lineRule="auto"/>
        <w:ind w:firstLine="396" w:firstLineChars="189"/>
        <w:rPr>
          <w:rFonts w:hint="default" w:ascii="仿宋" w:hAnsi="仿宋" w:eastAsia="仿宋" w:cs="仿宋"/>
          <w:color w:val="auto"/>
          <w:kern w:val="0"/>
          <w:szCs w:val="21"/>
          <w:highlight w:val="none"/>
        </w:rPr>
      </w:pPr>
      <w:r>
        <w:rPr>
          <w:rFonts w:ascii="仿宋" w:hAnsi="仿宋" w:eastAsia="仿宋" w:cs="仿宋"/>
          <w:color w:val="auto"/>
          <w:kern w:val="0"/>
          <w:szCs w:val="21"/>
          <w:highlight w:val="none"/>
        </w:rPr>
        <w:t>本单位与采购人之间 □不存在利害关系 □存在下列利害关系</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w:t>
      </w:r>
    </w:p>
    <w:p>
      <w:pPr>
        <w:pStyle w:val="609"/>
        <w:widowControl/>
        <w:adjustRightInd w:val="0"/>
        <w:snapToGrid w:val="0"/>
        <w:spacing w:line="360" w:lineRule="auto"/>
        <w:ind w:firstLine="200"/>
        <w:rPr>
          <w:rFonts w:hint="default" w:ascii="仿宋" w:hAnsi="仿宋" w:eastAsia="仿宋" w:cs="仿宋"/>
          <w:color w:val="auto"/>
          <w:kern w:val="0"/>
          <w:szCs w:val="21"/>
          <w:highlight w:val="none"/>
        </w:rPr>
      </w:pPr>
      <w:r>
        <w:rPr>
          <w:rFonts w:ascii="仿宋" w:hAnsi="仿宋" w:eastAsia="仿宋" w:cs="仿宋"/>
          <w:color w:val="auto"/>
          <w:kern w:val="0"/>
          <w:szCs w:val="21"/>
          <w:highlight w:val="none"/>
        </w:rPr>
        <w:t xml:space="preserve">  A.投资关系    B.行政隶属关系    C.业务指导关系</w:t>
      </w:r>
    </w:p>
    <w:p>
      <w:pPr>
        <w:pStyle w:val="609"/>
        <w:widowControl/>
        <w:adjustRightInd w:val="0"/>
        <w:snapToGrid w:val="0"/>
        <w:spacing w:line="360" w:lineRule="auto"/>
        <w:ind w:firstLine="200"/>
        <w:rPr>
          <w:rFonts w:hint="default" w:ascii="仿宋" w:hAnsi="仿宋" w:eastAsia="仿宋" w:cs="仿宋"/>
          <w:color w:val="auto"/>
          <w:kern w:val="0"/>
          <w:szCs w:val="21"/>
          <w:highlight w:val="none"/>
        </w:rPr>
      </w:pPr>
      <w:r>
        <w:rPr>
          <w:rFonts w:ascii="仿宋" w:hAnsi="仿宋" w:eastAsia="仿宋" w:cs="仿宋"/>
          <w:color w:val="auto"/>
          <w:kern w:val="0"/>
          <w:szCs w:val="21"/>
          <w:highlight w:val="none"/>
        </w:rPr>
        <w:t xml:space="preserve">  D.其他可能</w:t>
      </w:r>
      <w:r>
        <w:rPr>
          <w:rFonts w:ascii="仿宋" w:hAnsi="仿宋" w:eastAsia="仿宋" w:cs="仿宋"/>
          <w:color w:val="auto"/>
          <w:szCs w:val="21"/>
          <w:highlight w:val="none"/>
        </w:rPr>
        <w:t>影响采购公正的</w:t>
      </w:r>
      <w:r>
        <w:rPr>
          <w:rFonts w:ascii="仿宋" w:hAnsi="仿宋" w:eastAsia="仿宋" w:cs="仿宋"/>
          <w:color w:val="auto"/>
          <w:kern w:val="0"/>
          <w:szCs w:val="21"/>
          <w:highlight w:val="none"/>
        </w:rPr>
        <w:t>利害关系</w:t>
      </w:r>
      <w:r>
        <w:rPr>
          <w:rFonts w:ascii="仿宋" w:hAnsi="仿宋" w:eastAsia="仿宋" w:cs="仿宋"/>
          <w:color w:val="auto"/>
          <w:kern w:val="0"/>
          <w:szCs w:val="21"/>
          <w:highlight w:val="none"/>
          <w:u w:val="single"/>
        </w:rPr>
        <w:t xml:space="preserve">（如有，请如实说明）                 </w:t>
      </w:r>
      <w:r>
        <w:rPr>
          <w:rFonts w:ascii="仿宋" w:hAnsi="仿宋" w:eastAsia="仿宋" w:cs="仿宋"/>
          <w:color w:val="auto"/>
          <w:kern w:val="0"/>
          <w:szCs w:val="21"/>
          <w:highlight w:val="none"/>
        </w:rPr>
        <w:t>。</w:t>
      </w:r>
    </w:p>
    <w:p>
      <w:pPr>
        <w:pStyle w:val="609"/>
        <w:widowControl/>
        <w:adjustRightInd w:val="0"/>
        <w:snapToGrid w:val="0"/>
        <w:spacing w:line="360" w:lineRule="auto"/>
        <w:ind w:firstLine="200"/>
        <w:rPr>
          <w:rFonts w:hint="default" w:ascii="仿宋" w:hAnsi="仿宋" w:eastAsia="仿宋" w:cs="仿宋"/>
          <w:color w:val="auto"/>
          <w:kern w:val="0"/>
          <w:szCs w:val="21"/>
          <w:highlight w:val="none"/>
        </w:rPr>
      </w:pPr>
      <w:r>
        <w:rPr>
          <w:rFonts w:ascii="仿宋" w:hAnsi="仿宋" w:eastAsia="仿宋" w:cs="仿宋"/>
          <w:color w:val="auto"/>
          <w:spacing w:val="6"/>
          <w:szCs w:val="21"/>
          <w:highlight w:val="none"/>
        </w:rPr>
        <w:t xml:space="preserve">  二、</w:t>
      </w:r>
      <w:r>
        <w:rPr>
          <w:rFonts w:ascii="仿宋" w:hAnsi="仿宋" w:eastAsia="仿宋" w:cs="仿宋"/>
          <w:color w:val="auto"/>
          <w:kern w:val="0"/>
          <w:szCs w:val="21"/>
          <w:highlight w:val="none"/>
        </w:rPr>
        <w:t>现已清楚知道参加本项目采购活动的其他所有供应商名称，本单位 □与其他所有供应商之间均不存在利害关系 □与</w:t>
      </w:r>
      <w:r>
        <w:rPr>
          <w:rFonts w:ascii="仿宋" w:hAnsi="仿宋" w:eastAsia="仿宋" w:cs="仿宋"/>
          <w:color w:val="auto"/>
          <w:kern w:val="0"/>
          <w:szCs w:val="21"/>
          <w:highlight w:val="none"/>
          <w:u w:val="single"/>
        </w:rPr>
        <w:t xml:space="preserve">           （供应商名称）</w:t>
      </w:r>
      <w:r>
        <w:rPr>
          <w:rFonts w:ascii="仿宋" w:hAnsi="仿宋" w:eastAsia="仿宋" w:cs="仿宋"/>
          <w:color w:val="auto"/>
          <w:kern w:val="0"/>
          <w:szCs w:val="21"/>
          <w:highlight w:val="none"/>
        </w:rPr>
        <w:t>之间存在下列利害关系</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w:t>
      </w:r>
    </w:p>
    <w:p>
      <w:pPr>
        <w:pStyle w:val="608"/>
        <w:adjustRightInd w:val="0"/>
        <w:snapToGrid w:val="0"/>
        <w:spacing w:line="360" w:lineRule="auto"/>
        <w:ind w:firstLine="200"/>
        <w:rPr>
          <w:rFonts w:hint="default" w:ascii="仿宋" w:hAnsi="仿宋" w:eastAsia="仿宋" w:cs="仿宋"/>
          <w:color w:val="auto"/>
          <w:kern w:val="0"/>
          <w:szCs w:val="21"/>
          <w:highlight w:val="none"/>
        </w:rPr>
      </w:pPr>
      <w:r>
        <w:rPr>
          <w:rFonts w:ascii="仿宋" w:hAnsi="仿宋" w:eastAsia="仿宋" w:cs="仿宋"/>
          <w:color w:val="auto"/>
          <w:kern w:val="0"/>
          <w:szCs w:val="21"/>
          <w:highlight w:val="none"/>
        </w:rPr>
        <w:t xml:space="preserve">  A.法定代表人或负责人或实际控制人是同一人</w:t>
      </w:r>
    </w:p>
    <w:p>
      <w:pPr>
        <w:pStyle w:val="608"/>
        <w:adjustRightInd w:val="0"/>
        <w:snapToGrid w:val="0"/>
        <w:spacing w:line="360" w:lineRule="auto"/>
        <w:ind w:firstLine="200"/>
        <w:rPr>
          <w:rFonts w:hint="default" w:ascii="仿宋" w:hAnsi="仿宋" w:eastAsia="仿宋" w:cs="仿宋"/>
          <w:color w:val="auto"/>
          <w:spacing w:val="6"/>
          <w:szCs w:val="21"/>
          <w:highlight w:val="none"/>
        </w:rPr>
      </w:pPr>
      <w:r>
        <w:rPr>
          <w:rFonts w:ascii="仿宋" w:hAnsi="仿宋" w:eastAsia="仿宋" w:cs="仿宋"/>
          <w:color w:val="auto"/>
          <w:kern w:val="0"/>
          <w:szCs w:val="21"/>
          <w:highlight w:val="none"/>
        </w:rPr>
        <w:t xml:space="preserve">  B.法定代表人或负责人或实际控制人是夫妻关系</w:t>
      </w:r>
    </w:p>
    <w:p>
      <w:pPr>
        <w:pStyle w:val="608"/>
        <w:adjustRightInd w:val="0"/>
        <w:snapToGrid w:val="0"/>
        <w:spacing w:line="360" w:lineRule="auto"/>
        <w:ind w:firstLine="200"/>
        <w:rPr>
          <w:rFonts w:hint="default" w:ascii="仿宋" w:hAnsi="仿宋" w:eastAsia="仿宋" w:cs="仿宋"/>
          <w:color w:val="auto"/>
          <w:spacing w:val="6"/>
          <w:szCs w:val="21"/>
          <w:highlight w:val="none"/>
        </w:rPr>
      </w:pPr>
      <w:r>
        <w:rPr>
          <w:rFonts w:ascii="仿宋" w:hAnsi="仿宋" w:eastAsia="仿宋" w:cs="仿宋"/>
          <w:color w:val="auto"/>
          <w:kern w:val="0"/>
          <w:szCs w:val="21"/>
          <w:highlight w:val="none"/>
        </w:rPr>
        <w:t xml:space="preserve">  C.法定代表人或负责人或实际控制人是直系血亲关系</w:t>
      </w:r>
    </w:p>
    <w:p>
      <w:pPr>
        <w:pStyle w:val="608"/>
        <w:adjustRightInd w:val="0"/>
        <w:snapToGrid w:val="0"/>
        <w:spacing w:line="360" w:lineRule="auto"/>
        <w:ind w:firstLine="200"/>
        <w:rPr>
          <w:rFonts w:hint="default" w:ascii="仿宋" w:hAnsi="仿宋" w:eastAsia="仿宋" w:cs="仿宋"/>
          <w:color w:val="auto"/>
          <w:spacing w:val="6"/>
          <w:szCs w:val="21"/>
          <w:highlight w:val="none"/>
        </w:rPr>
      </w:pPr>
      <w:r>
        <w:rPr>
          <w:rFonts w:ascii="仿宋" w:hAnsi="仿宋" w:eastAsia="仿宋" w:cs="仿宋"/>
          <w:color w:val="auto"/>
          <w:kern w:val="0"/>
          <w:szCs w:val="21"/>
          <w:highlight w:val="none"/>
        </w:rPr>
        <w:t xml:space="preserve">  D.法定代表人或负责人或实际控制人存在三代以内旁系血亲关系</w:t>
      </w:r>
    </w:p>
    <w:p>
      <w:pPr>
        <w:pStyle w:val="608"/>
        <w:adjustRightInd w:val="0"/>
        <w:snapToGrid w:val="0"/>
        <w:spacing w:line="360" w:lineRule="auto"/>
        <w:ind w:firstLine="200"/>
        <w:rPr>
          <w:rFonts w:hint="default" w:ascii="仿宋" w:hAnsi="仿宋" w:eastAsia="仿宋" w:cs="仿宋"/>
          <w:color w:val="auto"/>
          <w:kern w:val="0"/>
          <w:szCs w:val="21"/>
          <w:highlight w:val="none"/>
        </w:rPr>
      </w:pPr>
      <w:r>
        <w:rPr>
          <w:rFonts w:ascii="仿宋" w:hAnsi="仿宋" w:eastAsia="仿宋" w:cs="仿宋"/>
          <w:color w:val="auto"/>
          <w:kern w:val="0"/>
          <w:szCs w:val="21"/>
          <w:highlight w:val="none"/>
        </w:rPr>
        <w:t xml:space="preserve">  E.法定代表人或负责人或实际控制人存在近姻亲关系</w:t>
      </w:r>
    </w:p>
    <w:p>
      <w:pPr>
        <w:pStyle w:val="608"/>
        <w:adjustRightInd w:val="0"/>
        <w:snapToGrid w:val="0"/>
        <w:spacing w:line="360" w:lineRule="auto"/>
        <w:ind w:firstLine="200"/>
        <w:rPr>
          <w:rFonts w:hint="default" w:ascii="仿宋" w:hAnsi="仿宋" w:eastAsia="仿宋" w:cs="仿宋"/>
          <w:color w:val="auto"/>
          <w:kern w:val="0"/>
          <w:szCs w:val="21"/>
          <w:highlight w:val="none"/>
        </w:rPr>
      </w:pPr>
      <w:r>
        <w:rPr>
          <w:rFonts w:ascii="仿宋" w:hAnsi="仿宋" w:eastAsia="仿宋" w:cs="仿宋"/>
          <w:color w:val="auto"/>
          <w:kern w:val="0"/>
          <w:szCs w:val="21"/>
          <w:highlight w:val="none"/>
        </w:rPr>
        <w:t xml:space="preserve">  F.法定代表人或负责人或实际控制人存在股份控制或实际控制关系</w:t>
      </w:r>
    </w:p>
    <w:p>
      <w:pPr>
        <w:pStyle w:val="608"/>
        <w:adjustRightInd w:val="0"/>
        <w:snapToGrid w:val="0"/>
        <w:spacing w:line="360" w:lineRule="auto"/>
        <w:ind w:firstLine="200"/>
        <w:rPr>
          <w:rFonts w:hint="default" w:ascii="仿宋" w:hAnsi="仿宋" w:eastAsia="仿宋" w:cs="仿宋"/>
          <w:color w:val="auto"/>
          <w:kern w:val="0"/>
          <w:szCs w:val="21"/>
          <w:highlight w:val="none"/>
        </w:rPr>
      </w:pPr>
      <w:r>
        <w:rPr>
          <w:rFonts w:ascii="仿宋" w:hAnsi="仿宋" w:eastAsia="仿宋" w:cs="仿宋"/>
          <w:color w:val="auto"/>
          <w:kern w:val="0"/>
          <w:szCs w:val="21"/>
          <w:highlight w:val="none"/>
        </w:rPr>
        <w:t xml:space="preserve">  G.存在共同直接或间接投资设立子公司、联营企业和合营企业情况</w:t>
      </w:r>
    </w:p>
    <w:p>
      <w:pPr>
        <w:pStyle w:val="608"/>
        <w:adjustRightInd w:val="0"/>
        <w:snapToGrid w:val="0"/>
        <w:spacing w:line="360" w:lineRule="auto"/>
        <w:ind w:firstLine="200"/>
        <w:rPr>
          <w:rFonts w:hint="default" w:ascii="仿宋" w:hAnsi="仿宋" w:eastAsia="仿宋" w:cs="仿宋"/>
          <w:color w:val="auto"/>
          <w:szCs w:val="21"/>
          <w:highlight w:val="none"/>
        </w:rPr>
      </w:pPr>
      <w:r>
        <w:rPr>
          <w:rFonts w:ascii="仿宋" w:hAnsi="仿宋" w:eastAsia="仿宋" w:cs="仿宋"/>
          <w:color w:val="auto"/>
          <w:kern w:val="0"/>
          <w:szCs w:val="21"/>
          <w:highlight w:val="none"/>
        </w:rPr>
        <w:t xml:space="preserve">  H.存在分级代理或代销关系、同一生产制造商关系、</w:t>
      </w:r>
      <w:r>
        <w:rPr>
          <w:rFonts w:ascii="仿宋" w:hAnsi="仿宋" w:eastAsia="仿宋" w:cs="仿宋"/>
          <w:color w:val="auto"/>
          <w:szCs w:val="21"/>
          <w:highlight w:val="none"/>
        </w:rPr>
        <w:t>管理关系、重要业务（占主营业务收入50%以上）或重要财务往来关系（如融资）等其他实质性控制关系</w:t>
      </w:r>
    </w:p>
    <w:p>
      <w:pPr>
        <w:pStyle w:val="608"/>
        <w:adjustRightInd w:val="0"/>
        <w:snapToGrid w:val="0"/>
        <w:spacing w:line="360" w:lineRule="auto"/>
        <w:ind w:firstLine="200"/>
        <w:rPr>
          <w:rFonts w:hint="default" w:ascii="仿宋" w:hAnsi="仿宋" w:eastAsia="仿宋" w:cs="仿宋"/>
          <w:color w:val="auto"/>
          <w:spacing w:val="6"/>
          <w:szCs w:val="21"/>
          <w:highlight w:val="none"/>
        </w:rPr>
      </w:pPr>
      <w:r>
        <w:rPr>
          <w:rFonts w:ascii="仿宋" w:hAnsi="仿宋" w:eastAsia="仿宋" w:cs="仿宋"/>
          <w:color w:val="auto"/>
          <w:szCs w:val="21"/>
          <w:highlight w:val="none"/>
        </w:rPr>
        <w:t xml:space="preserve">   I</w:t>
      </w:r>
      <w:r>
        <w:rPr>
          <w:rFonts w:ascii="仿宋" w:hAnsi="仿宋" w:eastAsia="仿宋" w:cs="仿宋"/>
          <w:color w:val="auto"/>
          <w:kern w:val="0"/>
          <w:szCs w:val="21"/>
          <w:highlight w:val="none"/>
        </w:rPr>
        <w:t>.</w:t>
      </w:r>
      <w:r>
        <w:rPr>
          <w:rFonts w:ascii="仿宋" w:hAnsi="仿宋" w:eastAsia="仿宋" w:cs="仿宋"/>
          <w:color w:val="auto"/>
          <w:szCs w:val="21"/>
          <w:highlight w:val="none"/>
        </w:rPr>
        <w:t>其他利害关系情况</w:t>
      </w:r>
      <w:r>
        <w:rPr>
          <w:rFonts w:ascii="仿宋" w:hAnsi="仿宋" w:eastAsia="仿宋" w:cs="仿宋"/>
          <w:color w:val="auto"/>
          <w:szCs w:val="21"/>
          <w:highlight w:val="none"/>
          <w:u w:val="single"/>
        </w:rPr>
        <w:t xml:space="preserve">                              </w:t>
      </w:r>
      <w:r>
        <w:rPr>
          <w:rFonts w:ascii="仿宋" w:hAnsi="仿宋" w:eastAsia="仿宋" w:cs="仿宋"/>
          <w:color w:val="auto"/>
          <w:kern w:val="0"/>
          <w:szCs w:val="21"/>
          <w:highlight w:val="none"/>
        </w:rPr>
        <w:t>。</w:t>
      </w:r>
    </w:p>
    <w:p>
      <w:pPr>
        <w:pStyle w:val="609"/>
        <w:widowControl/>
        <w:numPr>
          <w:ilvl w:val="0"/>
          <w:numId w:val="6"/>
        </w:numPr>
        <w:adjustRightInd w:val="0"/>
        <w:snapToGrid w:val="0"/>
        <w:spacing w:line="360" w:lineRule="auto"/>
        <w:ind w:firstLine="396" w:firstLineChars="189"/>
        <w:rPr>
          <w:rFonts w:hint="default" w:ascii="仿宋" w:hAnsi="仿宋" w:eastAsia="仿宋" w:cs="仿宋"/>
          <w:color w:val="auto"/>
          <w:kern w:val="0"/>
          <w:szCs w:val="21"/>
          <w:highlight w:val="none"/>
        </w:rPr>
      </w:pPr>
      <w:r>
        <w:rPr>
          <w:rFonts w:ascii="仿宋" w:hAnsi="仿宋" w:eastAsia="仿宋" w:cs="仿宋"/>
          <w:color w:val="auto"/>
          <w:szCs w:val="21"/>
          <w:highlight w:val="none"/>
        </w:rPr>
        <w:t>现已清楚知道并</w:t>
      </w:r>
      <w:r>
        <w:rPr>
          <w:rFonts w:ascii="仿宋" w:hAnsi="仿宋" w:eastAsia="仿宋" w:cs="仿宋"/>
          <w:color w:val="auto"/>
          <w:kern w:val="0"/>
          <w:szCs w:val="21"/>
          <w:highlight w:val="none"/>
        </w:rPr>
        <w:t>严格遵守政府采购法律法规和现场纪律。</w:t>
      </w:r>
    </w:p>
    <w:p>
      <w:pPr>
        <w:pStyle w:val="609"/>
        <w:widowControl/>
        <w:numPr>
          <w:ilvl w:val="0"/>
          <w:numId w:val="6"/>
        </w:numPr>
        <w:adjustRightInd w:val="0"/>
        <w:snapToGrid w:val="0"/>
        <w:spacing w:line="360" w:lineRule="auto"/>
        <w:ind w:firstLine="396" w:firstLineChars="189"/>
        <w:rPr>
          <w:rFonts w:hint="default" w:ascii="仿宋" w:hAnsi="仿宋" w:eastAsia="仿宋" w:cs="仿宋"/>
          <w:color w:val="auto"/>
          <w:kern w:val="0"/>
          <w:szCs w:val="21"/>
          <w:highlight w:val="none"/>
        </w:rPr>
      </w:pPr>
      <w:r>
        <w:rPr>
          <w:rFonts w:ascii="仿宋" w:hAnsi="仿宋" w:eastAsia="仿宋" w:cs="仿宋"/>
          <w:color w:val="auto"/>
          <w:kern w:val="0"/>
          <w:szCs w:val="21"/>
          <w:highlight w:val="none"/>
        </w:rPr>
        <w:t>我发现</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供应商之间存在或可能存在上述第二条第</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项利害关系。</w:t>
      </w:r>
    </w:p>
    <w:p>
      <w:pPr>
        <w:pStyle w:val="609"/>
        <w:widowControl/>
        <w:adjustRightInd w:val="0"/>
        <w:snapToGrid w:val="0"/>
        <w:spacing w:line="360" w:lineRule="auto"/>
        <w:rPr>
          <w:rFonts w:hint="default" w:ascii="仿宋" w:hAnsi="仿宋" w:eastAsia="仿宋" w:cs="仿宋"/>
          <w:color w:val="auto"/>
          <w:kern w:val="0"/>
          <w:szCs w:val="21"/>
          <w:highlight w:val="none"/>
        </w:rPr>
      </w:pPr>
    </w:p>
    <w:p>
      <w:pPr>
        <w:pStyle w:val="609"/>
        <w:widowControl/>
        <w:adjustRightInd w:val="0"/>
        <w:snapToGrid w:val="0"/>
        <w:spacing w:line="360" w:lineRule="auto"/>
        <w:rPr>
          <w:rFonts w:hint="default" w:ascii="仿宋" w:hAnsi="仿宋" w:eastAsia="仿宋" w:cs="仿宋"/>
          <w:color w:val="auto"/>
          <w:kern w:val="0"/>
          <w:szCs w:val="21"/>
          <w:highlight w:val="none"/>
        </w:rPr>
      </w:pPr>
    </w:p>
    <w:p>
      <w:pPr>
        <w:pStyle w:val="608"/>
        <w:adjustRightInd w:val="0"/>
        <w:snapToGrid w:val="0"/>
        <w:spacing w:line="360" w:lineRule="auto"/>
        <w:ind w:firstLine="420" w:firstLineChars="200"/>
        <w:rPr>
          <w:rFonts w:hint="default" w:ascii="仿宋" w:hAnsi="仿宋" w:eastAsia="仿宋" w:cs="仿宋"/>
          <w:color w:val="auto"/>
          <w:szCs w:val="21"/>
          <w:highlight w:val="none"/>
        </w:rPr>
      </w:pPr>
      <w:r>
        <w:rPr>
          <w:rFonts w:ascii="仿宋" w:hAnsi="仿宋" w:eastAsia="仿宋" w:cs="仿宋"/>
          <w:color w:val="auto"/>
          <w:szCs w:val="21"/>
          <w:highlight w:val="none"/>
        </w:rPr>
        <w:t xml:space="preserve">                                                （供应商代表签名）</w:t>
      </w:r>
    </w:p>
    <w:p>
      <w:pPr>
        <w:snapToGrid w:val="0"/>
        <w:spacing w:line="360" w:lineRule="auto"/>
        <w:jc w:val="right"/>
        <w:rPr>
          <w:rFonts w:ascii="仿宋" w:hAnsi="仿宋" w:eastAsia="仿宋" w:cs="仿宋"/>
          <w:color w:val="auto"/>
          <w:highlight w:val="none"/>
        </w:rPr>
      </w:pPr>
      <w:r>
        <w:rPr>
          <w:rFonts w:hint="eastAsia" w:ascii="仿宋" w:hAnsi="仿宋" w:eastAsia="仿宋" w:cs="仿宋"/>
          <w:color w:val="auto"/>
          <w:szCs w:val="21"/>
          <w:highlight w:val="none"/>
        </w:rPr>
        <w:t xml:space="preserve">                                       年  月  日</w:t>
      </w:r>
    </w:p>
    <w:p>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br w:type="page"/>
      </w:r>
      <w:bookmarkEnd w:id="388"/>
      <w:bookmarkEnd w:id="389"/>
    </w:p>
    <w:p>
      <w:pPr>
        <w:spacing w:line="360" w:lineRule="auto"/>
        <w:ind w:firstLine="420" w:firstLineChars="200"/>
        <w:rPr>
          <w:rFonts w:ascii="仿宋" w:hAnsi="仿宋" w:eastAsia="仿宋" w:cs="仿宋"/>
          <w:color w:val="auto"/>
          <w:highlight w:val="none"/>
        </w:rPr>
      </w:pPr>
    </w:p>
    <w:p>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ascii="仿宋" w:hAnsi="仿宋" w:eastAsia="仿宋" w:cs="仿宋"/>
          <w:b/>
          <w:bCs/>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color w:val="auto"/>
          <w:sz w:val="30"/>
          <w:szCs w:val="30"/>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color w:val="auto"/>
          <w:sz w:val="24"/>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ascii="仿宋" w:hAnsi="仿宋" w:eastAsia="仿宋" w:cs="仿宋"/>
          <w:bCs/>
          <w:color w:val="auto"/>
          <w:sz w:val="24"/>
          <w:highlight w:val="none"/>
        </w:rPr>
      </w:pPr>
      <w:r>
        <w:rPr>
          <w:rFonts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rPr>
          <w:rFonts w:ascii="仿宋" w:hAnsi="仿宋" w:eastAsia="仿宋" w:cs="仿宋"/>
          <w:b/>
          <w:color w:val="auto"/>
          <w:spacing w:val="6"/>
          <w:sz w:val="32"/>
          <w:szCs w:val="32"/>
          <w:highlight w:val="none"/>
        </w:rPr>
      </w:pPr>
    </w:p>
    <w:p>
      <w:pPr>
        <w:spacing w:line="360" w:lineRule="auto"/>
        <w:rPr>
          <w:rFonts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Verdana">
    <w:panose1 w:val="020B0604030504040204"/>
    <w:charset w:val="00"/>
    <w:family w:val="auto"/>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fldChar w:fldCharType="begin"/>
                          </w:r>
                          <w:r>
                            <w:instrText xml:space="preserve"> PAGE  \* MERGEFORMAT </w:instrText>
                          </w:r>
                          <w:r>
                            <w:fldChar w:fldCharType="separate"/>
                          </w:r>
                          <w:r>
                            <w:t>83</w:t>
                          </w:r>
                          <w:r>
                            <w:fldChar w:fldCharType="end"/>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OH2SU5gEA&#10;AMoDAAAOAAAAAAAAAAEAIAAAACIBAABkcnMvZTJvRG9jLnhtbFBLBQYAAAAABgAGAFkBAAB6BQAA&#10;AAA=&#10;">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83</w:t>
                    </w:r>
                    <w:r>
                      <w:fldChar w:fldCharType="end"/>
                    </w: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fldChar w:fldCharType="begin"/>
                          </w:r>
                          <w:r>
                            <w:instrText xml:space="preserve"> PAGE  \* MERGEFORMAT </w:instrText>
                          </w:r>
                          <w:r>
                            <w:fldChar w:fldCharType="separate"/>
                          </w:r>
                          <w:r>
                            <w:t>82</w:t>
                          </w:r>
                          <w:r>
                            <w:fldChar w:fldCharType="end"/>
                          </w:r>
                        </w:p>
                      </w:txbxContent>
                    </wps:txbx>
                    <wps:bodyPr vert="horz" wrap="none" lIns="0" tIns="0" rIns="0" bIns="0" anchor="t" anchorCtr="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jNX+u+cB&#10;AADKAwAADgAAAAAAAAABACAAAAAiAQAAZHJzL2Uyb0RvYy54bWxQSwUGAAAAAAYABgBZAQAAewUA&#10;AAAA&#10;">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82</w:t>
                    </w:r>
                    <w:r>
                      <w:fldChar w:fldCharType="end"/>
                    </w:r>
                  </w:p>
                </w:txbxContent>
              </v:textbox>
            </v:shape>
          </w:pict>
        </mc:Fallback>
      </mc:AlternateConten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fldChar w:fldCharType="begin"/>
                          </w:r>
                          <w:r>
                            <w:instrText xml:space="preserve"> PAGE  \* MERGEFORMAT </w:instrText>
                          </w:r>
                          <w:r>
                            <w:fldChar w:fldCharType="separate"/>
                          </w:r>
                          <w:r>
                            <w:t>85</w:t>
                          </w:r>
                          <w:r>
                            <w:fldChar w:fldCharType="end"/>
                          </w:r>
                        </w:p>
                      </w:txbxContent>
                    </wps:txbx>
                    <wps:bodyPr vert="horz" wrap="none" lIns="0" tIns="0" rIns="0" bIns="0" anchor="t" anchorCtr="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9AoPfOcB&#10;AADKAwAADgAAAAAAAAABACAAAAAiAQAAZHJzL2Uyb0RvYy54bWxQSwUGAAAAAAYABgBZAQAAewUA&#10;AAAA&#10;">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fldChar w:fldCharType="begin"/>
                          </w:r>
                          <w:r>
                            <w:instrText xml:space="preserve"> PAGE  \* MERGEFORMAT </w:instrText>
                          </w:r>
                          <w:r>
                            <w:fldChar w:fldCharType="separate"/>
                          </w:r>
                          <w:r>
                            <w:t>84</w:t>
                          </w:r>
                          <w:r>
                            <w:fldChar w:fldCharType="end"/>
                          </w:r>
                        </w:p>
                      </w:txbxContent>
                    </wps:txbx>
                    <wps:bodyPr vert="horz" wrap="none" lIns="0" tIns="0" rIns="0" bIns="0" anchor="t" anchorCtr="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dsCVU+cB&#10;AADKAwAADgAAAAAAAAABACAAAAAiAQAAZHJzL2Uyb0RvYy54bWxQSwUGAAAAAAYABgBZAQAAewUA&#10;AAAA&#10;">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XQVC7RAQAApA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rpI+vYcay+49FsbhoxtS7RQHDCbagwwmfZEQwTyqe7qoK4ZIeLpUraqqxBTH3OwgTvF43QeI&#10;d8IZkoyGBny+rCo7foY4ls4lqZt1t0prjLNaW9Ij6nX1/jrfuKQQXVtskliM0yYrDrthorBz7QmZ&#10;9bgDDbW48pToTxYlTusyG2E2drNx8EHtu7xPqT/4D4eI4+QpU4cRdmqMj5d5TouWtuOpn6sef67N&#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V0FQu0QEAAKQDAAAOAAAAAAAAAAEAIAAAACIB&#10;AABkcnMvZTJvRG9jLnhtbFBLBQYAAAAABgAGAFkBAABlBQAAAAA=&#10;">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PXLh8ucB&#10;AADJAwAADgAAAAAAAAABACAAAAAiAQAAZHJzL2Uyb0RvYy54bWxQSwUGAAAAAAYABgBZAQAAewUA&#10;AAAA&#10;">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fldChar w:fldCharType="begin"/>
                          </w:r>
                          <w:r>
                            <w:instrText xml:space="preserve"> PAGE  \* MERGEFORMAT </w:instrText>
                          </w:r>
                          <w:r>
                            <w:fldChar w:fldCharType="separate"/>
                          </w:r>
                          <w:r>
                            <w:t>60</w:t>
                          </w:r>
                          <w:r>
                            <w:fldChar w:fldCharType="end"/>
                          </w:r>
                        </w:p>
                      </w:txbxContent>
                    </wps:txbx>
                    <wps:bodyPr vert="horz" wrap="none" lIns="0" tIns="0" rIns="0" bIns="0" anchor="t" anchorCtr="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KrcgOcB&#10;AADJAwAADgAAAAAAAAABACAAAAAiAQAAZHJzL2Uyb0RvYy54bWxQSwUGAAAAAAYABgBZAQAAewUA&#10;AAAA&#10;">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60</w:t>
                    </w:r>
                    <w:r>
                      <w:fldChar w:fldCharType="end"/>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fldChar w:fldCharType="begin"/>
                          </w:r>
                          <w:r>
                            <w:instrText xml:space="preserve"> PAGE  \* MERGEFORMAT </w:instrText>
                          </w:r>
                          <w:r>
                            <w:fldChar w:fldCharType="separate"/>
                          </w:r>
                          <w:r>
                            <w:t>59</w:t>
                          </w:r>
                          <w:r>
                            <w:fldChar w:fldCharType="end"/>
                          </w:r>
                        </w:p>
                      </w:txbxContent>
                    </wps:txbx>
                    <wps:bodyPr vert="horz" wrap="none" lIns="0" tIns="0" rIns="0" bIns="0" anchor="t" anchorCtr="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emBGr+cB&#10;AADJAwAADgAAAAAAAAABACAAAAAiAQAAZHJzL2Uyb0RvYy54bWxQSwUGAAAAAAYABgBZAQAAewUA&#10;AAAA&#10;">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59</w:t>
                    </w:r>
                    <w:r>
                      <w:fldChar w:fldCharType="end"/>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fldChar w:fldCharType="begin"/>
                          </w:r>
                          <w:r>
                            <w:instrText xml:space="preserve"> PAGE  \* MERGEFORMAT </w:instrText>
                          </w:r>
                          <w:r>
                            <w:fldChar w:fldCharType="separate"/>
                          </w:r>
                          <w:r>
                            <w:t>71</w:t>
                          </w:r>
                          <w:r>
                            <w:fldChar w:fldCharType="end"/>
                          </w:r>
                        </w:p>
                      </w:txbxContent>
                    </wps:txbx>
                    <wps:bodyPr vert="horz" wrap="none" lIns="0" tIns="0" rIns="0" bIns="0" anchor="t" anchorCtr="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fJv1n5gEA&#10;AMkDAAAOAAAAAAAAAAEAIAAAACIBAABkcnMvZTJvRG9jLnhtbFBLBQYAAAAABgAGAFkBAAB6BQAA&#10;AAA=&#10;">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71</w:t>
                    </w:r>
                    <w:r>
                      <w:fldChar w:fldCharType="end"/>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fldChar w:fldCharType="begin"/>
                          </w:r>
                          <w:r>
                            <w:instrText xml:space="preserve"> PAGE  \* MERGEFORMAT </w:instrText>
                          </w:r>
                          <w:r>
                            <w:fldChar w:fldCharType="separate"/>
                          </w:r>
                          <w:r>
                            <w:t>70</w:t>
                          </w:r>
                          <w: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nexnSOcB&#10;AADJAwAADgAAAAAAAAABACAAAAAiAQAAZHJzL2Uyb0RvYy54bWxQSwUGAAAAAAYABgBZAQAAewUA&#10;AAAA&#10;">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70</w:t>
                    </w:r>
                    <w:r>
                      <w:fldChar w:fldCharType="end"/>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B3D4FF"/>
    <w:multiLevelType w:val="singleLevel"/>
    <w:tmpl w:val="33B3D4FF"/>
    <w:lvl w:ilvl="0" w:tentative="0">
      <w:start w:val="3"/>
      <w:numFmt w:val="chineseCounting"/>
      <w:suff w:val="space"/>
      <w:lvlText w:val="第%1部分"/>
      <w:lvlJc w:val="left"/>
      <w:rPr>
        <w:rFonts w:hint="eastAsia"/>
      </w:rPr>
    </w:lvl>
  </w:abstractNum>
  <w:abstractNum w:abstractNumId="1">
    <w:nsid w:val="41996CB0"/>
    <w:multiLevelType w:val="singleLevel"/>
    <w:tmpl w:val="41996CB0"/>
    <w:lvl w:ilvl="0" w:tentative="0">
      <w:start w:val="5"/>
      <w:numFmt w:val="chineseCounting"/>
      <w:suff w:val="nothing"/>
      <w:lvlText w:val="%1、"/>
      <w:lvlJc w:val="left"/>
      <w:rPr>
        <w:rFonts w:hint="eastAsia"/>
      </w:rPr>
    </w:lvl>
  </w:abstractNum>
  <w:abstractNum w:abstractNumId="2">
    <w:nsid w:val="54F403B5"/>
    <w:multiLevelType w:val="singleLevel"/>
    <w:tmpl w:val="54F403B5"/>
    <w:lvl w:ilvl="0" w:tentative="0">
      <w:start w:val="1"/>
      <w:numFmt w:val="chineseCounting"/>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abstractNum w:abstractNumId="4">
    <w:nsid w:val="74175257"/>
    <w:multiLevelType w:val="singleLevel"/>
    <w:tmpl w:val="74175257"/>
    <w:lvl w:ilvl="0" w:tentative="0">
      <w:start w:val="1"/>
      <w:numFmt w:val="decimal"/>
      <w:suff w:val="nothing"/>
      <w:lvlText w:val="%1、"/>
      <w:lvlJc w:val="left"/>
    </w:lvl>
  </w:abstractNum>
  <w:abstractNum w:abstractNumId="5">
    <w:nsid w:val="76A150C0"/>
    <w:multiLevelType w:val="singleLevel"/>
    <w:tmpl w:val="76A150C0"/>
    <w:lvl w:ilvl="0" w:tentative="0">
      <w:start w:val="1"/>
      <w:numFmt w:val="decimal"/>
      <w:suff w:val="space"/>
      <w:lvlText w:val="%1."/>
      <w:lvlJc w:val="left"/>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mZjg0MTc2Y2QyZjZiZWRiYWMxN2QxMTE4YjU1ZGUifQ=="/>
    <w:docVar w:name="KSO_WPS_MARK_KEY" w:val="86342904-3fd7-490e-8370-df99ddcc1e4e"/>
  </w:docVars>
  <w:rsids>
    <w:rsidRoot w:val="00172A27"/>
    <w:rsid w:val="00000451"/>
    <w:rsid w:val="0000108B"/>
    <w:rsid w:val="0000133D"/>
    <w:rsid w:val="00001509"/>
    <w:rsid w:val="00001E3C"/>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4ED"/>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D65"/>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9B3"/>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BE1"/>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B91"/>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678"/>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02E"/>
    <w:rsid w:val="000D11E5"/>
    <w:rsid w:val="000D19E8"/>
    <w:rsid w:val="000D1FA1"/>
    <w:rsid w:val="000D2834"/>
    <w:rsid w:val="000D2CAC"/>
    <w:rsid w:val="000D34C8"/>
    <w:rsid w:val="000D34FD"/>
    <w:rsid w:val="000D3BE5"/>
    <w:rsid w:val="000D3C37"/>
    <w:rsid w:val="000D453A"/>
    <w:rsid w:val="000D4AFA"/>
    <w:rsid w:val="000D4B6B"/>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6C0"/>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02"/>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09D"/>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3E6"/>
    <w:rsid w:val="00153720"/>
    <w:rsid w:val="00153859"/>
    <w:rsid w:val="00153915"/>
    <w:rsid w:val="001539F0"/>
    <w:rsid w:val="00154BBA"/>
    <w:rsid w:val="00154CC6"/>
    <w:rsid w:val="00155B95"/>
    <w:rsid w:val="00156853"/>
    <w:rsid w:val="00157432"/>
    <w:rsid w:val="00161185"/>
    <w:rsid w:val="00161F1C"/>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A2A"/>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4CC"/>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015"/>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749"/>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01"/>
    <w:rsid w:val="002C1FB3"/>
    <w:rsid w:val="002C2665"/>
    <w:rsid w:val="002C28E1"/>
    <w:rsid w:val="002C327D"/>
    <w:rsid w:val="002C3890"/>
    <w:rsid w:val="002C3A9C"/>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64"/>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27EEB"/>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397"/>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FB7"/>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4BA"/>
    <w:rsid w:val="003E336A"/>
    <w:rsid w:val="003E3E2F"/>
    <w:rsid w:val="003E4048"/>
    <w:rsid w:val="003E4CE5"/>
    <w:rsid w:val="003E604C"/>
    <w:rsid w:val="003E60DA"/>
    <w:rsid w:val="003E6E00"/>
    <w:rsid w:val="003E7111"/>
    <w:rsid w:val="003E7940"/>
    <w:rsid w:val="003E79A8"/>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3B8"/>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78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A59"/>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2B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635"/>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606"/>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67B"/>
    <w:rsid w:val="005868FD"/>
    <w:rsid w:val="00587D7B"/>
    <w:rsid w:val="005904DB"/>
    <w:rsid w:val="005905ED"/>
    <w:rsid w:val="00590D11"/>
    <w:rsid w:val="00591BA6"/>
    <w:rsid w:val="00592825"/>
    <w:rsid w:val="00594437"/>
    <w:rsid w:val="0059452D"/>
    <w:rsid w:val="00594B70"/>
    <w:rsid w:val="00596CFA"/>
    <w:rsid w:val="00596EC6"/>
    <w:rsid w:val="005975CE"/>
    <w:rsid w:val="005A0088"/>
    <w:rsid w:val="005A0149"/>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3FFD"/>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3EDF"/>
    <w:rsid w:val="00625008"/>
    <w:rsid w:val="0062548B"/>
    <w:rsid w:val="00626710"/>
    <w:rsid w:val="00626930"/>
    <w:rsid w:val="00626AD3"/>
    <w:rsid w:val="00626B1A"/>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B8B"/>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68B"/>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7BA"/>
    <w:rsid w:val="006B1BEB"/>
    <w:rsid w:val="006B1D06"/>
    <w:rsid w:val="006B2506"/>
    <w:rsid w:val="006B2823"/>
    <w:rsid w:val="006B29DC"/>
    <w:rsid w:val="006B2F60"/>
    <w:rsid w:val="006B33B4"/>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C64"/>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804"/>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00B"/>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6C7"/>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A34"/>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8E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3EA2"/>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3C85"/>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1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77E94"/>
    <w:rsid w:val="00880354"/>
    <w:rsid w:val="0088093C"/>
    <w:rsid w:val="00880BC0"/>
    <w:rsid w:val="0088127A"/>
    <w:rsid w:val="00881D59"/>
    <w:rsid w:val="00882991"/>
    <w:rsid w:val="00882E50"/>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039"/>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D07"/>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A18"/>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6EF7"/>
    <w:rsid w:val="00937114"/>
    <w:rsid w:val="0094015D"/>
    <w:rsid w:val="00940916"/>
    <w:rsid w:val="009412B7"/>
    <w:rsid w:val="00941B13"/>
    <w:rsid w:val="0094215C"/>
    <w:rsid w:val="009425AD"/>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67857"/>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6E0A"/>
    <w:rsid w:val="009A70A3"/>
    <w:rsid w:val="009A7E7C"/>
    <w:rsid w:val="009B05D2"/>
    <w:rsid w:val="009B152B"/>
    <w:rsid w:val="009B2731"/>
    <w:rsid w:val="009B2DCF"/>
    <w:rsid w:val="009B39D8"/>
    <w:rsid w:val="009B3D38"/>
    <w:rsid w:val="009B4368"/>
    <w:rsid w:val="009B4D4C"/>
    <w:rsid w:val="009B5491"/>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1F4"/>
    <w:rsid w:val="009E19BB"/>
    <w:rsid w:val="009E1C47"/>
    <w:rsid w:val="009E38D1"/>
    <w:rsid w:val="009E3DF1"/>
    <w:rsid w:val="009E4A5B"/>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FE8"/>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E3A"/>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32D"/>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A56"/>
    <w:rsid w:val="00A67CE9"/>
    <w:rsid w:val="00A70590"/>
    <w:rsid w:val="00A7062E"/>
    <w:rsid w:val="00A70834"/>
    <w:rsid w:val="00A71542"/>
    <w:rsid w:val="00A7171F"/>
    <w:rsid w:val="00A71FA0"/>
    <w:rsid w:val="00A71FBD"/>
    <w:rsid w:val="00A72727"/>
    <w:rsid w:val="00A727D8"/>
    <w:rsid w:val="00A72C1A"/>
    <w:rsid w:val="00A73093"/>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AD2"/>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5C"/>
    <w:rsid w:val="00AB3466"/>
    <w:rsid w:val="00AB38B2"/>
    <w:rsid w:val="00AB3BBB"/>
    <w:rsid w:val="00AB408C"/>
    <w:rsid w:val="00AB43AF"/>
    <w:rsid w:val="00AB45D8"/>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33E"/>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246F"/>
    <w:rsid w:val="00AE315E"/>
    <w:rsid w:val="00AE319F"/>
    <w:rsid w:val="00AE31D9"/>
    <w:rsid w:val="00AE3CF0"/>
    <w:rsid w:val="00AE4546"/>
    <w:rsid w:val="00AE6575"/>
    <w:rsid w:val="00AE71EE"/>
    <w:rsid w:val="00AE792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77B"/>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59FC"/>
    <w:rsid w:val="00B86289"/>
    <w:rsid w:val="00B863B3"/>
    <w:rsid w:val="00B869D3"/>
    <w:rsid w:val="00B86CF8"/>
    <w:rsid w:val="00B86E44"/>
    <w:rsid w:val="00B87359"/>
    <w:rsid w:val="00B87BFB"/>
    <w:rsid w:val="00B87F1C"/>
    <w:rsid w:val="00B90D8D"/>
    <w:rsid w:val="00B91263"/>
    <w:rsid w:val="00B91B61"/>
    <w:rsid w:val="00B91E5C"/>
    <w:rsid w:val="00B93313"/>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4E0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323"/>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330"/>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490"/>
    <w:rsid w:val="00BF1534"/>
    <w:rsid w:val="00BF1A1B"/>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343"/>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916"/>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71D"/>
    <w:rsid w:val="00C67AB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BA5"/>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161"/>
    <w:rsid w:val="00D265A7"/>
    <w:rsid w:val="00D2690C"/>
    <w:rsid w:val="00D27129"/>
    <w:rsid w:val="00D279E7"/>
    <w:rsid w:val="00D27F75"/>
    <w:rsid w:val="00D3046D"/>
    <w:rsid w:val="00D30497"/>
    <w:rsid w:val="00D30C4D"/>
    <w:rsid w:val="00D30F5F"/>
    <w:rsid w:val="00D31243"/>
    <w:rsid w:val="00D316D9"/>
    <w:rsid w:val="00D31B07"/>
    <w:rsid w:val="00D31B9D"/>
    <w:rsid w:val="00D31C8B"/>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A40"/>
    <w:rsid w:val="00D96B12"/>
    <w:rsid w:val="00D96F59"/>
    <w:rsid w:val="00D97C36"/>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5B3"/>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3F2"/>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477"/>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402"/>
    <w:rsid w:val="00E255CC"/>
    <w:rsid w:val="00E25636"/>
    <w:rsid w:val="00E25755"/>
    <w:rsid w:val="00E25F90"/>
    <w:rsid w:val="00E266DD"/>
    <w:rsid w:val="00E26D2E"/>
    <w:rsid w:val="00E279B2"/>
    <w:rsid w:val="00E303C0"/>
    <w:rsid w:val="00E3051C"/>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645"/>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3CA5"/>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427"/>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AB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CCD"/>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3C6"/>
    <w:rsid w:val="00FF49B4"/>
    <w:rsid w:val="00FF49F4"/>
    <w:rsid w:val="00FF5C6A"/>
    <w:rsid w:val="00FF651D"/>
    <w:rsid w:val="00FF6843"/>
    <w:rsid w:val="00FF6C25"/>
    <w:rsid w:val="010651D9"/>
    <w:rsid w:val="0117101D"/>
    <w:rsid w:val="011F6449"/>
    <w:rsid w:val="01236AFB"/>
    <w:rsid w:val="019F7441"/>
    <w:rsid w:val="01B37585"/>
    <w:rsid w:val="01D55165"/>
    <w:rsid w:val="01DF6BF8"/>
    <w:rsid w:val="01EC2C57"/>
    <w:rsid w:val="02290497"/>
    <w:rsid w:val="025E7738"/>
    <w:rsid w:val="025F0711"/>
    <w:rsid w:val="026B2E25"/>
    <w:rsid w:val="02824D4D"/>
    <w:rsid w:val="02B26E88"/>
    <w:rsid w:val="02BC4907"/>
    <w:rsid w:val="02C07C28"/>
    <w:rsid w:val="02C7161F"/>
    <w:rsid w:val="02DC4B10"/>
    <w:rsid w:val="02DD76CE"/>
    <w:rsid w:val="02F36323"/>
    <w:rsid w:val="02F5619C"/>
    <w:rsid w:val="03010840"/>
    <w:rsid w:val="0326446A"/>
    <w:rsid w:val="032D5555"/>
    <w:rsid w:val="036634D2"/>
    <w:rsid w:val="03DD35E4"/>
    <w:rsid w:val="04076900"/>
    <w:rsid w:val="041A5A3B"/>
    <w:rsid w:val="042311BA"/>
    <w:rsid w:val="04284AF9"/>
    <w:rsid w:val="042B157A"/>
    <w:rsid w:val="044D1EDB"/>
    <w:rsid w:val="04511986"/>
    <w:rsid w:val="04871EE9"/>
    <w:rsid w:val="048F763B"/>
    <w:rsid w:val="04957641"/>
    <w:rsid w:val="049F330E"/>
    <w:rsid w:val="04A64AD7"/>
    <w:rsid w:val="04AA775C"/>
    <w:rsid w:val="04AF1889"/>
    <w:rsid w:val="04F66F48"/>
    <w:rsid w:val="051E28A6"/>
    <w:rsid w:val="05251E14"/>
    <w:rsid w:val="05507636"/>
    <w:rsid w:val="05770BD6"/>
    <w:rsid w:val="05A16594"/>
    <w:rsid w:val="05A7762D"/>
    <w:rsid w:val="05C04DC2"/>
    <w:rsid w:val="05F51B46"/>
    <w:rsid w:val="060E5941"/>
    <w:rsid w:val="06110FAF"/>
    <w:rsid w:val="06493CA7"/>
    <w:rsid w:val="065A6178"/>
    <w:rsid w:val="066F1CF3"/>
    <w:rsid w:val="06930BB8"/>
    <w:rsid w:val="07245D42"/>
    <w:rsid w:val="07264C62"/>
    <w:rsid w:val="07633B1A"/>
    <w:rsid w:val="077837CB"/>
    <w:rsid w:val="0779354C"/>
    <w:rsid w:val="07E22288"/>
    <w:rsid w:val="08061376"/>
    <w:rsid w:val="080C528C"/>
    <w:rsid w:val="08145BFE"/>
    <w:rsid w:val="08452D77"/>
    <w:rsid w:val="08634780"/>
    <w:rsid w:val="086401F8"/>
    <w:rsid w:val="08751CAA"/>
    <w:rsid w:val="087E4C40"/>
    <w:rsid w:val="08A871D0"/>
    <w:rsid w:val="08CE609D"/>
    <w:rsid w:val="08D66AD6"/>
    <w:rsid w:val="08DA33A3"/>
    <w:rsid w:val="08E80F13"/>
    <w:rsid w:val="08F550DA"/>
    <w:rsid w:val="09335624"/>
    <w:rsid w:val="0944690F"/>
    <w:rsid w:val="09535675"/>
    <w:rsid w:val="095F057D"/>
    <w:rsid w:val="09642282"/>
    <w:rsid w:val="09733572"/>
    <w:rsid w:val="09772C16"/>
    <w:rsid w:val="098353B5"/>
    <w:rsid w:val="09A5691D"/>
    <w:rsid w:val="09A92330"/>
    <w:rsid w:val="09B06B87"/>
    <w:rsid w:val="09C13146"/>
    <w:rsid w:val="09E04166"/>
    <w:rsid w:val="09E35B78"/>
    <w:rsid w:val="0A1C0718"/>
    <w:rsid w:val="0A3E7710"/>
    <w:rsid w:val="0A510B2E"/>
    <w:rsid w:val="0A5B7E63"/>
    <w:rsid w:val="0A99092D"/>
    <w:rsid w:val="0AA374A5"/>
    <w:rsid w:val="0AAB7649"/>
    <w:rsid w:val="0ABC5606"/>
    <w:rsid w:val="0B30404E"/>
    <w:rsid w:val="0B436BBC"/>
    <w:rsid w:val="0B4C6C14"/>
    <w:rsid w:val="0B631A88"/>
    <w:rsid w:val="0B683D45"/>
    <w:rsid w:val="0B7F3F11"/>
    <w:rsid w:val="0B884417"/>
    <w:rsid w:val="0BAF080B"/>
    <w:rsid w:val="0BF6188C"/>
    <w:rsid w:val="0BF73C91"/>
    <w:rsid w:val="0C0D3AF4"/>
    <w:rsid w:val="0C170175"/>
    <w:rsid w:val="0C571A41"/>
    <w:rsid w:val="0C5C1171"/>
    <w:rsid w:val="0C5E1CBC"/>
    <w:rsid w:val="0C615B50"/>
    <w:rsid w:val="0C8445DA"/>
    <w:rsid w:val="0C87121B"/>
    <w:rsid w:val="0CC007F7"/>
    <w:rsid w:val="0CC617AC"/>
    <w:rsid w:val="0CDD07FB"/>
    <w:rsid w:val="0CFE707A"/>
    <w:rsid w:val="0D063BDA"/>
    <w:rsid w:val="0D08375F"/>
    <w:rsid w:val="0D1815E7"/>
    <w:rsid w:val="0D184CFB"/>
    <w:rsid w:val="0D4A7419"/>
    <w:rsid w:val="0D7D2490"/>
    <w:rsid w:val="0D827401"/>
    <w:rsid w:val="0D84094E"/>
    <w:rsid w:val="0D887163"/>
    <w:rsid w:val="0D8A00E9"/>
    <w:rsid w:val="0D8D589E"/>
    <w:rsid w:val="0DA01C73"/>
    <w:rsid w:val="0DA828C0"/>
    <w:rsid w:val="0DD63300"/>
    <w:rsid w:val="0DF50604"/>
    <w:rsid w:val="0DF702FE"/>
    <w:rsid w:val="0E060E51"/>
    <w:rsid w:val="0E5604B2"/>
    <w:rsid w:val="0E5B0698"/>
    <w:rsid w:val="0E6D5D79"/>
    <w:rsid w:val="0E9D0089"/>
    <w:rsid w:val="0EA47995"/>
    <w:rsid w:val="0EB803EE"/>
    <w:rsid w:val="0EDF64BB"/>
    <w:rsid w:val="0EF94D4B"/>
    <w:rsid w:val="0F4958DC"/>
    <w:rsid w:val="0F515DF7"/>
    <w:rsid w:val="0F596BA8"/>
    <w:rsid w:val="0F6248D2"/>
    <w:rsid w:val="0F693536"/>
    <w:rsid w:val="0F7B0511"/>
    <w:rsid w:val="0F7B76D9"/>
    <w:rsid w:val="0F816ACD"/>
    <w:rsid w:val="0F9832DB"/>
    <w:rsid w:val="0FB84294"/>
    <w:rsid w:val="0FBF3FD2"/>
    <w:rsid w:val="0FBF7FF3"/>
    <w:rsid w:val="101E5607"/>
    <w:rsid w:val="10646583"/>
    <w:rsid w:val="107D0D56"/>
    <w:rsid w:val="107D4B15"/>
    <w:rsid w:val="108A3C80"/>
    <w:rsid w:val="10B771DD"/>
    <w:rsid w:val="10C26171"/>
    <w:rsid w:val="10F33360"/>
    <w:rsid w:val="10FC16EA"/>
    <w:rsid w:val="110F1D40"/>
    <w:rsid w:val="11266F33"/>
    <w:rsid w:val="118963A1"/>
    <w:rsid w:val="11C05833"/>
    <w:rsid w:val="11C6522A"/>
    <w:rsid w:val="11E104CC"/>
    <w:rsid w:val="11E20309"/>
    <w:rsid w:val="11EE2121"/>
    <w:rsid w:val="120B4274"/>
    <w:rsid w:val="120E63D3"/>
    <w:rsid w:val="12255233"/>
    <w:rsid w:val="12530213"/>
    <w:rsid w:val="127723A9"/>
    <w:rsid w:val="12862074"/>
    <w:rsid w:val="12883966"/>
    <w:rsid w:val="129E45B4"/>
    <w:rsid w:val="12D21374"/>
    <w:rsid w:val="12D81596"/>
    <w:rsid w:val="12EA7BC1"/>
    <w:rsid w:val="13072A44"/>
    <w:rsid w:val="131A1B7F"/>
    <w:rsid w:val="135F4BE2"/>
    <w:rsid w:val="139B1A0A"/>
    <w:rsid w:val="139D25C7"/>
    <w:rsid w:val="13BF3CE4"/>
    <w:rsid w:val="13D67068"/>
    <w:rsid w:val="141008D8"/>
    <w:rsid w:val="14125FE6"/>
    <w:rsid w:val="14500381"/>
    <w:rsid w:val="146D271E"/>
    <w:rsid w:val="14982588"/>
    <w:rsid w:val="149A5AD9"/>
    <w:rsid w:val="14A7619D"/>
    <w:rsid w:val="150536C3"/>
    <w:rsid w:val="150C1963"/>
    <w:rsid w:val="151447A0"/>
    <w:rsid w:val="152216A6"/>
    <w:rsid w:val="1530775F"/>
    <w:rsid w:val="154A6454"/>
    <w:rsid w:val="15762120"/>
    <w:rsid w:val="16214021"/>
    <w:rsid w:val="16283F99"/>
    <w:rsid w:val="163D5FAA"/>
    <w:rsid w:val="164E1C43"/>
    <w:rsid w:val="16523609"/>
    <w:rsid w:val="16A8729C"/>
    <w:rsid w:val="16B0327E"/>
    <w:rsid w:val="16B33777"/>
    <w:rsid w:val="16BC70A7"/>
    <w:rsid w:val="16C6339E"/>
    <w:rsid w:val="16FE2244"/>
    <w:rsid w:val="172F2D79"/>
    <w:rsid w:val="17557BEF"/>
    <w:rsid w:val="179235CB"/>
    <w:rsid w:val="17D349C1"/>
    <w:rsid w:val="1830729E"/>
    <w:rsid w:val="1870062C"/>
    <w:rsid w:val="18817102"/>
    <w:rsid w:val="18830A15"/>
    <w:rsid w:val="18852B28"/>
    <w:rsid w:val="188B5321"/>
    <w:rsid w:val="19575C3B"/>
    <w:rsid w:val="195F2766"/>
    <w:rsid w:val="19932372"/>
    <w:rsid w:val="19A20DD5"/>
    <w:rsid w:val="19AE03F1"/>
    <w:rsid w:val="1A071A03"/>
    <w:rsid w:val="1A1F16AE"/>
    <w:rsid w:val="1A3B5C77"/>
    <w:rsid w:val="1A827232"/>
    <w:rsid w:val="1A984BAD"/>
    <w:rsid w:val="1AAF7A3A"/>
    <w:rsid w:val="1AB8220E"/>
    <w:rsid w:val="1AE4166C"/>
    <w:rsid w:val="1AF06CFB"/>
    <w:rsid w:val="1AF11B8D"/>
    <w:rsid w:val="1B11359C"/>
    <w:rsid w:val="1B2A271F"/>
    <w:rsid w:val="1B530544"/>
    <w:rsid w:val="1B5A252D"/>
    <w:rsid w:val="1B713184"/>
    <w:rsid w:val="1BA209CF"/>
    <w:rsid w:val="1BB4777D"/>
    <w:rsid w:val="1BD75AB8"/>
    <w:rsid w:val="1BE22A26"/>
    <w:rsid w:val="1C0459C2"/>
    <w:rsid w:val="1C1B3B4A"/>
    <w:rsid w:val="1C88086E"/>
    <w:rsid w:val="1CB13D3B"/>
    <w:rsid w:val="1CDD0E93"/>
    <w:rsid w:val="1CE45A64"/>
    <w:rsid w:val="1CE603A4"/>
    <w:rsid w:val="1D266CE1"/>
    <w:rsid w:val="1D3963AF"/>
    <w:rsid w:val="1D4722AD"/>
    <w:rsid w:val="1D662F76"/>
    <w:rsid w:val="1D6A673C"/>
    <w:rsid w:val="1D9247AE"/>
    <w:rsid w:val="1DA31973"/>
    <w:rsid w:val="1DB567EC"/>
    <w:rsid w:val="1DF51A98"/>
    <w:rsid w:val="1E21590A"/>
    <w:rsid w:val="1E3241DA"/>
    <w:rsid w:val="1E3D060F"/>
    <w:rsid w:val="1E3F7D2E"/>
    <w:rsid w:val="1E4134E4"/>
    <w:rsid w:val="1E5062B3"/>
    <w:rsid w:val="1E523514"/>
    <w:rsid w:val="1E714A66"/>
    <w:rsid w:val="1E802593"/>
    <w:rsid w:val="1E8B6156"/>
    <w:rsid w:val="1EA703CC"/>
    <w:rsid w:val="1EB10CA7"/>
    <w:rsid w:val="1EB7330C"/>
    <w:rsid w:val="1F0A0FF3"/>
    <w:rsid w:val="1F3952E0"/>
    <w:rsid w:val="1F5771FF"/>
    <w:rsid w:val="1F5B41D0"/>
    <w:rsid w:val="1FE868A9"/>
    <w:rsid w:val="20034907"/>
    <w:rsid w:val="20173E4B"/>
    <w:rsid w:val="201B5C14"/>
    <w:rsid w:val="202545A7"/>
    <w:rsid w:val="204E48BC"/>
    <w:rsid w:val="205D3DF2"/>
    <w:rsid w:val="207D067D"/>
    <w:rsid w:val="20886049"/>
    <w:rsid w:val="208921B3"/>
    <w:rsid w:val="20945A8E"/>
    <w:rsid w:val="20973DEB"/>
    <w:rsid w:val="20B26522"/>
    <w:rsid w:val="20B44310"/>
    <w:rsid w:val="20C537E6"/>
    <w:rsid w:val="211116EB"/>
    <w:rsid w:val="212115AF"/>
    <w:rsid w:val="21261D9E"/>
    <w:rsid w:val="216133FC"/>
    <w:rsid w:val="21D56769"/>
    <w:rsid w:val="21E52EF3"/>
    <w:rsid w:val="21FB5D7B"/>
    <w:rsid w:val="220B1C3D"/>
    <w:rsid w:val="221C0C22"/>
    <w:rsid w:val="221D1D20"/>
    <w:rsid w:val="22334A87"/>
    <w:rsid w:val="223728B2"/>
    <w:rsid w:val="2263415E"/>
    <w:rsid w:val="22BE6801"/>
    <w:rsid w:val="2314277B"/>
    <w:rsid w:val="23160915"/>
    <w:rsid w:val="232E02C0"/>
    <w:rsid w:val="233500BF"/>
    <w:rsid w:val="23377FF7"/>
    <w:rsid w:val="23505B4A"/>
    <w:rsid w:val="236B425F"/>
    <w:rsid w:val="23836192"/>
    <w:rsid w:val="23901F29"/>
    <w:rsid w:val="239C0061"/>
    <w:rsid w:val="23A62E44"/>
    <w:rsid w:val="23B908A4"/>
    <w:rsid w:val="23E95BEF"/>
    <w:rsid w:val="23FD0064"/>
    <w:rsid w:val="24044C11"/>
    <w:rsid w:val="240D18FA"/>
    <w:rsid w:val="2437376E"/>
    <w:rsid w:val="245375B0"/>
    <w:rsid w:val="24642C0A"/>
    <w:rsid w:val="248875F1"/>
    <w:rsid w:val="249307DC"/>
    <w:rsid w:val="24B22173"/>
    <w:rsid w:val="24B95AD9"/>
    <w:rsid w:val="24BE24DA"/>
    <w:rsid w:val="24CF5825"/>
    <w:rsid w:val="24D663E6"/>
    <w:rsid w:val="24D77F2B"/>
    <w:rsid w:val="251D242F"/>
    <w:rsid w:val="25381017"/>
    <w:rsid w:val="258405DF"/>
    <w:rsid w:val="258B00E2"/>
    <w:rsid w:val="25A917A6"/>
    <w:rsid w:val="25BC57A4"/>
    <w:rsid w:val="25BE27CC"/>
    <w:rsid w:val="25F74A5C"/>
    <w:rsid w:val="2628662C"/>
    <w:rsid w:val="262D45DE"/>
    <w:rsid w:val="26871DC8"/>
    <w:rsid w:val="26915DBD"/>
    <w:rsid w:val="26A53EF9"/>
    <w:rsid w:val="26A94201"/>
    <w:rsid w:val="26AC274F"/>
    <w:rsid w:val="26DF6CB3"/>
    <w:rsid w:val="26E364FC"/>
    <w:rsid w:val="27044A29"/>
    <w:rsid w:val="270B6293"/>
    <w:rsid w:val="271D34C8"/>
    <w:rsid w:val="273F364E"/>
    <w:rsid w:val="276142BF"/>
    <w:rsid w:val="276E5D98"/>
    <w:rsid w:val="27783712"/>
    <w:rsid w:val="27907362"/>
    <w:rsid w:val="27B378BC"/>
    <w:rsid w:val="280478D6"/>
    <w:rsid w:val="28333E1D"/>
    <w:rsid w:val="28454BD6"/>
    <w:rsid w:val="28455253"/>
    <w:rsid w:val="28551971"/>
    <w:rsid w:val="285B1C53"/>
    <w:rsid w:val="289F7086"/>
    <w:rsid w:val="28C32028"/>
    <w:rsid w:val="28CC490F"/>
    <w:rsid w:val="28DE40AA"/>
    <w:rsid w:val="28FE4325"/>
    <w:rsid w:val="290C15E6"/>
    <w:rsid w:val="29345E77"/>
    <w:rsid w:val="294C65AD"/>
    <w:rsid w:val="297D6961"/>
    <w:rsid w:val="29806583"/>
    <w:rsid w:val="298B3C4C"/>
    <w:rsid w:val="29BA4B0F"/>
    <w:rsid w:val="29F26D24"/>
    <w:rsid w:val="2A15033F"/>
    <w:rsid w:val="2A1662C1"/>
    <w:rsid w:val="2A1C7367"/>
    <w:rsid w:val="2A2815FA"/>
    <w:rsid w:val="2A634723"/>
    <w:rsid w:val="2A6D6092"/>
    <w:rsid w:val="2A7D76B4"/>
    <w:rsid w:val="2AC015F3"/>
    <w:rsid w:val="2B341AEB"/>
    <w:rsid w:val="2B437463"/>
    <w:rsid w:val="2B4A7CC4"/>
    <w:rsid w:val="2B574EF7"/>
    <w:rsid w:val="2B5C77CA"/>
    <w:rsid w:val="2B7807EE"/>
    <w:rsid w:val="2B9548C2"/>
    <w:rsid w:val="2BA50BF7"/>
    <w:rsid w:val="2BBF00EC"/>
    <w:rsid w:val="2BC37CFD"/>
    <w:rsid w:val="2BD5237F"/>
    <w:rsid w:val="2BE536CE"/>
    <w:rsid w:val="2BE758D9"/>
    <w:rsid w:val="2BF3A68F"/>
    <w:rsid w:val="2C09049E"/>
    <w:rsid w:val="2C0A653C"/>
    <w:rsid w:val="2C191F85"/>
    <w:rsid w:val="2CE52802"/>
    <w:rsid w:val="2CE82D6F"/>
    <w:rsid w:val="2D343236"/>
    <w:rsid w:val="2DD15014"/>
    <w:rsid w:val="2DDD4F8A"/>
    <w:rsid w:val="2DF72DE4"/>
    <w:rsid w:val="2E0220AF"/>
    <w:rsid w:val="2E271EAD"/>
    <w:rsid w:val="2E3C236C"/>
    <w:rsid w:val="2E4B082A"/>
    <w:rsid w:val="2E5D4E86"/>
    <w:rsid w:val="2E5D6076"/>
    <w:rsid w:val="2E5D790B"/>
    <w:rsid w:val="2E7319E7"/>
    <w:rsid w:val="2E7E0A37"/>
    <w:rsid w:val="2E9A3C18"/>
    <w:rsid w:val="2EBB0FEE"/>
    <w:rsid w:val="2EC63002"/>
    <w:rsid w:val="2F0A6B38"/>
    <w:rsid w:val="2F156439"/>
    <w:rsid w:val="2F946CCB"/>
    <w:rsid w:val="2FD25781"/>
    <w:rsid w:val="2FFD7934"/>
    <w:rsid w:val="30277260"/>
    <w:rsid w:val="3043621C"/>
    <w:rsid w:val="30733ACD"/>
    <w:rsid w:val="308C3862"/>
    <w:rsid w:val="30907F59"/>
    <w:rsid w:val="309379D8"/>
    <w:rsid w:val="30A270F7"/>
    <w:rsid w:val="30DF1478"/>
    <w:rsid w:val="30EC586F"/>
    <w:rsid w:val="319C6071"/>
    <w:rsid w:val="31AC537E"/>
    <w:rsid w:val="31E3679B"/>
    <w:rsid w:val="31E732FD"/>
    <w:rsid w:val="31FA397F"/>
    <w:rsid w:val="321F5F2E"/>
    <w:rsid w:val="32274950"/>
    <w:rsid w:val="32517576"/>
    <w:rsid w:val="32773645"/>
    <w:rsid w:val="32A64673"/>
    <w:rsid w:val="32BE5C2C"/>
    <w:rsid w:val="32C17338"/>
    <w:rsid w:val="32FB6478"/>
    <w:rsid w:val="33046E3D"/>
    <w:rsid w:val="331F7372"/>
    <w:rsid w:val="33263B3F"/>
    <w:rsid w:val="336963EB"/>
    <w:rsid w:val="337D4DB9"/>
    <w:rsid w:val="33816EEB"/>
    <w:rsid w:val="33EB55CD"/>
    <w:rsid w:val="33EC4C02"/>
    <w:rsid w:val="33F0543E"/>
    <w:rsid w:val="340D2360"/>
    <w:rsid w:val="3410665D"/>
    <w:rsid w:val="34211214"/>
    <w:rsid w:val="342E63AB"/>
    <w:rsid w:val="347A68F8"/>
    <w:rsid w:val="34950E68"/>
    <w:rsid w:val="34986E94"/>
    <w:rsid w:val="34AF62C9"/>
    <w:rsid w:val="34CB4388"/>
    <w:rsid w:val="34F76472"/>
    <w:rsid w:val="34FA6E12"/>
    <w:rsid w:val="354D7158"/>
    <w:rsid w:val="358D5588"/>
    <w:rsid w:val="35C366DA"/>
    <w:rsid w:val="3617089B"/>
    <w:rsid w:val="363A3B40"/>
    <w:rsid w:val="36463B94"/>
    <w:rsid w:val="365302AE"/>
    <w:rsid w:val="36585CC1"/>
    <w:rsid w:val="36607A0A"/>
    <w:rsid w:val="366B707F"/>
    <w:rsid w:val="366E227C"/>
    <w:rsid w:val="366F2E0D"/>
    <w:rsid w:val="367B6A5C"/>
    <w:rsid w:val="368B038B"/>
    <w:rsid w:val="36A74ADA"/>
    <w:rsid w:val="36AD60D5"/>
    <w:rsid w:val="36B224F9"/>
    <w:rsid w:val="36EC0CC9"/>
    <w:rsid w:val="370276D6"/>
    <w:rsid w:val="373F410B"/>
    <w:rsid w:val="37534569"/>
    <w:rsid w:val="376B1D40"/>
    <w:rsid w:val="378620B5"/>
    <w:rsid w:val="37AA2835"/>
    <w:rsid w:val="37EE7094"/>
    <w:rsid w:val="37EF694C"/>
    <w:rsid w:val="38296C89"/>
    <w:rsid w:val="383002EB"/>
    <w:rsid w:val="38586797"/>
    <w:rsid w:val="38BC0149"/>
    <w:rsid w:val="38D87D1C"/>
    <w:rsid w:val="38E46390"/>
    <w:rsid w:val="39636459"/>
    <w:rsid w:val="39661402"/>
    <w:rsid w:val="39665CFB"/>
    <w:rsid w:val="396B7F6C"/>
    <w:rsid w:val="39B417A9"/>
    <w:rsid w:val="39DC4952"/>
    <w:rsid w:val="39FC5695"/>
    <w:rsid w:val="3A006D8E"/>
    <w:rsid w:val="3A3651E5"/>
    <w:rsid w:val="3A744481"/>
    <w:rsid w:val="3A8C7BEF"/>
    <w:rsid w:val="3A906246"/>
    <w:rsid w:val="3B2349B7"/>
    <w:rsid w:val="3B616CFF"/>
    <w:rsid w:val="3B6259F6"/>
    <w:rsid w:val="3B976654"/>
    <w:rsid w:val="3BC01EFC"/>
    <w:rsid w:val="3BC647FF"/>
    <w:rsid w:val="3BCA786A"/>
    <w:rsid w:val="3BD31E2F"/>
    <w:rsid w:val="3BF15831"/>
    <w:rsid w:val="3C105946"/>
    <w:rsid w:val="3C16511E"/>
    <w:rsid w:val="3C471448"/>
    <w:rsid w:val="3C5F759A"/>
    <w:rsid w:val="3C6C525A"/>
    <w:rsid w:val="3CCC6D27"/>
    <w:rsid w:val="3CCE23CB"/>
    <w:rsid w:val="3CD17D17"/>
    <w:rsid w:val="3D1C3020"/>
    <w:rsid w:val="3D3C7F39"/>
    <w:rsid w:val="3D440F09"/>
    <w:rsid w:val="3D4504A0"/>
    <w:rsid w:val="3D79360E"/>
    <w:rsid w:val="3D8734BB"/>
    <w:rsid w:val="3D922933"/>
    <w:rsid w:val="3D9A11D4"/>
    <w:rsid w:val="3DA16D89"/>
    <w:rsid w:val="3DA364BE"/>
    <w:rsid w:val="3DB47036"/>
    <w:rsid w:val="3DB66C2D"/>
    <w:rsid w:val="3DC03D05"/>
    <w:rsid w:val="3DE041CB"/>
    <w:rsid w:val="3DE25B6C"/>
    <w:rsid w:val="3E0D48F6"/>
    <w:rsid w:val="3E1868B4"/>
    <w:rsid w:val="3E377251"/>
    <w:rsid w:val="3E42664B"/>
    <w:rsid w:val="3E49293D"/>
    <w:rsid w:val="3E51055A"/>
    <w:rsid w:val="3E5A7334"/>
    <w:rsid w:val="3E6A4DC6"/>
    <w:rsid w:val="3E7B5D6B"/>
    <w:rsid w:val="3E843E66"/>
    <w:rsid w:val="3E8F51FE"/>
    <w:rsid w:val="3E926F87"/>
    <w:rsid w:val="3E9A59DE"/>
    <w:rsid w:val="3EAF4836"/>
    <w:rsid w:val="3EC33DFA"/>
    <w:rsid w:val="3EE557D1"/>
    <w:rsid w:val="3EF64A95"/>
    <w:rsid w:val="3F060E16"/>
    <w:rsid w:val="3F1D1096"/>
    <w:rsid w:val="3F2F0234"/>
    <w:rsid w:val="3F6363FE"/>
    <w:rsid w:val="3F756B8F"/>
    <w:rsid w:val="3F830EED"/>
    <w:rsid w:val="3F95482B"/>
    <w:rsid w:val="3FBA0E9A"/>
    <w:rsid w:val="4019356B"/>
    <w:rsid w:val="40592157"/>
    <w:rsid w:val="406E1CAE"/>
    <w:rsid w:val="40A0133A"/>
    <w:rsid w:val="40B03CFF"/>
    <w:rsid w:val="40C31A53"/>
    <w:rsid w:val="40F40311"/>
    <w:rsid w:val="40FF545D"/>
    <w:rsid w:val="410067C8"/>
    <w:rsid w:val="41192407"/>
    <w:rsid w:val="41847C9A"/>
    <w:rsid w:val="418F0D2A"/>
    <w:rsid w:val="41C45A5A"/>
    <w:rsid w:val="41D01505"/>
    <w:rsid w:val="42474939"/>
    <w:rsid w:val="424C3C57"/>
    <w:rsid w:val="42613FF3"/>
    <w:rsid w:val="42660D96"/>
    <w:rsid w:val="428667D2"/>
    <w:rsid w:val="42CD1CE0"/>
    <w:rsid w:val="42E1381E"/>
    <w:rsid w:val="42ED6459"/>
    <w:rsid w:val="42FE58DD"/>
    <w:rsid w:val="430B5171"/>
    <w:rsid w:val="43174B3D"/>
    <w:rsid w:val="4319733B"/>
    <w:rsid w:val="434B790E"/>
    <w:rsid w:val="434F0614"/>
    <w:rsid w:val="4360274F"/>
    <w:rsid w:val="43977AB6"/>
    <w:rsid w:val="43A3342B"/>
    <w:rsid w:val="43C77C27"/>
    <w:rsid w:val="43CF26EE"/>
    <w:rsid w:val="43DE09EE"/>
    <w:rsid w:val="44002FAD"/>
    <w:rsid w:val="4407466D"/>
    <w:rsid w:val="44162BE2"/>
    <w:rsid w:val="4430589B"/>
    <w:rsid w:val="443469F5"/>
    <w:rsid w:val="446C12F9"/>
    <w:rsid w:val="448B0380"/>
    <w:rsid w:val="449101DD"/>
    <w:rsid w:val="449D00C3"/>
    <w:rsid w:val="44C22253"/>
    <w:rsid w:val="44DE1391"/>
    <w:rsid w:val="451B225C"/>
    <w:rsid w:val="452410C9"/>
    <w:rsid w:val="45317DFB"/>
    <w:rsid w:val="456D3CE4"/>
    <w:rsid w:val="456E3A1E"/>
    <w:rsid w:val="4579042C"/>
    <w:rsid w:val="457F0571"/>
    <w:rsid w:val="45851176"/>
    <w:rsid w:val="458874DF"/>
    <w:rsid w:val="45B9392A"/>
    <w:rsid w:val="45C63B94"/>
    <w:rsid w:val="460E7DA5"/>
    <w:rsid w:val="46422483"/>
    <w:rsid w:val="4659254A"/>
    <w:rsid w:val="465B0637"/>
    <w:rsid w:val="465E3F0D"/>
    <w:rsid w:val="466A16E6"/>
    <w:rsid w:val="46841EB6"/>
    <w:rsid w:val="468679DC"/>
    <w:rsid w:val="46893F2B"/>
    <w:rsid w:val="469C7016"/>
    <w:rsid w:val="46C4686E"/>
    <w:rsid w:val="477B778F"/>
    <w:rsid w:val="478203EC"/>
    <w:rsid w:val="47B025FA"/>
    <w:rsid w:val="47ED5839"/>
    <w:rsid w:val="4809698F"/>
    <w:rsid w:val="480F755D"/>
    <w:rsid w:val="4811697D"/>
    <w:rsid w:val="48571190"/>
    <w:rsid w:val="48781687"/>
    <w:rsid w:val="487A3E25"/>
    <w:rsid w:val="488B5503"/>
    <w:rsid w:val="48937E21"/>
    <w:rsid w:val="489A0361"/>
    <w:rsid w:val="48A235A6"/>
    <w:rsid w:val="48B64EBB"/>
    <w:rsid w:val="48B94FF3"/>
    <w:rsid w:val="48E37AAB"/>
    <w:rsid w:val="48FD4B4C"/>
    <w:rsid w:val="490765F2"/>
    <w:rsid w:val="490A68E0"/>
    <w:rsid w:val="491055FE"/>
    <w:rsid w:val="491D00C3"/>
    <w:rsid w:val="495F5B3E"/>
    <w:rsid w:val="496429D0"/>
    <w:rsid w:val="49696CB1"/>
    <w:rsid w:val="496F77D7"/>
    <w:rsid w:val="497654FD"/>
    <w:rsid w:val="49891669"/>
    <w:rsid w:val="49B64211"/>
    <w:rsid w:val="49F6167F"/>
    <w:rsid w:val="4A064FA0"/>
    <w:rsid w:val="4A1212CD"/>
    <w:rsid w:val="4A16615C"/>
    <w:rsid w:val="4A34774F"/>
    <w:rsid w:val="4A355195"/>
    <w:rsid w:val="4A3A77C4"/>
    <w:rsid w:val="4A4424D7"/>
    <w:rsid w:val="4A5B24DB"/>
    <w:rsid w:val="4A75793E"/>
    <w:rsid w:val="4A833990"/>
    <w:rsid w:val="4AB82D0F"/>
    <w:rsid w:val="4AEB7664"/>
    <w:rsid w:val="4AEE3911"/>
    <w:rsid w:val="4AF313B8"/>
    <w:rsid w:val="4AFD7C19"/>
    <w:rsid w:val="4B01151D"/>
    <w:rsid w:val="4B0567D1"/>
    <w:rsid w:val="4B236AAE"/>
    <w:rsid w:val="4B524027"/>
    <w:rsid w:val="4B707271"/>
    <w:rsid w:val="4B9739F7"/>
    <w:rsid w:val="4BA2545D"/>
    <w:rsid w:val="4BAA6F71"/>
    <w:rsid w:val="4BB53E95"/>
    <w:rsid w:val="4BE11211"/>
    <w:rsid w:val="4BEE2503"/>
    <w:rsid w:val="4C245A30"/>
    <w:rsid w:val="4C676029"/>
    <w:rsid w:val="4CA75D8F"/>
    <w:rsid w:val="4CB6685F"/>
    <w:rsid w:val="4CC367FE"/>
    <w:rsid w:val="4CDB34FE"/>
    <w:rsid w:val="4D077F3C"/>
    <w:rsid w:val="4D123355"/>
    <w:rsid w:val="4D2A3B31"/>
    <w:rsid w:val="4D312C52"/>
    <w:rsid w:val="4D454A63"/>
    <w:rsid w:val="4D905305"/>
    <w:rsid w:val="4D964A72"/>
    <w:rsid w:val="4D9C1254"/>
    <w:rsid w:val="4DBD6C9A"/>
    <w:rsid w:val="4DF0417B"/>
    <w:rsid w:val="4E231FB4"/>
    <w:rsid w:val="4E793892"/>
    <w:rsid w:val="4E7B0FFA"/>
    <w:rsid w:val="4E800872"/>
    <w:rsid w:val="4EB7690D"/>
    <w:rsid w:val="4EC569ED"/>
    <w:rsid w:val="4ED50EA1"/>
    <w:rsid w:val="4EEC050C"/>
    <w:rsid w:val="4F104EC3"/>
    <w:rsid w:val="4F47354A"/>
    <w:rsid w:val="4F911C54"/>
    <w:rsid w:val="4FE625E0"/>
    <w:rsid w:val="5021480F"/>
    <w:rsid w:val="5078191E"/>
    <w:rsid w:val="50962ECB"/>
    <w:rsid w:val="50A32365"/>
    <w:rsid w:val="50A42E38"/>
    <w:rsid w:val="50A4577F"/>
    <w:rsid w:val="50B73D1F"/>
    <w:rsid w:val="50BD5BC9"/>
    <w:rsid w:val="50C11EEE"/>
    <w:rsid w:val="50E97CFC"/>
    <w:rsid w:val="50FA4028"/>
    <w:rsid w:val="510D65B7"/>
    <w:rsid w:val="511157AB"/>
    <w:rsid w:val="5142540C"/>
    <w:rsid w:val="5168214C"/>
    <w:rsid w:val="518832C8"/>
    <w:rsid w:val="51A0432A"/>
    <w:rsid w:val="51A11C1A"/>
    <w:rsid w:val="51A86090"/>
    <w:rsid w:val="51B7396D"/>
    <w:rsid w:val="522E4CC3"/>
    <w:rsid w:val="522E70CC"/>
    <w:rsid w:val="5244713B"/>
    <w:rsid w:val="52615633"/>
    <w:rsid w:val="52915273"/>
    <w:rsid w:val="52977FD4"/>
    <w:rsid w:val="52A25790"/>
    <w:rsid w:val="52A96B6F"/>
    <w:rsid w:val="52B45975"/>
    <w:rsid w:val="52BD7F53"/>
    <w:rsid w:val="52D94AA4"/>
    <w:rsid w:val="52EA3A62"/>
    <w:rsid w:val="52F50BB8"/>
    <w:rsid w:val="53097272"/>
    <w:rsid w:val="53544462"/>
    <w:rsid w:val="5397158E"/>
    <w:rsid w:val="53AD0766"/>
    <w:rsid w:val="53EE3FDA"/>
    <w:rsid w:val="54013861"/>
    <w:rsid w:val="54233DD1"/>
    <w:rsid w:val="54487265"/>
    <w:rsid w:val="544D6070"/>
    <w:rsid w:val="54605E1E"/>
    <w:rsid w:val="54B3506A"/>
    <w:rsid w:val="54CA0D16"/>
    <w:rsid w:val="54DD4057"/>
    <w:rsid w:val="54E7490F"/>
    <w:rsid w:val="55023D0E"/>
    <w:rsid w:val="55061018"/>
    <w:rsid w:val="550764A4"/>
    <w:rsid w:val="550B2BF6"/>
    <w:rsid w:val="55214EB5"/>
    <w:rsid w:val="55277566"/>
    <w:rsid w:val="55364EFD"/>
    <w:rsid w:val="555D4828"/>
    <w:rsid w:val="55745545"/>
    <w:rsid w:val="557A4C8B"/>
    <w:rsid w:val="558931E1"/>
    <w:rsid w:val="55923347"/>
    <w:rsid w:val="55925180"/>
    <w:rsid w:val="55983B1B"/>
    <w:rsid w:val="55A8376B"/>
    <w:rsid w:val="55B81A6A"/>
    <w:rsid w:val="55DC29B6"/>
    <w:rsid w:val="55DD4241"/>
    <w:rsid w:val="566B6D1E"/>
    <w:rsid w:val="566D7704"/>
    <w:rsid w:val="56722B20"/>
    <w:rsid w:val="56857173"/>
    <w:rsid w:val="569E129D"/>
    <w:rsid w:val="57032A2C"/>
    <w:rsid w:val="570F5219"/>
    <w:rsid w:val="575D12B5"/>
    <w:rsid w:val="57610A87"/>
    <w:rsid w:val="57634F04"/>
    <w:rsid w:val="577B1140"/>
    <w:rsid w:val="577B7F21"/>
    <w:rsid w:val="577F181B"/>
    <w:rsid w:val="57921984"/>
    <w:rsid w:val="579737F0"/>
    <w:rsid w:val="57A777A4"/>
    <w:rsid w:val="57AB7B30"/>
    <w:rsid w:val="57AF5251"/>
    <w:rsid w:val="57B26373"/>
    <w:rsid w:val="57B63F04"/>
    <w:rsid w:val="57CD20C2"/>
    <w:rsid w:val="57D675AB"/>
    <w:rsid w:val="57D85EBF"/>
    <w:rsid w:val="57D95FDD"/>
    <w:rsid w:val="57FE314A"/>
    <w:rsid w:val="584524B0"/>
    <w:rsid w:val="586540F3"/>
    <w:rsid w:val="5874384C"/>
    <w:rsid w:val="58917D2F"/>
    <w:rsid w:val="5894085C"/>
    <w:rsid w:val="58AE4F0C"/>
    <w:rsid w:val="58B85899"/>
    <w:rsid w:val="58CD4FF7"/>
    <w:rsid w:val="58DC16DE"/>
    <w:rsid w:val="58E363A9"/>
    <w:rsid w:val="58EF1411"/>
    <w:rsid w:val="58F210F1"/>
    <w:rsid w:val="591C41D0"/>
    <w:rsid w:val="592E13F8"/>
    <w:rsid w:val="595E1678"/>
    <w:rsid w:val="596D5BD4"/>
    <w:rsid w:val="597E3DD8"/>
    <w:rsid w:val="599D1996"/>
    <w:rsid w:val="59F80043"/>
    <w:rsid w:val="5A09252F"/>
    <w:rsid w:val="5A0B2778"/>
    <w:rsid w:val="5A2275C4"/>
    <w:rsid w:val="5A26539B"/>
    <w:rsid w:val="5A2A7C7B"/>
    <w:rsid w:val="5A3E2560"/>
    <w:rsid w:val="5A5D3B6E"/>
    <w:rsid w:val="5A637A76"/>
    <w:rsid w:val="5A6C4CE3"/>
    <w:rsid w:val="5A6D33BA"/>
    <w:rsid w:val="5A792B1F"/>
    <w:rsid w:val="5A874767"/>
    <w:rsid w:val="5A8E2EAB"/>
    <w:rsid w:val="5AA85BE2"/>
    <w:rsid w:val="5AAD6F28"/>
    <w:rsid w:val="5ACA4618"/>
    <w:rsid w:val="5AD63A24"/>
    <w:rsid w:val="5AF33747"/>
    <w:rsid w:val="5B2E1A1D"/>
    <w:rsid w:val="5B5569A6"/>
    <w:rsid w:val="5B843A1C"/>
    <w:rsid w:val="5B873E3F"/>
    <w:rsid w:val="5BAC35E9"/>
    <w:rsid w:val="5BDE5D66"/>
    <w:rsid w:val="5C02690E"/>
    <w:rsid w:val="5C196DA7"/>
    <w:rsid w:val="5C2A048C"/>
    <w:rsid w:val="5C2F7B7B"/>
    <w:rsid w:val="5C80234E"/>
    <w:rsid w:val="5C8A680C"/>
    <w:rsid w:val="5C9E4DD0"/>
    <w:rsid w:val="5D0C4701"/>
    <w:rsid w:val="5D0F0395"/>
    <w:rsid w:val="5D221076"/>
    <w:rsid w:val="5D397964"/>
    <w:rsid w:val="5D5A391C"/>
    <w:rsid w:val="5D5F10C0"/>
    <w:rsid w:val="5D7B07DB"/>
    <w:rsid w:val="5D891B7B"/>
    <w:rsid w:val="5D8951A4"/>
    <w:rsid w:val="5DAD38EE"/>
    <w:rsid w:val="5E006862"/>
    <w:rsid w:val="5E0207B9"/>
    <w:rsid w:val="5E1834A1"/>
    <w:rsid w:val="5E261785"/>
    <w:rsid w:val="5E4A7017"/>
    <w:rsid w:val="5E552BBA"/>
    <w:rsid w:val="5E611C10"/>
    <w:rsid w:val="5E7A0F3F"/>
    <w:rsid w:val="5EBA27A1"/>
    <w:rsid w:val="5EFC7377"/>
    <w:rsid w:val="5F012A1A"/>
    <w:rsid w:val="5F06174D"/>
    <w:rsid w:val="5F2F4386"/>
    <w:rsid w:val="5F3A3602"/>
    <w:rsid w:val="5F45733B"/>
    <w:rsid w:val="5F6277C6"/>
    <w:rsid w:val="5F6D0B1D"/>
    <w:rsid w:val="5F8D0B82"/>
    <w:rsid w:val="5FCC5339"/>
    <w:rsid w:val="5FE34A5B"/>
    <w:rsid w:val="5FFE1E36"/>
    <w:rsid w:val="60232584"/>
    <w:rsid w:val="60473021"/>
    <w:rsid w:val="605864BB"/>
    <w:rsid w:val="607330CE"/>
    <w:rsid w:val="60825176"/>
    <w:rsid w:val="609F2AC4"/>
    <w:rsid w:val="60D16B6F"/>
    <w:rsid w:val="60FA2EE8"/>
    <w:rsid w:val="61054A27"/>
    <w:rsid w:val="610A52BC"/>
    <w:rsid w:val="611D2366"/>
    <w:rsid w:val="612E684E"/>
    <w:rsid w:val="613E0827"/>
    <w:rsid w:val="61421856"/>
    <w:rsid w:val="615227C4"/>
    <w:rsid w:val="61654E3F"/>
    <w:rsid w:val="6182292A"/>
    <w:rsid w:val="619F7F92"/>
    <w:rsid w:val="61F94C26"/>
    <w:rsid w:val="62000E56"/>
    <w:rsid w:val="6212289A"/>
    <w:rsid w:val="62244584"/>
    <w:rsid w:val="624F3E49"/>
    <w:rsid w:val="62632286"/>
    <w:rsid w:val="627619AC"/>
    <w:rsid w:val="62885958"/>
    <w:rsid w:val="629C5CF1"/>
    <w:rsid w:val="62F40B65"/>
    <w:rsid w:val="62FC2CFE"/>
    <w:rsid w:val="63024505"/>
    <w:rsid w:val="631B34F6"/>
    <w:rsid w:val="632E0D88"/>
    <w:rsid w:val="6340228A"/>
    <w:rsid w:val="635B1DB5"/>
    <w:rsid w:val="636A0DA6"/>
    <w:rsid w:val="637067BD"/>
    <w:rsid w:val="63711FED"/>
    <w:rsid w:val="63880DDC"/>
    <w:rsid w:val="638D750D"/>
    <w:rsid w:val="63995852"/>
    <w:rsid w:val="63AC6CC0"/>
    <w:rsid w:val="63FF1BE8"/>
    <w:rsid w:val="64055776"/>
    <w:rsid w:val="64240056"/>
    <w:rsid w:val="643E143A"/>
    <w:rsid w:val="648B6EEF"/>
    <w:rsid w:val="64A07A63"/>
    <w:rsid w:val="64A468C9"/>
    <w:rsid w:val="64C158BF"/>
    <w:rsid w:val="64CE2EAA"/>
    <w:rsid w:val="64F72254"/>
    <w:rsid w:val="653C3090"/>
    <w:rsid w:val="6572241C"/>
    <w:rsid w:val="65854376"/>
    <w:rsid w:val="658767BE"/>
    <w:rsid w:val="65892531"/>
    <w:rsid w:val="65CE103C"/>
    <w:rsid w:val="65F25193"/>
    <w:rsid w:val="66195831"/>
    <w:rsid w:val="662E75B1"/>
    <w:rsid w:val="66342C2E"/>
    <w:rsid w:val="663E784C"/>
    <w:rsid w:val="66551A38"/>
    <w:rsid w:val="668B6A45"/>
    <w:rsid w:val="66B94E0C"/>
    <w:rsid w:val="66CD0B65"/>
    <w:rsid w:val="66EC1999"/>
    <w:rsid w:val="672F3F24"/>
    <w:rsid w:val="67357B86"/>
    <w:rsid w:val="673E055F"/>
    <w:rsid w:val="67551CE3"/>
    <w:rsid w:val="678278F4"/>
    <w:rsid w:val="67A22552"/>
    <w:rsid w:val="67B22DCC"/>
    <w:rsid w:val="67BE71AA"/>
    <w:rsid w:val="67D10D55"/>
    <w:rsid w:val="67D90273"/>
    <w:rsid w:val="67DE5875"/>
    <w:rsid w:val="67E55852"/>
    <w:rsid w:val="67EB1AB4"/>
    <w:rsid w:val="67FA1285"/>
    <w:rsid w:val="680B5CDD"/>
    <w:rsid w:val="68551F4F"/>
    <w:rsid w:val="687C10C9"/>
    <w:rsid w:val="68840C16"/>
    <w:rsid w:val="68876EFB"/>
    <w:rsid w:val="68884654"/>
    <w:rsid w:val="689F444F"/>
    <w:rsid w:val="68A85450"/>
    <w:rsid w:val="68B14ED3"/>
    <w:rsid w:val="68B96DBB"/>
    <w:rsid w:val="68C423D8"/>
    <w:rsid w:val="68CA2805"/>
    <w:rsid w:val="68D33F60"/>
    <w:rsid w:val="68E937A3"/>
    <w:rsid w:val="690620AE"/>
    <w:rsid w:val="69140A20"/>
    <w:rsid w:val="693E15D3"/>
    <w:rsid w:val="69627681"/>
    <w:rsid w:val="6977531D"/>
    <w:rsid w:val="69CC2BFF"/>
    <w:rsid w:val="69DB3E7A"/>
    <w:rsid w:val="69FD55B8"/>
    <w:rsid w:val="6A006059"/>
    <w:rsid w:val="6A0B1C62"/>
    <w:rsid w:val="6A0D7023"/>
    <w:rsid w:val="6A2406C8"/>
    <w:rsid w:val="6A7F6A5A"/>
    <w:rsid w:val="6A8F2B46"/>
    <w:rsid w:val="6A9F0D2D"/>
    <w:rsid w:val="6AD524B8"/>
    <w:rsid w:val="6ADE0BD1"/>
    <w:rsid w:val="6AE17EBB"/>
    <w:rsid w:val="6AE41DDE"/>
    <w:rsid w:val="6AE96859"/>
    <w:rsid w:val="6B147746"/>
    <w:rsid w:val="6B166CD1"/>
    <w:rsid w:val="6B24787C"/>
    <w:rsid w:val="6B573233"/>
    <w:rsid w:val="6B5B6274"/>
    <w:rsid w:val="6B935D53"/>
    <w:rsid w:val="6B9D08B8"/>
    <w:rsid w:val="6BB93380"/>
    <w:rsid w:val="6BD93ECE"/>
    <w:rsid w:val="6C196F71"/>
    <w:rsid w:val="6C226FCB"/>
    <w:rsid w:val="6C31226F"/>
    <w:rsid w:val="6C552F0B"/>
    <w:rsid w:val="6C8C67B7"/>
    <w:rsid w:val="6C9D744C"/>
    <w:rsid w:val="6CF8687A"/>
    <w:rsid w:val="6CFE67A8"/>
    <w:rsid w:val="6D167928"/>
    <w:rsid w:val="6D26299B"/>
    <w:rsid w:val="6D28068A"/>
    <w:rsid w:val="6D4772EC"/>
    <w:rsid w:val="6D9078AF"/>
    <w:rsid w:val="6DAA3FEF"/>
    <w:rsid w:val="6DC0172B"/>
    <w:rsid w:val="6DCB690C"/>
    <w:rsid w:val="6DCD05E0"/>
    <w:rsid w:val="6DD41A5B"/>
    <w:rsid w:val="6DE86379"/>
    <w:rsid w:val="6DF43C2E"/>
    <w:rsid w:val="6DF51CA3"/>
    <w:rsid w:val="6E2F201C"/>
    <w:rsid w:val="6E6F67FC"/>
    <w:rsid w:val="6E8335BD"/>
    <w:rsid w:val="6E8E12EF"/>
    <w:rsid w:val="6E972936"/>
    <w:rsid w:val="6E984256"/>
    <w:rsid w:val="6ED446C5"/>
    <w:rsid w:val="6F2A7D94"/>
    <w:rsid w:val="6F4473C3"/>
    <w:rsid w:val="6F8331F1"/>
    <w:rsid w:val="6F9478BF"/>
    <w:rsid w:val="6FAE1A09"/>
    <w:rsid w:val="6FB01B84"/>
    <w:rsid w:val="6FD02E0C"/>
    <w:rsid w:val="6FD75BF8"/>
    <w:rsid w:val="7036104D"/>
    <w:rsid w:val="70566167"/>
    <w:rsid w:val="707723D0"/>
    <w:rsid w:val="709E0230"/>
    <w:rsid w:val="70F5661B"/>
    <w:rsid w:val="71360107"/>
    <w:rsid w:val="713B688E"/>
    <w:rsid w:val="7148086A"/>
    <w:rsid w:val="718A7AD1"/>
    <w:rsid w:val="718D136F"/>
    <w:rsid w:val="719F3F78"/>
    <w:rsid w:val="71D43752"/>
    <w:rsid w:val="71DF5E5A"/>
    <w:rsid w:val="71F0387C"/>
    <w:rsid w:val="71F1796A"/>
    <w:rsid w:val="72154626"/>
    <w:rsid w:val="72160EED"/>
    <w:rsid w:val="72262B5D"/>
    <w:rsid w:val="72283FF7"/>
    <w:rsid w:val="722E7212"/>
    <w:rsid w:val="723A0474"/>
    <w:rsid w:val="72561893"/>
    <w:rsid w:val="725923E4"/>
    <w:rsid w:val="725F30DC"/>
    <w:rsid w:val="72864BF7"/>
    <w:rsid w:val="729023FC"/>
    <w:rsid w:val="72D11D5F"/>
    <w:rsid w:val="72FF5041"/>
    <w:rsid w:val="73861E89"/>
    <w:rsid w:val="73C0646E"/>
    <w:rsid w:val="73F619A8"/>
    <w:rsid w:val="7403065D"/>
    <w:rsid w:val="742222F5"/>
    <w:rsid w:val="74476126"/>
    <w:rsid w:val="74706664"/>
    <w:rsid w:val="747F3682"/>
    <w:rsid w:val="749C4185"/>
    <w:rsid w:val="74D33D47"/>
    <w:rsid w:val="74DB7E1E"/>
    <w:rsid w:val="75067759"/>
    <w:rsid w:val="752E6DCD"/>
    <w:rsid w:val="7551380D"/>
    <w:rsid w:val="75600BE5"/>
    <w:rsid w:val="7564475C"/>
    <w:rsid w:val="7583797F"/>
    <w:rsid w:val="75901D27"/>
    <w:rsid w:val="75D20F1D"/>
    <w:rsid w:val="75DA2C18"/>
    <w:rsid w:val="75F54412"/>
    <w:rsid w:val="761C6AFA"/>
    <w:rsid w:val="761D08E0"/>
    <w:rsid w:val="76260BF0"/>
    <w:rsid w:val="763F4E68"/>
    <w:rsid w:val="76553832"/>
    <w:rsid w:val="765C4F5C"/>
    <w:rsid w:val="765D347C"/>
    <w:rsid w:val="76826699"/>
    <w:rsid w:val="76C87133"/>
    <w:rsid w:val="76CD08D5"/>
    <w:rsid w:val="76DB4B92"/>
    <w:rsid w:val="77052AA4"/>
    <w:rsid w:val="77136511"/>
    <w:rsid w:val="77280E9C"/>
    <w:rsid w:val="77340A39"/>
    <w:rsid w:val="77351FD0"/>
    <w:rsid w:val="77472422"/>
    <w:rsid w:val="777F31F2"/>
    <w:rsid w:val="77B36BAB"/>
    <w:rsid w:val="77CC3F35"/>
    <w:rsid w:val="77D1700D"/>
    <w:rsid w:val="77EC04CC"/>
    <w:rsid w:val="78146F53"/>
    <w:rsid w:val="7819395D"/>
    <w:rsid w:val="78627072"/>
    <w:rsid w:val="78775729"/>
    <w:rsid w:val="78A42DB0"/>
    <w:rsid w:val="78A656AB"/>
    <w:rsid w:val="78B2245C"/>
    <w:rsid w:val="78C41F4B"/>
    <w:rsid w:val="78E172CC"/>
    <w:rsid w:val="78EA1D1F"/>
    <w:rsid w:val="7904172F"/>
    <w:rsid w:val="790F7E27"/>
    <w:rsid w:val="792A231A"/>
    <w:rsid w:val="79316829"/>
    <w:rsid w:val="797E66A9"/>
    <w:rsid w:val="79857759"/>
    <w:rsid w:val="79A97383"/>
    <w:rsid w:val="79E27E8B"/>
    <w:rsid w:val="79F61F10"/>
    <w:rsid w:val="79F850CE"/>
    <w:rsid w:val="79FD443C"/>
    <w:rsid w:val="7A1D1975"/>
    <w:rsid w:val="7A3C2173"/>
    <w:rsid w:val="7A3E5150"/>
    <w:rsid w:val="7A4670D6"/>
    <w:rsid w:val="7A534B63"/>
    <w:rsid w:val="7A615382"/>
    <w:rsid w:val="7A67303B"/>
    <w:rsid w:val="7AAB1D04"/>
    <w:rsid w:val="7AB4334C"/>
    <w:rsid w:val="7ABA4368"/>
    <w:rsid w:val="7AD05746"/>
    <w:rsid w:val="7B2550EC"/>
    <w:rsid w:val="7B257FFD"/>
    <w:rsid w:val="7B343476"/>
    <w:rsid w:val="7B5A2978"/>
    <w:rsid w:val="7B5A7E4C"/>
    <w:rsid w:val="7B667AF9"/>
    <w:rsid w:val="7B7468F8"/>
    <w:rsid w:val="7BAC5B0E"/>
    <w:rsid w:val="7BC167E5"/>
    <w:rsid w:val="7BEE0103"/>
    <w:rsid w:val="7C060316"/>
    <w:rsid w:val="7C063E50"/>
    <w:rsid w:val="7C0A0FE4"/>
    <w:rsid w:val="7C254906"/>
    <w:rsid w:val="7C3E1BE4"/>
    <w:rsid w:val="7C580217"/>
    <w:rsid w:val="7C590818"/>
    <w:rsid w:val="7C6E4DD9"/>
    <w:rsid w:val="7C7C10F6"/>
    <w:rsid w:val="7C853BEA"/>
    <w:rsid w:val="7C881368"/>
    <w:rsid w:val="7CAC5B50"/>
    <w:rsid w:val="7CE27788"/>
    <w:rsid w:val="7CF92422"/>
    <w:rsid w:val="7D0357E5"/>
    <w:rsid w:val="7D0C32F1"/>
    <w:rsid w:val="7D0F408D"/>
    <w:rsid w:val="7D491C6C"/>
    <w:rsid w:val="7D5429C0"/>
    <w:rsid w:val="7D6E6D43"/>
    <w:rsid w:val="7D7069D2"/>
    <w:rsid w:val="7D8E218A"/>
    <w:rsid w:val="7DB57A34"/>
    <w:rsid w:val="7DB9057A"/>
    <w:rsid w:val="7DBDFBC1"/>
    <w:rsid w:val="7DE60973"/>
    <w:rsid w:val="7DEF0916"/>
    <w:rsid w:val="7E1E5218"/>
    <w:rsid w:val="7E2B2267"/>
    <w:rsid w:val="7E522003"/>
    <w:rsid w:val="7E8A0E5C"/>
    <w:rsid w:val="7E9755DB"/>
    <w:rsid w:val="7E9A4E1F"/>
    <w:rsid w:val="7EA7723A"/>
    <w:rsid w:val="7EA82D75"/>
    <w:rsid w:val="7EC526CE"/>
    <w:rsid w:val="7EDD3CE5"/>
    <w:rsid w:val="7EF56FBB"/>
    <w:rsid w:val="7F0768EB"/>
    <w:rsid w:val="7F143BEC"/>
    <w:rsid w:val="7F71562C"/>
    <w:rsid w:val="7F715AF2"/>
    <w:rsid w:val="7F886E69"/>
    <w:rsid w:val="B9DFB726"/>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9"/>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2"/>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9"/>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2"/>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9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201"/>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7"/>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10"/>
    <w:autoRedefine/>
    <w:qFormat/>
    <w:uiPriority w:val="0"/>
    <w:pPr>
      <w:shd w:val="clear" w:color="auto" w:fill="000080"/>
    </w:pPr>
  </w:style>
  <w:style w:type="paragraph" w:styleId="19">
    <w:name w:val="annotation text"/>
    <w:basedOn w:val="1"/>
    <w:link w:val="349"/>
    <w:autoRedefine/>
    <w:qFormat/>
    <w:uiPriority w:val="99"/>
    <w:pPr>
      <w:jc w:val="left"/>
    </w:pPr>
  </w:style>
  <w:style w:type="paragraph" w:styleId="20">
    <w:name w:val="Salutation"/>
    <w:basedOn w:val="1"/>
    <w:next w:val="1"/>
    <w:link w:val="304"/>
    <w:autoRedefine/>
    <w:qFormat/>
    <w:uiPriority w:val="0"/>
    <w:rPr>
      <w:rFonts w:ascii="仿宋_GB2312" w:eastAsia="仿宋_GB2312"/>
      <w:sz w:val="28"/>
      <w:szCs w:val="20"/>
    </w:rPr>
  </w:style>
  <w:style w:type="paragraph" w:styleId="21">
    <w:name w:val="Body Text 3"/>
    <w:basedOn w:val="1"/>
    <w:link w:val="335"/>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1"/>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71"/>
    <w:autoRedefine/>
    <w:qFormat/>
    <w:uiPriority w:val="0"/>
    <w:pPr>
      <w:spacing w:line="480" w:lineRule="exact"/>
      <w:ind w:firstLine="480" w:firstLineChars="200"/>
    </w:pPr>
    <w:rPr>
      <w:rFonts w:ascii="宋体" w:hAnsi="宋体"/>
      <w:sz w:val="24"/>
    </w:rPr>
  </w:style>
  <w:style w:type="paragraph" w:styleId="25">
    <w:name w:val="Body Text First Indent 2"/>
    <w:basedOn w:val="24"/>
    <w:link w:val="130"/>
    <w:autoRedefine/>
    <w:qFormat/>
    <w:uiPriority w:val="0"/>
    <w:pPr>
      <w:adjustRightInd/>
      <w:spacing w:after="120" w:line="240" w:lineRule="auto"/>
      <w:ind w:left="420" w:leftChars="200" w:firstLine="210"/>
    </w:pPr>
    <w:rPr>
      <w:sz w:val="21"/>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4"/>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9"/>
    <w:autoRedefine/>
    <w:qFormat/>
    <w:uiPriority w:val="0"/>
    <w:pPr>
      <w:ind w:left="100" w:leftChars="2500"/>
    </w:pPr>
    <w:rPr>
      <w:rFonts w:ascii="宋体"/>
      <w:sz w:val="24"/>
      <w:szCs w:val="21"/>
      <w:lang w:val="zh-CN"/>
    </w:rPr>
  </w:style>
  <w:style w:type="paragraph" w:styleId="37">
    <w:name w:val="Body Text Indent 2"/>
    <w:basedOn w:val="1"/>
    <w:link w:val="313"/>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4"/>
    <w:autoRedefine/>
    <w:qFormat/>
    <w:uiPriority w:val="0"/>
    <w:rPr>
      <w:lang w:val="zh-CN"/>
    </w:rPr>
  </w:style>
  <w:style w:type="paragraph" w:styleId="39">
    <w:name w:val="Balloon Text"/>
    <w:basedOn w:val="1"/>
    <w:link w:val="196"/>
    <w:autoRedefine/>
    <w:qFormat/>
    <w:uiPriority w:val="0"/>
    <w:rPr>
      <w:sz w:val="18"/>
      <w:szCs w:val="18"/>
    </w:rPr>
  </w:style>
  <w:style w:type="paragraph" w:styleId="40">
    <w:name w:val="footer"/>
    <w:basedOn w:val="1"/>
    <w:link w:val="386"/>
    <w:autoRedefine/>
    <w:qFormat/>
    <w:uiPriority w:val="99"/>
    <w:pPr>
      <w:tabs>
        <w:tab w:val="center" w:pos="4153"/>
        <w:tab w:val="right" w:pos="8306"/>
      </w:tabs>
      <w:snapToGrid w:val="0"/>
      <w:jc w:val="left"/>
    </w:pPr>
    <w:rPr>
      <w:sz w:val="18"/>
      <w:szCs w:val="18"/>
    </w:rPr>
  </w:style>
  <w:style w:type="paragraph" w:styleId="41">
    <w:name w:val="envelope return"/>
    <w:basedOn w:val="1"/>
    <w:autoRedefine/>
    <w:unhideWhenUsed/>
    <w:qFormat/>
    <w:uiPriority w:val="99"/>
    <w:pPr>
      <w:snapToGrid w:val="0"/>
    </w:pPr>
    <w:rPr>
      <w:rFonts w:ascii="Arial" w:hAnsi="Arial"/>
    </w:rPr>
  </w:style>
  <w:style w:type="paragraph" w:styleId="42">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0"/>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4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5"/>
    <w:link w:val="315"/>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8"/>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7"/>
    <w:autoRedefine/>
    <w:qFormat/>
    <w:uiPriority w:val="0"/>
    <w:pPr>
      <w:spacing w:after="120" w:line="480" w:lineRule="auto"/>
    </w:pPr>
  </w:style>
  <w:style w:type="paragraph" w:styleId="58">
    <w:name w:val="HTML Preformatted"/>
    <w:basedOn w:val="1"/>
    <w:link w:val="30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2"/>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05"/>
    <w:autoRedefine/>
    <w:qFormat/>
    <w:uiPriority w:val="0"/>
    <w:rPr>
      <w:b/>
      <w:bCs/>
    </w:rPr>
  </w:style>
  <w:style w:type="paragraph" w:styleId="62">
    <w:name w:val="Body Text First Indent"/>
    <w:basedOn w:val="23"/>
    <w:link w:val="326"/>
    <w:autoRedefine/>
    <w:qFormat/>
    <w:uiPriority w:val="0"/>
    <w:pPr>
      <w:ind w:firstLine="420"/>
    </w:pPr>
    <w:rPr>
      <w:rFonts w:hAnsi="Calibri" w:cs="Times New Roman"/>
      <w:snapToGrid/>
      <w:szCs w:val="20"/>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样式6"/>
    <w:basedOn w:val="33"/>
    <w:next w:val="23"/>
    <w:autoRedefine/>
    <w:qFormat/>
    <w:uiPriority w:val="0"/>
    <w:pPr>
      <w:spacing w:line="460" w:lineRule="exact"/>
      <w:outlineLvl w:val="2"/>
    </w:pPr>
    <w:rPr>
      <w:rFonts w:ascii="仿宋_GB2312" w:hAnsi="宋体" w:eastAsia="仿宋_GB2312"/>
      <w:b/>
      <w:bCs/>
      <w:sz w:val="24"/>
      <w:szCs w:val="24"/>
    </w:rPr>
  </w:style>
  <w:style w:type="character" w:customStyle="1" w:styleId="81">
    <w:name w:val="标题 1 字符"/>
    <w:autoRedefine/>
    <w:qFormat/>
    <w:uiPriority w:val="9"/>
    <w:rPr>
      <w:rFonts w:ascii="Arial" w:hAnsi="Arial" w:eastAsia="黑体" w:cs="Arial"/>
      <w:b/>
      <w:bCs/>
      <w:snapToGrid w:val="0"/>
      <w:kern w:val="44"/>
      <w:sz w:val="44"/>
      <w:szCs w:val="44"/>
    </w:rPr>
  </w:style>
  <w:style w:type="paragraph" w:customStyle="1" w:styleId="82">
    <w:name w:val="Default"/>
    <w:next w:val="83"/>
    <w:link w:val="24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autoRedefine/>
    <w:qFormat/>
    <w:uiPriority w:val="0"/>
    <w:pPr>
      <w:wordWrap w:val="0"/>
      <w:ind w:left="2550"/>
      <w:jc w:val="both"/>
    </w:pPr>
    <w:rPr>
      <w:rFonts w:ascii="Calibri" w:hAnsi="Calibri" w:eastAsia="宋体" w:cs="Times New Roman"/>
      <w:sz w:val="21"/>
      <w:szCs w:val="22"/>
      <w:lang w:val="en-US" w:eastAsia="zh-CN" w:bidi="ar-SA"/>
    </w:rPr>
  </w:style>
  <w:style w:type="character" w:customStyle="1" w:styleId="84">
    <w:name w:val="标题 2 字符"/>
    <w:autoRedefine/>
    <w:qFormat/>
    <w:uiPriority w:val="1"/>
    <w:rPr>
      <w:rFonts w:ascii="仿宋_GB2312" w:hAnsi="Times New Roman" w:eastAsia="仿宋_GB2312" w:cs="Times New Roman"/>
      <w:b/>
      <w:kern w:val="2"/>
      <w:sz w:val="24"/>
      <w:lang w:val="zh-CN"/>
    </w:rPr>
  </w:style>
  <w:style w:type="paragraph" w:styleId="8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86">
    <w:name w:val="正文缩进 字符"/>
    <w:autoRedefine/>
    <w:qFormat/>
    <w:uiPriority w:val="0"/>
    <w:rPr>
      <w:rFonts w:ascii="宋体" w:eastAsia="宋体"/>
      <w:snapToGrid w:val="0"/>
      <w:color w:val="000000"/>
      <w:kern w:val="28"/>
      <w:sz w:val="28"/>
      <w:lang w:val="en-US" w:eastAsia="zh-CN" w:bidi="ar-SA"/>
    </w:rPr>
  </w:style>
  <w:style w:type="character" w:customStyle="1" w:styleId="87">
    <w:name w:val="正文文本 Char"/>
    <w:autoRedefine/>
    <w:qFormat/>
    <w:uiPriority w:val="0"/>
    <w:rPr>
      <w:rFonts w:eastAsia="宋体"/>
      <w:kern w:val="2"/>
      <w:sz w:val="24"/>
      <w:szCs w:val="24"/>
      <w:lang w:val="en-US" w:eastAsia="zh-CN" w:bidi="ar-SA"/>
    </w:rPr>
  </w:style>
  <w:style w:type="character" w:customStyle="1" w:styleId="88">
    <w:name w:val="标题 4 字符"/>
    <w:autoRedefine/>
    <w:qFormat/>
    <w:uiPriority w:val="9"/>
    <w:rPr>
      <w:rFonts w:ascii="等线 Light" w:hAnsi="等线 Light" w:eastAsia="等线 Light" w:cs="Times New Roman"/>
      <w:b/>
      <w:bCs/>
      <w:snapToGrid w:val="0"/>
      <w:kern w:val="0"/>
      <w:sz w:val="28"/>
      <w:szCs w:val="28"/>
    </w:rPr>
  </w:style>
  <w:style w:type="paragraph" w:customStyle="1" w:styleId="89">
    <w:name w:val="样式 正文文本缩进 + 左  0 字符"/>
    <w:basedOn w:val="1"/>
    <w:next w:val="90"/>
    <w:autoRedefine/>
    <w:qFormat/>
    <w:uiPriority w:val="0"/>
    <w:pPr>
      <w:ind w:firstLine="645"/>
    </w:pPr>
    <w:rPr>
      <w:rFonts w:ascii="楷体_GB2312" w:eastAsia="楷体_GB2312"/>
      <w:sz w:val="24"/>
      <w:szCs w:val="20"/>
    </w:rPr>
  </w:style>
  <w:style w:type="paragraph" w:customStyle="1" w:styleId="90">
    <w:name w:val="MM Topic 4"/>
    <w:basedOn w:val="5"/>
    <w:autoRedefine/>
    <w:qFormat/>
    <w:uiPriority w:val="0"/>
    <w:pPr>
      <w:tabs>
        <w:tab w:val="left" w:pos="2100"/>
      </w:tabs>
      <w:adjustRightInd/>
      <w:ind w:left="2100" w:hanging="420"/>
    </w:pPr>
    <w:rPr>
      <w:lang w:val="en-US"/>
    </w:rPr>
  </w:style>
  <w:style w:type="character" w:customStyle="1" w:styleId="91">
    <w:name w:val="表格非标题文字 Char"/>
    <w:link w:val="92"/>
    <w:autoRedefine/>
    <w:qFormat/>
    <w:uiPriority w:val="0"/>
    <w:rPr>
      <w:rFonts w:ascii="Futura Bk" w:hAnsi="Futura Bk"/>
      <w:kern w:val="2"/>
      <w:sz w:val="18"/>
      <w:szCs w:val="21"/>
      <w:lang w:val="en-US" w:eastAsia="zh-CN" w:bidi="ar-SA"/>
    </w:rPr>
  </w:style>
  <w:style w:type="paragraph" w:customStyle="1" w:styleId="92">
    <w:name w:val="表格非标题文字"/>
    <w:link w:val="9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3">
    <w:name w:val="*正文 Char"/>
    <w:link w:val="94"/>
    <w:autoRedefine/>
    <w:qFormat/>
    <w:locked/>
    <w:uiPriority w:val="0"/>
    <w:rPr>
      <w:rFonts w:ascii="宋体" w:hAnsi="宋体"/>
      <w:sz w:val="24"/>
    </w:rPr>
  </w:style>
  <w:style w:type="paragraph" w:customStyle="1" w:styleId="94">
    <w:name w:val="*正文"/>
    <w:basedOn w:val="1"/>
    <w:link w:val="93"/>
    <w:autoRedefine/>
    <w:qFormat/>
    <w:uiPriority w:val="0"/>
    <w:pPr>
      <w:snapToGrid w:val="0"/>
      <w:spacing w:line="360" w:lineRule="auto"/>
      <w:ind w:firstLine="482"/>
      <w:jc w:val="left"/>
    </w:pPr>
    <w:rPr>
      <w:rFonts w:ascii="宋体" w:hAnsi="宋体"/>
      <w:kern w:val="0"/>
      <w:sz w:val="24"/>
      <w:szCs w:val="20"/>
    </w:rPr>
  </w:style>
  <w:style w:type="character" w:customStyle="1" w:styleId="95">
    <w:name w:val="Char Char71"/>
    <w:autoRedefine/>
    <w:semiHidden/>
    <w:qFormat/>
    <w:uiPriority w:val="0"/>
    <w:rPr>
      <w:rFonts w:eastAsia="宋体"/>
      <w:kern w:val="2"/>
      <w:sz w:val="21"/>
      <w:szCs w:val="24"/>
      <w:lang w:val="en-US" w:eastAsia="zh-CN" w:bidi="ar-SA"/>
    </w:rPr>
  </w:style>
  <w:style w:type="character" w:customStyle="1" w:styleId="96">
    <w:name w:val="Char Char6"/>
    <w:autoRedefine/>
    <w:qFormat/>
    <w:uiPriority w:val="0"/>
    <w:rPr>
      <w:rFonts w:eastAsia="宋体"/>
      <w:kern w:val="2"/>
      <w:sz w:val="21"/>
      <w:szCs w:val="24"/>
      <w:lang w:val="en-US" w:eastAsia="zh-CN" w:bidi="ar-SA"/>
    </w:rPr>
  </w:style>
  <w:style w:type="character" w:customStyle="1" w:styleId="97">
    <w:name w:val="正文缩进 Char"/>
    <w:autoRedefine/>
    <w:qFormat/>
    <w:uiPriority w:val="0"/>
    <w:rPr>
      <w:rFonts w:eastAsia="宋体"/>
      <w:kern w:val="2"/>
      <w:sz w:val="21"/>
      <w:lang w:val="en-US" w:eastAsia="zh-CN"/>
    </w:rPr>
  </w:style>
  <w:style w:type="character" w:customStyle="1" w:styleId="9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9">
    <w:name w:val="Char Char28"/>
    <w:autoRedefine/>
    <w:qFormat/>
    <w:uiPriority w:val="6"/>
    <w:rPr>
      <w:rFonts w:ascii="仿宋_GB2312" w:hAnsi="仿宋_GB2312" w:eastAsia="仿宋_GB2312"/>
      <w:kern w:val="1"/>
      <w:sz w:val="28"/>
    </w:rPr>
  </w:style>
  <w:style w:type="character" w:customStyle="1" w:styleId="10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01">
    <w:name w:val="Heading 1 Char"/>
    <w:autoRedefine/>
    <w:qFormat/>
    <w:uiPriority w:val="6"/>
    <w:rPr>
      <w:rFonts w:ascii="Times New Roman" w:hAnsi="Times New Roman" w:eastAsia="黑体" w:cs="Times New Roman"/>
      <w:b/>
      <w:kern w:val="0"/>
      <w:sz w:val="24"/>
      <w:szCs w:val="24"/>
    </w:rPr>
  </w:style>
  <w:style w:type="character" w:customStyle="1" w:styleId="102">
    <w:name w:val="U_正文 Char"/>
    <w:link w:val="103"/>
    <w:autoRedefine/>
    <w:qFormat/>
    <w:uiPriority w:val="0"/>
    <w:rPr>
      <w:sz w:val="24"/>
      <w:szCs w:val="24"/>
    </w:rPr>
  </w:style>
  <w:style w:type="paragraph" w:customStyle="1" w:styleId="103">
    <w:name w:val="U_正文"/>
    <w:basedOn w:val="1"/>
    <w:link w:val="102"/>
    <w:autoRedefine/>
    <w:qFormat/>
    <w:uiPriority w:val="0"/>
    <w:pPr>
      <w:adjustRightInd/>
      <w:spacing w:beforeLines="20" w:afterLines="20" w:line="300" w:lineRule="auto"/>
      <w:ind w:firstLine="200" w:firstLineChars="200"/>
    </w:pPr>
    <w:rPr>
      <w:kern w:val="0"/>
      <w:sz w:val="24"/>
    </w:rPr>
  </w:style>
  <w:style w:type="character" w:customStyle="1" w:styleId="104">
    <w:name w:val="HTML 地址 Char1"/>
    <w:autoRedefine/>
    <w:qFormat/>
    <w:uiPriority w:val="0"/>
    <w:rPr>
      <w:rFonts w:ascii="Times New Roman" w:hAnsi="Times New Roman" w:eastAsia="宋体" w:cs="Times New Roman"/>
      <w:i/>
      <w:iCs/>
      <w:szCs w:val="24"/>
    </w:rPr>
  </w:style>
  <w:style w:type="character" w:customStyle="1" w:styleId="105">
    <w:name w:val="批注主题 Char1"/>
    <w:link w:val="61"/>
    <w:autoRedefine/>
    <w:qFormat/>
    <w:uiPriority w:val="0"/>
    <w:rPr>
      <w:b/>
      <w:bCs/>
      <w:kern w:val="2"/>
      <w:sz w:val="21"/>
      <w:szCs w:val="24"/>
    </w:rPr>
  </w:style>
  <w:style w:type="character" w:customStyle="1" w:styleId="106">
    <w:name w:val="Char Char51"/>
    <w:autoRedefine/>
    <w:qFormat/>
    <w:uiPriority w:val="0"/>
    <w:rPr>
      <w:rFonts w:ascii="宋体" w:hAnsi="Courier New" w:eastAsia="宋体"/>
      <w:kern w:val="2"/>
      <w:sz w:val="21"/>
      <w:lang w:val="en-US" w:eastAsia="zh-CN"/>
    </w:rPr>
  </w:style>
  <w:style w:type="character" w:customStyle="1" w:styleId="107">
    <w:name w:val="表正文 Char"/>
    <w:autoRedefine/>
    <w:qFormat/>
    <w:uiPriority w:val="0"/>
    <w:rPr>
      <w:rFonts w:ascii="宋体" w:eastAsia="宋体"/>
      <w:snapToGrid w:val="0"/>
      <w:color w:val="000000"/>
      <w:kern w:val="28"/>
      <w:sz w:val="28"/>
      <w:lang w:val="en-US" w:eastAsia="zh-CN" w:bidi="ar-SA"/>
    </w:rPr>
  </w:style>
  <w:style w:type="character" w:customStyle="1" w:styleId="108">
    <w:name w:val="Char Char34"/>
    <w:autoRedefine/>
    <w:qFormat/>
    <w:uiPriority w:val="6"/>
    <w:rPr>
      <w:b/>
      <w:kern w:val="1"/>
      <w:sz w:val="28"/>
      <w:szCs w:val="28"/>
    </w:rPr>
  </w:style>
  <w:style w:type="character" w:customStyle="1" w:styleId="10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10">
    <w:name w:val="哈哈正文 Char"/>
    <w:link w:val="111"/>
    <w:autoRedefine/>
    <w:qFormat/>
    <w:uiPriority w:val="0"/>
    <w:rPr>
      <w:rFonts w:ascii="宋体" w:hAnsi="宋体" w:eastAsia="宋体"/>
      <w:kern w:val="2"/>
      <w:sz w:val="24"/>
      <w:lang w:bidi="ar-SA"/>
    </w:rPr>
  </w:style>
  <w:style w:type="paragraph" w:customStyle="1" w:styleId="111">
    <w:name w:val="哈哈正文"/>
    <w:basedOn w:val="1"/>
    <w:link w:val="110"/>
    <w:autoRedefine/>
    <w:qFormat/>
    <w:uiPriority w:val="0"/>
    <w:pPr>
      <w:adjustRightInd/>
      <w:spacing w:line="360" w:lineRule="auto"/>
      <w:ind w:firstLine="200" w:firstLineChars="200"/>
    </w:pPr>
    <w:rPr>
      <w:rFonts w:ascii="宋体" w:hAnsi="宋体"/>
      <w:sz w:val="24"/>
      <w:szCs w:val="20"/>
    </w:rPr>
  </w:style>
  <w:style w:type="character" w:customStyle="1" w:styleId="112">
    <w:name w:val="未处理的提及1"/>
    <w:autoRedefine/>
    <w:qFormat/>
    <w:uiPriority w:val="0"/>
    <w:rPr>
      <w:color w:val="808080"/>
      <w:shd w:val="clear" w:color="auto" w:fill="E6E6E6"/>
    </w:rPr>
  </w:style>
  <w:style w:type="character" w:customStyle="1" w:styleId="113">
    <w:name w:val="txt"/>
    <w:autoRedefine/>
    <w:qFormat/>
    <w:uiPriority w:val="0"/>
    <w:rPr>
      <w:rFonts w:ascii="仿宋_GB2312" w:eastAsia="微软雅黑"/>
      <w:b/>
      <w:kern w:val="2"/>
      <w:sz w:val="32"/>
      <w:szCs w:val="32"/>
      <w:lang w:val="en-US" w:eastAsia="zh-CN" w:bidi="ar-SA"/>
    </w:rPr>
  </w:style>
  <w:style w:type="character" w:customStyle="1" w:styleId="11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5">
    <w:name w:val="Char Char32"/>
    <w:autoRedefine/>
    <w:qFormat/>
    <w:uiPriority w:val="6"/>
    <w:rPr>
      <w:b/>
      <w:kern w:val="1"/>
      <w:sz w:val="24"/>
      <w:szCs w:val="24"/>
    </w:rPr>
  </w:style>
  <w:style w:type="character" w:customStyle="1" w:styleId="116">
    <w:name w:val="PI Char1"/>
    <w:autoRedefine/>
    <w:qFormat/>
    <w:uiPriority w:val="0"/>
    <w:rPr>
      <w:rFonts w:ascii="宋体" w:hAnsi="宋体"/>
      <w:kern w:val="2"/>
      <w:sz w:val="24"/>
      <w:szCs w:val="24"/>
    </w:rPr>
  </w:style>
  <w:style w:type="character" w:customStyle="1" w:styleId="117">
    <w:name w:val="tw4winTerm"/>
    <w:autoRedefine/>
    <w:qFormat/>
    <w:uiPriority w:val="0"/>
    <w:rPr>
      <w:color w:val="0000FF"/>
    </w:rPr>
  </w:style>
  <w:style w:type="character" w:customStyle="1" w:styleId="118">
    <w:name w:val="Footer Char"/>
    <w:autoRedefine/>
    <w:qFormat/>
    <w:locked/>
    <w:uiPriority w:val="0"/>
    <w:rPr>
      <w:rFonts w:eastAsia="宋体"/>
      <w:kern w:val="2"/>
      <w:sz w:val="18"/>
      <w:lang w:val="en-US" w:eastAsia="zh-CN" w:bidi="ar-SA"/>
    </w:rPr>
  </w:style>
  <w:style w:type="character" w:customStyle="1" w:styleId="119">
    <w:name w:val="普通文字 Char Char1"/>
    <w:autoRedefine/>
    <w:qFormat/>
    <w:uiPriority w:val="0"/>
    <w:rPr>
      <w:rFonts w:ascii="宋体" w:hAnsi="Courier New"/>
      <w:kern w:val="2"/>
      <w:sz w:val="21"/>
    </w:rPr>
  </w:style>
  <w:style w:type="character" w:customStyle="1" w:styleId="120">
    <w:name w:val="Char Char101"/>
    <w:autoRedefine/>
    <w:qFormat/>
    <w:uiPriority w:val="6"/>
    <w:rPr>
      <w:rFonts w:ascii="宋体" w:hAnsi="宋体"/>
      <w:kern w:val="2"/>
      <w:sz w:val="21"/>
      <w:szCs w:val="24"/>
      <w:lang w:val="en-US" w:eastAsia="zh-CN"/>
    </w:rPr>
  </w:style>
  <w:style w:type="character" w:customStyle="1" w:styleId="121">
    <w:name w:val="标题 4 Char"/>
    <w:autoRedefine/>
    <w:qFormat/>
    <w:uiPriority w:val="0"/>
    <w:rPr>
      <w:rFonts w:ascii="Arial" w:hAnsi="Arial" w:eastAsia="黑体"/>
      <w:b/>
      <w:kern w:val="2"/>
      <w:sz w:val="28"/>
    </w:rPr>
  </w:style>
  <w:style w:type="character" w:customStyle="1" w:styleId="122">
    <w:name w:val="链接"/>
    <w:autoRedefine/>
    <w:qFormat/>
    <w:uiPriority w:val="0"/>
    <w:rPr>
      <w:color w:val="0000FF"/>
      <w:sz w:val="21"/>
      <w:szCs w:val="21"/>
      <w:u w:val="single"/>
    </w:rPr>
  </w:style>
  <w:style w:type="character" w:customStyle="1" w:styleId="123">
    <w:name w:val="h4 Char"/>
    <w:autoRedefine/>
    <w:qFormat/>
    <w:uiPriority w:val="0"/>
    <w:rPr>
      <w:rFonts w:ascii="Arial" w:hAnsi="Arial" w:eastAsia="黑体"/>
      <w:b/>
      <w:bCs/>
      <w:kern w:val="2"/>
      <w:sz w:val="28"/>
      <w:szCs w:val="28"/>
      <w:lang w:val="zh-CN" w:eastAsia="zh-CN" w:bidi="ar-SA"/>
    </w:rPr>
  </w:style>
  <w:style w:type="character" w:customStyle="1" w:styleId="124">
    <w:name w:val="5正文 Char"/>
    <w:link w:val="125"/>
    <w:autoRedefine/>
    <w:qFormat/>
    <w:uiPriority w:val="0"/>
    <w:rPr>
      <w:rFonts w:ascii="仿宋_GB2312" w:hAnsi="微软雅黑" w:eastAsia="仿宋_GB2312"/>
      <w:sz w:val="28"/>
      <w:szCs w:val="21"/>
    </w:rPr>
  </w:style>
  <w:style w:type="paragraph" w:customStyle="1" w:styleId="125">
    <w:name w:val="5正文"/>
    <w:basedOn w:val="1"/>
    <w:link w:val="12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6">
    <w:name w:val="标题 3 字符"/>
    <w:autoRedefine/>
    <w:qFormat/>
    <w:uiPriority w:val="9"/>
    <w:rPr>
      <w:b/>
      <w:bCs/>
      <w:kern w:val="2"/>
      <w:sz w:val="32"/>
      <w:szCs w:val="32"/>
    </w:rPr>
  </w:style>
  <w:style w:type="character" w:customStyle="1" w:styleId="127">
    <w:name w:val="样式6 Char"/>
    <w:autoRedefine/>
    <w:qFormat/>
    <w:uiPriority w:val="0"/>
    <w:rPr>
      <w:rFonts w:ascii="仿宋_GB2312" w:hAnsi="宋体" w:eastAsia="仿宋_GB2312"/>
      <w:b/>
      <w:bCs/>
      <w:kern w:val="2"/>
      <w:sz w:val="24"/>
      <w:szCs w:val="24"/>
      <w:lang w:val="en-US" w:eastAsia="zh-CN" w:bidi="ar-SA"/>
    </w:rPr>
  </w:style>
  <w:style w:type="character" w:customStyle="1" w:styleId="128">
    <w:name w:val="Char Char14"/>
    <w:autoRedefine/>
    <w:qFormat/>
    <w:uiPriority w:val="6"/>
    <w:rPr>
      <w:rFonts w:ascii="黑体" w:hAnsi="黑体" w:eastAsia="黑体"/>
    </w:rPr>
  </w:style>
  <w:style w:type="character" w:customStyle="1" w:styleId="129">
    <w:name w:val="Heading 2 Hidden Char"/>
    <w:autoRedefine/>
    <w:qFormat/>
    <w:uiPriority w:val="0"/>
    <w:rPr>
      <w:rFonts w:ascii="仿宋_GB2312" w:eastAsia="仿宋_GB2312"/>
      <w:b/>
      <w:bCs/>
      <w:kern w:val="2"/>
      <w:sz w:val="24"/>
      <w:szCs w:val="24"/>
      <w:lang w:val="zh-CN" w:eastAsia="zh-CN" w:bidi="ar-SA"/>
    </w:rPr>
  </w:style>
  <w:style w:type="character" w:customStyle="1" w:styleId="130">
    <w:name w:val="正文首行缩进 2 Char"/>
    <w:link w:val="25"/>
    <w:autoRedefine/>
    <w:qFormat/>
    <w:uiPriority w:val="0"/>
    <w:rPr>
      <w:rFonts w:ascii="宋体" w:hAnsi="宋体"/>
      <w:kern w:val="2"/>
      <w:sz w:val="21"/>
      <w:szCs w:val="24"/>
    </w:rPr>
  </w:style>
  <w:style w:type="character" w:customStyle="1" w:styleId="131">
    <w:name w:val="font11"/>
    <w:basedOn w:val="70"/>
    <w:autoRedefine/>
    <w:qFormat/>
    <w:uiPriority w:val="0"/>
    <w:rPr>
      <w:rFonts w:hint="default" w:ascii="Times New Roman" w:hAnsi="Times New Roman" w:cs="Times New Roman"/>
      <w:color w:val="000000"/>
      <w:sz w:val="22"/>
      <w:szCs w:val="22"/>
      <w:u w:val="none"/>
    </w:rPr>
  </w:style>
  <w:style w:type="character" w:customStyle="1" w:styleId="132">
    <w:name w:val="表正文 Char1"/>
    <w:autoRedefine/>
    <w:qFormat/>
    <w:uiPriority w:val="0"/>
    <w:rPr>
      <w:rFonts w:ascii="宋体" w:eastAsia="宋体"/>
      <w:snapToGrid w:val="0"/>
      <w:color w:val="000000"/>
      <w:kern w:val="28"/>
      <w:sz w:val="28"/>
    </w:rPr>
  </w:style>
  <w:style w:type="character" w:customStyle="1" w:styleId="133">
    <w:name w:val="blue1"/>
    <w:basedOn w:val="70"/>
    <w:autoRedefine/>
    <w:qFormat/>
    <w:uiPriority w:val="0"/>
    <w:rPr>
      <w:rFonts w:ascii="Arial" w:hAnsi="Arial" w:eastAsia="黑体" w:cs="Arial"/>
      <w:snapToGrid w:val="0"/>
      <w:kern w:val="0"/>
      <w:szCs w:val="21"/>
    </w:rPr>
  </w:style>
  <w:style w:type="character" w:customStyle="1" w:styleId="134">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35">
    <w:name w:val="标书1 Char"/>
    <w:autoRedefine/>
    <w:qFormat/>
    <w:uiPriority w:val="0"/>
    <w:rPr>
      <w:rFonts w:eastAsia="宋体"/>
      <w:b/>
      <w:bCs/>
      <w:kern w:val="44"/>
      <w:sz w:val="44"/>
      <w:szCs w:val="44"/>
      <w:lang w:val="en-US" w:eastAsia="zh-CN" w:bidi="ar-SA"/>
    </w:rPr>
  </w:style>
  <w:style w:type="character" w:customStyle="1" w:styleId="136">
    <w:name w:val="样式5 Char"/>
    <w:autoRedefine/>
    <w:qFormat/>
    <w:uiPriority w:val="0"/>
    <w:rPr>
      <w:rFonts w:ascii="仿宋_GB2312" w:hAnsi="仿宋" w:eastAsia="仿宋_GB2312"/>
      <w:kern w:val="2"/>
      <w:sz w:val="24"/>
      <w:szCs w:val="24"/>
    </w:rPr>
  </w:style>
  <w:style w:type="character" w:customStyle="1" w:styleId="137">
    <w:name w:val="样式4 Char"/>
    <w:autoRedefine/>
    <w:qFormat/>
    <w:uiPriority w:val="0"/>
    <w:rPr>
      <w:rFonts w:ascii="仿宋_GB2312" w:hAnsi="仿宋" w:eastAsia="仿宋_GB2312"/>
      <w:b/>
      <w:kern w:val="2"/>
      <w:sz w:val="32"/>
      <w:szCs w:val="32"/>
      <w:lang w:bidi="ar-SA"/>
    </w:rPr>
  </w:style>
  <w:style w:type="character" w:customStyle="1" w:styleId="138">
    <w:name w:val="插图说明 Char"/>
    <w:autoRedefine/>
    <w:qFormat/>
    <w:uiPriority w:val="0"/>
    <w:rPr>
      <w:rFonts w:eastAsia="黑体"/>
      <w:sz w:val="24"/>
      <w:lang w:val="en-US" w:eastAsia="zh-CN"/>
    </w:rPr>
  </w:style>
  <w:style w:type="character" w:customStyle="1" w:styleId="139">
    <w:name w:val="正文2 Char Char"/>
    <w:link w:val="140"/>
    <w:autoRedefine/>
    <w:qFormat/>
    <w:uiPriority w:val="0"/>
    <w:rPr>
      <w:rFonts w:eastAsia="宋体"/>
      <w:kern w:val="2"/>
      <w:sz w:val="24"/>
      <w:lang w:val="en-US" w:eastAsia="zh-CN" w:bidi="ar-SA"/>
    </w:rPr>
  </w:style>
  <w:style w:type="paragraph" w:customStyle="1" w:styleId="140">
    <w:name w:val="正文2"/>
    <w:basedOn w:val="1"/>
    <w:link w:val="139"/>
    <w:autoRedefine/>
    <w:qFormat/>
    <w:uiPriority w:val="0"/>
    <w:pPr>
      <w:spacing w:before="156" w:line="360" w:lineRule="auto"/>
      <w:ind w:firstLine="510" w:firstLineChars="200"/>
    </w:pPr>
    <w:rPr>
      <w:sz w:val="24"/>
      <w:szCs w:val="20"/>
    </w:rPr>
  </w:style>
  <w:style w:type="character" w:customStyle="1" w:styleId="141">
    <w:name w:val="Char Char24"/>
    <w:autoRedefine/>
    <w:qFormat/>
    <w:uiPriority w:val="6"/>
    <w:rPr>
      <w:kern w:val="1"/>
      <w:sz w:val="21"/>
    </w:rPr>
  </w:style>
  <w:style w:type="character" w:customStyle="1" w:styleId="142">
    <w:name w:val="副标题 Char"/>
    <w:link w:val="48"/>
    <w:autoRedefine/>
    <w:qFormat/>
    <w:uiPriority w:val="0"/>
    <w:rPr>
      <w:rFonts w:ascii="Arial" w:hAnsi="Arial" w:eastAsia="隶书"/>
      <w:b/>
      <w:bCs/>
      <w:kern w:val="28"/>
      <w:sz w:val="44"/>
      <w:szCs w:val="32"/>
      <w:lang w:val="en-US" w:eastAsia="zh-CN" w:bidi="ar-SA"/>
    </w:rPr>
  </w:style>
  <w:style w:type="character" w:customStyle="1" w:styleId="143">
    <w:name w:val="普通文字 Char1 Char"/>
    <w:autoRedefine/>
    <w:qFormat/>
    <w:uiPriority w:val="0"/>
    <w:rPr>
      <w:rFonts w:ascii="宋体" w:hAnsi="Courier New" w:eastAsia="宋体"/>
      <w:kern w:val="2"/>
      <w:sz w:val="21"/>
      <w:szCs w:val="24"/>
      <w:lang w:val="en-US" w:eastAsia="zh-CN" w:bidi="ar-SA"/>
    </w:rPr>
  </w:style>
  <w:style w:type="character" w:customStyle="1" w:styleId="144">
    <w:name w:val="h3 Char1"/>
    <w:autoRedefine/>
    <w:qFormat/>
    <w:uiPriority w:val="0"/>
    <w:rPr>
      <w:rFonts w:eastAsia="宋体"/>
      <w:b/>
      <w:bCs/>
      <w:kern w:val="2"/>
      <w:sz w:val="32"/>
      <w:szCs w:val="32"/>
      <w:lang w:bidi="ar-SA"/>
    </w:rPr>
  </w:style>
  <w:style w:type="character" w:customStyle="1" w:styleId="145">
    <w:name w:val="标题 Char1"/>
    <w:autoRedefine/>
    <w:qFormat/>
    <w:uiPriority w:val="0"/>
    <w:rPr>
      <w:rFonts w:ascii="Cambria" w:hAnsi="Cambria" w:eastAsia="宋体" w:cs="Times New Roman"/>
      <w:b/>
      <w:bCs/>
      <w:sz w:val="32"/>
      <w:szCs w:val="32"/>
      <w:lang w:bidi="ar-SA"/>
    </w:rPr>
  </w:style>
  <w:style w:type="character" w:customStyle="1" w:styleId="146">
    <w:name w:val="gf正文1 Char"/>
    <w:autoRedefine/>
    <w:qFormat/>
    <w:uiPriority w:val="0"/>
    <w:rPr>
      <w:rFonts w:ascii="宋体" w:hAnsi="宋体" w:eastAsia="宋体" w:cs="宋体"/>
      <w:kern w:val="2"/>
      <w:sz w:val="24"/>
      <w:szCs w:val="24"/>
      <w:lang w:val="en-US" w:eastAsia="zh-CN" w:bidi="ar-SA"/>
    </w:rPr>
  </w:style>
  <w:style w:type="character" w:customStyle="1" w:styleId="147">
    <w:name w:val="正文文本缩进 Char1"/>
    <w:autoRedefine/>
    <w:qFormat/>
    <w:uiPriority w:val="0"/>
    <w:rPr>
      <w:rFonts w:ascii="Calibri" w:hAnsi="Calibri"/>
      <w:sz w:val="28"/>
    </w:rPr>
  </w:style>
  <w:style w:type="character" w:customStyle="1" w:styleId="148">
    <w:name w:val="No Spacing Char"/>
    <w:link w:val="149"/>
    <w:autoRedefine/>
    <w:qFormat/>
    <w:uiPriority w:val="1"/>
    <w:rPr>
      <w:sz w:val="22"/>
      <w:szCs w:val="22"/>
      <w:lang w:val="en-US" w:eastAsia="zh-CN" w:bidi="ar-SA"/>
    </w:rPr>
  </w:style>
  <w:style w:type="paragraph" w:customStyle="1" w:styleId="149">
    <w:name w:val="无间隔1"/>
    <w:link w:val="148"/>
    <w:autoRedefine/>
    <w:qFormat/>
    <w:uiPriority w:val="1"/>
    <w:rPr>
      <w:rFonts w:ascii="Times New Roman" w:hAnsi="Times New Roman" w:eastAsia="宋体" w:cs="Times New Roman"/>
      <w:sz w:val="22"/>
      <w:szCs w:val="22"/>
      <w:lang w:val="en-US" w:eastAsia="zh-CN" w:bidi="ar-SA"/>
    </w:rPr>
  </w:style>
  <w:style w:type="character" w:customStyle="1" w:styleId="150">
    <w:name w:val="样式7 Char"/>
    <w:autoRedefine/>
    <w:qFormat/>
    <w:uiPriority w:val="0"/>
    <w:rPr>
      <w:rFonts w:ascii="仿宋_GB2312" w:hAnsi="仿宋" w:eastAsia="仿宋_GB2312"/>
      <w:b/>
      <w:kern w:val="2"/>
      <w:sz w:val="24"/>
      <w:szCs w:val="24"/>
    </w:rPr>
  </w:style>
  <w:style w:type="character" w:customStyle="1" w:styleId="151">
    <w:name w:val="font12gray1"/>
    <w:autoRedefine/>
    <w:qFormat/>
    <w:uiPriority w:val="0"/>
    <w:rPr>
      <w:rFonts w:ascii="仿宋_GB2312" w:eastAsia="微软雅黑"/>
      <w:b/>
      <w:spacing w:val="300"/>
      <w:kern w:val="2"/>
      <w:sz w:val="18"/>
      <w:szCs w:val="18"/>
      <w:lang w:val="en-US" w:eastAsia="zh-CN" w:bidi="ar-SA"/>
    </w:rPr>
  </w:style>
  <w:style w:type="character" w:customStyle="1" w:styleId="152">
    <w:name w:val="Char Char7"/>
    <w:autoRedefine/>
    <w:semiHidden/>
    <w:qFormat/>
    <w:uiPriority w:val="0"/>
    <w:rPr>
      <w:rFonts w:eastAsia="宋体"/>
      <w:kern w:val="2"/>
      <w:sz w:val="21"/>
      <w:szCs w:val="24"/>
      <w:lang w:val="en-US" w:eastAsia="zh-CN" w:bidi="ar-SA"/>
    </w:rPr>
  </w:style>
  <w:style w:type="character" w:customStyle="1" w:styleId="153">
    <w:name w:val="表名 Char"/>
    <w:autoRedefine/>
    <w:qFormat/>
    <w:uiPriority w:val="0"/>
    <w:rPr>
      <w:rFonts w:eastAsia="宋体"/>
      <w:b/>
      <w:bCs/>
      <w:kern w:val="2"/>
      <w:sz w:val="24"/>
      <w:szCs w:val="24"/>
      <w:lang w:val="en-US" w:eastAsia="zh-CN" w:bidi="ar-SA"/>
    </w:rPr>
  </w:style>
  <w:style w:type="character" w:customStyle="1" w:styleId="154">
    <w:name w:val="Document Map Char"/>
    <w:autoRedefine/>
    <w:qFormat/>
    <w:locked/>
    <w:uiPriority w:val="0"/>
    <w:rPr>
      <w:rFonts w:eastAsia="宋体"/>
      <w:kern w:val="2"/>
      <w:sz w:val="21"/>
      <w:szCs w:val="24"/>
      <w:lang w:val="en-US" w:eastAsia="zh-CN" w:bidi="ar-SA"/>
    </w:rPr>
  </w:style>
  <w:style w:type="character" w:customStyle="1" w:styleId="155">
    <w:name w:val="font41"/>
    <w:autoRedefine/>
    <w:qFormat/>
    <w:uiPriority w:val="0"/>
    <w:rPr>
      <w:rFonts w:hint="eastAsia" w:ascii="仿宋_GB2312" w:eastAsia="仿宋_GB2312" w:cs="仿宋_GB2312"/>
      <w:color w:val="000000"/>
      <w:sz w:val="22"/>
      <w:szCs w:val="22"/>
      <w:u w:val="none"/>
    </w:rPr>
  </w:style>
  <w:style w:type="character" w:customStyle="1" w:styleId="156">
    <w:name w:val="标题 6 Char"/>
    <w:link w:val="7"/>
    <w:autoRedefine/>
    <w:qFormat/>
    <w:uiPriority w:val="0"/>
    <w:rPr>
      <w:rFonts w:ascii="Arial" w:hAnsi="Arial" w:eastAsia="黑体"/>
      <w:b/>
      <w:bCs/>
      <w:kern w:val="2"/>
      <w:sz w:val="24"/>
      <w:szCs w:val="24"/>
    </w:rPr>
  </w:style>
  <w:style w:type="character" w:customStyle="1" w:styleId="157">
    <w:name w:val="纯文本 Char_0"/>
    <w:link w:val="158"/>
    <w:autoRedefine/>
    <w:qFormat/>
    <w:uiPriority w:val="0"/>
    <w:rPr>
      <w:rFonts w:ascii="宋体" w:hAnsi="Courier New"/>
      <w:kern w:val="2"/>
      <w:sz w:val="21"/>
      <w:szCs w:val="21"/>
      <w:lang w:val="en-US" w:eastAsia="zh-CN"/>
    </w:rPr>
  </w:style>
  <w:style w:type="paragraph" w:customStyle="1" w:styleId="158">
    <w:name w:val="纯文本_0_0"/>
    <w:basedOn w:val="159"/>
    <w:link w:val="157"/>
    <w:autoRedefine/>
    <w:qFormat/>
    <w:uiPriority w:val="0"/>
    <w:rPr>
      <w:rFonts w:ascii="宋体" w:hAnsi="Courier New"/>
      <w:szCs w:val="21"/>
    </w:rPr>
  </w:style>
  <w:style w:type="paragraph" w:customStyle="1" w:styleId="15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0">
    <w:name w:val="Balloon Text Char"/>
    <w:autoRedefine/>
    <w:qFormat/>
    <w:locked/>
    <w:uiPriority w:val="0"/>
    <w:rPr>
      <w:rFonts w:eastAsia="宋体"/>
      <w:kern w:val="2"/>
      <w:sz w:val="18"/>
      <w:szCs w:val="18"/>
      <w:lang w:val="en-US" w:eastAsia="zh-CN" w:bidi="ar-SA"/>
    </w:rPr>
  </w:style>
  <w:style w:type="character" w:customStyle="1" w:styleId="161">
    <w:name w:val="正文 项目2 Char"/>
    <w:basedOn w:val="162"/>
    <w:autoRedefine/>
    <w:qFormat/>
    <w:uiPriority w:val="0"/>
    <w:rPr>
      <w:rFonts w:ascii="仿宋_GB2312" w:hAnsi="仿宋_GB2312" w:eastAsia="仿宋_GB2312"/>
      <w:kern w:val="2"/>
      <w:sz w:val="24"/>
      <w:lang w:bidi="ar-SA"/>
    </w:rPr>
  </w:style>
  <w:style w:type="character" w:customStyle="1" w:styleId="162">
    <w:name w:val="正文 项目 Char"/>
    <w:autoRedefine/>
    <w:qFormat/>
    <w:uiPriority w:val="0"/>
    <w:rPr>
      <w:rFonts w:ascii="仿宋_GB2312" w:hAnsi="仿宋_GB2312" w:eastAsia="仿宋_GB2312"/>
      <w:kern w:val="2"/>
      <w:sz w:val="24"/>
      <w:lang w:bidi="ar-SA"/>
    </w:rPr>
  </w:style>
  <w:style w:type="character" w:customStyle="1" w:styleId="163">
    <w:name w:val="h Char Char1"/>
    <w:autoRedefine/>
    <w:qFormat/>
    <w:uiPriority w:val="0"/>
    <w:rPr>
      <w:rFonts w:eastAsia="宋体"/>
      <w:kern w:val="2"/>
      <w:sz w:val="18"/>
      <w:szCs w:val="18"/>
      <w:lang w:val="en-US" w:eastAsia="zh-CN" w:bidi="ar-SA"/>
    </w:rPr>
  </w:style>
  <w:style w:type="character" w:customStyle="1" w:styleId="164">
    <w:name w:val="Char Char27"/>
    <w:autoRedefine/>
    <w:qFormat/>
    <w:uiPriority w:val="6"/>
    <w:rPr>
      <w:rFonts w:ascii="宋体" w:hAnsi="宋体" w:eastAsia="宋体"/>
      <w:color w:val="000000"/>
      <w:kern w:val="1"/>
      <w:sz w:val="28"/>
      <w:lang w:val="en-US" w:eastAsia="zh-CN" w:bidi="ar-SA"/>
    </w:rPr>
  </w:style>
  <w:style w:type="character" w:customStyle="1" w:styleId="165">
    <w:name w:val="px14"/>
    <w:autoRedefine/>
    <w:qFormat/>
    <w:uiPriority w:val="0"/>
    <w:rPr>
      <w:rFonts w:ascii="仿宋_GB2312" w:eastAsia="微软雅黑" w:cs="Times New Roman"/>
      <w:b/>
      <w:kern w:val="2"/>
      <w:sz w:val="32"/>
      <w:szCs w:val="32"/>
      <w:lang w:val="en-US" w:eastAsia="zh-CN" w:bidi="ar-SA"/>
    </w:rPr>
  </w:style>
  <w:style w:type="character" w:customStyle="1" w:styleId="166">
    <w:name w:val="HTML 预设格式 Char1"/>
    <w:autoRedefine/>
    <w:qFormat/>
    <w:uiPriority w:val="0"/>
    <w:rPr>
      <w:rFonts w:ascii="Courier New" w:hAnsi="Courier New" w:eastAsia="宋体" w:cs="Courier New"/>
      <w:sz w:val="20"/>
      <w:szCs w:val="20"/>
    </w:rPr>
  </w:style>
  <w:style w:type="character" w:customStyle="1" w:styleId="167">
    <w:name w:val="普通文字 Char1"/>
    <w:autoRedefine/>
    <w:qFormat/>
    <w:uiPriority w:val="0"/>
    <w:rPr>
      <w:rFonts w:ascii="宋体" w:hAnsi="Courier New" w:eastAsia="宋体"/>
      <w:kern w:val="2"/>
      <w:sz w:val="21"/>
      <w:lang w:val="en-US" w:eastAsia="zh-CN"/>
    </w:rPr>
  </w:style>
  <w:style w:type="character" w:customStyle="1" w:styleId="168">
    <w:name w:val="hei16b1"/>
    <w:autoRedefine/>
    <w:qFormat/>
    <w:uiPriority w:val="0"/>
    <w:rPr>
      <w:rFonts w:hint="default" w:ascii="Arial" w:hAnsi="Arial" w:cs="Arial"/>
      <w:b/>
      <w:bCs/>
      <w:color w:val="000000"/>
      <w:sz w:val="24"/>
      <w:szCs w:val="24"/>
    </w:rPr>
  </w:style>
  <w:style w:type="character" w:customStyle="1" w:styleId="169">
    <w:name w:val="正文（绿盟科技） Char"/>
    <w:link w:val="170"/>
    <w:autoRedefine/>
    <w:qFormat/>
    <w:uiPriority w:val="0"/>
    <w:rPr>
      <w:rFonts w:ascii="Arial" w:hAnsi="Arial"/>
      <w:sz w:val="21"/>
      <w:szCs w:val="21"/>
    </w:rPr>
  </w:style>
  <w:style w:type="paragraph" w:customStyle="1" w:styleId="170">
    <w:name w:val="正文（绿盟科技）"/>
    <w:link w:val="169"/>
    <w:autoRedefine/>
    <w:qFormat/>
    <w:uiPriority w:val="0"/>
    <w:pPr>
      <w:spacing w:line="300" w:lineRule="auto"/>
    </w:pPr>
    <w:rPr>
      <w:rFonts w:ascii="Arial" w:hAnsi="Arial" w:eastAsia="宋体" w:cs="Times New Roman"/>
      <w:sz w:val="21"/>
      <w:szCs w:val="21"/>
      <w:lang w:val="en-US" w:eastAsia="zh-CN" w:bidi="ar-SA"/>
    </w:rPr>
  </w:style>
  <w:style w:type="character" w:customStyle="1" w:styleId="171">
    <w:name w:val="Char Char19"/>
    <w:autoRedefine/>
    <w:qFormat/>
    <w:uiPriority w:val="6"/>
    <w:rPr>
      <w:rFonts w:ascii="宋体" w:hAnsi="宋体"/>
      <w:i/>
      <w:sz w:val="24"/>
      <w:szCs w:val="24"/>
    </w:rPr>
  </w:style>
  <w:style w:type="character" w:customStyle="1" w:styleId="172">
    <w:name w:val="页脚 Char"/>
    <w:autoRedefine/>
    <w:qFormat/>
    <w:uiPriority w:val="0"/>
    <w:rPr>
      <w:rFonts w:eastAsia="仿宋_GB2312"/>
      <w:kern w:val="2"/>
      <w:sz w:val="18"/>
      <w:lang w:val="en-US" w:eastAsia="zh-CN"/>
    </w:rPr>
  </w:style>
  <w:style w:type="character" w:customStyle="1" w:styleId="173">
    <w:name w:val="批注主题 Char"/>
    <w:autoRedefine/>
    <w:qFormat/>
    <w:uiPriority w:val="0"/>
    <w:rPr>
      <w:rFonts w:eastAsia="宋体"/>
      <w:b/>
      <w:bCs/>
      <w:kern w:val="2"/>
      <w:sz w:val="21"/>
      <w:szCs w:val="24"/>
      <w:lang w:val="en-US" w:eastAsia="zh-CN" w:bidi="ar-SA"/>
    </w:rPr>
  </w:style>
  <w:style w:type="character" w:customStyle="1" w:styleId="174">
    <w:name w:val="Comment Text Char"/>
    <w:autoRedefine/>
    <w:qFormat/>
    <w:locked/>
    <w:uiPriority w:val="0"/>
    <w:rPr>
      <w:rFonts w:ascii="宋体" w:hAnsi="宋体" w:eastAsia="宋体"/>
      <w:kern w:val="2"/>
      <w:sz w:val="24"/>
      <w:lang w:val="en-US" w:eastAsia="zh-CN" w:bidi="ar-SA"/>
    </w:rPr>
  </w:style>
  <w:style w:type="character" w:customStyle="1" w:styleId="175">
    <w:name w:val="Char Char72"/>
    <w:autoRedefine/>
    <w:qFormat/>
    <w:uiPriority w:val="0"/>
    <w:rPr>
      <w:rFonts w:eastAsia="宋体"/>
      <w:kern w:val="2"/>
      <w:sz w:val="21"/>
      <w:szCs w:val="24"/>
      <w:lang w:val="en-US" w:eastAsia="zh-CN" w:bidi="ar-SA"/>
    </w:rPr>
  </w:style>
  <w:style w:type="character" w:customStyle="1" w:styleId="176">
    <w:name w:val="正文文本缩进 Char2"/>
    <w:autoRedefine/>
    <w:qFormat/>
    <w:uiPriority w:val="0"/>
    <w:rPr>
      <w:rFonts w:ascii="Times New Roman" w:hAnsi="Times New Roman" w:eastAsia="宋体" w:cs="Times New Roman"/>
      <w:snapToGrid w:val="0"/>
      <w:kern w:val="0"/>
      <w:szCs w:val="24"/>
    </w:rPr>
  </w:style>
  <w:style w:type="character" w:customStyle="1" w:styleId="177">
    <w:name w:val="样式2 Char"/>
    <w:autoRedefine/>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autoRedefine/>
    <w:qFormat/>
    <w:uiPriority w:val="0"/>
    <w:rPr>
      <w:sz w:val="32"/>
    </w:rPr>
  </w:style>
  <w:style w:type="paragraph" w:customStyle="1" w:styleId="179">
    <w:name w:val="表格名称"/>
    <w:basedOn w:val="3"/>
    <w:link w:val="17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0">
    <w:name w:val="Char Char4"/>
    <w:autoRedefine/>
    <w:qFormat/>
    <w:uiPriority w:val="0"/>
    <w:rPr>
      <w:rFonts w:eastAsia="宋体"/>
      <w:b/>
      <w:sz w:val="24"/>
      <w:lang w:val="en-GB" w:eastAsia="zh-CN" w:bidi="ar-SA"/>
    </w:rPr>
  </w:style>
  <w:style w:type="character" w:customStyle="1" w:styleId="181">
    <w:name w:val="c7 style3"/>
    <w:autoRedefine/>
    <w:qFormat/>
    <w:uiPriority w:val="0"/>
  </w:style>
  <w:style w:type="character" w:customStyle="1" w:styleId="182">
    <w:name w:val="正文文本 3 Char1"/>
    <w:autoRedefine/>
    <w:semiHidden/>
    <w:qFormat/>
    <w:uiPriority w:val="99"/>
    <w:rPr>
      <w:rFonts w:ascii="Times New Roman" w:hAnsi="Times New Roman" w:eastAsia="宋体" w:cs="Times New Roman"/>
      <w:sz w:val="16"/>
      <w:szCs w:val="16"/>
    </w:rPr>
  </w:style>
  <w:style w:type="character" w:customStyle="1" w:styleId="183">
    <w:name w:val="tw4winInternal"/>
    <w:autoRedefine/>
    <w:qFormat/>
    <w:uiPriority w:val="0"/>
    <w:rPr>
      <w:rFonts w:ascii="Courier New" w:hAnsi="Courier New" w:cs="Courier New"/>
      <w:color w:val="FF0000"/>
      <w:lang w:val="en-US" w:eastAsia="zh-CN"/>
    </w:rPr>
  </w:style>
  <w:style w:type="character" w:customStyle="1" w:styleId="184">
    <w:name w:val="Char Char10"/>
    <w:autoRedefine/>
    <w:semiHidden/>
    <w:qFormat/>
    <w:uiPriority w:val="0"/>
    <w:rPr>
      <w:rFonts w:ascii="宋体" w:hAnsi="宋体"/>
      <w:kern w:val="2"/>
      <w:sz w:val="21"/>
      <w:szCs w:val="24"/>
      <w:lang w:val="en-US" w:eastAsia="zh-CN"/>
    </w:rPr>
  </w:style>
  <w:style w:type="character" w:customStyle="1" w:styleId="185">
    <w:name w:val="shadow11"/>
    <w:autoRedefine/>
    <w:qFormat/>
    <w:uiPriority w:val="0"/>
    <w:rPr>
      <w:color w:val="000000"/>
      <w:sz w:val="21"/>
    </w:rPr>
  </w:style>
  <w:style w:type="character" w:customStyle="1" w:styleId="186">
    <w:name w:val="正文非缩进 Char3"/>
    <w:autoRedefine/>
    <w:qFormat/>
    <w:uiPriority w:val="0"/>
    <w:rPr>
      <w:rFonts w:ascii="宋体" w:eastAsia="宋体"/>
      <w:snapToGrid w:val="0"/>
      <w:color w:val="000000"/>
      <w:kern w:val="28"/>
      <w:sz w:val="28"/>
      <w:lang w:val="en-US" w:eastAsia="zh-CN" w:bidi="ar-SA"/>
    </w:rPr>
  </w:style>
  <w:style w:type="character" w:customStyle="1" w:styleId="187">
    <w:name w:val="Char Char"/>
    <w:autoRedefine/>
    <w:qFormat/>
    <w:uiPriority w:val="0"/>
    <w:rPr>
      <w:rFonts w:ascii="宋体" w:hAnsi="Courier New" w:eastAsia="宋体"/>
      <w:kern w:val="2"/>
      <w:sz w:val="21"/>
      <w:lang w:val="en-US" w:eastAsia="zh-CN" w:bidi="ar-SA"/>
    </w:rPr>
  </w:style>
  <w:style w:type="character" w:customStyle="1" w:styleId="188">
    <w:name w:val="签名 Char1"/>
    <w:autoRedefine/>
    <w:qFormat/>
    <w:uiPriority w:val="0"/>
    <w:rPr>
      <w:rFonts w:ascii="Times New Roman" w:hAnsi="Times New Roman" w:eastAsia="宋体" w:cs="Times New Roman"/>
      <w:szCs w:val="24"/>
    </w:rPr>
  </w:style>
  <w:style w:type="character" w:customStyle="1" w:styleId="189">
    <w:name w:val="日期 Char"/>
    <w:link w:val="36"/>
    <w:autoRedefine/>
    <w:qFormat/>
    <w:uiPriority w:val="0"/>
    <w:rPr>
      <w:rFonts w:ascii="宋体"/>
      <w:kern w:val="2"/>
      <w:sz w:val="24"/>
      <w:szCs w:val="21"/>
      <w:lang w:val="zh-CN"/>
    </w:rPr>
  </w:style>
  <w:style w:type="character" w:customStyle="1" w:styleId="190">
    <w:name w:val="标题 9 Char"/>
    <w:link w:val="10"/>
    <w:autoRedefine/>
    <w:qFormat/>
    <w:uiPriority w:val="0"/>
    <w:rPr>
      <w:rFonts w:ascii="Arial" w:hAnsi="Arial" w:eastAsia="黑体"/>
      <w:kern w:val="2"/>
      <w:sz w:val="21"/>
      <w:szCs w:val="21"/>
    </w:rPr>
  </w:style>
  <w:style w:type="character" w:customStyle="1" w:styleId="191">
    <w:name w:val="Char Char18"/>
    <w:autoRedefine/>
    <w:qFormat/>
    <w:uiPriority w:val="6"/>
    <w:rPr>
      <w:rFonts w:ascii="宋体" w:hAnsi="宋体"/>
      <w:sz w:val="28"/>
    </w:rPr>
  </w:style>
  <w:style w:type="character" w:customStyle="1" w:styleId="192">
    <w:name w:val="批注文字 Char"/>
    <w:autoRedefine/>
    <w:qFormat/>
    <w:uiPriority w:val="99"/>
    <w:rPr>
      <w:kern w:val="2"/>
      <w:sz w:val="21"/>
      <w:szCs w:val="24"/>
    </w:rPr>
  </w:style>
  <w:style w:type="character" w:customStyle="1" w:styleId="193">
    <w:name w:val="Char Char22"/>
    <w:autoRedefine/>
    <w:qFormat/>
    <w:uiPriority w:val="6"/>
    <w:rPr>
      <w:rFonts w:ascii="宋体" w:hAnsi="宋体"/>
      <w:kern w:val="1"/>
      <w:sz w:val="24"/>
      <w:szCs w:val="24"/>
    </w:rPr>
  </w:style>
  <w:style w:type="character" w:customStyle="1" w:styleId="194">
    <w:name w:val="pt141"/>
    <w:autoRedefine/>
    <w:qFormat/>
    <w:uiPriority w:val="0"/>
    <w:rPr>
      <w:color w:val="330066"/>
      <w:sz w:val="22"/>
      <w:szCs w:val="22"/>
    </w:rPr>
  </w:style>
  <w:style w:type="character" w:customStyle="1" w:styleId="195">
    <w:name w:val="正文文本缩进 2 Char1"/>
    <w:autoRedefine/>
    <w:semiHidden/>
    <w:qFormat/>
    <w:uiPriority w:val="99"/>
    <w:rPr>
      <w:rFonts w:ascii="Times New Roman" w:hAnsi="Times New Roman" w:eastAsia="宋体" w:cs="Times New Roman"/>
      <w:szCs w:val="24"/>
    </w:rPr>
  </w:style>
  <w:style w:type="character" w:customStyle="1" w:styleId="196">
    <w:name w:val="批注框文本 Char"/>
    <w:link w:val="39"/>
    <w:autoRedefine/>
    <w:qFormat/>
    <w:uiPriority w:val="0"/>
    <w:rPr>
      <w:kern w:val="2"/>
      <w:sz w:val="18"/>
      <w:szCs w:val="18"/>
    </w:rPr>
  </w:style>
  <w:style w:type="character" w:customStyle="1" w:styleId="197">
    <w:name w:val="Char Char611"/>
    <w:autoRedefine/>
    <w:qFormat/>
    <w:uiPriority w:val="0"/>
    <w:rPr>
      <w:rFonts w:eastAsia="宋体"/>
      <w:kern w:val="2"/>
      <w:sz w:val="21"/>
      <w:szCs w:val="24"/>
      <w:lang w:val="en-US" w:eastAsia="zh-CN" w:bidi="ar-SA"/>
    </w:rPr>
  </w:style>
  <w:style w:type="character" w:customStyle="1" w:styleId="198">
    <w:name w:val="highlight1"/>
    <w:autoRedefine/>
    <w:qFormat/>
    <w:uiPriority w:val="0"/>
    <w:rPr>
      <w:rFonts w:ascii="仿宋_GB2312" w:eastAsia="微软雅黑"/>
      <w:b/>
      <w:kern w:val="2"/>
      <w:sz w:val="23"/>
      <w:szCs w:val="23"/>
      <w:lang w:val="en-US" w:eastAsia="zh-CN" w:bidi="ar-SA"/>
    </w:rPr>
  </w:style>
  <w:style w:type="character" w:customStyle="1" w:styleId="199">
    <w:name w:val="my正文 Char"/>
    <w:link w:val="200"/>
    <w:autoRedefine/>
    <w:qFormat/>
    <w:locked/>
    <w:uiPriority w:val="0"/>
    <w:rPr>
      <w:rFonts w:ascii="Tahoma" w:hAnsi="Tahoma"/>
      <w:sz w:val="24"/>
      <w:szCs w:val="24"/>
    </w:rPr>
  </w:style>
  <w:style w:type="paragraph" w:customStyle="1" w:styleId="200">
    <w:name w:val="my正文"/>
    <w:basedOn w:val="1"/>
    <w:link w:val="199"/>
    <w:autoRedefine/>
    <w:qFormat/>
    <w:uiPriority w:val="0"/>
    <w:pPr>
      <w:adjustRightInd/>
      <w:spacing w:line="360" w:lineRule="auto"/>
      <w:ind w:firstLine="480" w:firstLineChars="200"/>
    </w:pPr>
    <w:rPr>
      <w:rFonts w:ascii="Tahoma" w:hAnsi="Tahoma"/>
      <w:kern w:val="0"/>
      <w:sz w:val="24"/>
    </w:rPr>
  </w:style>
  <w:style w:type="character" w:customStyle="1" w:styleId="201">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autoRedefine/>
    <w:qFormat/>
    <w:uiPriority w:val="0"/>
    <w:rPr>
      <w:color w:val="0000FF"/>
      <w:sz w:val="21"/>
    </w:rPr>
  </w:style>
  <w:style w:type="character" w:customStyle="1" w:styleId="203">
    <w:name w:val="页眉 Char"/>
    <w:autoRedefine/>
    <w:qFormat/>
    <w:uiPriority w:val="0"/>
    <w:rPr>
      <w:rFonts w:eastAsia="仿宋_GB2312"/>
      <w:kern w:val="2"/>
      <w:sz w:val="18"/>
      <w:lang w:val="en-US" w:eastAsia="zh-CN"/>
    </w:rPr>
  </w:style>
  <w:style w:type="character" w:customStyle="1" w:styleId="204">
    <w:name w:val="FA正文 Char Char"/>
    <w:autoRedefine/>
    <w:qFormat/>
    <w:uiPriority w:val="0"/>
    <w:rPr>
      <w:rFonts w:hAnsi="宋体"/>
      <w:kern w:val="2"/>
      <w:sz w:val="24"/>
      <w:lang w:bidi="ar-SA"/>
    </w:rPr>
  </w:style>
  <w:style w:type="character" w:customStyle="1" w:styleId="20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autoRedefine/>
    <w:qFormat/>
    <w:uiPriority w:val="0"/>
    <w:rPr>
      <w:rFonts w:ascii="宋体" w:hAnsi="宋体"/>
      <w:b/>
      <w:bCs/>
      <w:snapToGrid/>
      <w:sz w:val="28"/>
    </w:rPr>
  </w:style>
  <w:style w:type="paragraph" w:customStyle="1" w:styleId="207">
    <w:name w:val="3级"/>
    <w:basedOn w:val="208"/>
    <w:link w:val="206"/>
    <w:autoRedefine/>
    <w:qFormat/>
    <w:uiPriority w:val="0"/>
    <w:pPr>
      <w:ind w:left="0" w:right="466" w:firstLine="288"/>
    </w:pPr>
    <w:rPr>
      <w:rFonts w:hAnsi="宋体"/>
      <w:snapToGrid/>
    </w:rPr>
  </w:style>
  <w:style w:type="paragraph" w:customStyle="1" w:styleId="20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autoRedefine/>
    <w:qFormat/>
    <w:uiPriority w:val="0"/>
    <w:rPr>
      <w:rFonts w:ascii="仿宋_GB2312" w:eastAsia="微软雅黑"/>
      <w:b/>
      <w:kern w:val="2"/>
      <w:sz w:val="32"/>
      <w:szCs w:val="32"/>
      <w:lang w:val="en-US" w:eastAsia="zh-CN" w:bidi="ar-SA"/>
    </w:rPr>
  </w:style>
  <w:style w:type="character" w:customStyle="1" w:styleId="210">
    <w:name w:val="文档结构图 Char1"/>
    <w:link w:val="18"/>
    <w:autoRedefine/>
    <w:qFormat/>
    <w:uiPriority w:val="0"/>
    <w:rPr>
      <w:kern w:val="2"/>
      <w:sz w:val="21"/>
      <w:szCs w:val="24"/>
      <w:shd w:val="clear" w:color="auto" w:fill="000080"/>
    </w:rPr>
  </w:style>
  <w:style w:type="character" w:customStyle="1" w:styleId="211">
    <w:name w:val="H6 Char"/>
    <w:autoRedefine/>
    <w:qFormat/>
    <w:uiPriority w:val="0"/>
    <w:rPr>
      <w:rFonts w:ascii="Arial" w:hAnsi="Arial" w:eastAsia="黑体"/>
      <w:b/>
      <w:bCs/>
      <w:kern w:val="2"/>
      <w:sz w:val="24"/>
      <w:szCs w:val="24"/>
    </w:rPr>
  </w:style>
  <w:style w:type="character" w:customStyle="1" w:styleId="212">
    <w:name w:val="Char Char91"/>
    <w:autoRedefine/>
    <w:qFormat/>
    <w:uiPriority w:val="0"/>
    <w:rPr>
      <w:rFonts w:eastAsia="宋体"/>
      <w:kern w:val="2"/>
      <w:sz w:val="18"/>
      <w:szCs w:val="18"/>
      <w:lang w:val="en-US" w:eastAsia="zh-CN" w:bidi="ar-SA"/>
    </w:rPr>
  </w:style>
  <w:style w:type="character" w:customStyle="1" w:styleId="213">
    <w:name w:val="副标题 Char1"/>
    <w:autoRedefine/>
    <w:qFormat/>
    <w:uiPriority w:val="0"/>
    <w:rPr>
      <w:rFonts w:ascii="Cambria" w:hAnsi="Cambria" w:eastAsia="宋体" w:cs="Times New Roman"/>
      <w:b/>
      <w:bCs/>
      <w:snapToGrid w:val="0"/>
      <w:kern w:val="28"/>
      <w:sz w:val="32"/>
      <w:szCs w:val="32"/>
    </w:rPr>
  </w:style>
  <w:style w:type="character" w:customStyle="1" w:styleId="214">
    <w:name w:val="font61"/>
    <w:autoRedefine/>
    <w:qFormat/>
    <w:uiPriority w:val="0"/>
    <w:rPr>
      <w:rFonts w:hint="eastAsia" w:ascii="仿宋" w:hAnsi="仿宋" w:eastAsia="仿宋" w:cs="仿宋"/>
      <w:color w:val="000000"/>
      <w:sz w:val="20"/>
      <w:szCs w:val="20"/>
      <w:u w:val="none"/>
    </w:rPr>
  </w:style>
  <w:style w:type="character" w:customStyle="1" w:styleId="21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autoRedefine/>
    <w:qFormat/>
    <w:uiPriority w:val="0"/>
    <w:rPr>
      <w:rFonts w:eastAsia="宋体"/>
      <w:b/>
      <w:bCs/>
      <w:kern w:val="2"/>
      <w:sz w:val="21"/>
      <w:szCs w:val="24"/>
      <w:lang w:val="en-US" w:eastAsia="zh-CN" w:bidi="ar-SA"/>
    </w:rPr>
  </w:style>
  <w:style w:type="character" w:customStyle="1" w:styleId="217">
    <w:name w:val="标题 2 Char"/>
    <w:autoRedefine/>
    <w:qFormat/>
    <w:uiPriority w:val="0"/>
    <w:rPr>
      <w:rFonts w:ascii="Arial" w:hAnsi="Arial" w:eastAsia="黑体"/>
      <w:b/>
      <w:kern w:val="2"/>
      <w:sz w:val="32"/>
      <w:lang w:val="en-US" w:eastAsia="zh-CN"/>
    </w:rPr>
  </w:style>
  <w:style w:type="character" w:customStyle="1" w:styleId="218">
    <w:name w:val="maywed421"/>
    <w:autoRedefine/>
    <w:qFormat/>
    <w:uiPriority w:val="0"/>
    <w:rPr>
      <w:color w:val="366FB6"/>
      <w:u w:val="none"/>
    </w:rPr>
  </w:style>
  <w:style w:type="character" w:customStyle="1" w:styleId="219">
    <w:name w:val="正文文本缩进 Char"/>
    <w:autoRedefine/>
    <w:qFormat/>
    <w:uiPriority w:val="0"/>
    <w:rPr>
      <w:rFonts w:ascii="宋体" w:hAnsi="宋体"/>
      <w:kern w:val="2"/>
      <w:sz w:val="24"/>
      <w:szCs w:val="24"/>
    </w:rPr>
  </w:style>
  <w:style w:type="character" w:customStyle="1" w:styleId="220">
    <w:name w:val="Char Char102"/>
    <w:autoRedefine/>
    <w:semiHidden/>
    <w:qFormat/>
    <w:uiPriority w:val="0"/>
    <w:rPr>
      <w:rFonts w:ascii="宋体" w:hAnsi="宋体"/>
      <w:kern w:val="2"/>
      <w:sz w:val="21"/>
      <w:szCs w:val="24"/>
      <w:lang w:val="en-US" w:eastAsia="zh-CN"/>
    </w:rPr>
  </w:style>
  <w:style w:type="character" w:customStyle="1" w:styleId="221">
    <w:name w:val="页眉 Char1"/>
    <w:autoRedefine/>
    <w:qFormat/>
    <w:uiPriority w:val="0"/>
    <w:rPr>
      <w:rFonts w:eastAsia="宋体"/>
      <w:kern w:val="2"/>
      <w:sz w:val="18"/>
      <w:szCs w:val="18"/>
      <w:lang w:val="en-US" w:eastAsia="zh-CN" w:bidi="ar-SA"/>
    </w:rPr>
  </w:style>
  <w:style w:type="character" w:customStyle="1" w:styleId="222">
    <w:name w:val="md"/>
    <w:basedOn w:val="70"/>
    <w:autoRedefine/>
    <w:qFormat/>
    <w:uiPriority w:val="0"/>
    <w:rPr>
      <w:rFonts w:ascii="Arial" w:hAnsi="Arial" w:eastAsia="黑体" w:cs="Arial"/>
      <w:snapToGrid w:val="0"/>
      <w:kern w:val="0"/>
      <w:szCs w:val="21"/>
    </w:rPr>
  </w:style>
  <w:style w:type="character" w:customStyle="1" w:styleId="223">
    <w:name w:val="big1"/>
    <w:autoRedefine/>
    <w:qFormat/>
    <w:uiPriority w:val="0"/>
    <w:rPr>
      <w:rFonts w:hint="eastAsia" w:ascii="宋体" w:hAnsi="宋体" w:eastAsia="宋体"/>
      <w:color w:val="333333"/>
      <w:sz w:val="22"/>
      <w:szCs w:val="22"/>
    </w:rPr>
  </w:style>
  <w:style w:type="character" w:customStyle="1" w:styleId="224">
    <w:name w:val="Char Char311"/>
    <w:autoRedefine/>
    <w:qFormat/>
    <w:uiPriority w:val="0"/>
    <w:rPr>
      <w:rFonts w:eastAsia="宋体"/>
      <w:kern w:val="2"/>
      <w:sz w:val="21"/>
      <w:szCs w:val="24"/>
      <w:lang w:val="en-US" w:eastAsia="zh-CN" w:bidi="ar-SA"/>
    </w:rPr>
  </w:style>
  <w:style w:type="character" w:customStyle="1" w:styleId="225">
    <w:name w:val="Char Char81"/>
    <w:autoRedefine/>
    <w:qFormat/>
    <w:uiPriority w:val="6"/>
    <w:rPr>
      <w:rFonts w:eastAsia="宋体"/>
      <w:b/>
      <w:sz w:val="24"/>
      <w:lang w:val="en-GB" w:eastAsia="zh-CN"/>
    </w:rPr>
  </w:style>
  <w:style w:type="character" w:customStyle="1" w:styleId="226">
    <w:name w:val="样式3 Char"/>
    <w:basedOn w:val="177"/>
    <w:autoRedefine/>
    <w:qFormat/>
    <w:uiPriority w:val="0"/>
    <w:rPr>
      <w:rFonts w:ascii="仿宋_GB2312" w:hAnsi="仿宋" w:eastAsia="仿宋_GB2312" w:cs="仿宋_GB2312"/>
      <w:sz w:val="32"/>
      <w:szCs w:val="30"/>
      <w:lang w:val="zh-CN"/>
    </w:rPr>
  </w:style>
  <w:style w:type="character" w:customStyle="1" w:styleId="227">
    <w:name w:val="HTML 地址 Char"/>
    <w:link w:val="30"/>
    <w:autoRedefine/>
    <w:qFormat/>
    <w:uiPriority w:val="0"/>
    <w:rPr>
      <w:rFonts w:ascii="宋体" w:hAnsi="宋体"/>
      <w:i/>
      <w:iCs/>
      <w:sz w:val="24"/>
      <w:szCs w:val="24"/>
    </w:rPr>
  </w:style>
  <w:style w:type="character" w:customStyle="1" w:styleId="228">
    <w:name w:val="正文首行缩进 2 Char1"/>
    <w:autoRedefine/>
    <w:qFormat/>
    <w:uiPriority w:val="0"/>
    <w:rPr>
      <w:rFonts w:ascii="Times New Roman" w:hAnsi="Times New Roman" w:eastAsia="宋体" w:cs="Times New Roman"/>
      <w:kern w:val="2"/>
      <w:sz w:val="24"/>
      <w:szCs w:val="24"/>
    </w:rPr>
  </w:style>
  <w:style w:type="character" w:customStyle="1" w:styleId="229">
    <w:name w:val="副标题 Char2"/>
    <w:autoRedefine/>
    <w:qFormat/>
    <w:uiPriority w:val="0"/>
    <w:rPr>
      <w:rFonts w:ascii="Cambria" w:hAnsi="Cambria" w:eastAsia="宋体" w:cs="Times New Roman"/>
      <w:b/>
      <w:bCs/>
      <w:snapToGrid w:val="0"/>
      <w:kern w:val="28"/>
      <w:sz w:val="32"/>
      <w:szCs w:val="32"/>
    </w:rPr>
  </w:style>
  <w:style w:type="character" w:customStyle="1" w:styleId="230">
    <w:name w:val="标题4-dyf Char"/>
    <w:link w:val="231"/>
    <w:autoRedefine/>
    <w:qFormat/>
    <w:uiPriority w:val="0"/>
    <w:rPr>
      <w:rFonts w:ascii="Cambria" w:hAnsi="Cambria"/>
      <w:b/>
      <w:bCs/>
      <w:color w:val="000000"/>
      <w:kern w:val="2"/>
      <w:sz w:val="21"/>
      <w:szCs w:val="21"/>
    </w:rPr>
  </w:style>
  <w:style w:type="paragraph" w:customStyle="1" w:styleId="231">
    <w:name w:val="标题4-dyf"/>
    <w:basedOn w:val="5"/>
    <w:link w:val="23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autoRedefine/>
    <w:qFormat/>
    <w:uiPriority w:val="0"/>
    <w:rPr>
      <w:rFonts w:ascii="宋体" w:hAnsi="宋体" w:eastAsia="宋体"/>
      <w:color w:val="333333"/>
      <w:sz w:val="21"/>
      <w:szCs w:val="21"/>
      <w:u w:val="none"/>
    </w:rPr>
  </w:style>
  <w:style w:type="character" w:customStyle="1" w:styleId="233">
    <w:name w:val="冯 Char"/>
    <w:link w:val="234"/>
    <w:autoRedefine/>
    <w:qFormat/>
    <w:uiPriority w:val="0"/>
    <w:rPr>
      <w:rFonts w:ascii="宋体" w:hAnsi="宋体"/>
      <w:color w:val="000000"/>
      <w:sz w:val="24"/>
      <w:szCs w:val="24"/>
    </w:rPr>
  </w:style>
  <w:style w:type="paragraph" w:customStyle="1" w:styleId="234">
    <w:name w:val="冯"/>
    <w:basedOn w:val="1"/>
    <w:link w:val="23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5">
    <w:name w:val="Header Char"/>
    <w:autoRedefine/>
    <w:qFormat/>
    <w:locked/>
    <w:uiPriority w:val="0"/>
    <w:rPr>
      <w:rFonts w:eastAsia="宋体"/>
      <w:kern w:val="2"/>
      <w:sz w:val="18"/>
      <w:szCs w:val="18"/>
      <w:lang w:val="en-US" w:eastAsia="zh-CN" w:bidi="ar-SA"/>
    </w:rPr>
  </w:style>
  <w:style w:type="character" w:customStyle="1" w:styleId="236">
    <w:name w:val="Char Char12"/>
    <w:autoRedefine/>
    <w:qFormat/>
    <w:uiPriority w:val="0"/>
    <w:rPr>
      <w:rFonts w:ascii="仿宋_GB2312" w:eastAsia="仿宋_GB2312"/>
      <w:b/>
      <w:bCs/>
      <w:kern w:val="2"/>
      <w:sz w:val="24"/>
      <w:szCs w:val="24"/>
      <w:lang w:val="zh-CN" w:eastAsia="zh-CN" w:bidi="ar-SA"/>
    </w:rPr>
  </w:style>
  <w:style w:type="character" w:customStyle="1" w:styleId="237">
    <w:name w:val="题注 Char"/>
    <w:link w:val="16"/>
    <w:autoRedefine/>
    <w:qFormat/>
    <w:uiPriority w:val="0"/>
    <w:rPr>
      <w:b/>
      <w:kern w:val="2"/>
      <w:sz w:val="28"/>
    </w:rPr>
  </w:style>
  <w:style w:type="character" w:customStyle="1" w:styleId="238">
    <w:name w:val="普通文字 Char3"/>
    <w:autoRedefine/>
    <w:qFormat/>
    <w:uiPriority w:val="0"/>
    <w:rPr>
      <w:rFonts w:ascii="宋体" w:hAnsi="Courier New" w:eastAsia="宋体"/>
      <w:kern w:val="2"/>
      <w:sz w:val="21"/>
      <w:lang w:val="en-US" w:eastAsia="zh-CN" w:bidi="ar-SA"/>
    </w:rPr>
  </w:style>
  <w:style w:type="character" w:customStyle="1" w:styleId="239">
    <w:name w:val="公文正文 Char"/>
    <w:autoRedefine/>
    <w:qFormat/>
    <w:uiPriority w:val="0"/>
    <w:rPr>
      <w:rFonts w:ascii="仿宋_GB2312" w:eastAsia="仿宋_GB2312"/>
      <w:kern w:val="2"/>
      <w:sz w:val="24"/>
      <w:szCs w:val="24"/>
      <w:lang w:val="en-US" w:eastAsia="zh-CN" w:bidi="ar-SA"/>
    </w:rPr>
  </w:style>
  <w:style w:type="character" w:customStyle="1" w:styleId="240">
    <w:name w:val="正文首行缩进 Char Char Char Char Char"/>
    <w:autoRedefine/>
    <w:qFormat/>
    <w:uiPriority w:val="0"/>
    <w:rPr>
      <w:rFonts w:ascii="宋体"/>
      <w:kern w:val="2"/>
      <w:sz w:val="24"/>
      <w:lang w:val="zh-CN"/>
    </w:rPr>
  </w:style>
  <w:style w:type="character" w:customStyle="1" w:styleId="241">
    <w:name w:val="PI Char"/>
    <w:autoRedefine/>
    <w:qFormat/>
    <w:uiPriority w:val="0"/>
    <w:rPr>
      <w:rFonts w:ascii="宋体" w:hAnsi="宋体" w:eastAsia="宋体"/>
      <w:kern w:val="2"/>
      <w:sz w:val="24"/>
      <w:szCs w:val="24"/>
      <w:lang w:val="en-US" w:eastAsia="zh-CN" w:bidi="ar-SA"/>
    </w:rPr>
  </w:style>
  <w:style w:type="character" w:customStyle="1" w:styleId="242">
    <w:name w:val="Default Char"/>
    <w:link w:val="82"/>
    <w:autoRedefine/>
    <w:qFormat/>
    <w:uiPriority w:val="0"/>
    <w:rPr>
      <w:rFonts w:ascii="仿宋_GB2312" w:eastAsia="仿宋_GB2312" w:cs="仿宋_GB2312"/>
      <w:color w:val="000000"/>
      <w:sz w:val="24"/>
      <w:szCs w:val="24"/>
      <w:lang w:val="en-US" w:eastAsia="zh-CN" w:bidi="ar-SA"/>
    </w:rPr>
  </w:style>
  <w:style w:type="character" w:customStyle="1" w:styleId="243">
    <w:name w:val="style91"/>
    <w:autoRedefine/>
    <w:qFormat/>
    <w:uiPriority w:val="0"/>
    <w:rPr>
      <w:color w:val="333333"/>
    </w:rPr>
  </w:style>
  <w:style w:type="character" w:customStyle="1" w:styleId="244">
    <w:name w:val="列出段落 Char2"/>
    <w:autoRedefine/>
    <w:qFormat/>
    <w:uiPriority w:val="34"/>
    <w:rPr>
      <w:rFonts w:ascii="Calibri" w:hAnsi="Calibri"/>
      <w:kern w:val="2"/>
      <w:sz w:val="28"/>
    </w:rPr>
  </w:style>
  <w:style w:type="character" w:customStyle="1" w:styleId="245">
    <w:name w:val="mdeck"/>
    <w:autoRedefine/>
    <w:qFormat/>
    <w:uiPriority w:val="0"/>
    <w:rPr>
      <w:rFonts w:ascii="仿宋_GB2312" w:eastAsia="微软雅黑"/>
      <w:b/>
      <w:kern w:val="2"/>
      <w:sz w:val="32"/>
      <w:szCs w:val="32"/>
      <w:lang w:val="en-US" w:eastAsia="zh-CN" w:bidi="ar-SA"/>
    </w:rPr>
  </w:style>
  <w:style w:type="character" w:customStyle="1" w:styleId="246">
    <w:name w:val="unnamed11"/>
    <w:autoRedefine/>
    <w:qFormat/>
    <w:uiPriority w:val="0"/>
    <w:rPr>
      <w:sz w:val="20"/>
      <w:szCs w:val="20"/>
    </w:rPr>
  </w:style>
  <w:style w:type="character" w:customStyle="1" w:styleId="247">
    <w:name w:val="正文文本 Char2"/>
    <w:autoRedefine/>
    <w:semiHidden/>
    <w:qFormat/>
    <w:uiPriority w:val="99"/>
    <w:rPr>
      <w:rFonts w:ascii="Times New Roman" w:hAnsi="Times New Roman" w:eastAsia="宋体" w:cs="Times New Roman"/>
      <w:snapToGrid w:val="0"/>
      <w:kern w:val="0"/>
      <w:szCs w:val="24"/>
    </w:rPr>
  </w:style>
  <w:style w:type="character" w:customStyle="1" w:styleId="248">
    <w:name w:val="标书正文格式 Char"/>
    <w:autoRedefine/>
    <w:qFormat/>
    <w:uiPriority w:val="0"/>
    <w:rPr>
      <w:rFonts w:eastAsia="楷体_GB2312"/>
      <w:kern w:val="2"/>
      <w:sz w:val="24"/>
      <w:szCs w:val="24"/>
      <w:lang w:bidi="ar-SA"/>
    </w:rPr>
  </w:style>
  <w:style w:type="character" w:customStyle="1" w:styleId="249">
    <w:name w:val="Char Char11"/>
    <w:autoRedefine/>
    <w:qFormat/>
    <w:locked/>
    <w:uiPriority w:val="0"/>
    <w:rPr>
      <w:rFonts w:ascii="宋体" w:hAnsi="宋体" w:eastAsia="宋体"/>
      <w:b/>
      <w:kern w:val="2"/>
      <w:sz w:val="24"/>
      <w:szCs w:val="24"/>
      <w:lang w:val="en-US" w:eastAsia="zh-CN" w:bidi="ar-SA"/>
    </w:rPr>
  </w:style>
  <w:style w:type="character" w:customStyle="1" w:styleId="250">
    <w:name w:val="ca-131"/>
    <w:autoRedefine/>
    <w:qFormat/>
    <w:uiPriority w:val="0"/>
    <w:rPr>
      <w:rFonts w:hint="eastAsia" w:ascii="仿宋_GB2312" w:eastAsia="仿宋_GB2312"/>
      <w:b/>
      <w:bCs/>
      <w:color w:val="000000"/>
      <w:spacing w:val="-20"/>
      <w:sz w:val="24"/>
      <w:szCs w:val="24"/>
    </w:rPr>
  </w:style>
  <w:style w:type="character" w:customStyle="1" w:styleId="251">
    <w:name w:val="tw4winMark"/>
    <w:autoRedefine/>
    <w:qFormat/>
    <w:uiPriority w:val="0"/>
    <w:rPr>
      <w:rFonts w:ascii="Courier New" w:hAnsi="Courier New" w:cs="Courier New"/>
      <w:vanish/>
      <w:color w:val="800080"/>
      <w:sz w:val="24"/>
      <w:szCs w:val="24"/>
      <w:vertAlign w:val="subscript"/>
    </w:rPr>
  </w:style>
  <w:style w:type="character" w:customStyle="1" w:styleId="252">
    <w:name w:val="正文样式 Char"/>
    <w:link w:val="253"/>
    <w:autoRedefine/>
    <w:qFormat/>
    <w:uiPriority w:val="0"/>
    <w:rPr>
      <w:rFonts w:ascii="Calibri" w:hAnsi="Calibri"/>
      <w:sz w:val="24"/>
      <w:szCs w:val="24"/>
    </w:rPr>
  </w:style>
  <w:style w:type="paragraph" w:customStyle="1" w:styleId="253">
    <w:name w:val="正文样式"/>
    <w:basedOn w:val="1"/>
    <w:link w:val="252"/>
    <w:autoRedefine/>
    <w:qFormat/>
    <w:uiPriority w:val="0"/>
    <w:pPr>
      <w:adjustRightInd/>
      <w:spacing w:line="360" w:lineRule="auto"/>
      <w:ind w:firstLine="480" w:firstLineChars="200"/>
    </w:pPr>
    <w:rPr>
      <w:kern w:val="0"/>
      <w:sz w:val="24"/>
    </w:rPr>
  </w:style>
  <w:style w:type="character" w:customStyle="1" w:styleId="254">
    <w:name w:val="表正文 Char3"/>
    <w:autoRedefine/>
    <w:qFormat/>
    <w:uiPriority w:val="0"/>
    <w:rPr>
      <w:rFonts w:eastAsia="宋体"/>
    </w:rPr>
  </w:style>
  <w:style w:type="character" w:customStyle="1" w:styleId="255">
    <w:name w:val="H5 Char"/>
    <w:autoRedefine/>
    <w:qFormat/>
    <w:uiPriority w:val="0"/>
    <w:rPr>
      <w:b/>
      <w:bCs/>
      <w:kern w:val="2"/>
      <w:sz w:val="28"/>
      <w:szCs w:val="28"/>
    </w:rPr>
  </w:style>
  <w:style w:type="character" w:customStyle="1" w:styleId="256">
    <w:name w:val="Char Char3"/>
    <w:autoRedefine/>
    <w:qFormat/>
    <w:uiPriority w:val="0"/>
    <w:rPr>
      <w:rFonts w:eastAsia="宋体"/>
      <w:kern w:val="2"/>
      <w:sz w:val="21"/>
      <w:szCs w:val="24"/>
      <w:lang w:val="en-US" w:eastAsia="zh-CN" w:bidi="ar-SA"/>
    </w:rPr>
  </w:style>
  <w:style w:type="character" w:customStyle="1" w:styleId="257">
    <w:name w:val="正文 编号 Char"/>
    <w:autoRedefine/>
    <w:qFormat/>
    <w:uiPriority w:val="0"/>
    <w:rPr>
      <w:rFonts w:ascii="仿宋_GB2312" w:hAnsi="仿宋_GB2312" w:eastAsia="仿宋_GB2312"/>
      <w:kern w:val="2"/>
      <w:sz w:val="24"/>
      <w:lang w:bidi="ar-SA"/>
    </w:rPr>
  </w:style>
  <w:style w:type="character" w:customStyle="1" w:styleId="258">
    <w:name w:val="question-title2"/>
    <w:autoRedefine/>
    <w:qFormat/>
    <w:uiPriority w:val="6"/>
    <w:rPr>
      <w:rFonts w:ascii="Arial" w:hAnsi="Arial" w:eastAsia="黑体" w:cs="Arial"/>
      <w:snapToGrid w:val="0"/>
      <w:kern w:val="0"/>
      <w:szCs w:val="21"/>
    </w:rPr>
  </w:style>
  <w:style w:type="character" w:customStyle="1" w:styleId="259">
    <w:name w:val="gf正文1 Char Char"/>
    <w:link w:val="260"/>
    <w:autoRedefine/>
    <w:qFormat/>
    <w:uiPriority w:val="0"/>
    <w:rPr>
      <w:rFonts w:ascii="宋体" w:hAnsi="宋体" w:cs="宋体"/>
      <w:kern w:val="2"/>
      <w:sz w:val="24"/>
      <w:szCs w:val="24"/>
    </w:rPr>
  </w:style>
  <w:style w:type="paragraph" w:customStyle="1" w:styleId="260">
    <w:name w:val="gf正文1"/>
    <w:basedOn w:val="1"/>
    <w:link w:val="25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1">
    <w:name w:val="Char Char15"/>
    <w:autoRedefine/>
    <w:qFormat/>
    <w:uiPriority w:val="6"/>
    <w:rPr>
      <w:rFonts w:ascii="宋体" w:hAnsi="宋体"/>
      <w:kern w:val="1"/>
      <w:sz w:val="21"/>
    </w:rPr>
  </w:style>
  <w:style w:type="character" w:customStyle="1" w:styleId="262">
    <w:name w:val="正文缩进 Char3"/>
    <w:autoRedefine/>
    <w:qFormat/>
    <w:uiPriority w:val="0"/>
    <w:rPr>
      <w:rFonts w:ascii="宋体" w:eastAsia="宋体"/>
      <w:snapToGrid w:val="0"/>
      <w:color w:val="000000"/>
      <w:kern w:val="28"/>
      <w:sz w:val="28"/>
      <w:lang w:val="en-US" w:eastAsia="zh-CN" w:bidi="ar-SA"/>
    </w:rPr>
  </w:style>
  <w:style w:type="character" w:customStyle="1" w:styleId="263">
    <w:name w:val="列出段落 Char1"/>
    <w:link w:val="264"/>
    <w:autoRedefine/>
    <w:qFormat/>
    <w:uiPriority w:val="0"/>
    <w:rPr>
      <w:rFonts w:ascii="Calibri" w:hAnsi="Calibri"/>
      <w:sz w:val="24"/>
      <w:lang w:eastAsia="en-US"/>
    </w:rPr>
  </w:style>
  <w:style w:type="paragraph" w:customStyle="1" w:styleId="264">
    <w:name w:val="列表1"/>
    <w:basedOn w:val="1"/>
    <w:next w:val="85"/>
    <w:link w:val="263"/>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5">
    <w:name w:val="Char Char8"/>
    <w:autoRedefine/>
    <w:qFormat/>
    <w:uiPriority w:val="0"/>
    <w:rPr>
      <w:rFonts w:eastAsia="宋体"/>
      <w:b/>
      <w:sz w:val="24"/>
      <w:lang w:val="en-GB" w:eastAsia="zh-CN"/>
    </w:rPr>
  </w:style>
  <w:style w:type="character" w:customStyle="1" w:styleId="266">
    <w:name w:val="Normal Indent Char Char"/>
    <w:autoRedefine/>
    <w:qFormat/>
    <w:uiPriority w:val="0"/>
    <w:rPr>
      <w:rFonts w:eastAsia="宋体"/>
      <w:kern w:val="2"/>
      <w:sz w:val="21"/>
      <w:lang w:val="en-US" w:eastAsia="zh-CN" w:bidi="ar-SA"/>
    </w:rPr>
  </w:style>
  <w:style w:type="character" w:customStyle="1" w:styleId="267">
    <w:name w:val="列表段落 字符"/>
    <w:autoRedefine/>
    <w:qFormat/>
    <w:uiPriority w:val="99"/>
  </w:style>
  <w:style w:type="character" w:customStyle="1" w:styleId="268">
    <w:name w:val="Ò³Ã¼ Char Char1"/>
    <w:autoRedefine/>
    <w:qFormat/>
    <w:uiPriority w:val="0"/>
    <w:rPr>
      <w:rFonts w:eastAsia="宋体"/>
      <w:kern w:val="2"/>
      <w:sz w:val="18"/>
      <w:szCs w:val="18"/>
      <w:lang w:val="en-US" w:eastAsia="zh-CN" w:bidi="ar-SA"/>
    </w:rPr>
  </w:style>
  <w:style w:type="character" w:customStyle="1" w:styleId="269">
    <w:name w:val="方案正文 Char"/>
    <w:autoRedefine/>
    <w:qFormat/>
    <w:uiPriority w:val="0"/>
    <w:rPr>
      <w:rFonts w:ascii="仿宋_GB2312" w:eastAsia="仿宋_GB2312"/>
      <w:b/>
      <w:color w:val="000000"/>
      <w:kern w:val="2"/>
      <w:sz w:val="24"/>
      <w:lang w:val="en-US" w:eastAsia="zh-CN" w:bidi="ar-SA"/>
    </w:rPr>
  </w:style>
  <w:style w:type="character" w:customStyle="1" w:styleId="270">
    <w:name w:val="Char Char30"/>
    <w:autoRedefine/>
    <w:qFormat/>
    <w:uiPriority w:val="6"/>
    <w:rPr>
      <w:rFonts w:ascii="Arial" w:hAnsi="Arial" w:eastAsia="黑体"/>
      <w:kern w:val="1"/>
      <w:sz w:val="21"/>
      <w:szCs w:val="21"/>
    </w:rPr>
  </w:style>
  <w:style w:type="character" w:customStyle="1" w:styleId="271">
    <w:name w:val="正文文本缩进 Char3"/>
    <w:link w:val="24"/>
    <w:autoRedefine/>
    <w:qFormat/>
    <w:uiPriority w:val="0"/>
    <w:rPr>
      <w:rFonts w:ascii="宋体" w:hAnsi="宋体"/>
      <w:kern w:val="2"/>
      <w:sz w:val="24"/>
      <w:szCs w:val="24"/>
    </w:rPr>
  </w:style>
  <w:style w:type="character" w:customStyle="1" w:styleId="272">
    <w:name w:val="font01"/>
    <w:basedOn w:val="70"/>
    <w:autoRedefine/>
    <w:qFormat/>
    <w:uiPriority w:val="0"/>
    <w:rPr>
      <w:rFonts w:hint="eastAsia" w:ascii="微软雅黑" w:hAnsi="微软雅黑" w:eastAsia="微软雅黑" w:cs="微软雅黑"/>
      <w:color w:val="000000"/>
      <w:sz w:val="20"/>
      <w:szCs w:val="20"/>
      <w:u w:val="none"/>
    </w:rPr>
  </w:style>
  <w:style w:type="character" w:customStyle="1" w:styleId="273">
    <w:name w:val="Char Char20"/>
    <w:autoRedefine/>
    <w:qFormat/>
    <w:uiPriority w:val="6"/>
    <w:rPr>
      <w:kern w:val="1"/>
      <w:sz w:val="24"/>
    </w:rPr>
  </w:style>
  <w:style w:type="character" w:customStyle="1" w:styleId="274">
    <w:name w:val="tw4winExternal"/>
    <w:autoRedefine/>
    <w:qFormat/>
    <w:uiPriority w:val="0"/>
    <w:rPr>
      <w:rFonts w:ascii="Courier New" w:hAnsi="Courier New" w:cs="Courier New"/>
      <w:color w:val="808080"/>
      <w:lang w:val="en-US" w:eastAsia="zh-CN"/>
    </w:rPr>
  </w:style>
  <w:style w:type="character" w:customStyle="1" w:styleId="275">
    <w:name w:val="标题 4 Char1"/>
    <w:autoRedefine/>
    <w:qFormat/>
    <w:uiPriority w:val="9"/>
    <w:rPr>
      <w:rFonts w:ascii="Cambria" w:hAnsi="Cambria" w:eastAsia="宋体" w:cs="Times New Roman"/>
      <w:b/>
      <w:bCs/>
      <w:kern w:val="2"/>
      <w:sz w:val="28"/>
      <w:szCs w:val="28"/>
    </w:rPr>
  </w:style>
  <w:style w:type="character" w:customStyle="1" w:styleId="276">
    <w:name w:val="批注文字 Char2"/>
    <w:autoRedefine/>
    <w:qFormat/>
    <w:uiPriority w:val="99"/>
    <w:rPr>
      <w:rFonts w:ascii="Times New Roman" w:hAnsi="Times New Roman" w:eastAsia="宋体" w:cs="Times New Roman"/>
      <w:snapToGrid w:val="0"/>
      <w:kern w:val="0"/>
      <w:szCs w:val="24"/>
    </w:rPr>
  </w:style>
  <w:style w:type="character" w:customStyle="1" w:styleId="277">
    <w:name w:val="正文文本 2 Char"/>
    <w:autoRedefine/>
    <w:qFormat/>
    <w:uiPriority w:val="0"/>
    <w:rPr>
      <w:rFonts w:eastAsia="宋体"/>
      <w:kern w:val="2"/>
      <w:sz w:val="21"/>
      <w:szCs w:val="24"/>
      <w:lang w:val="en-US" w:eastAsia="zh-CN" w:bidi="ar-SA"/>
    </w:rPr>
  </w:style>
  <w:style w:type="character" w:customStyle="1" w:styleId="278">
    <w:name w:val="Ò³Ã¼ Char Char"/>
    <w:autoRedefine/>
    <w:qFormat/>
    <w:uiPriority w:val="0"/>
    <w:rPr>
      <w:rFonts w:eastAsia="宋体"/>
      <w:kern w:val="2"/>
      <w:sz w:val="18"/>
      <w:lang w:val="en-US" w:eastAsia="zh-CN" w:bidi="ar-SA"/>
    </w:rPr>
  </w:style>
  <w:style w:type="character" w:customStyle="1" w:styleId="279">
    <w:name w:val="message1"/>
    <w:autoRedefine/>
    <w:qFormat/>
    <w:uiPriority w:val="0"/>
    <w:rPr>
      <w:rFonts w:hint="default" w:ascii="Tahoma" w:hAnsi="Tahoma" w:cs="Tahoma"/>
      <w:sz w:val="18"/>
      <w:szCs w:val="18"/>
    </w:rPr>
  </w:style>
  <w:style w:type="character" w:customStyle="1" w:styleId="280">
    <w:name w:val="Char Char23"/>
    <w:autoRedefine/>
    <w:qFormat/>
    <w:uiPriority w:val="6"/>
    <w:rPr>
      <w:color w:val="0000FF"/>
      <w:sz w:val="21"/>
    </w:rPr>
  </w:style>
  <w:style w:type="character" w:customStyle="1" w:styleId="281">
    <w:name w:val="批注框文本 字符"/>
    <w:autoRedefine/>
    <w:qFormat/>
    <w:uiPriority w:val="0"/>
    <w:rPr>
      <w:rFonts w:ascii="Arial" w:hAnsi="Arial" w:eastAsia="黑体" w:cs="Arial"/>
      <w:snapToGrid w:val="0"/>
      <w:kern w:val="0"/>
      <w:sz w:val="18"/>
      <w:szCs w:val="18"/>
    </w:rPr>
  </w:style>
  <w:style w:type="character" w:customStyle="1" w:styleId="282">
    <w:name w:val="纯文本 Char2"/>
    <w:autoRedefine/>
    <w:semiHidden/>
    <w:qFormat/>
    <w:uiPriority w:val="99"/>
    <w:rPr>
      <w:rFonts w:ascii="宋体" w:hAnsi="Courier New" w:eastAsia="宋体" w:cs="Courier New"/>
    </w:rPr>
  </w:style>
  <w:style w:type="character" w:customStyle="1" w:styleId="283">
    <w:name w:val="Char Char25"/>
    <w:autoRedefine/>
    <w:qFormat/>
    <w:uiPriority w:val="6"/>
    <w:rPr>
      <w:rFonts w:ascii="宋体" w:hAnsi="宋体"/>
      <w:kern w:val="1"/>
      <w:sz w:val="24"/>
      <w:lang w:val="zh-CN"/>
    </w:rPr>
  </w:style>
  <w:style w:type="character" w:customStyle="1" w:styleId="284">
    <w:name w:val="Char Char411"/>
    <w:autoRedefine/>
    <w:qFormat/>
    <w:uiPriority w:val="0"/>
    <w:rPr>
      <w:rFonts w:eastAsia="宋体"/>
      <w:b/>
      <w:sz w:val="24"/>
      <w:lang w:val="en-GB" w:eastAsia="zh-CN" w:bidi="ar-SA"/>
    </w:rPr>
  </w:style>
  <w:style w:type="character" w:customStyle="1" w:styleId="285">
    <w:name w:val="Heading 7 Char"/>
    <w:autoRedefine/>
    <w:qFormat/>
    <w:locked/>
    <w:uiPriority w:val="0"/>
    <w:rPr>
      <w:rFonts w:ascii="宋体" w:hAnsi="宋体" w:eastAsia="宋体"/>
      <w:b/>
      <w:bCs/>
      <w:kern w:val="2"/>
      <w:sz w:val="24"/>
      <w:szCs w:val="24"/>
      <w:lang w:val="en-US" w:eastAsia="zh-CN" w:bidi="ar-SA"/>
    </w:rPr>
  </w:style>
  <w:style w:type="character" w:customStyle="1" w:styleId="286">
    <w:name w:val="此正文 Char"/>
    <w:link w:val="287"/>
    <w:autoRedefine/>
    <w:qFormat/>
    <w:uiPriority w:val="0"/>
    <w:rPr>
      <w:kern w:val="2"/>
      <w:sz w:val="24"/>
      <w:szCs w:val="24"/>
    </w:rPr>
  </w:style>
  <w:style w:type="paragraph" w:customStyle="1" w:styleId="287">
    <w:name w:val="此正文"/>
    <w:basedOn w:val="1"/>
    <w:link w:val="286"/>
    <w:autoRedefine/>
    <w:qFormat/>
    <w:uiPriority w:val="0"/>
    <w:pPr>
      <w:adjustRightInd/>
      <w:spacing w:line="360" w:lineRule="auto"/>
      <w:ind w:firstLine="200" w:firstLineChars="200"/>
    </w:pPr>
    <w:rPr>
      <w:sz w:val="24"/>
    </w:rPr>
  </w:style>
  <w:style w:type="character" w:customStyle="1" w:styleId="288">
    <w:name w:val="Char Char2"/>
    <w:autoRedefine/>
    <w:qFormat/>
    <w:uiPriority w:val="0"/>
    <w:rPr>
      <w:rFonts w:eastAsia="宋体"/>
      <w:b/>
      <w:bCs/>
      <w:kern w:val="2"/>
      <w:sz w:val="21"/>
      <w:szCs w:val="24"/>
      <w:lang w:val="en-US" w:eastAsia="zh-CN" w:bidi="ar-SA"/>
    </w:rPr>
  </w:style>
  <w:style w:type="character" w:customStyle="1" w:styleId="289">
    <w:name w:val="标题 1 Char"/>
    <w:link w:val="2"/>
    <w:autoRedefine/>
    <w:qFormat/>
    <w:uiPriority w:val="9"/>
    <w:rPr>
      <w:b/>
      <w:bCs/>
      <w:kern w:val="44"/>
      <w:sz w:val="44"/>
      <w:szCs w:val="44"/>
    </w:rPr>
  </w:style>
  <w:style w:type="character" w:customStyle="1" w:styleId="290">
    <w:name w:val="Footer-Even Char1"/>
    <w:autoRedefine/>
    <w:qFormat/>
    <w:uiPriority w:val="0"/>
    <w:rPr>
      <w:rFonts w:eastAsia="宋体"/>
      <w:kern w:val="2"/>
      <w:sz w:val="18"/>
      <w:szCs w:val="18"/>
      <w:lang w:val="en-US" w:eastAsia="zh-CN" w:bidi="ar-SA"/>
    </w:rPr>
  </w:style>
  <w:style w:type="character" w:customStyle="1" w:styleId="291">
    <w:name w:val="Char Char29"/>
    <w:autoRedefine/>
    <w:qFormat/>
    <w:uiPriority w:val="6"/>
    <w:rPr>
      <w:rFonts w:ascii="Arial" w:hAnsi="Arial" w:eastAsia="微软雅黑"/>
      <w:b/>
      <w:kern w:val="1"/>
      <w:sz w:val="44"/>
      <w:szCs w:val="32"/>
      <w:lang w:val="en-US" w:eastAsia="zh-CN" w:bidi="ar-SA"/>
    </w:rPr>
  </w:style>
  <w:style w:type="character" w:customStyle="1" w:styleId="292">
    <w:name w:val="标题 Char2"/>
    <w:link w:val="60"/>
    <w:autoRedefine/>
    <w:qFormat/>
    <w:uiPriority w:val="10"/>
    <w:rPr>
      <w:b/>
      <w:sz w:val="24"/>
      <w:lang w:val="en-GB"/>
    </w:rPr>
  </w:style>
  <w:style w:type="character" w:customStyle="1" w:styleId="293">
    <w:name w:val="font81"/>
    <w:autoRedefine/>
    <w:qFormat/>
    <w:uiPriority w:val="0"/>
    <w:rPr>
      <w:rFonts w:ascii="微软雅黑" w:hAnsi="微软雅黑" w:eastAsia="微软雅黑" w:cs="微软雅黑"/>
      <w:color w:val="000000"/>
      <w:sz w:val="20"/>
      <w:szCs w:val="20"/>
      <w:u w:val="none"/>
    </w:rPr>
  </w:style>
  <w:style w:type="character" w:customStyle="1" w:styleId="294">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5">
    <w:name w:val="t21"/>
    <w:autoRedefine/>
    <w:qFormat/>
    <w:uiPriority w:val="0"/>
    <w:rPr>
      <w:rFonts w:ascii="仿宋_GB2312" w:eastAsia="微软雅黑"/>
      <w:b/>
      <w:kern w:val="2"/>
      <w:sz w:val="23"/>
      <w:szCs w:val="23"/>
      <w:lang w:val="en-US" w:eastAsia="zh-CN" w:bidi="ar-SA"/>
    </w:rPr>
  </w:style>
  <w:style w:type="character" w:customStyle="1" w:styleId="296">
    <w:name w:val="样式8 Char"/>
    <w:autoRedefine/>
    <w:qFormat/>
    <w:uiPriority w:val="0"/>
    <w:rPr>
      <w:rFonts w:ascii="仿宋_GB2312" w:hAnsi="宋体" w:eastAsia="仿宋_GB2312"/>
      <w:b/>
      <w:bCs/>
      <w:kern w:val="2"/>
      <w:sz w:val="24"/>
      <w:szCs w:val="24"/>
    </w:rPr>
  </w:style>
  <w:style w:type="character" w:customStyle="1" w:styleId="297">
    <w:name w:val="表格 Char Char"/>
    <w:autoRedefine/>
    <w:qFormat/>
    <w:uiPriority w:val="0"/>
    <w:rPr>
      <w:rFonts w:ascii="宋体" w:hAnsi="宋体" w:eastAsia="宋体"/>
      <w:lang w:bidi="ar-SA"/>
    </w:rPr>
  </w:style>
  <w:style w:type="character" w:customStyle="1" w:styleId="298">
    <w:name w:val="正文文本 字符1"/>
    <w:autoRedefine/>
    <w:qFormat/>
    <w:uiPriority w:val="0"/>
    <w:rPr>
      <w:rFonts w:ascii="Calibri" w:hAnsi="Calibri" w:eastAsia="黑体" w:cs="Arial"/>
      <w:snapToGrid w:val="0"/>
      <w:kern w:val="2"/>
      <w:sz w:val="28"/>
      <w:szCs w:val="21"/>
    </w:rPr>
  </w:style>
  <w:style w:type="character" w:customStyle="1" w:styleId="299">
    <w:name w:val="标题 5 Char"/>
    <w:link w:val="6"/>
    <w:autoRedefine/>
    <w:qFormat/>
    <w:uiPriority w:val="9"/>
    <w:rPr>
      <w:b/>
      <w:bCs/>
      <w:kern w:val="2"/>
      <w:sz w:val="28"/>
      <w:szCs w:val="28"/>
    </w:rPr>
  </w:style>
  <w:style w:type="character" w:customStyle="1" w:styleId="300">
    <w:name w:val="标题 6 Char1"/>
    <w:autoRedefine/>
    <w:qFormat/>
    <w:uiPriority w:val="0"/>
    <w:rPr>
      <w:rFonts w:ascii="Arial" w:hAnsi="Arial" w:eastAsia="黑体" w:cs="Times New Roman"/>
      <w:b/>
      <w:sz w:val="24"/>
      <w:szCs w:val="20"/>
      <w:lang w:bidi="ar-SA"/>
    </w:rPr>
  </w:style>
  <w:style w:type="character" w:customStyle="1" w:styleId="301">
    <w:name w:val="带编号样式 Char"/>
    <w:autoRedefine/>
    <w:qFormat/>
    <w:uiPriority w:val="0"/>
    <w:rPr>
      <w:rFonts w:ascii="仿宋_GB2312" w:eastAsia="仿宋_GB2312"/>
      <w:color w:val="000000"/>
      <w:sz w:val="24"/>
      <w:lang w:bidi="ar-SA"/>
    </w:rPr>
  </w:style>
  <w:style w:type="character" w:customStyle="1" w:styleId="302">
    <w:name w:val="unnamed31"/>
    <w:autoRedefine/>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autoRedefine/>
    <w:qFormat/>
    <w:uiPriority w:val="0"/>
    <w:rPr>
      <w:rFonts w:ascii="宋体" w:eastAsia="宋体"/>
      <w:kern w:val="2"/>
      <w:sz w:val="24"/>
      <w:szCs w:val="24"/>
      <w:lang w:val="zh-CN" w:bidi="ar-SA"/>
    </w:rPr>
  </w:style>
  <w:style w:type="character" w:customStyle="1" w:styleId="304">
    <w:name w:val="称呼 Char"/>
    <w:link w:val="20"/>
    <w:autoRedefine/>
    <w:qFormat/>
    <w:uiPriority w:val="0"/>
    <w:rPr>
      <w:rFonts w:ascii="仿宋_GB2312" w:eastAsia="仿宋_GB2312"/>
      <w:kern w:val="2"/>
      <w:sz w:val="28"/>
    </w:rPr>
  </w:style>
  <w:style w:type="character" w:customStyle="1" w:styleId="305">
    <w:name w:val="文本正文 Char Char"/>
    <w:autoRedefine/>
    <w:qFormat/>
    <w:locked/>
    <w:uiPriority w:val="0"/>
    <w:rPr>
      <w:sz w:val="24"/>
      <w:lang w:bidi="ar-SA"/>
    </w:rPr>
  </w:style>
  <w:style w:type="character" w:customStyle="1" w:styleId="306">
    <w:name w:val="HTML 预设格式 Char"/>
    <w:link w:val="58"/>
    <w:autoRedefine/>
    <w:qFormat/>
    <w:uiPriority w:val="0"/>
    <w:rPr>
      <w:rFonts w:ascii="黑体" w:hAnsi="Courier New" w:eastAsia="黑体"/>
    </w:rPr>
  </w:style>
  <w:style w:type="character" w:customStyle="1" w:styleId="307">
    <w:name w:val="正文文本 2 Char1"/>
    <w:link w:val="57"/>
    <w:autoRedefine/>
    <w:qFormat/>
    <w:uiPriority w:val="0"/>
    <w:rPr>
      <w:kern w:val="2"/>
      <w:sz w:val="21"/>
      <w:szCs w:val="24"/>
    </w:rPr>
  </w:style>
  <w:style w:type="character" w:customStyle="1" w:styleId="308">
    <w:name w:val="样式 样式 标题 4h4H4Fab-4T5Ref Heading 1rh1Heading sqlsect 1.2.3.... +... Char"/>
    <w:link w:val="309"/>
    <w:autoRedefine/>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autoRedefine/>
    <w:qFormat/>
    <w:uiPriority w:val="0"/>
    <w:pPr>
      <w:tabs>
        <w:tab w:val="left" w:pos="2356"/>
      </w:tabs>
    </w:pPr>
  </w:style>
  <w:style w:type="paragraph" w:customStyle="1" w:styleId="310">
    <w:name w:val="样式 标题 4h4H4Fab-4T5Ref Heading 1rh1Heading sqlsect 1.2.3...."/>
    <w:basedOn w:val="5"/>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autoRedefine/>
    <w:qFormat/>
    <w:uiPriority w:val="0"/>
    <w:rPr>
      <w:rFonts w:ascii="宋体" w:eastAsia="宋体"/>
      <w:snapToGrid w:val="0"/>
      <w:color w:val="000000"/>
      <w:kern w:val="28"/>
      <w:sz w:val="28"/>
      <w:lang w:val="en-US" w:eastAsia="zh-CN" w:bidi="ar-SA"/>
    </w:rPr>
  </w:style>
  <w:style w:type="character" w:customStyle="1" w:styleId="312">
    <w:name w:val="标题 7 Char"/>
    <w:link w:val="8"/>
    <w:autoRedefine/>
    <w:qFormat/>
    <w:uiPriority w:val="0"/>
    <w:rPr>
      <w:b/>
      <w:bCs/>
      <w:kern w:val="2"/>
      <w:sz w:val="24"/>
      <w:szCs w:val="24"/>
    </w:rPr>
  </w:style>
  <w:style w:type="character" w:customStyle="1" w:styleId="313">
    <w:name w:val="正文文本缩进 2 Char"/>
    <w:link w:val="37"/>
    <w:autoRedefine/>
    <w:qFormat/>
    <w:uiPriority w:val="0"/>
    <w:rPr>
      <w:rFonts w:ascii="宋体"/>
      <w:sz w:val="28"/>
    </w:rPr>
  </w:style>
  <w:style w:type="character" w:customStyle="1" w:styleId="314">
    <w:name w:val="Char Char5"/>
    <w:autoRedefine/>
    <w:qFormat/>
    <w:uiPriority w:val="0"/>
    <w:rPr>
      <w:rFonts w:ascii="宋体" w:hAnsi="Courier New" w:eastAsia="宋体"/>
      <w:kern w:val="2"/>
      <w:sz w:val="21"/>
      <w:lang w:val="en-US" w:eastAsia="zh-CN"/>
    </w:rPr>
  </w:style>
  <w:style w:type="character" w:customStyle="1" w:styleId="315">
    <w:name w:val="脚注文本 Char"/>
    <w:link w:val="51"/>
    <w:autoRedefine/>
    <w:qFormat/>
    <w:uiPriority w:val="0"/>
    <w:rPr>
      <w:color w:val="0000FF"/>
      <w:sz w:val="21"/>
    </w:rPr>
  </w:style>
  <w:style w:type="character" w:customStyle="1" w:styleId="316">
    <w:name w:val="称呼 Char1"/>
    <w:autoRedefine/>
    <w:qFormat/>
    <w:uiPriority w:val="0"/>
    <w:rPr>
      <w:rFonts w:ascii="Times New Roman" w:hAnsi="Times New Roman" w:eastAsia="宋体" w:cs="Times New Roman"/>
      <w:szCs w:val="24"/>
    </w:rPr>
  </w:style>
  <w:style w:type="character" w:customStyle="1" w:styleId="317">
    <w:name w:val="正文1 Char"/>
    <w:autoRedefine/>
    <w:qFormat/>
    <w:uiPriority w:val="0"/>
    <w:rPr>
      <w:rFonts w:ascii="宋体" w:eastAsia="宋体"/>
      <w:snapToGrid w:val="0"/>
      <w:color w:val="000000"/>
      <w:kern w:val="28"/>
      <w:sz w:val="28"/>
      <w:lang w:val="en-US" w:eastAsia="zh-CN" w:bidi="ar-SA"/>
    </w:rPr>
  </w:style>
  <w:style w:type="character" w:customStyle="1" w:styleId="318">
    <w:name w:val="正文缩进 Char1"/>
    <w:autoRedefine/>
    <w:qFormat/>
    <w:uiPriority w:val="0"/>
    <w:rPr>
      <w:rFonts w:ascii="宋体" w:eastAsia="宋体"/>
      <w:snapToGrid w:val="0"/>
      <w:color w:val="000000"/>
      <w:kern w:val="28"/>
      <w:sz w:val="28"/>
      <w:lang w:val="en-US" w:eastAsia="zh-CN" w:bidi="ar-SA"/>
    </w:rPr>
  </w:style>
  <w:style w:type="character" w:customStyle="1" w:styleId="319">
    <w:name w:val="font21"/>
    <w:autoRedefine/>
    <w:qFormat/>
    <w:uiPriority w:val="0"/>
    <w:rPr>
      <w:rFonts w:hint="eastAsia" w:ascii="宋体" w:hAnsi="宋体" w:eastAsia="宋体"/>
      <w:kern w:val="2"/>
      <w:sz w:val="28"/>
      <w:szCs w:val="28"/>
      <w:lang w:val="en-US" w:eastAsia="zh-CN" w:bidi="ar-SA"/>
    </w:rPr>
  </w:style>
  <w:style w:type="character" w:customStyle="1" w:styleId="320">
    <w:name w:val="Char Char26"/>
    <w:autoRedefine/>
    <w:qFormat/>
    <w:uiPriority w:val="6"/>
    <w:rPr>
      <w:kern w:val="1"/>
      <w:sz w:val="21"/>
      <w:szCs w:val="24"/>
    </w:rPr>
  </w:style>
  <w:style w:type="character" w:customStyle="1" w:styleId="321">
    <w:name w:val="Item List Char"/>
    <w:link w:val="322"/>
    <w:autoRedefine/>
    <w:qFormat/>
    <w:uiPriority w:val="0"/>
    <w:rPr>
      <w:rFonts w:ascii="Arial"/>
      <w:bCs/>
      <w:sz w:val="21"/>
      <w:szCs w:val="21"/>
      <w:lang w:val="en-US" w:eastAsia="zh-CN" w:bidi="ar-SA"/>
    </w:rPr>
  </w:style>
  <w:style w:type="paragraph" w:customStyle="1" w:styleId="322">
    <w:name w:val="Item List"/>
    <w:link w:val="32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autoRedefine/>
    <w:qFormat/>
    <w:uiPriority w:val="0"/>
    <w:rPr>
      <w:rFonts w:ascii="Times New Roman" w:hAnsi="Times New Roman" w:eastAsia="宋体" w:cs="Times New Roman"/>
      <w:sz w:val="18"/>
      <w:szCs w:val="18"/>
    </w:rPr>
  </w:style>
  <w:style w:type="character" w:customStyle="1" w:styleId="324">
    <w:name w:val="纯文本 Char1"/>
    <w:link w:val="325"/>
    <w:autoRedefine/>
    <w:qFormat/>
    <w:uiPriority w:val="0"/>
    <w:rPr>
      <w:rFonts w:ascii="宋体" w:hAnsi="Courier New"/>
    </w:rPr>
  </w:style>
  <w:style w:type="paragraph" w:customStyle="1" w:styleId="325">
    <w:name w:val="纯文本1"/>
    <w:basedOn w:val="1"/>
    <w:link w:val="324"/>
    <w:autoRedefine/>
    <w:qFormat/>
    <w:uiPriority w:val="0"/>
    <w:pPr>
      <w:adjustRightInd/>
    </w:pPr>
    <w:rPr>
      <w:rFonts w:ascii="宋体" w:hAnsi="Courier New"/>
      <w:kern w:val="0"/>
      <w:sz w:val="20"/>
      <w:szCs w:val="20"/>
    </w:rPr>
  </w:style>
  <w:style w:type="character" w:customStyle="1" w:styleId="326">
    <w:name w:val="正文首行缩进 Char"/>
    <w:link w:val="62"/>
    <w:autoRedefine/>
    <w:qFormat/>
    <w:uiPriority w:val="0"/>
    <w:rPr>
      <w:rFonts w:ascii="宋体"/>
      <w:kern w:val="2"/>
      <w:sz w:val="24"/>
      <w:lang w:val="zh-CN"/>
    </w:rPr>
  </w:style>
  <w:style w:type="character" w:customStyle="1" w:styleId="327">
    <w:name w:val="h3 Char"/>
    <w:autoRedefine/>
    <w:qFormat/>
    <w:uiPriority w:val="0"/>
    <w:rPr>
      <w:rFonts w:eastAsia="宋体"/>
      <w:b/>
      <w:kern w:val="2"/>
      <w:sz w:val="32"/>
      <w:lang w:val="en-US" w:eastAsia="zh-CN" w:bidi="ar-SA"/>
    </w:rPr>
  </w:style>
  <w:style w:type="character" w:customStyle="1" w:styleId="328">
    <w:name w:val="dandyren_title1"/>
    <w:autoRedefine/>
    <w:qFormat/>
    <w:uiPriority w:val="0"/>
    <w:rPr>
      <w:b/>
      <w:bCs/>
      <w:color w:val="FF6633"/>
      <w:sz w:val="18"/>
      <w:szCs w:val="18"/>
    </w:rPr>
  </w:style>
  <w:style w:type="character" w:customStyle="1" w:styleId="329">
    <w:name w:val="Char Char31"/>
    <w:autoRedefine/>
    <w:qFormat/>
    <w:uiPriority w:val="6"/>
    <w:rPr>
      <w:rFonts w:ascii="Arial" w:hAnsi="Arial" w:eastAsia="黑体"/>
      <w:kern w:val="1"/>
      <w:sz w:val="24"/>
      <w:szCs w:val="24"/>
    </w:rPr>
  </w:style>
  <w:style w:type="character" w:customStyle="1" w:styleId="330">
    <w:name w:val="h Char1"/>
    <w:autoRedefine/>
    <w:qFormat/>
    <w:uiPriority w:val="0"/>
    <w:rPr>
      <w:sz w:val="18"/>
      <w:szCs w:val="18"/>
    </w:rPr>
  </w:style>
  <w:style w:type="character" w:customStyle="1" w:styleId="331">
    <w:name w:val="solutionfonts"/>
    <w:autoRedefine/>
    <w:qFormat/>
    <w:uiPriority w:val="0"/>
  </w:style>
  <w:style w:type="character" w:customStyle="1" w:styleId="332">
    <w:name w:val="标题 4 Char2"/>
    <w:link w:val="5"/>
    <w:autoRedefine/>
    <w:qFormat/>
    <w:uiPriority w:val="9"/>
    <w:rPr>
      <w:rFonts w:ascii="Arial" w:hAnsi="Arial" w:eastAsia="黑体"/>
      <w:b/>
      <w:bCs/>
      <w:kern w:val="2"/>
      <w:sz w:val="28"/>
      <w:szCs w:val="28"/>
      <w:lang w:val="zh-CN"/>
    </w:rPr>
  </w:style>
  <w:style w:type="character" w:customStyle="1" w:styleId="333">
    <w:name w:val="首行缩进 Char"/>
    <w:autoRedefine/>
    <w:qFormat/>
    <w:uiPriority w:val="0"/>
    <w:rPr>
      <w:rFonts w:ascii="宋体" w:eastAsia="宋体"/>
      <w:kern w:val="2"/>
      <w:sz w:val="24"/>
      <w:lang w:val="en-US" w:eastAsia="zh-CN" w:bidi="ar-SA"/>
    </w:rPr>
  </w:style>
  <w:style w:type="character" w:customStyle="1" w:styleId="334">
    <w:name w:val="Char Char52"/>
    <w:autoRedefine/>
    <w:qFormat/>
    <w:uiPriority w:val="0"/>
    <w:rPr>
      <w:rFonts w:ascii="宋体" w:hAnsi="Courier New" w:eastAsia="宋体"/>
      <w:kern w:val="2"/>
      <w:sz w:val="21"/>
      <w:lang w:val="en-US" w:eastAsia="zh-CN"/>
    </w:rPr>
  </w:style>
  <w:style w:type="character" w:customStyle="1" w:styleId="335">
    <w:name w:val="正文文本 3 Char"/>
    <w:link w:val="21"/>
    <w:autoRedefine/>
    <w:qFormat/>
    <w:uiPriority w:val="0"/>
    <w:rPr>
      <w:kern w:val="2"/>
      <w:sz w:val="21"/>
    </w:rPr>
  </w:style>
  <w:style w:type="character" w:customStyle="1" w:styleId="336">
    <w:name w:val="font31"/>
    <w:autoRedefine/>
    <w:qFormat/>
    <w:uiPriority w:val="0"/>
    <w:rPr>
      <w:rFonts w:hint="eastAsia" w:ascii="仿宋" w:hAnsi="仿宋" w:eastAsia="仿宋" w:cs="仿宋"/>
      <w:color w:val="000000"/>
      <w:sz w:val="20"/>
      <w:szCs w:val="20"/>
      <w:u w:val="none"/>
    </w:rPr>
  </w:style>
  <w:style w:type="character" w:customStyle="1" w:styleId="337">
    <w:name w:val="正文说明 Char"/>
    <w:link w:val="338"/>
    <w:autoRedefine/>
    <w:qFormat/>
    <w:uiPriority w:val="0"/>
    <w:rPr>
      <w:sz w:val="24"/>
      <w:szCs w:val="24"/>
    </w:rPr>
  </w:style>
  <w:style w:type="paragraph" w:customStyle="1" w:styleId="338">
    <w:name w:val="正文说明"/>
    <w:basedOn w:val="1"/>
    <w:link w:val="337"/>
    <w:autoRedefine/>
    <w:qFormat/>
    <w:uiPriority w:val="0"/>
    <w:pPr>
      <w:adjustRightInd/>
      <w:spacing w:line="360" w:lineRule="auto"/>
    </w:pPr>
    <w:rPr>
      <w:kern w:val="0"/>
      <w:sz w:val="24"/>
    </w:rPr>
  </w:style>
  <w:style w:type="character" w:customStyle="1" w:styleId="339">
    <w:name w:val="脚注文本 Char1"/>
    <w:autoRedefine/>
    <w:qFormat/>
    <w:uiPriority w:val="0"/>
    <w:rPr>
      <w:rFonts w:ascii="Times New Roman" w:hAnsi="Times New Roman" w:eastAsia="宋体" w:cs="Times New Roman"/>
      <w:sz w:val="18"/>
      <w:szCs w:val="18"/>
    </w:rPr>
  </w:style>
  <w:style w:type="character" w:customStyle="1" w:styleId="340">
    <w:name w:val="Char Char1211"/>
    <w:autoRedefine/>
    <w:qFormat/>
    <w:uiPriority w:val="0"/>
    <w:rPr>
      <w:rFonts w:ascii="仿宋_GB2312" w:eastAsia="仿宋_GB2312"/>
      <w:b/>
      <w:bCs/>
      <w:kern w:val="2"/>
      <w:sz w:val="24"/>
      <w:szCs w:val="24"/>
      <w:lang w:val="zh-CN" w:eastAsia="zh-CN" w:bidi="ar-SA"/>
    </w:rPr>
  </w:style>
  <w:style w:type="character" w:customStyle="1" w:styleId="341">
    <w:name w:val="标题 Char"/>
    <w:autoRedefine/>
    <w:qFormat/>
    <w:uiPriority w:val="0"/>
    <w:rPr>
      <w:rFonts w:eastAsia="宋体"/>
      <w:b/>
      <w:sz w:val="24"/>
      <w:lang w:val="en-GB" w:eastAsia="zh-CN" w:bidi="ar-SA"/>
    </w:rPr>
  </w:style>
  <w:style w:type="character" w:customStyle="1" w:styleId="342">
    <w:name w:val="Char Char35"/>
    <w:autoRedefine/>
    <w:qFormat/>
    <w:uiPriority w:val="6"/>
    <w:rPr>
      <w:rFonts w:ascii="Arial" w:hAnsi="Arial" w:eastAsia="黑体"/>
      <w:b/>
      <w:kern w:val="1"/>
      <w:sz w:val="28"/>
      <w:szCs w:val="28"/>
      <w:lang w:val="zh-CN"/>
    </w:rPr>
  </w:style>
  <w:style w:type="character" w:customStyle="1" w:styleId="343">
    <w:name w:val="纯文本 Char Char Char"/>
    <w:autoRedefine/>
    <w:qFormat/>
    <w:uiPriority w:val="0"/>
    <w:rPr>
      <w:rFonts w:ascii="宋体" w:hAnsi="Courier New" w:eastAsia="宋体"/>
      <w:kern w:val="2"/>
      <w:sz w:val="21"/>
      <w:lang w:val="en-US" w:eastAsia="zh-CN" w:bidi="ar-SA"/>
    </w:rPr>
  </w:style>
  <w:style w:type="character" w:customStyle="1" w:styleId="344">
    <w:name w:val="Table Text Char"/>
    <w:link w:val="345"/>
    <w:autoRedefine/>
    <w:qFormat/>
    <w:uiPriority w:val="0"/>
    <w:rPr>
      <w:sz w:val="24"/>
      <w:szCs w:val="24"/>
    </w:rPr>
  </w:style>
  <w:style w:type="paragraph" w:customStyle="1" w:styleId="345">
    <w:name w:val="Table Text"/>
    <w:basedOn w:val="1"/>
    <w:link w:val="344"/>
    <w:autoRedefine/>
    <w:qFormat/>
    <w:uiPriority w:val="0"/>
    <w:pPr>
      <w:widowControl/>
      <w:spacing w:before="60" w:after="60"/>
      <w:jc w:val="left"/>
    </w:pPr>
    <w:rPr>
      <w:kern w:val="0"/>
      <w:sz w:val="24"/>
    </w:rPr>
  </w:style>
  <w:style w:type="character" w:customStyle="1" w:styleId="346">
    <w:name w:val="正文1 Char1"/>
    <w:autoRedefine/>
    <w:qFormat/>
    <w:uiPriority w:val="0"/>
    <w:rPr>
      <w:rFonts w:ascii="仿宋_GB2312" w:hAnsi="Courier New" w:eastAsia="仿宋_GB2312"/>
      <w:kern w:val="28"/>
      <w:sz w:val="24"/>
      <w:szCs w:val="24"/>
      <w:lang w:val="en-US" w:eastAsia="zh-CN"/>
    </w:rPr>
  </w:style>
  <w:style w:type="character" w:customStyle="1" w:styleId="347">
    <w:name w:val="页脚 Char1"/>
    <w:autoRedefine/>
    <w:qFormat/>
    <w:uiPriority w:val="0"/>
    <w:rPr>
      <w:rFonts w:eastAsia="宋体"/>
      <w:kern w:val="2"/>
      <w:sz w:val="18"/>
      <w:szCs w:val="18"/>
      <w:lang w:val="en-US" w:eastAsia="zh-CN" w:bidi="ar-SA"/>
    </w:rPr>
  </w:style>
  <w:style w:type="character" w:customStyle="1" w:styleId="348">
    <w:name w:val="Bold"/>
    <w:autoRedefine/>
    <w:qFormat/>
    <w:uiPriority w:val="0"/>
    <w:rPr>
      <w:rFonts w:ascii="Arial" w:hAnsi="Arial" w:eastAsia="黑体" w:cs="Times New Roman"/>
      <w:b/>
      <w:kern w:val="2"/>
      <w:sz w:val="32"/>
      <w:szCs w:val="32"/>
      <w:lang w:val="en-US" w:eastAsia="zh-CN" w:bidi="ar-SA"/>
    </w:rPr>
  </w:style>
  <w:style w:type="character" w:customStyle="1" w:styleId="349">
    <w:name w:val="批注文字 Char1"/>
    <w:link w:val="19"/>
    <w:autoRedefine/>
    <w:qFormat/>
    <w:uiPriority w:val="99"/>
    <w:rPr>
      <w:kern w:val="2"/>
      <w:sz w:val="21"/>
      <w:szCs w:val="24"/>
    </w:rPr>
  </w:style>
  <w:style w:type="character" w:customStyle="1" w:styleId="350">
    <w:name w:val="签名 Char"/>
    <w:link w:val="43"/>
    <w:autoRedefine/>
    <w:qFormat/>
    <w:uiPriority w:val="0"/>
    <w:rPr>
      <w:rFonts w:eastAsia="仿宋_GB2312"/>
      <w:sz w:val="24"/>
    </w:rPr>
  </w:style>
  <w:style w:type="character" w:customStyle="1" w:styleId="351">
    <w:name w:val="hui3"/>
    <w:autoRedefine/>
    <w:qFormat/>
    <w:uiPriority w:val="0"/>
    <w:rPr>
      <w:color w:val="333333"/>
    </w:rPr>
  </w:style>
  <w:style w:type="character" w:customStyle="1" w:styleId="352">
    <w:name w:val="Char Char17"/>
    <w:autoRedefine/>
    <w:qFormat/>
    <w:uiPriority w:val="6"/>
    <w:rPr>
      <w:rFonts w:eastAsia="仿宋_GB2312"/>
      <w:sz w:val="24"/>
    </w:rPr>
  </w:style>
  <w:style w:type="character" w:customStyle="1" w:styleId="353">
    <w:name w:val="Char Char37"/>
    <w:autoRedefine/>
    <w:qFormat/>
    <w:uiPriority w:val="6"/>
    <w:rPr>
      <w:b/>
      <w:kern w:val="1"/>
      <w:sz w:val="44"/>
      <w:szCs w:val="44"/>
    </w:rPr>
  </w:style>
  <w:style w:type="character" w:customStyle="1" w:styleId="354">
    <w:name w:val="列出段落 Char"/>
    <w:autoRedefine/>
    <w:qFormat/>
    <w:uiPriority w:val="0"/>
    <w:rPr>
      <w:rFonts w:eastAsia="楷体_GB2312" w:cs="Lucida Sans"/>
      <w:kern w:val="2"/>
      <w:sz w:val="24"/>
      <w:szCs w:val="24"/>
      <w:lang w:val="en-US" w:eastAsia="zh-CN" w:bidi="ar-SA"/>
    </w:rPr>
  </w:style>
  <w:style w:type="character" w:customStyle="1" w:styleId="355">
    <w:name w:val="正文文本缩进 3 Char1"/>
    <w:autoRedefine/>
    <w:semiHidden/>
    <w:qFormat/>
    <w:uiPriority w:val="99"/>
    <w:rPr>
      <w:rFonts w:ascii="Times New Roman" w:hAnsi="Times New Roman" w:eastAsia="宋体" w:cs="Times New Roman"/>
      <w:sz w:val="16"/>
      <w:szCs w:val="16"/>
    </w:rPr>
  </w:style>
  <w:style w:type="character" w:customStyle="1" w:styleId="356">
    <w:name w:val="公文正文 Char Char"/>
    <w:link w:val="357"/>
    <w:autoRedefine/>
    <w:qFormat/>
    <w:uiPriority w:val="0"/>
    <w:rPr>
      <w:rFonts w:ascii="仿宋_GB2312" w:eastAsia="仿宋_GB2312"/>
      <w:kern w:val="2"/>
      <w:sz w:val="24"/>
      <w:szCs w:val="24"/>
    </w:rPr>
  </w:style>
  <w:style w:type="paragraph" w:customStyle="1" w:styleId="357">
    <w:name w:val="公文正文"/>
    <w:basedOn w:val="1"/>
    <w:link w:val="356"/>
    <w:autoRedefine/>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autoRedefine/>
    <w:qFormat/>
    <w:uiPriority w:val="0"/>
    <w:rPr>
      <w:rFonts w:eastAsia="宋体"/>
      <w:sz w:val="24"/>
      <w:szCs w:val="24"/>
      <w:lang w:val="en-US" w:eastAsia="zh-CN" w:bidi="ar-SA"/>
    </w:rPr>
  </w:style>
  <w:style w:type="character" w:customStyle="1" w:styleId="359">
    <w:name w:val="标题 1 Char Char"/>
    <w:basedOn w:val="70"/>
    <w:autoRedefine/>
    <w:qFormat/>
    <w:uiPriority w:val="0"/>
    <w:rPr>
      <w:rFonts w:hint="eastAsia" w:ascii="宋体" w:hAnsi="宋体" w:eastAsia="宋体"/>
      <w:b/>
      <w:spacing w:val="-2"/>
      <w:sz w:val="24"/>
      <w:lang w:val="en-US" w:eastAsia="zh-CN" w:bidi="ar-SA"/>
    </w:rPr>
  </w:style>
  <w:style w:type="character" w:customStyle="1" w:styleId="360">
    <w:name w:val="正文（缩进2汉字） Char"/>
    <w:link w:val="361"/>
    <w:autoRedefine/>
    <w:qFormat/>
    <w:uiPriority w:val="0"/>
    <w:rPr>
      <w:rFonts w:ascii="宋体"/>
    </w:rPr>
  </w:style>
  <w:style w:type="paragraph" w:customStyle="1" w:styleId="361">
    <w:name w:val="正文（缩进2汉字）"/>
    <w:basedOn w:val="1"/>
    <w:link w:val="36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9"/>
    <w:autoRedefine/>
    <w:qFormat/>
    <w:uiPriority w:val="0"/>
    <w:rPr>
      <w:rFonts w:ascii="Arial" w:hAnsi="Arial" w:eastAsia="黑体"/>
      <w:kern w:val="2"/>
      <w:sz w:val="24"/>
      <w:szCs w:val="24"/>
    </w:rPr>
  </w:style>
  <w:style w:type="character" w:customStyle="1" w:styleId="363">
    <w:name w:val="标书表格字体格式 Char"/>
    <w:autoRedefine/>
    <w:qFormat/>
    <w:uiPriority w:val="0"/>
    <w:rPr>
      <w:kern w:val="2"/>
      <w:sz w:val="21"/>
      <w:szCs w:val="24"/>
      <w:lang w:bidi="ar-SA"/>
    </w:rPr>
  </w:style>
  <w:style w:type="character" w:customStyle="1" w:styleId="364">
    <w:name w:val="tw4winError"/>
    <w:autoRedefine/>
    <w:qFormat/>
    <w:uiPriority w:val="0"/>
    <w:rPr>
      <w:rFonts w:ascii="Courier New" w:hAnsi="Courier New" w:cs="Courier New"/>
      <w:color w:val="00FF00"/>
      <w:sz w:val="40"/>
      <w:szCs w:val="40"/>
    </w:rPr>
  </w:style>
  <w:style w:type="character" w:customStyle="1" w:styleId="365">
    <w:name w:val="Body Text(ch) Char Char"/>
    <w:autoRedefine/>
    <w:qFormat/>
    <w:uiPriority w:val="0"/>
    <w:rPr>
      <w:rFonts w:ascii="宋体"/>
      <w:kern w:val="2"/>
      <w:sz w:val="24"/>
      <w:szCs w:val="21"/>
      <w:lang w:val="zh-CN"/>
    </w:rPr>
  </w:style>
  <w:style w:type="character" w:customStyle="1" w:styleId="366">
    <w:name w:val="正文首行缩进两字 Char"/>
    <w:autoRedefine/>
    <w:qFormat/>
    <w:uiPriority w:val="0"/>
    <w:rPr>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Char"/>
    <w:link w:val="54"/>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Char2"/>
    <w:link w:val="40"/>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Char2"/>
    <w:link w:val="42"/>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10"/>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style36"/>
    <w:basedOn w:val="70"/>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15"/>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70"/>
    <w:autoRedefine/>
    <w:qFormat/>
    <w:uiPriority w:val="0"/>
    <w:rPr>
      <w:rFonts w:ascii="Arial" w:hAnsi="Arial" w:eastAsia="黑体" w:cs="Arial"/>
      <w:snapToGrid w:val="0"/>
      <w:kern w:val="0"/>
      <w:szCs w:val="21"/>
    </w:rPr>
  </w:style>
  <w:style w:type="character" w:customStyle="1" w:styleId="434">
    <w:name w:val="hui"/>
    <w:basedOn w:val="70"/>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outlineLvl w:val="5"/>
    </w:pPr>
  </w:style>
  <w:style w:type="paragraph" w:customStyle="1" w:styleId="476">
    <w:name w:val="5级标题"/>
    <w:basedOn w:val="477"/>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8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4"/>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6"/>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40"/>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2"/>
    <w:next w:val="82"/>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2"/>
    <w:next w:val="82"/>
    <w:autoRedefine/>
    <w:qFormat/>
    <w:uiPriority w:val="0"/>
    <w:rPr>
      <w:rFonts w:ascii="宋体" w:eastAsia="宋体" w:cs="Times New Roman"/>
      <w:color w:val="auto"/>
    </w:rPr>
  </w:style>
  <w:style w:type="paragraph" w:customStyle="1" w:styleId="552">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609"/>
    <w:autoRedefine/>
    <w:qFormat/>
    <w:uiPriority w:val="7"/>
    <w:rPr>
      <w:rFonts w:ascii="宋体" w:hAnsi="Courier New"/>
    </w:rPr>
  </w:style>
  <w:style w:type="paragraph" w:customStyle="1" w:styleId="609">
    <w:name w:val="Normal2"/>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2"/>
    <w:autoRedefine/>
    <w:qFormat/>
    <w:uiPriority w:val="0"/>
    <w:pPr>
      <w:tabs>
        <w:tab w:val="left" w:pos="840"/>
      </w:tabs>
      <w:adjustRightInd/>
      <w:ind w:left="840" w:hanging="420"/>
    </w:pPr>
  </w:style>
  <w:style w:type="paragraph" w:customStyle="1" w:styleId="628">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Lines="0" w:afterLines="0"/>
      <w:ind w:left="1680"/>
      <w:outlineLvl w:val="2"/>
    </w:pPr>
  </w:style>
  <w:style w:type="paragraph" w:customStyle="1" w:styleId="660">
    <w:name w:val="章标题"/>
    <w:next w:val="642"/>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2"/>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6"/>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2"/>
    <w:link w:val="968"/>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autoRedefine/>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18"/>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85"/>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40"/>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896"/>
    <w:autoRedefine/>
    <w:qFormat/>
    <w:uiPriority w:val="0"/>
    <w:pPr>
      <w:suppressAutoHyphens/>
      <w:adjustRightInd/>
      <w:spacing w:after="120" w:line="240" w:lineRule="auto"/>
      <w:ind w:firstLine="420"/>
    </w:pPr>
    <w:rPr>
      <w:rFonts w:ascii="Times New Roman"/>
      <w:kern w:val="1"/>
      <w:szCs w:val="24"/>
      <w:lang w:eastAsia="ar-SA"/>
    </w:rPr>
  </w:style>
  <w:style w:type="paragraph" w:customStyle="1" w:styleId="896">
    <w:name w:val="正文文本11"/>
    <w:basedOn w:val="1"/>
    <w:autoRedefine/>
    <w:qFormat/>
    <w:uiPriority w:val="0"/>
    <w:pPr>
      <w:spacing w:line="315" w:lineRule="atLeast"/>
      <w:jc w:val="left"/>
    </w:pPr>
    <w:rPr>
      <w:rFonts w:ascii="仿宋_GB2312" w:eastAsia="仿宋_GB2312"/>
      <w:kern w:val="0"/>
      <w:sz w:val="28"/>
      <w:szCs w:val="20"/>
    </w:rPr>
  </w:style>
  <w:style w:type="paragraph" w:customStyle="1" w:styleId="89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6"/>
    <w:next w:val="1"/>
    <w:autoRedefine/>
    <w:qFormat/>
    <w:uiPriority w:val="0"/>
    <w:pPr>
      <w:tabs>
        <w:tab w:val="left" w:pos="1080"/>
      </w:tabs>
      <w:ind w:left="1080" w:hanging="1080"/>
    </w:pPr>
  </w:style>
  <w:style w:type="paragraph" w:customStyle="1" w:styleId="899">
    <w:name w:val="数字标题1"/>
    <w:basedOn w:val="2"/>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autoRedefine/>
    <w:qFormat/>
    <w:uiPriority w:val="0"/>
    <w:pPr>
      <w:widowControl/>
    </w:pPr>
    <w:rPr>
      <w:kern w:val="0"/>
      <w:sz w:val="24"/>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autoRedefine/>
    <w:qFormat/>
    <w:uiPriority w:val="34"/>
    <w:pPr>
      <w:adjustRightInd/>
      <w:ind w:firstLine="420" w:firstLineChars="20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5"/>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spacing w:line="360" w:lineRule="auto"/>
      <w:ind w:firstLine="480"/>
    </w:pPr>
    <w:rPr>
      <w:sz w:val="24"/>
    </w:rPr>
  </w:style>
  <w:style w:type="table" w:customStyle="1" w:styleId="923">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autoRedefine/>
    <w:qFormat/>
    <w:uiPriority w:val="34"/>
    <w:pPr>
      <w:ind w:firstLine="420" w:firstLineChars="20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Char"/>
    <w:link w:val="38"/>
    <w:autoRedefine/>
    <w:qFormat/>
    <w:uiPriority w:val="0"/>
    <w:rPr>
      <w:kern w:val="2"/>
      <w:sz w:val="21"/>
      <w:szCs w:val="24"/>
      <w:lang w:val="zh-CN"/>
    </w:rPr>
  </w:style>
  <w:style w:type="character" w:customStyle="1" w:styleId="935">
    <w:name w:val="无间隔 Char"/>
    <w:link w:val="485"/>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spacing w:line="360" w:lineRule="auto"/>
      <w:ind w:firstLine="480" w:firstLineChars="200"/>
    </w:pPr>
    <w:rPr>
      <w:rFonts w:cs="宋体"/>
      <w:sz w:val="24"/>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basedOn w:val="70"/>
    <w:autoRedefine/>
    <w:qFormat/>
    <w:uiPriority w:val="0"/>
    <w:rPr>
      <w:rFonts w:hint="default" w:ascii="Calibri" w:hAnsi="Calibri"/>
      <w:color w:val="0000FF"/>
      <w:u w:val="single"/>
    </w:rPr>
  </w:style>
  <w:style w:type="character" w:customStyle="1" w:styleId="941">
    <w:name w:val="16"/>
    <w:basedOn w:val="70"/>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85"/>
    <w:autoRedefine/>
    <w:qFormat/>
    <w:uiPriority w:val="34"/>
    <w:pPr>
      <w:adjustRightInd/>
      <w:ind w:firstLine="420" w:firstLineChars="20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小正文"/>
    <w:basedOn w:val="1"/>
    <w:autoRedefine/>
    <w:qFormat/>
    <w:uiPriority w:val="0"/>
    <w:pPr>
      <w:spacing w:line="560" w:lineRule="exact"/>
      <w:ind w:firstLine="560" w:firstLineChars="200"/>
      <w:jc w:val="left"/>
    </w:pPr>
    <w:rPr>
      <w:rFonts w:ascii="仿宋_GB2312" w:hAnsi="宋体" w:eastAsia="仿宋_GB2312"/>
      <w:sz w:val="28"/>
      <w:szCs w:val="28"/>
    </w:rPr>
  </w:style>
  <w:style w:type="paragraph" w:customStyle="1" w:styleId="967">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8">
    <w:name w:val="正文1 字符"/>
    <w:link w:val="841"/>
    <w:autoRedefine/>
    <w:qFormat/>
    <w:uiPriority w:val="0"/>
    <w:rPr>
      <w:rFonts w:ascii="仿宋_GB2312" w:hAnsi="Courier New" w:eastAsia="仿宋_GB2312"/>
      <w:kern w:val="28"/>
      <w:sz w:val="24"/>
      <w:szCs w:val="24"/>
    </w:rPr>
  </w:style>
  <w:style w:type="paragraph" w:customStyle="1" w:styleId="969">
    <w:name w:val="修订5"/>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70">
    <w:name w:val="修订6"/>
    <w:autoRedefine/>
    <w:hidden/>
    <w:semiHidden/>
    <w:qFormat/>
    <w:uiPriority w:val="99"/>
    <w:rPr>
      <w:rFonts w:ascii="Times New Roman" w:hAnsi="Times New Roman" w:eastAsia="宋体" w:cs="Times New Roman"/>
      <w:kern w:val="2"/>
      <w:sz w:val="21"/>
      <w:szCs w:val="24"/>
      <w:lang w:val="en-US" w:eastAsia="zh-CN" w:bidi="ar-SA"/>
    </w:rPr>
  </w:style>
  <w:style w:type="table" w:customStyle="1" w:styleId="971">
    <w:name w:val="Table Normal"/>
    <w:autoRedefine/>
    <w:unhideWhenUsed/>
    <w:qFormat/>
    <w:uiPriority w:val="0"/>
    <w:tblPr>
      <w:tblCellMar>
        <w:top w:w="0" w:type="dxa"/>
        <w:left w:w="0" w:type="dxa"/>
        <w:bottom w:w="0" w:type="dxa"/>
        <w:right w:w="0" w:type="dxa"/>
      </w:tblCellMar>
    </w:tblPr>
  </w:style>
  <w:style w:type="paragraph" w:customStyle="1" w:styleId="972">
    <w:name w:val="_Style 2"/>
    <w:basedOn w:val="1"/>
    <w:autoRedefine/>
    <w:qFormat/>
    <w:uiPriority w:val="34"/>
    <w:pPr>
      <w:ind w:firstLine="420" w:firstLineChars="200"/>
    </w:pPr>
    <w:rPr>
      <w:rFonts w:ascii="Calibri" w:hAnsi="Calibri"/>
      <w:szCs w:val="22"/>
    </w:rPr>
  </w:style>
  <w:style w:type="character" w:customStyle="1" w:styleId="973">
    <w:name w:val="Anrede1IhrZeichen"/>
    <w:autoRedefine/>
    <w:qFormat/>
    <w:uiPriority w:val="0"/>
    <w:rPr>
      <w:rFonts w:ascii="Arial" w:hAnsi="Arial"/>
      <w:sz w:val="20"/>
    </w:rPr>
  </w:style>
  <w:style w:type="paragraph" w:customStyle="1" w:styleId="974">
    <w:name w:val="DAS正文"/>
    <w:basedOn w:val="1"/>
    <w:autoRedefine/>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975">
    <w:name w:val="NormalCharacter"/>
    <w:autoRedefine/>
    <w:qFormat/>
    <w:uiPriority w:val="0"/>
  </w:style>
  <w:style w:type="paragraph" w:customStyle="1" w:styleId="976">
    <w:name w:val="正文文本缩进1"/>
    <w:basedOn w:val="1"/>
    <w:autoRedefine/>
    <w:qFormat/>
    <w:uiPriority w:val="0"/>
    <w:pPr>
      <w:widowControl/>
      <w:autoSpaceDE w:val="0"/>
      <w:autoSpaceDN w:val="0"/>
      <w:snapToGrid w:val="0"/>
      <w:spacing w:before="120" w:line="400" w:lineRule="atLeast"/>
      <w:ind w:firstLine="570"/>
    </w:pPr>
    <w:rPr>
      <w:rFonts w:ascii="宋体"/>
      <w:kern w:val="0"/>
      <w:sz w:val="24"/>
      <w:szCs w:val="20"/>
    </w:rPr>
  </w:style>
  <w:style w:type="paragraph" w:customStyle="1" w:styleId="977">
    <w:name w:val="批注文字1"/>
    <w:basedOn w:val="1"/>
    <w:autoRedefine/>
    <w:qFormat/>
    <w:uiPriority w:val="0"/>
    <w:pPr>
      <w:jc w:val="left"/>
    </w:pPr>
    <w:rPr>
      <w:szCs w:val="20"/>
    </w:rPr>
  </w:style>
  <w:style w:type="paragraph" w:customStyle="1" w:styleId="978">
    <w:name w:val="acbfdd8b-e11b-4d36-88ff-6049b138f862"/>
    <w:basedOn w:val="23"/>
    <w:autoRedefine/>
    <w:qFormat/>
    <w:uiPriority w:val="0"/>
    <w:pPr>
      <w:spacing w:after="0" w:line="288" w:lineRule="auto"/>
      <w:jc w:val="left"/>
    </w:pPr>
    <w:rPr>
      <w:rFonts w:ascii="微软雅黑" w:hAnsi="微软雅黑" w:eastAsia="微软雅黑"/>
      <w:color w:val="000000"/>
      <w:sz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9FEA36-D59C-4A24-9FB0-C2C984DCD105}">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101</Pages>
  <Words>44959</Words>
  <Characters>48959</Characters>
  <Lines>410</Lines>
  <Paragraphs>115</Paragraphs>
  <TotalTime>17</TotalTime>
  <ScaleCrop>false</ScaleCrop>
  <LinksUpToDate>false</LinksUpToDate>
  <CharactersWithSpaces>54479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石头</cp:lastModifiedBy>
  <cp:lastPrinted>2024-05-07T01:43:00Z</cp:lastPrinted>
  <dcterms:modified xsi:type="dcterms:W3CDTF">2024-05-17T10:32:12Z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A4DE545E36B548B6A2F2C131576D72B0_13</vt:lpwstr>
  </property>
</Properties>
</file>