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color w:val="auto"/>
          <w:sz w:val="48"/>
          <w:szCs w:val="48"/>
          <w:highlight w:val="none"/>
        </w:rPr>
      </w:pPr>
      <w:bookmarkStart w:id="44" w:name="_GoBack"/>
      <w:bookmarkEnd w:id="44"/>
    </w:p>
    <w:p>
      <w:pPr>
        <w:spacing w:line="360" w:lineRule="auto"/>
        <w:jc w:val="center"/>
        <w:rPr>
          <w:b/>
          <w:color w:val="auto"/>
          <w:sz w:val="48"/>
          <w:szCs w:val="48"/>
          <w:highlight w:val="none"/>
        </w:rPr>
      </w:pPr>
    </w:p>
    <w:p>
      <w:pPr>
        <w:spacing w:line="360" w:lineRule="auto"/>
        <w:jc w:val="center"/>
        <w:rPr>
          <w:b/>
          <w:color w:val="auto"/>
          <w:sz w:val="72"/>
          <w:szCs w:val="72"/>
          <w:highlight w:val="none"/>
        </w:rPr>
      </w:pPr>
      <w:r>
        <w:rPr>
          <w:b/>
          <w:color w:val="auto"/>
          <w:sz w:val="72"/>
          <w:szCs w:val="72"/>
          <w:highlight w:val="none"/>
        </w:rPr>
        <w:t>公开招标采购文件</w:t>
      </w:r>
    </w:p>
    <w:p>
      <w:pPr>
        <w:spacing w:line="360" w:lineRule="auto"/>
        <w:jc w:val="center"/>
        <w:rPr>
          <w:rFonts w:hint="eastAsia"/>
          <w:b/>
          <w:color w:val="auto"/>
          <w:sz w:val="72"/>
          <w:szCs w:val="72"/>
          <w:highlight w:val="none"/>
        </w:rPr>
      </w:pPr>
    </w:p>
    <w:p>
      <w:pPr>
        <w:snapToGrid w:val="0"/>
        <w:spacing w:line="360" w:lineRule="auto"/>
        <w:rPr>
          <w:b/>
          <w:color w:val="auto"/>
          <w:sz w:val="28"/>
          <w:szCs w:val="28"/>
          <w:highlight w:val="none"/>
        </w:rPr>
      </w:pPr>
    </w:p>
    <w:p>
      <w:pPr>
        <w:pStyle w:val="40"/>
        <w:tabs>
          <w:tab w:val="left" w:pos="6615"/>
        </w:tabs>
        <w:snapToGrid w:val="0"/>
        <w:spacing w:line="360" w:lineRule="auto"/>
        <w:ind w:firstLine="1928" w:firstLineChars="600"/>
        <w:rPr>
          <w:rFonts w:hint="eastAsia" w:ascii="Times New Roman" w:hAnsi="Times New Roman"/>
          <w:b/>
          <w:bCs/>
          <w:color w:val="auto"/>
          <w:sz w:val="32"/>
          <w:szCs w:val="32"/>
          <w:highlight w:val="none"/>
          <w:lang w:eastAsia="zh-CN"/>
        </w:rPr>
      </w:pPr>
      <w:r>
        <w:rPr>
          <w:rFonts w:ascii="Times New Roman" w:hAnsi="Times New Roman"/>
          <w:b/>
          <w:bCs/>
          <w:color w:val="auto"/>
          <w:sz w:val="32"/>
          <w:szCs w:val="32"/>
          <w:highlight w:val="none"/>
        </w:rPr>
        <w:t>项目编号：</w:t>
      </w:r>
      <w:r>
        <w:rPr>
          <w:rFonts w:hint="eastAsia" w:ascii="Times New Roman" w:hAnsi="Times New Roman"/>
          <w:b/>
          <w:bCs/>
          <w:color w:val="auto"/>
          <w:sz w:val="32"/>
          <w:szCs w:val="32"/>
          <w:highlight w:val="none"/>
          <w:lang w:eastAsia="zh-CN"/>
        </w:rPr>
        <w:t>ZJ-2370095-16</w:t>
      </w:r>
    </w:p>
    <w:p>
      <w:pPr>
        <w:pStyle w:val="40"/>
        <w:tabs>
          <w:tab w:val="left" w:pos="6615"/>
        </w:tabs>
        <w:snapToGrid w:val="0"/>
        <w:spacing w:line="360" w:lineRule="auto"/>
        <w:ind w:left="3521" w:leftChars="912" w:hanging="1606" w:hangingChars="500"/>
        <w:rPr>
          <w:rFonts w:hint="eastAsia" w:ascii="Times New Roman" w:hAnsi="Times New Roman"/>
          <w:b/>
          <w:color w:val="auto"/>
          <w:sz w:val="32"/>
          <w:szCs w:val="32"/>
          <w:highlight w:val="none"/>
        </w:rPr>
      </w:pPr>
      <w:r>
        <w:rPr>
          <w:rFonts w:ascii="Times New Roman" w:hAnsi="Times New Roman"/>
          <w:b/>
          <w:color w:val="auto"/>
          <w:sz w:val="32"/>
          <w:szCs w:val="32"/>
          <w:highlight w:val="none"/>
        </w:rPr>
        <w:t>项目名称：</w:t>
      </w:r>
      <w:r>
        <w:rPr>
          <w:rFonts w:hint="eastAsia" w:ascii="Times New Roman" w:hAnsi="Times New Roman"/>
          <w:b/>
          <w:color w:val="auto"/>
          <w:sz w:val="32"/>
          <w:szCs w:val="32"/>
          <w:highlight w:val="none"/>
        </w:rPr>
        <w:t>鹿城院区（含学院路部、原成人急诊、南浦部）安保外包服务</w:t>
      </w:r>
    </w:p>
    <w:p>
      <w:pPr>
        <w:pStyle w:val="40"/>
        <w:snapToGrid w:val="0"/>
        <w:spacing w:line="360" w:lineRule="auto"/>
        <w:ind w:firstLine="841" w:firstLineChars="294"/>
        <w:rPr>
          <w:rFonts w:ascii="Times New Roman" w:hAnsi="Times New Roman"/>
          <w:b/>
          <w:bCs/>
          <w:color w:val="auto"/>
          <w:w w:val="95"/>
          <w:sz w:val="30"/>
          <w:szCs w:val="30"/>
          <w:highlight w:val="none"/>
        </w:rPr>
      </w:pPr>
    </w:p>
    <w:p>
      <w:pPr>
        <w:pStyle w:val="40"/>
        <w:snapToGrid w:val="0"/>
        <w:spacing w:line="360" w:lineRule="auto"/>
        <w:ind w:firstLine="841" w:firstLineChars="294"/>
        <w:rPr>
          <w:rFonts w:ascii="Times New Roman" w:hAnsi="Times New Roman"/>
          <w:b/>
          <w:bCs/>
          <w:color w:val="auto"/>
          <w:w w:val="95"/>
          <w:sz w:val="30"/>
          <w:szCs w:val="30"/>
          <w:highlight w:val="none"/>
        </w:rPr>
      </w:pPr>
    </w:p>
    <w:p>
      <w:pPr>
        <w:pStyle w:val="40"/>
        <w:snapToGrid w:val="0"/>
        <w:spacing w:line="360" w:lineRule="auto"/>
        <w:ind w:firstLine="841" w:firstLineChars="294"/>
        <w:rPr>
          <w:rFonts w:ascii="Times New Roman" w:hAnsi="Times New Roman"/>
          <w:b/>
          <w:bCs/>
          <w:color w:val="auto"/>
          <w:w w:val="95"/>
          <w:sz w:val="30"/>
          <w:szCs w:val="30"/>
          <w:highlight w:val="none"/>
        </w:rPr>
      </w:pPr>
    </w:p>
    <w:p>
      <w:pPr>
        <w:pStyle w:val="40"/>
        <w:snapToGrid w:val="0"/>
        <w:spacing w:line="360" w:lineRule="auto"/>
        <w:ind w:firstLine="841" w:firstLineChars="294"/>
        <w:rPr>
          <w:rFonts w:ascii="Times New Roman" w:hAnsi="Times New Roman"/>
          <w:b/>
          <w:bCs/>
          <w:color w:val="auto"/>
          <w:w w:val="95"/>
          <w:sz w:val="30"/>
          <w:szCs w:val="30"/>
          <w:highlight w:val="none"/>
        </w:rPr>
      </w:pPr>
    </w:p>
    <w:p>
      <w:pPr>
        <w:pStyle w:val="40"/>
        <w:snapToGrid w:val="0"/>
        <w:spacing w:line="360" w:lineRule="auto"/>
        <w:ind w:firstLine="841" w:firstLineChars="294"/>
        <w:rPr>
          <w:rFonts w:ascii="Times New Roman" w:hAnsi="Times New Roman"/>
          <w:b/>
          <w:bCs/>
          <w:color w:val="auto"/>
          <w:w w:val="95"/>
          <w:sz w:val="30"/>
          <w:szCs w:val="30"/>
          <w:highlight w:val="none"/>
        </w:rPr>
      </w:pPr>
    </w:p>
    <w:p>
      <w:pPr>
        <w:pStyle w:val="40"/>
        <w:snapToGrid w:val="0"/>
        <w:spacing w:line="360" w:lineRule="auto"/>
        <w:ind w:firstLine="841" w:firstLineChars="294"/>
        <w:rPr>
          <w:rFonts w:ascii="Times New Roman" w:hAnsi="Times New Roman"/>
          <w:b/>
          <w:bCs/>
          <w:color w:val="auto"/>
          <w:w w:val="95"/>
          <w:sz w:val="30"/>
          <w:szCs w:val="30"/>
          <w:highlight w:val="none"/>
        </w:rPr>
      </w:pPr>
    </w:p>
    <w:p>
      <w:pPr>
        <w:pStyle w:val="40"/>
        <w:snapToGrid w:val="0"/>
        <w:spacing w:line="360" w:lineRule="auto"/>
        <w:ind w:firstLine="841" w:firstLineChars="294"/>
        <w:rPr>
          <w:rFonts w:ascii="Times New Roman" w:hAnsi="Times New Roman"/>
          <w:b/>
          <w:bCs/>
          <w:color w:val="auto"/>
          <w:w w:val="95"/>
          <w:sz w:val="30"/>
          <w:szCs w:val="30"/>
          <w:highlight w:val="none"/>
        </w:rPr>
      </w:pPr>
    </w:p>
    <w:p>
      <w:pPr>
        <w:widowControl/>
        <w:autoSpaceDE w:val="0"/>
        <w:autoSpaceDN w:val="0"/>
        <w:jc w:val="center"/>
        <w:textAlignment w:val="bottom"/>
        <w:rPr>
          <w:rFonts w:hint="eastAsia"/>
          <w:b/>
          <w:bCs/>
          <w:color w:val="auto"/>
          <w:w w:val="95"/>
          <w:sz w:val="32"/>
          <w:szCs w:val="32"/>
          <w:highlight w:val="none"/>
        </w:rPr>
      </w:pPr>
      <w:r>
        <w:rPr>
          <w:rFonts w:hint="eastAsia"/>
          <w:b/>
          <w:bCs/>
          <w:color w:val="auto"/>
          <w:w w:val="95"/>
          <w:sz w:val="32"/>
          <w:szCs w:val="32"/>
          <w:highlight w:val="none"/>
        </w:rPr>
        <w:t>温州医科大学附属第二医院</w:t>
      </w:r>
    </w:p>
    <w:p>
      <w:pPr>
        <w:widowControl/>
        <w:autoSpaceDE w:val="0"/>
        <w:autoSpaceDN w:val="0"/>
        <w:jc w:val="center"/>
        <w:textAlignment w:val="bottom"/>
        <w:rPr>
          <w:b/>
          <w:bCs/>
          <w:color w:val="auto"/>
          <w:w w:val="95"/>
          <w:sz w:val="32"/>
          <w:szCs w:val="32"/>
          <w:highlight w:val="none"/>
        </w:rPr>
      </w:pPr>
    </w:p>
    <w:p>
      <w:pPr>
        <w:widowControl/>
        <w:autoSpaceDE w:val="0"/>
        <w:autoSpaceDN w:val="0"/>
        <w:jc w:val="center"/>
        <w:textAlignment w:val="bottom"/>
        <w:rPr>
          <w:rFonts w:hint="eastAsia"/>
          <w:b/>
          <w:bCs/>
          <w:color w:val="auto"/>
          <w:w w:val="95"/>
          <w:sz w:val="32"/>
          <w:szCs w:val="32"/>
          <w:highlight w:val="none"/>
        </w:rPr>
      </w:pPr>
      <w:r>
        <w:rPr>
          <w:rFonts w:hint="eastAsia"/>
          <w:b/>
          <w:bCs/>
          <w:color w:val="auto"/>
          <w:w w:val="95"/>
          <w:sz w:val="32"/>
          <w:szCs w:val="32"/>
          <w:highlight w:val="none"/>
        </w:rPr>
        <w:t>浙江国际招投标有限公司</w:t>
      </w:r>
    </w:p>
    <w:p>
      <w:pPr>
        <w:snapToGrid w:val="0"/>
        <w:spacing w:line="360" w:lineRule="auto"/>
        <w:jc w:val="center"/>
        <w:rPr>
          <w:b/>
          <w:bCs/>
          <w:color w:val="auto"/>
          <w:w w:val="95"/>
          <w:sz w:val="32"/>
          <w:szCs w:val="32"/>
          <w:highlight w:val="none"/>
        </w:rPr>
      </w:pPr>
    </w:p>
    <w:p>
      <w:pPr>
        <w:snapToGrid w:val="0"/>
        <w:spacing w:line="360" w:lineRule="auto"/>
        <w:jc w:val="center"/>
        <w:rPr>
          <w:rFonts w:hint="eastAsia"/>
          <w:color w:val="auto"/>
          <w:sz w:val="30"/>
          <w:szCs w:val="20"/>
          <w:highlight w:val="none"/>
        </w:rPr>
      </w:pPr>
      <w:r>
        <w:rPr>
          <w:rFonts w:hint="eastAsia"/>
          <w:b/>
          <w:bCs/>
          <w:color w:val="auto"/>
          <w:w w:val="95"/>
          <w:sz w:val="32"/>
          <w:szCs w:val="32"/>
          <w:highlight w:val="none"/>
        </w:rPr>
        <w:t>2023年</w:t>
      </w:r>
      <w:r>
        <w:rPr>
          <w:rFonts w:hint="eastAsia"/>
          <w:b/>
          <w:bCs/>
          <w:color w:val="auto"/>
          <w:w w:val="95"/>
          <w:sz w:val="32"/>
          <w:szCs w:val="32"/>
          <w:highlight w:val="none"/>
          <w:lang w:val="en-US" w:eastAsia="zh-CN"/>
        </w:rPr>
        <w:t>3</w:t>
      </w:r>
      <w:r>
        <w:rPr>
          <w:rFonts w:hint="eastAsia"/>
          <w:b/>
          <w:bCs/>
          <w:color w:val="auto"/>
          <w:w w:val="95"/>
          <w:sz w:val="32"/>
          <w:szCs w:val="32"/>
          <w:highlight w:val="none"/>
        </w:rPr>
        <w:t>月</w:t>
      </w:r>
    </w:p>
    <w:p>
      <w:pPr>
        <w:spacing w:line="480" w:lineRule="auto"/>
        <w:jc w:val="center"/>
        <w:rPr>
          <w:b/>
          <w:color w:val="auto"/>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47" w:right="1247" w:bottom="1247" w:left="1474" w:header="851" w:footer="850" w:gutter="0"/>
          <w:pgNumType w:start="1"/>
          <w:cols w:space="720" w:num="1"/>
          <w:titlePg/>
          <w:docGrid w:linePitch="312" w:charSpace="0"/>
        </w:sectPr>
      </w:pPr>
    </w:p>
    <w:p>
      <w:pPr>
        <w:spacing w:line="480" w:lineRule="auto"/>
        <w:jc w:val="center"/>
        <w:rPr>
          <w:b/>
          <w:color w:val="auto"/>
          <w:sz w:val="44"/>
          <w:szCs w:val="44"/>
          <w:highlight w:val="none"/>
        </w:rPr>
      </w:pPr>
      <w:r>
        <w:rPr>
          <w:b/>
          <w:color w:val="auto"/>
          <w:sz w:val="44"/>
          <w:szCs w:val="44"/>
          <w:highlight w:val="none"/>
        </w:rPr>
        <w:t>目  录</w:t>
      </w:r>
    </w:p>
    <w:p>
      <w:pPr>
        <w:spacing w:line="480" w:lineRule="auto"/>
        <w:jc w:val="center"/>
        <w:rPr>
          <w:color w:val="auto"/>
          <w:sz w:val="28"/>
          <w:szCs w:val="28"/>
          <w:highlight w:val="none"/>
        </w:rPr>
      </w:pPr>
    </w:p>
    <w:p>
      <w:pPr>
        <w:pStyle w:val="55"/>
        <w:spacing w:line="480" w:lineRule="auto"/>
        <w:rPr>
          <w:rFonts w:ascii="Times New Roman" w:hAnsi="Times New Roman"/>
          <w:b w:val="0"/>
          <w:bCs w:val="0"/>
          <w:caps w:val="0"/>
          <w:color w:val="auto"/>
          <w:sz w:val="28"/>
          <w:szCs w:val="28"/>
          <w:highlight w:val="none"/>
          <w:lang/>
        </w:rPr>
      </w:pPr>
      <w:r>
        <w:rPr>
          <w:rFonts w:ascii="Times New Roman" w:hAnsi="Times New Roman"/>
          <w:b w:val="0"/>
          <w:bCs w:val="0"/>
          <w:caps w:val="0"/>
          <w:color w:val="auto"/>
          <w:sz w:val="28"/>
          <w:szCs w:val="28"/>
          <w:highlight w:val="none"/>
        </w:rPr>
        <w:fldChar w:fldCharType="begin"/>
      </w:r>
      <w:r>
        <w:rPr>
          <w:rFonts w:ascii="Times New Roman" w:hAnsi="Times New Roman"/>
          <w:b w:val="0"/>
          <w:bCs w:val="0"/>
          <w:caps w:val="0"/>
          <w:color w:val="auto"/>
          <w:sz w:val="28"/>
          <w:szCs w:val="28"/>
          <w:highlight w:val="none"/>
        </w:rPr>
        <w:instrText xml:space="preserve"> TOC \o "1-1" \h \z </w:instrText>
      </w:r>
      <w:r>
        <w:rPr>
          <w:rFonts w:ascii="Times New Roman" w:hAnsi="Times New Roman"/>
          <w:b w:val="0"/>
          <w:bCs w:val="0"/>
          <w:caps w:val="0"/>
          <w:color w:val="auto"/>
          <w:sz w:val="28"/>
          <w:szCs w:val="28"/>
          <w:highlight w:val="none"/>
        </w:rPr>
        <w:fldChar w:fldCharType="separate"/>
      </w:r>
      <w:r>
        <w:rPr>
          <w:rFonts w:ascii="Times New Roman" w:hAnsi="Times New Roman"/>
          <w:b w:val="0"/>
          <w:color w:val="auto"/>
          <w:sz w:val="28"/>
          <w:szCs w:val="28"/>
          <w:highlight w:val="none"/>
          <w:lang/>
        </w:rPr>
        <w:fldChar w:fldCharType="begin"/>
      </w:r>
      <w:r>
        <w:rPr>
          <w:rStyle w:val="90"/>
          <w:rFonts w:ascii="Times New Roman" w:hAnsi="Times New Roman"/>
          <w:b w:val="0"/>
          <w:color w:val="auto"/>
          <w:sz w:val="28"/>
          <w:szCs w:val="28"/>
          <w:highlight w:val="none"/>
          <w:lang/>
        </w:rPr>
        <w:instrText xml:space="preserve"> </w:instrText>
      </w:r>
      <w:r>
        <w:rPr>
          <w:rFonts w:ascii="Times New Roman" w:hAnsi="Times New Roman"/>
          <w:b w:val="0"/>
          <w:color w:val="auto"/>
          <w:sz w:val="28"/>
          <w:szCs w:val="28"/>
          <w:highlight w:val="none"/>
          <w:lang/>
        </w:rPr>
        <w:instrText xml:space="preserve">HYPERLINK \l "_Toc495317667"</w:instrText>
      </w:r>
      <w:r>
        <w:rPr>
          <w:rStyle w:val="90"/>
          <w:rFonts w:ascii="Times New Roman" w:hAnsi="Times New Roman"/>
          <w:b w:val="0"/>
          <w:color w:val="auto"/>
          <w:sz w:val="28"/>
          <w:szCs w:val="28"/>
          <w:highlight w:val="none"/>
          <w:lang/>
        </w:rPr>
        <w:instrText xml:space="preserve"> </w:instrText>
      </w:r>
      <w:r>
        <w:rPr>
          <w:rFonts w:ascii="Times New Roman" w:hAnsi="Times New Roman"/>
          <w:b w:val="0"/>
          <w:color w:val="auto"/>
          <w:sz w:val="28"/>
          <w:szCs w:val="28"/>
          <w:highlight w:val="none"/>
          <w:lang/>
        </w:rPr>
        <w:fldChar w:fldCharType="separate"/>
      </w:r>
      <w:r>
        <w:rPr>
          <w:rStyle w:val="90"/>
          <w:rFonts w:ascii="Times New Roman" w:hAnsi="Times New Roman"/>
          <w:b w:val="0"/>
          <w:color w:val="auto"/>
          <w:sz w:val="28"/>
          <w:szCs w:val="28"/>
          <w:highlight w:val="none"/>
          <w:lang/>
        </w:rPr>
        <w:t>第一章  招标公告</w:t>
      </w:r>
      <w:r>
        <w:rPr>
          <w:rFonts w:ascii="Times New Roman" w:hAnsi="Times New Roman"/>
          <w:b w:val="0"/>
          <w:color w:val="auto"/>
          <w:sz w:val="28"/>
          <w:szCs w:val="28"/>
          <w:highlight w:val="none"/>
          <w:lang/>
        </w:rPr>
        <w:tab/>
      </w:r>
      <w:r>
        <w:rPr>
          <w:rFonts w:ascii="Times New Roman" w:hAnsi="Times New Roman"/>
          <w:b w:val="0"/>
          <w:color w:val="auto"/>
          <w:sz w:val="28"/>
          <w:szCs w:val="28"/>
          <w:highlight w:val="none"/>
          <w:lang/>
        </w:rPr>
        <w:fldChar w:fldCharType="begin"/>
      </w:r>
      <w:r>
        <w:rPr>
          <w:rFonts w:ascii="Times New Roman" w:hAnsi="Times New Roman"/>
          <w:b w:val="0"/>
          <w:color w:val="auto"/>
          <w:sz w:val="28"/>
          <w:szCs w:val="28"/>
          <w:highlight w:val="none"/>
          <w:lang/>
        </w:rPr>
        <w:instrText xml:space="preserve"> PAGEREF _Toc495317667 \h </w:instrText>
      </w:r>
      <w:r>
        <w:rPr>
          <w:rFonts w:ascii="Times New Roman" w:hAnsi="Times New Roman"/>
          <w:b w:val="0"/>
          <w:color w:val="auto"/>
          <w:sz w:val="28"/>
          <w:szCs w:val="28"/>
          <w:highlight w:val="none"/>
          <w:lang/>
        </w:rPr>
        <w:fldChar w:fldCharType="separate"/>
      </w:r>
      <w:r>
        <w:rPr>
          <w:rFonts w:ascii="Times New Roman" w:hAnsi="Times New Roman"/>
          <w:b w:val="0"/>
          <w:color w:val="auto"/>
          <w:sz w:val="28"/>
          <w:szCs w:val="28"/>
          <w:highlight w:val="none"/>
          <w:lang/>
        </w:rPr>
        <w:t>3</w:t>
      </w:r>
      <w:r>
        <w:rPr>
          <w:rFonts w:ascii="Times New Roman" w:hAnsi="Times New Roman"/>
          <w:b w:val="0"/>
          <w:color w:val="auto"/>
          <w:sz w:val="28"/>
          <w:szCs w:val="28"/>
          <w:highlight w:val="none"/>
          <w:lang/>
        </w:rPr>
        <w:fldChar w:fldCharType="end"/>
      </w:r>
      <w:r>
        <w:rPr>
          <w:rFonts w:ascii="Times New Roman" w:hAnsi="Times New Roman"/>
          <w:b w:val="0"/>
          <w:color w:val="auto"/>
          <w:sz w:val="28"/>
          <w:szCs w:val="28"/>
          <w:highlight w:val="none"/>
          <w:lang/>
        </w:rPr>
        <w:fldChar w:fldCharType="end"/>
      </w:r>
    </w:p>
    <w:p>
      <w:pPr>
        <w:pStyle w:val="55"/>
        <w:spacing w:line="480" w:lineRule="auto"/>
        <w:rPr>
          <w:rFonts w:ascii="Times New Roman" w:hAnsi="Times New Roman"/>
          <w:b w:val="0"/>
          <w:bCs w:val="0"/>
          <w:caps w:val="0"/>
          <w:color w:val="auto"/>
          <w:sz w:val="28"/>
          <w:szCs w:val="28"/>
          <w:highlight w:val="none"/>
          <w:lang/>
        </w:rPr>
      </w:pPr>
      <w:r>
        <w:rPr>
          <w:rFonts w:ascii="Times New Roman" w:hAnsi="Times New Roman"/>
          <w:b w:val="0"/>
          <w:color w:val="auto"/>
          <w:sz w:val="28"/>
          <w:szCs w:val="28"/>
          <w:highlight w:val="none"/>
          <w:lang/>
        </w:rPr>
        <w:fldChar w:fldCharType="begin"/>
      </w:r>
      <w:r>
        <w:rPr>
          <w:rStyle w:val="90"/>
          <w:rFonts w:ascii="Times New Roman" w:hAnsi="Times New Roman"/>
          <w:b w:val="0"/>
          <w:color w:val="auto"/>
          <w:sz w:val="28"/>
          <w:szCs w:val="28"/>
          <w:highlight w:val="none"/>
          <w:lang/>
        </w:rPr>
        <w:instrText xml:space="preserve"> </w:instrText>
      </w:r>
      <w:r>
        <w:rPr>
          <w:rFonts w:ascii="Times New Roman" w:hAnsi="Times New Roman"/>
          <w:b w:val="0"/>
          <w:color w:val="auto"/>
          <w:sz w:val="28"/>
          <w:szCs w:val="28"/>
          <w:highlight w:val="none"/>
          <w:lang/>
        </w:rPr>
        <w:instrText xml:space="preserve">HYPERLINK \l "_Toc495317668"</w:instrText>
      </w:r>
      <w:r>
        <w:rPr>
          <w:rStyle w:val="90"/>
          <w:rFonts w:ascii="Times New Roman" w:hAnsi="Times New Roman"/>
          <w:b w:val="0"/>
          <w:color w:val="auto"/>
          <w:sz w:val="28"/>
          <w:szCs w:val="28"/>
          <w:highlight w:val="none"/>
          <w:lang/>
        </w:rPr>
        <w:instrText xml:space="preserve"> </w:instrText>
      </w:r>
      <w:r>
        <w:rPr>
          <w:rFonts w:ascii="Times New Roman" w:hAnsi="Times New Roman"/>
          <w:b w:val="0"/>
          <w:color w:val="auto"/>
          <w:sz w:val="28"/>
          <w:szCs w:val="28"/>
          <w:highlight w:val="none"/>
          <w:lang/>
        </w:rPr>
        <w:fldChar w:fldCharType="separate"/>
      </w:r>
      <w:r>
        <w:rPr>
          <w:rStyle w:val="90"/>
          <w:rFonts w:hint="eastAsia" w:ascii="Times New Roman" w:hAnsi="Times New Roman"/>
          <w:b w:val="0"/>
          <w:color w:val="auto"/>
          <w:sz w:val="28"/>
          <w:szCs w:val="28"/>
          <w:highlight w:val="none"/>
          <w:lang/>
        </w:rPr>
        <w:t>供应商</w:t>
      </w:r>
      <w:r>
        <w:rPr>
          <w:rStyle w:val="90"/>
          <w:rFonts w:ascii="Times New Roman" w:hAnsi="Times New Roman"/>
          <w:b w:val="0"/>
          <w:color w:val="auto"/>
          <w:sz w:val="28"/>
          <w:szCs w:val="28"/>
          <w:highlight w:val="none"/>
          <w:lang/>
        </w:rPr>
        <w:t>须知前附表</w:t>
      </w:r>
      <w:r>
        <w:rPr>
          <w:rFonts w:ascii="Times New Roman" w:hAnsi="Times New Roman"/>
          <w:b w:val="0"/>
          <w:color w:val="auto"/>
          <w:sz w:val="28"/>
          <w:szCs w:val="28"/>
          <w:highlight w:val="none"/>
          <w:lang/>
        </w:rPr>
        <w:tab/>
      </w:r>
      <w:r>
        <w:rPr>
          <w:rFonts w:ascii="Times New Roman" w:hAnsi="Times New Roman"/>
          <w:b w:val="0"/>
          <w:color w:val="auto"/>
          <w:sz w:val="28"/>
          <w:szCs w:val="28"/>
          <w:highlight w:val="none"/>
          <w:lang/>
        </w:rPr>
        <w:fldChar w:fldCharType="begin"/>
      </w:r>
      <w:r>
        <w:rPr>
          <w:rFonts w:ascii="Times New Roman" w:hAnsi="Times New Roman"/>
          <w:b w:val="0"/>
          <w:color w:val="auto"/>
          <w:sz w:val="28"/>
          <w:szCs w:val="28"/>
          <w:highlight w:val="none"/>
          <w:lang/>
        </w:rPr>
        <w:instrText xml:space="preserve"> PAGEREF _Toc495317668 \h </w:instrText>
      </w:r>
      <w:r>
        <w:rPr>
          <w:rFonts w:ascii="Times New Roman" w:hAnsi="Times New Roman"/>
          <w:b w:val="0"/>
          <w:color w:val="auto"/>
          <w:sz w:val="28"/>
          <w:szCs w:val="28"/>
          <w:highlight w:val="none"/>
          <w:lang/>
        </w:rPr>
        <w:fldChar w:fldCharType="separate"/>
      </w:r>
      <w:r>
        <w:rPr>
          <w:rFonts w:ascii="Times New Roman" w:hAnsi="Times New Roman"/>
          <w:b w:val="0"/>
          <w:color w:val="auto"/>
          <w:sz w:val="28"/>
          <w:szCs w:val="28"/>
          <w:highlight w:val="none"/>
          <w:lang/>
        </w:rPr>
        <w:t>6</w:t>
      </w:r>
      <w:r>
        <w:rPr>
          <w:rFonts w:ascii="Times New Roman" w:hAnsi="Times New Roman"/>
          <w:b w:val="0"/>
          <w:color w:val="auto"/>
          <w:sz w:val="28"/>
          <w:szCs w:val="28"/>
          <w:highlight w:val="none"/>
          <w:lang/>
        </w:rPr>
        <w:fldChar w:fldCharType="end"/>
      </w:r>
      <w:r>
        <w:rPr>
          <w:rFonts w:ascii="Times New Roman" w:hAnsi="Times New Roman"/>
          <w:b w:val="0"/>
          <w:color w:val="auto"/>
          <w:sz w:val="28"/>
          <w:szCs w:val="28"/>
          <w:highlight w:val="none"/>
          <w:lang/>
        </w:rPr>
        <w:fldChar w:fldCharType="end"/>
      </w:r>
    </w:p>
    <w:p>
      <w:pPr>
        <w:pStyle w:val="55"/>
        <w:spacing w:line="480" w:lineRule="auto"/>
        <w:rPr>
          <w:rFonts w:ascii="Times New Roman" w:hAnsi="Times New Roman"/>
          <w:b w:val="0"/>
          <w:bCs w:val="0"/>
          <w:caps w:val="0"/>
          <w:color w:val="auto"/>
          <w:sz w:val="28"/>
          <w:szCs w:val="28"/>
          <w:highlight w:val="none"/>
          <w:lang/>
        </w:rPr>
      </w:pPr>
      <w:r>
        <w:rPr>
          <w:rFonts w:ascii="Times New Roman" w:hAnsi="Times New Roman"/>
          <w:b w:val="0"/>
          <w:color w:val="auto"/>
          <w:sz w:val="28"/>
          <w:szCs w:val="28"/>
          <w:highlight w:val="none"/>
          <w:lang/>
        </w:rPr>
        <w:fldChar w:fldCharType="begin"/>
      </w:r>
      <w:r>
        <w:rPr>
          <w:rStyle w:val="90"/>
          <w:rFonts w:ascii="Times New Roman" w:hAnsi="Times New Roman"/>
          <w:b w:val="0"/>
          <w:color w:val="auto"/>
          <w:sz w:val="28"/>
          <w:szCs w:val="28"/>
          <w:highlight w:val="none"/>
          <w:lang/>
        </w:rPr>
        <w:instrText xml:space="preserve"> </w:instrText>
      </w:r>
      <w:r>
        <w:rPr>
          <w:rFonts w:ascii="Times New Roman" w:hAnsi="Times New Roman"/>
          <w:b w:val="0"/>
          <w:color w:val="auto"/>
          <w:sz w:val="28"/>
          <w:szCs w:val="28"/>
          <w:highlight w:val="none"/>
          <w:lang/>
        </w:rPr>
        <w:instrText xml:space="preserve">HYPERLINK \l "_Toc495317669"</w:instrText>
      </w:r>
      <w:r>
        <w:rPr>
          <w:rStyle w:val="90"/>
          <w:rFonts w:ascii="Times New Roman" w:hAnsi="Times New Roman"/>
          <w:b w:val="0"/>
          <w:color w:val="auto"/>
          <w:sz w:val="28"/>
          <w:szCs w:val="28"/>
          <w:highlight w:val="none"/>
          <w:lang/>
        </w:rPr>
        <w:instrText xml:space="preserve"> </w:instrText>
      </w:r>
      <w:r>
        <w:rPr>
          <w:rFonts w:ascii="Times New Roman" w:hAnsi="Times New Roman"/>
          <w:b w:val="0"/>
          <w:color w:val="auto"/>
          <w:sz w:val="28"/>
          <w:szCs w:val="28"/>
          <w:highlight w:val="none"/>
          <w:lang/>
        </w:rPr>
        <w:fldChar w:fldCharType="separate"/>
      </w:r>
      <w:r>
        <w:rPr>
          <w:rStyle w:val="90"/>
          <w:rFonts w:ascii="Times New Roman" w:hAnsi="Times New Roman"/>
          <w:b w:val="0"/>
          <w:color w:val="auto"/>
          <w:sz w:val="28"/>
          <w:szCs w:val="28"/>
          <w:highlight w:val="none"/>
          <w:lang/>
        </w:rPr>
        <w:t>第二章  采购内容及需求</w:t>
      </w:r>
      <w:r>
        <w:rPr>
          <w:rFonts w:ascii="Times New Roman" w:hAnsi="Times New Roman"/>
          <w:b w:val="0"/>
          <w:color w:val="auto"/>
          <w:sz w:val="28"/>
          <w:szCs w:val="28"/>
          <w:highlight w:val="none"/>
          <w:lang/>
        </w:rPr>
        <w:tab/>
      </w:r>
      <w:r>
        <w:rPr>
          <w:rFonts w:ascii="Times New Roman" w:hAnsi="Times New Roman"/>
          <w:b w:val="0"/>
          <w:color w:val="auto"/>
          <w:sz w:val="28"/>
          <w:szCs w:val="28"/>
          <w:highlight w:val="none"/>
          <w:lang/>
        </w:rPr>
        <w:fldChar w:fldCharType="begin"/>
      </w:r>
      <w:r>
        <w:rPr>
          <w:rFonts w:ascii="Times New Roman" w:hAnsi="Times New Roman"/>
          <w:b w:val="0"/>
          <w:color w:val="auto"/>
          <w:sz w:val="28"/>
          <w:szCs w:val="28"/>
          <w:highlight w:val="none"/>
          <w:lang/>
        </w:rPr>
        <w:instrText xml:space="preserve"> PAGEREF _Toc495317669 \h </w:instrText>
      </w:r>
      <w:r>
        <w:rPr>
          <w:rFonts w:ascii="Times New Roman" w:hAnsi="Times New Roman"/>
          <w:b w:val="0"/>
          <w:color w:val="auto"/>
          <w:sz w:val="28"/>
          <w:szCs w:val="28"/>
          <w:highlight w:val="none"/>
          <w:lang/>
        </w:rPr>
        <w:fldChar w:fldCharType="separate"/>
      </w:r>
      <w:r>
        <w:rPr>
          <w:rFonts w:ascii="Times New Roman" w:hAnsi="Times New Roman"/>
          <w:b w:val="0"/>
          <w:color w:val="auto"/>
          <w:sz w:val="28"/>
          <w:szCs w:val="28"/>
          <w:highlight w:val="none"/>
          <w:lang/>
        </w:rPr>
        <w:t>11</w:t>
      </w:r>
      <w:r>
        <w:rPr>
          <w:rFonts w:ascii="Times New Roman" w:hAnsi="Times New Roman"/>
          <w:b w:val="0"/>
          <w:color w:val="auto"/>
          <w:sz w:val="28"/>
          <w:szCs w:val="28"/>
          <w:highlight w:val="none"/>
          <w:lang/>
        </w:rPr>
        <w:fldChar w:fldCharType="end"/>
      </w:r>
      <w:r>
        <w:rPr>
          <w:rFonts w:ascii="Times New Roman" w:hAnsi="Times New Roman"/>
          <w:b w:val="0"/>
          <w:color w:val="auto"/>
          <w:sz w:val="28"/>
          <w:szCs w:val="28"/>
          <w:highlight w:val="none"/>
          <w:lang/>
        </w:rPr>
        <w:fldChar w:fldCharType="end"/>
      </w:r>
    </w:p>
    <w:p>
      <w:pPr>
        <w:pStyle w:val="55"/>
        <w:spacing w:line="480" w:lineRule="auto"/>
        <w:rPr>
          <w:rFonts w:ascii="Times New Roman" w:hAnsi="Times New Roman"/>
          <w:b w:val="0"/>
          <w:bCs w:val="0"/>
          <w:caps w:val="0"/>
          <w:color w:val="auto"/>
          <w:sz w:val="28"/>
          <w:szCs w:val="28"/>
          <w:highlight w:val="none"/>
          <w:lang/>
        </w:rPr>
      </w:pPr>
      <w:r>
        <w:rPr>
          <w:rFonts w:ascii="Times New Roman" w:hAnsi="Times New Roman"/>
          <w:b w:val="0"/>
          <w:color w:val="auto"/>
          <w:sz w:val="28"/>
          <w:szCs w:val="28"/>
          <w:highlight w:val="none"/>
          <w:lang/>
        </w:rPr>
        <w:fldChar w:fldCharType="begin"/>
      </w:r>
      <w:r>
        <w:rPr>
          <w:rStyle w:val="90"/>
          <w:rFonts w:ascii="Times New Roman" w:hAnsi="Times New Roman"/>
          <w:b w:val="0"/>
          <w:color w:val="auto"/>
          <w:sz w:val="28"/>
          <w:szCs w:val="28"/>
          <w:highlight w:val="none"/>
          <w:lang/>
        </w:rPr>
        <w:instrText xml:space="preserve"> </w:instrText>
      </w:r>
      <w:r>
        <w:rPr>
          <w:rFonts w:ascii="Times New Roman" w:hAnsi="Times New Roman"/>
          <w:b w:val="0"/>
          <w:color w:val="auto"/>
          <w:sz w:val="28"/>
          <w:szCs w:val="28"/>
          <w:highlight w:val="none"/>
          <w:lang/>
        </w:rPr>
        <w:instrText xml:space="preserve">HYPERLINK \l "_Toc495317670"</w:instrText>
      </w:r>
      <w:r>
        <w:rPr>
          <w:rStyle w:val="90"/>
          <w:rFonts w:ascii="Times New Roman" w:hAnsi="Times New Roman"/>
          <w:b w:val="0"/>
          <w:color w:val="auto"/>
          <w:sz w:val="28"/>
          <w:szCs w:val="28"/>
          <w:highlight w:val="none"/>
          <w:lang/>
        </w:rPr>
        <w:instrText xml:space="preserve"> </w:instrText>
      </w:r>
      <w:r>
        <w:rPr>
          <w:rFonts w:ascii="Times New Roman" w:hAnsi="Times New Roman"/>
          <w:b w:val="0"/>
          <w:color w:val="auto"/>
          <w:sz w:val="28"/>
          <w:szCs w:val="28"/>
          <w:highlight w:val="none"/>
          <w:lang/>
        </w:rPr>
        <w:fldChar w:fldCharType="separate"/>
      </w:r>
      <w:r>
        <w:rPr>
          <w:rStyle w:val="90"/>
          <w:rFonts w:ascii="Times New Roman" w:hAnsi="Times New Roman"/>
          <w:b w:val="0"/>
          <w:color w:val="auto"/>
          <w:sz w:val="28"/>
          <w:szCs w:val="28"/>
          <w:highlight w:val="none"/>
          <w:lang/>
        </w:rPr>
        <w:t xml:space="preserve">第三章  </w:t>
      </w:r>
      <w:r>
        <w:rPr>
          <w:rStyle w:val="90"/>
          <w:rFonts w:hint="eastAsia" w:ascii="Times New Roman" w:hAnsi="Times New Roman"/>
          <w:b w:val="0"/>
          <w:color w:val="auto"/>
          <w:sz w:val="28"/>
          <w:szCs w:val="28"/>
          <w:highlight w:val="none"/>
          <w:lang/>
        </w:rPr>
        <w:t>供应商</w:t>
      </w:r>
      <w:r>
        <w:rPr>
          <w:rStyle w:val="90"/>
          <w:rFonts w:ascii="Times New Roman" w:hAnsi="Times New Roman"/>
          <w:b w:val="0"/>
          <w:color w:val="auto"/>
          <w:sz w:val="28"/>
          <w:szCs w:val="28"/>
          <w:highlight w:val="none"/>
          <w:lang/>
        </w:rPr>
        <w:t>须知</w:t>
      </w:r>
      <w:r>
        <w:rPr>
          <w:rFonts w:ascii="Times New Roman" w:hAnsi="Times New Roman"/>
          <w:b w:val="0"/>
          <w:color w:val="auto"/>
          <w:sz w:val="28"/>
          <w:szCs w:val="28"/>
          <w:highlight w:val="none"/>
          <w:lang/>
        </w:rPr>
        <w:tab/>
      </w:r>
      <w:r>
        <w:rPr>
          <w:rFonts w:ascii="Times New Roman" w:hAnsi="Times New Roman"/>
          <w:b w:val="0"/>
          <w:color w:val="auto"/>
          <w:sz w:val="28"/>
          <w:szCs w:val="28"/>
          <w:highlight w:val="none"/>
          <w:lang/>
        </w:rPr>
        <w:fldChar w:fldCharType="begin"/>
      </w:r>
      <w:r>
        <w:rPr>
          <w:rFonts w:ascii="Times New Roman" w:hAnsi="Times New Roman"/>
          <w:b w:val="0"/>
          <w:color w:val="auto"/>
          <w:sz w:val="28"/>
          <w:szCs w:val="28"/>
          <w:highlight w:val="none"/>
          <w:lang/>
        </w:rPr>
        <w:instrText xml:space="preserve"> PAGEREF _Toc495317670 \h </w:instrText>
      </w:r>
      <w:r>
        <w:rPr>
          <w:rFonts w:ascii="Times New Roman" w:hAnsi="Times New Roman"/>
          <w:b w:val="0"/>
          <w:color w:val="auto"/>
          <w:sz w:val="28"/>
          <w:szCs w:val="28"/>
          <w:highlight w:val="none"/>
          <w:lang/>
        </w:rPr>
        <w:fldChar w:fldCharType="separate"/>
      </w:r>
      <w:r>
        <w:rPr>
          <w:rFonts w:ascii="Times New Roman" w:hAnsi="Times New Roman"/>
          <w:b w:val="0"/>
          <w:color w:val="auto"/>
          <w:sz w:val="28"/>
          <w:szCs w:val="28"/>
          <w:highlight w:val="none"/>
          <w:lang/>
        </w:rPr>
        <w:t>15</w:t>
      </w:r>
      <w:r>
        <w:rPr>
          <w:rFonts w:ascii="Times New Roman" w:hAnsi="Times New Roman"/>
          <w:b w:val="0"/>
          <w:color w:val="auto"/>
          <w:sz w:val="28"/>
          <w:szCs w:val="28"/>
          <w:highlight w:val="none"/>
          <w:lang/>
        </w:rPr>
        <w:fldChar w:fldCharType="end"/>
      </w:r>
      <w:r>
        <w:rPr>
          <w:rFonts w:ascii="Times New Roman" w:hAnsi="Times New Roman"/>
          <w:b w:val="0"/>
          <w:color w:val="auto"/>
          <w:sz w:val="28"/>
          <w:szCs w:val="28"/>
          <w:highlight w:val="none"/>
          <w:lang/>
        </w:rPr>
        <w:fldChar w:fldCharType="end"/>
      </w:r>
    </w:p>
    <w:p>
      <w:pPr>
        <w:pStyle w:val="55"/>
        <w:spacing w:line="480" w:lineRule="auto"/>
        <w:rPr>
          <w:rFonts w:ascii="Times New Roman" w:hAnsi="Times New Roman"/>
          <w:b w:val="0"/>
          <w:bCs w:val="0"/>
          <w:caps w:val="0"/>
          <w:color w:val="auto"/>
          <w:sz w:val="28"/>
          <w:szCs w:val="28"/>
          <w:highlight w:val="none"/>
          <w:lang/>
        </w:rPr>
      </w:pPr>
      <w:r>
        <w:rPr>
          <w:rFonts w:ascii="Times New Roman" w:hAnsi="Times New Roman"/>
          <w:b w:val="0"/>
          <w:color w:val="auto"/>
          <w:sz w:val="28"/>
          <w:szCs w:val="28"/>
          <w:highlight w:val="none"/>
          <w:lang/>
        </w:rPr>
        <w:fldChar w:fldCharType="begin"/>
      </w:r>
      <w:r>
        <w:rPr>
          <w:rStyle w:val="90"/>
          <w:rFonts w:ascii="Times New Roman" w:hAnsi="Times New Roman"/>
          <w:b w:val="0"/>
          <w:color w:val="auto"/>
          <w:sz w:val="28"/>
          <w:szCs w:val="28"/>
          <w:highlight w:val="none"/>
          <w:lang/>
        </w:rPr>
        <w:instrText xml:space="preserve"> </w:instrText>
      </w:r>
      <w:r>
        <w:rPr>
          <w:rFonts w:ascii="Times New Roman" w:hAnsi="Times New Roman"/>
          <w:b w:val="0"/>
          <w:color w:val="auto"/>
          <w:sz w:val="28"/>
          <w:szCs w:val="28"/>
          <w:highlight w:val="none"/>
          <w:lang/>
        </w:rPr>
        <w:instrText xml:space="preserve">HYPERLINK \l "_Toc495317671"</w:instrText>
      </w:r>
      <w:r>
        <w:rPr>
          <w:rStyle w:val="90"/>
          <w:rFonts w:ascii="Times New Roman" w:hAnsi="Times New Roman"/>
          <w:b w:val="0"/>
          <w:color w:val="auto"/>
          <w:sz w:val="28"/>
          <w:szCs w:val="28"/>
          <w:highlight w:val="none"/>
          <w:lang/>
        </w:rPr>
        <w:instrText xml:space="preserve"> </w:instrText>
      </w:r>
      <w:r>
        <w:rPr>
          <w:rFonts w:ascii="Times New Roman" w:hAnsi="Times New Roman"/>
          <w:b w:val="0"/>
          <w:color w:val="auto"/>
          <w:sz w:val="28"/>
          <w:szCs w:val="28"/>
          <w:highlight w:val="none"/>
          <w:lang/>
        </w:rPr>
        <w:fldChar w:fldCharType="separate"/>
      </w:r>
      <w:r>
        <w:rPr>
          <w:rStyle w:val="90"/>
          <w:rFonts w:ascii="Times New Roman" w:hAnsi="Times New Roman"/>
          <w:b w:val="0"/>
          <w:color w:val="auto"/>
          <w:sz w:val="28"/>
          <w:szCs w:val="28"/>
          <w:highlight w:val="none"/>
          <w:lang/>
        </w:rPr>
        <w:t>第四章  评标办法</w:t>
      </w:r>
      <w:r>
        <w:rPr>
          <w:rFonts w:ascii="Times New Roman" w:hAnsi="Times New Roman"/>
          <w:b w:val="0"/>
          <w:color w:val="auto"/>
          <w:sz w:val="28"/>
          <w:szCs w:val="28"/>
          <w:highlight w:val="none"/>
          <w:lang/>
        </w:rPr>
        <w:tab/>
      </w:r>
      <w:r>
        <w:rPr>
          <w:rFonts w:ascii="Times New Roman" w:hAnsi="Times New Roman"/>
          <w:b w:val="0"/>
          <w:color w:val="auto"/>
          <w:sz w:val="28"/>
          <w:szCs w:val="28"/>
          <w:highlight w:val="none"/>
          <w:lang/>
        </w:rPr>
        <w:fldChar w:fldCharType="begin"/>
      </w:r>
      <w:r>
        <w:rPr>
          <w:rFonts w:ascii="Times New Roman" w:hAnsi="Times New Roman"/>
          <w:b w:val="0"/>
          <w:color w:val="auto"/>
          <w:sz w:val="28"/>
          <w:szCs w:val="28"/>
          <w:highlight w:val="none"/>
          <w:lang/>
        </w:rPr>
        <w:instrText xml:space="preserve"> PAGEREF _Toc495317671 \h </w:instrText>
      </w:r>
      <w:r>
        <w:rPr>
          <w:rFonts w:ascii="Times New Roman" w:hAnsi="Times New Roman"/>
          <w:b w:val="0"/>
          <w:color w:val="auto"/>
          <w:sz w:val="28"/>
          <w:szCs w:val="28"/>
          <w:highlight w:val="none"/>
          <w:lang/>
        </w:rPr>
        <w:fldChar w:fldCharType="separate"/>
      </w:r>
      <w:r>
        <w:rPr>
          <w:rFonts w:ascii="Times New Roman" w:hAnsi="Times New Roman"/>
          <w:b w:val="0"/>
          <w:color w:val="auto"/>
          <w:sz w:val="28"/>
          <w:szCs w:val="28"/>
          <w:highlight w:val="none"/>
          <w:lang/>
        </w:rPr>
        <w:t>28</w:t>
      </w:r>
      <w:r>
        <w:rPr>
          <w:rFonts w:ascii="Times New Roman" w:hAnsi="Times New Roman"/>
          <w:b w:val="0"/>
          <w:color w:val="auto"/>
          <w:sz w:val="28"/>
          <w:szCs w:val="28"/>
          <w:highlight w:val="none"/>
          <w:lang/>
        </w:rPr>
        <w:fldChar w:fldCharType="end"/>
      </w:r>
      <w:r>
        <w:rPr>
          <w:rFonts w:ascii="Times New Roman" w:hAnsi="Times New Roman"/>
          <w:b w:val="0"/>
          <w:color w:val="auto"/>
          <w:sz w:val="28"/>
          <w:szCs w:val="28"/>
          <w:highlight w:val="none"/>
          <w:lang/>
        </w:rPr>
        <w:fldChar w:fldCharType="end"/>
      </w:r>
    </w:p>
    <w:p>
      <w:pPr>
        <w:pStyle w:val="55"/>
        <w:spacing w:line="480" w:lineRule="auto"/>
        <w:rPr>
          <w:rFonts w:ascii="Times New Roman" w:hAnsi="Times New Roman"/>
          <w:b w:val="0"/>
          <w:bCs w:val="0"/>
          <w:caps w:val="0"/>
          <w:color w:val="auto"/>
          <w:sz w:val="28"/>
          <w:szCs w:val="28"/>
          <w:highlight w:val="none"/>
          <w:lang/>
        </w:rPr>
      </w:pPr>
      <w:r>
        <w:rPr>
          <w:rFonts w:ascii="Times New Roman" w:hAnsi="Times New Roman"/>
          <w:b w:val="0"/>
          <w:color w:val="auto"/>
          <w:sz w:val="28"/>
          <w:szCs w:val="28"/>
          <w:highlight w:val="none"/>
          <w:lang/>
        </w:rPr>
        <w:fldChar w:fldCharType="begin"/>
      </w:r>
      <w:r>
        <w:rPr>
          <w:rStyle w:val="90"/>
          <w:rFonts w:ascii="Times New Roman" w:hAnsi="Times New Roman"/>
          <w:b w:val="0"/>
          <w:color w:val="auto"/>
          <w:sz w:val="28"/>
          <w:szCs w:val="28"/>
          <w:highlight w:val="none"/>
          <w:lang/>
        </w:rPr>
        <w:instrText xml:space="preserve"> </w:instrText>
      </w:r>
      <w:r>
        <w:rPr>
          <w:rFonts w:ascii="Times New Roman" w:hAnsi="Times New Roman"/>
          <w:b w:val="0"/>
          <w:color w:val="auto"/>
          <w:sz w:val="28"/>
          <w:szCs w:val="28"/>
          <w:highlight w:val="none"/>
          <w:lang/>
        </w:rPr>
        <w:instrText xml:space="preserve">HYPERLINK \l "_Toc495317672"</w:instrText>
      </w:r>
      <w:r>
        <w:rPr>
          <w:rStyle w:val="90"/>
          <w:rFonts w:ascii="Times New Roman" w:hAnsi="Times New Roman"/>
          <w:b w:val="0"/>
          <w:color w:val="auto"/>
          <w:sz w:val="28"/>
          <w:szCs w:val="28"/>
          <w:highlight w:val="none"/>
          <w:lang/>
        </w:rPr>
        <w:instrText xml:space="preserve"> </w:instrText>
      </w:r>
      <w:r>
        <w:rPr>
          <w:rFonts w:ascii="Times New Roman" w:hAnsi="Times New Roman"/>
          <w:b w:val="0"/>
          <w:color w:val="auto"/>
          <w:sz w:val="28"/>
          <w:szCs w:val="28"/>
          <w:highlight w:val="none"/>
          <w:lang/>
        </w:rPr>
        <w:fldChar w:fldCharType="separate"/>
      </w:r>
      <w:r>
        <w:rPr>
          <w:rStyle w:val="90"/>
          <w:rFonts w:ascii="Times New Roman" w:hAnsi="Times New Roman"/>
          <w:b w:val="0"/>
          <w:color w:val="auto"/>
          <w:sz w:val="28"/>
          <w:szCs w:val="28"/>
          <w:highlight w:val="none"/>
          <w:lang/>
        </w:rPr>
        <w:t>第五章  采购合</w:t>
      </w:r>
      <w:bookmarkStart w:id="0" w:name="_Hlt126677909"/>
      <w:bookmarkStart w:id="1" w:name="_Hlt126677908"/>
      <w:r>
        <w:rPr>
          <w:rStyle w:val="90"/>
          <w:rFonts w:ascii="Times New Roman" w:hAnsi="Times New Roman"/>
          <w:b w:val="0"/>
          <w:color w:val="auto"/>
          <w:sz w:val="28"/>
          <w:szCs w:val="28"/>
          <w:highlight w:val="none"/>
          <w:lang/>
        </w:rPr>
        <w:t>同</w:t>
      </w:r>
      <w:bookmarkEnd w:id="0"/>
      <w:bookmarkEnd w:id="1"/>
      <w:r>
        <w:rPr>
          <w:rFonts w:ascii="Times New Roman" w:hAnsi="Times New Roman"/>
          <w:b w:val="0"/>
          <w:color w:val="auto"/>
          <w:sz w:val="28"/>
          <w:szCs w:val="28"/>
          <w:highlight w:val="none"/>
          <w:lang/>
        </w:rPr>
        <w:tab/>
      </w:r>
      <w:r>
        <w:rPr>
          <w:rFonts w:ascii="Times New Roman" w:hAnsi="Times New Roman"/>
          <w:b w:val="0"/>
          <w:color w:val="auto"/>
          <w:sz w:val="28"/>
          <w:szCs w:val="28"/>
          <w:highlight w:val="none"/>
          <w:lang/>
        </w:rPr>
        <w:fldChar w:fldCharType="begin"/>
      </w:r>
      <w:r>
        <w:rPr>
          <w:rFonts w:ascii="Times New Roman" w:hAnsi="Times New Roman"/>
          <w:b w:val="0"/>
          <w:color w:val="auto"/>
          <w:sz w:val="28"/>
          <w:szCs w:val="28"/>
          <w:highlight w:val="none"/>
          <w:lang/>
        </w:rPr>
        <w:instrText xml:space="preserve"> PAGEREF _Toc495317672 \h </w:instrText>
      </w:r>
      <w:r>
        <w:rPr>
          <w:rFonts w:ascii="Times New Roman" w:hAnsi="Times New Roman"/>
          <w:b w:val="0"/>
          <w:color w:val="auto"/>
          <w:sz w:val="28"/>
          <w:szCs w:val="28"/>
          <w:highlight w:val="none"/>
          <w:lang/>
        </w:rPr>
        <w:fldChar w:fldCharType="separate"/>
      </w:r>
      <w:r>
        <w:rPr>
          <w:rFonts w:ascii="Times New Roman" w:hAnsi="Times New Roman"/>
          <w:b w:val="0"/>
          <w:color w:val="auto"/>
          <w:sz w:val="28"/>
          <w:szCs w:val="28"/>
          <w:highlight w:val="none"/>
          <w:lang/>
        </w:rPr>
        <w:t>34</w:t>
      </w:r>
      <w:r>
        <w:rPr>
          <w:rFonts w:ascii="Times New Roman" w:hAnsi="Times New Roman"/>
          <w:b w:val="0"/>
          <w:color w:val="auto"/>
          <w:sz w:val="28"/>
          <w:szCs w:val="28"/>
          <w:highlight w:val="none"/>
          <w:lang/>
        </w:rPr>
        <w:fldChar w:fldCharType="end"/>
      </w:r>
      <w:r>
        <w:rPr>
          <w:rFonts w:ascii="Times New Roman" w:hAnsi="Times New Roman"/>
          <w:b w:val="0"/>
          <w:color w:val="auto"/>
          <w:sz w:val="28"/>
          <w:szCs w:val="28"/>
          <w:highlight w:val="none"/>
          <w:lang/>
        </w:rPr>
        <w:fldChar w:fldCharType="end"/>
      </w:r>
    </w:p>
    <w:p>
      <w:pPr>
        <w:pStyle w:val="55"/>
        <w:spacing w:line="480" w:lineRule="auto"/>
        <w:rPr>
          <w:rFonts w:ascii="Times New Roman" w:hAnsi="Times New Roman"/>
          <w:b w:val="0"/>
          <w:bCs w:val="0"/>
          <w:caps w:val="0"/>
          <w:color w:val="auto"/>
          <w:sz w:val="28"/>
          <w:szCs w:val="28"/>
          <w:highlight w:val="none"/>
          <w:lang/>
        </w:rPr>
      </w:pPr>
      <w:r>
        <w:rPr>
          <w:rFonts w:ascii="Times New Roman" w:hAnsi="Times New Roman"/>
          <w:b w:val="0"/>
          <w:color w:val="auto"/>
          <w:sz w:val="28"/>
          <w:szCs w:val="28"/>
          <w:highlight w:val="none"/>
          <w:lang/>
        </w:rPr>
        <w:fldChar w:fldCharType="begin"/>
      </w:r>
      <w:r>
        <w:rPr>
          <w:rStyle w:val="90"/>
          <w:rFonts w:ascii="Times New Roman" w:hAnsi="Times New Roman"/>
          <w:b w:val="0"/>
          <w:color w:val="auto"/>
          <w:sz w:val="28"/>
          <w:szCs w:val="28"/>
          <w:highlight w:val="none"/>
          <w:lang/>
        </w:rPr>
        <w:instrText xml:space="preserve"> </w:instrText>
      </w:r>
      <w:r>
        <w:rPr>
          <w:rFonts w:ascii="Times New Roman" w:hAnsi="Times New Roman"/>
          <w:b w:val="0"/>
          <w:color w:val="auto"/>
          <w:sz w:val="28"/>
          <w:szCs w:val="28"/>
          <w:highlight w:val="none"/>
          <w:lang/>
        </w:rPr>
        <w:instrText xml:space="preserve">HYPERLINK \l "_Toc495317673"</w:instrText>
      </w:r>
      <w:r>
        <w:rPr>
          <w:rStyle w:val="90"/>
          <w:rFonts w:ascii="Times New Roman" w:hAnsi="Times New Roman"/>
          <w:b w:val="0"/>
          <w:color w:val="auto"/>
          <w:sz w:val="28"/>
          <w:szCs w:val="28"/>
          <w:highlight w:val="none"/>
          <w:lang/>
        </w:rPr>
        <w:instrText xml:space="preserve"> </w:instrText>
      </w:r>
      <w:r>
        <w:rPr>
          <w:rFonts w:ascii="Times New Roman" w:hAnsi="Times New Roman"/>
          <w:b w:val="0"/>
          <w:color w:val="auto"/>
          <w:sz w:val="28"/>
          <w:szCs w:val="28"/>
          <w:highlight w:val="none"/>
          <w:lang/>
        </w:rPr>
        <w:fldChar w:fldCharType="separate"/>
      </w:r>
      <w:r>
        <w:rPr>
          <w:rStyle w:val="90"/>
          <w:rFonts w:ascii="Times New Roman" w:hAnsi="Times New Roman"/>
          <w:b w:val="0"/>
          <w:color w:val="auto"/>
          <w:sz w:val="28"/>
          <w:szCs w:val="28"/>
          <w:highlight w:val="none"/>
          <w:lang/>
        </w:rPr>
        <w:t>第六章  投标文件格式</w:t>
      </w:r>
      <w:r>
        <w:rPr>
          <w:rFonts w:ascii="Times New Roman" w:hAnsi="Times New Roman"/>
          <w:b w:val="0"/>
          <w:color w:val="auto"/>
          <w:sz w:val="28"/>
          <w:szCs w:val="28"/>
          <w:highlight w:val="none"/>
          <w:lang/>
        </w:rPr>
        <w:tab/>
      </w:r>
      <w:r>
        <w:rPr>
          <w:rFonts w:ascii="Times New Roman" w:hAnsi="Times New Roman"/>
          <w:b w:val="0"/>
          <w:color w:val="auto"/>
          <w:sz w:val="28"/>
          <w:szCs w:val="28"/>
          <w:highlight w:val="none"/>
          <w:lang/>
        </w:rPr>
        <w:fldChar w:fldCharType="begin"/>
      </w:r>
      <w:r>
        <w:rPr>
          <w:rFonts w:ascii="Times New Roman" w:hAnsi="Times New Roman"/>
          <w:b w:val="0"/>
          <w:color w:val="auto"/>
          <w:sz w:val="28"/>
          <w:szCs w:val="28"/>
          <w:highlight w:val="none"/>
          <w:lang/>
        </w:rPr>
        <w:instrText xml:space="preserve"> PAGEREF _Toc495317673 \h </w:instrText>
      </w:r>
      <w:r>
        <w:rPr>
          <w:rFonts w:ascii="Times New Roman" w:hAnsi="Times New Roman"/>
          <w:b w:val="0"/>
          <w:color w:val="auto"/>
          <w:sz w:val="28"/>
          <w:szCs w:val="28"/>
          <w:highlight w:val="none"/>
          <w:lang/>
        </w:rPr>
        <w:fldChar w:fldCharType="separate"/>
      </w:r>
      <w:r>
        <w:rPr>
          <w:rFonts w:ascii="Times New Roman" w:hAnsi="Times New Roman"/>
          <w:b w:val="0"/>
          <w:color w:val="auto"/>
          <w:sz w:val="28"/>
          <w:szCs w:val="28"/>
          <w:highlight w:val="none"/>
          <w:lang/>
        </w:rPr>
        <w:t>40</w:t>
      </w:r>
      <w:r>
        <w:rPr>
          <w:rFonts w:ascii="Times New Roman" w:hAnsi="Times New Roman"/>
          <w:b w:val="0"/>
          <w:color w:val="auto"/>
          <w:sz w:val="28"/>
          <w:szCs w:val="28"/>
          <w:highlight w:val="none"/>
          <w:lang/>
        </w:rPr>
        <w:fldChar w:fldCharType="end"/>
      </w:r>
      <w:r>
        <w:rPr>
          <w:rFonts w:ascii="Times New Roman" w:hAnsi="Times New Roman"/>
          <w:b w:val="0"/>
          <w:color w:val="auto"/>
          <w:sz w:val="28"/>
          <w:szCs w:val="28"/>
          <w:highlight w:val="none"/>
          <w:lang/>
        </w:rPr>
        <w:fldChar w:fldCharType="end"/>
      </w:r>
    </w:p>
    <w:p>
      <w:pPr>
        <w:pStyle w:val="2"/>
        <w:snapToGrid w:val="0"/>
        <w:rPr>
          <w:rFonts w:ascii="Times New Roman" w:hAnsi="Times New Roman" w:eastAsia="宋体"/>
          <w:color w:val="auto"/>
          <w:highlight w:val="none"/>
        </w:rPr>
      </w:pPr>
      <w:r>
        <w:rPr>
          <w:rFonts w:ascii="Times New Roman" w:hAnsi="Times New Roman" w:eastAsia="宋体"/>
          <w:b w:val="0"/>
          <w:bCs/>
          <w:caps/>
          <w:color w:val="auto"/>
          <w:sz w:val="28"/>
          <w:szCs w:val="28"/>
          <w:highlight w:val="none"/>
        </w:rPr>
        <w:fldChar w:fldCharType="end"/>
      </w:r>
      <w:r>
        <w:rPr>
          <w:rFonts w:ascii="Times New Roman" w:hAnsi="Times New Roman" w:eastAsia="宋体"/>
          <w:bCs/>
          <w:caps/>
          <w:color w:val="auto"/>
          <w:sz w:val="24"/>
          <w:highlight w:val="none"/>
        </w:rPr>
        <w:br w:type="page"/>
      </w:r>
      <w:bookmarkStart w:id="2" w:name="_Toc495317667"/>
      <w:bookmarkStart w:id="3" w:name="_Toc293343927"/>
      <w:r>
        <w:rPr>
          <w:rFonts w:ascii="Times New Roman" w:hAnsi="Times New Roman" w:eastAsia="宋体"/>
          <w:color w:val="auto"/>
          <w:highlight w:val="none"/>
        </w:rPr>
        <w:t>第一章  招标公告</w:t>
      </w:r>
      <w:bookmarkEnd w:id="2"/>
      <w:bookmarkEnd w:id="3"/>
    </w:p>
    <w:p>
      <w:pPr>
        <w:spacing w:line="360" w:lineRule="auto"/>
        <w:rPr>
          <w:rFonts w:hint="eastAsia" w:eastAsia="宋体"/>
          <w:color w:val="auto"/>
          <w:highlight w:val="none"/>
          <w:lang w:eastAsia="zh-CN"/>
        </w:rPr>
      </w:pPr>
      <w:r>
        <w:rPr>
          <w:color w:val="auto"/>
          <w:highlight w:val="none"/>
        </w:rPr>
        <w:t>项目概况</w:t>
      </w:r>
      <w:r>
        <w:rPr>
          <w:rFonts w:hint="eastAsia"/>
          <w:color w:val="auto"/>
          <w:highlight w:val="none"/>
          <w:lang w:eastAsia="zh-CN"/>
        </w:rPr>
        <w:t xml:space="preserve">                          </w:t>
      </w:r>
    </w:p>
    <w:p>
      <w:pPr>
        <w:spacing w:line="360" w:lineRule="auto"/>
        <w:rPr>
          <w:rFonts w:hint="eastAsia" w:eastAsia="宋体"/>
          <w:color w:val="auto"/>
          <w:highlight w:val="none"/>
          <w:lang w:eastAsia="zh-CN"/>
        </w:rPr>
      </w:pPr>
      <w:r>
        <w:rPr>
          <w:rFonts w:hint="eastAsia"/>
          <w:color w:val="auto"/>
          <w:highlight w:val="none"/>
        </w:rPr>
        <w:t>温州医科大学附属第二医院鹿城院区（含学院路部、原成人急诊、南浦部）安保外包服务招标项目的潜在投标人应在https://www.zcygov.cn/获取（下载）招标文件，并于</w:t>
      </w:r>
      <w:r>
        <w:rPr>
          <w:rFonts w:hint="eastAsia"/>
          <w:color w:val="auto"/>
          <w:highlight w:val="none"/>
          <w:lang w:eastAsia="zh-CN"/>
        </w:rPr>
        <w:t xml:space="preserve"> 2023年3月24日</w:t>
      </w:r>
      <w:r>
        <w:rPr>
          <w:rFonts w:hint="eastAsia"/>
          <w:color w:val="auto"/>
          <w:highlight w:val="none"/>
        </w:rPr>
        <w:t xml:space="preserve"> 1</w:t>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0（北京时间）前递交（上传）投标文件。</w:t>
      </w:r>
      <w:r>
        <w:rPr>
          <w:rFonts w:hint="eastAsia"/>
          <w:color w:val="auto"/>
          <w:highlight w:val="none"/>
          <w:lang w:eastAsia="zh-CN"/>
        </w:rPr>
        <w:t xml:space="preserve">  </w:t>
      </w:r>
      <w:r>
        <w:rPr>
          <w:rFonts w:hint="eastAsia"/>
          <w:color w:val="auto"/>
          <w:highlight w:val="none"/>
        </w:rPr>
        <w:t xml:space="preserve"> </w:t>
      </w:r>
      <w:r>
        <w:rPr>
          <w:rFonts w:hint="eastAsia"/>
          <w:color w:val="auto"/>
          <w:highlight w:val="none"/>
          <w:lang w:eastAsia="zh-CN"/>
        </w:rPr>
        <w:t xml:space="preserve"> </w:t>
      </w:r>
    </w:p>
    <w:p>
      <w:pPr>
        <w:spacing w:line="360" w:lineRule="auto"/>
        <w:rPr>
          <w:rFonts w:hint="eastAsia" w:eastAsia="宋体"/>
          <w:color w:val="auto"/>
          <w:highlight w:val="none"/>
          <w:lang w:eastAsia="zh-CN"/>
        </w:rPr>
      </w:pPr>
      <w:r>
        <w:rPr>
          <w:color w:val="auto"/>
          <w:highlight w:val="none"/>
        </w:rPr>
        <w:t>一、项目基本情况</w:t>
      </w:r>
      <w:r>
        <w:rPr>
          <w:rFonts w:hint="eastAsia"/>
          <w:color w:val="auto"/>
          <w:highlight w:val="none"/>
          <w:lang w:eastAsia="zh-CN"/>
        </w:rPr>
        <w:t xml:space="preserve">                      </w:t>
      </w:r>
    </w:p>
    <w:p>
      <w:pPr>
        <w:spacing w:line="360" w:lineRule="auto"/>
        <w:rPr>
          <w:rFonts w:hint="eastAsia" w:eastAsia="宋体"/>
          <w:color w:val="auto"/>
          <w:highlight w:val="none"/>
          <w:lang w:eastAsia="zh-CN"/>
        </w:rPr>
      </w:pPr>
      <w:r>
        <w:rPr>
          <w:rFonts w:hint="eastAsia"/>
          <w:color w:val="auto"/>
          <w:highlight w:val="none"/>
          <w:lang w:eastAsia="zh-CN"/>
        </w:rPr>
        <w:t xml:space="preserve">  </w:t>
      </w:r>
      <w:r>
        <w:rPr>
          <w:rFonts w:hint="eastAsia"/>
          <w:color w:val="auto"/>
          <w:highlight w:val="none"/>
        </w:rPr>
        <w:t>项目编号：</w:t>
      </w:r>
      <w:r>
        <w:rPr>
          <w:rFonts w:hint="eastAsia"/>
          <w:color w:val="auto"/>
          <w:highlight w:val="none"/>
          <w:lang w:eastAsia="zh-CN"/>
        </w:rPr>
        <w:t xml:space="preserve">ZJ-2370095-16 </w:t>
      </w:r>
    </w:p>
    <w:p>
      <w:pPr>
        <w:spacing w:line="360" w:lineRule="auto"/>
        <w:rPr>
          <w:rFonts w:hint="eastAsia"/>
          <w:color w:val="auto"/>
          <w:highlight w:val="none"/>
        </w:rPr>
      </w:pPr>
      <w:r>
        <w:rPr>
          <w:rFonts w:hint="eastAsia"/>
          <w:color w:val="auto"/>
          <w:highlight w:val="none"/>
          <w:lang w:eastAsia="zh-CN"/>
        </w:rPr>
        <w:t xml:space="preserve">  </w:t>
      </w:r>
      <w:r>
        <w:rPr>
          <w:rFonts w:hint="eastAsia"/>
          <w:color w:val="auto"/>
          <w:highlight w:val="none"/>
        </w:rPr>
        <w:t>项目名称：温州医科大学附属第二医院鹿城院区（含学院路部、原成人急诊、南浦部）安保外包服务</w:t>
      </w:r>
    </w:p>
    <w:p>
      <w:pPr>
        <w:spacing w:line="360" w:lineRule="auto"/>
        <w:rPr>
          <w:color w:val="auto"/>
          <w:highlight w:val="none"/>
        </w:rPr>
      </w:pPr>
      <w:r>
        <w:rPr>
          <w:rFonts w:hint="eastAsia"/>
          <w:color w:val="auto"/>
          <w:highlight w:val="none"/>
          <w:lang w:eastAsia="zh-CN"/>
        </w:rPr>
        <w:t xml:space="preserve">  </w:t>
      </w:r>
      <w:r>
        <w:rPr>
          <w:rFonts w:hint="eastAsia"/>
          <w:color w:val="auto"/>
          <w:highlight w:val="none"/>
        </w:rPr>
        <w:t xml:space="preserve">预算金额（元）： </w:t>
      </w:r>
      <w:r>
        <w:rPr>
          <w:rFonts w:hint="eastAsia"/>
          <w:color w:val="auto"/>
          <w:highlight w:val="none"/>
          <w:lang w:val="en-US" w:eastAsia="zh-CN"/>
        </w:rPr>
        <w:t>768</w:t>
      </w:r>
      <w:r>
        <w:rPr>
          <w:rFonts w:hint="eastAsia"/>
          <w:color w:val="auto"/>
          <w:highlight w:val="none"/>
        </w:rPr>
        <w:t>万</w:t>
      </w:r>
    </w:p>
    <w:p>
      <w:pPr>
        <w:spacing w:line="360" w:lineRule="auto"/>
        <w:rPr>
          <w:rFonts w:hint="eastAsia" w:eastAsia="宋体"/>
          <w:color w:val="auto"/>
          <w:highlight w:val="none"/>
          <w:lang w:eastAsia="zh-CN"/>
        </w:rPr>
      </w:pPr>
      <w:r>
        <w:rPr>
          <w:rFonts w:hint="eastAsia"/>
          <w:color w:val="auto"/>
          <w:highlight w:val="none"/>
          <w:lang w:eastAsia="zh-CN"/>
        </w:rPr>
        <w:t xml:space="preserve">  </w:t>
      </w:r>
      <w:r>
        <w:rPr>
          <w:rFonts w:hint="eastAsia"/>
          <w:color w:val="auto"/>
          <w:highlight w:val="none"/>
        </w:rPr>
        <w:t>最高限价（元）：/</w:t>
      </w:r>
      <w:r>
        <w:rPr>
          <w:rFonts w:hint="eastAsia"/>
          <w:color w:val="auto"/>
          <w:highlight w:val="none"/>
          <w:lang w:eastAsia="zh-CN"/>
        </w:rPr>
        <w:t xml:space="preserve"> </w:t>
      </w:r>
    </w:p>
    <w:p>
      <w:pPr>
        <w:spacing w:line="360" w:lineRule="auto"/>
        <w:rPr>
          <w:rFonts w:hint="eastAsia"/>
          <w:color w:val="auto"/>
          <w:highlight w:val="none"/>
        </w:rPr>
      </w:pPr>
      <w:r>
        <w:rPr>
          <w:rFonts w:hint="eastAsia"/>
          <w:color w:val="auto"/>
          <w:highlight w:val="none"/>
          <w:lang w:eastAsia="zh-CN"/>
        </w:rPr>
        <w:t xml:space="preserve">  </w:t>
      </w:r>
      <w:r>
        <w:rPr>
          <w:rFonts w:hint="eastAsia"/>
          <w:color w:val="auto"/>
          <w:highlight w:val="none"/>
        </w:rPr>
        <w:t>采购需求：两年</w:t>
      </w:r>
    </w:p>
    <w:p>
      <w:pPr>
        <w:spacing w:line="360" w:lineRule="auto"/>
        <w:rPr>
          <w:rFonts w:hint="eastAsia" w:eastAsia="宋体"/>
          <w:color w:val="auto"/>
          <w:highlight w:val="none"/>
          <w:lang w:eastAsia="zh-CN"/>
        </w:rPr>
      </w:pPr>
      <w:r>
        <w:rPr>
          <w:rFonts w:hint="eastAsia"/>
          <w:color w:val="auto"/>
          <w:highlight w:val="none"/>
          <w:lang w:eastAsia="zh-CN"/>
        </w:rPr>
        <w:t xml:space="preserve">  </w:t>
      </w:r>
      <w:r>
        <w:rPr>
          <w:rFonts w:hint="eastAsia"/>
          <w:color w:val="auto"/>
          <w:highlight w:val="none"/>
        </w:rPr>
        <w:br w:type="textWrapping"/>
      </w:r>
      <w:r>
        <w:rPr>
          <w:rFonts w:hint="eastAsia"/>
          <w:color w:val="auto"/>
          <w:highlight w:val="none"/>
          <w:lang w:eastAsia="zh-CN"/>
        </w:rPr>
        <w:t xml:space="preserve">  </w:t>
      </w:r>
      <w:r>
        <w:rPr>
          <w:rFonts w:hint="eastAsia"/>
          <w:color w:val="auto"/>
          <w:highlight w:val="none"/>
        </w:rPr>
        <w:t>标项名称:</w:t>
      </w:r>
      <w:r>
        <w:rPr>
          <w:rFonts w:hint="eastAsia"/>
          <w:color w:val="auto"/>
          <w:highlight w:val="none"/>
          <w:lang w:eastAsia="zh-CN"/>
        </w:rPr>
        <w:t xml:space="preserve"> </w:t>
      </w:r>
      <w:r>
        <w:rPr>
          <w:rFonts w:hint="eastAsia"/>
          <w:color w:val="auto"/>
          <w:highlight w:val="none"/>
        </w:rPr>
        <w:t>鹿城院区（含学院路部、原成人急诊、南浦部）安保外包服务</w:t>
      </w:r>
      <w:r>
        <w:rPr>
          <w:rFonts w:hint="eastAsia"/>
          <w:color w:val="auto"/>
          <w:highlight w:val="none"/>
          <w:lang w:eastAsia="zh-CN"/>
        </w:rPr>
        <w:t xml:space="preserve"> </w:t>
      </w:r>
      <w:r>
        <w:rPr>
          <w:rFonts w:hint="eastAsia"/>
          <w:color w:val="auto"/>
          <w:highlight w:val="none"/>
        </w:rPr>
        <w:br w:type="textWrapping"/>
      </w:r>
      <w:r>
        <w:rPr>
          <w:rFonts w:hint="eastAsia"/>
          <w:color w:val="auto"/>
          <w:highlight w:val="none"/>
          <w:lang w:eastAsia="zh-CN"/>
        </w:rPr>
        <w:t xml:space="preserve">  </w:t>
      </w:r>
      <w:r>
        <w:rPr>
          <w:rFonts w:hint="eastAsia"/>
          <w:color w:val="auto"/>
          <w:highlight w:val="none"/>
        </w:rPr>
        <w:t>数量:</w:t>
      </w:r>
      <w:r>
        <w:rPr>
          <w:rFonts w:hint="eastAsia"/>
          <w:color w:val="auto"/>
          <w:highlight w:val="none"/>
          <w:lang w:eastAsia="zh-CN"/>
        </w:rPr>
        <w:t xml:space="preserve"> </w:t>
      </w:r>
      <w:r>
        <w:rPr>
          <w:rFonts w:hint="eastAsia"/>
          <w:color w:val="auto"/>
          <w:highlight w:val="none"/>
        </w:rPr>
        <w:t>1项</w:t>
      </w:r>
      <w:r>
        <w:rPr>
          <w:rFonts w:hint="eastAsia"/>
          <w:color w:val="auto"/>
          <w:highlight w:val="none"/>
          <w:lang w:eastAsia="zh-CN"/>
        </w:rPr>
        <w:t xml:space="preserve"> </w:t>
      </w:r>
      <w:r>
        <w:rPr>
          <w:rFonts w:hint="eastAsia"/>
          <w:color w:val="auto"/>
          <w:highlight w:val="none"/>
        </w:rPr>
        <w:br w:type="textWrapping"/>
      </w:r>
      <w:r>
        <w:rPr>
          <w:rFonts w:hint="eastAsia"/>
          <w:color w:val="auto"/>
          <w:highlight w:val="none"/>
          <w:lang w:eastAsia="zh-CN"/>
        </w:rPr>
        <w:t xml:space="preserve">  </w:t>
      </w:r>
      <w:r>
        <w:rPr>
          <w:rFonts w:hint="eastAsia"/>
          <w:color w:val="auto"/>
          <w:highlight w:val="none"/>
        </w:rPr>
        <w:t>预算金额（元）:</w:t>
      </w:r>
      <w:r>
        <w:rPr>
          <w:rFonts w:hint="eastAsia"/>
          <w:color w:val="auto"/>
          <w:highlight w:val="none"/>
          <w:lang w:eastAsia="zh-CN"/>
        </w:rPr>
        <w:t xml:space="preserve"> </w:t>
      </w:r>
      <w:r>
        <w:rPr>
          <w:rFonts w:hint="eastAsia"/>
          <w:color w:val="auto"/>
          <w:highlight w:val="none"/>
        </w:rPr>
        <w:t xml:space="preserve"> </w:t>
      </w:r>
      <w:r>
        <w:rPr>
          <w:rFonts w:hint="eastAsia"/>
          <w:color w:val="auto"/>
          <w:highlight w:val="none"/>
          <w:lang w:val="en-US" w:eastAsia="zh-CN"/>
        </w:rPr>
        <w:t>768</w:t>
      </w:r>
      <w:r>
        <w:rPr>
          <w:rFonts w:hint="eastAsia"/>
          <w:color w:val="auto"/>
          <w:highlight w:val="none"/>
        </w:rPr>
        <w:t>万</w:t>
      </w:r>
      <w:r>
        <w:rPr>
          <w:rFonts w:hint="eastAsia"/>
          <w:color w:val="auto"/>
          <w:highlight w:val="none"/>
        </w:rPr>
        <w:br w:type="textWrapping"/>
      </w:r>
      <w:r>
        <w:rPr>
          <w:rFonts w:hint="eastAsia"/>
          <w:color w:val="auto"/>
          <w:highlight w:val="none"/>
          <w:lang w:eastAsia="zh-CN"/>
        </w:rPr>
        <w:t xml:space="preserve">  </w:t>
      </w:r>
      <w:r>
        <w:rPr>
          <w:rFonts w:hint="eastAsia"/>
          <w:color w:val="auto"/>
          <w:highlight w:val="none"/>
        </w:rPr>
        <w:t>简要规格描述或项目基本概况介绍、用途：详见采购文件</w:t>
      </w:r>
      <w:r>
        <w:rPr>
          <w:rFonts w:hint="eastAsia"/>
          <w:color w:val="auto"/>
          <w:highlight w:val="none"/>
          <w:lang w:eastAsia="zh-CN"/>
        </w:rPr>
        <w:t xml:space="preserve"> </w:t>
      </w:r>
      <w:r>
        <w:rPr>
          <w:rFonts w:hint="eastAsia"/>
          <w:color w:val="auto"/>
          <w:highlight w:val="none"/>
        </w:rPr>
        <w:br w:type="textWrapping"/>
      </w:r>
      <w:r>
        <w:rPr>
          <w:rFonts w:hint="eastAsia"/>
          <w:color w:val="auto"/>
          <w:highlight w:val="none"/>
          <w:lang w:eastAsia="zh-CN"/>
        </w:rPr>
        <w:t xml:space="preserve">  </w:t>
      </w:r>
      <w:r>
        <w:rPr>
          <w:rFonts w:hint="eastAsia"/>
          <w:color w:val="auto"/>
          <w:highlight w:val="none"/>
        </w:rPr>
        <w:t>备注：</w:t>
      </w:r>
      <w:r>
        <w:rPr>
          <w:rFonts w:hint="eastAsia"/>
          <w:color w:val="auto"/>
          <w:highlight w:val="none"/>
          <w:lang w:eastAsia="zh-CN"/>
        </w:rPr>
        <w:t xml:space="preserve"> </w:t>
      </w:r>
    </w:p>
    <w:p>
      <w:pPr>
        <w:spacing w:line="360" w:lineRule="auto"/>
        <w:rPr>
          <w:color w:val="auto"/>
          <w:highlight w:val="none"/>
        </w:rPr>
      </w:pPr>
      <w:r>
        <w:rPr>
          <w:rFonts w:hint="eastAsia"/>
          <w:color w:val="auto"/>
          <w:highlight w:val="none"/>
          <w:lang w:eastAsia="zh-CN"/>
        </w:rPr>
        <w:t xml:space="preserve">  </w:t>
      </w:r>
      <w:r>
        <w:rPr>
          <w:rFonts w:hint="eastAsia"/>
          <w:color w:val="auto"/>
          <w:highlight w:val="none"/>
        </w:rPr>
        <w:t>合同履约期限：标项 1，按采购文件要求</w:t>
      </w:r>
    </w:p>
    <w:p>
      <w:pPr>
        <w:spacing w:line="360" w:lineRule="auto"/>
        <w:rPr>
          <w:color w:val="auto"/>
          <w:highlight w:val="none"/>
        </w:rPr>
      </w:pPr>
      <w:r>
        <w:rPr>
          <w:rFonts w:hint="eastAsia"/>
          <w:color w:val="auto"/>
          <w:highlight w:val="none"/>
          <w:lang w:eastAsia="zh-CN"/>
        </w:rPr>
        <w:t xml:space="preserve">  </w:t>
      </w:r>
      <w:r>
        <w:rPr>
          <w:rFonts w:hint="eastAsia"/>
          <w:color w:val="auto"/>
          <w:highlight w:val="none"/>
        </w:rPr>
        <w:t>本项目（是）接受联合体投标。</w:t>
      </w:r>
    </w:p>
    <w:p>
      <w:pPr>
        <w:spacing w:line="360" w:lineRule="auto"/>
        <w:rPr>
          <w:color w:val="auto"/>
          <w:highlight w:val="none"/>
        </w:rPr>
      </w:pPr>
      <w:r>
        <w:rPr>
          <w:color w:val="auto"/>
          <w:highlight w:val="none"/>
        </w:rPr>
        <w:t>二、申请人的资格要求：</w:t>
      </w:r>
    </w:p>
    <w:p>
      <w:pPr>
        <w:spacing w:line="360" w:lineRule="auto"/>
        <w:rPr>
          <w:color w:val="auto"/>
          <w:highlight w:val="none"/>
        </w:rPr>
      </w:pPr>
      <w:r>
        <w:rPr>
          <w:rFonts w:hint="eastAsia"/>
          <w:color w:val="auto"/>
          <w:highlight w:val="none"/>
          <w:lang w:eastAsia="zh-CN"/>
        </w:rPr>
        <w:t xml:space="preserve">  </w:t>
      </w:r>
      <w:r>
        <w:rPr>
          <w:rFonts w:hint="eastAsia"/>
          <w:color w:val="auto"/>
          <w:highlight w:val="none"/>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hint="eastAsia" w:eastAsia="宋体"/>
          <w:color w:val="auto"/>
          <w:highlight w:val="none"/>
          <w:lang w:eastAsia="zh-CN"/>
        </w:rPr>
      </w:pPr>
      <w:r>
        <w:rPr>
          <w:rFonts w:hint="eastAsia"/>
          <w:color w:val="auto"/>
          <w:highlight w:val="none"/>
          <w:lang w:eastAsia="zh-CN"/>
        </w:rPr>
        <w:t xml:space="preserve">  </w:t>
      </w:r>
      <w:r>
        <w:rPr>
          <w:rFonts w:hint="eastAsia"/>
          <w:color w:val="auto"/>
          <w:highlight w:val="none"/>
        </w:rPr>
        <w:t>2.落实政府采购政策需满足的资格要求：标项1：供应商为中小企业或小微企业，本项目专门面向中小企业采购（监狱企业及残疾人福利性单位视同小型、微型企业）</w:t>
      </w:r>
      <w:r>
        <w:rPr>
          <w:rFonts w:hint="eastAsia"/>
          <w:color w:val="auto"/>
          <w:highlight w:val="none"/>
          <w:lang w:eastAsia="zh-CN"/>
        </w:rPr>
        <w:t xml:space="preserve"> </w:t>
      </w:r>
    </w:p>
    <w:p>
      <w:pPr>
        <w:spacing w:line="360" w:lineRule="auto"/>
        <w:rPr>
          <w:rFonts w:hint="eastAsia" w:eastAsia="宋体"/>
          <w:color w:val="auto"/>
          <w:highlight w:val="none"/>
          <w:lang w:eastAsia="zh-CN"/>
        </w:rPr>
      </w:pPr>
      <w:r>
        <w:rPr>
          <w:rFonts w:hint="eastAsia"/>
          <w:color w:val="auto"/>
          <w:highlight w:val="none"/>
          <w:lang w:eastAsia="zh-CN"/>
        </w:rPr>
        <w:t xml:space="preserve">  </w:t>
      </w:r>
      <w:r>
        <w:rPr>
          <w:rFonts w:hint="eastAsia"/>
          <w:color w:val="auto"/>
          <w:highlight w:val="none"/>
        </w:rPr>
        <w:t>3.本项目的特定资格要求：</w:t>
      </w:r>
      <w:r>
        <w:rPr>
          <w:rFonts w:hint="eastAsia"/>
          <w:color w:val="auto"/>
          <w:kern w:val="0"/>
          <w:szCs w:val="21"/>
          <w:highlight w:val="none"/>
        </w:rPr>
        <w:t>无；</w:t>
      </w:r>
      <w:r>
        <w:rPr>
          <w:rFonts w:hint="eastAsia"/>
          <w:color w:val="auto"/>
          <w:highlight w:val="none"/>
          <w:lang w:eastAsia="zh-CN"/>
        </w:rPr>
        <w:t xml:space="preserve"> </w:t>
      </w:r>
    </w:p>
    <w:p>
      <w:pPr>
        <w:spacing w:line="360" w:lineRule="auto"/>
        <w:rPr>
          <w:rFonts w:hint="eastAsia" w:eastAsia="宋体"/>
          <w:color w:val="auto"/>
          <w:highlight w:val="none"/>
          <w:lang w:eastAsia="zh-CN"/>
        </w:rPr>
      </w:pPr>
      <w:r>
        <w:rPr>
          <w:color w:val="auto"/>
          <w:highlight w:val="none"/>
        </w:rPr>
        <w:t>三、获取招标文件</w:t>
      </w:r>
      <w:r>
        <w:rPr>
          <w:rFonts w:hint="eastAsia"/>
          <w:color w:val="auto"/>
          <w:highlight w:val="none"/>
          <w:lang w:eastAsia="zh-CN"/>
        </w:rPr>
        <w:t xml:space="preserve"> </w:t>
      </w:r>
    </w:p>
    <w:p>
      <w:pPr>
        <w:spacing w:line="360" w:lineRule="auto"/>
        <w:rPr>
          <w:color w:val="auto"/>
          <w:highlight w:val="none"/>
        </w:rPr>
      </w:pPr>
      <w:r>
        <w:rPr>
          <w:rFonts w:hint="eastAsia"/>
          <w:color w:val="auto"/>
          <w:highlight w:val="none"/>
          <w:lang w:eastAsia="zh-CN"/>
        </w:rPr>
        <w:t xml:space="preserve">  </w:t>
      </w:r>
      <w:r>
        <w:rPr>
          <w:rFonts w:hint="eastAsia"/>
          <w:color w:val="auto"/>
          <w:highlight w:val="none"/>
        </w:rPr>
        <w:t>时间：/至2023年</w:t>
      </w:r>
      <w:r>
        <w:rPr>
          <w:rFonts w:hint="eastAsia"/>
          <w:color w:val="auto"/>
          <w:highlight w:val="none"/>
          <w:lang w:eastAsia="zh-CN"/>
        </w:rPr>
        <w:t>3月24日</w:t>
      </w:r>
      <w:r>
        <w:rPr>
          <w:rFonts w:hint="eastAsia"/>
          <w:color w:val="auto"/>
          <w:highlight w:val="none"/>
        </w:rPr>
        <w:t>，每天上午00:00至12:00</w:t>
      </w:r>
      <w:r>
        <w:rPr>
          <w:rFonts w:hint="eastAsia"/>
          <w:color w:val="auto"/>
          <w:highlight w:val="none"/>
          <w:lang w:eastAsia="zh-CN"/>
        </w:rPr>
        <w:t xml:space="preserve"> </w:t>
      </w:r>
      <w:r>
        <w:rPr>
          <w:rFonts w:hint="eastAsia"/>
          <w:color w:val="auto"/>
          <w:highlight w:val="none"/>
        </w:rPr>
        <w:t>，下午12:00至23:59（北京时间，线上获取法定节假日均可，线下获取文件法定节假日除外）</w:t>
      </w:r>
    </w:p>
    <w:p>
      <w:pPr>
        <w:spacing w:line="360" w:lineRule="auto"/>
        <w:rPr>
          <w:rFonts w:hint="eastAsia" w:eastAsia="宋体"/>
          <w:color w:val="auto"/>
          <w:highlight w:val="none"/>
          <w:lang w:eastAsia="zh-CN"/>
        </w:rPr>
      </w:pPr>
      <w:r>
        <w:rPr>
          <w:rFonts w:hint="eastAsia"/>
          <w:color w:val="auto"/>
          <w:highlight w:val="none"/>
          <w:lang w:eastAsia="zh-CN"/>
        </w:rPr>
        <w:t xml:space="preserve">  </w:t>
      </w:r>
      <w:r>
        <w:rPr>
          <w:rFonts w:hint="eastAsia"/>
          <w:color w:val="auto"/>
          <w:highlight w:val="none"/>
        </w:rPr>
        <w:t>地点（网址）：https://www.zcygov.cn/</w:t>
      </w:r>
      <w:r>
        <w:rPr>
          <w:rFonts w:hint="eastAsia"/>
          <w:color w:val="auto"/>
          <w:highlight w:val="none"/>
          <w:lang w:eastAsia="zh-CN"/>
        </w:rPr>
        <w:t xml:space="preserve"> </w:t>
      </w:r>
    </w:p>
    <w:p>
      <w:pPr>
        <w:spacing w:line="360" w:lineRule="auto"/>
        <w:rPr>
          <w:rFonts w:hint="eastAsia" w:eastAsia="宋体"/>
          <w:color w:val="auto"/>
          <w:highlight w:val="none"/>
          <w:lang w:eastAsia="zh-CN"/>
        </w:rPr>
      </w:pPr>
      <w:r>
        <w:rPr>
          <w:rFonts w:hint="eastAsia"/>
          <w:color w:val="auto"/>
          <w:highlight w:val="none"/>
          <w:lang w:eastAsia="zh-CN"/>
        </w:rPr>
        <w:t xml:space="preserve">  </w:t>
      </w:r>
      <w:r>
        <w:rPr>
          <w:rFonts w:hint="eastAsia"/>
          <w:color w:val="auto"/>
          <w:highlight w:val="none"/>
        </w:rPr>
        <w:t>方式：供应商登录政采云平台https://www.zcygov.cn/在线申请获取采购文件（进入“项目采购”应用，在获取采购文件菜单中选择项目，申请获取采购文件）</w:t>
      </w:r>
      <w:r>
        <w:rPr>
          <w:rFonts w:hint="eastAsia"/>
          <w:color w:val="auto"/>
          <w:highlight w:val="none"/>
          <w:lang w:eastAsia="zh-CN"/>
        </w:rPr>
        <w:t xml:space="preserve"> </w:t>
      </w:r>
    </w:p>
    <w:p>
      <w:pPr>
        <w:spacing w:line="360" w:lineRule="auto"/>
        <w:rPr>
          <w:rFonts w:hint="eastAsia" w:eastAsia="宋体"/>
          <w:color w:val="auto"/>
          <w:highlight w:val="none"/>
          <w:lang w:eastAsia="zh-CN"/>
        </w:rPr>
      </w:pPr>
      <w:r>
        <w:rPr>
          <w:rFonts w:hint="eastAsia"/>
          <w:color w:val="auto"/>
          <w:highlight w:val="none"/>
          <w:lang w:eastAsia="zh-CN"/>
        </w:rPr>
        <w:t xml:space="preserve">  </w:t>
      </w:r>
      <w:r>
        <w:rPr>
          <w:rFonts w:hint="eastAsia"/>
          <w:color w:val="auto"/>
          <w:highlight w:val="none"/>
        </w:rPr>
        <w:t>售价（元）：0</w:t>
      </w:r>
      <w:r>
        <w:rPr>
          <w:rFonts w:hint="eastAsia"/>
          <w:color w:val="auto"/>
          <w:highlight w:val="none"/>
          <w:lang w:eastAsia="zh-CN"/>
        </w:rPr>
        <w:t xml:space="preserve"> </w:t>
      </w:r>
    </w:p>
    <w:p>
      <w:pPr>
        <w:spacing w:line="360" w:lineRule="auto"/>
        <w:rPr>
          <w:color w:val="auto"/>
          <w:highlight w:val="none"/>
        </w:rPr>
      </w:pPr>
      <w:r>
        <w:rPr>
          <w:color w:val="auto"/>
          <w:highlight w:val="none"/>
        </w:rPr>
        <w:t>四、提交投标文件截止时间、开标时间和地点</w:t>
      </w:r>
    </w:p>
    <w:p>
      <w:pPr>
        <w:spacing w:line="360" w:lineRule="auto"/>
        <w:rPr>
          <w:color w:val="auto"/>
          <w:highlight w:val="none"/>
        </w:rPr>
      </w:pPr>
      <w:r>
        <w:rPr>
          <w:rFonts w:hint="eastAsia"/>
          <w:color w:val="auto"/>
          <w:highlight w:val="none"/>
          <w:lang w:eastAsia="zh-CN"/>
        </w:rPr>
        <w:t xml:space="preserve">  </w:t>
      </w:r>
      <w:r>
        <w:rPr>
          <w:rFonts w:hint="eastAsia"/>
          <w:color w:val="auto"/>
          <w:highlight w:val="none"/>
        </w:rPr>
        <w:t>提交投标文件截止时间：</w:t>
      </w:r>
      <w:r>
        <w:rPr>
          <w:rFonts w:hint="eastAsia"/>
          <w:color w:val="auto"/>
          <w:highlight w:val="none"/>
          <w:lang w:eastAsia="zh-CN"/>
        </w:rPr>
        <w:t>3月24日</w:t>
      </w:r>
      <w:r>
        <w:rPr>
          <w:rFonts w:hint="eastAsia"/>
          <w:color w:val="auto"/>
          <w:highlight w:val="none"/>
        </w:rPr>
        <w:t xml:space="preserve"> 1</w:t>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0（北京时间）</w:t>
      </w:r>
    </w:p>
    <w:p>
      <w:pPr>
        <w:spacing w:line="360" w:lineRule="auto"/>
        <w:rPr>
          <w:rFonts w:hint="eastAsia" w:eastAsia="宋体"/>
          <w:color w:val="auto"/>
          <w:highlight w:val="none"/>
          <w:lang w:eastAsia="zh-CN"/>
        </w:rPr>
      </w:pPr>
      <w:r>
        <w:rPr>
          <w:rFonts w:hint="eastAsia"/>
          <w:color w:val="auto"/>
          <w:highlight w:val="none"/>
          <w:lang w:eastAsia="zh-CN"/>
        </w:rPr>
        <w:t xml:space="preserve">  </w:t>
      </w:r>
      <w:r>
        <w:rPr>
          <w:rFonts w:hint="eastAsia"/>
          <w:color w:val="auto"/>
          <w:highlight w:val="none"/>
        </w:rPr>
        <w:t>投标地点（网址）：线上（政府采购云平台（www.zcygov.cn））</w:t>
      </w:r>
      <w:r>
        <w:rPr>
          <w:rFonts w:hint="eastAsia"/>
          <w:color w:val="auto"/>
          <w:highlight w:val="none"/>
          <w:lang w:eastAsia="zh-CN"/>
        </w:rPr>
        <w:t xml:space="preserve"> </w:t>
      </w:r>
    </w:p>
    <w:p>
      <w:pPr>
        <w:spacing w:line="360" w:lineRule="auto"/>
        <w:rPr>
          <w:color w:val="auto"/>
          <w:highlight w:val="none"/>
        </w:rPr>
      </w:pPr>
      <w:r>
        <w:rPr>
          <w:rFonts w:hint="eastAsia"/>
          <w:color w:val="auto"/>
          <w:highlight w:val="none"/>
          <w:lang w:eastAsia="zh-CN"/>
        </w:rPr>
        <w:t xml:space="preserve">  </w:t>
      </w:r>
      <w:r>
        <w:rPr>
          <w:rFonts w:hint="eastAsia"/>
          <w:color w:val="auto"/>
          <w:highlight w:val="none"/>
        </w:rPr>
        <w:t>开标时间：</w:t>
      </w:r>
      <w:r>
        <w:rPr>
          <w:rFonts w:hint="eastAsia"/>
          <w:color w:val="auto"/>
          <w:highlight w:val="none"/>
          <w:lang w:eastAsia="zh-CN"/>
        </w:rPr>
        <w:t>3月24日</w:t>
      </w:r>
      <w:r>
        <w:rPr>
          <w:rFonts w:hint="eastAsia"/>
          <w:color w:val="auto"/>
          <w:highlight w:val="none"/>
        </w:rPr>
        <w:t xml:space="preserve"> 1</w:t>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0</w:t>
      </w:r>
    </w:p>
    <w:p>
      <w:pPr>
        <w:spacing w:line="360" w:lineRule="auto"/>
        <w:rPr>
          <w:rFonts w:hint="eastAsia" w:eastAsia="宋体"/>
          <w:color w:val="auto"/>
          <w:highlight w:val="none"/>
          <w:lang w:eastAsia="zh-CN"/>
        </w:rPr>
      </w:pPr>
      <w:r>
        <w:rPr>
          <w:rFonts w:hint="eastAsia"/>
          <w:color w:val="auto"/>
          <w:highlight w:val="none"/>
          <w:lang w:eastAsia="zh-CN"/>
        </w:rPr>
        <w:t xml:space="preserve">  </w:t>
      </w:r>
      <w:r>
        <w:rPr>
          <w:rFonts w:hint="eastAsia"/>
          <w:color w:val="auto"/>
          <w:highlight w:val="none"/>
        </w:rPr>
        <w:t>开标地点（网址）：线上（政府采购云平台（www.zcygov.cn））</w:t>
      </w:r>
      <w:r>
        <w:rPr>
          <w:rFonts w:hint="eastAsia"/>
          <w:color w:val="auto"/>
          <w:highlight w:val="none"/>
          <w:lang w:eastAsia="zh-CN"/>
        </w:rPr>
        <w:t xml:space="preserve">  </w:t>
      </w:r>
    </w:p>
    <w:p>
      <w:pPr>
        <w:spacing w:line="360" w:lineRule="auto"/>
        <w:rPr>
          <w:rFonts w:hint="eastAsia" w:eastAsia="宋体"/>
          <w:color w:val="auto"/>
          <w:highlight w:val="none"/>
          <w:lang w:eastAsia="zh-CN"/>
        </w:rPr>
      </w:pPr>
      <w:r>
        <w:rPr>
          <w:color w:val="auto"/>
          <w:highlight w:val="none"/>
        </w:rPr>
        <w:t>五、公告期限</w:t>
      </w:r>
      <w:r>
        <w:rPr>
          <w:rFonts w:hint="eastAsia"/>
          <w:color w:val="auto"/>
          <w:highlight w:val="none"/>
          <w:lang w:eastAsia="zh-CN"/>
        </w:rPr>
        <w:t xml:space="preserve"> </w:t>
      </w:r>
    </w:p>
    <w:p>
      <w:pPr>
        <w:spacing w:line="360" w:lineRule="auto"/>
        <w:rPr>
          <w:color w:val="auto"/>
          <w:highlight w:val="none"/>
        </w:rPr>
      </w:pPr>
      <w:r>
        <w:rPr>
          <w:rFonts w:hint="eastAsia"/>
          <w:color w:val="auto"/>
          <w:highlight w:val="none"/>
          <w:lang w:eastAsia="zh-CN"/>
        </w:rPr>
        <w:t xml:space="preserve">  </w:t>
      </w:r>
      <w:r>
        <w:rPr>
          <w:rFonts w:hint="eastAsia"/>
          <w:color w:val="auto"/>
          <w:highlight w:val="none"/>
        </w:rPr>
        <w:t>自本公告发布之日起5个工作日。</w:t>
      </w:r>
    </w:p>
    <w:p>
      <w:pPr>
        <w:spacing w:line="360" w:lineRule="auto"/>
        <w:rPr>
          <w:color w:val="auto"/>
          <w:highlight w:val="none"/>
        </w:rPr>
      </w:pPr>
      <w:r>
        <w:rPr>
          <w:color w:val="auto"/>
          <w:highlight w:val="none"/>
        </w:rPr>
        <w:t>六、其他补充事宜</w:t>
      </w:r>
    </w:p>
    <w:p>
      <w:pPr>
        <w:spacing w:line="360" w:lineRule="auto"/>
        <w:rPr>
          <w:color w:val="auto"/>
          <w:highlight w:val="none"/>
        </w:rPr>
      </w:pPr>
      <w:r>
        <w:rPr>
          <w:rFonts w:hint="eastAsia"/>
          <w:color w:val="auto"/>
          <w:highlight w:val="none"/>
          <w:lang w:eastAsia="zh-CN"/>
        </w:rPr>
        <w:t xml:space="preserve">  </w:t>
      </w:r>
      <w:r>
        <w:rPr>
          <w:rFonts w:hint="eastAsia"/>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rPr>
          <w:color w:val="auto"/>
          <w:highlight w:val="none"/>
        </w:rPr>
      </w:pPr>
      <w:r>
        <w:rPr>
          <w:rFonts w:hint="eastAsia"/>
          <w:color w:val="auto"/>
          <w:highlight w:val="none"/>
          <w:lang w:eastAsia="zh-CN"/>
        </w:rPr>
        <w:t xml:space="preserve">  </w:t>
      </w:r>
      <w:r>
        <w:rPr>
          <w:rFonts w:hint="eastAsia"/>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eastAsia" w:eastAsia="宋体"/>
          <w:color w:val="auto"/>
          <w:highlight w:val="none"/>
          <w:lang w:eastAsia="zh-CN"/>
        </w:rPr>
      </w:pPr>
      <w:r>
        <w:rPr>
          <w:rFonts w:hint="eastAsia"/>
          <w:color w:val="auto"/>
          <w:highlight w:val="none"/>
          <w:lang w:eastAsia="zh-CN"/>
        </w:rPr>
        <w:t xml:space="preserve">  </w:t>
      </w:r>
      <w:r>
        <w:rPr>
          <w:rFonts w:hint="eastAsia"/>
          <w:color w:val="auto"/>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color w:val="auto"/>
          <w:highlight w:val="none"/>
        </w:rPr>
        <w:br w:type="textWrapping"/>
      </w:r>
      <w:r>
        <w:rPr>
          <w:rFonts w:hint="eastAsia"/>
          <w:color w:val="auto"/>
          <w:highlight w:val="none"/>
          <w:lang w:eastAsia="zh-CN"/>
        </w:rPr>
        <w:t xml:space="preserve">  </w:t>
      </w:r>
      <w:r>
        <w:rPr>
          <w:rFonts w:hint="eastAsia"/>
          <w:color w:val="auto"/>
          <w:highlight w:val="none"/>
        </w:rPr>
        <w:t>4.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r>
        <w:rPr>
          <w:rFonts w:hint="eastAsia"/>
          <w:color w:val="auto"/>
          <w:highlight w:val="none"/>
        </w:rPr>
        <w:br w:type="textWrapping"/>
      </w:r>
      <w:r>
        <w:rPr>
          <w:rFonts w:hint="eastAsia"/>
          <w:color w:val="auto"/>
          <w:highlight w:val="none"/>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r>
        <w:rPr>
          <w:rFonts w:hint="eastAsia"/>
          <w:color w:val="auto"/>
          <w:highlight w:val="none"/>
        </w:rPr>
        <w:br w:type="textWrapping"/>
      </w:r>
      <w:r>
        <w:rPr>
          <w:rFonts w:hint="eastAsia"/>
          <w:color w:val="auto"/>
          <w:highlight w:val="none"/>
        </w:rPr>
        <w:t>（3）单位负责人为同一人或者存在直接控股、管理关系的不同供应商，不得同时参加同一合同项下的投标。</w:t>
      </w:r>
      <w:r>
        <w:rPr>
          <w:rFonts w:hint="eastAsia"/>
          <w:color w:val="auto"/>
          <w:highlight w:val="none"/>
        </w:rPr>
        <w:br w:type="textWrapping"/>
      </w:r>
      <w:r>
        <w:rPr>
          <w:rFonts w:hint="eastAsia"/>
          <w:color w:val="auto"/>
          <w:highlight w:val="none"/>
        </w:rPr>
        <w:t>（4）为项目提供整体设计、规范编制或者项目管理、监理、检测等服务的供应商，不得参加该项目的投标。</w:t>
      </w:r>
      <w:r>
        <w:rPr>
          <w:rFonts w:hint="eastAsia"/>
          <w:color w:val="auto"/>
          <w:highlight w:val="none"/>
        </w:rPr>
        <w:br w:type="textWrapping"/>
      </w:r>
      <w:r>
        <w:rPr>
          <w:rFonts w:hint="eastAsia"/>
          <w:color w:val="auto"/>
          <w:highlight w:val="none"/>
        </w:rPr>
        <w:t>（5）本项目采购文件公告期限为本公告发布之日起5个工作日。</w:t>
      </w:r>
      <w:r>
        <w:rPr>
          <w:rFonts w:hint="eastAsia"/>
          <w:color w:val="auto"/>
          <w:highlight w:val="none"/>
          <w:lang w:eastAsia="zh-CN"/>
        </w:rPr>
        <w:t xml:space="preserve">  </w:t>
      </w:r>
    </w:p>
    <w:p>
      <w:pPr>
        <w:spacing w:line="360" w:lineRule="auto"/>
        <w:rPr>
          <w:color w:val="auto"/>
          <w:highlight w:val="none"/>
        </w:rPr>
      </w:pPr>
      <w:r>
        <w:rPr>
          <w:color w:val="auto"/>
          <w:highlight w:val="none"/>
        </w:rPr>
        <w:t>七、对本次采购提出询问、质疑、投诉，请按以下方式联系</w:t>
      </w:r>
    </w:p>
    <w:p>
      <w:pPr>
        <w:spacing w:line="360" w:lineRule="auto"/>
        <w:rPr>
          <w:color w:val="auto"/>
          <w:highlight w:val="none"/>
        </w:rPr>
      </w:pPr>
      <w:r>
        <w:rPr>
          <w:rFonts w:hint="eastAsia"/>
          <w:color w:val="auto"/>
          <w:highlight w:val="none"/>
          <w:lang w:eastAsia="zh-CN"/>
        </w:rPr>
        <w:t xml:space="preserve"> </w:t>
      </w:r>
      <w:r>
        <w:rPr>
          <w:rFonts w:hint="eastAsia"/>
          <w:color w:val="auto"/>
          <w:highlight w:val="none"/>
        </w:rPr>
        <w:t xml:space="preserve"> 1.采购人信息</w:t>
      </w:r>
    </w:p>
    <w:p>
      <w:pPr>
        <w:spacing w:line="360" w:lineRule="auto"/>
        <w:ind w:firstLine="210" w:firstLineChars="100"/>
        <w:rPr>
          <w:rFonts w:hint="eastAsia"/>
          <w:color w:val="auto"/>
          <w:highlight w:val="none"/>
        </w:rPr>
      </w:pPr>
      <w:r>
        <w:rPr>
          <w:rFonts w:hint="eastAsia"/>
          <w:color w:val="auto"/>
          <w:highlight w:val="none"/>
        </w:rPr>
        <w:t>名称：温州医科大学附属第二医院</w:t>
      </w:r>
    </w:p>
    <w:p>
      <w:pPr>
        <w:spacing w:line="360" w:lineRule="auto"/>
        <w:ind w:firstLine="210" w:firstLineChars="100"/>
        <w:rPr>
          <w:rFonts w:hint="eastAsia"/>
          <w:color w:val="auto"/>
          <w:highlight w:val="none"/>
        </w:rPr>
      </w:pPr>
      <w:r>
        <w:rPr>
          <w:rFonts w:hint="eastAsia"/>
          <w:color w:val="auto"/>
          <w:highlight w:val="none"/>
        </w:rPr>
        <w:t>地址：温州市龙湾区温州大道东段1111号</w:t>
      </w:r>
    </w:p>
    <w:p>
      <w:pPr>
        <w:spacing w:line="360" w:lineRule="auto"/>
        <w:ind w:firstLine="210" w:firstLineChars="100"/>
        <w:rPr>
          <w:rFonts w:hint="eastAsia"/>
          <w:color w:val="auto"/>
          <w:highlight w:val="none"/>
        </w:rPr>
      </w:pPr>
      <w:r>
        <w:rPr>
          <w:rFonts w:hint="eastAsia"/>
          <w:color w:val="auto"/>
          <w:highlight w:val="none"/>
        </w:rPr>
        <w:t>传真：/</w:t>
      </w:r>
    </w:p>
    <w:p>
      <w:pPr>
        <w:spacing w:line="360" w:lineRule="auto"/>
        <w:ind w:firstLine="210" w:firstLineChars="100"/>
        <w:rPr>
          <w:rFonts w:hint="eastAsia"/>
          <w:color w:val="auto"/>
          <w:highlight w:val="none"/>
        </w:rPr>
      </w:pPr>
      <w:r>
        <w:rPr>
          <w:rFonts w:hint="eastAsia"/>
          <w:color w:val="auto"/>
          <w:highlight w:val="none"/>
        </w:rPr>
        <w:t>项目联系人（询问）：潘恩乐</w:t>
      </w:r>
    </w:p>
    <w:p>
      <w:pPr>
        <w:spacing w:line="360" w:lineRule="auto"/>
        <w:ind w:firstLine="210" w:firstLineChars="100"/>
        <w:rPr>
          <w:rFonts w:hint="eastAsia"/>
          <w:color w:val="auto"/>
          <w:highlight w:val="none"/>
        </w:rPr>
      </w:pPr>
      <w:r>
        <w:rPr>
          <w:rFonts w:hint="eastAsia"/>
          <w:color w:val="auto"/>
          <w:highlight w:val="none"/>
        </w:rPr>
        <w:t xml:space="preserve">项目联系方式（询问）：(0577) 880-02660 </w:t>
      </w:r>
    </w:p>
    <w:p>
      <w:pPr>
        <w:spacing w:line="360" w:lineRule="auto"/>
        <w:ind w:firstLine="210" w:firstLineChars="100"/>
        <w:rPr>
          <w:rFonts w:hint="eastAsia"/>
          <w:color w:val="auto"/>
          <w:highlight w:val="none"/>
        </w:rPr>
      </w:pPr>
      <w:r>
        <w:rPr>
          <w:rFonts w:hint="eastAsia"/>
          <w:color w:val="auto"/>
          <w:highlight w:val="none"/>
        </w:rPr>
        <w:t>质疑联系人：徐优晓</w:t>
      </w:r>
    </w:p>
    <w:p>
      <w:pPr>
        <w:spacing w:line="360" w:lineRule="auto"/>
        <w:ind w:firstLine="210" w:firstLineChars="100"/>
        <w:rPr>
          <w:rFonts w:hint="eastAsia" w:eastAsia="宋体"/>
          <w:color w:val="auto"/>
          <w:highlight w:val="none"/>
          <w:lang w:eastAsia="zh-CN"/>
        </w:rPr>
      </w:pPr>
      <w:r>
        <w:rPr>
          <w:rFonts w:hint="eastAsia"/>
          <w:color w:val="auto"/>
          <w:highlight w:val="none"/>
        </w:rPr>
        <w:t>质疑联系方式：0577--85676846</w:t>
      </w:r>
      <w:r>
        <w:rPr>
          <w:rFonts w:hint="eastAsia"/>
          <w:color w:val="auto"/>
          <w:highlight w:val="none"/>
          <w:lang w:eastAsia="zh-CN"/>
        </w:rPr>
        <w:t xml:space="preserve"> </w:t>
      </w:r>
    </w:p>
    <w:p>
      <w:pPr>
        <w:spacing w:line="360" w:lineRule="auto"/>
        <w:rPr>
          <w:rFonts w:hint="eastAsia" w:eastAsia="宋体"/>
          <w:color w:val="auto"/>
          <w:highlight w:val="none"/>
          <w:lang w:eastAsia="zh-CN"/>
        </w:rPr>
      </w:pPr>
      <w:r>
        <w:rPr>
          <w:rFonts w:hint="eastAsia"/>
          <w:color w:val="auto"/>
          <w:highlight w:val="none"/>
          <w:lang w:eastAsia="zh-CN"/>
        </w:rPr>
        <w:t xml:space="preserve"> </w:t>
      </w:r>
      <w:r>
        <w:rPr>
          <w:rFonts w:hint="eastAsia"/>
          <w:color w:val="auto"/>
          <w:highlight w:val="none"/>
        </w:rPr>
        <w:t xml:space="preserve"> </w:t>
      </w:r>
      <w:r>
        <w:rPr>
          <w:rFonts w:hint="eastAsia"/>
          <w:color w:val="auto"/>
          <w:highlight w:val="none"/>
          <w:lang w:eastAsia="zh-CN"/>
        </w:rPr>
        <w:t xml:space="preserve"> </w:t>
      </w:r>
      <w:r>
        <w:rPr>
          <w:rFonts w:hint="eastAsia"/>
          <w:color w:val="auto"/>
          <w:highlight w:val="none"/>
        </w:rPr>
        <w:br w:type="textWrapping"/>
      </w:r>
      <w:r>
        <w:rPr>
          <w:rFonts w:hint="eastAsia"/>
          <w:color w:val="auto"/>
          <w:highlight w:val="none"/>
          <w:lang w:eastAsia="zh-CN"/>
        </w:rPr>
        <w:t xml:space="preserve"> </w:t>
      </w:r>
      <w:r>
        <w:rPr>
          <w:rFonts w:hint="eastAsia"/>
          <w:color w:val="auto"/>
          <w:highlight w:val="none"/>
        </w:rPr>
        <w:t xml:space="preserve"> 2.采购代理机构信息</w:t>
      </w:r>
      <w:r>
        <w:rPr>
          <w:rFonts w:hint="eastAsia"/>
          <w:color w:val="auto"/>
          <w:highlight w:val="none"/>
          <w:lang w:eastAsia="zh-CN"/>
        </w:rPr>
        <w:t xml:space="preserve">      </w:t>
      </w:r>
    </w:p>
    <w:p>
      <w:pPr>
        <w:spacing w:line="360" w:lineRule="auto"/>
        <w:rPr>
          <w:rFonts w:hint="eastAsia" w:eastAsia="宋体"/>
          <w:color w:val="auto"/>
          <w:highlight w:val="none"/>
          <w:lang w:eastAsia="zh-CN"/>
        </w:rPr>
      </w:pPr>
      <w:r>
        <w:rPr>
          <w:rFonts w:hint="eastAsia"/>
          <w:color w:val="auto"/>
          <w:highlight w:val="none"/>
          <w:lang w:eastAsia="zh-CN"/>
        </w:rPr>
        <w:t xml:space="preserve"> </w:t>
      </w:r>
      <w:r>
        <w:rPr>
          <w:rFonts w:hint="eastAsia"/>
          <w:color w:val="auto"/>
          <w:highlight w:val="none"/>
        </w:rPr>
        <w:t xml:space="preserve"> 名</w:t>
      </w:r>
      <w:r>
        <w:rPr>
          <w:rFonts w:hint="eastAsia"/>
          <w:color w:val="auto"/>
          <w:highlight w:val="none"/>
          <w:lang w:eastAsia="zh-CN"/>
        </w:rPr>
        <w:t xml:space="preserve">  </w:t>
      </w:r>
      <w:r>
        <w:rPr>
          <w:rFonts w:hint="eastAsia"/>
          <w:color w:val="auto"/>
          <w:highlight w:val="none"/>
        </w:rPr>
        <w:t>称：浙江国际招投标有限公司</w:t>
      </w:r>
      <w:r>
        <w:rPr>
          <w:rFonts w:hint="eastAsia"/>
          <w:color w:val="auto"/>
          <w:highlight w:val="none"/>
          <w:lang w:eastAsia="zh-CN"/>
        </w:rPr>
        <w:t xml:space="preserve">       </w:t>
      </w:r>
    </w:p>
    <w:p>
      <w:pPr>
        <w:spacing w:line="360" w:lineRule="auto"/>
        <w:rPr>
          <w:color w:val="auto"/>
          <w:highlight w:val="none"/>
        </w:rPr>
      </w:pPr>
      <w:r>
        <w:rPr>
          <w:rFonts w:hint="eastAsia"/>
          <w:color w:val="auto"/>
          <w:highlight w:val="none"/>
          <w:lang w:eastAsia="zh-CN"/>
        </w:rPr>
        <w:t xml:space="preserve"> </w:t>
      </w:r>
      <w:r>
        <w:rPr>
          <w:rFonts w:hint="eastAsia"/>
          <w:color w:val="auto"/>
          <w:highlight w:val="none"/>
        </w:rPr>
        <w:t xml:space="preserve"> 地</w:t>
      </w:r>
      <w:r>
        <w:rPr>
          <w:rFonts w:hint="eastAsia"/>
          <w:color w:val="auto"/>
          <w:highlight w:val="none"/>
          <w:lang w:eastAsia="zh-CN"/>
        </w:rPr>
        <w:t xml:space="preserve">  </w:t>
      </w:r>
      <w:r>
        <w:rPr>
          <w:rFonts w:hint="eastAsia"/>
          <w:color w:val="auto"/>
          <w:highlight w:val="none"/>
        </w:rPr>
        <w:t>址：浙江省杭州市西湖区文三路90号东部软件园1号楼3楼</w:t>
      </w:r>
    </w:p>
    <w:p>
      <w:pPr>
        <w:spacing w:line="360" w:lineRule="auto"/>
        <w:rPr>
          <w:rFonts w:hint="eastAsia" w:eastAsia="宋体"/>
          <w:color w:val="auto"/>
          <w:highlight w:val="none"/>
          <w:lang w:eastAsia="zh-CN"/>
        </w:rPr>
      </w:pPr>
      <w:r>
        <w:rPr>
          <w:rFonts w:hint="eastAsia"/>
          <w:color w:val="auto"/>
          <w:highlight w:val="none"/>
          <w:lang w:eastAsia="zh-CN"/>
        </w:rPr>
        <w:t xml:space="preserve"> </w:t>
      </w:r>
      <w:r>
        <w:rPr>
          <w:rFonts w:hint="eastAsia"/>
          <w:color w:val="auto"/>
          <w:highlight w:val="none"/>
        </w:rPr>
        <w:t xml:space="preserve"> 传</w:t>
      </w:r>
      <w:r>
        <w:rPr>
          <w:rFonts w:hint="eastAsia"/>
          <w:color w:val="auto"/>
          <w:highlight w:val="none"/>
          <w:lang w:eastAsia="zh-CN"/>
        </w:rPr>
        <w:t xml:space="preserve">  </w:t>
      </w:r>
      <w:r>
        <w:rPr>
          <w:rFonts w:hint="eastAsia"/>
          <w:color w:val="auto"/>
          <w:highlight w:val="none"/>
        </w:rPr>
        <w:t>真：/</w:t>
      </w:r>
      <w:r>
        <w:rPr>
          <w:rFonts w:hint="eastAsia"/>
          <w:color w:val="auto"/>
          <w:highlight w:val="none"/>
          <w:lang w:eastAsia="zh-CN"/>
        </w:rPr>
        <w:t xml:space="preserve">       </w:t>
      </w:r>
    </w:p>
    <w:p>
      <w:pPr>
        <w:spacing w:line="360" w:lineRule="auto"/>
        <w:rPr>
          <w:color w:val="auto"/>
          <w:highlight w:val="none"/>
        </w:rPr>
      </w:pPr>
      <w:r>
        <w:rPr>
          <w:rFonts w:hint="eastAsia"/>
          <w:color w:val="auto"/>
          <w:highlight w:val="none"/>
          <w:lang w:eastAsia="zh-CN"/>
        </w:rPr>
        <w:t xml:space="preserve"> </w:t>
      </w:r>
      <w:r>
        <w:rPr>
          <w:rFonts w:hint="eastAsia"/>
          <w:color w:val="auto"/>
          <w:highlight w:val="none"/>
        </w:rPr>
        <w:t xml:space="preserve"> 项目联系人（询问）：盛磊敏，李博</w:t>
      </w:r>
    </w:p>
    <w:p>
      <w:pPr>
        <w:spacing w:line="360" w:lineRule="auto"/>
        <w:rPr>
          <w:color w:val="auto"/>
          <w:highlight w:val="none"/>
        </w:rPr>
      </w:pPr>
      <w:r>
        <w:rPr>
          <w:rFonts w:hint="eastAsia"/>
          <w:color w:val="auto"/>
          <w:highlight w:val="none"/>
          <w:lang w:eastAsia="zh-CN"/>
        </w:rPr>
        <w:t xml:space="preserve"> </w:t>
      </w:r>
      <w:r>
        <w:rPr>
          <w:rFonts w:hint="eastAsia"/>
          <w:color w:val="auto"/>
          <w:highlight w:val="none"/>
        </w:rPr>
        <w:t xml:space="preserve"> 项目联系方式（询问）：0571-81061824，13516722354</w:t>
      </w:r>
    </w:p>
    <w:p>
      <w:pPr>
        <w:spacing w:line="360" w:lineRule="auto"/>
        <w:rPr>
          <w:rFonts w:hint="eastAsia" w:eastAsia="宋体"/>
          <w:color w:val="auto"/>
          <w:highlight w:val="none"/>
          <w:lang w:eastAsia="zh-CN"/>
        </w:rPr>
      </w:pPr>
      <w:r>
        <w:rPr>
          <w:rFonts w:hint="eastAsia"/>
          <w:color w:val="auto"/>
          <w:highlight w:val="none"/>
          <w:lang w:eastAsia="zh-CN"/>
        </w:rPr>
        <w:t xml:space="preserve"> </w:t>
      </w:r>
      <w:r>
        <w:rPr>
          <w:rFonts w:hint="eastAsia"/>
          <w:color w:val="auto"/>
          <w:highlight w:val="none"/>
        </w:rPr>
        <w:t xml:space="preserve"> 质疑联系人：郑珊珊</w:t>
      </w:r>
      <w:r>
        <w:rPr>
          <w:rFonts w:hint="eastAsia"/>
          <w:color w:val="auto"/>
          <w:highlight w:val="none"/>
          <w:lang w:eastAsia="zh-CN"/>
        </w:rPr>
        <w:t xml:space="preserve">      </w:t>
      </w:r>
    </w:p>
    <w:p>
      <w:pPr>
        <w:spacing w:line="360" w:lineRule="auto"/>
        <w:rPr>
          <w:rFonts w:hint="eastAsia" w:eastAsia="宋体"/>
          <w:color w:val="auto"/>
          <w:highlight w:val="none"/>
          <w:lang w:eastAsia="zh-CN"/>
        </w:rPr>
      </w:pPr>
      <w:r>
        <w:rPr>
          <w:rFonts w:hint="eastAsia"/>
          <w:color w:val="auto"/>
          <w:highlight w:val="none"/>
          <w:lang w:eastAsia="zh-CN"/>
        </w:rPr>
        <w:t xml:space="preserve"> </w:t>
      </w:r>
      <w:r>
        <w:rPr>
          <w:rFonts w:hint="eastAsia"/>
          <w:color w:val="auto"/>
          <w:highlight w:val="none"/>
        </w:rPr>
        <w:t xml:space="preserve"> 质疑联系方式：0571-81061842　　　　</w:t>
      </w:r>
      <w:r>
        <w:rPr>
          <w:rFonts w:hint="eastAsia"/>
          <w:color w:val="auto"/>
          <w:highlight w:val="none"/>
          <w:lang w:eastAsia="zh-CN"/>
        </w:rPr>
        <w:t xml:space="preserve">   </w:t>
      </w:r>
    </w:p>
    <w:p>
      <w:pPr>
        <w:spacing w:line="360" w:lineRule="auto"/>
        <w:ind w:left="210" w:hanging="210" w:hangingChars="100"/>
        <w:rPr>
          <w:rFonts w:hint="eastAsia" w:ascii="Times New Roman" w:hAnsi="Times New Roman" w:eastAsia="宋体" w:cs="Times New Roman"/>
          <w:color w:val="auto"/>
          <w:highlight w:val="none"/>
          <w:lang w:eastAsia="zh-CN"/>
        </w:rPr>
      </w:pPr>
      <w:r>
        <w:rPr>
          <w:rFonts w:hint="eastAsia"/>
          <w:color w:val="auto"/>
          <w:highlight w:val="none"/>
          <w:lang w:eastAsia="zh-CN"/>
        </w:rPr>
        <w:t xml:space="preserve"> </w:t>
      </w:r>
      <w:r>
        <w:rPr>
          <w:rFonts w:hint="eastAsia"/>
          <w:color w:val="auto"/>
          <w:highlight w:val="none"/>
        </w:rPr>
        <w:t xml:space="preserve"> </w:t>
      </w:r>
      <w:r>
        <w:rPr>
          <w:rFonts w:hint="eastAsia"/>
          <w:color w:val="auto"/>
          <w:highlight w:val="none"/>
          <w:lang w:eastAsia="zh-CN"/>
        </w:rPr>
        <w:t xml:space="preserve"> </w:t>
      </w:r>
      <w:r>
        <w:rPr>
          <w:rFonts w:hint="eastAsia"/>
          <w:color w:val="auto"/>
          <w:highlight w:val="none"/>
        </w:rPr>
        <w:br w:type="textWrapping"/>
      </w:r>
      <w:r>
        <w:rPr>
          <w:rFonts w:hint="eastAsia" w:ascii="Times New Roman" w:hAnsi="Times New Roman" w:eastAsia="宋体" w:cs="Times New Roman"/>
          <w:color w:val="auto"/>
          <w:highlight w:val="none"/>
          <w:lang w:eastAsia="zh-CN"/>
        </w:rPr>
        <w:t>3.同级政府采购监督管理部门</w:t>
      </w:r>
    </w:p>
    <w:p>
      <w:pPr>
        <w:spacing w:line="360" w:lineRule="auto"/>
        <w:ind w:firstLine="210" w:firstLineChars="1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名称：浙江省财政厅政府采购监管处、浙江省政府采购行政裁决服务中心（杭州）</w:t>
      </w:r>
    </w:p>
    <w:p>
      <w:pPr>
        <w:spacing w:line="360" w:lineRule="auto"/>
        <w:ind w:firstLine="210" w:firstLineChars="1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地址：杭州市上城区四季青街道新业路市民之家G03办公室</w:t>
      </w:r>
    </w:p>
    <w:p>
      <w:pPr>
        <w:spacing w:line="360" w:lineRule="auto"/>
        <w:ind w:firstLine="210" w:firstLineChars="1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传真：/</w:t>
      </w:r>
    </w:p>
    <w:p>
      <w:pPr>
        <w:spacing w:line="360" w:lineRule="auto"/>
        <w:ind w:firstLine="210" w:firstLineChars="1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联系人：朱女士、王女士</w:t>
      </w:r>
    </w:p>
    <w:p>
      <w:pPr>
        <w:spacing w:line="360" w:lineRule="auto"/>
        <w:ind w:firstLine="210" w:firstLineChars="1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监督投诉电话：0571-85252453</w:t>
      </w:r>
    </w:p>
    <w:p>
      <w:pPr>
        <w:spacing w:line="360" w:lineRule="auto"/>
        <w:ind w:firstLine="210" w:firstLineChars="1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政策咨询：何一平、冯华，0571-87058424、87055741</w:t>
      </w:r>
    </w:p>
    <w:p>
      <w:pPr>
        <w:spacing w:line="360" w:lineRule="auto"/>
        <w:rPr>
          <w:rFonts w:hint="eastAsia" w:eastAsia="宋体"/>
          <w:color w:val="auto"/>
          <w:highlight w:val="none"/>
          <w:lang w:eastAsia="zh-CN"/>
        </w:rPr>
      </w:pPr>
    </w:p>
    <w:p>
      <w:pPr>
        <w:spacing w:line="360" w:lineRule="auto"/>
        <w:rPr>
          <w:color w:val="auto"/>
          <w:highlight w:val="none"/>
        </w:rPr>
      </w:pPr>
    </w:p>
    <w:p>
      <w:pPr>
        <w:spacing w:line="360" w:lineRule="auto"/>
        <w:rPr>
          <w:rFonts w:hint="eastAsia" w:eastAsia="宋体"/>
          <w:color w:val="auto"/>
          <w:highlight w:val="none"/>
          <w:lang w:eastAsia="zh-CN"/>
        </w:rPr>
      </w:pPr>
      <w:r>
        <w:rPr>
          <w:rFonts w:hint="eastAsia"/>
          <w:color w:val="auto"/>
          <w:highlight w:val="none"/>
        </w:rPr>
        <w:t>若对项目采购电子交易系统操作有疑问，可登录政采云（https://www.zcygov.cn/），点击右侧咨询小采，获取采小蜜智能服务管家帮助，或拨打政采云服务热线400-881-7190获取热线服务帮助。</w:t>
      </w:r>
      <w:r>
        <w:rPr>
          <w:rFonts w:hint="eastAsia"/>
          <w:color w:val="auto"/>
          <w:highlight w:val="none"/>
          <w:lang w:eastAsia="zh-CN"/>
        </w:rPr>
        <w:t xml:space="preserve">   </w:t>
      </w:r>
      <w:r>
        <w:rPr>
          <w:rFonts w:hint="eastAsia"/>
          <w:color w:val="auto"/>
          <w:highlight w:val="none"/>
        </w:rPr>
        <w:t xml:space="preserve"> </w:t>
      </w:r>
      <w:r>
        <w:rPr>
          <w:rFonts w:hint="eastAsia"/>
          <w:color w:val="auto"/>
          <w:highlight w:val="none"/>
          <w:lang w:eastAsia="zh-CN"/>
        </w:rPr>
        <w:t xml:space="preserve"> </w:t>
      </w:r>
    </w:p>
    <w:p>
      <w:pPr>
        <w:spacing w:line="360" w:lineRule="auto"/>
        <w:rPr>
          <w:color w:val="auto"/>
          <w:szCs w:val="21"/>
          <w:highlight w:val="none"/>
        </w:rPr>
      </w:pPr>
      <w:r>
        <w:rPr>
          <w:rFonts w:hint="eastAsia"/>
          <w:color w:val="auto"/>
          <w:highlight w:val="none"/>
        </w:rPr>
        <w:t>CA问题联系电话（人工）：汇信CA 400-888-4636；天谷CA 400-087-8198。</w:t>
      </w:r>
    </w:p>
    <w:p>
      <w:pPr>
        <w:pStyle w:val="2"/>
        <w:snapToGrid w:val="0"/>
        <w:rPr>
          <w:rFonts w:ascii="Times New Roman" w:hAnsi="Times New Roman" w:eastAsia="宋体"/>
          <w:color w:val="auto"/>
          <w:highlight w:val="none"/>
        </w:rPr>
      </w:pPr>
      <w:r>
        <w:rPr>
          <w:rFonts w:ascii="Times New Roman" w:hAnsi="Times New Roman" w:eastAsia="宋体"/>
          <w:color w:val="auto"/>
          <w:kern w:val="0"/>
          <w:szCs w:val="21"/>
          <w:highlight w:val="none"/>
        </w:rPr>
        <w:br w:type="page"/>
      </w:r>
      <w:bookmarkStart w:id="4" w:name="_Toc495317668"/>
      <w:r>
        <w:rPr>
          <w:rFonts w:hint="eastAsia" w:ascii="Times New Roman" w:hAnsi="Times New Roman" w:eastAsia="宋体"/>
          <w:color w:val="auto"/>
          <w:highlight w:val="none"/>
        </w:rPr>
        <w:t>供应商</w:t>
      </w:r>
      <w:r>
        <w:rPr>
          <w:rFonts w:ascii="Times New Roman" w:hAnsi="Times New Roman" w:eastAsia="宋体"/>
          <w:color w:val="auto"/>
          <w:highlight w:val="none"/>
        </w:rPr>
        <w:t>须知前附表</w:t>
      </w:r>
      <w:bookmarkEnd w:id="4"/>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序号</w:t>
            </w:r>
          </w:p>
        </w:tc>
        <w:tc>
          <w:tcPr>
            <w:tcW w:w="1830" w:type="dxa"/>
            <w:noWrap w:val="0"/>
            <w:vAlign w:val="center"/>
          </w:tcPr>
          <w:p>
            <w:pPr>
              <w:pStyle w:val="192"/>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名称</w:t>
            </w:r>
          </w:p>
        </w:tc>
        <w:tc>
          <w:tcPr>
            <w:tcW w:w="6604" w:type="dxa"/>
            <w:noWrap w:val="0"/>
            <w:vAlign w:val="center"/>
          </w:tcPr>
          <w:p>
            <w:pPr>
              <w:pStyle w:val="192"/>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w:t>
            </w:r>
          </w:p>
        </w:tc>
        <w:tc>
          <w:tcPr>
            <w:tcW w:w="1830" w:type="dxa"/>
            <w:noWrap w:val="0"/>
            <w:vAlign w:val="center"/>
          </w:tcPr>
          <w:p>
            <w:pPr>
              <w:pStyle w:val="192"/>
              <w:snapToGrid w:val="0"/>
              <w:spacing w:line="360" w:lineRule="auto"/>
              <w:ind w:firstLine="0" w:firstLineChars="0"/>
              <w:jc w:val="left"/>
              <w:rPr>
                <w:rFonts w:hint="eastAsia" w:ascii="Times New Roman" w:hAnsi="Times New Roman"/>
                <w:color w:val="auto"/>
                <w:highlight w:val="none"/>
              </w:rPr>
            </w:pPr>
            <w:r>
              <w:rPr>
                <w:rFonts w:ascii="Times New Roman" w:hAnsi="Times New Roman"/>
                <w:color w:val="auto"/>
                <w:highlight w:val="none"/>
              </w:rPr>
              <w:t>采购人</w:t>
            </w:r>
          </w:p>
        </w:tc>
        <w:tc>
          <w:tcPr>
            <w:tcW w:w="6604" w:type="dxa"/>
            <w:noWrap w:val="0"/>
            <w:vAlign w:val="center"/>
          </w:tcPr>
          <w:p>
            <w:pPr>
              <w:pStyle w:val="192"/>
              <w:snapToGrid w:val="0"/>
              <w:spacing w:line="360" w:lineRule="auto"/>
              <w:ind w:firstLine="0" w:firstLineChars="0"/>
              <w:rPr>
                <w:rFonts w:hint="eastAsia" w:ascii="Times New Roman" w:hAnsi="Times New Roman"/>
                <w:color w:val="auto"/>
                <w:highlight w:val="none"/>
              </w:rPr>
            </w:pPr>
            <w:r>
              <w:rPr>
                <w:rFonts w:hint="eastAsia" w:ascii="Times New Roman" w:hAnsi="Times New Roman"/>
                <w:color w:val="auto"/>
                <w:highlight w:val="none"/>
              </w:rPr>
              <w:t>名称：温州医科大学附属第二医院</w:t>
            </w:r>
          </w:p>
          <w:p>
            <w:pPr>
              <w:pStyle w:val="192"/>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地址：温州市龙湾区温州大道1111号</w:t>
            </w:r>
          </w:p>
          <w:p>
            <w:pPr>
              <w:spacing w:line="360" w:lineRule="auto"/>
              <w:rPr>
                <w:rFonts w:hint="eastAsia" w:ascii="宋体" w:hAnsi="宋体" w:cs="宋体"/>
                <w:color w:val="auto"/>
                <w:highlight w:val="none"/>
              </w:rPr>
            </w:pPr>
            <w:r>
              <w:rPr>
                <w:rFonts w:hint="eastAsia"/>
                <w:color w:val="auto"/>
                <w:highlight w:val="none"/>
              </w:rPr>
              <w:t>项目联系人</w:t>
            </w:r>
            <w:r>
              <w:rPr>
                <w:rFonts w:hint="eastAsia" w:ascii="宋体" w:hAnsi="宋体" w:cs="宋体"/>
                <w:color w:val="auto"/>
                <w:highlight w:val="none"/>
              </w:rPr>
              <w:t>（询问）：潘老师</w:t>
            </w:r>
          </w:p>
          <w:p>
            <w:pPr>
              <w:pStyle w:val="192"/>
              <w:snapToGrid w:val="0"/>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项目联系方式（询问）：0577-88002660</w:t>
            </w:r>
          </w:p>
          <w:p>
            <w:pPr>
              <w:pStyle w:val="192"/>
              <w:snapToGrid w:val="0"/>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项目联系人（咨询）：徐老师</w:t>
            </w:r>
          </w:p>
          <w:p>
            <w:pPr>
              <w:pStyle w:val="192"/>
              <w:snapToGrid w:val="0"/>
              <w:spacing w:line="360" w:lineRule="auto"/>
              <w:ind w:firstLine="0" w:firstLineChars="0"/>
              <w:rPr>
                <w:rFonts w:ascii="Times New Roman" w:hAnsi="Times New Roman"/>
                <w:color w:val="auto"/>
                <w:highlight w:val="none"/>
              </w:rPr>
            </w:pPr>
            <w:r>
              <w:rPr>
                <w:rFonts w:hint="eastAsia" w:ascii="宋体" w:hAnsi="宋体" w:cs="宋体"/>
                <w:color w:val="auto"/>
                <w:highlight w:val="none"/>
              </w:rPr>
              <w:t>联系电话：</w:t>
            </w:r>
            <w:r>
              <w:rPr>
                <w:rFonts w:ascii="宋体" w:hAnsi="宋体" w:cs="宋体"/>
                <w:color w:val="auto"/>
                <w:sz w:val="24"/>
                <w:highlight w:val="none"/>
              </w:rPr>
              <w:t>13531864894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2</w:t>
            </w:r>
          </w:p>
        </w:tc>
        <w:tc>
          <w:tcPr>
            <w:tcW w:w="1830" w:type="dxa"/>
            <w:noWrap w:val="0"/>
            <w:vAlign w:val="center"/>
          </w:tcPr>
          <w:p>
            <w:pPr>
              <w:pStyle w:val="192"/>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采购代理机构</w:t>
            </w:r>
          </w:p>
        </w:tc>
        <w:tc>
          <w:tcPr>
            <w:tcW w:w="6604" w:type="dxa"/>
            <w:noWrap w:val="0"/>
            <w:vAlign w:val="center"/>
          </w:tcPr>
          <w:p>
            <w:pPr>
              <w:pStyle w:val="192"/>
              <w:snapToGrid w:val="0"/>
              <w:spacing w:line="360" w:lineRule="auto"/>
              <w:ind w:firstLine="0" w:firstLineChars="0"/>
              <w:rPr>
                <w:rFonts w:hint="eastAsia" w:ascii="Times New Roman" w:hAnsi="Times New Roman"/>
                <w:color w:val="auto"/>
                <w:highlight w:val="none"/>
              </w:rPr>
            </w:pPr>
            <w:r>
              <w:rPr>
                <w:rFonts w:ascii="Times New Roman" w:hAnsi="Times New Roman"/>
                <w:color w:val="auto"/>
                <w:highlight w:val="none"/>
              </w:rPr>
              <w:t>名称：</w:t>
            </w:r>
            <w:r>
              <w:rPr>
                <w:rFonts w:hint="eastAsia" w:ascii="Times New Roman" w:hAnsi="Times New Roman"/>
                <w:color w:val="auto"/>
                <w:highlight w:val="none"/>
              </w:rPr>
              <w:t>浙江国际招投标有限公司</w:t>
            </w:r>
          </w:p>
          <w:p>
            <w:pPr>
              <w:pStyle w:val="192"/>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地址：杭州市文三路90号东部软件园</w:t>
            </w:r>
            <w:r>
              <w:rPr>
                <w:rFonts w:hint="eastAsia" w:ascii="Times New Roman" w:hAnsi="Times New Roman"/>
                <w:color w:val="auto"/>
                <w:highlight w:val="none"/>
              </w:rPr>
              <w:t>1</w:t>
            </w:r>
            <w:r>
              <w:rPr>
                <w:rFonts w:ascii="Times New Roman" w:hAnsi="Times New Roman"/>
                <w:color w:val="auto"/>
                <w:highlight w:val="none"/>
              </w:rPr>
              <w:t>号楼</w:t>
            </w:r>
            <w:r>
              <w:rPr>
                <w:rFonts w:hint="eastAsia" w:ascii="Times New Roman" w:hAnsi="Times New Roman"/>
                <w:color w:val="auto"/>
                <w:highlight w:val="none"/>
              </w:rPr>
              <w:t>3</w:t>
            </w:r>
            <w:r>
              <w:rPr>
                <w:rFonts w:ascii="Times New Roman" w:hAnsi="Times New Roman"/>
                <w:color w:val="auto"/>
                <w:highlight w:val="none"/>
              </w:rPr>
              <w:t>楼</w:t>
            </w:r>
          </w:p>
          <w:p>
            <w:pPr>
              <w:pStyle w:val="192"/>
              <w:snapToGrid w:val="0"/>
              <w:spacing w:line="360" w:lineRule="auto"/>
              <w:ind w:firstLine="0" w:firstLineChars="0"/>
              <w:rPr>
                <w:rFonts w:hint="eastAsia" w:ascii="Times New Roman" w:hAnsi="Times New Roman"/>
                <w:color w:val="auto"/>
                <w:highlight w:val="none"/>
              </w:rPr>
            </w:pPr>
            <w:r>
              <w:rPr>
                <w:rFonts w:ascii="Times New Roman" w:hAnsi="Times New Roman"/>
                <w:color w:val="auto"/>
                <w:highlight w:val="none"/>
              </w:rPr>
              <w:t>联系人：</w:t>
            </w:r>
            <w:r>
              <w:rPr>
                <w:rFonts w:hint="eastAsia"/>
                <w:color w:val="auto"/>
                <w:kern w:val="0"/>
                <w:szCs w:val="21"/>
                <w:highlight w:val="none"/>
              </w:rPr>
              <w:t>盛磊敏</w:t>
            </w:r>
          </w:p>
          <w:p>
            <w:pPr>
              <w:pStyle w:val="192"/>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联系电话：</w:t>
            </w:r>
            <w:r>
              <w:rPr>
                <w:rFonts w:hint="eastAsia"/>
                <w:color w:val="auto"/>
                <w:kern w:val="0"/>
                <w:szCs w:val="21"/>
                <w:highlight w:val="none"/>
              </w:rPr>
              <w:t>0571-81061824</w:t>
            </w:r>
          </w:p>
          <w:p>
            <w:pPr>
              <w:pStyle w:val="192"/>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传真：0571-8</w:t>
            </w:r>
            <w:r>
              <w:rPr>
                <w:rFonts w:hint="eastAsia" w:ascii="Times New Roman" w:hAnsi="Times New Roman"/>
                <w:color w:val="auto"/>
                <w:highlight w:val="none"/>
              </w:rPr>
              <w:t>8473430</w:t>
            </w:r>
          </w:p>
          <w:p>
            <w:pPr>
              <w:pStyle w:val="192"/>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邮编：310012</w:t>
            </w:r>
          </w:p>
          <w:p>
            <w:pPr>
              <w:pStyle w:val="192"/>
              <w:snapToGrid w:val="0"/>
              <w:spacing w:line="360" w:lineRule="auto"/>
              <w:ind w:firstLine="0" w:firstLineChars="0"/>
              <w:rPr>
                <w:rFonts w:ascii="Times New Roman" w:hAnsi="Times New Roman"/>
                <w:color w:val="auto"/>
                <w:highlight w:val="none"/>
              </w:rPr>
            </w:pPr>
            <w:r>
              <w:rPr>
                <w:rFonts w:ascii="Times New Roman" w:hAnsi="Times New Roman"/>
                <w:color w:val="auto"/>
                <w:kern w:val="0"/>
                <w:szCs w:val="21"/>
                <w:highlight w:val="none"/>
              </w:rPr>
              <w:t>Email：</w:t>
            </w:r>
            <w:r>
              <w:rPr>
                <w:rFonts w:hint="eastAsia"/>
                <w:color w:val="auto"/>
                <w:kern w:val="0"/>
                <w:szCs w:val="21"/>
                <w:highlight w:val="none"/>
              </w:rPr>
              <w:t>178433617@qq.com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3</w:t>
            </w:r>
          </w:p>
        </w:tc>
        <w:tc>
          <w:tcPr>
            <w:tcW w:w="1830" w:type="dxa"/>
            <w:noWrap w:val="0"/>
            <w:vAlign w:val="center"/>
          </w:tcPr>
          <w:p>
            <w:pPr>
              <w:pStyle w:val="192"/>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踏勘现场</w:t>
            </w:r>
          </w:p>
        </w:tc>
        <w:tc>
          <w:tcPr>
            <w:tcW w:w="6604" w:type="dxa"/>
            <w:noWrap w:val="0"/>
            <w:vAlign w:val="center"/>
          </w:tcPr>
          <w:p>
            <w:pPr>
              <w:snapToGrid w:val="0"/>
              <w:spacing w:line="360" w:lineRule="auto"/>
              <w:rPr>
                <w:rFonts w:hint="eastAsia" w:ascii="宋体" w:hAnsi="宋体" w:cs="宋体"/>
                <w:color w:val="auto"/>
                <w:kern w:val="0"/>
                <w:szCs w:val="21"/>
                <w:highlight w:val="none"/>
              </w:rPr>
            </w:pPr>
            <w:r>
              <w:rPr>
                <w:rFonts w:hint="eastAsia" w:ascii="宋体" w:hAnsi="宋体"/>
                <w:bCs/>
                <w:color w:val="auto"/>
                <w:szCs w:val="21"/>
                <w:highlight w:val="none"/>
              </w:rPr>
              <w:t>自行踏勘（现场联系人：</w:t>
            </w:r>
            <w:r>
              <w:rPr>
                <w:rFonts w:hint="eastAsia" w:ascii="宋体" w:hAnsi="宋体" w:cs="宋体"/>
                <w:color w:val="auto"/>
                <w:highlight w:val="none"/>
              </w:rPr>
              <w:t>徐老师</w:t>
            </w:r>
            <w:r>
              <w:rPr>
                <w:rFonts w:hint="eastAsia" w:ascii="宋体" w:hAnsi="宋体"/>
                <w:bCs/>
                <w:color w:val="auto"/>
                <w:szCs w:val="21"/>
                <w:highlight w:val="none"/>
              </w:rPr>
              <w:t>，联系电话：</w:t>
            </w:r>
            <w:r>
              <w:rPr>
                <w:rFonts w:ascii="宋体" w:hAnsi="宋体" w:cs="宋体"/>
                <w:color w:val="auto"/>
                <w:sz w:val="24"/>
                <w:highlight w:val="none"/>
              </w:rPr>
              <w:t>13531864894</w:t>
            </w:r>
            <w:r>
              <w:rPr>
                <w:rFonts w:hint="eastAsia" w:ascii="宋体" w:hAnsi="宋体"/>
                <w:bCs/>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color w:val="auto"/>
                <w:szCs w:val="21"/>
                <w:highlight w:val="none"/>
              </w:rPr>
            </w:pPr>
            <w:r>
              <w:rPr>
                <w:rFonts w:hint="eastAsia" w:ascii="Times New Roman" w:hAnsi="Times New Roman"/>
                <w:color w:val="auto"/>
                <w:szCs w:val="21"/>
                <w:highlight w:val="none"/>
              </w:rPr>
              <w:t>4</w:t>
            </w:r>
          </w:p>
        </w:tc>
        <w:tc>
          <w:tcPr>
            <w:tcW w:w="1830" w:type="dxa"/>
            <w:noWrap w:val="0"/>
            <w:vAlign w:val="center"/>
          </w:tcPr>
          <w:p>
            <w:pPr>
              <w:pStyle w:val="192"/>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szCs w:val="21"/>
                <w:highlight w:val="none"/>
              </w:rPr>
              <w:t>资金来源</w:t>
            </w:r>
          </w:p>
        </w:tc>
        <w:tc>
          <w:tcPr>
            <w:tcW w:w="6604" w:type="dxa"/>
            <w:noWrap w:val="0"/>
            <w:vAlign w:val="center"/>
          </w:tcPr>
          <w:p>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color w:val="auto"/>
                <w:szCs w:val="21"/>
                <w:highlight w:val="none"/>
              </w:rPr>
            </w:pPr>
            <w:r>
              <w:rPr>
                <w:rFonts w:hint="eastAsia" w:ascii="Times New Roman" w:hAnsi="Times New Roman"/>
                <w:color w:val="auto"/>
                <w:szCs w:val="21"/>
                <w:highlight w:val="none"/>
              </w:rPr>
              <w:t>5</w:t>
            </w:r>
          </w:p>
        </w:tc>
        <w:tc>
          <w:tcPr>
            <w:tcW w:w="1830" w:type="dxa"/>
            <w:noWrap w:val="0"/>
            <w:vAlign w:val="center"/>
          </w:tcPr>
          <w:p>
            <w:pPr>
              <w:pStyle w:val="192"/>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szCs w:val="21"/>
                <w:highlight w:val="none"/>
              </w:rPr>
              <w:t>环境标志产品</w:t>
            </w:r>
          </w:p>
          <w:p>
            <w:pPr>
              <w:pStyle w:val="192"/>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highlight w:val="none"/>
              </w:rPr>
              <w:t>节能产品</w:t>
            </w:r>
          </w:p>
        </w:tc>
        <w:tc>
          <w:tcPr>
            <w:tcW w:w="6604" w:type="dxa"/>
            <w:noWrap w:val="0"/>
            <w:vAlign w:val="center"/>
          </w:tcPr>
          <w:p>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（1）严格执行《财政部 发展改革委 生态环境部 市场监管总局关于调整优化节能产品、环境标志产品政府采购执行机制的通知》（财库〔2019〕9号）。</w:t>
            </w:r>
          </w:p>
          <w:p>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▲（3）采购人拟采购的产品属于政府强制采购的节能产品品目清单范围的，供应商未按采购文件要求提供国家确定的认证机构出具的、处于有效期之内的节能产品认证证书，投标无效。</w:t>
            </w:r>
          </w:p>
          <w:p>
            <w:pPr>
              <w:numPr>
                <w:ilvl w:val="0"/>
                <w:numId w:val="1"/>
              </w:num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属于政府优先采购产品类别的，须按照要求提供依据国家确定的认证机构出具的、处于有效期之内的节能产品或环境标志产品认证证书，否则不予认定。</w:t>
            </w:r>
          </w:p>
          <w:p>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2"/>
                <w:sz w:val="13"/>
                <w:szCs w:val="21"/>
                <w:highlight w:val="none"/>
              </w:rPr>
              <w:instrText xml:space="preserve">√</w:instrText>
            </w:r>
            <w:r>
              <w:rPr>
                <w:rFonts w:hint="eastAsia" w:ascii="宋体" w:hAnsi="宋体" w:cs="宋体"/>
                <w:color w:val="auto"/>
                <w:szCs w:val="21"/>
                <w:highlight w:val="none"/>
              </w:rPr>
              <w:instrText xml:space="preserve">)</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不</w:t>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t>□</w:t>
            </w:r>
            <w:r>
              <w:rPr>
                <w:rFonts w:hint="eastAsia" w:ascii="宋体" w:hAnsi="宋体" w:cs="宋体"/>
                <w:color w:val="auto"/>
                <w:kern w:val="0"/>
                <w:szCs w:val="21"/>
                <w:highlight w:val="none"/>
              </w:rPr>
              <w:t xml:space="preserve">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color w:val="auto"/>
                <w:szCs w:val="21"/>
                <w:highlight w:val="none"/>
              </w:rPr>
            </w:pPr>
            <w:r>
              <w:rPr>
                <w:rFonts w:hint="eastAsia" w:ascii="Times New Roman" w:hAnsi="Times New Roman"/>
                <w:color w:val="auto"/>
                <w:szCs w:val="21"/>
                <w:highlight w:val="none"/>
              </w:rPr>
              <w:t>6</w:t>
            </w:r>
          </w:p>
        </w:tc>
        <w:tc>
          <w:tcPr>
            <w:tcW w:w="1830" w:type="dxa"/>
            <w:noWrap w:val="0"/>
            <w:vAlign w:val="center"/>
          </w:tcPr>
          <w:p>
            <w:pPr>
              <w:pStyle w:val="192"/>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ab/>
            </w:r>
            <w:r>
              <w:rPr>
                <w:rFonts w:ascii="Times New Roman" w:hAnsi="Times New Roman"/>
                <w:color w:val="auto"/>
                <w:highlight w:val="none"/>
              </w:rPr>
              <w:t>投标产品主体</w:t>
            </w:r>
          </w:p>
        </w:tc>
        <w:tc>
          <w:tcPr>
            <w:tcW w:w="6604" w:type="dxa"/>
            <w:noWrap w:val="0"/>
            <w:vAlign w:val="center"/>
          </w:tcPr>
          <w:p>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7</w:t>
            </w:r>
          </w:p>
        </w:tc>
        <w:tc>
          <w:tcPr>
            <w:tcW w:w="1830" w:type="dxa"/>
            <w:noWrap w:val="0"/>
            <w:vAlign w:val="center"/>
          </w:tcPr>
          <w:p>
            <w:pPr>
              <w:pStyle w:val="192"/>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投标保证金</w:t>
            </w:r>
          </w:p>
        </w:tc>
        <w:tc>
          <w:tcPr>
            <w:tcW w:w="6604" w:type="dxa"/>
            <w:noWrap w:val="0"/>
            <w:vAlign w:val="center"/>
          </w:tcPr>
          <w:p>
            <w:pPr>
              <w:pStyle w:val="192"/>
              <w:snapToGrid w:val="0"/>
              <w:spacing w:line="360" w:lineRule="auto"/>
              <w:ind w:firstLine="0" w:firstLineChars="0"/>
              <w:rPr>
                <w:rFonts w:hint="eastAsia" w:ascii="宋体" w:hAnsi="宋体" w:cs="宋体"/>
                <w:color w:val="auto"/>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8</w:t>
            </w:r>
          </w:p>
        </w:tc>
        <w:tc>
          <w:tcPr>
            <w:tcW w:w="1830" w:type="dxa"/>
            <w:noWrap w:val="0"/>
            <w:vAlign w:val="center"/>
          </w:tcPr>
          <w:p>
            <w:pPr>
              <w:pStyle w:val="192"/>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投标文件有效期</w:t>
            </w:r>
          </w:p>
        </w:tc>
        <w:tc>
          <w:tcPr>
            <w:tcW w:w="6604" w:type="dxa"/>
            <w:noWrap w:val="0"/>
            <w:vAlign w:val="center"/>
          </w:tcPr>
          <w:p>
            <w:pPr>
              <w:widowControl/>
              <w:snapToGrid w:val="0"/>
              <w:spacing w:line="360" w:lineRule="auto"/>
              <w:rPr>
                <w:color w:val="auto"/>
                <w:highlight w:val="none"/>
              </w:rPr>
            </w:pPr>
            <w:r>
              <w:rPr>
                <w:color w:val="auto"/>
                <w:highlight w:val="none"/>
              </w:rPr>
              <w:t>自投标截止时间起90天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9</w:t>
            </w:r>
          </w:p>
        </w:tc>
        <w:tc>
          <w:tcPr>
            <w:tcW w:w="1830" w:type="dxa"/>
            <w:noWrap w:val="0"/>
            <w:vAlign w:val="center"/>
          </w:tcPr>
          <w:p>
            <w:pPr>
              <w:pStyle w:val="192"/>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投标截止时间</w:t>
            </w:r>
          </w:p>
        </w:tc>
        <w:tc>
          <w:tcPr>
            <w:tcW w:w="6604" w:type="dxa"/>
            <w:noWrap w:val="0"/>
            <w:vAlign w:val="center"/>
          </w:tcPr>
          <w:p>
            <w:pPr>
              <w:pStyle w:val="192"/>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10</w:t>
            </w:r>
          </w:p>
        </w:tc>
        <w:tc>
          <w:tcPr>
            <w:tcW w:w="1830" w:type="dxa"/>
            <w:noWrap w:val="0"/>
            <w:vAlign w:val="center"/>
          </w:tcPr>
          <w:p>
            <w:pPr>
              <w:pStyle w:val="192"/>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投标地点</w:t>
            </w:r>
          </w:p>
        </w:tc>
        <w:tc>
          <w:tcPr>
            <w:tcW w:w="6604" w:type="dxa"/>
            <w:noWrap w:val="0"/>
            <w:vAlign w:val="center"/>
          </w:tcPr>
          <w:p>
            <w:pPr>
              <w:pStyle w:val="192"/>
              <w:snapToGrid w:val="0"/>
              <w:spacing w:line="360" w:lineRule="auto"/>
              <w:ind w:firstLine="0" w:firstLineChars="0"/>
              <w:rPr>
                <w:rFonts w:ascii="Times New Roman" w:hAnsi="Times New Roman"/>
                <w:color w:val="auto"/>
                <w:szCs w:val="21"/>
                <w:highlight w:val="none"/>
              </w:rPr>
            </w:pPr>
            <w:r>
              <w:rPr>
                <w:rFonts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11</w:t>
            </w:r>
          </w:p>
        </w:tc>
        <w:tc>
          <w:tcPr>
            <w:tcW w:w="1830" w:type="dxa"/>
            <w:noWrap w:val="0"/>
            <w:vAlign w:val="center"/>
          </w:tcPr>
          <w:p>
            <w:pPr>
              <w:pStyle w:val="192"/>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开标时间和地点</w:t>
            </w:r>
          </w:p>
        </w:tc>
        <w:tc>
          <w:tcPr>
            <w:tcW w:w="6604" w:type="dxa"/>
            <w:noWrap w:val="0"/>
            <w:vAlign w:val="center"/>
          </w:tcPr>
          <w:p>
            <w:pPr>
              <w:pStyle w:val="192"/>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12</w:t>
            </w:r>
          </w:p>
        </w:tc>
        <w:tc>
          <w:tcPr>
            <w:tcW w:w="1830" w:type="dxa"/>
            <w:noWrap w:val="0"/>
            <w:vAlign w:val="center"/>
          </w:tcPr>
          <w:p>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投标答疑</w:t>
            </w:r>
          </w:p>
        </w:tc>
        <w:tc>
          <w:tcPr>
            <w:tcW w:w="6604" w:type="dxa"/>
            <w:noWrap w:val="0"/>
            <w:vAlign w:val="center"/>
          </w:tcPr>
          <w:p>
            <w:pPr>
              <w:adjustRightInd w:val="0"/>
              <w:snapToGrid w:val="0"/>
              <w:spacing w:line="360" w:lineRule="auto"/>
              <w:rPr>
                <w:rFonts w:hint="eastAsia"/>
                <w:color w:val="auto"/>
                <w:kern w:val="0"/>
                <w:highlight w:val="none"/>
              </w:rPr>
            </w:pPr>
            <w:r>
              <w:rPr>
                <w:color w:val="auto"/>
                <w:szCs w:val="21"/>
                <w:highlight w:val="none"/>
              </w:rPr>
              <w:t>供应商如认为采购文件表述不清晰的，请于</w:t>
            </w:r>
            <w:r>
              <w:rPr>
                <w:rFonts w:hint="eastAsia"/>
                <w:color w:val="auto"/>
                <w:szCs w:val="21"/>
                <w:highlight w:val="none"/>
              </w:rPr>
              <w:t>2023年</w:t>
            </w:r>
            <w:r>
              <w:rPr>
                <w:rFonts w:hint="eastAsia"/>
                <w:bCs/>
                <w:color w:val="auto"/>
                <w:szCs w:val="21"/>
                <w:highlight w:val="none"/>
                <w:lang w:val="en-US" w:eastAsia="zh-CN"/>
              </w:rPr>
              <w:t>3</w:t>
            </w:r>
            <w:r>
              <w:rPr>
                <w:color w:val="auto"/>
                <w:szCs w:val="21"/>
                <w:highlight w:val="none"/>
              </w:rPr>
              <w:t>月</w:t>
            </w:r>
            <w:r>
              <w:rPr>
                <w:rFonts w:hint="eastAsia"/>
                <w:bCs/>
                <w:color w:val="auto"/>
                <w:szCs w:val="21"/>
                <w:highlight w:val="none"/>
                <w:lang w:val="en-US" w:eastAsia="zh-CN"/>
              </w:rPr>
              <w:t>1</w:t>
            </w:r>
            <w:r>
              <w:rPr>
                <w:rFonts w:hint="eastAsia"/>
                <w:bCs/>
                <w:color w:val="auto"/>
                <w:szCs w:val="21"/>
                <w:highlight w:val="none"/>
                <w:lang w:val="en-US" w:eastAsia="zh-CN"/>
              </w:rPr>
              <w:t>7</w:t>
            </w:r>
            <w:r>
              <w:rPr>
                <w:color w:val="auto"/>
                <w:szCs w:val="21"/>
                <w:highlight w:val="none"/>
              </w:rPr>
              <w:t>日17</w:t>
            </w:r>
            <w:r>
              <w:rPr>
                <w:rFonts w:hint="eastAsia"/>
                <w:color w:val="auto"/>
                <w:szCs w:val="21"/>
                <w:highlight w:val="none"/>
              </w:rPr>
              <w:t>：</w:t>
            </w:r>
            <w:r>
              <w:rPr>
                <w:color w:val="auto"/>
                <w:szCs w:val="21"/>
                <w:highlight w:val="none"/>
              </w:rPr>
              <w:t>00之前将疑问</w:t>
            </w:r>
            <w:r>
              <w:rPr>
                <w:rFonts w:hint="eastAsia"/>
                <w:color w:val="auto"/>
                <w:szCs w:val="21"/>
                <w:highlight w:val="none"/>
              </w:rPr>
              <w:t>发送至该电子邮件（邮箱178433617@qq.com）</w:t>
            </w:r>
            <w:r>
              <w:rPr>
                <w:color w:val="auto"/>
                <w:szCs w:val="21"/>
                <w:highlight w:val="none"/>
              </w:rPr>
              <w:t>。答疑回复内容是采购文件的组成部份，并将以</w:t>
            </w:r>
            <w:r>
              <w:rPr>
                <w:rFonts w:hint="eastAsia"/>
                <w:color w:val="auto"/>
                <w:szCs w:val="21"/>
                <w:highlight w:val="none"/>
              </w:rPr>
              <w:t>更正公告的</w:t>
            </w:r>
            <w:r>
              <w:rPr>
                <w:color w:val="auto"/>
                <w:szCs w:val="21"/>
                <w:highlight w:val="none"/>
              </w:rPr>
              <w:t>形式</w:t>
            </w:r>
            <w:r>
              <w:rPr>
                <w:rFonts w:hint="eastAsia"/>
                <w:color w:val="auto"/>
                <w:szCs w:val="21"/>
                <w:highlight w:val="none"/>
              </w:rPr>
              <w:t>在本采购公告发布的同一媒体发布，请供应商密切关注更正公告。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13</w:t>
            </w:r>
          </w:p>
        </w:tc>
        <w:tc>
          <w:tcPr>
            <w:tcW w:w="1830" w:type="dxa"/>
            <w:noWrap w:val="0"/>
            <w:vAlign w:val="center"/>
          </w:tcPr>
          <w:p>
            <w:pPr>
              <w:adjustRightInd w:val="0"/>
              <w:snapToGrid w:val="0"/>
              <w:spacing w:line="360" w:lineRule="auto"/>
              <w:jc w:val="left"/>
              <w:rPr>
                <w:color w:val="auto"/>
                <w:szCs w:val="21"/>
                <w:highlight w:val="none"/>
              </w:rPr>
            </w:pPr>
            <w:r>
              <w:rPr>
                <w:color w:val="auto"/>
                <w:szCs w:val="21"/>
                <w:highlight w:val="none"/>
              </w:rPr>
              <w:t>采购文件的澄清与修改</w:t>
            </w:r>
          </w:p>
        </w:tc>
        <w:tc>
          <w:tcPr>
            <w:tcW w:w="6604" w:type="dxa"/>
            <w:noWrap w:val="0"/>
            <w:vAlign w:val="center"/>
          </w:tcPr>
          <w:p>
            <w:pPr>
              <w:adjustRightInd w:val="0"/>
              <w:snapToGrid w:val="0"/>
              <w:spacing w:line="360" w:lineRule="auto"/>
              <w:rPr>
                <w:color w:val="auto"/>
                <w:szCs w:val="21"/>
                <w:highlight w:val="none"/>
              </w:rPr>
            </w:pPr>
            <w:r>
              <w:rPr>
                <w:rFonts w:hint="eastAsia"/>
                <w:color w:val="auto"/>
                <w:szCs w:val="21"/>
                <w:highlight w:val="none"/>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14</w:t>
            </w:r>
          </w:p>
        </w:tc>
        <w:tc>
          <w:tcPr>
            <w:tcW w:w="1830" w:type="dxa"/>
            <w:noWrap w:val="0"/>
            <w:vAlign w:val="center"/>
          </w:tcPr>
          <w:p>
            <w:pPr>
              <w:snapToGrid w:val="0"/>
              <w:spacing w:line="360" w:lineRule="exact"/>
              <w:jc w:val="left"/>
              <w:rPr>
                <w:rFonts w:hint="eastAsia" w:ascii="宋体" w:hAnsi="宋体"/>
                <w:color w:val="auto"/>
                <w:szCs w:val="21"/>
                <w:highlight w:val="none"/>
              </w:rPr>
            </w:pPr>
            <w:r>
              <w:rPr>
                <w:rFonts w:hint="eastAsia" w:ascii="宋体" w:hAnsi="宋体"/>
                <w:color w:val="auto"/>
                <w:szCs w:val="21"/>
                <w:highlight w:val="none"/>
              </w:rPr>
              <w:t>投标文件形式</w:t>
            </w:r>
          </w:p>
        </w:tc>
        <w:tc>
          <w:tcPr>
            <w:tcW w:w="6604" w:type="dxa"/>
            <w:noWrap w:val="0"/>
            <w:vAlign w:val="center"/>
          </w:tcPr>
          <w:p>
            <w:pPr>
              <w:adjustRightInd w:val="0"/>
              <w:snapToGrid w:val="0"/>
              <w:spacing w:line="360" w:lineRule="auto"/>
              <w:rPr>
                <w:rFonts w:hint="eastAsia"/>
                <w:color w:val="auto"/>
                <w:szCs w:val="21"/>
                <w:highlight w:val="none"/>
              </w:rPr>
            </w:pPr>
            <w:r>
              <w:rPr>
                <w:rFonts w:hint="eastAsia"/>
                <w:color w:val="auto"/>
                <w:szCs w:val="21"/>
                <w:highlight w:val="none"/>
              </w:rPr>
              <w:t>本项目实行电子投标。</w:t>
            </w:r>
          </w:p>
          <w:p>
            <w:pPr>
              <w:adjustRightInd w:val="0"/>
              <w:snapToGrid w:val="0"/>
              <w:spacing w:line="360" w:lineRule="auto"/>
              <w:rPr>
                <w:rFonts w:hint="eastAsia"/>
                <w:color w:val="auto"/>
                <w:szCs w:val="21"/>
                <w:highlight w:val="none"/>
              </w:rPr>
            </w:pPr>
            <w:r>
              <w:rPr>
                <w:rFonts w:hint="eastAsia"/>
                <w:color w:val="auto"/>
                <w:szCs w:val="21"/>
                <w:highlight w:val="none"/>
              </w:rPr>
              <w:t>供应商应准备2种形式的投标文件：电子加密投标文件、以介质存储的数据电文形式的备份投标文件。</w:t>
            </w:r>
          </w:p>
          <w:p>
            <w:pPr>
              <w:adjustRightInd w:val="0"/>
              <w:snapToGrid w:val="0"/>
              <w:spacing w:line="360" w:lineRule="auto"/>
              <w:rPr>
                <w:color w:val="auto"/>
                <w:szCs w:val="21"/>
                <w:highlight w:val="none"/>
              </w:rPr>
            </w:pPr>
            <w:r>
              <w:rPr>
                <w:color w:val="auto"/>
                <w:szCs w:val="21"/>
                <w:highlight w:val="none"/>
              </w:rPr>
              <w:t>（1）“电子加密投标文件”是指通过“政采云电子交易客户端”完成投标文件编制后生成并加密的数据电文形式的投标文件</w:t>
            </w:r>
            <w:r>
              <w:rPr>
                <w:rFonts w:hint="eastAsia"/>
                <w:color w:val="auto"/>
                <w:szCs w:val="21"/>
                <w:highlight w:val="none"/>
              </w:rPr>
              <w:t>（后缀格式为.jmbs）</w:t>
            </w:r>
          </w:p>
          <w:p>
            <w:pPr>
              <w:adjustRightInd w:val="0"/>
              <w:snapToGrid w:val="0"/>
              <w:spacing w:line="360" w:lineRule="auto"/>
              <w:rPr>
                <w:rFonts w:ascii="宋体" w:hAnsi="宋体"/>
                <w:color w:val="auto"/>
                <w:szCs w:val="21"/>
                <w:highlight w:val="none"/>
              </w:rPr>
            </w:pPr>
            <w:r>
              <w:rPr>
                <w:color w:val="auto"/>
                <w:szCs w:val="21"/>
                <w:highlight w:val="none"/>
              </w:rPr>
              <w:t>（2）“备份投标文件”是指与“电子加密投标文件”同时生成的数据电文形式的电子文件（备份投标文件</w:t>
            </w:r>
            <w:r>
              <w:rPr>
                <w:rFonts w:hint="eastAsia"/>
                <w:color w:val="auto"/>
                <w:szCs w:val="21"/>
                <w:highlight w:val="none"/>
              </w:rPr>
              <w:t>，用于供应商</w:t>
            </w:r>
            <w:r>
              <w:rPr>
                <w:color w:val="auto"/>
                <w:szCs w:val="21"/>
                <w:highlight w:val="none"/>
              </w:rPr>
              <w:t>电子加密投标文件</w:t>
            </w:r>
            <w:r>
              <w:rPr>
                <w:rFonts w:hint="eastAsia"/>
                <w:color w:val="auto"/>
                <w:szCs w:val="21"/>
                <w:highlight w:val="none"/>
              </w:rPr>
              <w:t>解密异常时应急使用</w:t>
            </w:r>
            <w:r>
              <w:rPr>
                <w:color w:val="auto"/>
                <w:szCs w:val="21"/>
                <w:highlight w:val="none"/>
              </w:rPr>
              <w:t>），其他方式编制的备份投标文件视为无效备份投标文件</w:t>
            </w:r>
            <w:r>
              <w:rPr>
                <w:rFonts w:hint="eastAsia"/>
                <w:color w:val="auto"/>
                <w:szCs w:val="21"/>
                <w:highlight w:val="none"/>
              </w:rPr>
              <w:t>。</w:t>
            </w:r>
            <w:r>
              <w:rPr>
                <w:color w:val="auto"/>
                <w:szCs w:val="21"/>
                <w:highlight w:val="none"/>
              </w:rPr>
              <w:t>备份投标文件</w:t>
            </w:r>
            <w:r>
              <w:rPr>
                <w:rFonts w:hint="eastAsia"/>
                <w:color w:val="auto"/>
                <w:szCs w:val="21"/>
                <w:highlight w:val="none"/>
              </w:rPr>
              <w:t>（后缀格式为.bfbs）以U盘形式提供。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15</w:t>
            </w:r>
          </w:p>
        </w:tc>
        <w:tc>
          <w:tcPr>
            <w:tcW w:w="1830" w:type="dxa"/>
            <w:noWrap w:val="0"/>
            <w:vAlign w:val="center"/>
          </w:tcPr>
          <w:p>
            <w:pPr>
              <w:pStyle w:val="192"/>
              <w:snapToGrid w:val="0"/>
              <w:spacing w:line="360" w:lineRule="auto"/>
              <w:ind w:firstLine="0" w:firstLineChars="0"/>
              <w:jc w:val="left"/>
              <w:rPr>
                <w:rFonts w:ascii="Times New Roman" w:hAnsi="Times New Roman"/>
                <w:color w:val="auto"/>
                <w:highlight w:val="none"/>
              </w:rPr>
            </w:pPr>
            <w:r>
              <w:rPr>
                <w:rFonts w:hint="eastAsia" w:ascii="宋体" w:hAnsi="宋体"/>
                <w:color w:val="auto"/>
                <w:szCs w:val="21"/>
                <w:highlight w:val="none"/>
              </w:rPr>
              <w:t>投标文件的上传和递交</w:t>
            </w:r>
          </w:p>
        </w:tc>
        <w:tc>
          <w:tcPr>
            <w:tcW w:w="6604" w:type="dxa"/>
            <w:noWrap w:val="0"/>
            <w:vAlign w:val="center"/>
          </w:tcPr>
          <w:p>
            <w:pPr>
              <w:adjustRightInd w:val="0"/>
              <w:snapToGrid w:val="0"/>
              <w:spacing w:line="360" w:lineRule="auto"/>
              <w:rPr>
                <w:rFonts w:hint="eastAsia"/>
                <w:color w:val="auto"/>
                <w:szCs w:val="21"/>
                <w:highlight w:val="none"/>
              </w:rPr>
            </w:pPr>
            <w:r>
              <w:rPr>
                <w:rFonts w:hint="eastAsia"/>
                <w:color w:val="auto"/>
                <w:szCs w:val="21"/>
                <w:highlight w:val="none"/>
              </w:rPr>
              <w:t>（1）电子加密投标文件：投标文件制作完成并生成加密文件，在投标截止时间前，供应商需将加密的投标文件上传至浙江政府采购网，到达开标时间后，供应商自行解密。</w:t>
            </w:r>
            <w:r>
              <w:rPr>
                <w:rFonts w:hint="eastAsia"/>
                <w:color w:val="000000"/>
                <w:szCs w:val="21"/>
                <w:highlight w:val="none"/>
                <w:lang w:eastAsia="zh-CN"/>
              </w:rPr>
              <w:t>（具体操作指南：详见政采云平台“服务中心-帮助文档-项目采购-操作流程-电子招投标-政府采购项目电子交易管理操作指南-供应商”。）</w:t>
            </w:r>
          </w:p>
          <w:p>
            <w:pPr>
              <w:pStyle w:val="192"/>
              <w:snapToGrid w:val="0"/>
              <w:spacing w:line="360" w:lineRule="auto"/>
              <w:ind w:firstLine="0" w:firstLineChars="0"/>
              <w:rPr>
                <w:rFonts w:hint="eastAsia"/>
                <w:color w:val="auto"/>
                <w:szCs w:val="21"/>
                <w:highlight w:val="none"/>
              </w:rPr>
            </w:pPr>
            <w:r>
              <w:rPr>
                <w:rFonts w:hint="eastAsia"/>
                <w:color w:val="auto"/>
                <w:szCs w:val="21"/>
                <w:highlight w:val="none"/>
              </w:rPr>
              <w:t>供应商未能在投标截止时间前成功上传电子加密投标文件的投标无效。</w:t>
            </w:r>
          </w:p>
          <w:p>
            <w:pPr>
              <w:adjustRightInd w:val="0"/>
              <w:snapToGrid w:val="0"/>
              <w:spacing w:line="360" w:lineRule="auto"/>
              <w:rPr>
                <w:rFonts w:hint="eastAsia"/>
                <w:color w:val="auto"/>
                <w:szCs w:val="21"/>
                <w:highlight w:val="none"/>
              </w:rPr>
            </w:pPr>
            <w:r>
              <w:rPr>
                <w:rFonts w:hint="eastAsia"/>
                <w:color w:val="auto"/>
                <w:szCs w:val="21"/>
                <w:highlight w:val="none"/>
              </w:rPr>
              <w:t>（2）备份投标文件：投标截止时间前，供应商应将备份投标文件递交至开标地点，以便电子加密投标文件解密异常时应急使用。</w:t>
            </w:r>
          </w:p>
          <w:p>
            <w:pPr>
              <w:pStyle w:val="192"/>
              <w:snapToGrid w:val="0"/>
              <w:spacing w:line="360" w:lineRule="auto"/>
              <w:ind w:firstLine="0" w:firstLineChars="0"/>
              <w:rPr>
                <w:rFonts w:hint="eastAsia"/>
                <w:color w:val="auto"/>
                <w:szCs w:val="21"/>
                <w:highlight w:val="none"/>
              </w:rPr>
            </w:pPr>
            <w:r>
              <w:rPr>
                <w:rFonts w:hint="eastAsia"/>
                <w:color w:val="auto"/>
                <w:szCs w:val="21"/>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r>
              <w:rPr>
                <w:rFonts w:hint="eastAsia"/>
                <w:color w:val="auto"/>
                <w:szCs w:val="21"/>
                <w:highlight w:val="none"/>
                <w:lang w:val="en-US" w:eastAsia="zh-CN"/>
              </w:rPr>
              <w:t>或发邮件至</w:t>
            </w:r>
            <w:r>
              <w:rPr>
                <w:rFonts w:hint="eastAsia"/>
                <w:color w:val="auto"/>
                <w:szCs w:val="21"/>
                <w:highlight w:val="none"/>
              </w:rPr>
              <w:t>178433617@qq.com</w:t>
            </w:r>
          </w:p>
          <w:p>
            <w:pPr>
              <w:pStyle w:val="192"/>
              <w:numPr>
                <w:ilvl w:val="0"/>
                <w:numId w:val="2"/>
              </w:numPr>
              <w:snapToGrid w:val="0"/>
              <w:spacing w:line="360" w:lineRule="auto"/>
              <w:ind w:firstLine="0" w:firstLineChars="0"/>
              <w:rPr>
                <w:rFonts w:hint="eastAsia"/>
                <w:color w:val="auto"/>
                <w:szCs w:val="21"/>
                <w:highlight w:val="none"/>
              </w:rPr>
            </w:pPr>
            <w:r>
              <w:rPr>
                <w:rFonts w:hint="eastAsia" w:ascii="宋体" w:hAnsi="宋体" w:cs="Courier New"/>
                <w:bCs/>
                <w:color w:val="auto"/>
                <w:szCs w:val="21"/>
                <w:highlight w:val="none"/>
              </w:rPr>
              <w:t>供应商若选择非开标当天递交，请确保在</w:t>
            </w:r>
            <w:r>
              <w:rPr>
                <w:rFonts w:hint="eastAsia"/>
                <w:color w:val="auto"/>
                <w:szCs w:val="21"/>
                <w:highlight w:val="none"/>
              </w:rPr>
              <w:t>2023年</w:t>
            </w:r>
            <w:r>
              <w:rPr>
                <w:rFonts w:hint="eastAsia"/>
                <w:bCs/>
                <w:color w:val="auto"/>
                <w:szCs w:val="21"/>
                <w:highlight w:val="none"/>
                <w:lang w:val="en-US" w:eastAsia="zh-CN"/>
              </w:rPr>
              <w:t>3</w:t>
            </w:r>
            <w:r>
              <w:rPr>
                <w:color w:val="auto"/>
                <w:szCs w:val="21"/>
                <w:highlight w:val="none"/>
              </w:rPr>
              <w:t>月</w:t>
            </w:r>
            <w:r>
              <w:rPr>
                <w:rFonts w:hint="eastAsia"/>
                <w:bCs/>
                <w:color w:val="auto"/>
                <w:szCs w:val="21"/>
                <w:highlight w:val="none"/>
                <w:lang w:val="en-US" w:eastAsia="zh-CN"/>
              </w:rPr>
              <w:t>2</w:t>
            </w:r>
            <w:r>
              <w:rPr>
                <w:rFonts w:hint="eastAsia"/>
                <w:bCs/>
                <w:color w:val="auto"/>
                <w:szCs w:val="21"/>
                <w:highlight w:val="none"/>
                <w:lang w:val="en-US" w:eastAsia="zh-CN"/>
              </w:rPr>
              <w:t>3</w:t>
            </w:r>
            <w:r>
              <w:rPr>
                <w:color w:val="auto"/>
                <w:szCs w:val="21"/>
                <w:highlight w:val="none"/>
              </w:rPr>
              <w:t>日17</w:t>
            </w:r>
            <w:r>
              <w:rPr>
                <w:rFonts w:hint="eastAsia"/>
                <w:color w:val="auto"/>
                <w:szCs w:val="21"/>
                <w:highlight w:val="none"/>
              </w:rPr>
              <w:t>：</w:t>
            </w:r>
            <w:r>
              <w:rPr>
                <w:color w:val="auto"/>
                <w:szCs w:val="21"/>
                <w:highlight w:val="none"/>
              </w:rPr>
              <w:t>00之前</w:t>
            </w:r>
            <w:r>
              <w:rPr>
                <w:rFonts w:hint="eastAsia" w:ascii="宋体" w:hAnsi="宋体" w:cs="Courier New"/>
                <w:bCs/>
                <w:color w:val="auto"/>
                <w:szCs w:val="21"/>
                <w:highlight w:val="none"/>
              </w:rPr>
              <w:t>，将备份投标文件通过快递形式或直接送达采购代理机构处，以便</w:t>
            </w:r>
            <w:r>
              <w:rPr>
                <w:rFonts w:hint="eastAsia" w:ascii="宋体" w:hAnsi="宋体"/>
                <w:bCs/>
                <w:color w:val="auto"/>
                <w:szCs w:val="21"/>
                <w:highlight w:val="none"/>
              </w:rPr>
              <w:t>标书解密异常时应急使用</w:t>
            </w:r>
            <w:r>
              <w:rPr>
                <w:rFonts w:hint="eastAsia" w:ascii="宋体" w:hAnsi="宋体" w:cs="Courier New"/>
                <w:bCs/>
                <w:color w:val="auto"/>
                <w:szCs w:val="21"/>
                <w:highlight w:val="none"/>
              </w:rPr>
              <w:t>（地址：杭州市文三路90号东部软件园1号楼3楼305室，接收人：李博，电话：13516722354）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92"/>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16</w:t>
            </w:r>
          </w:p>
        </w:tc>
        <w:tc>
          <w:tcPr>
            <w:tcW w:w="1830" w:type="dxa"/>
            <w:noWrap w:val="0"/>
            <w:vAlign w:val="center"/>
          </w:tcPr>
          <w:p>
            <w:pPr>
              <w:pStyle w:val="192"/>
              <w:snapToGrid w:val="0"/>
              <w:spacing w:line="360" w:lineRule="auto"/>
              <w:ind w:firstLine="0" w:firstLineChars="0"/>
              <w:jc w:val="left"/>
              <w:rPr>
                <w:rFonts w:ascii="Times New Roman" w:hAnsi="Times New Roman"/>
                <w:color w:val="auto"/>
                <w:highlight w:val="none"/>
              </w:rPr>
            </w:pPr>
            <w:r>
              <w:rPr>
                <w:rFonts w:hint="eastAsia" w:ascii="宋体" w:hAnsi="宋体"/>
                <w:snapToGrid w:val="0"/>
                <w:color w:val="auto"/>
                <w:kern w:val="0"/>
                <w:szCs w:val="21"/>
                <w:highlight w:val="none"/>
              </w:rPr>
              <w:t>询标澄清</w:t>
            </w:r>
          </w:p>
        </w:tc>
        <w:tc>
          <w:tcPr>
            <w:tcW w:w="6604" w:type="dxa"/>
            <w:noWrap w:val="0"/>
            <w:vAlign w:val="center"/>
          </w:tcPr>
          <w:p>
            <w:pPr>
              <w:pStyle w:val="192"/>
              <w:snapToGrid w:val="0"/>
              <w:spacing w:line="360" w:lineRule="auto"/>
              <w:ind w:firstLine="0" w:firstLineChars="0"/>
              <w:rPr>
                <w:rFonts w:ascii="Times New Roman" w:hAnsi="Times New Roman"/>
                <w:color w:val="auto"/>
                <w:szCs w:val="21"/>
                <w:highlight w:val="none"/>
              </w:rPr>
            </w:pPr>
            <w:r>
              <w:rPr>
                <w:rFonts w:hint="eastAsia" w:hAnsi="宋体"/>
                <w:color w:val="auto"/>
                <w:highlight w:val="none"/>
              </w:rPr>
              <w:t>在评标过程中，如评审小组对投标文件有疑问，由评审组长或代理机构代为将问题汇总后发起询标澄清函，供应商应在规定截止时间前回复相关内容并提交。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rFonts w:hint="eastAsia"/>
                <w:color w:val="auto"/>
                <w:kern w:val="0"/>
                <w:highlight w:val="none"/>
              </w:rPr>
            </w:pPr>
            <w:r>
              <w:rPr>
                <w:rFonts w:hint="eastAsia"/>
                <w:color w:val="auto"/>
                <w:kern w:val="0"/>
                <w:highlight w:val="none"/>
              </w:rPr>
              <w:t>17</w:t>
            </w:r>
          </w:p>
        </w:tc>
        <w:tc>
          <w:tcPr>
            <w:tcW w:w="1830" w:type="dxa"/>
            <w:noWrap w:val="0"/>
            <w:vAlign w:val="center"/>
          </w:tcPr>
          <w:p>
            <w:pPr>
              <w:adjustRightInd w:val="0"/>
              <w:snapToGrid w:val="0"/>
              <w:spacing w:line="360" w:lineRule="auto"/>
              <w:jc w:val="left"/>
              <w:rPr>
                <w:snapToGrid w:val="0"/>
                <w:color w:val="auto"/>
                <w:kern w:val="0"/>
                <w:szCs w:val="21"/>
                <w:highlight w:val="none"/>
              </w:rPr>
            </w:pPr>
            <w:r>
              <w:rPr>
                <w:snapToGrid w:val="0"/>
                <w:color w:val="auto"/>
                <w:kern w:val="0"/>
                <w:szCs w:val="21"/>
                <w:highlight w:val="none"/>
              </w:rPr>
              <w:t>质疑</w:t>
            </w:r>
          </w:p>
        </w:tc>
        <w:tc>
          <w:tcPr>
            <w:tcW w:w="6604" w:type="dxa"/>
            <w:noWrap w:val="0"/>
            <w:vAlign w:val="center"/>
          </w:tcPr>
          <w:p>
            <w:pPr>
              <w:adjustRightInd w:val="0"/>
              <w:snapToGrid w:val="0"/>
              <w:spacing w:line="360" w:lineRule="auto"/>
              <w:jc w:val="left"/>
              <w:rPr>
                <w:color w:val="auto"/>
                <w:highlight w:val="none"/>
              </w:rPr>
            </w:pPr>
            <w:r>
              <w:rPr>
                <w:color w:val="auto"/>
                <w:highlight w:val="none"/>
              </w:rPr>
              <w:t>根据《中华人民共和国政府采购法》第五十二条的规定，供应商认为</w:t>
            </w:r>
            <w:r>
              <w:rPr>
                <w:rFonts w:hint="eastAsia"/>
                <w:color w:val="auto"/>
                <w:highlight w:val="none"/>
              </w:rPr>
              <w:t>采购文件</w:t>
            </w:r>
            <w:r>
              <w:rPr>
                <w:color w:val="auto"/>
                <w:highlight w:val="none"/>
              </w:rPr>
              <w:t>、采购过程和中标、成交结果使自己的权益受到损害的，可以在知道或者应知其权益受到损害之日起七个工作日内，以书面形式向采购人、采购代理机构提出质疑。</w:t>
            </w:r>
          </w:p>
          <w:p>
            <w:pPr>
              <w:adjustRightInd w:val="0"/>
              <w:snapToGrid w:val="0"/>
              <w:spacing w:line="360" w:lineRule="auto"/>
              <w:jc w:val="left"/>
              <w:rPr>
                <w:color w:val="auto"/>
                <w:highlight w:val="none"/>
              </w:rPr>
            </w:pPr>
            <w:r>
              <w:rPr>
                <w:color w:val="auto"/>
                <w:highlight w:val="none"/>
              </w:rPr>
              <w:t>政府采购法第五十二条规定的供应商应知其权益受到损害之日，是指：</w:t>
            </w:r>
          </w:p>
          <w:p>
            <w:pPr>
              <w:adjustRightInd w:val="0"/>
              <w:snapToGrid w:val="0"/>
              <w:spacing w:line="360" w:lineRule="auto"/>
              <w:jc w:val="left"/>
              <w:rPr>
                <w:color w:val="auto"/>
                <w:highlight w:val="none"/>
              </w:rPr>
            </w:pPr>
            <w:r>
              <w:rPr>
                <w:color w:val="auto"/>
                <w:highlight w:val="none"/>
              </w:rPr>
              <w:t>（一）对可以质疑的采购文件提出质疑的，为收到采购文件之日或者采购文件公告期限届满之日；</w:t>
            </w:r>
          </w:p>
          <w:p>
            <w:pPr>
              <w:adjustRightInd w:val="0"/>
              <w:snapToGrid w:val="0"/>
              <w:spacing w:line="360" w:lineRule="auto"/>
              <w:jc w:val="left"/>
              <w:rPr>
                <w:color w:val="auto"/>
                <w:highlight w:val="none"/>
              </w:rPr>
            </w:pPr>
            <w:r>
              <w:rPr>
                <w:color w:val="auto"/>
                <w:highlight w:val="none"/>
              </w:rPr>
              <w:t>（二）对采购过程提出质疑的，为各采购程序环节结束之日；</w:t>
            </w:r>
          </w:p>
          <w:p>
            <w:pPr>
              <w:adjustRightInd w:val="0"/>
              <w:snapToGrid w:val="0"/>
              <w:spacing w:line="360" w:lineRule="auto"/>
              <w:jc w:val="left"/>
              <w:rPr>
                <w:color w:val="auto"/>
                <w:highlight w:val="none"/>
              </w:rPr>
            </w:pPr>
            <w:r>
              <w:rPr>
                <w:color w:val="auto"/>
                <w:highlight w:val="none"/>
              </w:rPr>
              <w:t>（三）对中标或者成交结果提出质疑的，为中标或者成交结果公告期限届满之日。</w:t>
            </w:r>
          </w:p>
          <w:p>
            <w:pPr>
              <w:adjustRightInd w:val="0"/>
              <w:snapToGrid w:val="0"/>
              <w:spacing w:line="360" w:lineRule="auto"/>
              <w:rPr>
                <w:color w:val="auto"/>
                <w:highlight w:val="none"/>
              </w:rPr>
            </w:pPr>
            <w:r>
              <w:rPr>
                <w:color w:val="auto"/>
                <w:highlight w:val="none"/>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rFonts w:hint="eastAsia"/>
                <w:color w:val="auto"/>
                <w:kern w:val="0"/>
                <w:highlight w:val="none"/>
              </w:rPr>
            </w:pPr>
            <w:r>
              <w:rPr>
                <w:rFonts w:hint="eastAsia"/>
                <w:color w:val="auto"/>
                <w:kern w:val="0"/>
                <w:highlight w:val="none"/>
              </w:rPr>
              <w:t>18</w:t>
            </w:r>
          </w:p>
        </w:tc>
        <w:tc>
          <w:tcPr>
            <w:tcW w:w="1830" w:type="dxa"/>
            <w:noWrap w:val="0"/>
            <w:vAlign w:val="center"/>
          </w:tcPr>
          <w:p>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投诉</w:t>
            </w:r>
          </w:p>
        </w:tc>
        <w:tc>
          <w:tcPr>
            <w:tcW w:w="6604" w:type="dxa"/>
            <w:noWrap w:val="0"/>
            <w:vAlign w:val="center"/>
          </w:tcPr>
          <w:p>
            <w:pPr>
              <w:adjustRightInd w:val="0"/>
              <w:snapToGrid w:val="0"/>
              <w:spacing w:line="360" w:lineRule="auto"/>
              <w:rPr>
                <w:color w:val="auto"/>
                <w:highlight w:val="none"/>
              </w:rPr>
            </w:pPr>
            <w:r>
              <w:rPr>
                <w:color w:val="auto"/>
                <w:highlight w:val="none"/>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p>
            <w:pPr>
              <w:pStyle w:val="2"/>
              <w:jc w:val="left"/>
              <w:rPr>
                <w:color w:val="auto"/>
                <w:highlight w:val="none"/>
                <w:lang w:val="en-US" w:eastAsia="zh-CN"/>
              </w:rPr>
            </w:pPr>
            <w:r>
              <w:rPr>
                <w:rFonts w:ascii="Times New Roman" w:hAnsi="Times New Roman" w:eastAsia="宋体"/>
                <w:b w:val="0"/>
                <w:color w:val="auto"/>
                <w:sz w:val="21"/>
                <w:highlight w:val="none"/>
                <w:lang w:val="en-US" w:eastAsia="zh-CN"/>
              </w:rPr>
              <w:t>以联合体形式参加政府采购活动的，其投诉应当由组成联合体的所有供应商共同提出。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color w:val="auto"/>
                <w:kern w:val="0"/>
                <w:highlight w:val="none"/>
              </w:rPr>
            </w:pPr>
            <w:r>
              <w:rPr>
                <w:rFonts w:hint="eastAsia"/>
                <w:color w:val="auto"/>
                <w:kern w:val="0"/>
                <w:highlight w:val="none"/>
              </w:rPr>
              <w:t>19</w:t>
            </w:r>
          </w:p>
        </w:tc>
        <w:tc>
          <w:tcPr>
            <w:tcW w:w="1830" w:type="dxa"/>
            <w:noWrap w:val="0"/>
            <w:vAlign w:val="center"/>
          </w:tcPr>
          <w:p>
            <w:pPr>
              <w:snapToGrid w:val="0"/>
              <w:spacing w:line="360" w:lineRule="auto"/>
              <w:jc w:val="left"/>
              <w:rPr>
                <w:color w:val="auto"/>
                <w:szCs w:val="21"/>
                <w:highlight w:val="none"/>
              </w:rPr>
            </w:pPr>
            <w:r>
              <w:rPr>
                <w:color w:val="auto"/>
                <w:szCs w:val="21"/>
                <w:highlight w:val="none"/>
              </w:rPr>
              <w:t>样品</w:t>
            </w:r>
          </w:p>
        </w:tc>
        <w:tc>
          <w:tcPr>
            <w:tcW w:w="6604" w:type="dxa"/>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不提供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rFonts w:hint="eastAsia"/>
                <w:color w:val="auto"/>
                <w:kern w:val="0"/>
                <w:highlight w:val="none"/>
              </w:rPr>
            </w:pPr>
            <w:r>
              <w:rPr>
                <w:rFonts w:hint="eastAsia"/>
                <w:color w:val="auto"/>
                <w:kern w:val="0"/>
                <w:highlight w:val="none"/>
              </w:rPr>
              <w:t>20</w:t>
            </w:r>
          </w:p>
        </w:tc>
        <w:tc>
          <w:tcPr>
            <w:tcW w:w="1830" w:type="dxa"/>
            <w:noWrap w:val="0"/>
            <w:vAlign w:val="center"/>
          </w:tcPr>
          <w:p>
            <w:pPr>
              <w:snapToGrid w:val="0"/>
              <w:spacing w:line="360" w:lineRule="auto"/>
              <w:jc w:val="left"/>
              <w:rPr>
                <w:color w:val="auto"/>
                <w:szCs w:val="21"/>
                <w:highlight w:val="none"/>
              </w:rPr>
            </w:pPr>
            <w:r>
              <w:rPr>
                <w:color w:val="auto"/>
                <w:szCs w:val="21"/>
                <w:highlight w:val="none"/>
              </w:rPr>
              <w:t>演示</w:t>
            </w:r>
          </w:p>
        </w:tc>
        <w:tc>
          <w:tcPr>
            <w:tcW w:w="6604" w:type="dxa"/>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不要求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rFonts w:hint="eastAsia"/>
                <w:color w:val="auto"/>
                <w:kern w:val="0"/>
                <w:highlight w:val="none"/>
              </w:rPr>
            </w:pPr>
            <w:r>
              <w:rPr>
                <w:rFonts w:hint="eastAsia"/>
                <w:color w:val="auto"/>
                <w:kern w:val="0"/>
                <w:highlight w:val="none"/>
              </w:rPr>
              <w:t>21</w:t>
            </w:r>
          </w:p>
        </w:tc>
        <w:tc>
          <w:tcPr>
            <w:tcW w:w="1830" w:type="dxa"/>
            <w:noWrap w:val="0"/>
            <w:vAlign w:val="center"/>
          </w:tcPr>
          <w:p>
            <w:pPr>
              <w:adjustRightInd w:val="0"/>
              <w:snapToGrid w:val="0"/>
              <w:jc w:val="lef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支持中小企业</w:t>
            </w:r>
          </w:p>
        </w:tc>
        <w:tc>
          <w:tcPr>
            <w:tcW w:w="6604" w:type="dxa"/>
            <w:noWrap w:val="0"/>
            <w:vAlign w:val="center"/>
          </w:tcPr>
          <w:p>
            <w:pPr>
              <w:spacing w:line="360" w:lineRule="auto"/>
              <w:rPr>
                <w:color w:val="auto"/>
                <w:highlight w:val="none"/>
              </w:rPr>
            </w:pPr>
            <w:r>
              <w:rPr>
                <w:rFonts w:hint="eastAsia"/>
                <w:color w:val="auto"/>
                <w:highlight w:val="none"/>
              </w:rPr>
              <w:t>1.说明</w:t>
            </w:r>
          </w:p>
          <w:p>
            <w:pPr>
              <w:spacing w:line="360" w:lineRule="auto"/>
              <w:rPr>
                <w:color w:val="auto"/>
                <w:highlight w:val="none"/>
              </w:rPr>
            </w:pPr>
            <w:r>
              <w:rPr>
                <w:rFonts w:hint="eastAsia"/>
                <w:color w:val="auto"/>
                <w:highlight w:val="none"/>
              </w:rPr>
              <w:t>（1）中小企业</w:t>
            </w:r>
          </w:p>
          <w:p>
            <w:pPr>
              <w:spacing w:line="360" w:lineRule="auto"/>
              <w:ind w:firstLine="420" w:firstLineChars="200"/>
              <w:rPr>
                <w:rFonts w:hint="eastAsia"/>
                <w:color w:val="auto"/>
                <w:highlight w:val="none"/>
              </w:rPr>
            </w:pPr>
            <w:r>
              <w:rPr>
                <w:rFonts w:hint="eastAsia"/>
                <w:color w:val="auto"/>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hint="eastAsia"/>
                <w:color w:val="auto"/>
                <w:highlight w:val="none"/>
              </w:rPr>
            </w:pPr>
            <w:r>
              <w:rPr>
                <w:rFonts w:hint="eastAsia"/>
                <w:color w:val="auto"/>
                <w:highlight w:val="none"/>
              </w:rPr>
              <w:t>符合中小企业划分标准的个体工商户，在政府采购活动中视同中小企业。</w:t>
            </w:r>
          </w:p>
          <w:p>
            <w:pPr>
              <w:spacing w:line="360" w:lineRule="auto"/>
              <w:ind w:firstLine="420" w:firstLineChars="200"/>
              <w:rPr>
                <w:rFonts w:hint="eastAsia"/>
                <w:color w:val="auto"/>
                <w:highlight w:val="none"/>
              </w:rPr>
            </w:pPr>
            <w:r>
              <w:rPr>
                <w:rFonts w:hint="eastAsia"/>
                <w:color w:val="auto"/>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spacing w:line="360" w:lineRule="auto"/>
              <w:ind w:firstLine="420" w:firstLineChars="200"/>
              <w:rPr>
                <w:rFonts w:hint="eastAsia"/>
                <w:color w:val="auto"/>
                <w:highlight w:val="none"/>
              </w:rPr>
            </w:pPr>
            <w:r>
              <w:rPr>
                <w:rFonts w:hint="eastAsia"/>
                <w:color w:val="auto"/>
                <w:highlight w:val="none"/>
              </w:rPr>
              <w:t>在货物采购项目中，供应商提供的货物既有中小企业制造货物，也有大型企业制造货物的，不享受本办法规定的中小企业扶持政策。</w:t>
            </w:r>
          </w:p>
          <w:p>
            <w:pPr>
              <w:spacing w:line="360" w:lineRule="auto"/>
              <w:ind w:firstLine="420" w:firstLineChars="200"/>
              <w:rPr>
                <w:rFonts w:hint="eastAsia"/>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color w:val="auto"/>
                <w:highlight w:val="none"/>
              </w:rPr>
            </w:pPr>
            <w:r>
              <w:rPr>
                <w:rFonts w:hint="eastAsia"/>
                <w:color w:val="auto"/>
                <w:highlight w:val="none"/>
              </w:rPr>
              <w:t>投标文件中须同时出具《政府采购促进中小企业发展管理办法》【财库（2020）46号】规定的《中小企业声明函》。</w:t>
            </w:r>
          </w:p>
          <w:p>
            <w:pPr>
              <w:spacing w:line="360" w:lineRule="auto"/>
              <w:rPr>
                <w:color w:val="auto"/>
                <w:highlight w:val="none"/>
              </w:rPr>
            </w:pPr>
            <w:r>
              <w:rPr>
                <w:rFonts w:hint="eastAsia"/>
                <w:color w:val="auto"/>
                <w:highlight w:val="none"/>
              </w:rPr>
              <w:t>（2）残疾人福利性单位</w:t>
            </w:r>
          </w:p>
          <w:p>
            <w:pPr>
              <w:spacing w:line="360" w:lineRule="auto"/>
              <w:ind w:firstLine="420" w:firstLineChars="200"/>
              <w:rPr>
                <w:rFonts w:hint="eastAsia"/>
                <w:color w:val="auto"/>
                <w:highlight w:val="none"/>
              </w:rPr>
            </w:pPr>
            <w:r>
              <w:rPr>
                <w:rFonts w:hint="eastAsia"/>
                <w:color w:val="auto"/>
                <w:highlight w:val="none"/>
              </w:rPr>
              <w:t>符合《关于促进残疾人就业政府采购政策的通知》（财库〔2017〕141号）规定的条件并提供提供《残疾人福利性单位声明函》的残疾人福利性单位视同小型、微型企业；</w:t>
            </w:r>
          </w:p>
          <w:p>
            <w:pPr>
              <w:spacing w:line="360" w:lineRule="auto"/>
              <w:rPr>
                <w:color w:val="auto"/>
                <w:highlight w:val="none"/>
              </w:rPr>
            </w:pPr>
            <w:r>
              <w:rPr>
                <w:rFonts w:hint="eastAsia"/>
                <w:color w:val="auto"/>
                <w:highlight w:val="none"/>
              </w:rPr>
              <w:t>（3）监狱企业</w:t>
            </w:r>
          </w:p>
          <w:p>
            <w:pPr>
              <w:spacing w:line="360" w:lineRule="auto"/>
              <w:ind w:firstLine="420" w:firstLineChars="200"/>
              <w:rPr>
                <w:rFonts w:hint="eastAsia"/>
                <w:color w:val="auto"/>
                <w:highlight w:val="none"/>
              </w:rPr>
            </w:pPr>
            <w:r>
              <w:rPr>
                <w:rFonts w:hint="eastAsia"/>
                <w:color w:val="auto"/>
                <w:highlight w:val="none"/>
              </w:rPr>
              <w:t>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hint="eastAsia"/>
                <w:color w:val="auto"/>
                <w:highlight w:val="none"/>
              </w:rPr>
            </w:pPr>
            <w:r>
              <w:rPr>
                <w:rFonts w:hint="eastAsia"/>
                <w:color w:val="auto"/>
                <w:highlight w:val="none"/>
              </w:rPr>
              <w:t>2.本项目采购标的为：鹿城院区（含学院路部、原成人急诊、南浦部）安保外包服务。</w:t>
            </w:r>
          </w:p>
          <w:p>
            <w:pPr>
              <w:spacing w:line="360" w:lineRule="auto"/>
              <w:rPr>
                <w:rFonts w:hint="eastAsia"/>
                <w:color w:val="auto"/>
                <w:highlight w:val="none"/>
              </w:rPr>
            </w:pPr>
            <w:r>
              <w:rPr>
                <w:rFonts w:hint="eastAsia"/>
                <w:color w:val="auto"/>
                <w:highlight w:val="none"/>
              </w:rPr>
              <w:t>3.所属行业为：租赁和商务服务业。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color w:val="auto"/>
                <w:kern w:val="0"/>
                <w:highlight w:val="none"/>
              </w:rPr>
            </w:pPr>
            <w:r>
              <w:rPr>
                <w:rFonts w:hint="eastAsia"/>
                <w:color w:val="auto"/>
                <w:kern w:val="0"/>
                <w:highlight w:val="none"/>
              </w:rPr>
              <w:t>22</w:t>
            </w:r>
          </w:p>
        </w:tc>
        <w:tc>
          <w:tcPr>
            <w:tcW w:w="1830" w:type="dxa"/>
            <w:noWrap w:val="0"/>
            <w:vAlign w:val="center"/>
          </w:tcPr>
          <w:p>
            <w:pPr>
              <w:adjustRightInd w:val="0"/>
              <w:snapToGrid w:val="0"/>
              <w:jc w:val="lef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联合体投标说明</w:t>
            </w:r>
          </w:p>
        </w:tc>
        <w:tc>
          <w:tcPr>
            <w:tcW w:w="6604" w:type="dxa"/>
            <w:noWrap w:val="0"/>
            <w:vAlign w:val="center"/>
          </w:tcPr>
          <w:p>
            <w:pPr>
              <w:spacing w:line="360" w:lineRule="auto"/>
              <w:rPr>
                <w:rFonts w:hint="eastAsia"/>
                <w:color w:val="auto"/>
                <w:highlight w:val="none"/>
              </w:rPr>
            </w:pPr>
            <w:r>
              <w:rPr>
                <w:rFonts w:hint="eastAsia"/>
                <w:color w:val="auto"/>
                <w:highlight w:val="none"/>
              </w:rPr>
              <w:t>（1）以联合体形式投标的，联合体各方的业绩证明材料均认可。</w:t>
            </w:r>
          </w:p>
          <w:p>
            <w:pPr>
              <w:spacing w:line="360" w:lineRule="auto"/>
              <w:rPr>
                <w:rFonts w:hint="eastAsia"/>
                <w:color w:val="auto"/>
                <w:highlight w:val="none"/>
              </w:rPr>
            </w:pPr>
            <w:r>
              <w:rPr>
                <w:rFonts w:hint="eastAsia"/>
                <w:color w:val="auto"/>
                <w:highlight w:val="none"/>
              </w:rPr>
              <w:t>（2）以联合体形式投标的，联合体中有一方或者联合体成员根据分工按采购文件评标细则要求提供材料的，视为符合评审要求。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rFonts w:hint="eastAsia"/>
                <w:color w:val="auto"/>
                <w:kern w:val="0"/>
                <w:highlight w:val="none"/>
              </w:rPr>
            </w:pPr>
            <w:r>
              <w:rPr>
                <w:rFonts w:hint="eastAsia"/>
                <w:color w:val="auto"/>
                <w:kern w:val="0"/>
                <w:highlight w:val="none"/>
              </w:rPr>
              <w:t>23</w:t>
            </w:r>
          </w:p>
        </w:tc>
        <w:tc>
          <w:tcPr>
            <w:tcW w:w="1830" w:type="dxa"/>
            <w:noWrap w:val="0"/>
            <w:vAlign w:val="center"/>
          </w:tcPr>
          <w:p>
            <w:pPr>
              <w:snapToGrid w:val="0"/>
              <w:spacing w:line="360" w:lineRule="auto"/>
              <w:jc w:val="left"/>
              <w:rPr>
                <w:color w:val="auto"/>
                <w:kern w:val="0"/>
                <w:highlight w:val="none"/>
              </w:rPr>
            </w:pPr>
            <w:r>
              <w:rPr>
                <w:color w:val="auto"/>
                <w:kern w:val="0"/>
                <w:highlight w:val="none"/>
              </w:rPr>
              <w:t>其他</w:t>
            </w:r>
          </w:p>
        </w:tc>
        <w:tc>
          <w:tcPr>
            <w:tcW w:w="6604" w:type="dxa"/>
            <w:noWrap w:val="0"/>
            <w:vAlign w:val="center"/>
          </w:tcPr>
          <w:p>
            <w:pPr>
              <w:pStyle w:val="40"/>
              <w:adjustRightInd w:val="0"/>
              <w:snapToGrid w:val="0"/>
              <w:spacing w:line="360" w:lineRule="auto"/>
              <w:rPr>
                <w:rFonts w:ascii="Times New Roman" w:hAnsi="Times New Roman"/>
                <w:snapToGrid w:val="0"/>
                <w:color w:val="auto"/>
                <w:kern w:val="0"/>
                <w:highlight w:val="none"/>
              </w:rPr>
            </w:pPr>
            <w:r>
              <w:rPr>
                <w:rFonts w:ascii="Times New Roman" w:hAnsi="Times New Roman"/>
                <w:color w:val="auto"/>
                <w:highlight w:val="none"/>
              </w:rPr>
              <w:t>（1）</w:t>
            </w:r>
            <w:r>
              <w:rPr>
                <w:rFonts w:ascii="Times New Roman" w:hAnsi="Times New Roman"/>
                <w:snapToGrid w:val="0"/>
                <w:color w:val="auto"/>
                <w:kern w:val="0"/>
                <w:highlight w:val="none"/>
              </w:rPr>
              <w:t>采购文件中凡标注“▲”的条款均为实质性要求，不响应的投标文件将作无效标处理。</w:t>
            </w:r>
          </w:p>
          <w:p>
            <w:pPr>
              <w:pStyle w:val="40"/>
              <w:adjustRightInd w:val="0"/>
              <w:snapToGrid w:val="0"/>
              <w:spacing w:line="360" w:lineRule="auto"/>
              <w:rPr>
                <w:rFonts w:ascii="Times New Roman" w:hAnsi="Times New Roman"/>
                <w:snapToGrid w:val="0"/>
                <w:color w:val="auto"/>
                <w:kern w:val="0"/>
                <w:highlight w:val="none"/>
              </w:rPr>
            </w:pPr>
            <w:r>
              <w:rPr>
                <w:rFonts w:ascii="Times New Roman" w:hAnsi="Times New Roman"/>
                <w:snapToGrid w:val="0"/>
                <w:color w:val="auto"/>
                <w:kern w:val="0"/>
                <w:highlight w:val="none"/>
              </w:rPr>
              <w:t>（2）</w:t>
            </w:r>
            <w:r>
              <w:rPr>
                <w:rFonts w:ascii="Times New Roman" w:hAnsi="Times New Roman"/>
                <w:color w:val="auto"/>
                <w:szCs w:val="21"/>
                <w:highlight w:val="none"/>
              </w:rPr>
              <w:t>供应商未上传电子加密投标文件，其投标无效。</w:t>
            </w:r>
          </w:p>
          <w:p>
            <w:pPr>
              <w:pStyle w:val="40"/>
              <w:adjustRightInd w:val="0"/>
              <w:snapToGrid w:val="0"/>
              <w:spacing w:line="360" w:lineRule="auto"/>
              <w:rPr>
                <w:rFonts w:ascii="Times New Roman" w:hAnsi="Times New Roman"/>
                <w:color w:val="auto"/>
                <w:szCs w:val="21"/>
                <w:highlight w:val="none"/>
              </w:rPr>
            </w:pPr>
            <w:r>
              <w:rPr>
                <w:rFonts w:ascii="Times New Roman" w:hAnsi="Times New Roman"/>
                <w:snapToGrid w:val="0"/>
                <w:color w:val="auto"/>
                <w:kern w:val="0"/>
                <w:highlight w:val="none"/>
              </w:rPr>
              <w:t>（</w:t>
            </w:r>
            <w:r>
              <w:rPr>
                <w:rFonts w:hint="eastAsia" w:ascii="Times New Roman" w:hAnsi="Times New Roman"/>
                <w:snapToGrid w:val="0"/>
                <w:color w:val="auto"/>
                <w:kern w:val="0"/>
                <w:highlight w:val="none"/>
              </w:rPr>
              <w:t>3</w:t>
            </w:r>
            <w:r>
              <w:rPr>
                <w:rFonts w:ascii="Times New Roman" w:hAnsi="Times New Roman"/>
                <w:snapToGrid w:val="0"/>
                <w:color w:val="auto"/>
                <w:kern w:val="0"/>
                <w:highlight w:val="none"/>
              </w:rPr>
              <w:t>）供应商上传了</w:t>
            </w:r>
            <w:r>
              <w:rPr>
                <w:rFonts w:ascii="Times New Roman" w:hAnsi="Times New Roman"/>
                <w:color w:val="auto"/>
                <w:szCs w:val="21"/>
                <w:highlight w:val="none"/>
              </w:rPr>
              <w:t>电子加密投标文件，未提供备份投标文件，解密出现问题后，由此导致对该供应商投标无法评审的，其后果由该供应商自行承担。</w:t>
            </w:r>
          </w:p>
          <w:p>
            <w:pPr>
              <w:pStyle w:val="40"/>
              <w:adjustRightInd w:val="0"/>
              <w:snapToGrid w:val="0"/>
              <w:spacing w:line="360" w:lineRule="auto"/>
              <w:rPr>
                <w:rFonts w:ascii="Times New Roman" w:hAnsi="Times New Roman"/>
                <w:color w:val="auto"/>
                <w:szCs w:val="21"/>
                <w:highlight w:val="none"/>
              </w:rPr>
            </w:pPr>
            <w:r>
              <w:rPr>
                <w:rFonts w:hint="eastAsia" w:ascii="Times New Roman" w:hAnsi="Times New Roman"/>
                <w:color w:val="auto"/>
                <w:szCs w:val="21"/>
                <w:highlight w:val="none"/>
              </w:rPr>
              <w:t>（4）</w:t>
            </w:r>
            <w:r>
              <w:rPr>
                <w:rFonts w:ascii="Times New Roman" w:hAnsi="Times New Roman"/>
                <w:color w:val="auto"/>
                <w:szCs w:val="21"/>
                <w:highlight w:val="none"/>
              </w:rPr>
              <w:t>各供应商自行在</w:t>
            </w:r>
            <w:r>
              <w:rPr>
                <w:rFonts w:ascii="Times New Roman" w:hAnsi="Times New Roman"/>
                <w:color w:val="auto"/>
                <w:kern w:val="0"/>
                <w:szCs w:val="21"/>
                <w:highlight w:val="none"/>
              </w:rPr>
              <w:t>浙江政府采购网</w:t>
            </w:r>
            <w:r>
              <w:rPr>
                <w:rFonts w:ascii="Times New Roman" w:hAnsi="Times New Roman"/>
                <w:color w:val="auto"/>
                <w:szCs w:val="21"/>
                <w:highlight w:val="none"/>
              </w:rPr>
              <w:t>下载或查阅采购文件和相关更正公告等，不另行通知，如有遗漏采购人、采购代理机构概不负责。</w:t>
            </w:r>
          </w:p>
          <w:p>
            <w:pPr>
              <w:pStyle w:val="40"/>
              <w:adjustRightInd w:val="0"/>
              <w:snapToGrid w:val="0"/>
              <w:spacing w:line="360" w:lineRule="auto"/>
              <w:rPr>
                <w:color w:val="auto"/>
                <w:szCs w:val="21"/>
                <w:highlight w:val="none"/>
              </w:rPr>
            </w:pPr>
            <w:r>
              <w:rPr>
                <w:rFonts w:hint="eastAsia" w:ascii="Times New Roman" w:hAnsi="Times New Roman"/>
                <w:color w:val="auto"/>
                <w:szCs w:val="21"/>
                <w:highlight w:val="none"/>
              </w:rPr>
              <w:t>（5）两家或两家以上供应商提供的投标文件出自同一终端设备的，或在相同Internet主机分配地址（相同IP地址）报名或网上投标的，后果由供应商自行承担。</w:t>
            </w:r>
          </w:p>
        </w:tc>
      </w:tr>
    </w:tbl>
    <w:p>
      <w:pPr>
        <w:pStyle w:val="2"/>
        <w:snapToGrid w:val="0"/>
        <w:rPr>
          <w:rFonts w:ascii="Times New Roman" w:hAnsi="Times New Roman" w:eastAsia="宋体"/>
          <w:color w:val="auto"/>
          <w:highlight w:val="none"/>
        </w:rPr>
      </w:pPr>
      <w:r>
        <w:rPr>
          <w:rFonts w:ascii="Times New Roman" w:hAnsi="Times New Roman" w:eastAsia="宋体"/>
          <w:color w:val="auto"/>
          <w:kern w:val="0"/>
          <w:szCs w:val="21"/>
          <w:highlight w:val="none"/>
        </w:rPr>
        <w:br w:type="page"/>
      </w:r>
      <w:bookmarkStart w:id="5" w:name="_Toc294012141"/>
      <w:bookmarkStart w:id="6" w:name="_Toc298767927"/>
      <w:bookmarkStart w:id="7" w:name="_Toc495317669"/>
      <w:r>
        <w:rPr>
          <w:rFonts w:ascii="Times New Roman" w:hAnsi="Times New Roman" w:eastAsia="宋体"/>
          <w:color w:val="auto"/>
          <w:highlight w:val="none"/>
        </w:rPr>
        <w:t>第二章</w:t>
      </w:r>
      <w:bookmarkEnd w:id="5"/>
      <w:bookmarkEnd w:id="6"/>
      <w:r>
        <w:rPr>
          <w:rFonts w:ascii="Times New Roman" w:hAnsi="Times New Roman" w:eastAsia="宋体"/>
          <w:color w:val="auto"/>
          <w:highlight w:val="none"/>
        </w:rPr>
        <w:t xml:space="preserve">  采购内容及需求</w:t>
      </w:r>
      <w:bookmarkEnd w:id="7"/>
    </w:p>
    <w:p>
      <w:pPr>
        <w:spacing w:line="360" w:lineRule="auto"/>
        <w:ind w:firstLine="422" w:firstLineChars="200"/>
        <w:rPr>
          <w:b/>
          <w:bCs/>
          <w:color w:val="auto"/>
          <w:highlight w:val="none"/>
        </w:rPr>
      </w:pPr>
      <w:r>
        <w:rPr>
          <w:b/>
          <w:bCs/>
          <w:color w:val="auto"/>
          <w:highlight w:val="none"/>
        </w:rPr>
        <w:t>一、项目概述</w:t>
      </w:r>
    </w:p>
    <w:p>
      <w:pPr>
        <w:spacing w:line="360" w:lineRule="auto"/>
        <w:ind w:firstLine="420" w:firstLineChars="200"/>
        <w:rPr>
          <w:rFonts w:hint="eastAsia"/>
          <w:color w:val="auto"/>
          <w:highlight w:val="none"/>
          <w:lang w:val="zh-TW"/>
        </w:rPr>
      </w:pPr>
      <w:r>
        <w:rPr>
          <w:rFonts w:hint="eastAsia"/>
          <w:color w:val="auto"/>
          <w:highlight w:val="none"/>
          <w:lang w:val="zh-TW"/>
        </w:rPr>
        <w:t>温州医科大学附属第二医院鹿城院区（含学院路部、原成人急诊中心、南浦部）安保服务。鹿城院区（含学院路部、原成人急诊中心、南浦部）安保人员进场日期为2023年04月1日。具体进场日期以院方实际要求为准。</w:t>
      </w:r>
    </w:p>
    <w:p>
      <w:pPr>
        <w:spacing w:line="360" w:lineRule="auto"/>
        <w:ind w:firstLine="422" w:firstLineChars="200"/>
        <w:rPr>
          <w:rFonts w:hint="eastAsia"/>
          <w:b/>
          <w:bCs/>
          <w:color w:val="auto"/>
          <w:highlight w:val="none"/>
        </w:rPr>
      </w:pPr>
      <w:r>
        <w:rPr>
          <w:rFonts w:hint="eastAsia"/>
          <w:b/>
          <w:bCs/>
          <w:color w:val="auto"/>
          <w:highlight w:val="none"/>
          <w:lang w:val="zh-TW"/>
        </w:rPr>
        <w:t>二</w:t>
      </w:r>
      <w:r>
        <w:rPr>
          <w:rFonts w:hint="eastAsia"/>
          <w:b/>
          <w:bCs/>
          <w:color w:val="auto"/>
          <w:highlight w:val="none"/>
        </w:rPr>
        <w:t>、总体要求</w:t>
      </w:r>
    </w:p>
    <w:p>
      <w:pPr>
        <w:spacing w:line="360" w:lineRule="auto"/>
        <w:ind w:firstLine="420" w:firstLineChars="200"/>
        <w:rPr>
          <w:rFonts w:hint="eastAsia"/>
          <w:color w:val="auto"/>
          <w:highlight w:val="none"/>
        </w:rPr>
      </w:pPr>
      <w:r>
        <w:rPr>
          <w:rFonts w:hint="eastAsia"/>
          <w:color w:val="auto"/>
          <w:highlight w:val="none"/>
        </w:rPr>
        <w:t>1、供应商制定本项目保安服务的管理定位和服务目标</w:t>
      </w:r>
    </w:p>
    <w:p>
      <w:pPr>
        <w:spacing w:line="360" w:lineRule="auto"/>
        <w:ind w:firstLine="420" w:firstLineChars="200"/>
        <w:rPr>
          <w:rFonts w:hint="eastAsia"/>
          <w:color w:val="auto"/>
          <w:highlight w:val="none"/>
        </w:rPr>
      </w:pPr>
      <w:r>
        <w:rPr>
          <w:rFonts w:hint="eastAsia"/>
          <w:color w:val="auto"/>
          <w:highlight w:val="none"/>
        </w:rPr>
        <w:t>服务运作流程规划、服务理念、服务工作的组织、服务质量目标和质量控制措施、各项管理制度和规章制度体系、自查和考核办法等；管理制度至少应包括：</w:t>
      </w:r>
      <w:r>
        <w:rPr>
          <w:color w:val="auto"/>
          <w:highlight w:val="none"/>
        </w:rPr>
        <w:t>保安工作人员职责制度</w:t>
      </w:r>
      <w:r>
        <w:rPr>
          <w:rFonts w:hint="eastAsia"/>
          <w:color w:val="auto"/>
          <w:highlight w:val="none"/>
        </w:rPr>
        <w:t>，</w:t>
      </w:r>
      <w:r>
        <w:rPr>
          <w:color w:val="auto"/>
          <w:highlight w:val="none"/>
        </w:rPr>
        <w:t>保安交接班制度</w:t>
      </w:r>
      <w:r>
        <w:rPr>
          <w:rFonts w:hint="eastAsia"/>
          <w:color w:val="auto"/>
          <w:highlight w:val="none"/>
        </w:rPr>
        <w:t>，</w:t>
      </w:r>
      <w:r>
        <w:rPr>
          <w:color w:val="auto"/>
          <w:highlight w:val="none"/>
        </w:rPr>
        <w:t>保安队伍例会制度</w:t>
      </w:r>
      <w:r>
        <w:rPr>
          <w:rFonts w:hint="eastAsia"/>
          <w:color w:val="auto"/>
          <w:highlight w:val="none"/>
        </w:rPr>
        <w:t>，队伍绩效考核管理制度，队伍奖惩制度，队伍稳定措施。</w:t>
      </w:r>
    </w:p>
    <w:p>
      <w:pPr>
        <w:spacing w:line="360" w:lineRule="auto"/>
        <w:ind w:firstLine="420" w:firstLineChars="200"/>
        <w:rPr>
          <w:rFonts w:hint="eastAsia"/>
          <w:color w:val="auto"/>
          <w:highlight w:val="none"/>
        </w:rPr>
      </w:pPr>
      <w:r>
        <w:rPr>
          <w:rFonts w:hint="eastAsia"/>
          <w:color w:val="auto"/>
          <w:highlight w:val="none"/>
        </w:rPr>
        <w:t>2、供应商提供本项目保安服务方案</w:t>
      </w:r>
    </w:p>
    <w:p>
      <w:pPr>
        <w:spacing w:line="360" w:lineRule="auto"/>
        <w:ind w:firstLine="420" w:firstLineChars="200"/>
        <w:rPr>
          <w:rFonts w:hint="eastAsia"/>
          <w:color w:val="auto"/>
          <w:highlight w:val="none"/>
        </w:rPr>
      </w:pPr>
      <w:r>
        <w:rPr>
          <w:rFonts w:hint="eastAsia"/>
          <w:color w:val="auto"/>
          <w:highlight w:val="none"/>
        </w:rPr>
        <w:t>结合本项目服务区域和服务对象的特点、建筑物分布及面积、其他硬件设施的具体情况等，提出服务方案、驻院安保人员定编定岗计划、各种服务岗位的内容、职责及服务标准、各种工作交接记录和档案资料管理方式等，针对本项目重点、特点和难点分析及提出解决措施等：</w:t>
      </w:r>
    </w:p>
    <w:p>
      <w:pPr>
        <w:spacing w:line="360" w:lineRule="auto"/>
        <w:ind w:firstLine="420" w:firstLineChars="200"/>
        <w:rPr>
          <w:rFonts w:hint="eastAsia"/>
          <w:color w:val="auto"/>
          <w:highlight w:val="none"/>
        </w:rPr>
      </w:pPr>
      <w:r>
        <w:rPr>
          <w:rFonts w:hint="eastAsia"/>
          <w:color w:val="auto"/>
          <w:highlight w:val="none"/>
        </w:rPr>
        <w:t>①医院日常保安服务方法、工作内容、标准等；</w:t>
      </w:r>
    </w:p>
    <w:p>
      <w:pPr>
        <w:spacing w:line="360" w:lineRule="auto"/>
        <w:ind w:firstLine="420" w:firstLineChars="200"/>
        <w:rPr>
          <w:rFonts w:hint="eastAsia"/>
          <w:color w:val="auto"/>
          <w:highlight w:val="none"/>
        </w:rPr>
      </w:pPr>
      <w:r>
        <w:rPr>
          <w:rFonts w:hint="eastAsia"/>
          <w:color w:val="auto"/>
          <w:highlight w:val="none"/>
        </w:rPr>
        <w:t>②医院接待各类检查、参观学习的配合工作方案；</w:t>
      </w:r>
    </w:p>
    <w:p>
      <w:pPr>
        <w:spacing w:line="360" w:lineRule="auto"/>
        <w:ind w:firstLine="420" w:firstLineChars="200"/>
        <w:rPr>
          <w:rFonts w:hint="eastAsia"/>
          <w:color w:val="auto"/>
          <w:highlight w:val="none"/>
        </w:rPr>
      </w:pPr>
      <w:r>
        <w:rPr>
          <w:rFonts w:hint="eastAsia"/>
          <w:color w:val="auto"/>
          <w:highlight w:val="none"/>
        </w:rPr>
        <w:t>③医院各项应急任务等管理方案；</w:t>
      </w:r>
    </w:p>
    <w:p>
      <w:pPr>
        <w:spacing w:line="360" w:lineRule="auto"/>
        <w:ind w:firstLine="420" w:firstLineChars="200"/>
        <w:rPr>
          <w:rFonts w:hint="eastAsia"/>
          <w:color w:val="auto"/>
          <w:highlight w:val="none"/>
        </w:rPr>
      </w:pPr>
      <w:r>
        <w:rPr>
          <w:rFonts w:hint="eastAsia"/>
          <w:color w:val="auto"/>
          <w:highlight w:val="none"/>
        </w:rPr>
        <w:t>④对各种特殊情况的应急方案：按照要求制订发生突发事件时的应急预案及相应的措施；对服务区域内的防盗、防火的安全防范；对保安人员流失控制及时补充的方案；社会纠纷、暴恐事件等；突发性公卫事件（如针对疫情防控）等；供应商认为需要提供的其他应急预案及实施措施；</w:t>
      </w:r>
    </w:p>
    <w:p>
      <w:pPr>
        <w:spacing w:line="360" w:lineRule="auto"/>
        <w:ind w:firstLine="420" w:firstLineChars="200"/>
        <w:rPr>
          <w:rFonts w:hint="eastAsia"/>
          <w:color w:val="auto"/>
          <w:highlight w:val="none"/>
        </w:rPr>
      </w:pPr>
      <w:r>
        <w:rPr>
          <w:rFonts w:hint="eastAsia"/>
          <w:color w:val="auto"/>
          <w:highlight w:val="none"/>
        </w:rPr>
        <w:t>⑤其它服务管理方案（如有）。</w:t>
      </w:r>
    </w:p>
    <w:p>
      <w:pPr>
        <w:spacing w:line="360" w:lineRule="auto"/>
        <w:ind w:firstLine="420" w:firstLineChars="200"/>
        <w:rPr>
          <w:rFonts w:hint="eastAsia"/>
          <w:color w:val="auto"/>
          <w:highlight w:val="none"/>
        </w:rPr>
      </w:pPr>
      <w:r>
        <w:rPr>
          <w:rFonts w:hint="eastAsia"/>
          <w:color w:val="auto"/>
          <w:highlight w:val="none"/>
        </w:rPr>
        <w:t>3、供应商提供投入本项目的设备、工器具、设施配置、选用的各种材料情况；服务人员住宿休息场所的安排计划、工器具库房安排计划。</w:t>
      </w:r>
    </w:p>
    <w:p>
      <w:pPr>
        <w:spacing w:line="360" w:lineRule="auto"/>
        <w:ind w:firstLine="420" w:firstLineChars="200"/>
        <w:rPr>
          <w:rFonts w:hint="eastAsia"/>
          <w:color w:val="auto"/>
          <w:highlight w:val="none"/>
        </w:rPr>
      </w:pPr>
      <w:r>
        <w:rPr>
          <w:rFonts w:hint="eastAsia"/>
          <w:color w:val="auto"/>
          <w:highlight w:val="none"/>
        </w:rPr>
        <w:t>4、供应商拟派本项目的服务团队的详细情况：</w:t>
      </w:r>
    </w:p>
    <w:p>
      <w:pPr>
        <w:spacing w:line="360" w:lineRule="auto"/>
        <w:ind w:firstLine="420" w:firstLineChars="200"/>
        <w:rPr>
          <w:rFonts w:hint="default" w:eastAsia="宋体"/>
          <w:color w:val="auto"/>
          <w:highlight w:val="none"/>
          <w:lang w:val="en-US" w:eastAsia="zh-CN"/>
        </w:rPr>
      </w:pPr>
      <w:r>
        <w:rPr>
          <w:rFonts w:hint="eastAsia"/>
          <w:color w:val="auto"/>
          <w:highlight w:val="none"/>
        </w:rPr>
        <w:t>主要指本项目管理和服务团队人员定员定岗的明细计划：为完成本项目组建的工作小组以及派驻医院的管理团队的人员姓名、学历、年龄、资格证书持有情况、工作经验或业绩、联系方式等详细情况；</w:t>
      </w:r>
      <w:r>
        <w:rPr>
          <w:rStyle w:val="213"/>
          <w:color w:val="auto"/>
          <w:highlight w:val="none"/>
        </w:rPr>
        <w:t>各</w:t>
      </w:r>
      <w:r>
        <w:rPr>
          <w:rFonts w:hint="eastAsia"/>
          <w:color w:val="auto"/>
          <w:highlight w:val="none"/>
        </w:rPr>
        <w:t>服务岗位人员数量配置、人员的有关资格证书持有情况、工作经验或业绩。</w:t>
      </w:r>
      <w:r>
        <w:rPr>
          <w:rFonts w:hint="eastAsia"/>
          <w:b/>
          <w:bCs/>
          <w:color w:val="auto"/>
          <w:highlight w:val="none"/>
          <w:lang w:val="en-US" w:eastAsia="zh-CN"/>
        </w:rPr>
        <w:t>供应商须对服务人员高中以上</w:t>
      </w:r>
      <w:r>
        <w:rPr>
          <w:rFonts w:hint="eastAsia"/>
          <w:b/>
          <w:bCs/>
          <w:color w:val="auto"/>
          <w:highlight w:val="none"/>
        </w:rPr>
        <w:t>学历比例</w:t>
      </w:r>
      <w:r>
        <w:rPr>
          <w:rFonts w:hint="eastAsia"/>
          <w:b/>
          <w:bCs/>
          <w:color w:val="auto"/>
          <w:highlight w:val="none"/>
          <w:lang w:val="en-US" w:eastAsia="zh-CN"/>
        </w:rPr>
        <w:t>及进场要求作出承诺。</w:t>
      </w:r>
    </w:p>
    <w:p>
      <w:pPr>
        <w:spacing w:line="360" w:lineRule="auto"/>
        <w:ind w:firstLine="420" w:firstLineChars="200"/>
        <w:rPr>
          <w:rFonts w:hint="eastAsia"/>
          <w:color w:val="auto"/>
          <w:highlight w:val="none"/>
        </w:rPr>
      </w:pPr>
      <w:r>
        <w:rPr>
          <w:rFonts w:hint="eastAsia"/>
          <w:color w:val="auto"/>
          <w:highlight w:val="none"/>
        </w:rPr>
        <w:t>5、供应商制定服务团队从业能力的培训教育方案及培训组织管理方案。</w:t>
      </w:r>
    </w:p>
    <w:p>
      <w:pPr>
        <w:spacing w:line="360" w:lineRule="auto"/>
        <w:ind w:firstLine="420" w:firstLineChars="200"/>
        <w:rPr>
          <w:rFonts w:hint="eastAsia"/>
          <w:color w:val="auto"/>
          <w:highlight w:val="none"/>
        </w:rPr>
      </w:pPr>
      <w:r>
        <w:rPr>
          <w:rFonts w:hint="eastAsia"/>
          <w:color w:val="auto"/>
          <w:highlight w:val="none"/>
        </w:rPr>
        <w:t>6、供应商提供配合医院提升服务的供应商的各项服务承诺。</w:t>
      </w:r>
    </w:p>
    <w:p>
      <w:pPr>
        <w:spacing w:line="360" w:lineRule="auto"/>
        <w:ind w:firstLine="420" w:firstLineChars="200"/>
        <w:rPr>
          <w:rFonts w:hint="eastAsia"/>
          <w:color w:val="auto"/>
          <w:highlight w:val="none"/>
        </w:rPr>
      </w:pPr>
      <w:r>
        <w:rPr>
          <w:rFonts w:hint="eastAsia"/>
          <w:color w:val="auto"/>
          <w:highlight w:val="none"/>
        </w:rPr>
        <w:t>7、供应商具有完善的管理体系。</w:t>
      </w:r>
    </w:p>
    <w:p>
      <w:pPr>
        <w:spacing w:line="360" w:lineRule="auto"/>
        <w:ind w:firstLine="420" w:firstLineChars="200"/>
        <w:rPr>
          <w:rFonts w:hint="eastAsia"/>
          <w:color w:val="auto"/>
          <w:highlight w:val="none"/>
        </w:rPr>
      </w:pPr>
      <w:r>
        <w:rPr>
          <w:rFonts w:hint="eastAsia"/>
          <w:color w:val="auto"/>
          <w:highlight w:val="none"/>
        </w:rPr>
        <w:t>8、供应商具有类似项目的实施经验。</w:t>
      </w:r>
    </w:p>
    <w:p>
      <w:pPr>
        <w:spacing w:line="360" w:lineRule="auto"/>
        <w:ind w:firstLine="420" w:firstLineChars="200"/>
        <w:rPr>
          <w:rFonts w:hint="eastAsia"/>
          <w:color w:val="auto"/>
          <w:highlight w:val="none"/>
        </w:rPr>
      </w:pPr>
      <w:r>
        <w:rPr>
          <w:rFonts w:hint="eastAsia"/>
          <w:color w:val="auto"/>
          <w:highlight w:val="none"/>
        </w:rPr>
        <w:t>9、供应商具有完善的保障措施，购买雇主责任险，第三方人员人身伤亡或财产损失处理方案，为保安人员提供劳动保障。</w:t>
      </w:r>
    </w:p>
    <w:p>
      <w:pPr>
        <w:spacing w:line="360" w:lineRule="auto"/>
        <w:ind w:firstLine="420" w:firstLineChars="200"/>
        <w:rPr>
          <w:rFonts w:hint="eastAsia"/>
          <w:color w:val="auto"/>
          <w:highlight w:val="none"/>
        </w:rPr>
      </w:pPr>
      <w:r>
        <w:rPr>
          <w:rFonts w:hint="eastAsia"/>
          <w:color w:val="auto"/>
          <w:highlight w:val="none"/>
        </w:rPr>
        <w:t>10、供应商提出对本项目的其他合理化建议、要求。</w:t>
      </w:r>
    </w:p>
    <w:p>
      <w:pPr>
        <w:spacing w:line="360" w:lineRule="auto"/>
        <w:ind w:firstLine="420" w:firstLineChars="200"/>
        <w:rPr>
          <w:color w:val="auto"/>
          <w:highlight w:val="none"/>
        </w:rPr>
      </w:pPr>
    </w:p>
    <w:p>
      <w:pPr>
        <w:spacing w:line="360" w:lineRule="auto"/>
        <w:ind w:firstLine="420" w:firstLineChars="200"/>
        <w:rPr>
          <w:color w:val="auto"/>
          <w:highlight w:val="none"/>
        </w:rPr>
      </w:pPr>
      <w:r>
        <w:rPr>
          <w:color w:val="auto"/>
          <w:highlight w:val="none"/>
        </w:rPr>
        <w:t>三、服务要求</w:t>
      </w:r>
    </w:p>
    <w:p>
      <w:pPr>
        <w:adjustRightInd w:val="0"/>
        <w:snapToGrid w:val="0"/>
        <w:spacing w:line="360" w:lineRule="auto"/>
        <w:jc w:val="left"/>
        <w:rPr>
          <w:rFonts w:hAnsi="宋体"/>
          <w:b/>
          <w:bCs/>
          <w:color w:val="auto"/>
          <w:szCs w:val="21"/>
          <w:highlight w:val="none"/>
        </w:rPr>
      </w:pPr>
      <w:r>
        <w:rPr>
          <w:rFonts w:hint="eastAsia" w:hAnsi="宋体"/>
          <w:b/>
          <w:bCs/>
          <w:color w:val="auto"/>
          <w:szCs w:val="21"/>
          <w:highlight w:val="none"/>
        </w:rPr>
        <w:t>1、门卫管理：</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1.1 实行二十四小时定岗值班。</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1.2 建立《门卫职责》和《物资进出门核查制度》。</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1.3 确保大门及周边的环境良好，交通通畅。</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1.4 清理大门外无证摊贩占道经营。</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1.5 禁止盈利车辆、山寨救护车出入，保持出入口畅通。禁止共享单车进入院区。</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1.6 引导各类车辆进出，按不同功能区域有序停放。</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1.7 维护进出口以及院内的正常交通秩序。</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1.8 检查进出医院的物资，确保医院的物品不流失。</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1.9 如医院对进院机动车辆采用收费管理，投标单位必须做好收费闸口无现金收费的管理。</w:t>
      </w:r>
    </w:p>
    <w:p>
      <w:pPr>
        <w:widowControl/>
        <w:adjustRightInd w:val="0"/>
        <w:snapToGrid w:val="0"/>
        <w:spacing w:line="360" w:lineRule="auto"/>
        <w:jc w:val="left"/>
        <w:rPr>
          <w:rFonts w:hAnsi="宋体"/>
          <w:color w:val="auto"/>
          <w:kern w:val="0"/>
          <w:szCs w:val="21"/>
          <w:highlight w:val="none"/>
        </w:rPr>
      </w:pPr>
      <w:r>
        <w:rPr>
          <w:rFonts w:hint="eastAsia" w:hAnsi="宋体"/>
          <w:b/>
          <w:bCs/>
          <w:color w:val="auto"/>
          <w:kern w:val="0"/>
          <w:szCs w:val="21"/>
          <w:highlight w:val="none"/>
        </w:rPr>
        <w:t>2、停车场秩序管理服务：</w:t>
      </w:r>
      <w:r>
        <w:rPr>
          <w:rFonts w:hint="eastAsia" w:hAnsi="宋体"/>
          <w:color w:val="auto"/>
          <w:kern w:val="0"/>
          <w:szCs w:val="21"/>
          <w:highlight w:val="none"/>
        </w:rPr>
        <w:t xml:space="preserve"> </w:t>
      </w:r>
    </w:p>
    <w:p>
      <w:pPr>
        <w:adjustRightInd w:val="0"/>
        <w:snapToGrid w:val="0"/>
        <w:spacing w:line="360" w:lineRule="auto"/>
        <w:ind w:firstLine="420" w:firstLineChars="200"/>
        <w:jc w:val="left"/>
        <w:rPr>
          <w:rFonts w:hAnsi="宋体"/>
          <w:color w:val="auto"/>
          <w:szCs w:val="21"/>
          <w:highlight w:val="none"/>
        </w:rPr>
      </w:pPr>
      <w:r>
        <w:rPr>
          <w:rFonts w:hint="eastAsia"/>
          <w:color w:val="auto"/>
          <w:szCs w:val="21"/>
          <w:highlight w:val="none"/>
        </w:rPr>
        <w:t>2.1</w:t>
      </w:r>
      <w:r>
        <w:rPr>
          <w:rFonts w:hint="eastAsia" w:hAnsi="宋体"/>
          <w:color w:val="auto"/>
          <w:szCs w:val="21"/>
          <w:highlight w:val="none"/>
        </w:rPr>
        <w:t>维持机动车和非机动车停放秩序。</w:t>
      </w:r>
    </w:p>
    <w:p>
      <w:pPr>
        <w:adjustRightInd w:val="0"/>
        <w:snapToGrid w:val="0"/>
        <w:spacing w:line="360" w:lineRule="auto"/>
        <w:ind w:firstLine="420" w:firstLineChars="200"/>
        <w:jc w:val="left"/>
        <w:rPr>
          <w:color w:val="auto"/>
          <w:szCs w:val="21"/>
          <w:highlight w:val="none"/>
        </w:rPr>
      </w:pPr>
      <w:r>
        <w:rPr>
          <w:rFonts w:hint="eastAsia" w:hAnsi="宋体"/>
          <w:color w:val="auto"/>
          <w:szCs w:val="21"/>
          <w:highlight w:val="none"/>
        </w:rPr>
        <w:t>2.2加强巡视，</w:t>
      </w:r>
      <w:r>
        <w:rPr>
          <w:rFonts w:hint="eastAsia"/>
          <w:color w:val="auto"/>
          <w:szCs w:val="21"/>
          <w:highlight w:val="none"/>
        </w:rPr>
        <w:t>对地下室车库内重要设施是否完备每日核查。</w:t>
      </w:r>
    </w:p>
    <w:p>
      <w:pPr>
        <w:adjustRightInd w:val="0"/>
        <w:snapToGrid w:val="0"/>
        <w:spacing w:line="360" w:lineRule="auto"/>
        <w:jc w:val="left"/>
        <w:rPr>
          <w:rFonts w:hAnsi="宋体"/>
          <w:b/>
          <w:bCs/>
          <w:color w:val="auto"/>
          <w:szCs w:val="21"/>
          <w:highlight w:val="none"/>
        </w:rPr>
      </w:pPr>
      <w:r>
        <w:rPr>
          <w:rFonts w:hint="eastAsia" w:hAnsi="宋体"/>
          <w:b/>
          <w:bCs/>
          <w:color w:val="auto"/>
          <w:szCs w:val="21"/>
          <w:highlight w:val="none"/>
        </w:rPr>
        <w:t>3、配合采购人开展相应的警示服务：</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3.1 配合采购人在适当的地方张贴防盗警示语，提醒病人及家属保管好自己的物品。</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3.2 配合采购人在各病区利用各种办法通知病人及家属，注意保管自己的贵重物品。</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3.3 配合采购人在办公区域张贴宣传标语，警示员工注意防火防盗。</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3.4 配合采购人在消防重点区域必须张贴禁火标语。</w:t>
      </w:r>
    </w:p>
    <w:p>
      <w:pPr>
        <w:adjustRightInd w:val="0"/>
        <w:snapToGrid w:val="0"/>
        <w:spacing w:line="360" w:lineRule="auto"/>
        <w:jc w:val="left"/>
        <w:rPr>
          <w:rFonts w:hAnsi="宋体"/>
          <w:b/>
          <w:bCs/>
          <w:color w:val="auto"/>
          <w:szCs w:val="21"/>
          <w:highlight w:val="none"/>
        </w:rPr>
      </w:pPr>
      <w:r>
        <w:rPr>
          <w:rFonts w:hint="eastAsia" w:hAnsi="宋体"/>
          <w:b/>
          <w:bCs/>
          <w:color w:val="auto"/>
          <w:szCs w:val="21"/>
          <w:highlight w:val="none"/>
        </w:rPr>
        <w:t>4、病区陪人管理：</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4.1 根据浙江省三级甲类医院的要求进行陪人管理，执行医院的《探视制度》。</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4.2 应院方要求</w:t>
      </w:r>
      <w:r>
        <w:rPr>
          <w:rFonts w:hint="eastAsia" w:hAnsi="宋体"/>
          <w:color w:val="auto"/>
          <w:szCs w:val="21"/>
          <w:highlight w:val="none"/>
          <w:u w:val="single"/>
        </w:rPr>
        <w:t>加强对病区的管理，清理病区内的陪人，方便医护人员查房</w:t>
      </w:r>
      <w:r>
        <w:rPr>
          <w:rFonts w:hint="eastAsia" w:hAnsi="宋体"/>
          <w:color w:val="auto"/>
          <w:szCs w:val="21"/>
          <w:highlight w:val="none"/>
        </w:rPr>
        <w:t>。</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4.3 应院方要求严格控制病区陪人，原则上一病人一陪人，确保病人有安宁的休息环境。</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4.4 对医院公共区域要进行严格管理，严禁病人家属及闲杂人员在该区域滞留和打地铺睡觉。</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4.5若医院作息时间有调整，中标单位必须无条件服从。</w:t>
      </w:r>
    </w:p>
    <w:p>
      <w:pPr>
        <w:adjustRightInd w:val="0"/>
        <w:snapToGrid w:val="0"/>
        <w:spacing w:line="360" w:lineRule="auto"/>
        <w:jc w:val="left"/>
        <w:rPr>
          <w:rFonts w:hAnsi="宋体"/>
          <w:b/>
          <w:bCs/>
          <w:color w:val="auto"/>
          <w:szCs w:val="21"/>
          <w:highlight w:val="none"/>
        </w:rPr>
      </w:pPr>
      <w:r>
        <w:rPr>
          <w:rFonts w:hint="eastAsia" w:hAnsi="宋体"/>
          <w:b/>
          <w:bCs/>
          <w:color w:val="auto"/>
          <w:szCs w:val="21"/>
          <w:highlight w:val="none"/>
        </w:rPr>
        <w:t>5、消防管理：</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5.1建立完整的《消防管理制度》、《消防检查制度》、《消防日巡视制度》以及《灭火疏散应急预案》等台账，并落实、定期组织演练。</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5.2每月至少一次对院区进行规定项目（灭火器是否完好有效。消防水带水枪是否齐全；消防栓是否有水；应急疏散通道是否畅通；安全疏散通道标志、安全出口标志、）的消防大检查作登记备档，同时按三甲医院等级评审要求对各消防栓进行卫生清洁工作；有违反消防规定的，要及时告知院方，并监督整改过程。</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5.3建立院区消防器材分布图档案，按规定进行“消防四个能力建设”，并在每个病房张贴安全疏散示意图（印刷品院方提供），与各病区的消防责任人签订消防协议，以明确责任，共同管理。</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5.4组织义务消防队，制定《义务消防队工作制度》和《义务消防队员职责》，组织义务消防队员学习、训练及演练。</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5.5按规定进行“消防四个能力建设”要求每日进行巡查，查处违章用电、用火、用气情况；保持消防通道通畅；建立消防重点部门（配电房、木工间、氧气间等）的管理规范。</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5.6当接收到一体化报警中心报警时，应按照消防部门规定的“一分钟有反馈，三分钟到达现场，五分钟灭初期火灾”要求。</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5.7组织队员按要求完成防火巡查，每日对消防安全重点部位巡查，并做好台账。</w:t>
      </w:r>
    </w:p>
    <w:p>
      <w:pPr>
        <w:adjustRightInd w:val="0"/>
        <w:snapToGrid w:val="0"/>
        <w:spacing w:line="360" w:lineRule="auto"/>
        <w:jc w:val="left"/>
        <w:rPr>
          <w:rFonts w:hAnsi="宋体"/>
          <w:b/>
          <w:bCs/>
          <w:color w:val="auto"/>
          <w:szCs w:val="21"/>
          <w:highlight w:val="none"/>
        </w:rPr>
      </w:pPr>
      <w:r>
        <w:rPr>
          <w:rFonts w:hint="eastAsia" w:hAnsi="宋体"/>
          <w:b/>
          <w:bCs/>
          <w:color w:val="auto"/>
          <w:szCs w:val="21"/>
          <w:highlight w:val="none"/>
        </w:rPr>
        <w:t>6、一体化报警中心的管理：</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6.1医院将视频监控室和消防监控室合并建设为一体化报警中心，由中标人负责一体化报警后中心的运行、管理，当接到指令后，保安队必须确保二名以上的队员在五分钟内赶赴呼叫现场，及时控制事态，确保医护人员人身的绝对安全及医院财物不受破坏。</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6.2有关流程</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6.3中标人应确保每班的带队队长应首先从报警中心进行交接班，传达工作信息，保持班内至少2小时在报警后中心值班。采购人遇到重大节日、特定活动、迎检等，中标人应加强人员值守根据发包人需求增设值守人员在报警中心值守。</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6.4操作视频监控系统时应服从医院对视频系统管理要求，严格遵守医院保密协议。</w:t>
      </w:r>
    </w:p>
    <w:p>
      <w:pPr>
        <w:adjustRightInd w:val="0"/>
        <w:snapToGrid w:val="0"/>
        <w:spacing w:line="360" w:lineRule="auto"/>
        <w:jc w:val="left"/>
        <w:rPr>
          <w:rFonts w:hAnsi="宋体"/>
          <w:b/>
          <w:bCs/>
          <w:color w:val="auto"/>
          <w:szCs w:val="21"/>
          <w:highlight w:val="none"/>
        </w:rPr>
      </w:pPr>
      <w:r>
        <w:rPr>
          <w:rFonts w:hint="eastAsia" w:hAnsi="宋体"/>
          <w:b/>
          <w:bCs/>
          <w:color w:val="auto"/>
          <w:szCs w:val="21"/>
          <w:highlight w:val="none"/>
        </w:rPr>
        <w:t>7、治安管理：</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7.1 对服务区域内进行定时有效的巡逻，确保医院、病人及家属的财产不受损失。</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7.2 制定预案，针对医院的情况，积极应对各类治安案件。</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7.3 严密监控医院的重点要害部位，发现报警立即出击。</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7.4 维护院区各大窗口的秩序。</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7.5 维护各诊室的秩序，杜绝围观现象。</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7.6 外来人口的管理，制定《院区外来人口管理制度》，对院区内工作的外来人口进行登记，掌握其基本情况，检查身份证、暂住证，确保外来人口品行端正，行为合法。</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7.7易燃易爆剧毒麻醉药品以及各类危险品的管理。制定《易燃易爆剧毒麻醉药品以及各类危险品的管理制度》，以及易燃易爆剧毒麻醉药品以及各类危险品进院时的运输路线，建立易燃易爆剧毒麻醉药品以及各类危险品的登记工作，并经常进行检查。</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7.8重点要害部位的管理。确定院区的重点要害部位，登记重点要害部位工作人员的情况，制定《重点要害部位的管理制度》，落实重点要害部位的防范措施（三防），每月对红外线报警系统进行检查，确保系统的完好有效。</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7.9及时有效制止各种突发事件和医疗纠纷。保证解决纠纷时有足够的人员和装备，竭力保证医务人员的尊严、保证人身不受侵犯。如出现人身伤害事件，一定要滞留住肇事人员。</w:t>
      </w:r>
    </w:p>
    <w:p>
      <w:pPr>
        <w:adjustRightInd w:val="0"/>
        <w:snapToGrid w:val="0"/>
        <w:spacing w:line="360" w:lineRule="auto"/>
        <w:jc w:val="left"/>
        <w:rPr>
          <w:rFonts w:hAnsi="宋体"/>
          <w:b/>
          <w:bCs/>
          <w:color w:val="auto"/>
          <w:szCs w:val="21"/>
          <w:highlight w:val="none"/>
        </w:rPr>
      </w:pPr>
      <w:r>
        <w:rPr>
          <w:rFonts w:hint="eastAsia" w:hAnsi="宋体"/>
          <w:b/>
          <w:bCs/>
          <w:color w:val="auto"/>
          <w:szCs w:val="21"/>
          <w:highlight w:val="none"/>
        </w:rPr>
        <w:t>8、装备设施要求：</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 xml:space="preserve">8.1 </w:t>
      </w:r>
      <w:r>
        <w:rPr>
          <w:rFonts w:hint="eastAsia" w:ascii="宋体" w:hAnsi="宋体"/>
          <w:color w:val="auto"/>
          <w:kern w:val="0"/>
          <w:szCs w:val="21"/>
          <w:highlight w:val="none"/>
        </w:rPr>
        <w:t xml:space="preserve"> 中标人必须采购基于4G网络通讯的对讲机，可与采购人对讲机系统兼容，组建群组对讲机通讯组，并根据采购人需求提供不少于45部的对讲机供报警中心使用</w:t>
      </w:r>
      <w:r>
        <w:rPr>
          <w:rFonts w:hint="eastAsia" w:hAnsi="宋体"/>
          <w:color w:val="auto"/>
          <w:szCs w:val="21"/>
          <w:highlight w:val="none"/>
        </w:rPr>
        <w:t>。</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8.2按照医院**室器械标准配置警用器械。其中头盔、防刺服、大型盾牌、个人三件套（辣椒水、甩棍、绳索、武装带）、防刺手套、防暴钢叉或锁脚器按院方需求配置。其中重型头盔数量应占三分之一以上。</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8.3为满足工作、训练需要的必要设备。</w:t>
      </w:r>
    </w:p>
    <w:p>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8.4必须满足公安部门对医院安保的要求，如有不足必须补充至满足要求。</w:t>
      </w:r>
    </w:p>
    <w:p>
      <w:pPr>
        <w:adjustRightInd w:val="0"/>
        <w:snapToGrid w:val="0"/>
        <w:spacing w:line="360" w:lineRule="auto"/>
        <w:ind w:firstLine="420" w:firstLineChars="200"/>
        <w:jc w:val="left"/>
        <w:rPr>
          <w:color w:val="auto"/>
          <w:highlight w:val="none"/>
        </w:rPr>
      </w:pPr>
      <w:r>
        <w:rPr>
          <w:rFonts w:hint="eastAsia" w:hAnsi="宋体"/>
          <w:color w:val="auto"/>
          <w:szCs w:val="21"/>
          <w:highlight w:val="none"/>
        </w:rPr>
        <w:t>8.5中标人必须采购不少于4台执法记录仪用于本项目现场使用。</w:t>
      </w:r>
    </w:p>
    <w:p>
      <w:pPr>
        <w:adjustRightInd w:val="0"/>
        <w:snapToGrid w:val="0"/>
        <w:spacing w:line="360" w:lineRule="auto"/>
        <w:jc w:val="left"/>
        <w:rPr>
          <w:rFonts w:hint="eastAsia" w:hAnsi="宋体"/>
          <w:b/>
          <w:bCs/>
          <w:color w:val="auto"/>
          <w:szCs w:val="21"/>
          <w:highlight w:val="none"/>
        </w:rPr>
      </w:pPr>
      <w:r>
        <w:rPr>
          <w:rFonts w:hint="eastAsia" w:hAnsi="宋体"/>
          <w:b/>
          <w:bCs/>
          <w:color w:val="auto"/>
          <w:szCs w:val="21"/>
          <w:highlight w:val="none"/>
        </w:rPr>
        <w:t xml:space="preserve">9、消控室值守 </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人员要求</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1.1消防监控值守人员符合维保资质要求（高层建筑、联动设备）的资格证。</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1.2每天8:00-8:30期间在岗人数必须保障监控室内至少两名值班人员进行交接班，以便于医院管理人员进行工作汇报和值班情况检查。</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1.3消控室值班人员要求：持证上岗，值班人员年龄应在50周岁以内。</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消防控制室相关规章制度</w:t>
      </w:r>
    </w:p>
    <w:p>
      <w:pPr>
        <w:spacing w:line="360" w:lineRule="auto"/>
        <w:ind w:firstLine="420" w:firstLineChars="200"/>
        <w:rPr>
          <w:rFonts w:ascii="宋体" w:hAnsi="宋体" w:cs="宋体"/>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color w:val="auto"/>
          <w:kern w:val="0"/>
          <w:szCs w:val="21"/>
          <w:highlight w:val="none"/>
        </w:rPr>
        <w:t>消防控制室负责监视和操作消防控制设备，不得脱岗，擅离职守。必须实行每日24小时专人值班制度。</w:t>
      </w:r>
    </w:p>
    <w:p>
      <w:pPr>
        <w:spacing w:line="360" w:lineRule="auto"/>
        <w:ind w:firstLine="420" w:firstLineChars="200"/>
        <w:rPr>
          <w:rFonts w:ascii="宋体" w:hAnsi="宋体" w:cs="宋体"/>
          <w:color w:val="auto"/>
          <w:kern w:val="0"/>
          <w:szCs w:val="21"/>
          <w:highlight w:val="none"/>
        </w:rPr>
      </w:pPr>
      <w:r>
        <w:rPr>
          <w:rFonts w:hint="eastAsia" w:ascii="宋体" w:hAnsi="宋体" w:cs="宋体"/>
          <w:bCs/>
          <w:color w:val="auto"/>
          <w:kern w:val="0"/>
          <w:szCs w:val="21"/>
          <w:highlight w:val="none"/>
        </w:rPr>
        <w:t>2）</w:t>
      </w:r>
      <w:r>
        <w:rPr>
          <w:rFonts w:hint="eastAsia" w:ascii="宋体" w:hAnsi="宋体" w:cs="宋体"/>
          <w:color w:val="auto"/>
          <w:kern w:val="0"/>
          <w:szCs w:val="21"/>
          <w:highlight w:val="none"/>
        </w:rPr>
        <w:t>消防控制室的日常管理应符合《建筑消防设施的维护管理》（GA587）的有关要求。</w:t>
      </w:r>
    </w:p>
    <w:p>
      <w:pPr>
        <w:spacing w:line="360" w:lineRule="auto"/>
        <w:ind w:firstLine="420" w:firstLineChars="200"/>
        <w:rPr>
          <w:rFonts w:ascii="宋体" w:hAnsi="宋体" w:cs="宋体"/>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color w:val="auto"/>
          <w:kern w:val="0"/>
          <w:szCs w:val="21"/>
          <w:highlight w:val="none"/>
        </w:rPr>
        <w:t>消防控制室应确保火灾自动报警系统和灭火系统 处于正常工作状态。</w:t>
      </w:r>
    </w:p>
    <w:p>
      <w:pPr>
        <w:spacing w:line="360" w:lineRule="auto"/>
        <w:ind w:firstLine="420" w:firstLineChars="200"/>
        <w:rPr>
          <w:rFonts w:ascii="宋体" w:hAnsi="宋体" w:cs="宋体"/>
          <w:color w:val="auto"/>
          <w:kern w:val="0"/>
          <w:szCs w:val="21"/>
          <w:highlight w:val="none"/>
        </w:rPr>
      </w:pPr>
      <w:r>
        <w:rPr>
          <w:rFonts w:hint="eastAsia" w:ascii="宋体" w:hAnsi="宋体" w:cs="宋体"/>
          <w:bCs/>
          <w:color w:val="auto"/>
          <w:kern w:val="0"/>
          <w:szCs w:val="21"/>
          <w:highlight w:val="none"/>
        </w:rPr>
        <w:t>4）</w:t>
      </w:r>
      <w:r>
        <w:rPr>
          <w:rFonts w:hint="eastAsia" w:ascii="宋体" w:hAnsi="宋体" w:cs="宋体"/>
          <w:color w:val="auto"/>
          <w:kern w:val="0"/>
          <w:szCs w:val="21"/>
          <w:highlight w:val="none"/>
        </w:rPr>
        <w:t>熟悉本单位消防设施的基本原理、功能，熟练掌握操作技术。消防控制室应确保高位消防水箱、消防水池、气压水罐等消防储水设施水量充足；确保消防泵出水管阀门、自动喷水灭火系统管道上的阀门常开；确保消防水泵、防排烟风机、防火卷帘等消防用电设备的配电柜开关处于自动（接通）位置。</w:t>
      </w:r>
    </w:p>
    <w:p>
      <w:pPr>
        <w:spacing w:line="360" w:lineRule="auto"/>
        <w:ind w:firstLine="420" w:firstLineChars="200"/>
        <w:rPr>
          <w:rFonts w:ascii="宋体" w:hAnsi="宋体" w:cs="宋体"/>
          <w:color w:val="auto"/>
          <w:kern w:val="0"/>
          <w:szCs w:val="21"/>
          <w:highlight w:val="none"/>
        </w:rPr>
      </w:pPr>
      <w:r>
        <w:rPr>
          <w:rFonts w:hint="eastAsia" w:ascii="宋体" w:hAnsi="宋体" w:cs="宋体"/>
          <w:bCs/>
          <w:color w:val="auto"/>
          <w:kern w:val="0"/>
          <w:szCs w:val="21"/>
          <w:highlight w:val="none"/>
        </w:rPr>
        <w:t>5）</w:t>
      </w:r>
      <w:r>
        <w:rPr>
          <w:rFonts w:hint="eastAsia" w:ascii="宋体" w:hAnsi="宋体" w:cs="宋体"/>
          <w:color w:val="auto"/>
          <w:kern w:val="0"/>
          <w:szCs w:val="21"/>
          <w:highlight w:val="none"/>
        </w:rPr>
        <w:t>接到火灾报警后，消防控制室必须立即以最快方式确认。准确启动消防设备，第一时间向119报警向单位主管人员报告，启动灭火及应急疏散预案</w:t>
      </w:r>
    </w:p>
    <w:p>
      <w:pPr>
        <w:spacing w:line="360" w:lineRule="auto"/>
        <w:ind w:firstLine="420" w:firstLineChars="200"/>
        <w:rPr>
          <w:rFonts w:ascii="宋体" w:hAnsi="宋体" w:cs="宋体"/>
          <w:color w:val="auto"/>
          <w:kern w:val="0"/>
          <w:szCs w:val="21"/>
          <w:highlight w:val="none"/>
        </w:rPr>
      </w:pPr>
      <w:r>
        <w:rPr>
          <w:rFonts w:hint="eastAsia" w:ascii="宋体" w:hAnsi="宋体" w:cs="宋体"/>
          <w:bCs/>
          <w:color w:val="auto"/>
          <w:kern w:val="0"/>
          <w:szCs w:val="21"/>
          <w:highlight w:val="none"/>
        </w:rPr>
        <w:t>6）</w:t>
      </w:r>
      <w:r>
        <w:rPr>
          <w:rFonts w:hint="eastAsia" w:ascii="宋体" w:hAnsi="宋体" w:cs="宋体"/>
          <w:color w:val="auto"/>
          <w:kern w:val="0"/>
          <w:szCs w:val="21"/>
          <w:highlight w:val="none"/>
        </w:rPr>
        <w:t>火灾确认后，消防控制室必须立即将火灾报警联动控制开关转入自动状态（处于自动状态的除外），同时拨打“119”火警电话报警。</w:t>
      </w:r>
    </w:p>
    <w:p>
      <w:pPr>
        <w:spacing w:line="360" w:lineRule="auto"/>
        <w:ind w:firstLine="420" w:firstLineChars="200"/>
        <w:rPr>
          <w:rFonts w:ascii="宋体" w:hAnsi="宋体" w:cs="宋体"/>
          <w:color w:val="auto"/>
          <w:kern w:val="0"/>
          <w:szCs w:val="21"/>
          <w:highlight w:val="none"/>
        </w:rPr>
      </w:pPr>
      <w:r>
        <w:rPr>
          <w:rFonts w:hint="eastAsia" w:ascii="宋体" w:hAnsi="宋体" w:cs="宋体"/>
          <w:bCs/>
          <w:color w:val="auto"/>
          <w:kern w:val="0"/>
          <w:szCs w:val="21"/>
          <w:highlight w:val="none"/>
        </w:rPr>
        <w:t>7）</w:t>
      </w:r>
      <w:r>
        <w:rPr>
          <w:rFonts w:hint="eastAsia" w:ascii="宋体" w:hAnsi="宋体" w:cs="宋体"/>
          <w:color w:val="auto"/>
          <w:kern w:val="0"/>
          <w:szCs w:val="21"/>
          <w:highlight w:val="none"/>
        </w:rPr>
        <w:t>消防控制室必须立即启动单位内部灭火和应急疏散预案，并应同时报告单位负责人。</w:t>
      </w:r>
    </w:p>
    <w:p>
      <w:pPr>
        <w:spacing w:line="360" w:lineRule="auto"/>
        <w:ind w:firstLine="420" w:firstLineChars="200"/>
        <w:rPr>
          <w:rFonts w:ascii="宋体" w:hAnsi="宋体" w:cs="宋体"/>
          <w:color w:val="auto"/>
          <w:kern w:val="0"/>
          <w:szCs w:val="21"/>
          <w:highlight w:val="none"/>
        </w:rPr>
      </w:pPr>
      <w:r>
        <w:rPr>
          <w:rFonts w:hint="eastAsia" w:ascii="宋体" w:hAnsi="宋体" w:cs="宋体"/>
          <w:bCs/>
          <w:color w:val="auto"/>
          <w:kern w:val="0"/>
          <w:szCs w:val="21"/>
          <w:highlight w:val="none"/>
        </w:rPr>
        <w:t>8）</w:t>
      </w:r>
      <w:r>
        <w:rPr>
          <w:rFonts w:hint="eastAsia" w:ascii="宋体" w:hAnsi="宋体" w:cs="宋体"/>
          <w:color w:val="auto"/>
          <w:kern w:val="0"/>
          <w:szCs w:val="21"/>
          <w:highlight w:val="none"/>
        </w:rPr>
        <w:t>对发现的消防设施故障应及时处置，并向单位主管人员报告，协助技术人员进行修理、维护。</w:t>
      </w:r>
    </w:p>
    <w:p>
      <w:pPr>
        <w:spacing w:line="360" w:lineRule="auto"/>
        <w:ind w:firstLine="420" w:firstLineChars="200"/>
        <w:rPr>
          <w:rFonts w:ascii="宋体" w:hAnsi="宋体" w:cs="宋体"/>
          <w:color w:val="auto"/>
          <w:kern w:val="0"/>
          <w:szCs w:val="21"/>
          <w:highlight w:val="none"/>
        </w:rPr>
      </w:pPr>
      <w:r>
        <w:rPr>
          <w:rFonts w:hint="eastAsia" w:ascii="宋体" w:hAnsi="宋体" w:cs="宋体"/>
          <w:bCs/>
          <w:color w:val="auto"/>
          <w:kern w:val="0"/>
          <w:szCs w:val="21"/>
          <w:highlight w:val="none"/>
        </w:rPr>
        <w:t>9）</w:t>
      </w:r>
      <w:r>
        <w:rPr>
          <w:rFonts w:hint="eastAsia" w:ascii="宋体" w:hAnsi="宋体" w:cs="宋体"/>
          <w:color w:val="auto"/>
          <w:kern w:val="0"/>
          <w:szCs w:val="21"/>
          <w:highlight w:val="none"/>
        </w:rPr>
        <w:t>确保消防设施正常运行，不得擅自拆卸、挪用或停用。</w:t>
      </w:r>
    </w:p>
    <w:p>
      <w:pPr>
        <w:spacing w:line="360" w:lineRule="auto"/>
        <w:ind w:firstLine="420" w:firstLineChars="200"/>
        <w:rPr>
          <w:rFonts w:ascii="宋体" w:hAnsi="宋体" w:cs="宋体"/>
          <w:color w:val="auto"/>
          <w:kern w:val="0"/>
          <w:szCs w:val="21"/>
          <w:highlight w:val="none"/>
        </w:rPr>
      </w:pPr>
      <w:r>
        <w:rPr>
          <w:rFonts w:hint="eastAsia" w:ascii="宋体" w:hAnsi="宋体" w:cs="宋体"/>
          <w:bCs/>
          <w:color w:val="auto"/>
          <w:kern w:val="0"/>
          <w:szCs w:val="21"/>
          <w:highlight w:val="none"/>
        </w:rPr>
        <w:t>10）</w:t>
      </w:r>
      <w:r>
        <w:rPr>
          <w:rFonts w:hint="eastAsia" w:ascii="宋体" w:hAnsi="宋体" w:cs="宋体"/>
          <w:color w:val="auto"/>
          <w:kern w:val="0"/>
          <w:szCs w:val="21"/>
          <w:highlight w:val="none"/>
        </w:rPr>
        <w:t>认真记录报警控制器运行情况，每班检查火灾报警控制器的自检、消音、复位以及主备电源切换等功能，认真填写值班记录。</w:t>
      </w:r>
    </w:p>
    <w:p>
      <w:pPr>
        <w:spacing w:line="360" w:lineRule="auto"/>
        <w:ind w:firstLine="420" w:firstLineChars="200"/>
        <w:rPr>
          <w:rFonts w:ascii="宋体" w:hAnsi="宋体" w:cs="宋体"/>
          <w:color w:val="auto"/>
          <w:kern w:val="0"/>
          <w:szCs w:val="21"/>
          <w:highlight w:val="none"/>
        </w:rPr>
      </w:pPr>
      <w:r>
        <w:rPr>
          <w:rFonts w:hint="eastAsia" w:ascii="宋体" w:hAnsi="宋体" w:cs="宋体"/>
          <w:bCs/>
          <w:color w:val="auto"/>
          <w:kern w:val="0"/>
          <w:szCs w:val="21"/>
          <w:highlight w:val="none"/>
        </w:rPr>
        <w:t>11）</w:t>
      </w:r>
      <w:r>
        <w:rPr>
          <w:rFonts w:hint="eastAsia" w:ascii="宋体" w:hAnsi="宋体" w:cs="宋体"/>
          <w:color w:val="auto"/>
          <w:kern w:val="0"/>
          <w:szCs w:val="21"/>
          <w:highlight w:val="none"/>
        </w:rPr>
        <w:t>认真学习消防法律法规，各项规章制度，积极参加消防专业培训，不断提高业务素质。</w:t>
      </w:r>
    </w:p>
    <w:p>
      <w:pPr>
        <w:spacing w:line="360" w:lineRule="auto"/>
        <w:ind w:firstLine="420" w:firstLineChars="200"/>
        <w:rPr>
          <w:rFonts w:ascii="宋体" w:hAnsi="宋体" w:cs="宋体"/>
          <w:color w:val="auto"/>
          <w:kern w:val="0"/>
          <w:szCs w:val="21"/>
          <w:highlight w:val="none"/>
        </w:rPr>
      </w:pPr>
      <w:r>
        <w:rPr>
          <w:rFonts w:hint="eastAsia" w:ascii="宋体" w:hAnsi="宋体" w:cs="宋体"/>
          <w:bCs/>
          <w:color w:val="auto"/>
          <w:kern w:val="0"/>
          <w:szCs w:val="21"/>
          <w:highlight w:val="none"/>
        </w:rPr>
        <w:t>12）</w:t>
      </w:r>
      <w:r>
        <w:rPr>
          <w:rFonts w:hint="eastAsia" w:ascii="宋体" w:hAnsi="宋体" w:cs="宋体"/>
          <w:color w:val="auto"/>
          <w:kern w:val="0"/>
          <w:szCs w:val="21"/>
          <w:highlight w:val="none"/>
        </w:rPr>
        <w:t>消防监控室负责</w:t>
      </w:r>
      <w:r>
        <w:rPr>
          <w:rFonts w:hint="eastAsia" w:ascii="宋体" w:hAnsi="宋体" w:cs="宋体"/>
          <w:color w:val="auto"/>
          <w:kern w:val="0"/>
          <w:szCs w:val="21"/>
          <w:highlight w:val="none"/>
          <w:u w:val="single"/>
        </w:rPr>
        <w:t>防火巡查工作</w:t>
      </w:r>
      <w:r>
        <w:rPr>
          <w:rFonts w:hint="eastAsia" w:ascii="宋体" w:hAnsi="宋体" w:cs="宋体"/>
          <w:color w:val="auto"/>
          <w:kern w:val="0"/>
          <w:szCs w:val="21"/>
          <w:highlight w:val="none"/>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bCs/>
          <w:color w:val="auto"/>
          <w:kern w:val="0"/>
          <w:szCs w:val="21"/>
          <w:highlight w:val="none"/>
        </w:rPr>
        <w:t>13）</w:t>
      </w:r>
      <w:r>
        <w:rPr>
          <w:rFonts w:hint="eastAsia" w:ascii="宋体" w:hAnsi="宋体" w:cs="宋体"/>
          <w:color w:val="auto"/>
          <w:kern w:val="0"/>
          <w:szCs w:val="21"/>
          <w:highlight w:val="none"/>
          <w:u w:val="single"/>
        </w:rPr>
        <w:t>巡查人员对巡查情况要作细记录，由巡查人员及其主管人员签字。</w:t>
      </w:r>
    </w:p>
    <w:p>
      <w:pPr>
        <w:spacing w:line="360" w:lineRule="auto"/>
        <w:ind w:firstLine="420" w:firstLineChars="200"/>
        <w:rPr>
          <w:rFonts w:ascii="宋体" w:hAnsi="宋体" w:cs="宋体"/>
          <w:color w:val="auto"/>
          <w:kern w:val="0"/>
          <w:szCs w:val="21"/>
          <w:highlight w:val="none"/>
        </w:rPr>
      </w:pPr>
      <w:r>
        <w:rPr>
          <w:rFonts w:hint="eastAsia" w:ascii="宋体" w:hAnsi="宋体" w:cs="宋体"/>
          <w:bCs/>
          <w:color w:val="auto"/>
          <w:kern w:val="0"/>
          <w:szCs w:val="21"/>
          <w:highlight w:val="none"/>
        </w:rPr>
        <w:t>14）</w:t>
      </w:r>
      <w:r>
        <w:rPr>
          <w:rFonts w:hint="eastAsia" w:ascii="宋体" w:hAnsi="宋体" w:cs="宋体"/>
          <w:color w:val="auto"/>
          <w:kern w:val="0"/>
          <w:szCs w:val="21"/>
          <w:highlight w:val="none"/>
        </w:rPr>
        <w:t>安全疏散通道以及消防设备运行情况必须每日巡查，按要求完成巡查，并结合实际组织夜间防火巡查。</w:t>
      </w:r>
    </w:p>
    <w:p>
      <w:pPr>
        <w:spacing w:line="360" w:lineRule="auto"/>
        <w:ind w:firstLine="420" w:firstLineChars="200"/>
        <w:rPr>
          <w:rFonts w:ascii="宋体" w:hAnsi="宋体" w:cs="宋体"/>
          <w:color w:val="auto"/>
          <w:kern w:val="0"/>
          <w:szCs w:val="21"/>
          <w:highlight w:val="none"/>
        </w:rPr>
      </w:pPr>
      <w:r>
        <w:rPr>
          <w:rFonts w:hint="eastAsia" w:ascii="宋体" w:hAnsi="宋体" w:cs="宋体"/>
          <w:bCs/>
          <w:color w:val="auto"/>
          <w:kern w:val="0"/>
          <w:szCs w:val="21"/>
          <w:highlight w:val="none"/>
        </w:rPr>
        <w:t>15）</w:t>
      </w:r>
      <w:r>
        <w:rPr>
          <w:rFonts w:hint="eastAsia" w:ascii="宋体" w:hAnsi="宋体" w:cs="宋体"/>
          <w:color w:val="auto"/>
          <w:kern w:val="0"/>
          <w:szCs w:val="21"/>
          <w:highlight w:val="none"/>
        </w:rPr>
        <w:t>单位的重点部位应列入每日防火巡查内容，并建立消防安全重点部位防火巡查档案，确保重点部位消防安全。</w:t>
      </w:r>
    </w:p>
    <w:p>
      <w:pPr>
        <w:spacing w:line="360" w:lineRule="auto"/>
        <w:ind w:firstLine="420" w:firstLineChars="200"/>
        <w:rPr>
          <w:rFonts w:ascii="宋体" w:hAnsi="宋体" w:cs="宋体"/>
          <w:color w:val="auto"/>
          <w:kern w:val="0"/>
          <w:szCs w:val="21"/>
          <w:highlight w:val="none"/>
        </w:rPr>
      </w:pPr>
      <w:r>
        <w:rPr>
          <w:rFonts w:hint="eastAsia" w:ascii="宋体" w:hAnsi="宋体" w:cs="宋体"/>
          <w:bCs/>
          <w:color w:val="auto"/>
          <w:kern w:val="0"/>
          <w:szCs w:val="21"/>
          <w:highlight w:val="none"/>
        </w:rPr>
        <w:t>16）</w:t>
      </w:r>
      <w:r>
        <w:rPr>
          <w:rFonts w:hint="eastAsia" w:ascii="宋体" w:hAnsi="宋体" w:cs="宋体"/>
          <w:color w:val="auto"/>
          <w:kern w:val="0"/>
          <w:szCs w:val="21"/>
          <w:highlight w:val="none"/>
        </w:rPr>
        <w:t>对巡查中发现的火灾隐患要及时消除，无法立即消除的，要及时报告，发现初期火灾要立即报警并及时组织扑救。</w:t>
      </w:r>
    </w:p>
    <w:p>
      <w:pPr>
        <w:spacing w:line="360" w:lineRule="auto"/>
        <w:ind w:firstLine="420" w:firstLineChars="200"/>
        <w:rPr>
          <w:rFonts w:ascii="宋体" w:hAnsi="宋体" w:cs="宋体"/>
          <w:color w:val="auto"/>
          <w:kern w:val="0"/>
          <w:szCs w:val="21"/>
          <w:highlight w:val="none"/>
        </w:rPr>
      </w:pPr>
      <w:r>
        <w:rPr>
          <w:rFonts w:hint="eastAsia" w:ascii="宋体" w:hAnsi="宋体" w:cs="宋体"/>
          <w:bCs/>
          <w:color w:val="auto"/>
          <w:kern w:val="0"/>
          <w:szCs w:val="21"/>
          <w:highlight w:val="none"/>
        </w:rPr>
        <w:t>17）</w:t>
      </w:r>
      <w:r>
        <w:rPr>
          <w:rFonts w:hint="eastAsia" w:ascii="宋体" w:hAnsi="宋体" w:cs="宋体"/>
          <w:color w:val="auto"/>
          <w:kern w:val="0"/>
          <w:szCs w:val="21"/>
          <w:highlight w:val="none"/>
        </w:rPr>
        <w:t>巡查人员要严格遵守单位的各项规章制度，巡查期间不得擅自离岗或做与本岗位无关之事。</w:t>
      </w:r>
    </w:p>
    <w:p>
      <w:pPr>
        <w:adjustRightInd w:val="0"/>
        <w:snapToGrid w:val="0"/>
        <w:spacing w:line="360" w:lineRule="auto"/>
        <w:jc w:val="left"/>
        <w:rPr>
          <w:rFonts w:hint="eastAsia" w:hAnsi="宋体"/>
          <w:b/>
          <w:bCs/>
          <w:color w:val="auto"/>
          <w:szCs w:val="21"/>
          <w:highlight w:val="none"/>
        </w:rPr>
      </w:pPr>
      <w:r>
        <w:rPr>
          <w:rFonts w:hint="eastAsia" w:hAnsi="宋体"/>
          <w:b/>
          <w:bCs/>
          <w:color w:val="auto"/>
          <w:szCs w:val="21"/>
          <w:highlight w:val="none"/>
        </w:rPr>
        <w:t>10、监控、门禁系统的管理</w:t>
      </w:r>
    </w:p>
    <w:p>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10.1中标人所提供的消控室值班人员还必须同时具备视频监控系统的操作能力，能够独立完成视频的切换、回放。在值守消防监控的同时24小时必须进行视频系统的值守，按照医院要求显示重点地区。能够熟练了解视频联动系统的工作，对联动弹出视频及时报警、处置。</w:t>
      </w:r>
    </w:p>
    <w:p>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10.2</w:t>
      </w:r>
      <w:r>
        <w:rPr>
          <w:rFonts w:hint="eastAsia" w:ascii="宋体" w:hAnsi="宋体" w:cs="宋体"/>
          <w:color w:val="auto"/>
          <w:kern w:val="0"/>
          <w:szCs w:val="21"/>
          <w:highlight w:val="none"/>
        </w:rPr>
        <w:t>按要求</w:t>
      </w:r>
      <w:r>
        <w:rPr>
          <w:rFonts w:hint="eastAsia" w:hAnsi="宋体"/>
          <w:color w:val="auto"/>
          <w:szCs w:val="21"/>
          <w:highlight w:val="none"/>
        </w:rPr>
        <w:t>对医院设定的视频点位-检查顺序要求，进行视频巡逻检查，切换监控画面的速度循环监视重点部位情况，同时做好记录情况。医院管理人员将根据操作记录或视频截图来检查巡查工作的情况。</w:t>
      </w:r>
    </w:p>
    <w:p>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10.3对视频系统进行每周巡检，发现故障立即申报，并做好应急措施。</w:t>
      </w:r>
    </w:p>
    <w:p>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10.4严格遵守医院视频资源管理办法</w:t>
      </w:r>
    </w:p>
    <w:p>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10.5禁止任何人员未经批准用影像、储存设备，拍摄、拷贝资料，如发现以上情况严肃处理。如因此造成严重后果，将导致处罚直至终止合同。</w:t>
      </w:r>
    </w:p>
    <w:p>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10.6在院方的指导之下完成院区门禁管理相关操作。</w:t>
      </w:r>
    </w:p>
    <w:p>
      <w:pPr>
        <w:pStyle w:val="2"/>
        <w:rPr>
          <w:rFonts w:hint="eastAsia" w:hAnsi="宋体"/>
          <w:color w:val="auto"/>
          <w:sz w:val="21"/>
          <w:szCs w:val="21"/>
          <w:highlight w:val="none"/>
        </w:rPr>
      </w:pPr>
    </w:p>
    <w:p>
      <w:pPr>
        <w:rPr>
          <w:rFonts w:hint="eastAsia" w:hAnsi="宋体"/>
          <w:color w:val="auto"/>
          <w:szCs w:val="21"/>
          <w:highlight w:val="none"/>
        </w:rPr>
      </w:pPr>
    </w:p>
    <w:p>
      <w:pPr>
        <w:pStyle w:val="2"/>
        <w:rPr>
          <w:rFonts w:hint="eastAsia" w:hAnsi="宋体"/>
          <w:color w:val="auto"/>
          <w:sz w:val="21"/>
          <w:szCs w:val="21"/>
          <w:highlight w:val="none"/>
        </w:rPr>
      </w:pPr>
    </w:p>
    <w:p>
      <w:pPr>
        <w:rPr>
          <w:rFonts w:hint="eastAsia" w:hAnsi="宋体"/>
          <w:color w:val="auto"/>
          <w:szCs w:val="21"/>
          <w:highlight w:val="none"/>
        </w:rPr>
      </w:pPr>
    </w:p>
    <w:p>
      <w:pPr>
        <w:pStyle w:val="2"/>
        <w:rPr>
          <w:rFonts w:hint="eastAsia" w:hAnsi="宋体"/>
          <w:color w:val="auto"/>
          <w:sz w:val="21"/>
          <w:szCs w:val="21"/>
          <w:highlight w:val="none"/>
        </w:rPr>
      </w:pPr>
    </w:p>
    <w:p>
      <w:pPr>
        <w:rPr>
          <w:rFonts w:hint="eastAsia" w:hAnsi="宋体"/>
          <w:color w:val="auto"/>
          <w:szCs w:val="21"/>
          <w:highlight w:val="none"/>
        </w:rPr>
      </w:pPr>
    </w:p>
    <w:p>
      <w:pPr>
        <w:pStyle w:val="2"/>
        <w:rPr>
          <w:rFonts w:hint="eastAsia" w:hAnsi="宋体"/>
          <w:color w:val="auto"/>
          <w:sz w:val="21"/>
          <w:szCs w:val="21"/>
          <w:highlight w:val="none"/>
        </w:rPr>
      </w:pPr>
    </w:p>
    <w:p>
      <w:pPr>
        <w:rPr>
          <w:rFonts w:hint="eastAsia" w:hAnsi="宋体"/>
          <w:color w:val="auto"/>
          <w:szCs w:val="21"/>
          <w:highlight w:val="none"/>
        </w:rPr>
      </w:pPr>
    </w:p>
    <w:p>
      <w:pPr>
        <w:pStyle w:val="2"/>
        <w:rPr>
          <w:rFonts w:hint="eastAsia" w:hAnsi="宋体"/>
          <w:color w:val="auto"/>
          <w:sz w:val="21"/>
          <w:szCs w:val="21"/>
          <w:highlight w:val="none"/>
        </w:rPr>
      </w:pPr>
    </w:p>
    <w:p>
      <w:pPr>
        <w:rPr>
          <w:rFonts w:hint="eastAsia" w:hAnsi="宋体"/>
          <w:color w:val="auto"/>
          <w:szCs w:val="21"/>
          <w:highlight w:val="none"/>
        </w:rPr>
      </w:pPr>
    </w:p>
    <w:p>
      <w:pPr>
        <w:adjustRightInd w:val="0"/>
        <w:snapToGrid w:val="0"/>
        <w:spacing w:line="360" w:lineRule="auto"/>
        <w:jc w:val="left"/>
        <w:rPr>
          <w:rFonts w:hint="eastAsia" w:hAnsi="宋体"/>
          <w:b/>
          <w:bCs/>
          <w:color w:val="auto"/>
          <w:szCs w:val="21"/>
          <w:highlight w:val="none"/>
        </w:rPr>
      </w:pPr>
      <w:r>
        <w:rPr>
          <w:rFonts w:hAnsi="宋体"/>
          <w:b/>
          <w:bCs/>
          <w:color w:val="auto"/>
          <w:szCs w:val="21"/>
          <w:highlight w:val="none"/>
        </w:rPr>
        <w:br w:type="page"/>
      </w:r>
      <w:r>
        <w:rPr>
          <w:rFonts w:hint="eastAsia" w:hAnsi="宋体"/>
          <w:b/>
          <w:bCs/>
          <w:color w:val="auto"/>
          <w:szCs w:val="21"/>
          <w:highlight w:val="none"/>
        </w:rPr>
        <w:t>11、一体化报警中心的值守要求</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1、流程图</w:t>
      </w:r>
      <w:r>
        <w:rPr>
          <w:rFonts w:hint="eastAsia" w:ascii="宋体" w:hAnsi="宋体" w:cs="宋体"/>
          <w:color w:val="auto"/>
          <w:szCs w:val="21"/>
          <w:highlight w:val="none"/>
        </w:rP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63500</wp:posOffset>
                </wp:positionV>
                <wp:extent cx="5953125" cy="3459480"/>
                <wp:effectExtent l="4445" t="5080" r="5080" b="21590"/>
                <wp:wrapNone/>
                <wp:docPr id="36" name="组合 2"/>
                <wp:cNvGraphicFramePr/>
                <a:graphic xmlns:a="http://schemas.openxmlformats.org/drawingml/2006/main">
                  <a:graphicData uri="http://schemas.microsoft.com/office/word/2010/wordprocessingGroup">
                    <wpg:wgp>
                      <wpg:cNvGrpSpPr/>
                      <wpg:grpSpPr>
                        <a:xfrm>
                          <a:off x="0" y="0"/>
                          <a:ext cx="5953125" cy="3459480"/>
                          <a:chOff x="4260" y="395527"/>
                          <a:chExt cx="9375" cy="5448"/>
                        </a:xfrm>
                        <a:effectLst/>
                      </wpg:grpSpPr>
                      <wps:wsp>
                        <wps:cNvPr id="1" name="文本框 1"/>
                        <wps:cNvSpPr txBox="1"/>
                        <wps:spPr>
                          <a:xfrm>
                            <a:off x="4305" y="395726"/>
                            <a:ext cx="510" cy="102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治安类</w:t>
                              </w:r>
                            </w:p>
                          </w:txbxContent>
                        </wps:txbx>
                        <wps:bodyPr wrap="square" upright="1"/>
                      </wps:wsp>
                      <wps:wsp>
                        <wps:cNvPr id="2" name="直接连接符 2"/>
                        <wps:cNvCnPr/>
                        <wps:spPr>
                          <a:xfrm>
                            <a:off x="4815" y="396232"/>
                            <a:ext cx="150" cy="1"/>
                          </a:xfrm>
                          <a:prstGeom prst="line">
                            <a:avLst/>
                          </a:prstGeom>
                          <a:ln w="9525" cap="flat" cmpd="sng">
                            <a:solidFill>
                              <a:srgbClr val="000000"/>
                            </a:solidFill>
                            <a:prstDash val="solid"/>
                            <a:headEnd type="none" w="med" len="med"/>
                            <a:tailEnd type="none" w="med" len="med"/>
                          </a:ln>
                          <a:effectLst/>
                        </wps:spPr>
                        <wps:bodyPr upright="1"/>
                      </wps:wsp>
                      <wps:wsp>
                        <wps:cNvPr id="3" name="文本框 3"/>
                        <wps:cNvSpPr txBox="1"/>
                        <wps:spPr>
                          <a:xfrm>
                            <a:off x="4980" y="395527"/>
                            <a:ext cx="2250" cy="163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红外报警</w:t>
                              </w:r>
                            </w:p>
                            <w:p>
                              <w:r>
                                <w:rPr>
                                  <w:rFonts w:hint="eastAsia"/>
                                </w:rPr>
                                <w:t>一键式治安报警</w:t>
                              </w:r>
                            </w:p>
                            <w:p>
                              <w:r>
                                <w:rPr>
                                  <w:rFonts w:hint="eastAsia"/>
                                </w:rPr>
                                <w:t>一键式医疗呼救报警</w:t>
                              </w:r>
                            </w:p>
                            <w:p>
                              <w:r>
                                <w:rPr>
                                  <w:rFonts w:hint="eastAsia"/>
                                </w:rPr>
                                <w:t>视频监控报警</w:t>
                              </w:r>
                            </w:p>
                            <w:p>
                              <w:r>
                                <w:rPr>
                                  <w:rFonts w:hint="eastAsia"/>
                                </w:rPr>
                                <w:t>其他防入侵报警</w:t>
                              </w:r>
                            </w:p>
                          </w:txbxContent>
                        </wps:txbx>
                        <wps:bodyPr wrap="square" upright="1"/>
                      </wps:wsp>
                      <wps:wsp>
                        <wps:cNvPr id="4" name="文本框 4"/>
                        <wps:cNvSpPr txBox="1"/>
                        <wps:spPr>
                          <a:xfrm>
                            <a:off x="4290" y="397780"/>
                            <a:ext cx="510" cy="12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物联网类</w:t>
                              </w:r>
                            </w:p>
                          </w:txbxContent>
                        </wps:txbx>
                        <wps:bodyPr wrap="square" upright="1"/>
                      </wps:wsp>
                      <wps:wsp>
                        <wps:cNvPr id="5" name="直接连接符 5"/>
                        <wps:cNvCnPr/>
                        <wps:spPr>
                          <a:xfrm>
                            <a:off x="4800" y="398753"/>
                            <a:ext cx="150" cy="1"/>
                          </a:xfrm>
                          <a:prstGeom prst="line">
                            <a:avLst/>
                          </a:prstGeom>
                          <a:ln w="9525" cap="flat" cmpd="sng">
                            <a:solidFill>
                              <a:srgbClr val="000000"/>
                            </a:solidFill>
                            <a:prstDash val="solid"/>
                            <a:headEnd type="none" w="med" len="med"/>
                            <a:tailEnd type="none" w="med" len="med"/>
                          </a:ln>
                          <a:effectLst/>
                        </wps:spPr>
                        <wps:bodyPr upright="1"/>
                      </wps:wsp>
                      <wps:wsp>
                        <wps:cNvPr id="6" name="文本框 6"/>
                        <wps:cNvSpPr txBox="1"/>
                        <wps:spPr>
                          <a:xfrm>
                            <a:off x="4965" y="398048"/>
                            <a:ext cx="2250" cy="163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电气报警</w:t>
                              </w:r>
                            </w:p>
                            <w:p>
                              <w:r>
                                <w:rPr>
                                  <w:rFonts w:hint="eastAsia"/>
                                </w:rPr>
                                <w:t>水压、水位、水温</w:t>
                              </w:r>
                            </w:p>
                            <w:p>
                              <w:r>
                                <w:rPr>
                                  <w:rFonts w:hint="eastAsia"/>
                                </w:rPr>
                                <w:t>气体系统压力</w:t>
                              </w:r>
                            </w:p>
                            <w:p>
                              <w:r>
                                <w:rPr>
                                  <w:rFonts w:hint="eastAsia"/>
                                </w:rPr>
                                <w:t>燃气系统报警</w:t>
                              </w:r>
                            </w:p>
                            <w:p>
                              <w:r>
                                <w:rPr>
                                  <w:rFonts w:hint="eastAsia"/>
                                </w:rPr>
                                <w:t>温度异常报警</w:t>
                              </w:r>
                            </w:p>
                          </w:txbxContent>
                        </wps:txbx>
                        <wps:bodyPr wrap="square" upright="1"/>
                      </wps:wsp>
                      <wps:wsp>
                        <wps:cNvPr id="7" name="文本框 7"/>
                        <wps:cNvSpPr txBox="1"/>
                        <wps:spPr>
                          <a:xfrm>
                            <a:off x="4260" y="399895"/>
                            <a:ext cx="510" cy="10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消防类</w:t>
                              </w:r>
                            </w:p>
                          </w:txbxContent>
                        </wps:txbx>
                        <wps:bodyPr wrap="square" upright="1"/>
                      </wps:wsp>
                      <wps:wsp>
                        <wps:cNvPr id="8" name="直接连接符 8"/>
                        <wps:cNvCnPr/>
                        <wps:spPr>
                          <a:xfrm>
                            <a:off x="4770" y="400416"/>
                            <a:ext cx="2716" cy="1"/>
                          </a:xfrm>
                          <a:prstGeom prst="line">
                            <a:avLst/>
                          </a:prstGeom>
                          <a:ln w="9525" cap="flat" cmpd="sng">
                            <a:solidFill>
                              <a:srgbClr val="000000"/>
                            </a:solidFill>
                            <a:prstDash val="solid"/>
                            <a:headEnd type="none" w="med" len="med"/>
                            <a:tailEnd type="none" w="med" len="med"/>
                          </a:ln>
                          <a:effectLst/>
                        </wps:spPr>
                        <wps:bodyPr upright="1"/>
                      </wps:wsp>
                      <wps:wsp>
                        <wps:cNvPr id="9" name="直接连接符 9"/>
                        <wps:cNvCnPr/>
                        <wps:spPr>
                          <a:xfrm>
                            <a:off x="7230" y="395796"/>
                            <a:ext cx="299" cy="1"/>
                          </a:xfrm>
                          <a:prstGeom prst="line">
                            <a:avLst/>
                          </a:prstGeom>
                          <a:ln w="9525" cap="flat" cmpd="sng">
                            <a:solidFill>
                              <a:srgbClr val="000000"/>
                            </a:solidFill>
                            <a:prstDash val="solid"/>
                            <a:headEnd type="none" w="med" len="med"/>
                            <a:tailEnd type="none" w="med" len="med"/>
                          </a:ln>
                          <a:effectLst/>
                        </wps:spPr>
                        <wps:bodyPr upright="1"/>
                      </wps:wsp>
                      <wps:wsp>
                        <wps:cNvPr id="10" name="直接连接符 10"/>
                        <wps:cNvCnPr/>
                        <wps:spPr>
                          <a:xfrm>
                            <a:off x="7230" y="398346"/>
                            <a:ext cx="269" cy="1"/>
                          </a:xfrm>
                          <a:prstGeom prst="line">
                            <a:avLst/>
                          </a:prstGeom>
                          <a:ln w="9525" cap="flat" cmpd="sng">
                            <a:solidFill>
                              <a:srgbClr val="000000"/>
                            </a:solidFill>
                            <a:prstDash val="solid"/>
                            <a:headEnd type="none" w="med" len="med"/>
                            <a:tailEnd type="none" w="med" len="med"/>
                          </a:ln>
                          <a:effectLst/>
                        </wps:spPr>
                        <wps:bodyPr upright="1"/>
                      </wps:wsp>
                      <wps:wsp>
                        <wps:cNvPr id="11" name="直接连接符 11"/>
                        <wps:cNvCnPr/>
                        <wps:spPr>
                          <a:xfrm>
                            <a:off x="7545" y="395797"/>
                            <a:ext cx="1" cy="4636"/>
                          </a:xfrm>
                          <a:prstGeom prst="line">
                            <a:avLst/>
                          </a:prstGeom>
                          <a:ln w="9525" cap="flat" cmpd="sng">
                            <a:solidFill>
                              <a:srgbClr val="000000"/>
                            </a:solidFill>
                            <a:prstDash val="solid"/>
                            <a:headEnd type="none" w="med" len="med"/>
                            <a:tailEnd type="none" w="med" len="med"/>
                          </a:ln>
                          <a:effectLst/>
                        </wps:spPr>
                        <wps:bodyPr upright="1"/>
                      </wps:wsp>
                      <wps:wsp>
                        <wps:cNvPr id="12" name="直接连接符 12"/>
                        <wps:cNvCnPr/>
                        <wps:spPr>
                          <a:xfrm>
                            <a:off x="7515" y="398798"/>
                            <a:ext cx="180" cy="1"/>
                          </a:xfrm>
                          <a:prstGeom prst="line">
                            <a:avLst/>
                          </a:prstGeom>
                          <a:ln w="9525" cap="flat" cmpd="sng">
                            <a:solidFill>
                              <a:srgbClr val="000000"/>
                            </a:solidFill>
                            <a:prstDash val="solid"/>
                            <a:headEnd type="none" w="med" len="med"/>
                            <a:tailEnd type="none" w="med" len="med"/>
                          </a:ln>
                          <a:effectLst/>
                        </wps:spPr>
                        <wps:bodyPr upright="1"/>
                      </wps:wsp>
                      <wps:wsp>
                        <wps:cNvPr id="13" name="文本框 13"/>
                        <wps:cNvSpPr txBox="1"/>
                        <wps:spPr>
                          <a:xfrm>
                            <a:off x="7695" y="397733"/>
                            <a:ext cx="525" cy="20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bCs/>
                                  <w:sz w:val="24"/>
                                </w:rPr>
                              </w:pPr>
                              <w:r>
                                <w:rPr>
                                  <w:rFonts w:hint="eastAsia"/>
                                  <w:bCs/>
                                  <w:sz w:val="24"/>
                                </w:rPr>
                                <w:t>一体报警中心</w:t>
                              </w:r>
                            </w:p>
                          </w:txbxContent>
                        </wps:txbx>
                        <wps:bodyPr wrap="square" upright="1"/>
                      </wps:wsp>
                      <wps:wsp>
                        <wps:cNvPr id="14" name="直接连接符 14"/>
                        <wps:cNvCnPr/>
                        <wps:spPr>
                          <a:xfrm>
                            <a:off x="8220" y="398312"/>
                            <a:ext cx="748" cy="1"/>
                          </a:xfrm>
                          <a:prstGeom prst="line">
                            <a:avLst/>
                          </a:prstGeom>
                          <a:ln w="9525" cap="flat" cmpd="sng">
                            <a:solidFill>
                              <a:srgbClr val="000000"/>
                            </a:solidFill>
                            <a:prstDash val="solid"/>
                            <a:headEnd type="none" w="med" len="med"/>
                            <a:tailEnd type="none" w="med" len="med"/>
                          </a:ln>
                          <a:effectLst/>
                        </wps:spPr>
                        <wps:bodyPr upright="1"/>
                      </wps:wsp>
                      <wps:wsp>
                        <wps:cNvPr id="15" name="直接连接符 15"/>
                        <wps:cNvCnPr/>
                        <wps:spPr>
                          <a:xfrm>
                            <a:off x="8985" y="396317"/>
                            <a:ext cx="1" cy="3346"/>
                          </a:xfrm>
                          <a:prstGeom prst="line">
                            <a:avLst/>
                          </a:prstGeom>
                          <a:ln w="9525" cap="flat" cmpd="sng">
                            <a:solidFill>
                              <a:srgbClr val="000000"/>
                            </a:solidFill>
                            <a:prstDash val="solid"/>
                            <a:headEnd type="none" w="med" len="med"/>
                            <a:tailEnd type="none" w="med" len="med"/>
                          </a:ln>
                          <a:effectLst/>
                        </wps:spPr>
                        <wps:bodyPr upright="1"/>
                      </wps:wsp>
                      <wps:wsp>
                        <wps:cNvPr id="16" name="直接连接符 16"/>
                        <wps:cNvCnPr/>
                        <wps:spPr>
                          <a:xfrm>
                            <a:off x="8955" y="396349"/>
                            <a:ext cx="450" cy="1"/>
                          </a:xfrm>
                          <a:prstGeom prst="line">
                            <a:avLst/>
                          </a:prstGeom>
                          <a:ln w="9525" cap="flat" cmpd="sng">
                            <a:solidFill>
                              <a:srgbClr val="000000"/>
                            </a:solidFill>
                            <a:prstDash val="solid"/>
                            <a:headEnd type="none" w="med" len="med"/>
                            <a:tailEnd type="arrow" w="med" len="med"/>
                          </a:ln>
                          <a:effectLst/>
                        </wps:spPr>
                        <wps:bodyPr upright="1"/>
                      </wps:wsp>
                      <wps:wsp>
                        <wps:cNvPr id="17" name="直接连接符 17"/>
                        <wps:cNvCnPr/>
                        <wps:spPr>
                          <a:xfrm>
                            <a:off x="8985" y="397549"/>
                            <a:ext cx="450" cy="1"/>
                          </a:xfrm>
                          <a:prstGeom prst="line">
                            <a:avLst/>
                          </a:prstGeom>
                          <a:ln w="9525" cap="flat" cmpd="sng">
                            <a:solidFill>
                              <a:srgbClr val="000000"/>
                            </a:solidFill>
                            <a:prstDash val="solid"/>
                            <a:headEnd type="none" w="med" len="med"/>
                            <a:tailEnd type="arrow" w="med" len="med"/>
                          </a:ln>
                          <a:effectLst/>
                        </wps:spPr>
                        <wps:bodyPr upright="1"/>
                      </wps:wsp>
                      <wps:wsp>
                        <wps:cNvPr id="18" name="直接连接符 18"/>
                        <wps:cNvCnPr/>
                        <wps:spPr>
                          <a:xfrm>
                            <a:off x="8970" y="398629"/>
                            <a:ext cx="450" cy="1"/>
                          </a:xfrm>
                          <a:prstGeom prst="line">
                            <a:avLst/>
                          </a:prstGeom>
                          <a:ln w="9525" cap="flat" cmpd="sng">
                            <a:solidFill>
                              <a:srgbClr val="000000"/>
                            </a:solidFill>
                            <a:prstDash val="solid"/>
                            <a:headEnd type="none" w="med" len="med"/>
                            <a:tailEnd type="arrow" w="med" len="med"/>
                          </a:ln>
                          <a:effectLst/>
                        </wps:spPr>
                        <wps:bodyPr upright="1"/>
                      </wps:wsp>
                      <wps:wsp>
                        <wps:cNvPr id="19" name="直接连接符 19"/>
                        <wps:cNvCnPr/>
                        <wps:spPr>
                          <a:xfrm>
                            <a:off x="8985" y="399663"/>
                            <a:ext cx="450" cy="1"/>
                          </a:xfrm>
                          <a:prstGeom prst="line">
                            <a:avLst/>
                          </a:prstGeom>
                          <a:ln w="9525" cap="flat" cmpd="sng">
                            <a:solidFill>
                              <a:srgbClr val="000000"/>
                            </a:solidFill>
                            <a:prstDash val="solid"/>
                            <a:headEnd type="none" w="med" len="med"/>
                            <a:tailEnd type="arrow" w="med" len="med"/>
                          </a:ln>
                          <a:effectLst/>
                        </wps:spPr>
                        <wps:bodyPr upright="1"/>
                      </wps:wsp>
                      <wps:wsp>
                        <wps:cNvPr id="20" name="文本框 20"/>
                        <wps:cNvSpPr txBox="1"/>
                        <wps:spPr>
                          <a:xfrm>
                            <a:off x="9405" y="396107"/>
                            <a:ext cx="1754" cy="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安保人员查看</w:t>
                              </w:r>
                            </w:p>
                          </w:txbxContent>
                        </wps:txbx>
                        <wps:bodyPr wrap="square" upright="1"/>
                      </wps:wsp>
                      <wps:wsp>
                        <wps:cNvPr id="21" name="文本框 21"/>
                        <wps:cNvSpPr txBox="1"/>
                        <wps:spPr>
                          <a:xfrm>
                            <a:off x="9435" y="397217"/>
                            <a:ext cx="1754" cy="73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 xml:space="preserve">物业技术人员查看 </w:t>
                              </w:r>
                            </w:p>
                          </w:txbxContent>
                        </wps:txbx>
                        <wps:bodyPr wrap="square" upright="1"/>
                      </wps:wsp>
                      <wps:wsp>
                        <wps:cNvPr id="22" name="文本框 22"/>
                        <wps:cNvSpPr txBox="1"/>
                        <wps:spPr>
                          <a:xfrm>
                            <a:off x="9420" y="398374"/>
                            <a:ext cx="1754" cy="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医护人员查看</w:t>
                              </w:r>
                            </w:p>
                          </w:txbxContent>
                        </wps:txbx>
                        <wps:bodyPr wrap="square" upright="1"/>
                      </wps:wsp>
                      <wps:wsp>
                        <wps:cNvPr id="23" name="文本框 23"/>
                        <wps:cNvSpPr txBox="1"/>
                        <wps:spPr>
                          <a:xfrm>
                            <a:off x="9420" y="399394"/>
                            <a:ext cx="1754" cy="79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消防维保人员查看</w:t>
                              </w:r>
                            </w:p>
                          </w:txbxContent>
                        </wps:txbx>
                        <wps:bodyPr wrap="square" upright="1"/>
                      </wps:wsp>
                      <wps:wsp>
                        <wps:cNvPr id="24" name="直接连接符 24"/>
                        <wps:cNvCnPr/>
                        <wps:spPr>
                          <a:xfrm>
                            <a:off x="11175" y="396304"/>
                            <a:ext cx="315" cy="1"/>
                          </a:xfrm>
                          <a:prstGeom prst="line">
                            <a:avLst/>
                          </a:prstGeom>
                          <a:ln w="9525" cap="flat" cmpd="sng">
                            <a:solidFill>
                              <a:srgbClr val="000000"/>
                            </a:solidFill>
                            <a:prstDash val="solid"/>
                            <a:headEnd type="none" w="med" len="med"/>
                            <a:tailEnd type="none" w="med" len="med"/>
                          </a:ln>
                          <a:effectLst/>
                        </wps:spPr>
                        <wps:bodyPr upright="1"/>
                      </wps:wsp>
                      <wps:wsp>
                        <wps:cNvPr id="25" name="直接连接符 25"/>
                        <wps:cNvCnPr/>
                        <wps:spPr>
                          <a:xfrm>
                            <a:off x="11190" y="397579"/>
                            <a:ext cx="315" cy="1"/>
                          </a:xfrm>
                          <a:prstGeom prst="line">
                            <a:avLst/>
                          </a:prstGeom>
                          <a:ln w="9525" cap="flat" cmpd="sng">
                            <a:solidFill>
                              <a:srgbClr val="000000"/>
                            </a:solidFill>
                            <a:prstDash val="solid"/>
                            <a:headEnd type="none" w="med" len="med"/>
                            <a:tailEnd type="none" w="med" len="med"/>
                          </a:ln>
                          <a:effectLst/>
                        </wps:spPr>
                        <wps:bodyPr upright="1"/>
                      </wps:wsp>
                      <wps:wsp>
                        <wps:cNvPr id="26" name="直接连接符 26"/>
                        <wps:cNvCnPr/>
                        <wps:spPr>
                          <a:xfrm>
                            <a:off x="11205" y="398614"/>
                            <a:ext cx="315" cy="1"/>
                          </a:xfrm>
                          <a:prstGeom prst="line">
                            <a:avLst/>
                          </a:prstGeom>
                          <a:ln w="9525" cap="flat" cmpd="sng">
                            <a:solidFill>
                              <a:srgbClr val="000000"/>
                            </a:solidFill>
                            <a:prstDash val="solid"/>
                            <a:headEnd type="none" w="med" len="med"/>
                            <a:tailEnd type="none" w="med" len="med"/>
                          </a:ln>
                          <a:effectLst/>
                        </wps:spPr>
                        <wps:bodyPr upright="1"/>
                      </wps:wsp>
                      <wps:wsp>
                        <wps:cNvPr id="27" name="直接连接符 27"/>
                        <wps:cNvCnPr/>
                        <wps:spPr>
                          <a:xfrm>
                            <a:off x="11220" y="399708"/>
                            <a:ext cx="315" cy="1"/>
                          </a:xfrm>
                          <a:prstGeom prst="line">
                            <a:avLst/>
                          </a:prstGeom>
                          <a:ln w="9525" cap="flat" cmpd="sng">
                            <a:solidFill>
                              <a:srgbClr val="000000"/>
                            </a:solidFill>
                            <a:prstDash val="solid"/>
                            <a:headEnd type="none" w="med" len="med"/>
                            <a:tailEnd type="none" w="med" len="med"/>
                          </a:ln>
                          <a:effectLst/>
                        </wps:spPr>
                        <wps:bodyPr upright="1"/>
                      </wps:wsp>
                      <wps:wsp>
                        <wps:cNvPr id="28" name="直接连接符 28"/>
                        <wps:cNvCnPr/>
                        <wps:spPr>
                          <a:xfrm>
                            <a:off x="11520" y="396274"/>
                            <a:ext cx="1" cy="3465"/>
                          </a:xfrm>
                          <a:prstGeom prst="line">
                            <a:avLst/>
                          </a:prstGeom>
                          <a:ln w="9525" cap="flat" cmpd="sng">
                            <a:solidFill>
                              <a:srgbClr val="000000"/>
                            </a:solidFill>
                            <a:prstDash val="solid"/>
                            <a:headEnd type="none" w="med" len="med"/>
                            <a:tailEnd type="none" w="med" len="med"/>
                          </a:ln>
                          <a:effectLst/>
                        </wps:spPr>
                        <wps:bodyPr upright="1"/>
                      </wps:wsp>
                      <wps:wsp>
                        <wps:cNvPr id="29" name="直接连接符 29"/>
                        <wps:cNvCnPr/>
                        <wps:spPr>
                          <a:xfrm>
                            <a:off x="11550" y="398494"/>
                            <a:ext cx="390" cy="1"/>
                          </a:xfrm>
                          <a:prstGeom prst="line">
                            <a:avLst/>
                          </a:prstGeom>
                          <a:ln w="9525" cap="flat" cmpd="sng">
                            <a:solidFill>
                              <a:srgbClr val="000000"/>
                            </a:solidFill>
                            <a:prstDash val="solid"/>
                            <a:headEnd type="none" w="med" len="med"/>
                            <a:tailEnd type="arrow" w="med" len="med"/>
                          </a:ln>
                          <a:effectLst/>
                        </wps:spPr>
                        <wps:bodyPr upright="1"/>
                      </wps:wsp>
                      <wps:wsp>
                        <wps:cNvPr id="30" name="文本框 30"/>
                        <wps:cNvSpPr txBox="1"/>
                        <wps:spPr>
                          <a:xfrm>
                            <a:off x="11955" y="398119"/>
                            <a:ext cx="615" cy="84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处理</w:t>
                              </w:r>
                            </w:p>
                          </w:txbxContent>
                        </wps:txbx>
                        <wps:bodyPr wrap="square" upright="1"/>
                      </wps:wsp>
                      <wps:wsp>
                        <wps:cNvPr id="31" name="直接连接符 31"/>
                        <wps:cNvCnPr/>
                        <wps:spPr>
                          <a:xfrm>
                            <a:off x="12255" y="398944"/>
                            <a:ext cx="1" cy="1740"/>
                          </a:xfrm>
                          <a:prstGeom prst="line">
                            <a:avLst/>
                          </a:prstGeom>
                          <a:ln w="9525" cap="flat" cmpd="sng">
                            <a:solidFill>
                              <a:srgbClr val="000000"/>
                            </a:solidFill>
                            <a:prstDash val="solid"/>
                            <a:headEnd type="none" w="med" len="med"/>
                            <a:tailEnd type="none" w="med" len="med"/>
                          </a:ln>
                          <a:effectLst/>
                        </wps:spPr>
                        <wps:bodyPr upright="1"/>
                      </wps:wsp>
                      <wps:wsp>
                        <wps:cNvPr id="32" name="直接连接符 32"/>
                        <wps:cNvCnPr/>
                        <wps:spPr>
                          <a:xfrm>
                            <a:off x="10950" y="400669"/>
                            <a:ext cx="1320" cy="1"/>
                          </a:xfrm>
                          <a:prstGeom prst="line">
                            <a:avLst/>
                          </a:prstGeom>
                          <a:ln w="9525" cap="flat" cmpd="sng">
                            <a:solidFill>
                              <a:srgbClr val="000000"/>
                            </a:solidFill>
                            <a:prstDash val="solid"/>
                            <a:headEnd type="none" w="med" len="med"/>
                            <a:tailEnd type="none" w="med" len="med"/>
                          </a:ln>
                          <a:effectLst/>
                        </wps:spPr>
                        <wps:bodyPr upright="1"/>
                      </wps:wsp>
                      <wps:wsp>
                        <wps:cNvPr id="33" name="文本框 33"/>
                        <wps:cNvSpPr txBox="1"/>
                        <wps:spPr>
                          <a:xfrm>
                            <a:off x="9675" y="400489"/>
                            <a:ext cx="1275" cy="46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登记台账</w:t>
                              </w:r>
                            </w:p>
                          </w:txbxContent>
                        </wps:txbx>
                        <wps:bodyPr wrap="square" upright="1"/>
                      </wps:wsp>
                      <wps:wsp>
                        <wps:cNvPr id="34" name="直接连接符 34"/>
                        <wps:cNvCnPr/>
                        <wps:spPr>
                          <a:xfrm>
                            <a:off x="12570" y="398494"/>
                            <a:ext cx="375" cy="1"/>
                          </a:xfrm>
                          <a:prstGeom prst="line">
                            <a:avLst/>
                          </a:prstGeom>
                          <a:ln w="9525" cap="flat" cmpd="sng">
                            <a:solidFill>
                              <a:srgbClr val="000000"/>
                            </a:solidFill>
                            <a:prstDash val="solid"/>
                            <a:headEnd type="none" w="med" len="med"/>
                            <a:tailEnd type="arrow" w="med" len="med"/>
                          </a:ln>
                          <a:effectLst/>
                        </wps:spPr>
                        <wps:bodyPr upright="1"/>
                      </wps:wsp>
                      <wps:wsp>
                        <wps:cNvPr id="35" name="文本框 35"/>
                        <wps:cNvSpPr txBox="1"/>
                        <wps:spPr>
                          <a:xfrm>
                            <a:off x="13065" y="397367"/>
                            <a:ext cx="570" cy="130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异常上报</w:t>
                              </w:r>
                            </w:p>
                          </w:txbxContent>
                        </wps:txbx>
                        <wps:bodyPr wrap="square" upright="1"/>
                      </wps:wsp>
                    </wpg:wgp>
                  </a:graphicData>
                </a:graphic>
              </wp:anchor>
            </w:drawing>
          </mc:Choice>
          <mc:Fallback>
            <w:pict>
              <v:group id="组合 2" o:spid="_x0000_s1026" o:spt="203" style="position:absolute;left:0pt;margin-left:-4.4pt;margin-top:5pt;height:272.4pt;width:468.75pt;z-index:251659264;mso-width-relative:page;mso-height-relative:page;" coordorigin="4260,395527" coordsize="9375,5448" o:gfxdata="UEsDBAoAAAAAAIdO4kAAAAAAAAAAAAAAAAAEAAAAZHJzL1BLAwQUAAAACACHTuJA/z/0CdkAAAAJ AQAADwAAAGRycy9kb3ducmV2LnhtbE2PwU7DMBBE70j8g7VI3Fo7hUAIcSpUAaeqEi0S4raNt0nU 2I5iN2n/nuUEx9lZzbwplmfbiZGG0HqnIZkrEOQqb1pXa/jcvc0yECGiM9h5RxouFGBZXl8VmBs/ uQ8at7EWHOJCjhqaGPtcylA1ZDHMfU+OvYMfLEaWQy3NgBOH204ulHqQFlvHDQ32tGqoOm5PVsP7 hNPLXfI6ro+H1eV7l26+1glpfXuTqGcQkc7x7xl+8RkdSmba+5MzQXQaZhmTR74rnsT+0yJ7BLHX kKb3GciykP8XlD9QSwMEFAAAAAgAh07iQBIROToPBwAAelEAAA4AAABkcnMvZTJvRG9jLnhtbO1c S2/rRBTeI/EfLO9pPON31PRK3N7eDYIrXfgBruMklvzCdpt0j4AVYsUGhMQCVnfJjgW/hpafwZmX x3XimzgI2iTTRZr4Mfac+XzOd74z4/MXqzTRbqOyivNsoqMzQ9eiLMyncTaf6F98fvWRp2tVHWTT IMmzaKLfRZX+4uLDD86XxTjC+SJPplGpQSNZNV4WE31R18V4NKrCRZQG1VleRBnsnOVlGtTws5yP pmWwhNbTZIQNwxkt83JalHkYVRVsvWQ7dd5iuUuD+WwWh9FlHt6kUVazVssoCWroUrWIi0q/oHc7 m0Vh/dlsVkW1lkx06GlNP+Ei8P2afI4uzoPxvAyKRRzyWwh2uYVOn9IgzuCiTVOXQR1oN2W81lQa h2Ve5bP6LMzTEesItQj0Ahkd27wu85uC9mU+Xs6LxugwUB2r791s+Ontm1KLpxPddHQtC1IY8Yc/ vvrr+281TIyzLOZjOOZ1Wbwt3pR8w5z9Iv1dzcqU/IeeaCtq1rvGrNGq1kLYaPu2ibCtayHsMy3b tzxu+HABo0POs7ADI0J2+7aNXTYs4eIVb8E3XX66bVke2TuSl47oMH9S1WQzud/m9pYFQLSSdqv+ nd3eLoIiosNREZtwuyFhtvsfvrn/6d39L19riFmOHkXMptWrj3PoZbO9go0brGeZBnSTWcHFDrNC Y0UEFiIWRAamDbVMUJRV/TrKU418meglwJ6iMbjlZgnG4hBy2SpP4ulVnCT0Rzm/fpmU2m0Aj8gV /eMGfnRYkmnLie7bdBwDeO5n8LzBDaUFYKfK5vR6j86o2g0b9G9Tw+TGLoNqwW6AtsA6nsZ1VMKY BuNFFExfZVOtvisAnhm4JZ3cTBpNdS2JwIuRb/TIOoiTXY4E2yUZaboDnmrMhoYgp15dr6BR8vU6 n97BMC7BT0Bnv7wJSriDm6KM5wswNxsNDjZ2wn+OOixQ9/Dj7/ff/fr3nz/D58O738RTS7H3MuOP rOiWfGj482p5SCDOwSZ94sEm/KlDtkAcHzfxsAsscbglMQwIMWYP3P5/6DwNYDhKnhQXpsCF9EYm GT2CTvBZg7yRD26665MFNjBuwOGY1vvxodzRNsd18O7IWocdBcU+sMO+gJ3rCqIgYGc3QRCblEOo IHjCQRBCF2esnSBot1zeLkHQEIjzXJu6SxUEN/GrXdzUcwiCTSYjgyAl0/t4I98RBMkzWOohsaGC oOLkrUzQFe5Iwo5msvvATubDvudTdyZhJ4OgweKjCoInHARBrtscBKlOwrG3QxB0XRYELcOwUEd7 wC5sYeLD+6m+SgUfCQZPmgr6fcDwB7EjlzBtIUr5XWD4cBUqSilcHAo7IinUZo8Be6RUsN1ltJDh mVYXGY5ChtAlDwYZjZbdVRVRI12DiLQDMmxLsGbb9bmcL3J4uAjxGJYDFQeAWz95UcHk+QQT1Cs4 w55BTsNuFGfP9SlHkcwWEcVRhRNazDgYp7FBckb7as6uA8kOIxuua3akGFZ7AteBDUuJf6deAUON 5rwWrNrS8/Zg5WEsCK4HdWrizaRHckHzUR6JlVcPxiP16sIQeobEKs/3hDdyTLSZxpic+Soas62e /hyUYSJj9OQ+lIzuLJeAKCehYdGMWjoNq6mNngrBDcoyX26elHEwXqORb9fiSVvF3SGeSK/h2goa xwCNXo0VDRNZPZ+LrKbvOVh5jSPwGr0qKxoms7a4hu84ncxHBZTWLL9DCSgkq2BcQ9YDYZskoEMm Y/lWMzXUQUaXikKcYVmKrRLjzSwkGJ/O1NBGxW3hrq3fDsOdKXiui9dSoAZ3rpoDqHDXSMQt3LXF 4WG4a4kyLhV0ZH6FGtwpfxcp3G0QoPG+ArRvNbjzTb8Xdy7b1S/6qDnPRz/nGfcK0LBHsrztggFC 4NB41cMxjQ7oTFIvUzWxKZfSti7beQ4yI1kktVlmhD0DoSFnw0MpnZws46CChlz7dTBZYa8CzRb8 7axAI4SblNBzoBqmoNHDhQ4GGr0KNFsROwQaksW4RmeShfIaB+g1ehVoPEyBRshuoOHgtcSKMQ0o adIw1U9v1dSs5zM1C+oIfWRjmAQN2CCFS7r+3LO6yY9JiMhJ8dAjqFyRqdtdDZotnOTBZIgmg5As envw4zHjcESe4lnq9QSnPjnLbDTobjEd9gxKgGCNnciNPd/qsFw+lRi528oeKl49n3gFr5noiVfs BRS701zD5/EK1iw5sN7gUQaETEJ0Tipg9b8Z5VBSIJjyux6v9tZyHS6rkSVtXhceWLxSyHK2rENQ Wu7Ra7lQvuzzSTTk7O6TsC2n+KxzaIG5LQzpeMLVMXDoRsyVdU0oiksWM4hDm0bzQgHXdDoTOSh2 aMiCw8gV+jNw5ZSe0inR98zBK/noCPHXB5J3/rV/w/f2KxMv/gF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CQAAW0NvbnRlbnRfVHlwZXNdLnht bFBLAQIUAAoAAAAAAIdO4kAAAAAAAAAAAAAAAAAGAAAAAAAAAAAAEAAAAGMIAABfcmVscy9QSwEC FAAUAAAACACHTuJAihRmPNEAAACUAQAACwAAAAAAAAABACAAAACHCAAAX3JlbHMvLnJlbHNQSwEC FAAKAAAAAACHTuJAAAAAAAAAAAAAAAAABAAAAAAAAAAAABAAAAAAAAAAZHJzL1BLAQIUABQAAAAI AIdO4kD/P/QJ2QAAAAkBAAAPAAAAAAAAAAEAIAAAACIAAABkcnMvZG93bnJldi54bWxQSwECFAAU AAAACACHTuJAEhE5Og8HAAB6UQAADgAAAAAAAAABACAAAAAoAQAAZHJzL2Uyb0RvYy54bWxQSwUG AAAAAAYABgBZAQAAqQoAAAAA ">
                <o:lock v:ext="edit" aspectratio="f"/>
                <v:shape id="_x0000_s1026" o:spid="_x0000_s1026" o:spt="202" type="#_x0000_t202" style="position:absolute;left:4305;top:395726;height:1021;width:510;" fillcolor="#FFFFFF" filled="t" stroked="t" coordsize="21600,21600" o:gfxdata="UEsDBAoAAAAAAIdO4kAAAAAAAAAAAAAAAAAEAAAAZHJzL1BLAwQUAAAACACHTuJAv9dyOroAAADa AAAADwAAAGRycy9kb3ducmV2LnhtbEVPS4vCMBC+C/6HMIIXWVNdcbUaPQguevOxrNehGdtiM6lJ rO6/3wiCp+Hje858+TCVaMj50rKCQT8BQZxZXXKu4Oe4/piA8AFZY2WZFPyRh+Wi3Zpjqu2d99Qc Qi5iCPsUFRQh1KmUPivIoO/bmjhyZ+sMhghdLrXDeww3lRwmyVgaLDk2FFjTqqDscrgZBZPRpjn5 7efuNxufq2nofTXfV6dUtzNIZiACPcJb/HJvdJwPz1eeVy7+AVBLAwQUAAAACACHTuJAMy8FnjsA AAA5AAAAEAAAAGRycy9zaGFwZXhtbC54bWyzsa/IzVEoSy0qzszPs1Uy1DNQUkjNS85PycxLt1UK DXHTtVBSKC5JzEtJzMnPS7VVqkwtVrK34+UCAFBLAwQKAAAAAACHTuJAAAAAAAAAAAAAAAAABgAA AF9yZWxzL1BLAwQUAAAACACHTuJA1VwmKMwAAACPAQAACwAAAF9yZWxzLy5yZWxzpZCxagMxDIb3 QN/BaO/5kqGUEF+2QtaQQldh6+5MzpaxzDV5+7iUQi9ky6BBv9D3Ce32lzCpmbJ4jgbWTQuKomXn 42Dg8/Tx+g5KCkaHE0cycCWBffey2h1pwlKXZPRJVKVEMTCWkrZaix0poDScKNZJzzlgqW0edEJ7 xoH0pm3fdP7PgG7BVAdnIB/cBtTpmqr5jh28zSzcl8Zy0Nz33j6iahkx0VeYKgbzQMWAy/Kb1tOa WqAfm9dPmh1/xyPNS/FPmGn+8+rFG7sbUEsDBBQAAAAIAIdO4kBa4xFm9wAAAOIBAAATAAAAW0Nv bnRlbnRfVHlwZXNdLnhtbJWRTU/EIBCG7yb+BzJX01I9GGNK92D1qEbXHzCBaUu2BcJg3f330v24 GNfEI8y8z/sE6tV2GsVMka13Cq7LCgQ57Y11vYKP9VNxB4ITOoOjd6RgRwyr5vKiXu8CschpxwqG lMK9lKwHmpBLH8jlSefjhCkfYy8D6g32JG+q6lZq7xK5VKSFAU3dUoefYxKP23x9MIk0MoiHw+LS pQBDGK3GlE3l7MyPluLYUObkfocHG/gqa4D8tWGZnC845l7y00RrSLxiTM84ZQ1pIkvjv1ykufwb slhOXPius5rKNnKbY280n6zO0XnAQBn9X/z7kjvB5f6Hmm9QSwECFAAUAAAACACHTuJAWuMRZvcA AADiAQAAEwAAAAAAAAABACAAAACLAgAAW0NvbnRlbnRfVHlwZXNdLnhtbFBLAQIUAAoAAAAAAIdO 4kAAAAAAAAAAAAAAAAAGAAAAAAAAAAAAEAAAAHIBAABfcmVscy9QSwECFAAUAAAACACHTuJA1Vwm KMwAAACPAQAACwAAAAAAAAABACAAAACWAQAAX3JlbHMvLnJlbHNQSwECFAAKAAAAAACHTuJAAAAA AAAAAAAAAAAABAAAAAAAAAAAABAAAAAAAAAAZHJzL1BLAQIUABQAAAAIAIdO4kC/13I6ugAAANoA AAAPAAAAAAAAAAEAIAAAACIAAABkcnMvZG93bnJldi54bWxQSwECFAAUAAAACACHTuJAMy8FnjsA AAA5AAAAEAAAAAAAAAABACAAAAAJAQAAZHJzL3NoYXBleG1sLnhtbFBLBQYAAAAABgAGAFsBAACz AwAAAAA= ">
                  <v:fill on="t" focussize="0,0"/>
                  <v:stroke color="#000000" joinstyle="miter"/>
                  <v:imagedata o:title=""/>
                  <o:lock v:ext="edit" aspectratio="f"/>
                  <v:textbox>
                    <w:txbxContent>
                      <w:p>
                        <w:r>
                          <w:rPr>
                            <w:rFonts w:hint="eastAsia"/>
                          </w:rPr>
                          <w:t>治安类</w:t>
                        </w:r>
                      </w:p>
                    </w:txbxContent>
                  </v:textbox>
                </v:shape>
                <v:line id="_x0000_s1026" o:spid="_x0000_s1026" o:spt="20" style="position:absolute;left:4815;top:396232;height:1;width:150;" filled="f" stroked="t" coordsize="21600,21600" o:gfxdata="UEsDBAoAAAAAAIdO4kAAAAAAAAAAAAAAAAAEAAAAZHJzL1BLAwQUAAAACACHTuJAC9IR87wAAADa AAAADwAAAGRycy9kb3ducmV2LnhtbEWPzYvCMBTE74L/Q3gLe5E1sYJIt9HDamEPe/ELr4/m2Rab l9rEj/WvN4LgcZiZ3zDZ/GYbcaHO1441jIYKBHHhTM2lhu0m/5qC8AHZYOOYNPyTh/ms38swNe7K K7qsQykihH2KGqoQ2lRKX1Rk0Q9dSxy9g+sshii7UpoOrxFuG5koNZEWa44LFbb0U1FxXJ+tBp/v 6JTfB8VA7celo+S0+Fui1p8fI/UNItAtvMOv9q/RkMDzSrwBcvYAUEsDBBQAAAAIAIdO4kAzLwWe OwAAADkAAAAQAAAAZHJzL3NoYXBleG1sLnhtbLOxr8jNUShLLSrOzM+zVTLUM1BSSM1Lzk/JzEu3 VQoNcdO1UFIoLknMS0nMyc9LtVWqTC1Wsrfj5QIAUEsDBAoAAAAAAIdO4kAAAAAAAAAAAAAAAAAG AAAAX3JlbHMvUEsDBBQAAAAIAIdO4kDVXCYozAAAAI8BAAALAAAAX3JlbHMvLnJlbHOlkLFqAzEM hvdA38Fo7/mSoZQQX7ZC1pBCV2Hr7kzOlrHMNXn7uJRCL2TLoEG/0PcJ7faXMKmZsniOBtZNC4qi ZefjYODz9PH6DkoKRocTRzJwJYF997LaHWnCUpdk9ElUpUQxMJaStlqLHSmgNJwo1knPOWCpbR50 QnvGgfSmbd90/s+AbsFUB2cgH9wG1OmaqvmOHbzNLNyXxnLQ3PfePqJqGTHRV5gqBvNAxYDL8pvW 05paoB+b10+aHX/HI81L8U+Yaf7z6sUbuxtQSwMEFAAAAAgAh07iQFrjEWb3AAAA4gEAABMAAABb Q29udGVudF9UeXBlc10ueG1slZFNT8QgEIbvJv4HMlfTUj0YY0r3YPWoRtcfMIFpS7YFwmDd/ffS /bgY18QjzLzP+wTq1XYaxUyRrXcKrssKBDntjXW9go/1U3EHghM6g6N3pGBHDKvm8qJe7wKxyGnH CoaUwr2UrAeakEsfyOVJ5+OEKR9jLwPqDfYkb6rqVmrvErlUpIUBTd1Sh59jEo/bfH0wiTQyiIfD 4tKlAEMYrcaUTeXszI+W4thQ5uR+hwcb+CprgPy1YZmcLzjmXvLTRGtIvGJMzzhlDWkiS+O/XKS5 /BuyWE5c+K6zmso2cptjbzSfrM7RecBAGf1f/PuSO8Hl/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AvSEfO8AAAA 2gAAAA8AAAAAAAAAAQAgAAAAIgAAAGRycy9kb3ducmV2LnhtbFBLAQIUABQAAAAIAIdO4kAzLwWe OwAAADkAAAAQAAAAAAAAAAEAIAAAAAsBAABkcnMvc2hhcGV4bWwueG1sUEsFBgAAAAAGAAYAWwEA ALUDAAAAAA== ">
                  <v:fill on="f" focussize="0,0"/>
                  <v:stroke color="#000000" joinstyle="round"/>
                  <v:imagedata o:title=""/>
                  <o:lock v:ext="edit" aspectratio="f"/>
                </v:line>
                <v:shape id="_x0000_s1026" o:spid="_x0000_s1026" o:spt="202" type="#_x0000_t202" style="position:absolute;left:4980;top:395527;height:1634;width:2250;" fillcolor="#FFFFFF" filled="t" stroked="t" coordsize="21600,21600" o:gfxdata="UEsDBAoAAAAAAIdO4kAAAAAAAAAAAAAAAAAEAAAAZHJzL1BLAwQUAAAACACHTuJAIElJ1r0AAADa AAAADwAAAGRycy9kb3ducmV2LnhtbEWPS4sCMRCE74L/IbTgRdaMD1wdjR4EF/fmY1mvzaSdGZx0 xiSO7r/fCILHoqq+oharh6lEQ86XlhUM+gkI4szqknMFP8fNxxSED8gaK8uk4I88rJbt1gJTbe+8 p+YQchEh7FNUUIRQp1L6rCCDvm9r4uidrTMYonS51A7vEW4qOUySiTRYclwosKZ1QdnlcDMKpuNt c/Lfo91vNjlXs9D7bL6uTqluZ5DMQQR6hHf41d5qBSN4Xok3QC7/AV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AgSUnWvQAA ANoAAAAPAAAAAAAAAAEAIAAAACIAAABkcnMvZG93bnJldi54bWxQSwECFAAUAAAACACHTuJAMy8F njsAAAA5AAAAEAAAAAAAAAABACAAAAAMAQAAZHJzL3NoYXBleG1sLnhtbFBLBQYAAAAABgAGAFsB AAC2AwAAAAA= ">
                  <v:fill on="t" focussize="0,0"/>
                  <v:stroke color="#000000" joinstyle="miter"/>
                  <v:imagedata o:title=""/>
                  <o:lock v:ext="edit" aspectratio="f"/>
                  <v:textbox>
                    <w:txbxContent>
                      <w:p>
                        <w:r>
                          <w:rPr>
                            <w:rFonts w:hint="eastAsia"/>
                          </w:rPr>
                          <w:t>红外报警</w:t>
                        </w:r>
                      </w:p>
                      <w:p>
                        <w:r>
                          <w:rPr>
                            <w:rFonts w:hint="eastAsia"/>
                          </w:rPr>
                          <w:t>一键式治安报警</w:t>
                        </w:r>
                      </w:p>
                      <w:p>
                        <w:r>
                          <w:rPr>
                            <w:rFonts w:hint="eastAsia"/>
                          </w:rPr>
                          <w:t>一键式医疗呼救报警</w:t>
                        </w:r>
                      </w:p>
                      <w:p>
                        <w:r>
                          <w:rPr>
                            <w:rFonts w:hint="eastAsia"/>
                          </w:rPr>
                          <w:t>视频监控报警</w:t>
                        </w:r>
                      </w:p>
                      <w:p>
                        <w:r>
                          <w:rPr>
                            <w:rFonts w:hint="eastAsia"/>
                          </w:rPr>
                          <w:t>其他防入侵报警</w:t>
                        </w:r>
                      </w:p>
                    </w:txbxContent>
                  </v:textbox>
                </v:shape>
                <v:shape id="_x0000_s1026" o:spid="_x0000_s1026" o:spt="202" type="#_x0000_t202" style="position:absolute;left:4290;top:397780;height:1230;width:510;" fillcolor="#FFFFFF" filled="t" stroked="t" coordsize="21600,21600" o:gfxdata="UEsDBAoAAAAAAIdO4kAAAAAAAAAAAAAAAAAEAAAAZHJzL1BLAwQUAAAACACHTuJAr6DRorwAAADa AAAADwAAAGRycy9kb3ducmV2LnhtbEWPT4vCMBTE74LfITzBi6yprrhajR4EF735Z1mvj+bZFpuX msTqfvuNIHgcZuY3zHz5MJVoyPnSsoJBPwFBnFldcq7g57j+mIDwAVljZZkU/JGH5aLdmmOq7Z33 1BxCLiKEfYoKihDqVEqfFWTQ921NHL2zdQZDlC6X2uE9wk0lh0kylgZLjgsF1rQqKLscbkbBZLRp Tn77ufvNxudqGnpfzffVKdXtDJIZiECP8A6/2hutYATPK/EGyMU/UEsDBBQAAAAIAIdO4kAzLwWe OwAAADkAAAAQAAAAZHJzL3NoYXBleG1sLnhtbLOxr8jNUShLLSrOzM+zVTLUM1BSSM1Lzk/JzEu3 VQoNcdO1UFIoLknMS0nMyc9LtVWqTC1Wsrfj5QIAUEsDBAoAAAAAAIdO4kAAAAAAAAAAAAAAAAAG AAAAX3JlbHMvUEsDBBQAAAAIAIdO4kDVXCYozAAAAI8BAAALAAAAX3JlbHMvLnJlbHOlkLFqAzEM hvdA38Fo7/mSoZQQX7ZC1pBCV2Hr7kzOlrHMNXn7uJRCL2TLoEG/0PcJ7faXMKmZsniOBtZNC4qi ZefjYODz9PH6DkoKRocTRzJwJYF997LaHWnCUpdk9ElUpUQxMJaStlqLHSmgNJwo1knPOWCpbR50 QnvGgfSmbd90/s+AbsFUB2cgH9wG1OmaqvmOHbzNLNyXxnLQ3PfePqJqGTHRV5gqBvNAxYDL8pvW 05paoB+b10+aHX/HI81L8U+Yaf7z6sUbuxtQSwMEFAAAAAgAh07iQFrjEWb3AAAA4gEAABMAAABb Q29udGVudF9UeXBlc10ueG1slZFNT8QgEIbvJv4HMlfTUj0YY0r3YPWoRtcfMIFpS7YFwmDd/ffS /bgY18QjzLzP+wTq1XYaxUyRrXcKrssKBDntjXW9go/1U3EHghM6g6N3pGBHDKvm8qJe7wKxyGnH CoaUwr2UrAeakEsfyOVJ5+OEKR9jLwPqDfYkb6rqVmrvErlUpIUBTd1Sh59jEo/bfH0wiTQyiIfD 4tKlAEMYrcaUTeXszI+W4thQ5uR+hwcb+CprgPy1YZmcLzjmXvLTRGtIvGJMzzhlDWkiS+O/XKS5 /BuyWE5c+K6zmso2cptjbzSfrM7RecBAGf1f/PuSO8Hl/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K+g0aK8AAAA 2gAAAA8AAAAAAAAAAQAgAAAAIgAAAGRycy9kb3ducmV2LnhtbFBLAQIUABQAAAAIAIdO4kAzLwWe OwAAADkAAAAQAAAAAAAAAAEAIAAAAAsBAABkcnMvc2hhcGV4bWwueG1sUEsFBgAAAAAGAAYAWwEA ALUDAAAAAA== ">
                  <v:fill on="t" focussize="0,0"/>
                  <v:stroke color="#000000" joinstyle="miter"/>
                  <v:imagedata o:title=""/>
                  <o:lock v:ext="edit" aspectratio="f"/>
                  <v:textbox>
                    <w:txbxContent>
                      <w:p>
                        <w:r>
                          <w:rPr>
                            <w:rFonts w:hint="eastAsia"/>
                          </w:rPr>
                          <w:t>物联网类</w:t>
                        </w:r>
                      </w:p>
                    </w:txbxContent>
                  </v:textbox>
                </v:shape>
                <v:line id="_x0000_s1026" o:spid="_x0000_s1026" o:spt="20" style="position:absolute;left:4800;top:398753;height:1;width:150;" filled="f" stroked="t" coordsize="21600,21600" o:gfxdata="UEsDBAoAAAAAAIdO4kAAAAAAAAAAAAAAAAAEAAAAZHJzL1BLAwQUAAAACACHTuJAhDuJh7wAAADa AAAADwAAAGRycy9kb3ducmV2LnhtbEWPT4vCMBTE7wt+h/AEL2ITFRepRg9qYQ97UVe8PppnW2xe ahP/7H56Iwh7HGbmN8x8+bC1uFHrK8cahokCQZw7U3Gh4WefDaYgfEA2WDsmDb/kYbnofMwxNe7O W7rtQiEihH2KGsoQmlRKn5dk0SeuIY7eybUWQ5RtIU2L9wi3tRwp9SktVhwXSmxoVVJ+3l2tBp8d 6JL99fO+Oo4LR6PL+nuDWve6QzUDEegR/sPv9pfRMIHXlXgD5OIJUEsDBBQAAAAIAIdO4kAzLwWe OwAAADkAAAAQAAAAZHJzL3NoYXBleG1sLnhtbLOxr8jNUShLLSrOzM+zVTLUM1BSSM1Lzk/JzEu3 VQoNcdO1UFIoLknMS0nMyc9LtVWqTC1Wsrfj5QIAUEsDBAoAAAAAAIdO4kAAAAAAAAAAAAAAAAAG AAAAX3JlbHMvUEsDBBQAAAAIAIdO4kDVXCYozAAAAI8BAAALAAAAX3JlbHMvLnJlbHOlkLFqAzEM hvdA38Fo7/mSoZQQX7ZC1pBCV2Hr7kzOlrHMNXn7uJRCL2TLoEG/0PcJ7faXMKmZsniOBtZNC4qi ZefjYODz9PH6DkoKRocTRzJwJYF997LaHWnCUpdk9ElUpUQxMJaStlqLHSmgNJwo1knPOWCpbR50 QnvGgfSmbd90/s+AbsFUB2cgH9wG1OmaqvmOHbzNLNyXxnLQ3PfePqJqGTHRV5gqBvNAxYDL8pvW 05paoB+b10+aHX/HI81L8U+Yaf7z6sUbuxtQSwMEFAAAAAgAh07iQFrjEWb3AAAA4gEAABMAAABb Q29udGVudF9UeXBlc10ueG1slZFNT8QgEIbvJv4HMlfTUj0YY0r3YPWoRtcfMIFpS7YFwmDd/ffS /bgY18QjzLzP+wTq1XYaxUyRrXcKrssKBDntjXW9go/1U3EHghM6g6N3pGBHDKvm8qJe7wKxyGnH CoaUwr2UrAeakEsfyOVJ5+OEKR9jLwPqDfYkb6rqVmrvErlUpIUBTd1Sh59jEo/bfH0wiTQyiIfD 4tKlAEMYrcaUTeXszI+W4thQ5uR+hwcb+CprgPy1YZmcLzjmXvLTRGtIvGJMzzhlDWkiS+O/XKS5 /BuyWE5c+K6zmso2cptjbzSfrM7RecBAGf1f/PuSO8Hl/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IQ7iYe8AAAA 2gAAAA8AAAAAAAAAAQAgAAAAIgAAAGRycy9kb3ducmV2LnhtbFBLAQIUABQAAAAIAIdO4kAzLwWe OwAAADkAAAAQAAAAAAAAAAEAIAAAAAsBAABkcnMvc2hhcGV4bWwueG1sUEsFBgAAAAAGAAYAWwEA ALUDAAAAAA== ">
                  <v:fill on="f" focussize="0,0"/>
                  <v:stroke color="#000000" joinstyle="round"/>
                  <v:imagedata o:title=""/>
                  <o:lock v:ext="edit" aspectratio="f"/>
                </v:line>
                <v:shape id="_x0000_s1026" o:spid="_x0000_s1026" o:spt="202" type="#_x0000_t202" style="position:absolute;left:4965;top:398048;height:1634;width:2250;" fillcolor="#FFFFFF" filled="t" stroked="t" coordsize="21600,21600" o:gfxdata="UEsDBAoAAAAAAIdO4kAAAAAAAAAAAAAAAAAEAAAAZHJzL1BLAwQUAAAACACHTuJAMD7qTr0AAADa AAAADwAAAGRycy9kb3ducmV2LnhtbEWPT2sCMRTE74LfIbxCL6JZ27LqutFDocXedJX2+ti8/UM3 L2uSrvbbN0LB4zAzv2Hy7dV0YiDnW8sK5rMEBHFpdcu1gtPxbboE4QOyxs4yKfglD9vNeJRjpu2F DzQUoRYRwj5DBU0IfSalLxsy6Ge2J45eZZ3BEKWrpXZ4iXDTyackSaXBluNCgz29NlR+Fz9GwfJl N3z5j+f9Z5lW3SpMFsP72Sn1+DBP1iACXcM9/N/eaQUp3K7EGyA3f1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AwPupOvQAA ANoAAAAPAAAAAAAAAAEAIAAAACIAAABkcnMvZG93bnJldi54bWxQSwECFAAUAAAACACHTuJAMy8F njsAAAA5AAAAEAAAAAAAAAABACAAAAAMAQAAZHJzL3NoYXBleG1sLnhtbFBLBQYAAAAABgAGAFsB AAC2AwAAAAA= ">
                  <v:fill on="t" focussize="0,0"/>
                  <v:stroke color="#000000" joinstyle="miter"/>
                  <v:imagedata o:title=""/>
                  <o:lock v:ext="edit" aspectratio="f"/>
                  <v:textbox>
                    <w:txbxContent>
                      <w:p>
                        <w:r>
                          <w:rPr>
                            <w:rFonts w:hint="eastAsia"/>
                          </w:rPr>
                          <w:t>电气报警</w:t>
                        </w:r>
                      </w:p>
                      <w:p>
                        <w:r>
                          <w:rPr>
                            <w:rFonts w:hint="eastAsia"/>
                          </w:rPr>
                          <w:t>水压、水位、水温</w:t>
                        </w:r>
                      </w:p>
                      <w:p>
                        <w:r>
                          <w:rPr>
                            <w:rFonts w:hint="eastAsia"/>
                          </w:rPr>
                          <w:t>气体系统压力</w:t>
                        </w:r>
                      </w:p>
                      <w:p>
                        <w:r>
                          <w:rPr>
                            <w:rFonts w:hint="eastAsia"/>
                          </w:rPr>
                          <w:t>燃气系统报警</w:t>
                        </w:r>
                      </w:p>
                      <w:p>
                        <w:r>
                          <w:rPr>
                            <w:rFonts w:hint="eastAsia"/>
                          </w:rPr>
                          <w:t>温度异常报警</w:t>
                        </w:r>
                      </w:p>
                    </w:txbxContent>
                  </v:textbox>
                </v:shape>
                <v:shape id="_x0000_s1026" o:spid="_x0000_s1026" o:spt="202" type="#_x0000_t202" style="position:absolute;left:4260;top:399895;height:1080;width:510;" fillcolor="#FFFFFF" filled="t" stroked="t" coordsize="21600,21600" o:gfxdata="UEsDBAoAAAAAAIdO4kAAAAAAAAAAAAAAAAAEAAAAZHJzL1BLAwQUAAAACACHTuJAX3JP1bwAAADa AAAADwAAAGRycy9kb3ducmV2LnhtbEWPT4vCMBTE74LfITzBi2iqK+p2jR4ERW/rH3avj+bZFpuX msTqfnuzIHgcZuY3zHz5MJVoyPnSsoLhIAFBnFldcq7gdFz3ZyB8QNZYWSYFf+RhuWi35phqe+c9 NYeQiwhhn6KCIoQ6ldJnBRn0A1sTR+9sncEQpculdniPcFPJUZJMpMGS40KBNa0Kyi6Hm1EwG2+b X7/7+P7JJufqM/SmzebqlOp2hskXiECP8A6/2lutYAr/V+INkIsnUEsDBBQAAAAIAIdO4kAzLwWe OwAAADkAAAAQAAAAZHJzL3NoYXBleG1sLnhtbLOxr8jNUShLLSrOzM+zVTLUM1BSSM1Lzk/JzEu3 VQoNcdO1UFIoLknMS0nMyc9LtVWqTC1Wsrfj5QIAUEsDBAoAAAAAAIdO4kAAAAAAAAAAAAAAAAAG AAAAX3JlbHMvUEsDBBQAAAAIAIdO4kDVXCYozAAAAI8BAAALAAAAX3JlbHMvLnJlbHOlkLFqAzEM hvdA38Fo7/mSoZQQX7ZC1pBCV2Hr7kzOlrHMNXn7uJRCL2TLoEG/0PcJ7faXMKmZsniOBtZNC4qi ZefjYODz9PH6DkoKRocTRzJwJYF997LaHWnCUpdk9ElUpUQxMJaStlqLHSmgNJwo1knPOWCpbR50 QnvGgfSmbd90/s+AbsFUB2cgH9wG1OmaqvmOHbzNLNyXxnLQ3PfePqJqGTHRV5gqBvNAxYDL8pvW 05paoB+b10+aHX/HI81L8U+Yaf7z6sUbuxtQSwMEFAAAAAgAh07iQFrjEWb3AAAA4gEAABMAAABb Q29udGVudF9UeXBlc10ueG1slZFNT8QgEIbvJv4HMlfTUj0YY0r3YPWoRtcfMIFpS7YFwmDd/ffS /bgY18QjzLzP+wTq1XYaxUyRrXcKrssKBDntjXW9go/1U3EHghM6g6N3pGBHDKvm8qJe7wKxyGnH CoaUwr2UrAeakEsfyOVJ5+OEKR9jLwPqDfYkb6rqVmrvErlUpIUBTd1Sh59jEo/bfH0wiTQyiIfD 4tKlAEMYrcaUTeXszI+W4thQ5uR+hwcb+CprgPy1YZmcLzjmXvLTRGtIvGJMzzhlDWkiS+O/XKS5 /BuyWE5c+K6zmso2cptjbzSfrM7RecBAGf1f/PuSO8Hl/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F9yT9W8AAAA 2gAAAA8AAAAAAAAAAQAgAAAAIgAAAGRycy9kb3ducmV2LnhtbFBLAQIUABQAAAAIAIdO4kAzLwWe OwAAADkAAAAQAAAAAAAAAAEAIAAAAAsBAABkcnMvc2hhcGV4bWwueG1sUEsFBgAAAAAGAAYAWwEA ALUDAAAAAA== ">
                  <v:fill on="t" focussize="0,0"/>
                  <v:stroke color="#000000" joinstyle="miter"/>
                  <v:imagedata o:title=""/>
                  <o:lock v:ext="edit" aspectratio="f"/>
                  <v:textbox>
                    <w:txbxContent>
                      <w:p>
                        <w:r>
                          <w:rPr>
                            <w:rFonts w:hint="eastAsia"/>
                          </w:rPr>
                          <w:t>消防类</w:t>
                        </w:r>
                      </w:p>
                    </w:txbxContent>
                  </v:textbox>
                </v:shape>
                <v:line id="_x0000_s1026" o:spid="_x0000_s1026" o:spt="20" style="position:absolute;left:4770;top:400416;height:1;width:2716;" filled="f" stroked="t" coordsize="21600,21600" o:gfxdata="UEsDBAoAAAAAAIdO4kAAAAAAAAAAAAAAAAAEAAAAZHJzL1BLAwQUAAAACACHTuJAajomGbgAAADa AAAADwAAAGRycy9kb3ducmV2LnhtbEVPy4rCMBTdD/gP4QqzEU10YJBq7EItuHDjC7eX5toWm5u2 iY/x681iwOXhvOfp09biTp2vHGsYjxQI4tyZigsNx0M2nILwAdlg7Zg0/JGHdNH7mmNi3IN3dN+H QsQQ9glqKENoEil9XpJFP3INceQurrMYIuwKaTp8xHBby4lSv9JixbGhxIaWJeXX/c1q8NmJ2uw1 yAfq/FM4mrSr7Rq1/u6P1QxEoGf4iP/dG6Mhbo1X4g2QizdQSwMEFAAAAAgAh07iQDMvBZ47AAAA OQAAABAAAABkcnMvc2hhcGV4bWwueG1ss7GvyM1RKEstKs7Mz7NVMtQzUFJIzUvOT8nMS7dVCg1x 07VQUiguScxLSczJz0u1VapMLVayt+PlAgBQSwMECgAAAAAAh07iQAAAAAAAAAAAAAAAAAYAAABf cmVscy9QSwMEFAAAAAgAh07iQNVcJijMAAAAjwEAAAsAAABfcmVscy8ucmVsc6WQsWoDMQyG90Df wWjv+ZKhlBBftkLWkEJXYevuTM6Wscw1efu4lEIvZMugQb/Q9wnt9pcwqZmyeI4G1k0LiqJl5+Ng 4PP08foOSgpGhxNHMnAlgX33stodacJSl2T0SVSlRDEwlpK2WosdKaA0nCjWSc85YKltHnRCe8aB 9KZt33T+z4BuwVQHZyAf3AbU6Zqq+Y4dvM0s3JfGctDc994+omoZMdFXmCoG80DFgMvym9bTmlqg H5vXT5odf8cjzUvxT5hp/vPqxRu7G1BLAwQUAAAACACHTuJAWuMRZvcAAADiAQAAEwAAAFtDb250 ZW50X1R5cGVzXS54bWyVkU1PxCAQhu8m/gcyV9NSPRhjSvdg9ahG1x8wgWlLtgXCYN3999L9uBjX xCPMvM/7BOrVdhrFTJGtdwquywoEOe2Ndb2Cj/VTcQeCEzqDo3ekYEcMq+byol7vArHIaccKhpTC vZSsB5qQSx/I5Unn44QpH2MvA+oN9iRvqupWau8SuVSkhQFN3VKHn2MSj9t8fTCJNDKIh8Pi0qUA QxitxpRN5ezMj5bi2FDm5H6HBxv4KmuA/LVhmZwvOOZe8tNEa0i8YkzPOGUNaSJL479cpLn8G7JY Tlz4rrOayjZym2NvNJ+sztF5wEAZ/V/8+5I7weX+h5pvUEsBAhQAFAAAAAgAh07iQFrjEWb3AAAA 4gEAABMAAAAAAAAAAQAgAAAAiQIAAFtDb250ZW50X1R5cGVzXS54bWxQSwECFAAKAAAAAACHTuJA AAAAAAAAAAAAAAAABgAAAAAAAAAAABAAAABwAQAAX3JlbHMvUEsBAhQAFAAAAAgAh07iQNVcJijM AAAAjwEAAAsAAAAAAAAAAQAgAAAAlAEAAF9yZWxzLy5yZWxzUEsBAhQACgAAAAAAh07iQAAAAAAA AAAAAAAAAAQAAAAAAAAAAAAQAAAAAAAAAGRycy9QSwECFAAUAAAACACHTuJAajomGbgAAADaAAAA DwAAAAAAAAABACAAAAAiAAAAZHJzL2Rvd25yZXYueG1sUEsBAhQAFAAAAAgAh07iQDMvBZ47AAAA OQAAABAAAAAAAAAAAQAgAAAABwEAAGRycy9zaGFwZXhtbC54bWxQSwUGAAAAAAYABgBbAQAAsQMA AAAA ">
                  <v:fill on="f" focussize="0,0"/>
                  <v:stroke color="#000000" joinstyle="round"/>
                  <v:imagedata o:title=""/>
                  <o:lock v:ext="edit" aspectratio="f"/>
                </v:line>
                <v:line id="_x0000_s1026" o:spid="_x0000_s1026" o:spt="20" style="position:absolute;left:7230;top:395796;height:1;width:299;" filled="f" stroked="t" coordsize="21600,21600" o:gfxdata="UEsDBAoAAAAAAIdO4kAAAAAAAAAAAAAAAAAEAAAAZHJzL1BLAwQUAAAACACHTuJABXaDgrwAAADa AAAADwAAAGRycy9kb3ducmV2LnhtbEWPT4vCMBTE7wt+h/AEL2ITFWStRg9qYQ97UVe8PppnW2xe ahP/7H56Iwh7HGbmN8x8+bC1uFHrK8cahokCQZw7U3Gh4WefDT5B+IBssHZMGn7Jw3LR+Zhjatyd t3TbhUJECPsUNZQhNKmUPi/Jok9cQxy9k2sthijbQpoW7xFuazlSaiItVhwXSmxoVVJ+3l2tBp8d 6JL99fO+Oo4LR6PL+nuDWve6QzUDEegR/sPv9pfRMIXXlXgD5OIJUEsDBBQAAAAIAIdO4kAzLwWe OwAAADkAAAAQAAAAZHJzL3NoYXBleG1sLnhtbLOxr8jNUShLLSrOzM+zVTLUM1BSSM1Lzk/JzEu3 VQoNcdO1UFIoLknMS0nMyc9LtVWqTC1Wsrfj5QIAUEsDBAoAAAAAAIdO4kAAAAAAAAAAAAAAAAAG AAAAX3JlbHMvUEsDBBQAAAAIAIdO4kDVXCYozAAAAI8BAAALAAAAX3JlbHMvLnJlbHOlkLFqAzEM hvdA38Fo7/mSoZQQX7ZC1pBCV2Hr7kzOlrHMNXn7uJRCL2TLoEG/0PcJ7faXMKmZsniOBtZNC4qi ZefjYODz9PH6DkoKRocTRzJwJYF997LaHWnCUpdk9ElUpUQxMJaStlqLHSmgNJwo1knPOWCpbR50 QnvGgfSmbd90/s+AbsFUB2cgH9wG1OmaqvmOHbzNLNyXxnLQ3PfePqJqGTHRV5gqBvNAxYDL8pvW 05paoB+b10+aHX/HI81L8U+Yaf7z6sUbuxtQSwMEFAAAAAgAh07iQFrjEWb3AAAA4gEAABMAAABb Q29udGVudF9UeXBlc10ueG1slZFNT8QgEIbvJv4HMlfTUj0YY0r3YPWoRtcfMIFpS7YFwmDd/ffS /bgY18QjzLzP+wTq1XYaxUyRrXcKrssKBDntjXW9go/1U3EHghM6g6N3pGBHDKvm8qJe7wKxyGnH CoaUwr2UrAeakEsfyOVJ5+OEKR9jLwPqDfYkb6rqVmrvErlUpIUBTd1Sh59jEo/bfH0wiTQyiIfD 4tKlAEMYrcaUTeXszI+W4thQ5uR+hwcb+CprgPy1YZmcLzjmXvLTRGtIvGJMzzhlDWkiS+O/XKS5 /BuyWE5c+K6zmso2cptjbzSfrM7RecBAGf1f/PuSO8Hl/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AV2g4K8AAAA 2gAAAA8AAAAAAAAAAQAgAAAAIgAAAGRycy9kb3ducmV2LnhtbFBLAQIUABQAAAAIAIdO4kAzLwWe OwAAADkAAAAQAAAAAAAAAAEAIAAAAAsBAABkcnMvc2hhcGV4bWwueG1sUEsFBgAAAAAGAAYAWwEA ALUDAAAAAA== ">
                  <v:fill on="f" focussize="0,0"/>
                  <v:stroke color="#000000" joinstyle="round"/>
                  <v:imagedata o:title=""/>
                  <o:lock v:ext="edit" aspectratio="f"/>
                </v:line>
                <v:line id="_x0000_s1026" o:spid="_x0000_s1026" o:spt="20" style="position:absolute;left:7230;top:398346;height:1;width:269;" filled="f" stroked="t" coordsize="21600,21600" o:gfxdata="UEsDBAoAAAAAAIdO4kAAAAAAAAAAAAAAAAAEAAAAZHJzL1BLAwQUAAAACACHTuJAJzzQqL4AAADb AAAADwAAAGRycy9kb3ducmV2LnhtbEWPT2/CMAzF75P4DpGRdkEjgUnTVAg9sFXagQt/pl2txrQV jdM2GTA+PT5M4mbrPb/38zK/+ladaYhNYAuzqQFFXAbXcGXhsC9e3kHFhOywDUwW/ihCvho9LTFz 4cJbOu9SpSSEY4YW6pS6TOtY1uQxTkNHLNoxDB6TrEOl3YAXCfetnhvzpj02LA01drSuqTztfr2F WHxTX9wm5cT8vFaB5v3H5hOtfR7PzAJUomt6mP+vv5zgC738IgPo1R1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JzzQqL4A AADbAAAADwAAAAAAAAABACAAAAAiAAAAZHJzL2Rvd25yZXYueG1sUEsBAhQAFAAAAAgAh07iQDMv BZ47AAAAOQAAABAAAAAAAAAAAQAgAAAADQEAAGRycy9zaGFwZXhtbC54bWxQSwUGAAAAAAYABgBb AQAAtwMAAAAA ">
                  <v:fill on="f" focussize="0,0"/>
                  <v:stroke color="#000000" joinstyle="round"/>
                  <v:imagedata o:title=""/>
                  <o:lock v:ext="edit" aspectratio="f"/>
                </v:line>
                <v:line id="_x0000_s1026" o:spid="_x0000_s1026" o:spt="20" style="position:absolute;left:7545;top:395797;height:4636;width:1;" filled="f" stroked="t" coordsize="21600,21600" o:gfxdata="UEsDBAoAAAAAAIdO4kAAAAAAAAAAAAAAAAAEAAAAZHJzL1BLAwQUAAAACACHTuJASHB1M7oAAADb AAAADwAAAGRycy9kb3ducmV2LnhtbEVPS4vCMBC+C/6HMAteZE3qgki30cNqwcNe1gdeh2Zsi82k NvGx/nojCN7m43tONr/ZRlyo87VjDclIgSAunKm51LDd5J9TED4gG2wck4Z/8jCf9XsZpsZd+Y8u 61CKGMI+RQ1VCG0qpS8qsuhHriWO3MF1FkOEXSlNh9cYbhs5VmoiLdYcGyps6aei4rg+Ww0+39Ep vw+Lodp/lY7Gp8XvErUefCTqG0SgW3iLX+6VifMTeP4SD5CzB1BLAwQUAAAACACHTuJAMy8FnjsA AAA5AAAAEAAAAGRycy9zaGFwZXhtbC54bWyzsa/IzVEoSy0qzszPs1Uy1DNQUkjNS85PycxLt1UK DXHTtVBSKC5JzEtJzMnPS7VVqkwtVrK34+UCAFBLAwQKAAAAAACHTuJAAAAAAAAAAAAAAAAABgAA AF9yZWxzL1BLAwQUAAAACACHTuJA1VwmKMwAAACPAQAACwAAAF9yZWxzLy5yZWxzpZCxagMxDIb3 QN/BaO/5kqGUEF+2QtaQQldh6+5MzpaxzDV5+7iUQi9ky6BBv9D3Ce32lzCpmbJ4jgbWTQuKomXn 42Dg8/Tx+g5KCkaHE0cycCWBffey2h1pwlKXZPRJVKVEMTCWkrZaix0poDScKNZJzzlgqW0edEJ7 xoH0pm3fdP7PgG7BVAdnIB/cBtTpmqr5jh28zSzcl8Zy0Nz33j6iahkx0VeYKgbzQMWAy/Kb1tOa WqAfm9dPmh1/xyPNS/FPmGn+8+rFG7sbUEsDBBQAAAAIAIdO4kBa4xFm9wAAAOIBAAATAAAAW0Nv bnRlbnRfVHlwZXNdLnhtbJWRTU/EIBCG7yb+BzJX01I9GGNK92D1qEbXHzCBaUu2BcJg3f330v24 GNfEI8y8z/sE6tV2GsVMka13Cq7LCgQ57Y11vYKP9VNxB4ITOoOjd6RgRwyr5vKiXu8CschpxwqG lMK9lKwHmpBLH8jlSefjhCkfYy8D6g32JG+q6lZq7xK5VKSFAU3dUoefYxKP23x9MIk0MoiHw+LS pQBDGK3GlE3l7MyPluLYUObkfocHG/gqa4D8tWGZnC845l7y00RrSLxiTM84ZQ1pIkvjv1ykufwb slhOXPius5rKNnKbY280n6zO0XnAQBn9X/z7kjvB5f6Hmm9QSwECFAAUAAAACACHTuJAWuMRZvcA AADiAQAAEwAAAAAAAAABACAAAACLAgAAW0NvbnRlbnRfVHlwZXNdLnhtbFBLAQIUAAoAAAAAAIdO 4kAAAAAAAAAAAAAAAAAGAAAAAAAAAAAAEAAAAHIBAABfcmVscy9QSwECFAAUAAAACACHTuJA1Vwm KMwAAACPAQAACwAAAAAAAAABACAAAACWAQAAX3JlbHMvLnJlbHNQSwECFAAKAAAAAACHTuJAAAAA AAAAAAAAAAAABAAAAAAAAAAAABAAAAAAAAAAZHJzL1BLAQIUABQAAAAIAIdO4kBIcHUzugAAANsA AAAPAAAAAAAAAAEAIAAAACIAAABkcnMvZG93bnJldi54bWxQSwECFAAUAAAACACHTuJAMy8FnjsA AAA5AAAAEAAAAAAAAAABACAAAAAJAQAAZHJzL3NoYXBleG1sLnhtbFBLBQYAAAAABgAGAFsBAACz AwAAAAA= ">
                  <v:fill on="f" focussize="0,0"/>
                  <v:stroke color="#000000" joinstyle="round"/>
                  <v:imagedata o:title=""/>
                  <o:lock v:ext="edit" aspectratio="f"/>
                </v:line>
                <v:line id="_x0000_s1026" o:spid="_x0000_s1026" o:spt="20" style="position:absolute;left:7515;top:398798;height:1;width:180;" filled="f" stroked="t" coordsize="21600,21600" o:gfxdata="UEsDBAoAAAAAAIdO4kAAAAAAAAAAAAAAAAAEAAAAZHJzL1BLAwQUAAAACACHTuJAuKLrRLoAAADb AAAADwAAAGRycy9kb3ducmV2LnhtbEVPS4vCMBC+C/6HMAt7kTWxgki30cNqYQ978YXXoRnbYjOp TXysv94Igrf5+J6TzW+2ERfqfO1Yw2ioQBAXztRcathu8q8pCB+QDTaOScM/eZjP+r0MU+OuvKLL OpQihrBPUUMVQptK6YuKLPqha4kjd3CdxRBhV0rT4TWG20YmSk2kxZpjQ4Ut/VRUHNdnq8HnOzrl 90ExUPtx6Sg5Lf6WqPXnx0h9gwh0C2/xy/1r4vwEnr/EA+TsAVBLAwQUAAAACACHTuJAMy8FnjsA AAA5AAAAEAAAAGRycy9zaGFwZXhtbC54bWyzsa/IzVEoSy0qzszPs1Uy1DNQUkjNS85PycxLt1UK DXHTtVBSKC5JzEtJzMnPS7VVqkwtVrK34+UCAFBLAwQKAAAAAACHTuJAAAAAAAAAAAAAAAAABgAA AF9yZWxzL1BLAwQUAAAACACHTuJA1VwmKMwAAACPAQAACwAAAF9yZWxzLy5yZWxzpZCxagMxDIb3 QN/BaO/5kqGUEF+2QtaQQldh6+5MzpaxzDV5+7iUQi9ky6BBv9D3Ce32lzCpmbJ4jgbWTQuKomXn 42Dg8/Tx+g5KCkaHE0cycCWBffey2h1pwlKXZPRJVKVEMTCWkrZaix0poDScKNZJzzlgqW0edEJ7 xoH0pm3fdP7PgG7BVAdnIB/cBtTpmqr5jh28zSzcl8Zy0Nz33j6iahkx0VeYKgbzQMWAy/Kb1tOa WqAfm9dPmh1/xyPNS/FPmGn+8+rFG7sbUEsDBBQAAAAIAIdO4kBa4xFm9wAAAOIBAAATAAAAW0Nv bnRlbnRfVHlwZXNdLnhtbJWRTU/EIBCG7yb+BzJX01I9GGNK92D1qEbXHzCBaUu2BcJg3f330v24 GNfEI8y8z/sE6tV2GsVMka13Cq7LCgQ57Y11vYKP9VNxB4ITOoOjd6RgRwyr5vKiXu8CschpxwqG lMK9lKwHmpBLH8jlSefjhCkfYy8D6g32JG+q6lZq7xK5VKSFAU3dUoefYxKP23x9MIk0MoiHw+LS pQBDGK3GlE3l7MyPluLYUObkfocHG/gqa4D8tWGZnC845l7y00RrSLxiTM84ZQ1pIkvjv1ykufwb slhOXPius5rKNnKbY280n6zO0XnAQBn9X/z7kjvB5f6Hmm9QSwECFAAUAAAACACHTuJAWuMRZvcA AADiAQAAEwAAAAAAAAABACAAAACLAgAAW0NvbnRlbnRfVHlwZXNdLnhtbFBLAQIUAAoAAAAAAIdO 4kAAAAAAAAAAAAAAAAAGAAAAAAAAAAAAEAAAAHIBAABfcmVscy9QSwECFAAUAAAACACHTuJA1Vwm KMwAAACPAQAACwAAAAAAAAABACAAAACWAQAAX3JlbHMvLnJlbHNQSwECFAAKAAAAAACHTuJAAAAA AAAAAAAAAAAABAAAAAAAAAAAABAAAAAAAAAAZHJzL1BLAQIUABQAAAAIAIdO4kC4outEugAAANsA AAAPAAAAAAAAAAEAIAAAACIAAABkcnMvZG93bnJldi54bWxQSwECFAAUAAAACACHTuJAMy8FnjsA AAA5AAAAEAAAAAAAAAABACAAAAAJAQAAZHJzL3NoYXBleG1sLnhtbFBLBQYAAAAABgAGAFsBAACz AwAAAAA= ">
                  <v:fill on="f" focussize="0,0"/>
                  <v:stroke color="#000000" joinstyle="round"/>
                  <v:imagedata o:title=""/>
                  <o:lock v:ext="edit" aspectratio="f"/>
                </v:line>
                <v:shape id="_x0000_s1026" o:spid="_x0000_s1026" o:spt="202" type="#_x0000_t202" style="position:absolute;left:7695;top:397733;height:2040;width:525;" fillcolor="#FFFFFF" filled="t" stroked="t" coordsize="21600,21600" o:gfxdata="UEsDBAoAAAAAAIdO4kAAAAAAAAAAAAAAAAAEAAAAZHJzL1BLAwQUAAAACACHTuJAiZZBrrsAAADb AAAADwAAAGRycy9kb3ducmV2LnhtbEVPS4vCMBC+C/6HMIIXWVMfuFqNHgQX9+ZjWa9DM7bFZlKT WN1/vxEEb/PxPWexephKNOR8aVnBoJ+AIM6sLjlX8HPcfExB+ICssbJMCv7Iw2rZbi0w1fbOe2oO IRcxhH2KCooQ6lRKnxVk0PdtTRy5s3UGQ4Qul9rhPYabSg6TZCINlhwbCqxpXVB2OdyMgul425z8 92j3m03O1Sz0Ppuvq1Oq2xkkcxCBHuEtfrm3Os4fwfOXeIBc/gNQSwMEFAAAAAgAh07iQDMvBZ47 AAAAOQAAABAAAABkcnMvc2hhcGV4bWwueG1ss7GvyM1RKEstKs7Mz7NVMtQzUFJIzUvOT8nMS7dV Cg1x07VQUiguScxLSczJz0u1VapMLVayt+PlAgBQSwMECgAAAAAAh07iQAAAAAAAAAAAAAAAAAYA AABfcmVscy9QSwMEFAAAAAgAh07iQNVcJijMAAAAjwEAAAsAAABfcmVscy8ucmVsc6WQsWoDMQyG 90DfwWjv+ZKhlBBftkLWkEJXYevuTM6Wscw1efu4lEIvZMugQb/Q9wnt9pcwqZmyeI4G1k0LiqJl 5+Ng4PP08foOSgpGhxNHMnAlgX33stodacJSl2T0SVSlRDEwlpK2WosdKaA0nCjWSc85YKltHnRC e8aB9KZt33T+z4BuwVQHZyAf3AbU6Zqq+Y4dvM0s3JfGctDc994+omoZMdFXmCoG80DFgMvym9bT mlqgH5vXT5odf8cjzUvxT5hp/vPqxRu7G1BLAwQUAAAACACHTuJAWuMRZvcAAADiAQAAEwAAAFtD b250ZW50X1R5cGVzXS54bWyVkU1PxCAQhu8m/gcyV9NSPRhjSvdg9ahG1x8wgWlLtgXCYN3999L9 uBjXxCPMvM/7BOrVdhrFTJGtdwquywoEOe2Ndb2Cj/VTcQeCEzqDo3ekYEcMq+byol7vArHIaccK hpTCvZSsB5qQSx/I5Unn44QpH2MvA+oN9iRvqupWau8SuVSkhQFN3VKHn2MSj9t8fTCJNDKIh8Pi 0qUAQxitxpRN5ezMj5bi2FDm5H6HBxv4KmuA/LVhmZwvOOZe8tNEa0i8YkzPOGUNaSJL479cpLn8 G7JYTlz4rrOayjZym2NvNJ+sztF5wEAZ/V/8+5I7weX+h5pvUEsBAhQAFAAAAAgAh07iQFrjEWb3 AAAA4gEAABMAAAAAAAAAAQAgAAAAjAIAAFtDb250ZW50X1R5cGVzXS54bWxQSwECFAAKAAAAAACH TuJAAAAAAAAAAAAAAAAABgAAAAAAAAAAABAAAABzAQAAX3JlbHMvUEsBAhQAFAAAAAgAh07iQNVc JijMAAAAjwEAAAsAAAAAAAAAAQAgAAAAlwEAAF9yZWxzLy5yZWxzUEsBAhQACgAAAAAAh07iQAAA AAAAAAAAAAAAAAQAAAAAAAAAAAAQAAAAAAAAAGRycy9QSwECFAAUAAAACACHTuJAiZZBrrsAAADb AAAADwAAAAAAAAABACAAAAAiAAAAZHJzL2Rvd25yZXYueG1sUEsBAhQAFAAAAAgAh07iQDMvBZ47 AAAAOQAAABAAAAAAAAAAAQAgAAAACgEAAGRycy9zaGFwZXhtbC54bWxQSwUGAAAAAAYABgBbAQAA tAMAAAAA ">
                  <v:fill on="t" focussize="0,0"/>
                  <v:stroke color="#000000" joinstyle="miter"/>
                  <v:imagedata o:title=""/>
                  <o:lock v:ext="edit" aspectratio="f"/>
                  <v:textbox>
                    <w:txbxContent>
                      <w:p>
                        <w:pPr>
                          <w:rPr>
                            <w:bCs/>
                            <w:sz w:val="24"/>
                          </w:rPr>
                        </w:pPr>
                        <w:r>
                          <w:rPr>
                            <w:rFonts w:hint="eastAsia"/>
                            <w:bCs/>
                            <w:sz w:val="24"/>
                          </w:rPr>
                          <w:t>一体报警中心</w:t>
                        </w:r>
                      </w:p>
                    </w:txbxContent>
                  </v:textbox>
                </v:shape>
                <v:line id="_x0000_s1026" o:spid="_x0000_s1026" o:spt="20" style="position:absolute;left:8220;top:398312;height:1;width:748;" filled="f" stroked="t" coordsize="21600,21600" o:gfxdata="UEsDBAoAAAAAAIdO4kAAAAAAAAAAAAAAAAAEAAAAZHJzL1BLAwQUAAAACACHTuJAWAfWq7wAAADb AAAADwAAAGRycy9kb3ducmV2LnhtbEVPS2vCQBC+C/6HZQq9BN01LSKpqwfbgAcv9YHXITtNQrOz Mbs10V/fLRS8zcf3nOV6sI24UudrxxpmUwWCuHCm5lLD8ZBPFiB8QDbYOCYNN/KwXo1HS8yM6/mT rvtQihjCPkMNVQhtJqUvKrLop64ljtyX6yyGCLtSmg77GG4bmSo1lxZrjg0VtrSpqPje/1gNPj/R Jb8nRaLOL6Wj9PK++0Ctn59m6g1EoCE8xP/urYnzX+Hvl3iAXP0CUEsDBBQAAAAIAIdO4kAzLwWe OwAAADkAAAAQAAAAZHJzL3NoYXBleG1sLnhtbLOxr8jNUShLLSrOzM+zVTLUM1BSSM1Lzk/JzEu3 VQoNcdO1UFIoLknMS0nMyc9LtVWqTC1Wsrfj5QIAUEsDBAoAAAAAAIdO4kAAAAAAAAAAAAAAAAAG AAAAX3JlbHMvUEsDBBQAAAAIAIdO4kDVXCYozAAAAI8BAAALAAAAX3JlbHMvLnJlbHOlkLFqAzEM hvdA38Fo7/mSoZQQX7ZC1pBCV2Hr7kzOlrHMNXn7uJRCL2TLoEG/0PcJ7faXMKmZsniOBtZNC4qi ZefjYODz9PH6DkoKRocTRzJwJYF997LaHWnCUpdk9ElUpUQxMJaStlqLHSmgNJwo1knPOWCpbR50 QnvGgfSmbd90/s+AbsFUB2cgH9wG1OmaqvmOHbzNLNyXxnLQ3PfePqJqGTHRV5gqBvNAxYDL8pvW 05paoB+b10+aHX/HI81L8U+Yaf7z6sUbuxtQSwMEFAAAAAgAh07iQFrjEWb3AAAA4gEAABMAAABb Q29udGVudF9UeXBlc10ueG1slZFNT8QgEIbvJv4HMlfTUj0YY0r3YPWoRtcfMIFpS7YFwmDd/ffS /bgY18QjzLzP+wTq1XYaxUyRrXcKrssKBDntjXW9go/1U3EHghM6g6N3pGBHDKvm8qJe7wKxyGnH CoaUwr2UrAeakEsfyOVJ5+OEKR9jLwPqDfYkb6rqVmrvErlUpIUBTd1Sh59jEo/bfH0wiTQyiIfD 4tKlAEMYrcaUTeXszI+W4thQ5uR+hwcb+CprgPy1YZmcLzjmXvLTRGtIvGJMzzhlDWkiS+O/XKS5 /BuyWE5c+K6zmso2cptjbzSfrM7RecBAGf1f/PuSO8Hl/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FgH1qu8AAAA 2wAAAA8AAAAAAAAAAQAgAAAAIgAAAGRycy9kb3ducmV2LnhtbFBLAQIUABQAAAAIAIdO4kAzLwWe OwAAADkAAAAQAAAAAAAAAAEAIAAAAAsBAABkcnMvc2hhcGV4bWwueG1sUEsFBgAAAAAGAAYAWwEA ALUDAAAAAA== ">
                  <v:fill on="f" focussize="0,0"/>
                  <v:stroke color="#000000" joinstyle="round"/>
                  <v:imagedata o:title=""/>
                  <o:lock v:ext="edit" aspectratio="f"/>
                </v:line>
                <v:line id="_x0000_s1026" o:spid="_x0000_s1026" o:spt="20" style="position:absolute;left:8985;top:396317;height:3346;width:1;" filled="f" stroked="t" coordsize="21600,21600" o:gfxdata="UEsDBAoAAAAAAIdO4kAAAAAAAAAAAAAAAAAEAAAAZHJzL1BLAwQUAAAACACHTuJAN0tzMLwAAADb AAAADwAAAGRycy9kb3ducmV2LnhtbEVPS2vCQBC+C/6HZQq9BN01pSKpqwfbgAcv9YHXITtNQrOz Mbs10V/fLRS8zcf3nOV6sI24UudrxxpmUwWCuHCm5lLD8ZBPFiB8QDbYOCYNN/KwXo1HS8yM6/mT rvtQihjCPkMNVQhtJqUvKrLop64ljtyX6yyGCLtSmg77GG4bmSo1lxZrjg0VtrSpqPje/1gNPj/R Jb8nRaLOL6Wj9PK++0Ctn59m6g1EoCE8xP/urYnzX+Hvl3iAXP0CUEsDBBQAAAAIAIdO4kAzLwWe OwAAADkAAAAQAAAAZHJzL3NoYXBleG1sLnhtbLOxr8jNUShLLSrOzM+zVTLUM1BSSM1Lzk/JzEu3 VQoNcdO1UFIoLknMS0nMyc9LtVWqTC1Wsrfj5QIAUEsDBAoAAAAAAIdO4kAAAAAAAAAAAAAAAAAG AAAAX3JlbHMvUEsDBBQAAAAIAIdO4kDVXCYozAAAAI8BAAALAAAAX3JlbHMvLnJlbHOlkLFqAzEM hvdA38Fo7/mSoZQQX7ZC1pBCV2Hr7kzOlrHMNXn7uJRCL2TLoEG/0PcJ7faXMKmZsniOBtZNC4qi ZefjYODz9PH6DkoKRocTRzJwJYF997LaHWnCUpdk9ElUpUQxMJaStlqLHSmgNJwo1knPOWCpbR50 QnvGgfSmbd90/s+AbsFUB2cgH9wG1OmaqvmOHbzNLNyXxnLQ3PfePqJqGTHRV5gqBvNAxYDL8pvW 05paoB+b10+aHX/HI81L8U+Yaf7z6sUbuxtQSwMEFAAAAAgAh07iQFrjEWb3AAAA4gEAABMAAABb Q29udGVudF9UeXBlc10ueG1slZFNT8QgEIbvJv4HMlfTUj0YY0r3YPWoRtcfMIFpS7YFwmDd/ffS /bgY18QjzLzP+wTq1XYaxUyRrXcKrssKBDntjXW9go/1U3EHghM6g6N3pGBHDKvm8qJe7wKxyGnH CoaUwr2UrAeakEsfyOVJ5+OEKR9jLwPqDfYkb6rqVmrvErlUpIUBTd1Sh59jEo/bfH0wiTQyiIfD 4tKlAEMYrcaUTeXszI+W4thQ5uR+hwcb+CprgPy1YZmcLzjmXvLTRGtIvGJMzzhlDWkiS+O/XKS5 /BuyWE5c+K6zmso2cptjbzSfrM7RecBAGf1f/PuSO8Hl/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DdLczC8AAAA 2wAAAA8AAAAAAAAAAQAgAAAAIgAAAGRycy9kb3ducmV2LnhtbFBLAQIUABQAAAAIAIdO4kAzLwWe OwAAADkAAAAQAAAAAAAAAAEAIAAAAAsBAABkcnMvc2hhcGV4bWwueG1sUEsFBgAAAAAGAAYAWwEA ALUDAAAAAA== ">
                  <v:fill on="f" focussize="0,0"/>
                  <v:stroke color="#000000" joinstyle="round"/>
                  <v:imagedata o:title=""/>
                  <o:lock v:ext="edit" aspectratio="f"/>
                </v:line>
                <v:line id="_x0000_s1026" o:spid="_x0000_s1026" o:spt="20" style="position:absolute;left:8955;top:396349;height:1;width:450;" filled="f" stroked="t" coordsize="21600,21600" o:gfxdata="UEsDBAoAAAAAAIdO4kAAAAAAAAAAAAAAAAAEAAAAZHJzL1BLAwQUAAAACACHTuJA0irw67oAAADb AAAADwAAAGRycy9kb3ducmV2LnhtbEVPTYvCMBC9C/6HMIIX0VRhRarRgyLosh62Kl6HZmyKzaQ0 0Xb//WZB2Ns83uesNp2txIsaXzpWMJ0kIIhzp0suFFzO+/EChA/IGivHpOCHPGzW/d4KU+1a/qZX FgoRQ9inqMCEUKdS+tyQRT9xNXHk7q6xGCJsCqkbbGO4reQsSebSYsmxwWBNW0P5I3taBcW1PerD 1y27V9fd+fNjZMzJdkoNB9NkCSJQF/7Fb/dBx/lz+PslHiDXv1BLAwQUAAAACACHTuJAMy8FnjsA AAA5AAAAEAAAAGRycy9zaGFwZXhtbC54bWyzsa/IzVEoSy0qzszPs1Uy1DNQUkjNS85PycxLt1UK DXHTtVBSKC5JzEtJzMnPS7VVqkwtVrK34+UCAFBLAwQKAAAAAACHTuJAAAAAAAAAAAAAAAAABgAA AF9yZWxzL1BLAwQUAAAACACHTuJA1VwmKMwAAACPAQAACwAAAF9yZWxzLy5yZWxzpZCxagMxDIb3 QN/BaO/5kqGUEF+2QtaQQldh6+5MzpaxzDV5+7iUQi9ky6BBv9D3Ce32lzCpmbJ4jgbWTQuKomXn 42Dg8/Tx+g5KCkaHE0cycCWBffey2h1pwlKXZPRJVKVEMTCWkrZaix0poDScKNZJzzlgqW0edEJ7 xoH0pm3fdP7PgG7BVAdnIB/cBtTpmqr5jh28zSzcl8Zy0Nz33j6iahkx0VeYKgbzQMWAy/Kb1tOa WqAfm9dPmh1/xyPNS/FPmGn+8+rFG7sbUEsDBBQAAAAIAIdO4kBa4xFm9wAAAOIBAAATAAAAW0Nv bnRlbnRfVHlwZXNdLnhtbJWRTU/EIBCG7yb+BzJX01I9GGNK92D1qEbXHzCBaUu2BcJg3f330v24 GNfEI8y8z/sE6tV2GsVMka13Cq7LCgQ57Y11vYKP9VNxB4ITOoOjd6RgRwyr5vKiXu8CschpxwqG lMK9lKwHmpBLH8jlSefjhCkfYy8D6g32JG+q6lZq7xK5VKSFAU3dUoefYxKP23x9MIk0MoiHw+LS pQBDGK3GlE3l7MyPluLYUObkfocHG/gqa4D8tWGZnC845l7y00RrSLxiTM84ZQ1pIkvjv1ykufwb slhOXPius5rKNnKbY280n6zO0XnAQBn9X/z7kjvB5f6Hmm9QSwECFAAUAAAACACHTuJAWuMRZvcA AADiAQAAEwAAAAAAAAABACAAAACLAgAAW0NvbnRlbnRfVHlwZXNdLnhtbFBLAQIUAAoAAAAAAIdO 4kAAAAAAAAAAAAAAAAAGAAAAAAAAAAAAEAAAAHIBAABfcmVscy9QSwECFAAUAAAACACHTuJA1Vwm KMwAAACPAQAACwAAAAAAAAABACAAAACWAQAAX3JlbHMvLnJlbHNQSwECFAAKAAAAAACHTuJAAAAA AAAAAAAAAAAABAAAAAAAAAAAABAAAAAAAAAAZHJzL1BLAQIUABQAAAAIAIdO4kDSKvDrugAAANsA AAAPAAAAAAAAAAEAIAAAACIAAABkcnMvZG93bnJldi54bWxQSwECFAAUAAAACACHTuJAMy8FnjsA AAA5AAAAEAAAAAAAAAABACAAAAAJAQAAZHJzL3NoYXBleG1sLnhtbFBLBQYAAAAABgAGAFsBAACz AwAAAAA= ">
                  <v:fill on="f" focussize="0,0"/>
                  <v:stroke color="#000000" joinstyle="round" endarrow="open"/>
                  <v:imagedata o:title=""/>
                  <o:lock v:ext="edit" aspectratio="f"/>
                </v:line>
                <v:line id="_x0000_s1026" o:spid="_x0000_s1026" o:spt="20" style="position:absolute;left:8985;top:397549;height:1;width:450;" filled="f" stroked="t" coordsize="21600,21600" o:gfxdata="UEsDBAoAAAAAAIdO4kAAAAAAAAAAAAAAAAAEAAAAZHJzL1BLAwQUAAAACACHTuJAvWZVcLwAAADb AAAADwAAAGRycy9kb3ducmV2LnhtbEVPTWvCQBC9F/wPywi9FN1YaJWY1YMi2NIeTBSvQ3aSDWZn Q3Zr0n/fLRR6m8f7nGw72lbcqfeNYwWLeQKCuHS64VrBuTjMViB8QNbYOiYF3+Rhu5k8ZJhqN/CJ 7nmoRQxhn6ICE0KXSulLQxb93HXEkatcbzFE2NdS9zjEcNvK5yR5lRYbjg0GO9oZKm/5l1VQX4Y3 ffy45lV72RfvL0/GfNpRqcfpIlmDCDSGf/Gf+6jj/CX8/hIPkJsfUEsDBBQAAAAIAIdO4kAzLwWe OwAAADkAAAAQAAAAZHJzL3NoYXBleG1sLnhtbLOxr8jNUShLLSrOzM+zVTLUM1BSSM1Lzk/JzEu3 VQoNcdO1UFIoLknMS0nMyc9LtVWqTC1Wsrfj5QIAUEsDBAoAAAAAAIdO4kAAAAAAAAAAAAAAAAAG AAAAX3JlbHMvUEsDBBQAAAAIAIdO4kDVXCYozAAAAI8BAAALAAAAX3JlbHMvLnJlbHOlkLFqAzEM hvdA38Fo7/mSoZQQX7ZC1pBCV2Hr7kzOlrHMNXn7uJRCL2TLoEG/0PcJ7faXMKmZsniOBtZNC4qi ZefjYODz9PH6DkoKRocTRzJwJYF997LaHWnCUpdk9ElUpUQxMJaStlqLHSmgNJwo1knPOWCpbR50 QnvGgfSmbd90/s+AbsFUB2cgH9wG1OmaqvmOHbzNLNyXxnLQ3PfePqJqGTHRV5gqBvNAxYDL8pvW 05paoB+b10+aHX/HI81L8U+Yaf7z6sUbuxtQSwMEFAAAAAgAh07iQFrjEWb3AAAA4gEAABMAAABb Q29udGVudF9UeXBlc10ueG1slZFNT8QgEIbvJv4HMlfTUj0YY0r3YPWoRtcfMIFpS7YFwmDd/ffS /bgY18QjzLzP+wTq1XYaxUyRrXcKrssKBDntjXW9go/1U3EHghM6g6N3pGBHDKvm8qJe7wKxyGnH CoaUwr2UrAeakEsfyOVJ5+OEKR9jLwPqDfYkb6rqVmrvErlUpIUBTd1Sh59jEo/bfH0wiTQyiIfD 4tKlAEMYrcaUTeXszI+W4thQ5uR+hwcb+CprgPy1YZmcLzjmXvLTRGtIvGJMzzhlDWkiS+O/XKS5 /BuyWE5c+K6zmso2cptjbzSfrM7RecBAGf1f/PuSO8Hl/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L1mVXC8AAAA 2wAAAA8AAAAAAAAAAQAgAAAAIgAAAGRycy9kb3ducmV2LnhtbFBLAQIUABQAAAAIAIdO4kAzLwWe OwAAADkAAAAQAAAAAAAAAAEAIAAAAAsBAABkcnMvc2hhcGV4bWwueG1sUEsFBgAAAAAGAAYAWwEA ALUDAAAAAA== ">
                  <v:fill on="f" focussize="0,0"/>
                  <v:stroke color="#000000" joinstyle="round" endarrow="open"/>
                  <v:imagedata o:title=""/>
                  <o:lock v:ext="edit" aspectratio="f"/>
                </v:line>
                <v:line id="_x0000_s1026" o:spid="_x0000_s1026" o:spt="20" style="position:absolute;left:8970;top:398629;height:1;width:450;" filled="f" stroked="t" coordsize="21600,21600" o:gfxdata="UEsDBAoAAAAAAIdO4kAAAAAAAAAAAAAAAAAEAAAAZHJzL1BLAwQUAAAACACHTuJAzPnBAr4AAADb AAAADwAAAGRycy9kb3ducmV2LnhtbEWPQWvCQBCF7wX/wzKCl6IbBYukrh4qgi310Kj0OmTHbGh2 NmS3Jv33nYPgbYb35r1v1tvBN+pGXawDG5jPMlDEZbA1VwbOp/10BSomZItNYDLwRxG2m9HTGnMb ev6iW5EqJSEcczTgUmpzrWPpyGOchZZYtGvoPCZZu0rbDnsJ941eZNmL9lizNDhs6c1R+VP8egPV pX+3h8/v4tpcdqeP5bNzRz8YMxnPs1dQiYb0MN+vD1bwBVZ+kQH05h9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zPnBAr4A AADbAAAADwAAAAAAAAABACAAAAAiAAAAZHJzL2Rvd25yZXYueG1sUEsBAhQAFAAAAAgAh07iQDMv BZ47AAAAOQAAABAAAAAAAAAAAQAgAAAADQEAAGRycy9zaGFwZXhtbC54bWxQSwUGAAAAAAYABgBb AQAAtwMAAAAA ">
                  <v:fill on="f" focussize="0,0"/>
                  <v:stroke color="#000000" joinstyle="round" endarrow="open"/>
                  <v:imagedata o:title=""/>
                  <o:lock v:ext="edit" aspectratio="f"/>
                </v:line>
                <v:line id="_x0000_s1026" o:spid="_x0000_s1026" o:spt="20" style="position:absolute;left:8985;top:399663;height:1;width:450;" filled="f" stroked="t" coordsize="21600,21600" o:gfxdata="UEsDBAoAAAAAAIdO4kAAAAAAAAAAAAAAAAAEAAAAZHJzL1BLAwQUAAAACACHTuJAo7VkmbwAAADb AAAADwAAAGRycy9kb3ducmV2LnhtbEVPTWvCQBC9F/wPywi9FN1YaNGY1YMi2NIeTBSvQ3aSDWZn Q3Zr0n/fLRR6m8f7nGw72lbcqfeNYwWLeQKCuHS64VrBuTjMliB8QNbYOiYF3+Rhu5k8ZJhqN/CJ 7nmoRQxhn6ICE0KXSulLQxb93HXEkatcbzFE2NdS9zjEcNvK5yR5lRYbjg0GO9oZKm/5l1VQX4Y3 ffy45lV72RfvL0/GfNpRqcfpIlmDCDSGf/Gf+6jj/BX8/hIPkJsfUEsDBBQAAAAIAIdO4kAzLwWe OwAAADkAAAAQAAAAZHJzL3NoYXBleG1sLnhtbLOxr8jNUShLLSrOzM+zVTLUM1BSSM1Lzk/JzEu3 VQoNcdO1UFIoLknMS0nMyc9LtVWqTC1Wsrfj5QIAUEsDBAoAAAAAAIdO4kAAAAAAAAAAAAAAAAAG AAAAX3JlbHMvUEsDBBQAAAAIAIdO4kDVXCYozAAAAI8BAAALAAAAX3JlbHMvLnJlbHOlkLFqAzEM hvdA38Fo7/mSoZQQX7ZC1pBCV2Hr7kzOlrHMNXn7uJRCL2TLoEG/0PcJ7faXMKmZsniOBtZNC4qi ZefjYODz9PH6DkoKRocTRzJwJYF997LaHWnCUpdk9ElUpUQxMJaStlqLHSmgNJwo1knPOWCpbR50 QnvGgfSmbd90/s+AbsFUB2cgH9wG1OmaqvmOHbzNLNyXxnLQ3PfePqJqGTHRV5gqBvNAxYDL8pvW 05paoB+b10+aHX/HI81L8U+Yaf7z6sUbuxtQSwMEFAAAAAgAh07iQFrjEWb3AAAA4gEAABMAAABb Q29udGVudF9UeXBlc10ueG1slZFNT8QgEIbvJv4HMlfTUj0YY0r3YPWoRtcfMIFpS7YFwmDd/ffS /bgY18QjzLzP+wTq1XYaxUyRrXcKrssKBDntjXW9go/1U3EHghM6g6N3pGBHDKvm8qJe7wKxyGnH CoaUwr2UrAeakEsfyOVJ5+OEKR9jLwPqDfYkb6rqVmrvErlUpIUBTd1Sh59jEo/bfH0wiTQyiIfD 4tKlAEMYrcaUTeXszI+W4thQ5uR+hwcb+CprgPy1YZmcLzjmXvLTRGtIvGJMzzhlDWkiS+O/XKS5 /BuyWE5c+K6zmso2cptjbzSfrM7RecBAGf1f/PuSO8Hl/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KO1ZJm8AAAA 2wAAAA8AAAAAAAAAAQAgAAAAIgAAAGRycy9kb3ducmV2LnhtbFBLAQIUABQAAAAIAIdO4kAzLwWe OwAAADkAAAAQAAAAAAAAAAEAIAAAAAsBAABkcnMvc2hhcGV4bWwueG1sUEsFBgAAAAAGAAYAWwEA ALUDAAAAAA== ">
                  <v:fill on="f" focussize="0,0"/>
                  <v:stroke color="#000000" joinstyle="round" endarrow="open"/>
                  <v:imagedata o:title=""/>
                  <o:lock v:ext="edit" aspectratio="f"/>
                </v:line>
                <v:shape id="_x0000_s1026" o:spid="_x0000_s1026" o:spt="202" type="#_x0000_t202" style="position:absolute;left:9405;top:396107;height:540;width:1754;" fillcolor="#FFFFFF" filled="t" stroked="t" coordsize="21600,21600" o:gfxdata="UEsDBAoAAAAAAIdO4kAAAAAAAAAAAAAAAAAEAAAAZHJzL1BLAwQUAAAACACHTuJAtygVZLoAAADb AAAADwAAAGRycy9kb3ducmV2LnhtbEVPy4rCMBTdC/5DuANuRFMf+KhGF4Li7LTKzPbSXNsyzU1N YnX+frIYcHk47/X2ZWrRkvOVZQWjYQKCOLe64kLB9bIfLED4gKyxtkwKfsnDdtPtrDHV9slnarNQ iBjCPkUFZQhNKqXPSzLoh7YhjtzNOoMhQldI7fAZw00tx0kykwYrjg0lNrQrKf/JHkbBYnpsv/3n 5PSVz271MvTn7eHulOp9jJIViECv8Bb/u49awTiuj1/iD5CbP1BLAwQUAAAACACHTuJAMy8FnjsA AAA5AAAAEAAAAGRycy9zaGFwZXhtbC54bWyzsa/IzVEoSy0qzszPs1Uy1DNQUkjNS85PycxLt1UK DXHTtVBSKC5JzEtJzMnPS7VVqkwtVrK34+UCAFBLAwQKAAAAAACHTuJAAAAAAAAAAAAAAAAABgAA AF9yZWxzL1BLAwQUAAAACACHTuJA1VwmKMwAAACPAQAACwAAAF9yZWxzLy5yZWxzpZCxagMxDIb3 QN/BaO/5kqGUEF+2QtaQQldh6+5MzpaxzDV5+7iUQi9ky6BBv9D3Ce32lzCpmbJ4jgbWTQuKomXn 42Dg8/Tx+g5KCkaHE0cycCWBffey2h1pwlKXZPRJVKVEMTCWkrZaix0poDScKNZJzzlgqW0edEJ7 xoH0pm3fdP7PgG7BVAdnIB/cBtTpmqr5jh28zSzcl8Zy0Nz33j6iahkx0VeYKgbzQMWAy/Kb1tOa WqAfm9dPmh1/xyPNS/FPmGn+8+rFG7sbUEsDBBQAAAAIAIdO4kBa4xFm9wAAAOIBAAATAAAAW0Nv bnRlbnRfVHlwZXNdLnhtbJWRTU/EIBCG7yb+BzJX01I9GGNK92D1qEbXHzCBaUu2BcJg3f330v24 GNfEI8y8z/sE6tV2GsVMka13Cq7LCgQ57Y11vYKP9VNxB4ITOoOjd6RgRwyr5vKiXu8CschpxwqG lMK9lKwHmpBLH8jlSefjhCkfYy8D6g32JG+q6lZq7xK5VKSFAU3dUoefYxKP23x9MIk0MoiHw+LS pQBDGK3GlE3l7MyPluLYUObkfocHG/gqa4D8tWGZnC845l7y00RrSLxiTM84ZQ1pIkvjv1ykufwb slhOXPius5rKNnKbY280n6zO0XnAQBn9X/z7kjvB5f6Hmm9QSwECFAAUAAAACACHTuJAWuMRZvcA AADiAQAAEwAAAAAAAAABACAAAACLAgAAW0NvbnRlbnRfVHlwZXNdLnhtbFBLAQIUAAoAAAAAAIdO 4kAAAAAAAAAAAAAAAAAGAAAAAAAAAAAAEAAAAHIBAABfcmVscy9QSwECFAAUAAAACACHTuJA1Vwm KMwAAACPAQAACwAAAAAAAAABACAAAACWAQAAX3JlbHMvLnJlbHNQSwECFAAKAAAAAACHTuJAAAAA AAAAAAAAAAAABAAAAAAAAAAAABAAAAAAAAAAZHJzL1BLAQIUABQAAAAIAIdO4kC3KBVkugAAANsA AAAPAAAAAAAAAAEAIAAAACIAAABkcnMvZG93bnJldi54bWxQSwECFAAUAAAACACHTuJAMy8FnjsA AAA5AAAAEAAAAAAAAAABACAAAAAJAQAAZHJzL3NoYXBleG1sLnhtbFBLBQYAAAAABgAGAFsBAACz AwAAAAA= ">
                  <v:fill on="t" focussize="0,0"/>
                  <v:stroke color="#000000" joinstyle="miter"/>
                  <v:imagedata o:title=""/>
                  <o:lock v:ext="edit" aspectratio="f"/>
                  <v:textbox>
                    <w:txbxContent>
                      <w:p>
                        <w:r>
                          <w:rPr>
                            <w:rFonts w:hint="eastAsia"/>
                          </w:rPr>
                          <w:t>安保人员查看</w:t>
                        </w:r>
                      </w:p>
                    </w:txbxContent>
                  </v:textbox>
                </v:shape>
                <v:shape id="_x0000_s1026" o:spid="_x0000_s1026" o:spt="202" type="#_x0000_t202" style="position:absolute;left:9435;top:397217;height:734;width:1754;" fillcolor="#FFFFFF" filled="t" stroked="t" coordsize="21600,21600" o:gfxdata="UEsDBAoAAAAAAIdO4kAAAAAAAAAAAAAAAAAEAAAAZHJzL1BLAwQUAAAACACHTuJA2GSw/74AAADb AAAADwAAAGRycy9kb3ducmV2LnhtbEWPT2sCMRTE74V+h/AKvRTNroq160YPQou91bXY62Pz9g9u XtYkXfXbNwXB4zAzv2Hy9cV0YiDnW8sK0nECgri0uuVawff+fbQA4QOyxs4yKbiSh/Xq8SHHTNsz 72goQi0ihH2GCpoQ+kxKXzZk0I9tTxy9yjqDIUpXS+3wHOGmk5MkmUuDLceFBnvaNFQei1+jYDHb Dj/+c/p1KOdV9xZeXoePk1Pq+SlNliACXcI9fGtvtYJJCv9f4g+Qqz9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2GSw/74A AADbAAAADwAAAAAAAAABACAAAAAiAAAAZHJzL2Rvd25yZXYueG1sUEsBAhQAFAAAAAgAh07iQDMv BZ47AAAAOQAAABAAAAAAAAAAAQAgAAAADQEAAGRycy9zaGFwZXhtbC54bWxQSwUGAAAAAAYABgBb AQAAtwMAAAAA ">
                  <v:fill on="t" focussize="0,0"/>
                  <v:stroke color="#000000" joinstyle="miter"/>
                  <v:imagedata o:title=""/>
                  <o:lock v:ext="edit" aspectratio="f"/>
                  <v:textbox>
                    <w:txbxContent>
                      <w:p>
                        <w:r>
                          <w:rPr>
                            <w:rFonts w:hint="eastAsia"/>
                          </w:rPr>
                          <w:t xml:space="preserve">物业技术人员查看 </w:t>
                        </w:r>
                      </w:p>
                    </w:txbxContent>
                  </v:textbox>
                </v:shape>
                <v:shape id="_x0000_s1026" o:spid="_x0000_s1026" o:spt="202" type="#_x0000_t202" style="position:absolute;left:9420;top:398374;height:540;width:1754;" fillcolor="#FFFFFF" filled="t" stroked="t" coordsize="21600,21600" o:gfxdata="UEsDBAoAAAAAAIdO4kAAAAAAAAAAAAAAAAAEAAAAZHJzL1BLAwQUAAAACACHTuJAKLYuiL4AAADb AAAADwAAAGRycy9kb3ducmV2LnhtbEWPT2sCMRTE7wW/Q3hCL0WzrsXadaMHocXe6lrs9bF5+wc3 L2uSrvrtm0LB4zAzv2HyzdV0YiDnW8sKZtMEBHFpdcu1gq/D22QJwgdkjZ1lUnAjD5v16CHHTNsL 72koQi0ihH2GCpoQ+kxKXzZk0E9tTxy9yjqDIUpXS+3wEuGmk2mSLKTBluNCgz1tGypPxY9RsHze Dd/+Y/55LBdV9xqeXob3s1PqcTxLViACXcM9/N/eaQVpCn9f4g+Q619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KLYuiL4A AADbAAAADwAAAAAAAAABACAAAAAiAAAAZHJzL2Rvd25yZXYueG1sUEsBAhQAFAAAAAgAh07iQDMv BZ47AAAAOQAAABAAAAAAAAAAAQAgAAAADQEAAGRycy9zaGFwZXhtbC54bWxQSwUGAAAAAAYABgBb AQAAtwMAAAAA ">
                  <v:fill on="t" focussize="0,0"/>
                  <v:stroke color="#000000" joinstyle="miter"/>
                  <v:imagedata o:title=""/>
                  <o:lock v:ext="edit" aspectratio="f"/>
                  <v:textbox>
                    <w:txbxContent>
                      <w:p>
                        <w:r>
                          <w:rPr>
                            <w:rFonts w:hint="eastAsia"/>
                          </w:rPr>
                          <w:t>医护人员查看</w:t>
                        </w:r>
                      </w:p>
                    </w:txbxContent>
                  </v:textbox>
                </v:shape>
                <v:shape id="_x0000_s1026" o:spid="_x0000_s1026" o:spt="202" type="#_x0000_t202" style="position:absolute;left:9420;top:399394;height:794;width:1754;" fillcolor="#FFFFFF" filled="t" stroked="t" coordsize="21600,21600" o:gfxdata="UEsDBAoAAAAAAIdO4kAAAAAAAAAAAAAAAAAEAAAAZHJzL1BLAwQUAAAACACHTuJAR/qLE70AAADb AAAADwAAAGRycy9kb3ducmV2LnhtbEWPT4vCMBTE74LfITzBi6ypf3DdrtGDoLg3V0Wvj+bZFpuX msSq334jCHscZuY3zGzxMJVoyPnSsoJBPwFBnFldcq7gsF99TEH4gKyxskwKnuRhMW+3Zphqe+df anYhFxHCPkUFRQh1KqXPCjLo+7Ymjt7ZOoMhSpdL7fAe4aaSwySZSIMlx4UCa1oWlF12N6NgOt40 J/8z2h6zybn6Cr3PZn11SnU7g+QbRKBH+A+/2xutYDiC15f4A+T8D1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BH+osTvQAA ANsAAAAPAAAAAAAAAAEAIAAAACIAAABkcnMvZG93bnJldi54bWxQSwECFAAUAAAACACHTuJAMy8F njsAAAA5AAAAEAAAAAAAAAABACAAAAAMAQAAZHJzL3NoYXBleG1sLnhtbFBLBQYAAAAABgAGAFsB AAC2AwAAAAA= ">
                  <v:fill on="t" focussize="0,0"/>
                  <v:stroke color="#000000" joinstyle="miter"/>
                  <v:imagedata o:title=""/>
                  <o:lock v:ext="edit" aspectratio="f"/>
                  <v:textbox>
                    <w:txbxContent>
                      <w:p>
                        <w:r>
                          <w:rPr>
                            <w:rFonts w:hint="eastAsia"/>
                          </w:rPr>
                          <w:t>消防维保人员查看</w:t>
                        </w:r>
                      </w:p>
                    </w:txbxContent>
                  </v:textbox>
                </v:shape>
                <v:line id="_x0000_s1026" o:spid="_x0000_s1026" o:spt="20" style="position:absolute;left:11175;top:396304;height:1;width:315;" filled="f" stroked="t" coordsize="21600,21600" o:gfxdata="UEsDBAoAAAAAAIdO4kAAAAAAAAAAAAAAAAAEAAAAZHJzL1BLAwQUAAAACACHTuJAlmscFr0AAADb AAAADwAAAGRycy9kb3ducmV2LnhtbEWPzYvCMBTE7wv+D+EJexFN7C4i1ehBLXjw4hdeH82zLTYv tcn69ddvhIU9DjPzG2Y6f9ha3Kj1lWMNw4ECQZw7U3Gh4bDP+mMQPiAbrB2Thid5mM86H1NMjbvz lm67UIgIYZ+ihjKEJpXS5yVZ9APXEEfv7FqLIcq2kKbFe4TbWiZKjaTFiuNCiQ0tSsovux+rwWdH umavXt5Tp6/CUXJdblao9Wd3qCYgAj3Cf/ivvTYakm94f4k/QM5+AV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CWaxwWvQAA ANsAAAAPAAAAAAAAAAEAIAAAACIAAABkcnMvZG93bnJldi54bWxQSwECFAAUAAAACACHTuJAMy8F njsAAAA5AAAAEAAAAAAAAAABACAAAAAMAQAAZHJzL3NoYXBleG1sLnhtbFBLBQYAAAAABgAGAFsB AAC2AwAAAAA= ">
                  <v:fill on="f" focussize="0,0"/>
                  <v:stroke color="#000000" joinstyle="round"/>
                  <v:imagedata o:title=""/>
                  <o:lock v:ext="edit" aspectratio="f"/>
                </v:line>
                <v:line id="_x0000_s1026" o:spid="_x0000_s1026" o:spt="20" style="position:absolute;left:11190;top:397579;height:1;width:315;" filled="f" stroked="t" coordsize="21600,21600" o:gfxdata="UEsDBAoAAAAAAIdO4kAAAAAAAAAAAAAAAAAEAAAAZHJzL1BLAwQUAAAACACHTuJA+Se5jb0AAADb AAAADwAAAGRycy9kb3ducmV2LnhtbEWPzYvCMBTE7wv+D+EJexFN7LIi1ehBLXjw4hdeH82zLTYv tcn69ddvhIU9DjPzG2Y6f9ha3Kj1lWMNw4ECQZw7U3Gh4bDP+mMQPiAbrB2Thid5mM86H1NMjbvz lm67UIgIYZ+ihjKEJpXS5yVZ9APXEEfv7FqLIcq2kKbFe4TbWiZKjaTFiuNCiQ0tSsovux+rwWdH umavXt5Tp6/CUXJdblao9Wd3qCYgAj3Cf/ivvTYakm94f4k/QM5+AV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D5J7mNvQAA ANsAAAAPAAAAAAAAAAEAIAAAACIAAABkcnMvZG93bnJldi54bWxQSwECFAAUAAAACACHTuJAMy8F njsAAAA5AAAAEAAAAAAAAAABACAAAAAMAQAAZHJzL3NoYXBleG1sLnhtbFBLBQYAAAAABgAGAFsB AAC2AwAAAAA= ">
                  <v:fill on="f" focussize="0,0"/>
                  <v:stroke color="#000000" joinstyle="round"/>
                  <v:imagedata o:title=""/>
                  <o:lock v:ext="edit" aspectratio="f"/>
                </v:line>
                <v:line id="_x0000_s1026" o:spid="_x0000_s1026" o:spt="20" style="position:absolute;left:11205;top:398614;height:1;width:315;" filled="f" stroked="t" coordsize="21600,21600" o:gfxdata="UEsDBAoAAAAAAIdO4kAAAAAAAAAAAAAAAAAEAAAAZHJzL1BLAwQUAAAACACHTuJACfUn+rwAAADb AAAADwAAAGRycy9kb3ducmV2LnhtbEWPzYvCMBTE74L/Q3jCXkQTK4h0jR5WCx68+IXXR/O2Ldu8 1CZ+rH+9EQSPw8z8hpkt7rYWV2p95VjDaKhAEOfOVFxoOOyzwRSED8gGa8ek4Z88LObdzgxT4268 pesuFCJC2KeooQyhSaX0eUkW/dA1xNH7da3FEGVbSNPiLcJtLROlJtJixXGhxIZ+Ssr/dherwWdH OmePft5Xp3HhKDkvNyvU+qs3Ut8gAt3DJ/xur42GZAKvL/EHyPkTUEsDBBQAAAAIAIdO4kAzLwWe OwAAADkAAAAQAAAAZHJzL3NoYXBleG1sLnhtbLOxr8jNUShLLSrOzM+zVTLUM1BSSM1Lzk/JzEu3 VQoNcdO1UFIoLknMS0nMyc9LtVWqTC1Wsrfj5QIAUEsDBAoAAAAAAIdO4kAAAAAAAAAAAAAAAAAG AAAAX3JlbHMvUEsDBBQAAAAIAIdO4kDVXCYozAAAAI8BAAALAAAAX3JlbHMvLnJlbHOlkLFqAzEM hvdA38Fo7/mSoZQQX7ZC1pBCV2Hr7kzOlrHMNXn7uJRCL2TLoEG/0PcJ7faXMKmZsniOBtZNC4qi ZefjYODz9PH6DkoKRocTRzJwJYF997LaHWnCUpdk9ElUpUQxMJaStlqLHSmgNJwo1knPOWCpbR50 QnvGgfSmbd90/s+AbsFUB2cgH9wG1OmaqvmOHbzNLNyXxnLQ3PfePqJqGTHRV5gqBvNAxYDL8pvW 05paoB+b10+aHX/HI81L8U+Yaf7z6sUbuxtQSwMEFAAAAAgAh07iQFrjEWb3AAAA4gEAABMAAABb Q29udGVudF9UeXBlc10ueG1slZFNT8QgEIbvJv4HMlfTUj0YY0r3YPWoRtcfMIFpS7YFwmDd/ffS /bgY18QjzLzP+wTq1XYaxUyRrXcKrssKBDntjXW9go/1U3EHghM6g6N3pGBHDKvm8qJe7wKxyGnH CoaUwr2UrAeakEsfyOVJ5+OEKR9jLwPqDfYkb6rqVmrvErlUpIUBTd1Sh59jEo/bfH0wiTQyiIfD 4tKlAEMYrcaUTeXszI+W4thQ5uR+hwcb+CprgPy1YZmcLzjmXvLTRGtIvGJMzzhlDWkiS+O/XKS5 /BuyWE5c+K6zmso2cptjbzSfrM7RecBAGf1f/PuSO8Hl/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An1J/q8AAAA 2wAAAA8AAAAAAAAAAQAgAAAAIgAAAGRycy9kb3ducmV2LnhtbFBLAQIUABQAAAAIAIdO4kAzLwWe OwAAADkAAAAQAAAAAAAAAAEAIAAAAAsBAABkcnMvc2hhcGV4bWwueG1sUEsFBgAAAAAGAAYAWwEA ALUDAAAAAA== ">
                  <v:fill on="f" focussize="0,0"/>
                  <v:stroke color="#000000" joinstyle="round"/>
                  <v:imagedata o:title=""/>
                  <o:lock v:ext="edit" aspectratio="f"/>
                </v:line>
                <v:line id="_x0000_s1026" o:spid="_x0000_s1026" o:spt="20" style="position:absolute;left:11220;top:399708;height:1;width:315;" filled="f" stroked="t" coordsize="21600,21600" o:gfxdata="UEsDBAoAAAAAAIdO4kAAAAAAAAAAAAAAAAAEAAAAZHJzL1BLAwQUAAAACACHTuJAZrmCYb0AAADb AAAADwAAAGRycy9kb3ducmV2LnhtbEWPzYvCMBTE7wv+D+EJexFN7MIq1ehBLXjw4hdeH82zLTYv tcn69ddvhIU9DjPzG2Y6f9ha3Kj1lWMNw4ECQZw7U3Gh4bDP+mMQPiAbrB2Thid5mM86H1NMjbvz lm67UIgIYZ+ihjKEJpXS5yVZ9APXEEfv7FqLIcq2kKbFe4TbWiZKfUuLFceFEhtalJRfdj9Wg8+O dM1evbynTl+Fo+S63KxQ68/uUE1ABHqE//Bfe200JCN4f4k/QM5+AV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BmuYJhvQAA ANsAAAAPAAAAAAAAAAEAIAAAACIAAABkcnMvZG93bnJldi54bWxQSwECFAAUAAAACACHTuJAMy8F njsAAAA5AAAAEAAAAAAAAAABACAAAAAMAQAAZHJzL3NoYXBleG1sLnhtbFBLBQYAAAAABgAGAFsB AAC2AwAAAAA= ">
                  <v:fill on="f" focussize="0,0"/>
                  <v:stroke color="#000000" joinstyle="round"/>
                  <v:imagedata o:title=""/>
                  <o:lock v:ext="edit" aspectratio="f"/>
                </v:line>
                <v:line id="_x0000_s1026" o:spid="_x0000_s1026" o:spt="20" style="position:absolute;left:11520;top:396274;height:3465;width:1;" filled="f" stroked="t" coordsize="21600,21600" o:gfxdata="UEsDBAoAAAAAAIdO4kAAAAAAAAAAAAAAAAAEAAAAZHJzL1BLAwQUAAAACACHTuJAFyYWE7oAAADb AAAADwAAAGRycy9kb3ducmV2LnhtbEVPz2vCMBS+D/wfwhN2kZm0wpBq9DAt7LCLVdn10Tzbsual bTLt9tebg+Dx4/u93o62FVcafONYQzJXIIhLZxquNJyO+dsShA/IBlvHpOGPPGw3k5c1Zsbd+EDX IlQihrDPUEMdQpdJ6cuaLPq564gjd3GDxRDhUEkz4C2G21amSr1Liw3Hhho7+qip/Cl+rQafn6nP /2flTH0vKkdpv/vao9av00StQAQaw1P8cH8aDWkcG7/EHyA3d1BLAwQUAAAACACHTuJAMy8FnjsA AAA5AAAAEAAAAGRycy9zaGFwZXhtbC54bWyzsa/IzVEoSy0qzszPs1Uy1DNQUkjNS85PycxLt1UK DXHTtVBSKC5JzEtJzMnPS7VVqkwtVrK34+UCAFBLAwQKAAAAAACHTuJAAAAAAAAAAAAAAAAABgAA AF9yZWxzL1BLAwQUAAAACACHTuJA1VwmKMwAAACPAQAACwAAAF9yZWxzLy5yZWxzpZCxagMxDIb3 QN/BaO/5kqGUEF+2QtaQQldh6+5MzpaxzDV5+7iUQi9ky6BBv9D3Ce32lzCpmbJ4jgbWTQuKomXn 42Dg8/Tx+g5KCkaHE0cycCWBffey2h1pwlKXZPRJVKVEMTCWkrZaix0poDScKNZJzzlgqW0edEJ7 xoH0pm3fdP7PgG7BVAdnIB/cBtTpmqr5jh28zSzcl8Zy0Nz33j6iahkx0VeYKgbzQMWAy/Kb1tOa WqAfm9dPmh1/xyPNS/FPmGn+8+rFG7sbUEsDBBQAAAAIAIdO4kBa4xFm9wAAAOIBAAATAAAAW0Nv bnRlbnRfVHlwZXNdLnhtbJWRTU/EIBCG7yb+BzJX01I9GGNK92D1qEbXHzCBaUu2BcJg3f330v24 GNfEI8y8z/sE6tV2GsVMka13Cq7LCgQ57Y11vYKP9VNxB4ITOoOjd6RgRwyr5vKiXu8CschpxwqG lMK9lKwHmpBLH8jlSefjhCkfYy8D6g32JG+q6lZq7xK5VKSFAU3dUoefYxKP23x9MIk0MoiHw+LS pQBDGK3GlE3l7MyPluLYUObkfocHG/gqa4D8tWGZnC845l7y00RrSLxiTM84ZQ1pIkvjv1ykufwb slhOXPius5rKNnKbY280n6zO0XnAQBn9X/z7kjvB5f6Hmm9QSwECFAAUAAAACACHTuJAWuMRZvcA AADiAQAAEwAAAAAAAAABACAAAACLAgAAW0NvbnRlbnRfVHlwZXNdLnhtbFBLAQIUAAoAAAAAAIdO 4kAAAAAAAAAAAAAAAAAGAAAAAAAAAAAAEAAAAHIBAABfcmVscy9QSwECFAAUAAAACACHTuJA1Vwm KMwAAACPAQAACwAAAAAAAAABACAAAACWAQAAX3JlbHMvLnJlbHNQSwECFAAKAAAAAACHTuJAAAAA AAAAAAAAAAAABAAAAAAAAAAAABAAAAAAAAAAZHJzL1BLAQIUABQAAAAIAIdO4kAXJhYTugAAANsA AAAPAAAAAAAAAAEAIAAAACIAAABkcnMvZG93bnJldi54bWxQSwECFAAUAAAACACHTuJAMy8FnjsA AAA5AAAAEAAAAAAAAAABACAAAAAJAQAAZHJzL3NoYXBleG1sLnhtbFBLBQYAAAAABgAGAFsBAACz AwAAAAA= ">
                  <v:fill on="f" focussize="0,0"/>
                  <v:stroke color="#000000" joinstyle="round"/>
                  <v:imagedata o:title=""/>
                  <o:lock v:ext="edit" aspectratio="f"/>
                </v:line>
                <v:line id="_x0000_s1026" o:spid="_x0000_s1026" o:spt="20" style="position:absolute;left:11550;top:398494;height:1;width:390;" filled="f" stroked="t" coordsize="21600,21600" o:gfxdata="UEsDBAoAAAAAAIdO4kAAAAAAAAAAAAAAAAAEAAAAZHJzL1BLAwQUAAAACACHTuJAbdmuJL4AAADb AAAADwAAAGRycy9kb3ducmV2LnhtbEWPQWvCQBSE7wX/w/IEL0U3CpY2dfWgFFT00KTi9ZF9ZkOz b0N2a+K/dwWhx2FmvmEWq97W4kqtrxwrmE4SEMSF0xWXCn7yr/E7CB+QNdaOScGNPKyWg5cFptp1 /E3XLJQiQtinqMCE0KRS+sKQRT9xDXH0Lq61GKJsS6lb7CLc1nKWJG/SYsVxwWBDa0PFb/ZnFZSn bqe3h3N2qU+bfD9/NeZoe6VGw2nyCSJQH/7Dz/ZWK5h9wONL/AFyeQd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bdmuJL4A AADbAAAADwAAAAAAAAABACAAAAAiAAAAZHJzL2Rvd25yZXYueG1sUEsBAhQAFAAAAAgAh07iQDMv BZ47AAAAOQAAABAAAAAAAAAAAQAgAAAADQEAAGRycy9zaGFwZXhtbC54bWxQSwUGAAAAAAYABgBb AQAAtwMAAAAA ">
                  <v:fill on="f" focussize="0,0"/>
                  <v:stroke color="#000000" joinstyle="round" endarrow="open"/>
                  <v:imagedata o:title=""/>
                  <o:lock v:ext="edit" aspectratio="f"/>
                </v:line>
                <v:shape id="_x0000_s1026" o:spid="_x0000_s1026" o:spt="202" type="#_x0000_t202" style="position:absolute;left:11955;top:398119;height:841;width:615;" fillcolor="#FFFFFF" filled="t" stroked="t" coordsize="21600,21600" o:gfxdata="UEsDBAoAAAAAAIdO4kAAAAAAAAAAAAAAAAAEAAAAZHJzL1BLAwQUAAAACACHTuJAMvGDubsAAADb AAAADwAAAGRycy9kb3ducmV2LnhtbEVPPW/CMBDdkfgP1iF1QeCkqYCmGIZKrWBrAcF6io8kIj4H 203Sf18PSB2f3vd6O5hGdOR8bVlBOk9AEBdW11wqOB0/ZisQPiBrbCyTgl/ysN2MR2vMte35m7pD KEUMYZ+jgiqENpfSFxUZ9HPbEkfuap3BEKErpXbYx3DTyOckWUiDNceGClt6r6i4HX6MgtXLrrv4 ffZ1LhbX5jVMl93n3Sn1NEmTNxCBhvAvfrh3WkEW18cv8QfIzR9QSwMEFAAAAAgAh07iQDMvBZ47 AAAAOQAAABAAAABkcnMvc2hhcGV4bWwueG1ss7GvyM1RKEstKs7Mz7NVMtQzUFJIzUvOT8nMS7dV Cg1x07VQUiguScxLSczJz0u1VapMLVayt+PlAgBQSwMECgAAAAAAh07iQAAAAAAAAAAAAAAAAAYA AABfcmVscy9QSwMEFAAAAAgAh07iQNVcJijMAAAAjwEAAAsAAABfcmVscy8ucmVsc6WQsWoDMQyG 90DfwWjv+ZKhlBBftkLWkEJXYevuTM6Wscw1efu4lEIvZMugQb/Q9wnt9pcwqZmyeI4G1k0LiqJl 5+Ng4PP08foOSgpGhxNHMnAlgX33stodacJSl2T0SVSlRDEwlpK2WosdKaA0nCjWSc85YKltHnRC e8aB9KZt33T+z4BuwVQHZyAf3AbU6Zqq+Y4dvM0s3JfGctDc994+omoZMdFXmCoG80DFgMvym9bT mlqgH5vXT5odf8cjzUvxT5hp/vPqxRu7G1BLAwQUAAAACACHTuJAWuMRZvcAAADiAQAAEwAAAFtD b250ZW50X1R5cGVzXS54bWyVkU1PxCAQhu8m/gcyV9NSPRhjSvdg9ahG1x8wgWlLtgXCYN3999L9 uBjXxCPMvM/7BOrVdhrFTJGtdwquywoEOe2Ndb2Cj/VTcQeCEzqDo3ekYEcMq+byol7vArHIaccK hpTCvZSsB5qQSx/I5Unn44QpH2MvA+oN9iRvqupWau8SuVSkhQFN3VKHn2MSj9t8fTCJNDKIh8Pi 0qUAQxitxpRN5ezMj5bi2FDm5H6HBxv4KmuA/LVhmZwvOOZe8tNEa0i8YkzPOGUNaSJL479cpLn8 G7JYTlz4rrOayjZym2NvNJ+sztF5wEAZ/V/8+5I7weX+h5pvUEsBAhQAFAAAAAgAh07iQFrjEWb3 AAAA4gEAABMAAAAAAAAAAQAgAAAAjAIAAFtDb250ZW50X1R5cGVzXS54bWxQSwECFAAKAAAAAACH TuJAAAAAAAAAAAAAAAAABgAAAAAAAAAAABAAAABzAQAAX3JlbHMvUEsBAhQAFAAAAAgAh07iQNVc JijMAAAAjwEAAAsAAAAAAAAAAQAgAAAAlwEAAF9yZWxzLy5yZWxzUEsBAhQACgAAAAAAh07iQAAA AAAAAAAAAAAAAAQAAAAAAAAAAAAQAAAAAAAAAGRycy9QSwECFAAUAAAACACHTuJAMvGDubsAAADb AAAADwAAAAAAAAABACAAAAAiAAAAZHJzL2Rvd25yZXYueG1sUEsBAhQAFAAAAAgAh07iQDMvBZ47 AAAAOQAAABAAAAAAAAAAAQAgAAAACgEAAGRycy9zaGFwZXhtbC54bWxQSwUGAAAAAAYABgBbAQAA tAMAAAAA ">
                  <v:fill on="t" focussize="0,0"/>
                  <v:stroke color="#000000" joinstyle="miter"/>
                  <v:imagedata o:title=""/>
                  <o:lock v:ext="edit" aspectratio="f"/>
                  <v:textbox>
                    <w:txbxContent>
                      <w:p>
                        <w:r>
                          <w:rPr>
                            <w:rFonts w:hint="eastAsia"/>
                          </w:rPr>
                          <w:t>处理</w:t>
                        </w:r>
                      </w:p>
                    </w:txbxContent>
                  </v:textbox>
                </v:shape>
                <v:line id="_x0000_s1026" o:spid="_x0000_s1026" o:spt="20" style="position:absolute;left:12255;top:398944;height:1740;width:1;" filled="f" stroked="t" coordsize="21600,21600" o:gfxdata="UEsDBAoAAAAAAIdO4kAAAAAAAAAAAAAAAAAEAAAAZHJzL1BLAwQUAAAACACHTuJAA8UpU74AAADb AAAADwAAAGRycy9kb3ducmV2LnhtbEWPQWvCQBSE70L/w/IKXqTuJgGRNKuHtoEeejEqvT6yr0lo 9m3MbjX217uFgsdhZr5hiu1ke3Gm0XeONSRLBYK4dqbjRsNhXz6tQfiAbLB3TBqu5GG7eZgVmBt3 4R2dq9CICGGfo4Y2hCGX0tctWfRLNxBH78uNFkOUYyPNiJcIt71MlVpJix3HhRYHemmp/q5+rAZf HulU/i7qhfrMGkfp6fXjDbWePybqGUSgKdzD/+13oyFL4O9L/AFycwN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A8UpU74A AADbAAAADwAAAAAAAAABACAAAAAiAAAAZHJzL2Rvd25yZXYueG1sUEsBAhQAFAAAAAgAh07iQDMv BZ47AAAAOQAAABAAAAAAAAAAAQAgAAAADQEAAGRycy9zaGFwZXhtbC54bWxQSwUGAAAAAAYABgBb AQAAtwMAAAAA ">
                  <v:fill on="f" focussize="0,0"/>
                  <v:stroke color="#000000" joinstyle="round"/>
                  <v:imagedata o:title=""/>
                  <o:lock v:ext="edit" aspectratio="f"/>
                </v:line>
                <v:line id="_x0000_s1026" o:spid="_x0000_s1026" o:spt="20" style="position:absolute;left:10950;top:400669;height:1;width:1320;" filled="f" stroked="t" coordsize="21600,21600" o:gfxdata="UEsDBAoAAAAAAIdO4kAAAAAAAAAAAAAAAAAEAAAAZHJzL1BLAwQUAAAACACHTuJA8xe3JLwAAADb AAAADwAAAGRycy9kb3ducmV2LnhtbEWPzYvCMBTE74L/Q3jCXkQTK4h0jR5WCx68+IXXR/O2Ldu8 1CZ+rH+9EQSPw8z8hpkt7rYWV2p95VjDaKhAEOfOVFxoOOyzwRSED8gGa8ek4Z88LObdzgxT4268 pesuFCJC2KeooQyhSaX0eUkW/dA1xNH7da3FEGVbSNPiLcJtLROlJtJixXGhxIZ+Ssr/dherwWdH OmePft5Xp3HhKDkvNyvU+qs3Ut8gAt3DJ/xur42GcQKvL/EHyPkTUEsDBBQAAAAIAIdO4kAzLwWe OwAAADkAAAAQAAAAZHJzL3NoYXBleG1sLnhtbLOxr8jNUShLLSrOzM+zVTLUM1BSSM1Lzk/JzEu3 VQoNcdO1UFIoLknMS0nMyc9LtVWqTC1Wsrfj5QIAUEsDBAoAAAAAAIdO4kAAAAAAAAAAAAAAAAAG AAAAX3JlbHMvUEsDBBQAAAAIAIdO4kDVXCYozAAAAI8BAAALAAAAX3JlbHMvLnJlbHOlkLFqAzEM hvdA38Fo7/mSoZQQX7ZC1pBCV2Hr7kzOlrHMNXn7uJRCL2TLoEG/0PcJ7faXMKmZsniOBtZNC4qi ZefjYODz9PH6DkoKRocTRzJwJYF997LaHWnCUpdk9ElUpUQxMJaStlqLHSmgNJwo1knPOWCpbR50 QnvGgfSmbd90/s+AbsFUB2cgH9wG1OmaqvmOHbzNLNyXxnLQ3PfePqJqGTHRV5gqBvNAxYDL8pvW 05paoB+b10+aHX/HI81L8U+Yaf7z6sUbuxtQSwMEFAAAAAgAh07iQFrjEWb3AAAA4gEAABMAAABb Q29udGVudF9UeXBlc10ueG1slZFNT8QgEIbvJv4HMlfTUj0YY0r3YPWoRtcfMIFpS7YFwmDd/ffS /bgY18QjzLzP+wTq1XYaxUyRrXcKrssKBDntjXW9go/1U3EHghM6g6N3pGBHDKvm8qJe7wKxyGnH CoaUwr2UrAeakEsfyOVJ5+OEKR9jLwPqDfYkb6rqVmrvErlUpIUBTd1Sh59jEo/bfH0wiTQyiIfD 4tKlAEMYrcaUTeXszI+W4thQ5uR+hwcb+CprgPy1YZmcLzjmXvLTRGtIvGJMzzhlDWkiS+O/XKS5 /BuyWE5c+K6zmso2cptjbzSfrM7RecBAGf1f/PuSO8Hl/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PMXtyS8AAAA 2wAAAA8AAAAAAAAAAQAgAAAAIgAAAGRycy9kb3ducmV2LnhtbFBLAQIUABQAAAAIAIdO4kAzLwWe OwAAADkAAAAQAAAAAAAAAAEAIAAAAAsBAABkcnMvc2hhcGV4bWwueG1sUEsFBgAAAAAGAAYAWwEA ALUDAAAAAA== ">
                  <v:fill on="f" focussize="0,0"/>
                  <v:stroke color="#000000" joinstyle="round"/>
                  <v:imagedata o:title=""/>
                  <o:lock v:ext="edit" aspectratio="f"/>
                </v:line>
                <v:shape id="_x0000_s1026" o:spid="_x0000_s1026" o:spt="202" type="#_x0000_t202" style="position:absolute;left:9675;top:400489;height:466;width:1275;" fillcolor="#FFFFFF" filled="t" stroked="t" coordsize="21600,21600" o:gfxdata="UEsDBAoAAAAAAIdO4kAAAAAAAAAAAAAAAAAEAAAAZHJzL1BLAwQUAAAACACHTuJAwiMdzr4AAADb AAAADwAAAGRycy9kb3ducmV2LnhtbEWPT2sCMRTE74V+h/AKXopm7Yq160YPQsXeqhZ7fWze/sHN y5rEVb99UxA8DjPzGyZfXk0renK+saxgPEpAEBdWN1wp+Nl/DmcgfEDW2FomBTfysFw8P+WYaXvh LfW7UIkIYZ+hgjqELpPSFzUZ9CPbEUevtM5giNJVUju8RLhp5VuSTKXBhuNCjR2taiqOu7NRMJts +l//lX4fimnZfoTX9359ckoNXsbJHESga3iE7+2NVpCm8P8l/gC5+AN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wiMdzr4A AADbAAAADwAAAAAAAAABACAAAAAiAAAAZHJzL2Rvd25yZXYueG1sUEsBAhQAFAAAAAgAh07iQDMv BZ47AAAAOQAAABAAAAAAAAAAAQAgAAAADQEAAGRycy9zaGFwZXhtbC54bWxQSwUGAAAAAAYABgBb AQAAtwMAAAAA ">
                  <v:fill on="t" focussize="0,0"/>
                  <v:stroke color="#000000" joinstyle="miter"/>
                  <v:imagedata o:title=""/>
                  <o:lock v:ext="edit" aspectratio="f"/>
                  <v:textbox>
                    <w:txbxContent>
                      <w:p>
                        <w:r>
                          <w:rPr>
                            <w:rFonts w:hint="eastAsia"/>
                          </w:rPr>
                          <w:t>登记台账</w:t>
                        </w:r>
                      </w:p>
                    </w:txbxContent>
                  </v:textbox>
                </v:shape>
                <v:line id="_x0000_s1026" o:spid="_x0000_s1026" o:spt="20" style="position:absolute;left:12570;top:398494;height:1;width:375;" filled="f" stroked="t" coordsize="21600,21600" o:gfxdata="UEsDBAoAAAAAAIdO4kAAAAAAAAAAAAAAAAAEAAAAZHJzL1BLAwQUAAAACACHTuJABgGXZ78AAADb AAAADwAAAGRycy9kb3ducmV2LnhtbEWPQWvCQBSE70L/w/IKvRSzUatI6uqhRdBSD0bF6yP7kg3N vg3ZrUn/fbdQ8DjMzDfMajPYRtyo87VjBZMkBUFcOF1zpeB82o6XIHxA1tg4JgU/5GGzfhitMNOu 5yPd8lCJCGGfoQITQptJ6QtDFn3iWuLola6zGKLsKqk77CPcNnKapgtpsea4YLClN0PFV/5tFVSX fq93n9e8bC7vp4/5szEHOyj19DhJX0EEGsI9/N/eaQWzF/j7En+AXP8CUEsDBBQAAAAIAIdO4kAz LwWeOwAAADkAAAAQAAAAZHJzL3NoYXBleG1sLnhtbLOxr8jNUShLLSrOzM+zVTLUM1BSSM1Lzk/J zEu3VQoNcdO1UFIoLknMS0nMyc9LtVWqTC1Wsrfj5QIAUEsDBAoAAAAAAIdO4kAAAAAAAAAAAAAA AAAGAAAAX3JlbHMvUEsDBBQAAAAIAIdO4kDVXCYozAAAAI8BAAALAAAAX3JlbHMvLnJlbHOlkLFq AzEMhvdA38Fo7/mSoZQQX7ZC1pBCV2Hr7kzOlrHMNXn7uJRCL2TLoEG/0PcJ7faXMKmZsniOBtZN C4qiZefjYODz9PH6DkoKRocTRzJwJYF997LaHWnCUpdk9ElUpUQxMJaStlqLHSmgNJwo1knPOWCp bR50QnvGgfSmbd90/s+AbsFUB2cgH9wG1OmaqvmOHbzNLNyXxnLQ3PfePqJqGTHRV5gqBvNAxYDL 8pvW05paoB+b10+aHX/HI81L8U+Yaf7z6sUbuxtQSwMEFAAAAAgAh07iQFrjEWb3AAAA4gEAABMA AABbQ29udGVudF9UeXBlc10ueG1slZFNT8QgEIbvJv4HMlfTUj0YY0r3YPWoRtcfMIFpS7YFwmDd /ffS/bgY18QjzLzP+wTq1XYaxUyRrXcKrssKBDntjXW9go/1U3EHghM6g6N3pGBHDKvm8qJe7wKx yGnHCoaUwr2UrAeakEsfyOVJ5+OEKR9jLwPqDfYkb6rqVmrvErlUpIUBTd1Sh59jEo/bfH0wiTQy iIfD4tKlAEMYrcaUTeXszI+W4thQ5uR+hwcb+CprgPy1YZmcLzjmXvLTRGtIvGJMzzhlDWkiS+O/ XKS5/BuyWE5c+K6zmso2cptjbzSfrM7RecBAGf1f/PuSO8Hl/oeab1BLAQIUABQAAAAIAIdO4kBa 4xFm9wAAAOIBAAATAAAAAAAAAAEAIAAAAJACAABbQ29udGVudF9UeXBlc10ueG1sUEsBAhQACgAA AAAAh07iQAAAAAAAAAAAAAAAAAYAAAAAAAAAAAAQAAAAdwEAAF9yZWxzL1BLAQIUABQAAAAIAIdO 4kDVXCYozAAAAI8BAAALAAAAAAAAAAEAIAAAAJsBAABfcmVscy8ucmVsc1BLAQIUAAoAAAAAAIdO 4kAAAAAAAAAAAAAAAAAEAAAAAAAAAAAAEAAAAAAAAABkcnMvUEsBAhQAFAAAAAgAh07iQAYBl2e/ AAAA2wAAAA8AAAAAAAAAAQAgAAAAIgAAAGRycy9kb3ducmV2LnhtbFBLAQIUABQAAAAIAIdO4kAz LwWeOwAAADkAAAAQAAAAAAAAAAEAIAAAAA4BAABkcnMvc2hhcGV4bWwueG1sUEsFBgAAAAAGAAYA WwEAALgDAAAAAA== ">
                  <v:fill on="f" focussize="0,0"/>
                  <v:stroke color="#000000" joinstyle="round" endarrow="open"/>
                  <v:imagedata o:title=""/>
                  <o:lock v:ext="edit" aspectratio="f"/>
                </v:line>
                <v:shape id="_x0000_s1026" o:spid="_x0000_s1026" o:spt="202" type="#_x0000_t202" style="position:absolute;left:13065;top:397367;height:1306;width:570;" fillcolor="#FFFFFF" filled="t" stroked="t" coordsize="21600,21600" o:gfxdata="UEsDBAoAAAAAAIdO4kAAAAAAAAAAAAAAAAAEAAAAZHJzL1BLAwQUAAAACACHTuJAIoYgIb0AAADb AAAADwAAAGRycy9kb3ducmV2LnhtbEWPT2sCMRTE7wW/Q3hCL6JZ6//V6EGw2FurotfH5rm7uHlZ k7jab98IQo/DzPyGWawephINOV9aVtDvJSCIM6tLzhUc9pvuFIQPyBory6Tglzyslq23Baba3vmH ml3IRYSwT1FBEUKdSumzggz6nq2Jo3e2zmCI0uVSO7xHuKnkR5KMpcGS40KBNa0Lyi67m1EwHW6b k/8afB+z8bmahc6k+bw6pd7b/WQOItAj/Idf7a1WMBjB80v8AXL5B1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AihiAhvQAA ANsAAAAPAAAAAAAAAAEAIAAAACIAAABkcnMvZG93bnJldi54bWxQSwECFAAUAAAACACHTuJAMy8F njsAAAA5AAAAEAAAAAAAAAABACAAAAAMAQAAZHJzL3NoYXBleG1sLnhtbFBLBQYAAAAABgAGAFsB AAC2AwAAAAA= ">
                  <v:fill on="t" focussize="0,0"/>
                  <v:stroke color="#000000" joinstyle="miter"/>
                  <v:imagedata o:title=""/>
                  <o:lock v:ext="edit" aspectratio="f"/>
                  <v:textbox>
                    <w:txbxContent>
                      <w:p>
                        <w:r>
                          <w:rPr>
                            <w:rFonts w:hint="eastAsia"/>
                          </w:rPr>
                          <w:t>异常上报</w:t>
                        </w:r>
                      </w:p>
                    </w:txbxContent>
                  </v:textbox>
                </v:shape>
              </v:group>
            </w:pict>
          </mc:Fallback>
        </mc:AlternateConten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mc:AlternateContent>
          <mc:Choice Requires="wpg">
            <w:drawing>
              <wp:anchor distT="0" distB="0" distL="114300" distR="114300" simplePos="0" relativeHeight="251660288" behindDoc="0" locked="0" layoutInCell="1" allowOverlap="1">
                <wp:simplePos x="0" y="0"/>
                <wp:positionH relativeFrom="column">
                  <wp:posOffset>121285</wp:posOffset>
                </wp:positionH>
                <wp:positionV relativeFrom="paragraph">
                  <wp:posOffset>382905</wp:posOffset>
                </wp:positionV>
                <wp:extent cx="5514975" cy="3288030"/>
                <wp:effectExtent l="4445" t="4445" r="5080" b="22225"/>
                <wp:wrapNone/>
                <wp:docPr id="72" name="组合 224"/>
                <wp:cNvGraphicFramePr/>
                <a:graphic xmlns:a="http://schemas.openxmlformats.org/drawingml/2006/main">
                  <a:graphicData uri="http://schemas.microsoft.com/office/word/2010/wordprocessingGroup">
                    <wpg:wgp>
                      <wpg:cNvGrpSpPr/>
                      <wpg:grpSpPr>
                        <a:xfrm>
                          <a:off x="0" y="0"/>
                          <a:ext cx="5514975" cy="3288030"/>
                          <a:chOff x="4260" y="395527"/>
                          <a:chExt cx="9375" cy="5448"/>
                        </a:xfrm>
                      </wpg:grpSpPr>
                      <wps:wsp>
                        <wps:cNvPr id="37" name="文本框 184"/>
                        <wps:cNvSpPr txBox="1"/>
                        <wps:spPr>
                          <a:xfrm>
                            <a:off x="4305" y="395726"/>
                            <a:ext cx="510" cy="1021"/>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治安类</w:t>
                              </w:r>
                            </w:p>
                          </w:txbxContent>
                        </wps:txbx>
                        <wps:bodyPr wrap="square" upright="1"/>
                      </wps:wsp>
                      <wps:wsp>
                        <wps:cNvPr id="38" name="直线 185"/>
                        <wps:cNvSpPr/>
                        <wps:spPr>
                          <a:xfrm>
                            <a:off x="4815" y="396232"/>
                            <a:ext cx="150" cy="1"/>
                          </a:xfrm>
                          <a:prstGeom prst="line">
                            <a:avLst/>
                          </a:prstGeom>
                          <a:ln w="9525" cap="flat" cmpd="sng">
                            <a:solidFill>
                              <a:srgbClr val="000000"/>
                            </a:solidFill>
                            <a:prstDash val="solid"/>
                            <a:headEnd type="none" w="med" len="med"/>
                            <a:tailEnd type="none" w="med" len="med"/>
                          </a:ln>
                        </wps:spPr>
                        <wps:bodyPr upright="1"/>
                      </wps:wsp>
                      <wps:wsp>
                        <wps:cNvPr id="39" name="文本框 187"/>
                        <wps:cNvSpPr txBox="1"/>
                        <wps:spPr>
                          <a:xfrm>
                            <a:off x="4980" y="395527"/>
                            <a:ext cx="2250" cy="163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红外报警</w:t>
                              </w:r>
                            </w:p>
                            <w:p>
                              <w:r>
                                <w:rPr>
                                  <w:rFonts w:hint="eastAsia"/>
                                </w:rPr>
                                <w:t>一键式治安报警</w:t>
                              </w:r>
                            </w:p>
                            <w:p>
                              <w:r>
                                <w:rPr>
                                  <w:rFonts w:hint="eastAsia"/>
                                </w:rPr>
                                <w:t>一键式医疗呼救报警</w:t>
                              </w:r>
                            </w:p>
                            <w:p>
                              <w:r>
                                <w:rPr>
                                  <w:rFonts w:hint="eastAsia"/>
                                </w:rPr>
                                <w:t>视频监控报警</w:t>
                              </w:r>
                            </w:p>
                            <w:p>
                              <w:r>
                                <w:rPr>
                                  <w:rFonts w:hint="eastAsia"/>
                                </w:rPr>
                                <w:t>其他防入侵报警</w:t>
                              </w:r>
                            </w:p>
                          </w:txbxContent>
                        </wps:txbx>
                        <wps:bodyPr wrap="square" upright="1"/>
                      </wps:wsp>
                      <wps:wsp>
                        <wps:cNvPr id="40" name="文本框 190"/>
                        <wps:cNvSpPr txBox="1"/>
                        <wps:spPr>
                          <a:xfrm>
                            <a:off x="4290" y="397780"/>
                            <a:ext cx="510" cy="12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物联网类</w:t>
                              </w:r>
                            </w:p>
                          </w:txbxContent>
                        </wps:txbx>
                        <wps:bodyPr wrap="square" upright="1"/>
                      </wps:wsp>
                      <wps:wsp>
                        <wps:cNvPr id="41" name="直线 191"/>
                        <wps:cNvSpPr/>
                        <wps:spPr>
                          <a:xfrm>
                            <a:off x="4800" y="398753"/>
                            <a:ext cx="150" cy="1"/>
                          </a:xfrm>
                          <a:prstGeom prst="line">
                            <a:avLst/>
                          </a:prstGeom>
                          <a:ln w="9525" cap="flat" cmpd="sng">
                            <a:solidFill>
                              <a:srgbClr val="000000"/>
                            </a:solidFill>
                            <a:prstDash val="solid"/>
                            <a:headEnd type="none" w="med" len="med"/>
                            <a:tailEnd type="none" w="med" len="med"/>
                          </a:ln>
                        </wps:spPr>
                        <wps:bodyPr upright="1"/>
                      </wps:wsp>
                      <wps:wsp>
                        <wps:cNvPr id="42" name="文本框 189"/>
                        <wps:cNvSpPr txBox="1"/>
                        <wps:spPr>
                          <a:xfrm>
                            <a:off x="4965" y="398048"/>
                            <a:ext cx="2250" cy="163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电气报警</w:t>
                              </w:r>
                            </w:p>
                            <w:p>
                              <w:r>
                                <w:rPr>
                                  <w:rFonts w:hint="eastAsia"/>
                                </w:rPr>
                                <w:t>水压、水位、水温</w:t>
                              </w:r>
                            </w:p>
                            <w:p>
                              <w:r>
                                <w:rPr>
                                  <w:rFonts w:hint="eastAsia"/>
                                </w:rPr>
                                <w:t>气体系统压力</w:t>
                              </w:r>
                            </w:p>
                            <w:p>
                              <w:r>
                                <w:rPr>
                                  <w:rFonts w:hint="eastAsia"/>
                                </w:rPr>
                                <w:t>燃气系统报警</w:t>
                              </w:r>
                            </w:p>
                            <w:p>
                              <w:r>
                                <w:rPr>
                                  <w:rFonts w:hint="eastAsia"/>
                                </w:rPr>
                                <w:t>温度异常报警</w:t>
                              </w:r>
                            </w:p>
                          </w:txbxContent>
                        </wps:txbx>
                        <wps:bodyPr wrap="square" upright="1"/>
                      </wps:wsp>
                      <wps:wsp>
                        <wps:cNvPr id="43" name="文本框 192"/>
                        <wps:cNvSpPr txBox="1"/>
                        <wps:spPr>
                          <a:xfrm>
                            <a:off x="4260" y="399895"/>
                            <a:ext cx="510" cy="10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消防类</w:t>
                              </w:r>
                            </w:p>
                          </w:txbxContent>
                        </wps:txbx>
                        <wps:bodyPr wrap="square" upright="1"/>
                      </wps:wsp>
                      <wps:wsp>
                        <wps:cNvPr id="44" name="直线 193"/>
                        <wps:cNvSpPr/>
                        <wps:spPr>
                          <a:xfrm>
                            <a:off x="4770" y="400416"/>
                            <a:ext cx="2716" cy="1"/>
                          </a:xfrm>
                          <a:prstGeom prst="line">
                            <a:avLst/>
                          </a:prstGeom>
                          <a:ln w="9525" cap="flat" cmpd="sng">
                            <a:solidFill>
                              <a:srgbClr val="000000"/>
                            </a:solidFill>
                            <a:prstDash val="solid"/>
                            <a:headEnd type="none" w="med" len="med"/>
                            <a:tailEnd type="none" w="med" len="med"/>
                          </a:ln>
                        </wps:spPr>
                        <wps:bodyPr upright="1"/>
                      </wps:wsp>
                      <wps:wsp>
                        <wps:cNvPr id="45" name="直线 194"/>
                        <wps:cNvSpPr/>
                        <wps:spPr>
                          <a:xfrm>
                            <a:off x="7230" y="395796"/>
                            <a:ext cx="299" cy="1"/>
                          </a:xfrm>
                          <a:prstGeom prst="line">
                            <a:avLst/>
                          </a:prstGeom>
                          <a:ln w="9525" cap="flat" cmpd="sng">
                            <a:solidFill>
                              <a:srgbClr val="000000"/>
                            </a:solidFill>
                            <a:prstDash val="solid"/>
                            <a:headEnd type="none" w="med" len="med"/>
                            <a:tailEnd type="none" w="med" len="med"/>
                          </a:ln>
                        </wps:spPr>
                        <wps:bodyPr upright="1"/>
                      </wps:wsp>
                      <wps:wsp>
                        <wps:cNvPr id="46" name="直线 195"/>
                        <wps:cNvSpPr/>
                        <wps:spPr>
                          <a:xfrm>
                            <a:off x="7230" y="398346"/>
                            <a:ext cx="269" cy="1"/>
                          </a:xfrm>
                          <a:prstGeom prst="line">
                            <a:avLst/>
                          </a:prstGeom>
                          <a:ln w="9525" cap="flat" cmpd="sng">
                            <a:solidFill>
                              <a:srgbClr val="000000"/>
                            </a:solidFill>
                            <a:prstDash val="solid"/>
                            <a:headEnd type="none" w="med" len="med"/>
                            <a:tailEnd type="none" w="med" len="med"/>
                          </a:ln>
                        </wps:spPr>
                        <wps:bodyPr upright="1"/>
                      </wps:wsp>
                      <wps:wsp>
                        <wps:cNvPr id="47" name="直线 196"/>
                        <wps:cNvSpPr/>
                        <wps:spPr>
                          <a:xfrm>
                            <a:off x="7545" y="395797"/>
                            <a:ext cx="1" cy="4636"/>
                          </a:xfrm>
                          <a:prstGeom prst="line">
                            <a:avLst/>
                          </a:prstGeom>
                          <a:ln w="9525" cap="flat" cmpd="sng">
                            <a:solidFill>
                              <a:srgbClr val="000000"/>
                            </a:solidFill>
                            <a:prstDash val="solid"/>
                            <a:headEnd type="none" w="med" len="med"/>
                            <a:tailEnd type="none" w="med" len="med"/>
                          </a:ln>
                        </wps:spPr>
                        <wps:bodyPr upright="1"/>
                      </wps:wsp>
                      <wps:wsp>
                        <wps:cNvPr id="48" name="直线 198"/>
                        <wps:cNvSpPr/>
                        <wps:spPr>
                          <a:xfrm>
                            <a:off x="7515" y="398798"/>
                            <a:ext cx="180" cy="1"/>
                          </a:xfrm>
                          <a:prstGeom prst="line">
                            <a:avLst/>
                          </a:prstGeom>
                          <a:ln w="9525" cap="flat" cmpd="sng">
                            <a:solidFill>
                              <a:srgbClr val="000000"/>
                            </a:solidFill>
                            <a:prstDash val="solid"/>
                            <a:headEnd type="none" w="med" len="med"/>
                            <a:tailEnd type="none" w="med" len="med"/>
                          </a:ln>
                        </wps:spPr>
                        <wps:bodyPr upright="1"/>
                      </wps:wsp>
                      <wps:wsp>
                        <wps:cNvPr id="49" name="文本框 199"/>
                        <wps:cNvSpPr txBox="1"/>
                        <wps:spPr>
                          <a:xfrm>
                            <a:off x="7695" y="397733"/>
                            <a:ext cx="525" cy="2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Cs/>
                                  <w:sz w:val="24"/>
                                </w:rPr>
                              </w:pPr>
                              <w:r>
                                <w:rPr>
                                  <w:rFonts w:hint="eastAsia"/>
                                  <w:bCs/>
                                  <w:sz w:val="24"/>
                                </w:rPr>
                                <w:t>一体报警中心</w:t>
                              </w:r>
                            </w:p>
                          </w:txbxContent>
                        </wps:txbx>
                        <wps:bodyPr wrap="square" upright="1"/>
                      </wps:wsp>
                      <wps:wsp>
                        <wps:cNvPr id="50" name="直线 200"/>
                        <wps:cNvSpPr/>
                        <wps:spPr>
                          <a:xfrm>
                            <a:off x="8220" y="398312"/>
                            <a:ext cx="748" cy="1"/>
                          </a:xfrm>
                          <a:prstGeom prst="line">
                            <a:avLst/>
                          </a:prstGeom>
                          <a:ln w="9525" cap="flat" cmpd="sng">
                            <a:solidFill>
                              <a:srgbClr val="000000"/>
                            </a:solidFill>
                            <a:prstDash val="solid"/>
                            <a:headEnd type="none" w="med" len="med"/>
                            <a:tailEnd type="none" w="med" len="med"/>
                          </a:ln>
                        </wps:spPr>
                        <wps:bodyPr upright="1"/>
                      </wps:wsp>
                      <wps:wsp>
                        <wps:cNvPr id="51" name="直线 201"/>
                        <wps:cNvSpPr/>
                        <wps:spPr>
                          <a:xfrm>
                            <a:off x="8985" y="396317"/>
                            <a:ext cx="1" cy="3346"/>
                          </a:xfrm>
                          <a:prstGeom prst="line">
                            <a:avLst/>
                          </a:prstGeom>
                          <a:ln w="9525" cap="flat" cmpd="sng">
                            <a:solidFill>
                              <a:srgbClr val="000000"/>
                            </a:solidFill>
                            <a:prstDash val="solid"/>
                            <a:headEnd type="none" w="med" len="med"/>
                            <a:tailEnd type="none" w="med" len="med"/>
                          </a:ln>
                        </wps:spPr>
                        <wps:bodyPr upright="1"/>
                      </wps:wsp>
                      <wps:wsp>
                        <wps:cNvPr id="52" name="直线 202"/>
                        <wps:cNvSpPr/>
                        <wps:spPr>
                          <a:xfrm>
                            <a:off x="8955" y="396349"/>
                            <a:ext cx="450" cy="1"/>
                          </a:xfrm>
                          <a:prstGeom prst="line">
                            <a:avLst/>
                          </a:prstGeom>
                          <a:ln w="9525" cap="flat" cmpd="sng">
                            <a:solidFill>
                              <a:srgbClr val="000000"/>
                            </a:solidFill>
                            <a:prstDash val="solid"/>
                            <a:headEnd type="none" w="med" len="med"/>
                            <a:tailEnd type="arrow" w="med" len="med"/>
                          </a:ln>
                        </wps:spPr>
                        <wps:bodyPr upright="1"/>
                      </wps:wsp>
                      <wps:wsp>
                        <wps:cNvPr id="53" name="直线 203"/>
                        <wps:cNvSpPr/>
                        <wps:spPr>
                          <a:xfrm>
                            <a:off x="8985" y="397549"/>
                            <a:ext cx="450" cy="1"/>
                          </a:xfrm>
                          <a:prstGeom prst="line">
                            <a:avLst/>
                          </a:prstGeom>
                          <a:ln w="9525" cap="flat" cmpd="sng">
                            <a:solidFill>
                              <a:srgbClr val="000000"/>
                            </a:solidFill>
                            <a:prstDash val="solid"/>
                            <a:headEnd type="none" w="med" len="med"/>
                            <a:tailEnd type="arrow" w="med" len="med"/>
                          </a:ln>
                        </wps:spPr>
                        <wps:bodyPr upright="1"/>
                      </wps:wsp>
                      <wps:wsp>
                        <wps:cNvPr id="54" name="直线 204"/>
                        <wps:cNvSpPr/>
                        <wps:spPr>
                          <a:xfrm>
                            <a:off x="8970" y="398629"/>
                            <a:ext cx="450" cy="1"/>
                          </a:xfrm>
                          <a:prstGeom prst="line">
                            <a:avLst/>
                          </a:prstGeom>
                          <a:ln w="9525" cap="flat" cmpd="sng">
                            <a:solidFill>
                              <a:srgbClr val="000000"/>
                            </a:solidFill>
                            <a:prstDash val="solid"/>
                            <a:headEnd type="none" w="med" len="med"/>
                            <a:tailEnd type="arrow" w="med" len="med"/>
                          </a:ln>
                        </wps:spPr>
                        <wps:bodyPr upright="1"/>
                      </wps:wsp>
                      <wps:wsp>
                        <wps:cNvPr id="55" name="直线 205"/>
                        <wps:cNvSpPr/>
                        <wps:spPr>
                          <a:xfrm>
                            <a:off x="8985" y="399663"/>
                            <a:ext cx="450" cy="1"/>
                          </a:xfrm>
                          <a:prstGeom prst="line">
                            <a:avLst/>
                          </a:prstGeom>
                          <a:ln w="9525" cap="flat" cmpd="sng">
                            <a:solidFill>
                              <a:srgbClr val="000000"/>
                            </a:solidFill>
                            <a:prstDash val="solid"/>
                            <a:headEnd type="none" w="med" len="med"/>
                            <a:tailEnd type="arrow" w="med" len="med"/>
                          </a:ln>
                        </wps:spPr>
                        <wps:bodyPr upright="1"/>
                      </wps:wsp>
                      <wps:wsp>
                        <wps:cNvPr id="56" name="文本框 206"/>
                        <wps:cNvSpPr txBox="1"/>
                        <wps:spPr>
                          <a:xfrm>
                            <a:off x="9405" y="396107"/>
                            <a:ext cx="1754"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安保人员查看</w:t>
                              </w:r>
                            </w:p>
                          </w:txbxContent>
                        </wps:txbx>
                        <wps:bodyPr wrap="square" upright="1"/>
                      </wps:wsp>
                      <wps:wsp>
                        <wps:cNvPr id="57" name="文本框 207"/>
                        <wps:cNvSpPr txBox="1"/>
                        <wps:spPr>
                          <a:xfrm>
                            <a:off x="9435" y="397217"/>
                            <a:ext cx="1754" cy="73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物业技术人员查看 </w:t>
                              </w:r>
                            </w:p>
                          </w:txbxContent>
                        </wps:txbx>
                        <wps:bodyPr wrap="square" upright="1"/>
                      </wps:wsp>
                      <wps:wsp>
                        <wps:cNvPr id="58" name="文本框 208"/>
                        <wps:cNvSpPr txBox="1"/>
                        <wps:spPr>
                          <a:xfrm>
                            <a:off x="9420" y="398374"/>
                            <a:ext cx="1754"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医护人员查看</w:t>
                              </w:r>
                            </w:p>
                          </w:txbxContent>
                        </wps:txbx>
                        <wps:bodyPr wrap="square" upright="1"/>
                      </wps:wsp>
                      <wps:wsp>
                        <wps:cNvPr id="59" name="文本框 209"/>
                        <wps:cNvSpPr txBox="1"/>
                        <wps:spPr>
                          <a:xfrm>
                            <a:off x="9420" y="399394"/>
                            <a:ext cx="1754" cy="79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消防维保人员查看</w:t>
                              </w:r>
                            </w:p>
                          </w:txbxContent>
                        </wps:txbx>
                        <wps:bodyPr wrap="square" upright="1"/>
                      </wps:wsp>
                      <wps:wsp>
                        <wps:cNvPr id="60" name="直线 210"/>
                        <wps:cNvSpPr/>
                        <wps:spPr>
                          <a:xfrm>
                            <a:off x="11175" y="396304"/>
                            <a:ext cx="315" cy="1"/>
                          </a:xfrm>
                          <a:prstGeom prst="line">
                            <a:avLst/>
                          </a:prstGeom>
                          <a:ln w="9525" cap="flat" cmpd="sng">
                            <a:solidFill>
                              <a:srgbClr val="000000"/>
                            </a:solidFill>
                            <a:prstDash val="solid"/>
                            <a:headEnd type="none" w="med" len="med"/>
                            <a:tailEnd type="none" w="med" len="med"/>
                          </a:ln>
                        </wps:spPr>
                        <wps:bodyPr upright="1"/>
                      </wps:wsp>
                      <wps:wsp>
                        <wps:cNvPr id="61" name="直线 211"/>
                        <wps:cNvSpPr/>
                        <wps:spPr>
                          <a:xfrm>
                            <a:off x="11190" y="397579"/>
                            <a:ext cx="315" cy="1"/>
                          </a:xfrm>
                          <a:prstGeom prst="line">
                            <a:avLst/>
                          </a:prstGeom>
                          <a:ln w="9525" cap="flat" cmpd="sng">
                            <a:solidFill>
                              <a:srgbClr val="000000"/>
                            </a:solidFill>
                            <a:prstDash val="solid"/>
                            <a:headEnd type="none" w="med" len="med"/>
                            <a:tailEnd type="none" w="med" len="med"/>
                          </a:ln>
                        </wps:spPr>
                        <wps:bodyPr upright="1"/>
                      </wps:wsp>
                      <wps:wsp>
                        <wps:cNvPr id="62" name="直线 212"/>
                        <wps:cNvSpPr/>
                        <wps:spPr>
                          <a:xfrm>
                            <a:off x="11205" y="398614"/>
                            <a:ext cx="315" cy="1"/>
                          </a:xfrm>
                          <a:prstGeom prst="line">
                            <a:avLst/>
                          </a:prstGeom>
                          <a:ln w="9525" cap="flat" cmpd="sng">
                            <a:solidFill>
                              <a:srgbClr val="000000"/>
                            </a:solidFill>
                            <a:prstDash val="solid"/>
                            <a:headEnd type="none" w="med" len="med"/>
                            <a:tailEnd type="none" w="med" len="med"/>
                          </a:ln>
                        </wps:spPr>
                        <wps:bodyPr upright="1"/>
                      </wps:wsp>
                      <wps:wsp>
                        <wps:cNvPr id="63" name="直线 213"/>
                        <wps:cNvSpPr/>
                        <wps:spPr>
                          <a:xfrm>
                            <a:off x="11220" y="399708"/>
                            <a:ext cx="315" cy="1"/>
                          </a:xfrm>
                          <a:prstGeom prst="line">
                            <a:avLst/>
                          </a:prstGeom>
                          <a:ln w="9525" cap="flat" cmpd="sng">
                            <a:solidFill>
                              <a:srgbClr val="000000"/>
                            </a:solidFill>
                            <a:prstDash val="solid"/>
                            <a:headEnd type="none" w="med" len="med"/>
                            <a:tailEnd type="none" w="med" len="med"/>
                          </a:ln>
                        </wps:spPr>
                        <wps:bodyPr upright="1"/>
                      </wps:wsp>
                      <wps:wsp>
                        <wps:cNvPr id="64" name="直线 214"/>
                        <wps:cNvSpPr/>
                        <wps:spPr>
                          <a:xfrm>
                            <a:off x="11520" y="396274"/>
                            <a:ext cx="1" cy="3465"/>
                          </a:xfrm>
                          <a:prstGeom prst="line">
                            <a:avLst/>
                          </a:prstGeom>
                          <a:ln w="9525" cap="flat" cmpd="sng">
                            <a:solidFill>
                              <a:srgbClr val="000000"/>
                            </a:solidFill>
                            <a:prstDash val="solid"/>
                            <a:headEnd type="none" w="med" len="med"/>
                            <a:tailEnd type="none" w="med" len="med"/>
                          </a:ln>
                        </wps:spPr>
                        <wps:bodyPr upright="1"/>
                      </wps:wsp>
                      <wps:wsp>
                        <wps:cNvPr id="65" name="直线 215"/>
                        <wps:cNvSpPr/>
                        <wps:spPr>
                          <a:xfrm>
                            <a:off x="11550" y="398494"/>
                            <a:ext cx="390" cy="1"/>
                          </a:xfrm>
                          <a:prstGeom prst="line">
                            <a:avLst/>
                          </a:prstGeom>
                          <a:ln w="9525" cap="flat" cmpd="sng">
                            <a:solidFill>
                              <a:srgbClr val="000000"/>
                            </a:solidFill>
                            <a:prstDash val="solid"/>
                            <a:headEnd type="none" w="med" len="med"/>
                            <a:tailEnd type="arrow" w="med" len="med"/>
                          </a:ln>
                        </wps:spPr>
                        <wps:bodyPr upright="1"/>
                      </wps:wsp>
                      <wps:wsp>
                        <wps:cNvPr id="66" name="文本框 216"/>
                        <wps:cNvSpPr txBox="1"/>
                        <wps:spPr>
                          <a:xfrm>
                            <a:off x="11955" y="398119"/>
                            <a:ext cx="615" cy="841"/>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处理</w:t>
                              </w:r>
                            </w:p>
                          </w:txbxContent>
                        </wps:txbx>
                        <wps:bodyPr wrap="square" upright="1"/>
                      </wps:wsp>
                      <wps:wsp>
                        <wps:cNvPr id="67" name="直线 218"/>
                        <wps:cNvSpPr/>
                        <wps:spPr>
                          <a:xfrm>
                            <a:off x="12255" y="398944"/>
                            <a:ext cx="1" cy="1740"/>
                          </a:xfrm>
                          <a:prstGeom prst="line">
                            <a:avLst/>
                          </a:prstGeom>
                          <a:ln w="9525" cap="flat" cmpd="sng">
                            <a:solidFill>
                              <a:srgbClr val="000000"/>
                            </a:solidFill>
                            <a:prstDash val="solid"/>
                            <a:headEnd type="none" w="med" len="med"/>
                            <a:tailEnd type="none" w="med" len="med"/>
                          </a:ln>
                        </wps:spPr>
                        <wps:bodyPr upright="1"/>
                      </wps:wsp>
                      <wps:wsp>
                        <wps:cNvPr id="68" name="直线 219"/>
                        <wps:cNvSpPr/>
                        <wps:spPr>
                          <a:xfrm>
                            <a:off x="10950" y="400669"/>
                            <a:ext cx="1320" cy="1"/>
                          </a:xfrm>
                          <a:prstGeom prst="line">
                            <a:avLst/>
                          </a:prstGeom>
                          <a:ln w="9525" cap="flat" cmpd="sng">
                            <a:solidFill>
                              <a:srgbClr val="000000"/>
                            </a:solidFill>
                            <a:prstDash val="solid"/>
                            <a:headEnd type="none" w="med" len="med"/>
                            <a:tailEnd type="none" w="med" len="med"/>
                          </a:ln>
                        </wps:spPr>
                        <wps:bodyPr upright="1"/>
                      </wps:wsp>
                      <wps:wsp>
                        <wps:cNvPr id="69" name="文本框 221"/>
                        <wps:cNvSpPr txBox="1"/>
                        <wps:spPr>
                          <a:xfrm>
                            <a:off x="9675" y="400489"/>
                            <a:ext cx="1275" cy="466"/>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登记台账</w:t>
                              </w:r>
                            </w:p>
                          </w:txbxContent>
                        </wps:txbx>
                        <wps:bodyPr wrap="square" upright="1"/>
                      </wps:wsp>
                      <wps:wsp>
                        <wps:cNvPr id="70" name="直线 222"/>
                        <wps:cNvSpPr/>
                        <wps:spPr>
                          <a:xfrm>
                            <a:off x="12570" y="398494"/>
                            <a:ext cx="375" cy="1"/>
                          </a:xfrm>
                          <a:prstGeom prst="line">
                            <a:avLst/>
                          </a:prstGeom>
                          <a:ln w="9525" cap="flat" cmpd="sng">
                            <a:solidFill>
                              <a:srgbClr val="000000"/>
                            </a:solidFill>
                            <a:prstDash val="solid"/>
                            <a:headEnd type="none" w="med" len="med"/>
                            <a:tailEnd type="arrow" w="med" len="med"/>
                          </a:ln>
                        </wps:spPr>
                        <wps:bodyPr upright="1"/>
                      </wps:wsp>
                      <wps:wsp>
                        <wps:cNvPr id="71" name="文本框 223"/>
                        <wps:cNvSpPr txBox="1"/>
                        <wps:spPr>
                          <a:xfrm>
                            <a:off x="13065" y="397367"/>
                            <a:ext cx="570" cy="1306"/>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异常上报</w:t>
                              </w:r>
                            </w:p>
                          </w:txbxContent>
                        </wps:txbx>
                        <wps:bodyPr wrap="square" upright="1"/>
                      </wps:wsp>
                    </wpg:wgp>
                  </a:graphicData>
                </a:graphic>
              </wp:anchor>
            </w:drawing>
          </mc:Choice>
          <mc:Fallback>
            <w:pict>
              <v:group id="组合 224" o:spid="_x0000_s1026" o:spt="203" style="position:absolute;left:0pt;margin-left:9.55pt;margin-top:30.15pt;height:258.9pt;width:434.25pt;z-index:251660288;mso-width-relative:page;mso-height-relative:page;" coordorigin="4260,395527" coordsize="9375,5448" o:gfxdata="UEsDBAoAAAAAAIdO4kAAAAAAAAAAAAAAAAAEAAAAZHJzL1BLAwQUAAAACACHTuJAGqOW+dkAAAAJ AQAADwAAAGRycy9kb3ducmV2LnhtbE2PQUvDQBSE74L/YXmCN7u7lqYxZlOkqKci2AribZu8JqHZ tyG7Tdp/7/Nkj8MMM9/kq7PrxIhDaD0Z0DMFAqn0VUu1ga/d20MKIkRLle08oYELBlgVtze5zSo/ 0SeO21gLLqGQWQNNjH0mZSgbdDbMfI/E3sEPzkaWQy2rwU5c7jr5qFQinW2JFxrb47rB8rg9OQPv k51e5vp13BwP68vPbvHxvdFozP2dVs8gIp7jfxj+8BkdCmba+xNVQXSsnzQnDSRqDoL9NF0mIPYG FstUgyxyef2g+AVQSwMEFAAAAAgAh07iQEiaHO0JBwAA804AAA4AAABkcnMvZTJvRG9jLnhtbO1c y5LjNBTdU8U/uLxnYslPpSY9VdAzs6FgqgY+wO04iav8wnZ30nsKWLKaDWzYs2QFC76Gmd/gSrJk R3G6k1BM56FepP2Uravje889uvbzF6ssNe7iqk6KfGKiZ5ZpxHlUTJN8PjG//ebVZ4Fp1E2YT8O0 yOOJeR/X5ourTz95vizHMS4WRTqNKwMayevxspyYi6Ypx6NRHS3iLKyfFWWcw85ZUWVhA6vVfDSt wiW0nqUjbFneaFlU07IqoriuYes132m2LVa7NFjMZkkUXxfRbRbnDW+1itOwgS7Vi6SszSt2t7NZ HDVfz2Z13BjpxISeNuwXLgLLN/R3dPU8HM+rsFwkUXsL4S63oPQpC5McLiqbug6b0Litko2msiSq irqYNc+iIhvxjjCLQC+QpdjmdVXclqwv8/FyXkqjw0ApVj+42eiruzeVkUwnpo9NIw8zGPEPf33/ z88/GRg71DzLcj6Go15X5dvyTdVumPM12uPVrMrof+iLsWKGvZeGjVeNEcFG10UO8V3TiGCfjYPA slvTRwsYH3qegz0YE7qbuC72+cBEi5dtC8QWp7uOE9C9I3HpEb1DeUPLEmBZd7aq/5ut3i7CMmZD UFMrtLayfWGr9+9+fP/r7+9/+8FAQWsudiC1ldGsPi+ga4ibsR7XsHHAZI5tgWl4133s8a5L0yEw CzUbsjBrSPY7HJdV3byOi8ygCxOzArQzEIZ3X9YNN5E4hF62LtJk+ipJU7ZSzW++SCvjLoQn4xX7 a626dliaG8uJSVxMBy+Ex30GjxksZiVAps7n7HprZ9T9hi32N9QwvbHrsF7wG2At8I5nSRNXcPPh eBGH05f51GjuS0BlDt7IpDeTxVPTSGNwXnSJHdmESbrLkWC7NAfoUJDwwaBLzepmBc3QxZtieg8D twSHAN377jas4Jq3ZZXMF2Bgbv8WYfyE/x9q4I7bx/KXPz78+TfgzKWdpncBgJTPpOiQeCrkA+kE SKDLwzbmBhPoQq5AF92+HVppAsanY7IFWh8fJh8LHC0inhYDRGCg726Yj+zBYGd3Q4JNTysAgbFE hGczh7YdFNrfPOaZTtDfOIAN7m96WCMsWh+CNQyn8tDm+wA75q0F1lwZ2jCnAxpqFxXaHCSg9qEN bURSpR1DmyXQFfiuvY4uHdo6hjTsh44htDky6+i5m4DQoTzE3RBPcJ3A4mlCOBbuRoe2C6fSji38 TQ9rhDHiQ7DWJawkIIyTd1jrQpvFo54ObZcV2hwBNRnaWHjq4az1cNs0Ad/noc2xLAcpmgD2YQsX BXTadsSxDWLReupOVInoYRD4lBcLYYioICCQFTJhSGPgiDEAD6qCgf3kmx4GAttRMeBpDAgV8Igx INViGQzYOO4cDHzXEbTW9UmrjQtaC0kU9QKOZ7NGtxMNreE9pY4L2YjqCNg0xh4gkDpu4BN2bsc3 EZX0dDBg0wFH7AiGdFwI44clu74HWYfQ1mxF/eATNuAXsAWKHlxgu1/QMu4ZyrhUxV/jHTD1ruDs Ye4ZYCy4Z2AjZdrIp95Mu5sjdzeuqq9CicF+GCAw18g9jGejYd5ht6R0u3/RvOMpeYcrBdaWfGJL VbwecQRQjyFB4LBg1fEOR84WPhxjzgcDYVUVy+E6hOMlHjA3okaD/eSooPMEkIxoEJwkCFRNEqjh nuGg1SRtEnhYg+AkQQC+XOGF++lRPU9APE/JOnQ46JWlHXE4kKJkNxGGLVWT2rWeiDiyfNFDlsoS IVzwVMHVeegwbQjHZ1y+6Ertsw+1Q0vXiGMLLurjjYREQs3XlWuXCDWpsPahpoqsu3u1nv7hM6LU pT1IQk17tfgSoTYg5GLrUCGXOBJqxOZTxENQ8/mu7UKLFnLPUMilb8WsE3aoml2fMHhYv0EIvJUU cHjK18HLppNKWsk9ciXX21By0X5KLoCgK8SGOWSKIA2CoZeJjjdr8zaUXD4ts/MMMkJYZmqBhxRO oz3BKdRLg+KihoP9lFwAQcc2fEupI9AgOAkQbCi5/GHewxO4EgQe3shuOCOAiT0mDW4nnOczq7P9 5dIjjgfA3BRmuJ+Ui5BLp+/Yi8eBoyYeNiUMF8UMT3JqzxvScnnBeM8d7Kp6AE2Us70BrKzzRE8k CwG8ugUMcrtn0KnoOaaiUssVpQRIVdceSUXhFSyRigbEUQhoW8iK/McmCnTYecqCEk/KrBIFqvD1 CAos0oYdeLfFgwr2tVwU2ZSZXFTcOUnyMaSA8g+UHBB2iNdKVPRtJ/72Z6dOICw+/eJAsNNh59K+ gEKLTtZ5Lt6vgg1htytc2eS5Al2PUJrziTonyXN9KYH2Zvewqn3szHNtS74p7tueUrTA4MJCEBym Pc6QTPpURQvsY1/wLTSWfLTfbaMfW+uvw3L/W3VX/wJ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BQAAAAIAIdO4kB+5uUg9wAAAOEB AAATAAAAW0NvbnRlbnRfVHlwZXNdLnhtbJWRQU7DMBBF90jcwfIWJU67QAgl6YK0S0CoHGBkTxKL ZGx5TGhvj5O2G0SRWNoz/78nu9wcxkFMGNg6quQqL6RA0s5Y6ir5vt9lD1JwBDIwOMJKHpHlpr69 KfdHjyxSmriSfYz+USnWPY7AufNIadK6MEJMx9ApD/oDOlTrorhX2lFEilmcO2RdNtjC5xDF9pCu TyYBB5bi6bQ4syoJ3g9WQ0ymaiLzg5KdCXlKLjvcW893SUOqXwnz5DrgnHtJTxOsQfEKIT7DmDSU CayM+6KAU/53yWw5cuba1mrMm8BNir3hdLG61o5r1zj93/Ltkrp0q+WD6m9QSwECFAAUAAAACACH TuJAfublIPcAAADhAQAAEwAAAAAAAAABACAAAAB7CQAAW0NvbnRlbnRfVHlwZXNdLnhtbFBLAQIU AAoAAAAAAIdO4kAAAAAAAAAAAAAAAAAGAAAAAAAAAAAAEAAAAF0IAABfcmVscy9QSwECFAAUAAAA CACHTuJAihRmPNEAAACUAQAACwAAAAAAAAABACAAAACBCAAAX3JlbHMvLnJlbHNQSwECFAAKAAAA AACHTuJAAAAAAAAAAAAAAAAABAAAAAAAAAAAABAAAAAAAAAAZHJzL1BLAQIUABQAAAAIAIdO4kAa o5b52QAAAAkBAAAPAAAAAAAAAAEAIAAAACIAAABkcnMvZG93bnJldi54bWxQSwECFAAUAAAACACH TuJASJoc7QkHAADzTgAADgAAAAAAAAABACAAAAAoAQAAZHJzL2Uyb0RvYy54bWxQSwUGAAAAAAYA BgBZAQAAowoAAAAA ">
                <o:lock v:ext="edit" aspectratio="f"/>
                <v:shape id="文本框 184" o:spid="_x0000_s1026" o:spt="202" type="#_x0000_t202" style="position:absolute;left:4305;top:395726;height:1021;width:510;" fillcolor="#FFFFFF" filled="t" stroked="t" coordsize="21600,21600" o:gfxdata="UEsDBAoAAAAAAIdO4kAAAAAAAAAAAAAAAAAEAAAAZHJzL1BLAwQUAAAACACHTuJAvRgbzb4AAADb AAAADwAAAGRycy9kb3ducmV2LnhtbEWPQWvCQBSE7wX/w/KEXkrdxIja6OpBsKS3VqW9PrLPJJh9 G3e3Mf333YLQ4zAz3zDr7WBa0ZPzjWUF6SQBQVxa3XCl4HTcPy9B+ICssbVMCn7Iw3Yzelhjru2N P6g/hEpECPscFdQhdLmUvqzJoJ/Yjjh6Z+sMhihdJbXDW4SbVk6TZC4NNhwXauxoV1N5OXwbBctZ 0X/5t+z9s5yf25fwtOhfr06px3GarEAEGsJ/+N4utIJsAX9f4g+Qm19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vRgbzb4A AADbAAAADwAAAAAAAAABACAAAAAiAAAAZHJzL2Rvd25yZXYueG1sUEsBAhQAFAAAAAgAh07iQDMv BZ47AAAAOQAAABAAAAAAAAAAAQAgAAAADQEAAGRycy9zaGFwZXhtbC54bWxQSwUGAAAAAAYABgBb AQAAtwMAAAAA ">
                  <v:fill on="t" focussize="0,0"/>
                  <v:stroke color="#000000" joinstyle="miter"/>
                  <v:imagedata o:title=""/>
                  <o:lock v:ext="edit" aspectratio="f"/>
                  <v:textbox>
                    <w:txbxContent>
                      <w:p>
                        <w:r>
                          <w:rPr>
                            <w:rFonts w:hint="eastAsia"/>
                          </w:rPr>
                          <w:t>治安类</w:t>
                        </w:r>
                      </w:p>
                    </w:txbxContent>
                  </v:textbox>
                </v:shape>
                <v:line id="直线 185" o:spid="_x0000_s1026" o:spt="20" style="position:absolute;left:4815;top:396232;height:1;width:150;" filled="f" stroked="t" coordsize="21600,21600" o:gfxdata="UEsDBAoAAAAAAIdO4kAAAAAAAAAAAAAAAAAEAAAAZHJzL1BLAwQUAAAACACHTuJAkv+AzrkAAADb AAAADwAAAGRycy9kb3ducmV2LnhtbEVPy4rCMBTdC/5DuIIbGRMVRDrGLnQKLtz4wu2ludOWaW7a JuPr681CcHk472V6t7W4UucrxxomYwWCOHem4kLD6Zh9LUD4gGywdkwaHuQhXfV7S0yMu/GerodQ iBjCPkENZQhNIqXPS7Lox64hjtyv6yyGCLtCmg5vMdzWcqrUXFqsODaU2NC6pPzv8G81+OxMbfYc 5SN1mRWOpu1m94NaDwcT9Q0i0D18xG/31miYxbHxS/wBcvUCUEsDBBQAAAAIAIdO4kAzLwWeOwAA ADkAAAAQAAAAZHJzL3NoYXBleG1sLnhtbLOxr8jNUShLLSrOzM+zVTLUM1BSSM1Lzk/JzEu3VQoN cdO1UFIoLknMS0nMyc9LtVWqTC1Wsrfj5QIAUEsDBAoAAAAAAIdO4kAAAAAAAAAAAAAAAAAGAAAA X3JlbHMvUEsDBBQAAAAIAIdO4kDVXCYozAAAAI8BAAALAAAAX3JlbHMvLnJlbHOlkLFqAzEMhvdA 38Fo7/mSoZQQX7ZC1pBCV2Hr7kzOlrHMNXn7uJRCL2TLoEG/0PcJ7faXMKmZsniOBtZNC4qiZefj YODz9PH6DkoKRocTRzJwJYF997LaHWnCUpdk9ElUpUQxMJaStlqLHSmgNJwo1knPOWCpbR50QnvG gfSmbd90/s+AbsFUB2cgH9wG1OmaqvmOHbzNLNyXxnLQ3PfePqJqGTHRV5gqBvNAxYDL8pvW05pa oB+b10+aHX/HI81L8U+Yaf7z6sUbuxtQSwMEFAAAAAgAh07iQFrjEWb3AAAA4gEAABMAAABbQ29u dGVudF9UeXBlc10ueG1slZFNT8QgEIbvJv4HMlfTUj0YY0r3YPWoRtcfMIFpS7YFwmDd/ffS/bgY 18QjzLzP+wTq1XYaxUyRrXcKrssKBDntjXW9go/1U3EHghM6g6N3pGBHDKvm8qJe7wKxyGnHCoaU wr2UrAeakEsfyOVJ5+OEKR9jLwPqDfYkb6rqVmrvErlUpIUBTd1Sh59jEo/bfH0wiTQyiIfD4tKl AEMYrcaUTeXszI+W4thQ5uR+hwcb+CprgPy1YZmcLzjmXvLTRGtIvGJMzzhlDWkiS+O/XKS5/Buy WE5c+K6zmso2cptjbzSfrM7RecBAGf1f/PuSO8Hl/oeab1BLAQIUABQAAAAIAIdO4kBa4xFm9wAA AOIBAAATAAAAAAAAAAEAIAAAAIoCAABbQ29udGVudF9UeXBlc10ueG1sUEsBAhQACgAAAAAAh07i QAAAAAAAAAAAAAAAAAYAAAAAAAAAAAAQAAAAcQEAAF9yZWxzL1BLAQIUABQAAAAIAIdO4kDVXCYo zAAAAI8BAAALAAAAAAAAAAEAIAAAAJUBAABfcmVscy8ucmVsc1BLAQIUAAoAAAAAAIdO4kAAAAAA AAAAAAAAAAAEAAAAAAAAAAAAEAAAAAAAAABkcnMvUEsBAhQAFAAAAAgAh07iQJL/gM65AAAA2wAA AA8AAAAAAAAAAQAgAAAAIgAAAGRycy9kb3ducmV2LnhtbFBLAQIUABQAAAAIAIdO4kAzLwWeOwAA ADkAAAAQAAAAAAAAAAEAIAAAAAgBAABkcnMvc2hhcGV4bWwueG1sUEsFBgAAAAAGAAYAWwEAALID AAAAAA== ">
                  <v:fill on="f" focussize="0,0"/>
                  <v:stroke color="#000000" joinstyle="round"/>
                  <v:imagedata o:title=""/>
                  <o:lock v:ext="edit" aspectratio="f"/>
                </v:line>
                <v:shape id="文本框 187" o:spid="_x0000_s1026" o:spt="202" type="#_x0000_t202" style="position:absolute;left:4980;top:395527;height:1634;width:2250;" fillcolor="#FFFFFF" filled="t" stroked="t" coordsize="21600,21600" o:gfxdata="UEsDBAoAAAAAAIdO4kAAAAAAAAAAAAAAAAAEAAAAZHJzL1BLAwQUAAAACACHTuJAo8sqJL4AAADb AAAADwAAAGRycy9kb3ducmV2LnhtbEWPQWvCQBSE70L/w/IKvUjdpBGrqasHoSXe1Jb2+sg+k9Ds 27i7jem/dwXB4zAz3zDL9WBa0ZPzjWUF6SQBQVxa3XCl4Ovz/XkOwgdkja1lUvBPHtarh9ESc23P vKf+ECoRIexzVFCH0OVS+rImg35iO+LoHa0zGKJ0ldQOzxFuWvmSJDNpsOG4UGNHm5rK38OfUTCf Fv2P32a773J2bBdh/Np/nJxST49p8gYi0BDu4Vu70AqyBVy/xB8gVxd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o8sqJL4A AADbAAAADwAAAAAAAAABACAAAAAiAAAAZHJzL2Rvd25yZXYueG1sUEsBAhQAFAAAAAgAh07iQDMv BZ47AAAAOQAAABAAAAAAAAAAAQAgAAAADQEAAGRycy9zaGFwZXhtbC54bWxQSwUGAAAAAAYABgBb AQAAtwMAAAAA ">
                  <v:fill on="t" focussize="0,0"/>
                  <v:stroke color="#000000" joinstyle="miter"/>
                  <v:imagedata o:title=""/>
                  <o:lock v:ext="edit" aspectratio="f"/>
                  <v:textbox>
                    <w:txbxContent>
                      <w:p>
                        <w:r>
                          <w:rPr>
                            <w:rFonts w:hint="eastAsia"/>
                          </w:rPr>
                          <w:t>红外报警</w:t>
                        </w:r>
                      </w:p>
                      <w:p>
                        <w:r>
                          <w:rPr>
                            <w:rFonts w:hint="eastAsia"/>
                          </w:rPr>
                          <w:t>一键式治安报警</w:t>
                        </w:r>
                      </w:p>
                      <w:p>
                        <w:r>
                          <w:rPr>
                            <w:rFonts w:hint="eastAsia"/>
                          </w:rPr>
                          <w:t>一键式医疗呼救报警</w:t>
                        </w:r>
                      </w:p>
                      <w:p>
                        <w:r>
                          <w:rPr>
                            <w:rFonts w:hint="eastAsia"/>
                          </w:rPr>
                          <w:t>视频监控报警</w:t>
                        </w:r>
                      </w:p>
                      <w:p>
                        <w:r>
                          <w:rPr>
                            <w:rFonts w:hint="eastAsia"/>
                          </w:rPr>
                          <w:t>其他防入侵报警</w:t>
                        </w:r>
                      </w:p>
                    </w:txbxContent>
                  </v:textbox>
                </v:shape>
                <v:shape id="文本框 190" o:spid="_x0000_s1026" o:spt="202" type="#_x0000_t202" style="position:absolute;left:4290;top:397780;height:1230;width:510;" fillcolor="#FFFFFF" filled="t" stroked="t" coordsize="21600,21600" o:gfxdata="UEsDBAoAAAAAAIdO4kAAAAAAAAAAAAAAAAAEAAAAZHJzL1BLAwQUAAAACACHTuJAavfwxLoAAADb AAAADwAAAGRycy9kb3ducmV2LnhtbEVPy4rCMBTdC/5DuIIb0VRHfFSji4ER3Y0PdHtprm2xualJ rM7fm8WAy8N5L9cvU4mGnC8tKxgOEhDEmdUl5wpOx5/+DIQPyBory6TgjzysV+3WElNtn7yn5hBy EUPYp6igCKFOpfRZQQb9wNbEkbtaZzBE6HKpHT5juKnkKEkm0mDJsaHAmr4Lym6Hh1EwG2+bi999 /Z6zybWah9602dydUt3OMFmACPQKH/G/e6sVjOP6+CX+ALl6A1BLAwQUAAAACACHTuJAMy8FnjsA AAA5AAAAEAAAAGRycy9zaGFwZXhtbC54bWyzsa/IzVEoSy0qzszPs1Uy1DNQUkjNS85PycxLt1UK DXHTtVBSKC5JzEtJzMnPS7VVqkwtVrK34+UCAFBLAwQKAAAAAACHTuJAAAAAAAAAAAAAAAAABgAA AF9yZWxzL1BLAwQUAAAACACHTuJA1VwmKMwAAACPAQAACwAAAF9yZWxzLy5yZWxzpZCxagMxDIb3 QN/BaO/5kqGUEF+2QtaQQldh6+5MzpaxzDV5+7iUQi9ky6BBv9D3Ce32lzCpmbJ4jgbWTQuKomXn 42Dg8/Tx+g5KCkaHE0cycCWBffey2h1pwlKXZPRJVKVEMTCWkrZaix0poDScKNZJzzlgqW0edEJ7 xoH0pm3fdP7PgG7BVAdnIB/cBtTpmqr5jh28zSzcl8Zy0Nz33j6iahkx0VeYKgbzQMWAy/Kb1tOa WqAfm9dPmh1/xyPNS/FPmGn+8+rFG7sbUEsDBBQAAAAIAIdO4kBa4xFm9wAAAOIBAAATAAAAW0Nv bnRlbnRfVHlwZXNdLnhtbJWRTU/EIBCG7yb+BzJX01I9GGNK92D1qEbXHzCBaUu2BcJg3f330v24 GNfEI8y8z/sE6tV2GsVMka13Cq7LCgQ57Y11vYKP9VNxB4ITOoOjd6RgRwyr5vKiXu8CschpxwqG lMK9lKwHmpBLH8jlSefjhCkfYy8D6g32JG+q6lZq7xK5VKSFAU3dUoefYxKP23x9MIk0MoiHw+LS pQBDGK3GlE3l7MyPluLYUObkfocHG/gqa4D8tWGZnC845l7y00RrSLxiTM84ZQ1pIkvjv1ykufwb slhOXPius5rKNnKbY280n6zO0XnAQBn9X/z7kjvB5f6Hmm9QSwECFAAUAAAACACHTuJAWuMRZvcA AADiAQAAEwAAAAAAAAABACAAAACLAgAAW0NvbnRlbnRfVHlwZXNdLnhtbFBLAQIUAAoAAAAAAIdO 4kAAAAAAAAAAAAAAAAAGAAAAAAAAAAAAEAAAAHIBAABfcmVscy9QSwECFAAUAAAACACHTuJA1Vwm KMwAAACPAQAACwAAAAAAAAABACAAAACWAQAAX3JlbHMvLnJlbHNQSwECFAAKAAAAAACHTuJAAAAA AAAAAAAAAAAABAAAAAAAAAAAABAAAAAAAAAAZHJzL1BLAQIUABQAAAAIAIdO4kBq9/DEugAAANsA AAAPAAAAAAAAAAEAIAAAACIAAABkcnMvZG93bnJldi54bWxQSwECFAAUAAAACACHTuJAMy8FnjsA AAA5AAAAEAAAAAAAAAABACAAAAAJAQAAZHJzL3NoYXBleG1sLnhtbFBLBQYAAAAABgAGAFsBAACz AwAAAAA= ">
                  <v:fill on="t" focussize="0,0"/>
                  <v:stroke color="#000000" joinstyle="miter"/>
                  <v:imagedata o:title=""/>
                  <o:lock v:ext="edit" aspectratio="f"/>
                  <v:textbox>
                    <w:txbxContent>
                      <w:p>
                        <w:r>
                          <w:rPr>
                            <w:rFonts w:hint="eastAsia"/>
                          </w:rPr>
                          <w:t>物联网类</w:t>
                        </w:r>
                      </w:p>
                    </w:txbxContent>
                  </v:textbox>
                </v:shape>
                <v:line id="直线 191" o:spid="_x0000_s1026" o:spt="20" style="position:absolute;left:4800;top:398753;height:1;width:150;" filled="f" stroked="t" coordsize="21600,21600" o:gfxdata="UEsDBAoAAAAAAIdO4kAAAAAAAAAAAAAAAAAEAAAAZHJzL1BLAwQUAAAACACHTuJAW8NaLr0AAADb AAAADwAAAGRycy9kb3ducmV2LnhtbEWPzYvCMBTE74L/Q3gLe5E1qSuyVKMHteDBi194fTTPtmzz UpusX3/9RhA8DjPzG2Yyu9laXKj1lWMNSV+BIM6dqbjQsN9lXz8gfEA2WDsmDXfyMJt2OxNMjbvy hi7bUIgIYZ+ihjKEJpXS5yVZ9H3XEEfv5FqLIcq2kKbFa4TbWg6UGkmLFceFEhual5T/bv+sBp8d 6Jw9enlPHb8LR4PzYr1ErT8/EjUGEegW3uFXe2U0DBN4fok/QE7/AV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Bbw1ouvQAA ANsAAAAPAAAAAAAAAAEAIAAAACIAAABkcnMvZG93bnJldi54bWxQSwECFAAUAAAACACHTuJAMy8F njsAAAA5AAAAEAAAAAAAAAABACAAAAAMAQAAZHJzL3NoYXBleG1sLnhtbFBLBQYAAAAABgAGAFsB AAC2AwAAAAA= ">
                  <v:fill on="f" focussize="0,0"/>
                  <v:stroke color="#000000" joinstyle="round"/>
                  <v:imagedata o:title=""/>
                  <o:lock v:ext="edit" aspectratio="f"/>
                </v:line>
                <v:shape id="文本框 189" o:spid="_x0000_s1026" o:spt="202" type="#_x0000_t202" style="position:absolute;left:4965;top:398048;height:1634;width:2250;" fillcolor="#FFFFFF" filled="t" stroked="t" coordsize="21600,21600" o:gfxdata="UEsDBAoAAAAAAIdO4kAAAAAAAAAAAAAAAAAEAAAAZHJzL1BLAwQUAAAACACHTuJA9WnLKL8AAADb AAAADwAAAGRycy9kb3ducmV2LnhtbEWPT2vCQBTE74LfYXlCL1I3/sHa1E0OhUp6a1X0+sg+k2D2 bdzdxvTbdwuFHoeZ+Q2zzQfTip6cbywrmM8SEMSl1Q1XCo6Ht8cNCB+QNbaWScE3eciz8WiLqbZ3 /qR+HyoRIexTVFCH0KVS+rImg35mO+LoXawzGKJ0ldQO7xFuWrlIkrU02HBcqLGj15rK6/7LKNis iv7s35cfp3J9aZ/D9Knf3ZxSD5N58gIi0BD+w3/tQitYLeD3S/wBMvsBUEsDBBQAAAAIAIdO4kAz LwWeOwAAADkAAAAQAAAAZHJzL3NoYXBleG1sLnhtbLOxr8jNUShLLSrOzM+zVTLUM1BSSM1Lzk/J zEu3VQoNcdO1UFIoLknMS0nMyc9LtVWqTC1Wsrfj5QIAUEsDBAoAAAAAAIdO4kAAAAAAAAAAAAAA AAAGAAAAX3JlbHMvUEsDBBQAAAAIAIdO4kDVXCYozAAAAI8BAAALAAAAX3JlbHMvLnJlbHOlkLFq AzEMhvdA38Fo7/mSoZQQX7ZC1pBCV2Hr7kzOlrHMNXn7uJRCL2TLoEG/0PcJ7faXMKmZsniOBtZN C4qiZefjYODz9PH6DkoKRocTRzJwJYF997LaHWnCUpdk9ElUpUQxMJaStlqLHSmgNJwo1knPOWCp bR50QnvGgfSmbd90/s+AbsFUB2cgH9wG1OmaqvmOHbzNLNyXxnLQ3PfePqJqGTHRV5gqBvNAxYDL 8pvW05paoB+b10+aHX/HI81L8U+Yaf7z6sUbuxtQSwMEFAAAAAgAh07iQFrjEWb3AAAA4gEAABMA AABbQ29udGVudF9UeXBlc10ueG1slZFNT8QgEIbvJv4HMlfTUj0YY0r3YPWoRtcfMIFpS7YFwmDd /ffS/bgY18QjzLzP+wTq1XYaxUyRrXcKrssKBDntjXW9go/1U3EHghM6g6N3pGBHDKvm8qJe7wKx yGnHCoaUwr2UrAeakEsfyOVJ5+OEKR9jLwPqDfYkb6rqVmrvErlUpIUBTd1Sh59jEo/bfH0wiTQy iIfD4tKlAEMYrcaUTeXszI+W4thQ5uR+hwcb+CprgPy1YZmcLzjmXvLTRGtIvGJMzzhlDWkiS+O/ XKS5/BuyWE5c+K6zmso2cptjbzSfrM7RecBAGf1f/PuSO8Hl/oeab1BLAQIUABQAAAAIAIdO4kBa 4xFm9wAAAOIBAAATAAAAAAAAAAEAIAAAAJACAABbQ29udGVudF9UeXBlc10ueG1sUEsBAhQACgAA AAAAh07iQAAAAAAAAAAAAAAAAAYAAAAAAAAAAAAQAAAAdwEAAF9yZWxzL1BLAQIUABQAAAAIAIdO 4kDVXCYozAAAAI8BAAALAAAAAAAAAAEAIAAAAJsBAABfcmVscy8ucmVsc1BLAQIUAAoAAAAAAIdO 4kAAAAAAAAAAAAAAAAAEAAAAAAAAAAAAEAAAAAAAAABkcnMvUEsBAhQAFAAAAAgAh07iQPVpyyi/ AAAA2wAAAA8AAAAAAAAAAQAgAAAAIgAAAGRycy9kb3ducmV2LnhtbFBLAQIUABQAAAAIAIdO4kAz LwWeOwAAADkAAAAQAAAAAAAAAAEAIAAAAA4BAABkcnMvc2hhcGV4bWwueG1sUEsFBgAAAAAGAAYA WwEAALgDAAAAAA== ">
                  <v:fill on="t" focussize="0,0"/>
                  <v:stroke color="#000000" joinstyle="miter"/>
                  <v:imagedata o:title=""/>
                  <o:lock v:ext="edit" aspectratio="f"/>
                  <v:textbox>
                    <w:txbxContent>
                      <w:p>
                        <w:r>
                          <w:rPr>
                            <w:rFonts w:hint="eastAsia"/>
                          </w:rPr>
                          <w:t>电气报警</w:t>
                        </w:r>
                      </w:p>
                      <w:p>
                        <w:r>
                          <w:rPr>
                            <w:rFonts w:hint="eastAsia"/>
                          </w:rPr>
                          <w:t>水压、水位、水温</w:t>
                        </w:r>
                      </w:p>
                      <w:p>
                        <w:r>
                          <w:rPr>
                            <w:rFonts w:hint="eastAsia"/>
                          </w:rPr>
                          <w:t>气体系统压力</w:t>
                        </w:r>
                      </w:p>
                      <w:p>
                        <w:r>
                          <w:rPr>
                            <w:rFonts w:hint="eastAsia"/>
                          </w:rPr>
                          <w:t>燃气系统报警</w:t>
                        </w:r>
                      </w:p>
                      <w:p>
                        <w:r>
                          <w:rPr>
                            <w:rFonts w:hint="eastAsia"/>
                          </w:rPr>
                          <w:t>温度异常报警</w:t>
                        </w:r>
                      </w:p>
                    </w:txbxContent>
                  </v:textbox>
                </v:shape>
                <v:shape id="文本框 192" o:spid="_x0000_s1026" o:spt="202" type="#_x0000_t202" style="position:absolute;left:4260;top:399895;height:1080;width:510;" fillcolor="#FFFFFF" filled="t" stroked="t" coordsize="21600,21600" o:gfxdata="UEsDBAoAAAAAAIdO4kAAAAAAAAAAAAAAAAAEAAAAZHJzL1BLAwQUAAAACACHTuJAmiVus70AAADb AAAADwAAAGRycy9kb3ducmV2LnhtbEWPS4sCMRCE78L+h9ALXkQzPvAxGj0ILnrzxe61mbQzw046 s0l21H9vBMFjUVVfUYvVzVSiIedLywr6vQQEcWZ1ybmC82nTnYLwAVljZZkU3MnDavnRWmCq7ZUP 1BxDLiKEfYoKihDqVEqfFWTQ92xNHL2LdQZDlC6X2uE1wk0lB0kylgZLjgsF1rQuKPs9/hsF09G2 +fG74f47G1+qWehMmq8/p1T7s5/MQQS6hXf41d5qBaMhPL/EHyCXD1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CaJW6zvQAA ANsAAAAPAAAAAAAAAAEAIAAAACIAAABkcnMvZG93bnJldi54bWxQSwECFAAUAAAACACHTuJAMy8F njsAAAA5AAAAEAAAAAAAAAABACAAAAAMAQAAZHJzL3NoYXBleG1sLnhtbFBLBQYAAAAABgAGAFsB AAC2AwAAAAA= ">
                  <v:fill on="t" focussize="0,0"/>
                  <v:stroke color="#000000" joinstyle="miter"/>
                  <v:imagedata o:title=""/>
                  <o:lock v:ext="edit" aspectratio="f"/>
                  <v:textbox>
                    <w:txbxContent>
                      <w:p>
                        <w:r>
                          <w:rPr>
                            <w:rFonts w:hint="eastAsia"/>
                          </w:rPr>
                          <w:t>消防类</w:t>
                        </w:r>
                      </w:p>
                    </w:txbxContent>
                  </v:textbox>
                </v:shape>
                <v:line id="直线 193" o:spid="_x0000_s1026" o:spt="20" style="position:absolute;left:4770;top:400416;height:1;width:2716;" filled="f" stroked="t" coordsize="21600,21600" o:gfxdata="UEsDBAoAAAAAAIdO4kAAAAAAAAAAAAAAAAAEAAAAZHJzL1BLAwQUAAAACACHTuJAS7T5tr4AAADb AAAADwAAAGRycy9kb3ducmV2LnhtbEWPQWvCQBSE74L/YXlCL2J2jaGU6OpBG+jBi7al10f2NQnN vo3ZbUz7691CweMwM98wm91oWzFQ7xvHGpaJAkFcOtNwpeHttVg8gfAB2WDrmDT8kIfddjrZYG7c lU80nEMlIoR9jhrqELpcSl/WZNEnriOO3qfrLYYo+0qaHq8RbluZKvUoLTYcF2rsaF9T+XX+thp8 8U6X4ndeztXHqnKUXg7HZ9T6YbZUaxCBxnAP/7dfjIYsg78v8QfI7Q1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S7T5tr4A AADbAAAADwAAAAAAAAABACAAAAAiAAAAZHJzL2Rvd25yZXYueG1sUEsBAhQAFAAAAAgAh07iQDMv BZ47AAAAOQAAABAAAAAAAAAAAQAgAAAADQEAAGRycy9zaGFwZXhtbC54bWxQSwUGAAAAAAYABgBb AQAAtwMAAAAA ">
                  <v:fill on="f" focussize="0,0"/>
                  <v:stroke color="#000000" joinstyle="round"/>
                  <v:imagedata o:title=""/>
                  <o:lock v:ext="edit" aspectratio="f"/>
                </v:line>
                <v:line id="直线 194" o:spid="_x0000_s1026" o:spt="20" style="position:absolute;left:7230;top:395796;height:1;width:299;" filled="f" stroked="t" coordsize="21600,21600" o:gfxdata="UEsDBAoAAAAAAIdO4kAAAAAAAAAAAAAAAAAEAAAAZHJzL1BLAwQUAAAACACHTuJAJPhcLb8AAADb AAAADwAAAGRycy9kb3ducmV2LnhtbEWPS2vDMBCE74X8B7GBXkIi2W1KcaP40MbQQy95lFwXa2ub WivbUh7Nr48KgRyHmfmGWeRn24ojDb5xrCGZKRDEpTMNVxp222L6CsIHZIOtY9LwRx7y5ehhgZlx J17TcRMqESHsM9RQh9BlUvqyJot+5jri6P24wWKIcqikGfAU4baVqVIv0mLDcaHGjt5rKn83B6vB F9/UF5dJOVH7p8pR2n98rVDrx3Gi3kAEOod7+Nb+NBqe5/D/Jf4AubwCUEsDBBQAAAAIAIdO4kAz LwWeOwAAADkAAAAQAAAAZHJzL3NoYXBleG1sLnhtbLOxr8jNUShLLSrOzM+zVTLUM1BSSM1Lzk/J zEu3VQoNcdO1UFIoLknMS0nMyc9LtVWqTC1Wsrfj5QIAUEsDBAoAAAAAAIdO4kAAAAAAAAAAAAAA AAAGAAAAX3JlbHMvUEsDBBQAAAAIAIdO4kDVXCYozAAAAI8BAAALAAAAX3JlbHMvLnJlbHOlkLFq AzEMhvdA38Fo7/mSoZQQX7ZC1pBCV2Hr7kzOlrHMNXn7uJRCL2TLoEG/0PcJ7faXMKmZsniOBtZN C4qiZefjYODz9PH6DkoKRocTRzJwJYF997LaHWnCUpdk9ElUpUQxMJaStlqLHSmgNJwo1knPOWCp bR50QnvGgfSmbd90/s+AbsFUB2cgH9wG1OmaqvmOHbzNLNyXxnLQ3PfePqJqGTHRV5gqBvNAxYDL 8pvW05paoB+b10+aHX/HI81L8U+Yaf7z6sUbuxtQSwMEFAAAAAgAh07iQFrjEWb3AAAA4gEAABMA AABbQ29udGVudF9UeXBlc10ueG1slZFNT8QgEIbvJv4HMlfTUj0YY0r3YPWoRtcfMIFpS7YFwmDd /ffS/bgY18QjzLzP+wTq1XYaxUyRrXcKrssKBDntjXW9go/1U3EHghM6g6N3pGBHDKvm8qJe7wKx yGnHCoaUwr2UrAeakEsfyOVJ5+OEKR9jLwPqDfYkb6rqVmrvErlUpIUBTd1Sh59jEo/bfH0wiTQy iIfD4tKlAEMYrcaUTeXszI+W4thQ5uR+hwcb+CprgPy1YZmcLzjmXvLTRGtIvGJMzzhlDWkiS+O/ XKS5/BuyWE5c+K6zmso2cptjbzSfrM7RecBAGf1f/PuSO8Hl/oeab1BLAQIUABQAAAAIAIdO4kBa 4xFm9wAAAOIBAAATAAAAAAAAAAEAIAAAAJACAABbQ29udGVudF9UeXBlc10ueG1sUEsBAhQACgAA AAAAh07iQAAAAAAAAAAAAAAAAAYAAAAAAAAAAAAQAAAAdwEAAF9yZWxzL1BLAQIUABQAAAAIAIdO 4kDVXCYozAAAAI8BAAALAAAAAAAAAAEAIAAAAJsBAABfcmVscy8ucmVsc1BLAQIUAAoAAAAAAIdO 4kAAAAAAAAAAAAAAAAAEAAAAAAAAAAAAEAAAAAAAAABkcnMvUEsBAhQAFAAAAAgAh07iQCT4XC2/ AAAA2wAAAA8AAAAAAAAAAQAgAAAAIgAAAGRycy9kb3ducmV2LnhtbFBLAQIUABQAAAAIAIdO4kAz LwWeOwAAADkAAAAQAAAAAAAAAAEAIAAAAA4BAABkcnMvc2hhcGV4bWwueG1sUEsFBgAAAAAGAAYA WwEAALgDAAAAAA== ">
                  <v:fill on="f" focussize="0,0"/>
                  <v:stroke color="#000000" joinstyle="round"/>
                  <v:imagedata o:title=""/>
                  <o:lock v:ext="edit" aspectratio="f"/>
                </v:line>
                <v:line id="直线 195" o:spid="_x0000_s1026" o:spt="20" style="position:absolute;left:7230;top:398346;height:1;width:269;" filled="f" stroked="t" coordsize="21600,21600" o:gfxdata="UEsDBAoAAAAAAIdO4kAAAAAAAAAAAAAAAAAEAAAAZHJzL1BLAwQUAAAACACHTuJA1CrCWrwAAADb AAAADwAAAGRycy9kb3ducmV2LnhtbEWPS4sCMRCE7wv+h9CCF9HEByKj0YO7Ax724guvzaSdGZx0 xkl87a83grDHoqq+oubLh63EjRpfOtYw6CsQxJkzJeca9ru0NwXhA7LByjFpeJKH5aL1NcfEuDtv 6LYNuYgQ9glqKEKoEyl9VpBF33c1cfROrrEYomxyaRq8R7it5FCpibRYclwosKZVQdl5e7UafHqg S/rXzbrqOModDS/fvz+odac9UDMQgR7hP/xpr42G8QTeX+IPkIsXUEsDBBQAAAAIAIdO4kAzLwWe OwAAADkAAAAQAAAAZHJzL3NoYXBleG1sLnhtbLOxr8jNUShLLSrOzM+zVTLUM1BSSM1Lzk/JzEu3 VQoNcdO1UFIoLknMS0nMyc9LtVWqTC1Wsrfj5QIAUEsDBAoAAAAAAIdO4kAAAAAAAAAAAAAAAAAG AAAAX3JlbHMvUEsDBBQAAAAIAIdO4kDVXCYozAAAAI8BAAALAAAAX3JlbHMvLnJlbHOlkLFqAzEM hvdA38Fo7/mSoZQQX7ZC1pBCV2Hr7kzOlrHMNXn7uJRCL2TLoEG/0PcJ7faXMKmZsniOBtZNC4qi ZefjYODz9PH6DkoKRocTRzJwJYF997LaHWnCUpdk9ElUpUQxMJaStlqLHSmgNJwo1knPOWCpbR50 QnvGgfSmbd90/s+AbsFUB2cgH9wG1OmaqvmOHbzNLNyXxnLQ3PfePqJqGTHRV5gqBvNAxYDL8pvW 05paoB+b10+aHX/HI81L8U+Yaf7z6sUbuxtQSwMEFAAAAAgAh07iQFrjEWb3AAAA4gEAABMAAABb Q29udGVudF9UeXBlc10ueG1slZFNT8QgEIbvJv4HMlfTUj0YY0r3YPWoRtcfMIFpS7YFwmDd/ffS /bgY18QjzLzP+wTq1XYaxUyRrXcKrssKBDntjXW9go/1U3EHghM6g6N3pGBHDKvm8qJe7wKxyGnH CoaUwr2UrAeakEsfyOVJ5+OEKR9jLwPqDfYkb6rqVmrvErlUpIUBTd1Sh59jEo/bfH0wiTQyiIfD 4tKlAEMYrcaUTeXszI+W4thQ5uR+hwcb+CprgPy1YZmcLzjmXvLTRGtIvGJMzzhlDWkiS+O/XKS5 /BuyWE5c+K6zmso2cptjbzSfrM7RecBAGf1f/PuSO8Hl/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NQqwlq8AAAA 2wAAAA8AAAAAAAAAAQAgAAAAIgAAAGRycy9kb3ducmV2LnhtbFBLAQIUABQAAAAIAIdO4kAzLwWe OwAAADkAAAAQAAAAAAAAAAEAIAAAAAsBAABkcnMvc2hhcGV4bWwueG1sUEsFBgAAAAAGAAYAWwEA ALUDAAAAAA== ">
                  <v:fill on="f" focussize="0,0"/>
                  <v:stroke color="#000000" joinstyle="round"/>
                  <v:imagedata o:title=""/>
                  <o:lock v:ext="edit" aspectratio="f"/>
                </v:line>
                <v:line id="直线 196" o:spid="_x0000_s1026" o:spt="20" style="position:absolute;left:7545;top:395797;height:4636;width:1;" filled="f" stroked="t" coordsize="21600,21600" o:gfxdata="UEsDBAoAAAAAAIdO4kAAAAAAAAAAAAAAAAAEAAAAZHJzL1BLAwQUAAAACACHTuJAu2Znwb8AAADb AAAADwAAAGRycy9kb3ducmV2LnhtbEWPS2vDMBCE74X8B7GBXkIi2S1pcaP40MbQQy95lFwXa2ub WivbUh7Nr48KgRyHmfmGWeRn24ojDb5xrCGZKRDEpTMNVxp222L6CsIHZIOtY9LwRx7y5ehhgZlx J17TcRMqESHsM9RQh9BlUvqyJot+5jri6P24wWKIcqikGfAU4baVqVJzabHhuFBjR+81lb+bg9Xg i2/qi8uknKj9U+Uo7T++Vqj14zhRbyACncM9fGt/Gg3PL/D/Jf4AubwCUEsDBBQAAAAIAIdO4kAz LwWeOwAAADkAAAAQAAAAZHJzL3NoYXBleG1sLnhtbLOxr8jNUShLLSrOzM+zVTLUM1BSSM1Lzk/J zEu3VQoNcdO1UFIoLknMS0nMyc9LtVWqTC1Wsrfj5QIAUEsDBAoAAAAAAIdO4kAAAAAAAAAAAAAA AAAGAAAAX3JlbHMvUEsDBBQAAAAIAIdO4kDVXCYozAAAAI8BAAALAAAAX3JlbHMvLnJlbHOlkLFq AzEMhvdA38Fo7/mSoZQQX7ZC1pBCV2Hr7kzOlrHMNXn7uJRCL2TLoEG/0PcJ7faXMKmZsniOBtZN C4qiZefjYODz9PH6DkoKRocTRzJwJYF997LaHWnCUpdk9ElUpUQxMJaStlqLHSmgNJwo1knPOWCp bR50QnvGgfSmbd90/s+AbsFUB2cgH9wG1OmaqvmOHbzNLNyXxnLQ3PfePqJqGTHRV5gqBvNAxYDL 8pvW05paoB+b10+aHX/HI81L8U+Yaf7z6sUbuxtQSwMEFAAAAAgAh07iQFrjEWb3AAAA4gEAABMA AABbQ29udGVudF9UeXBlc10ueG1slZFNT8QgEIbvJv4HMlfTUj0YY0r3YPWoRtcfMIFpS7YFwmDd /ffS/bgY18QjzLzP+wTq1XYaxUyRrXcKrssKBDntjXW9go/1U3EHghM6g6N3pGBHDKvm8qJe7wKx yGnHCoaUwr2UrAeakEsfyOVJ5+OEKR9jLwPqDfYkb6rqVmrvErlUpIUBTd1Sh59jEo/bfH0wiTQy iIfD4tKlAEMYrcaUTeXszI+W4thQ5uR+hwcb+CprgPy1YZmcLzjmXvLTRGtIvGJMzzhlDWkiS+O/ XKS5/BuyWE5c+K6zmso2cptjbzSfrM7RecBAGf1f/PuSO8Hl/oeab1BLAQIUABQAAAAIAIdO4kBa 4xFm9wAAAOIBAAATAAAAAAAAAAEAIAAAAJACAABbQ29udGVudF9UeXBlc10ueG1sUEsBAhQACgAA AAAAh07iQAAAAAAAAAAAAAAAAAYAAAAAAAAAAAAQAAAAdwEAAF9yZWxzL1BLAQIUABQAAAAIAIdO 4kDVXCYozAAAAI8BAAALAAAAAAAAAAEAIAAAAJsBAABfcmVscy8ucmVsc1BLAQIUAAoAAAAAAIdO 4kAAAAAAAAAAAAAAAAAEAAAAAAAAAAAAEAAAAAAAAABkcnMvUEsBAhQAFAAAAAgAh07iQLtmZ8G/ AAAA2wAAAA8AAAAAAAAAAQAgAAAAIgAAAGRycy9kb3ducmV2LnhtbFBLAQIUABQAAAAIAIdO4kAz LwWeOwAAADkAAAAQAAAAAAAAAAEAIAAAAA4BAABkcnMvc2hhcGV4bWwueG1sUEsFBgAAAAAGAAYA WwEAALgDAAAAAA== ">
                  <v:fill on="f" focussize="0,0"/>
                  <v:stroke color="#000000" joinstyle="round"/>
                  <v:imagedata o:title=""/>
                  <o:lock v:ext="edit" aspectratio="f"/>
                </v:line>
                <v:line id="直线 198" o:spid="_x0000_s1026" o:spt="20" style="position:absolute;left:7515;top:398798;height:1;width:180;" filled="f" stroked="t" coordsize="21600,21600" o:gfxdata="UEsDBAoAAAAAAIdO4kAAAAAAAAAAAAAAAAAEAAAAZHJzL1BLAwQUAAAACACHTuJAyvnzs7oAAADb AAAADwAAAGRycy9kb3ducmV2LnhtbEVPy4rCMBTdC/5DuIIb0URHRKppFzoFF7PRGXF7aa5tsbmp TcbX15vFwCwP573OHrYRN+p87VjDdKJAEBfO1Fxq+PnOx0sQPiAbbByThid5yNJ+b42JcXfe0+0Q ShFD2CeooQqhTaT0RUUW/cS1xJE7u85iiLArpenwHsNtI2dKLaTFmmNDhS1tKiouh1+rwedHuuav UTFSp4/S0ey6/fpErYeDqVqBCPQI/+I/985omMex8Uv8ATJ9A1BLAwQUAAAACACHTuJAMy8FnjsA AAA5AAAAEAAAAGRycy9zaGFwZXhtbC54bWyzsa/IzVEoSy0qzszPs1Uy1DNQUkjNS85PycxLt1UK DXHTtVBSKC5JzEtJzMnPS7VVqkwtVrK34+UCAFBLAwQKAAAAAACHTuJAAAAAAAAAAAAAAAAABgAA AF9yZWxzL1BLAwQUAAAACACHTuJA1VwmKMwAAACPAQAACwAAAF9yZWxzLy5yZWxzpZCxagMxDIb3 QN/BaO/5kqGUEF+2QtaQQldh6+5MzpaxzDV5+7iUQi9ky6BBv9D3Ce32lzCpmbJ4jgbWTQuKomXn 42Dg8/Tx+g5KCkaHE0cycCWBffey2h1pwlKXZPRJVKVEMTCWkrZaix0poDScKNZJzzlgqW0edEJ7 xoH0pm3fdP7PgG7BVAdnIB/cBtTpmqr5jh28zSzcl8Zy0Nz33j6iahkx0VeYKgbzQMWAy/Kb1tOa WqAfm9dPmh1/xyPNS/FPmGn+8+rFG7sbUEsDBBQAAAAIAIdO4kBa4xFm9wAAAOIBAAATAAAAW0Nv bnRlbnRfVHlwZXNdLnhtbJWRTU/EIBCG7yb+BzJX01I9GGNK92D1qEbXHzCBaUu2BcJg3f330v24 GNfEI8y8z/sE6tV2GsVMka13Cq7LCgQ57Y11vYKP9VNxB4ITOoOjd6RgRwyr5vKiXu8CschpxwqG lMK9lKwHmpBLH8jlSefjhCkfYy8D6g32JG+q6lZq7xK5VKSFAU3dUoefYxKP23x9MIk0MoiHw+LS pQBDGK3GlE3l7MyPluLYUObkfocHG/gqa4D8tWGZnC845l7y00RrSLxiTM84ZQ1pIkvjv1ykufwb slhOXPius5rKNnKbY280n6zO0XnAQBn9X/z7kjvB5f6Hmm9QSwECFAAUAAAACACHTuJAWuMRZvcA AADiAQAAEwAAAAAAAAABACAAAACLAgAAW0NvbnRlbnRfVHlwZXNdLnhtbFBLAQIUAAoAAAAAAIdO 4kAAAAAAAAAAAAAAAAAGAAAAAAAAAAAAEAAAAHIBAABfcmVscy9QSwECFAAUAAAACACHTuJA1Vwm KMwAAACPAQAACwAAAAAAAAABACAAAACWAQAAX3JlbHMvLnJlbHNQSwECFAAKAAAAAACHTuJAAAAA AAAAAAAAAAAABAAAAAAAAAAAABAAAAAAAAAAZHJzL1BLAQIUABQAAAAIAIdO4kDK+fOzugAAANsA AAAPAAAAAAAAAAEAIAAAACIAAABkcnMvZG93bnJldi54bWxQSwECFAAUAAAACACHTuJAMy8FnjsA AAA5AAAAEAAAAAAAAAABACAAAAAJAQAAZHJzL3NoYXBleG1sLnhtbFBLBQYAAAAABgAGAFsBAACz AwAAAAA= ">
                  <v:fill on="f" focussize="0,0"/>
                  <v:stroke color="#000000" joinstyle="round"/>
                  <v:imagedata o:title=""/>
                  <o:lock v:ext="edit" aspectratio="f"/>
                </v:line>
                <v:shape id="文本框 199" o:spid="_x0000_s1026" o:spt="202" type="#_x0000_t202" style="position:absolute;left:7695;top:397733;height:2040;width:525;" fillcolor="#FFFFFF" filled="t" stroked="t" coordsize="21600,21600" o:gfxdata="UEsDBAoAAAAAAIdO4kAAAAAAAAAAAAAAAAAEAAAAZHJzL1BLAwQUAAAACACHTuJA+81ZWb4AAADb AAAADwAAAGRycy9kb3ducmV2LnhtbEWPQWvCQBSE70L/w/IKvUjdpJVUU1cPQku8qS3t9ZF9JqHZ t3F3G+O/dwXB4zAz3zCL1WBa0ZPzjWUF6SQBQVxa3XCl4Pvr43kGwgdkja1lUnAmD6vlw2iBubYn 3lG/D5WIEPY5KqhD6HIpfVmTQT+xHXH0DtYZDFG6SmqHpwg3rXxJkkwabDgu1NjRuqbyb/9vFMym Rf/rN6/bnzI7tPMwfus/j06pp8c0eQcRaAj38K1daAXTOVy/xB8glxd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81ZWb4A AADbAAAADwAAAAAAAAABACAAAAAiAAAAZHJzL2Rvd25yZXYueG1sUEsBAhQAFAAAAAgAh07iQDMv BZ47AAAAOQAAABAAAAAAAAAAAQAgAAAADQEAAGRycy9zaGFwZXhtbC54bWxQSwUGAAAAAAYABgBb AQAAtwMAAAAA ">
                  <v:fill on="t" focussize="0,0"/>
                  <v:stroke color="#000000" joinstyle="miter"/>
                  <v:imagedata o:title=""/>
                  <o:lock v:ext="edit" aspectratio="f"/>
                  <v:textbox>
                    <w:txbxContent>
                      <w:p>
                        <w:pPr>
                          <w:rPr>
                            <w:bCs/>
                            <w:sz w:val="24"/>
                          </w:rPr>
                        </w:pPr>
                        <w:r>
                          <w:rPr>
                            <w:rFonts w:hint="eastAsia"/>
                            <w:bCs/>
                            <w:sz w:val="24"/>
                          </w:rPr>
                          <w:t>一体报警中心</w:t>
                        </w:r>
                      </w:p>
                    </w:txbxContent>
                  </v:textbox>
                </v:shape>
                <v:line id="直线 200" o:spid="_x0000_s1026" o:spt="20" style="position:absolute;left:8220;top:398312;height:1;width:748;" filled="f" stroked="t" coordsize="21600,21600" o:gfxdata="UEsDBAoAAAAAAIdO4kAAAAAAAAAAAAAAAAAEAAAAZHJzL1BLAwQUAAAACACHTuJAsVZpaLoAAADb AAAADwAAAGRycy9kb3ducmV2LnhtbEVPy4rCMBTdC/5DuIIb0UQHRappFzoFF7PRGXF7aa5tsbmp TcbX15vFwCwP573OHrYRN+p87VjDdKJAEBfO1Fxq+PnOx0sQPiAbbByThid5yNJ+b42JcXfe0+0Q ShFD2CeooQqhTaT0RUUW/cS1xJE7u85iiLArpenwHsNtI2dKLaTFmmNDhS1tKiouh1+rwedHuuav UTFSp4/S0ey6/fpErYeDqVqBCPQI/+I/985omMf18Uv8ATJ9A1BLAwQUAAAACACHTuJAMy8FnjsA AAA5AAAAEAAAAGRycy9zaGFwZXhtbC54bWyzsa/IzVEoSy0qzszPs1Uy1DNQUkjNS85PycxLt1UK DXHTtVBSKC5JzEtJzMnPS7VVqkwtVrK34+UCAFBLAwQKAAAAAACHTuJAAAAAAAAAAAAAAAAABgAA AF9yZWxzL1BLAwQUAAAACACHTuJA1VwmKMwAAACPAQAACwAAAF9yZWxzLy5yZWxzpZCxagMxDIb3 QN/BaO/5kqGUEF+2QtaQQldh6+5MzpaxzDV5+7iUQi9ky6BBv9D3Ce32lzCpmbJ4jgbWTQuKomXn 42Dg8/Tx+g5KCkaHE0cycCWBffey2h1pwlKXZPRJVKVEMTCWkrZaix0poDScKNZJzzlgqW0edEJ7 xoH0pm3fdP7PgG7BVAdnIB/cBtTpmqr5jh28zSzcl8Zy0Nz33j6iahkx0VeYKgbzQMWAy/Kb1tOa WqAfm9dPmh1/xyPNS/FPmGn+8+rFG7sbUEsDBBQAAAAIAIdO4kBa4xFm9wAAAOIBAAATAAAAW0Nv bnRlbnRfVHlwZXNdLnhtbJWRTU/EIBCG7yb+BzJX01I9GGNK92D1qEbXHzCBaUu2BcJg3f330v24 GNfEI8y8z/sE6tV2GsVMka13Cq7LCgQ57Y11vYKP9VNxB4ITOoOjd6RgRwyr5vKiXu8CschpxwqG lMK9lKwHmpBLH8jlSefjhCkfYy8D6g32JG+q6lZq7xK5VKSFAU3dUoefYxKP23x9MIk0MoiHw+LS pQBDGK3GlE3l7MyPluLYUObkfocHG/gqa4D8tWGZnC845l7y00RrSLxiTM84ZQ1pIkvjv1ykufwb slhOXPius5rKNnKbY280n6zO0XnAQBn9X/z7kjvB5f6Hmm9QSwECFAAUAAAACACHTuJAWuMRZvcA AADiAQAAEwAAAAAAAAABACAAAACLAgAAW0NvbnRlbnRfVHlwZXNdLnhtbFBLAQIUAAoAAAAAAIdO 4kAAAAAAAAAAAAAAAAAGAAAAAAAAAAAAEAAAAHIBAABfcmVscy9QSwECFAAUAAAACACHTuJA1Vwm KMwAAACPAQAACwAAAAAAAAABACAAAACWAQAAX3JlbHMvLnJlbHNQSwECFAAKAAAAAACHTuJAAAAA AAAAAAAAAAAABAAAAAAAAAAAABAAAAAAAAAAZHJzL1BLAQIUABQAAAAIAIdO4kCxVmlougAAANsA AAAPAAAAAAAAAAEAIAAAACIAAABkcnMvZG93bnJldi54bWxQSwECFAAUAAAACACHTuJAMy8FnjsA AAA5AAAAEAAAAAAAAAABACAAAAAJAQAAZHJzL3NoYXBleG1sLnhtbFBLBQYAAAAABgAGAFsBAACz AwAAAAA= ">
                  <v:fill on="f" focussize="0,0"/>
                  <v:stroke color="#000000" joinstyle="round"/>
                  <v:imagedata o:title=""/>
                  <o:lock v:ext="edit" aspectratio="f"/>
                </v:line>
                <v:line id="直线 201" o:spid="_x0000_s1026" o:spt="20" style="position:absolute;left:8985;top:396317;height:3346;width:1;" filled="f" stroked="t" coordsize="21600,21600" o:gfxdata="UEsDBAoAAAAAAIdO4kAAAAAAAAAAAAAAAAAEAAAAZHJzL1BLAwQUAAAACACHTuJA3hrM870AAADb AAAADwAAAGRycy9kb3ducmV2LnhtbEWPzYvCMBTE74L/Q3gLe5E1qYuyVKMHteDBi194fTTPtmzz UpusX3/9RhA8DjPzG2Yyu9laXKj1lWMNSV+BIM6dqbjQsN9lXz8gfEA2WDsmDXfyMJt2OxNMjbvy hi7bUIgIYZ+ihjKEJpXS5yVZ9H3XEEfv5FqLIcq2kKbFa4TbWg6UGkmLFceFEhual5T/bv+sBp8d 6Jw9enlPHb8LR4PzYr1ErT8/EjUGEegW3uFXe2U0DBN4fok/QE7/AV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DeGszzvQAA ANsAAAAPAAAAAAAAAAEAIAAAACIAAABkcnMvZG93bnJldi54bWxQSwECFAAUAAAACACHTuJAMy8F njsAAAA5AAAAEAAAAAAAAAABACAAAAAMAQAAZHJzL3NoYXBleG1sLnhtbFBLBQYAAAAABgAGAFsB AAC2AwAAAAA= ">
                  <v:fill on="f" focussize="0,0"/>
                  <v:stroke color="#000000" joinstyle="round"/>
                  <v:imagedata o:title=""/>
                  <o:lock v:ext="edit" aspectratio="f"/>
                </v:line>
                <v:line id="直线 202" o:spid="_x0000_s1026" o:spt="20" style="position:absolute;left:8955;top:396349;height:1;width:450;" filled="f" stroked="t" coordsize="21600,21600" o:gfxdata="UEsDBAoAAAAAAIdO4kAAAAAAAAAAAAAAAAAEAAAAZHJzL1BLAwQUAAAACACHTuJAO3tPKL4AAADb AAAADwAAAGRycy9kb3ducmV2LnhtbEWPQWvCQBSE7wX/w/IEL0U3EVJKdM1BKWhpD40Vr4/sMxvM vg3ZbZL++26h0OMwM98w22KyrRio941jBekqAUFcOd1wreDz/LJ8BuEDssbWMSn4Jg/FbvawxVy7 kT9oKEMtIoR9jgpMCF0upa8MWfQr1xFH7+Z6iyHKvpa6xzHCbSvXSfIkLTYcFwx2tDdU3csvq6C+ jCd9fLuWt/ZyOL9mj8a820mpxTxNNiACTeE//Nc+agXZGn6/xB8gdz9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O3tPKL4A AADbAAAADwAAAAAAAAABACAAAAAiAAAAZHJzL2Rvd25yZXYueG1sUEsBAhQAFAAAAAgAh07iQDMv BZ47AAAAOQAAABAAAAAAAAAAAQAgAAAADQEAAGRycy9zaGFwZXhtbC54bWxQSwUGAAAAAAYABgBb AQAAtwMAAAAA ">
                  <v:fill on="f" focussize="0,0"/>
                  <v:stroke color="#000000" joinstyle="round" endarrow="open"/>
                  <v:imagedata o:title=""/>
                  <o:lock v:ext="edit" aspectratio="f"/>
                </v:line>
                <v:line id="直线 203" o:spid="_x0000_s1026" o:spt="20" style="position:absolute;left:8985;top:397549;height:1;width:450;" filled="f" stroked="t" coordsize="21600,21600" o:gfxdata="UEsDBAoAAAAAAIdO4kAAAAAAAAAAAAAAAAAEAAAAZHJzL1BLAwQUAAAACACHTuJAVDfqs74AAADb AAAADwAAAGRycy9kb3ducmV2LnhtbEWPQWvCQBSE7wX/w/IEL6IbFUtJs3pQCir10Fjx+si+ZEOz b0N2a+K/7xYKPQ4z8w2TbQfbiDt1vnasYDFPQBAXTtdcKfi8vM1eQPiArLFxTAoe5GG7GT1lmGrX 8wfd81CJCGGfogITQptK6QtDFv3ctcTRK11nMUTZVVJ32Ee4beQySZ6lxZrjgsGWdoaKr/zbKqiu /VEf3m952Vz3l9N6aszZDkpNxovkFUSgIfyH/9oHrWC9gt8v8QfIzQ9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VDfqs74A AADbAAAADwAAAAAAAAABACAAAAAiAAAAZHJzL2Rvd25yZXYueG1sUEsBAhQAFAAAAAgAh07iQDMv BZ47AAAAOQAAABAAAAAAAAAAAQAgAAAADQEAAGRycy9zaGFwZXhtbC54bWxQSwUGAAAAAAYABgBb AQAAtwMAAAAA ">
                  <v:fill on="f" focussize="0,0"/>
                  <v:stroke color="#000000" joinstyle="round" endarrow="open"/>
                  <v:imagedata o:title=""/>
                  <o:lock v:ext="edit" aspectratio="f"/>
                </v:line>
                <v:line id="直线 204" o:spid="_x0000_s1026" o:spt="20" style="position:absolute;left:8970;top:398629;height:1;width:450;" filled="f" stroked="t" coordsize="21600,21600" o:gfxdata="UEsDBAoAAAAAAIdO4kAAAAAAAAAAAAAAAAAEAAAAZHJzL1BLAwQUAAAACACHTuJA295yx74AAADb AAAADwAAAGRycy9kb3ducmV2LnhtbEWPQWvCQBSE7wX/w/IEL6IbRUtJs3pQCir10Fjx+si+ZEOz b0N2a+K/7xYKPQ4z8w2TbQfbiDt1vnasYDFPQBAXTtdcKfi8vM1eQPiArLFxTAoe5GG7GT1lmGrX 8wfd81CJCGGfogITQptK6QtDFv3ctcTRK11nMUTZVVJ32Ee4beQySZ6lxZrjgsGWdoaKr/zbKqiu /VEf3m952Vz3l9N6aszZDkpNxovkFUSgIfyH/9oHrWC9gt8v8QfIzQ9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295yx74A AADbAAAADwAAAAAAAAABACAAAAAiAAAAZHJzL2Rvd25yZXYueG1sUEsBAhQAFAAAAAgAh07iQDMv BZ47AAAAOQAAABAAAAAAAAAAAQAgAAAADQEAAGRycy9zaGFwZXhtbC54bWxQSwUGAAAAAAYABgBb AQAAtwMAAAAA ">
                  <v:fill on="f" focussize="0,0"/>
                  <v:stroke color="#000000" joinstyle="round" endarrow="open"/>
                  <v:imagedata o:title=""/>
                  <o:lock v:ext="edit" aspectratio="f"/>
                </v:line>
                <v:line id="直线 205" o:spid="_x0000_s1026" o:spt="20" style="position:absolute;left:8985;top:399663;height:1;width:450;" filled="f" stroked="t" coordsize="21600,21600" o:gfxdata="UEsDBAoAAAAAAIdO4kAAAAAAAAAAAAAAAAAEAAAAZHJzL1BLAwQUAAAACACHTuJAtJLXXL4AAADb AAAADwAAAGRycy9kb3ducmV2LnhtbEWPQWvCQBSE7wX/w/IEL0U3CimSZvVQEVTaQ6PS6yP7kg3N vg3Z1cR/3y0Uehxm5hsm3462FXfqfeNYwXKRgCAunW64VnA57+drED4ga2wdk4IHedhuJk85ZtoN /En3ItQiQthnqMCE0GVS+tKQRb9wHXH0KtdbDFH2tdQ9DhFuW7lKkhdpseG4YLCjN0Pld3GzCurr cNSH96+iaq+78yl9NubDjkrNpsvkFUSgMfyH/9oHrSBN4fdL/AFy8wN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tJLXXL4A AADbAAAADwAAAAAAAAABACAAAAAiAAAAZHJzL2Rvd25yZXYueG1sUEsBAhQAFAAAAAgAh07iQDMv BZ47AAAAOQAAABAAAAAAAAAAAQAgAAAADQEAAGRycy9zaGFwZXhtbC54bWxQSwUGAAAAAAYABgBb AQAAtwMAAAAA ">
                  <v:fill on="f" focussize="0,0"/>
                  <v:stroke color="#000000" joinstyle="round" endarrow="open"/>
                  <v:imagedata o:title=""/>
                  <o:lock v:ext="edit" aspectratio="f"/>
                </v:line>
                <v:shape id="文本框 206" o:spid="_x0000_s1026" o:spt="202" type="#_x0000_t202" style="position:absolute;left:9405;top:396107;height:540;width:1754;" fillcolor="#FFFFFF" filled="t" stroked="t" coordsize="21600,21600" o:gfxdata="UEsDBAoAAAAAAIdO4kAAAAAAAAAAAAAAAAAEAAAAZHJzL1BLAwQUAAAACACHTuJAD4tb9r4AAADb AAAADwAAAGRycy9kb3ducmV2LnhtbEWPQWvCQBSE74X+h+UJXkrd2Npo02w8FBS9WSt6fWSfSTD7 Nt1do/33rlDocZiZb5h8fjWt6Mn5xrKC8SgBQVxa3XClYPe9eJ6B8AFZY2uZFPySh3nx+JBjpu2F v6jfhkpECPsMFdQhdJmUvqzJoB/Zjjh6R+sMhihdJbXDS4SbVr4kSSoNNhwXauzos6bytD0bBbPJ qj/49etmX6bH9j08Tfvlj1NqOBgnHyACXcN/+K+90greUrh/iT9AFjd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D4tb9r4A AADbAAAADwAAAAAAAAABACAAAAAiAAAAZHJzL2Rvd25yZXYueG1sUEsBAhQAFAAAAAgAh07iQDMv BZ47AAAAOQAAABAAAAAAAAAAAQAgAAAADQEAAGRycy9zaGFwZXhtbC54bWxQSwUGAAAAAAYABgBb AQAAtwMAAAAA ">
                  <v:fill on="t" focussize="0,0"/>
                  <v:stroke color="#000000" joinstyle="miter"/>
                  <v:imagedata o:title=""/>
                  <o:lock v:ext="edit" aspectratio="f"/>
                  <v:textbox>
                    <w:txbxContent>
                      <w:p>
                        <w:r>
                          <w:rPr>
                            <w:rFonts w:hint="eastAsia"/>
                          </w:rPr>
                          <w:t>安保人员查看</w:t>
                        </w:r>
                      </w:p>
                    </w:txbxContent>
                  </v:textbox>
                </v:shape>
                <v:shape id="文本框 207" o:spid="_x0000_s1026" o:spt="202" type="#_x0000_t202" style="position:absolute;left:9435;top:397217;height:734;width:1754;" fillcolor="#FFFFFF" filled="t" stroked="t" coordsize="21600,21600" o:gfxdata="UEsDBAoAAAAAAIdO4kAAAAAAAAAAAAAAAAAEAAAAZHJzL1BLAwQUAAAACACHTuJAYMf+bb0AAADb AAAADwAAAGRycy9kb3ducmV2LnhtbEWPS2/CMBCE75X4D9YicanAobwDhkOlVvTGS3BdxUsSEa+D bQL8+xqpUo+jmflGs1g9TCUacr60rKDfS0AQZ1aXnCs47L+6UxA+IGusLJOCJ3lYLVtvC0y1vfOW ml3IRYSwT1FBEUKdSumzggz6nq2Jo3e2zmCI0uVSO7xHuKnkR5KMpcGS40KBNX0WlF12N6NgOlw3 J/8z2Byz8bmahfdJ8311SnXa/WQOItAj/If/2mutYDSB15f4A+TyF1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Bgx/5tvQAA ANsAAAAPAAAAAAAAAAEAIAAAACIAAABkcnMvZG93bnJldi54bWxQSwECFAAUAAAACACHTuJAMy8F njsAAAA5AAAAEAAAAAAAAAABACAAAAAMAQAAZHJzL3NoYXBleG1sLnhtbFBLBQYAAAAABgAGAFsB AAC2AwAAAAA= ">
                  <v:fill on="t" focussize="0,0"/>
                  <v:stroke color="#000000" joinstyle="miter"/>
                  <v:imagedata o:title=""/>
                  <o:lock v:ext="edit" aspectratio="f"/>
                  <v:textbox>
                    <w:txbxContent>
                      <w:p>
                        <w:r>
                          <w:rPr>
                            <w:rFonts w:hint="eastAsia"/>
                          </w:rPr>
                          <w:t xml:space="preserve">物业技术人员查看 </w:t>
                        </w:r>
                      </w:p>
                    </w:txbxContent>
                  </v:textbox>
                </v:shape>
                <v:shape id="文本框 208" o:spid="_x0000_s1026" o:spt="202" type="#_x0000_t202" style="position:absolute;left:9420;top:398374;height:540;width:1754;" fillcolor="#FFFFFF" filled="t" stroked="t" coordsize="21600,21600" o:gfxdata="UEsDBAoAAAAAAIdO4kAAAAAAAAAAAAAAAAAEAAAAZHJzL1BLAwQUAAAACACHTuJAEVhqH7oAAADb AAAADwAAAGRycy9kb3ducmV2LnhtbEVPyW7CMBC9V+IfrEHqBYFDyxowHJCo4MYmuI7iIYmIx8E2 gf59fUDq8ent8+XLVKIh50vLCvq9BARxZnXJuYLTcd2dgPABWWNlmRT8koflovUxx1TbJ++pOYRc xBD2KSooQqhTKX1WkEHfszVx5K7WGQwRulxqh88Ybir5lSQjabDk2FBgTauCstvhYRRMBpvm4rff u3M2ulbT0Bk3P3en1Ge7n8xABHqFf/HbvdEKhnFs/BJ/gFz8AVBLAwQUAAAACACHTuJAMy8FnjsA AAA5AAAAEAAAAGRycy9zaGFwZXhtbC54bWyzsa/IzVEoSy0qzszPs1Uy1DNQUkjNS85PycxLt1UK DXHTtVBSKC5JzEtJzMnPS7VVqkwtVrK34+UCAFBLAwQKAAAAAACHTuJAAAAAAAAAAAAAAAAABgAA AF9yZWxzL1BLAwQUAAAACACHTuJA1VwmKMwAAACPAQAACwAAAF9yZWxzLy5yZWxzpZCxagMxDIb3 QN/BaO/5kqGUEF+2QtaQQldh6+5MzpaxzDV5+7iUQi9ky6BBv9D3Ce32lzCpmbJ4jgbWTQuKomXn 42Dg8/Tx+g5KCkaHE0cycCWBffey2h1pwlKXZPRJVKVEMTCWkrZaix0poDScKNZJzzlgqW0edEJ7 xoH0pm3fdP7PgG7BVAdnIB/cBtTpmqr5jh28zSzcl8Zy0Nz33j6iahkx0VeYKgbzQMWAy/Kb1tOa WqAfm9dPmh1/xyPNS/FPmGn+8+rFG7sbUEsDBBQAAAAIAIdO4kBa4xFm9wAAAOIBAAATAAAAW0Nv bnRlbnRfVHlwZXNdLnhtbJWRTU/EIBCG7yb+BzJX01I9GGNK92D1qEbXHzCBaUu2BcJg3f330v24 GNfEI8y8z/sE6tV2GsVMka13Cq7LCgQ57Y11vYKP9VNxB4ITOoOjd6RgRwyr5vKiXu8CschpxwqG lMK9lKwHmpBLH8jlSefjhCkfYy8D6g32JG+q6lZq7xK5VKSFAU3dUoefYxKP23x9MIk0MoiHw+LS pQBDGK3GlE3l7MyPluLYUObkfocHG/gqa4D8tWGZnC845l7y00RrSLxiTM84ZQ1pIkvjv1ykufwb slhOXPius5rKNnKbY280n6zO0XnAQBn9X/z7kjvB5f6Hmm9QSwECFAAUAAAACACHTuJAWuMRZvcA AADiAQAAEwAAAAAAAAABACAAAACLAgAAW0NvbnRlbnRfVHlwZXNdLnhtbFBLAQIUAAoAAAAAAIdO 4kAAAAAAAAAAAAAAAAAGAAAAAAAAAAAAEAAAAHIBAABfcmVscy9QSwECFAAUAAAACACHTuJA1Vwm KMwAAACPAQAACwAAAAAAAAABACAAAACWAQAAX3JlbHMvLnJlbHNQSwECFAAKAAAAAACHTuJAAAAA AAAAAAAAAAAABAAAAAAAAAAAABAAAAAAAAAAZHJzL1BLAQIUABQAAAAIAIdO4kARWGofugAAANsA AAAPAAAAAAAAAAEAIAAAACIAAABkcnMvZG93bnJldi54bWxQSwECFAAUAAAACACHTuJAMy8FnjsA AAA5AAAAEAAAAAAAAAABACAAAAAJAQAAZHJzL3NoYXBleG1sLnhtbFBLBQYAAAAABgAGAFsBAACz AwAAAAA= ">
                  <v:fill on="t" focussize="0,0"/>
                  <v:stroke color="#000000" joinstyle="miter"/>
                  <v:imagedata o:title=""/>
                  <o:lock v:ext="edit" aspectratio="f"/>
                  <v:textbox>
                    <w:txbxContent>
                      <w:p>
                        <w:r>
                          <w:rPr>
                            <w:rFonts w:hint="eastAsia"/>
                          </w:rPr>
                          <w:t>医护人员查看</w:t>
                        </w:r>
                      </w:p>
                    </w:txbxContent>
                  </v:textbox>
                </v:shape>
                <v:shape id="文本框 209" o:spid="_x0000_s1026" o:spt="202" type="#_x0000_t202" style="position:absolute;left:9420;top:399394;height:794;width:1754;" fillcolor="#FFFFFF" filled="t" stroked="t" coordsize="21600,21600" o:gfxdata="UEsDBAoAAAAAAIdO4kAAAAAAAAAAAAAAAAAEAAAAZHJzL1BLAwQUAAAACACHTuJAfhTPhL4AAADb AAAADwAAAGRycy9kb3ducmV2LnhtbEWPQWvCQBSE70L/w/IKvUiz0VZroqsHQdFbG0u9PrLPJDT7 Nt3dRvvv3YLgcZiZb5jF6mJa0ZPzjWUFoyQFQVxa3XCl4POweZ6B8AFZY2uZFPyRh9XyYbDAXNsz f1BfhEpECPscFdQhdLmUvqzJoE9sRxy9k3UGQ5SuktrhOcJNK8dpOpUGG44LNXa0rqn8Ln6Ngtnr rj/6/cv7Vzk9tVkYvvXbH6fU0+MonYMIdAn38K290womGfx/iT9ALq9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fhTPhL4A AADbAAAADwAAAAAAAAABACAAAAAiAAAAZHJzL2Rvd25yZXYueG1sUEsBAhQAFAAAAAgAh07iQDMv BZ47AAAAOQAAABAAAAAAAAAAAQAgAAAADQEAAGRycy9zaGFwZXhtbC54bWxQSwUGAAAAAAYABgBb AQAAtwMAAAAA ">
                  <v:fill on="t" focussize="0,0"/>
                  <v:stroke color="#000000" joinstyle="miter"/>
                  <v:imagedata o:title=""/>
                  <o:lock v:ext="edit" aspectratio="f"/>
                  <v:textbox>
                    <w:txbxContent>
                      <w:p>
                        <w:r>
                          <w:rPr>
                            <w:rFonts w:hint="eastAsia"/>
                          </w:rPr>
                          <w:t>消防维保人员查看</w:t>
                        </w:r>
                      </w:p>
                    </w:txbxContent>
                  </v:textbox>
                </v:shape>
                <v:line id="直线 210" o:spid="_x0000_s1026" o:spt="20" style="position:absolute;left:11175;top:396304;height:1;width:315;" filled="f" stroked="t" coordsize="21600,21600" o:gfxdata="UEsDBAoAAAAAAIdO4kAAAAAAAAAAAAAAAAAEAAAAZHJzL1BLAwQUAAAACACHTuJAfzqj1bkAAADb AAAADwAAAGRycy9kb3ducmV2LnhtbEVPy4rCMBTdC/5DuIIbGRMVRDrGLtSCCzfqDG4vzZ22THPT NvH59WYhuDyc9zK921pcqfOVYw2TsQJBnDtTcaHh55R9LUD4gGywdkwaHuQhXfV7S0yMu/GBrsdQ iBjCPkENZQhNIqXPS7Lox64hjtyf6yyGCLtCmg5vMdzWcqrUXFqsODaU2NC6pPz/eLEafPZLbfYc 5SN1nhWOpu1mv0Wth4OJ+gYR6B4+4rd7ZzTM4/r4Jf4AuXoBUEsDBBQAAAAIAIdO4kAzLwWeOwAA ADkAAAAQAAAAZHJzL3NoYXBleG1sLnhtbLOxr8jNUShLLSrOzM+zVTLUM1BSSM1Lzk/JzEu3VQoN cdO1UFIoLknMS0nMyc9LtVWqTC1Wsrfj5QIAUEsDBAoAAAAAAIdO4kAAAAAAAAAAAAAAAAAGAAAA X3JlbHMvUEsDBBQAAAAIAIdO4kDVXCYozAAAAI8BAAALAAAAX3JlbHMvLnJlbHOlkLFqAzEMhvdA 38Fo7/mSoZQQX7ZC1pBCV2Hr7kzOlrHMNXn7uJRCL2TLoEG/0PcJ7faXMKmZsniOBtZNC4qiZefj YODz9PH6DkoKRocTRzJwJYF997LaHWnCUpdk9ElUpUQxMJaStlqLHSmgNJwo1knPOWCpbR50QnvG gfSmbd90/s+AbsFUB2cgH9wG1OmaqvmOHbzNLNyXxnLQ3PfePqJqGTHRV5gqBvNAxYDL8pvW05pa oB+b10+aHX/HI81L8U+Yaf7z6sUbuxtQSwMEFAAAAAgAh07iQFrjEWb3AAAA4gEAABMAAABbQ29u dGVudF9UeXBlc10ueG1slZFNT8QgEIbvJv4HMlfTUj0YY0r3YPWoRtcfMIFpS7YFwmDd/ffS/bgY 18QjzLzP+wTq1XYaxUyRrXcKrssKBDntjXW9go/1U3EHghM6g6N3pGBHDKvm8qJe7wKxyGnHCoaU wr2UrAeakEsfyOVJ5+OEKR9jLwPqDfYkb6rqVmrvErlUpIUBTd1Sh59jEo/bfH0wiTQyiIfD4tKl AEMYrcaUTeXszI+W4thQ5uR+hwcb+CprgPy1YZmcLzjmXvLTRGtIvGJMzzhlDWkiS+O/XKS5/Buy WE5c+K6zmso2cptjbzSfrM7RecBAGf1f/PuSO8Hl/oeab1BLAQIUABQAAAAIAIdO4kBa4xFm9wAA AOIBAAATAAAAAAAAAAEAIAAAAIoCAABbQ29udGVudF9UeXBlc10ueG1sUEsBAhQACgAAAAAAh07i QAAAAAAAAAAAAAAAAAYAAAAAAAAAAAAQAAAAcQEAAF9yZWxzL1BLAQIUABQAAAAIAIdO4kDVXCYo zAAAAI8BAAALAAAAAAAAAAEAIAAAAJUBAABfcmVscy8ucmVsc1BLAQIUAAoAAAAAAIdO4kAAAAAA AAAAAAAAAAAEAAAAAAAAAAAAEAAAAAAAAABkcnMvUEsBAhQAFAAAAAgAh07iQH86o9W5AAAA2wAA AA8AAAAAAAAAAQAgAAAAIgAAAGRycy9kb3ducmV2LnhtbFBLAQIUABQAAAAIAIdO4kAzLwWeOwAA ADkAAAAQAAAAAAAAAAEAIAAAAAgBAABkcnMvc2hhcGV4bWwueG1sUEsFBgAAAAAGAAYAWwEAALID AAAAAA== ">
                  <v:fill on="f" focussize="0,0"/>
                  <v:stroke color="#000000" joinstyle="round"/>
                  <v:imagedata o:title=""/>
                  <o:lock v:ext="edit" aspectratio="f"/>
                </v:line>
                <v:line id="直线 211" o:spid="_x0000_s1026" o:spt="20" style="position:absolute;left:11190;top:397579;height:1;width:315;" filled="f" stroked="t" coordsize="21600,21600" o:gfxdata="UEsDBAoAAAAAAIdO4kAAAAAAAAAAAAAAAAAEAAAAZHJzL1BLAwQUAAAACACHTuJAEHYGTr4AAADb AAAADwAAAGRycy9kb3ducmV2LnhtbEWPQWvCQBSE70L/w/IKXkLdTQoiaVYPbQM99GJUen1kX5PQ 7NuY3Wrsr3cLgsdhZr5his1ke3Gi0XeONaQLBYK4dqbjRsN+Vz6tQPiAbLB3TBou5GGzfpgVmBt3 5i2dqtCICGGfo4Y2hCGX0tctWfQLNxBH79uNFkOUYyPNiOcIt73MlFpKix3HhRYHem2p/ql+rQZf HuhY/iV1or6eG0fZ8e3zHbWeP6bqBUSgKdzDt/aH0bBM4f9L/AFyfQV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EHYGTr4A AADbAAAADwAAAAAAAAABACAAAAAiAAAAZHJzL2Rvd25yZXYueG1sUEsBAhQAFAAAAAgAh07iQDMv BZ47AAAAOQAAABAAAAAAAAAAAQAgAAAADQEAAGRycy9zaGFwZXhtbC54bWxQSwUGAAAAAAYABgBb AQAAtwMAAAAA ">
                  <v:fill on="f" focussize="0,0"/>
                  <v:stroke color="#000000" joinstyle="round"/>
                  <v:imagedata o:title=""/>
                  <o:lock v:ext="edit" aspectratio="f"/>
                </v:line>
                <v:line id="直线 212" o:spid="_x0000_s1026" o:spt="20" style="position:absolute;left:11205;top:398614;height:1;width:315;" filled="f" stroked="t" coordsize="21600,21600" o:gfxdata="UEsDBAoAAAAAAIdO4kAAAAAAAAAAAAAAAAAEAAAAZHJzL1BLAwQUAAAACACHTuJA4KSYObwAAADb AAAADwAAAGRycy9kb3ducmV2LnhtbEWPzYvCMBTE74L/Q3jCXkQTK4h0jR5WCx68+IXXR/O2Ldu8 1CZ+rH+9EQSPw8z8hpkt7rYWV2p95VjDaKhAEOfOVFxoOOyzwRSED8gGa8ek4Z88LObdzgxT4268 pesuFCJC2KeooQyhSaX0eUkW/dA1xNH7da3FEGVbSNPiLcJtLROlJtJixXGhxIZ+Ssr/dherwWdH OmePft5Xp3HhKDkvNyvU+qs3Ut8gAt3DJ/xur42GSQKvL/EHyPkTUEsDBBQAAAAIAIdO4kAzLwWe OwAAADkAAAAQAAAAZHJzL3NoYXBleG1sLnhtbLOxr8jNUShLLSrOzM+zVTLUM1BSSM1Lzk/JzEu3 VQoNcdO1UFIoLknMS0nMyc9LtVWqTC1Wsrfj5QIAUEsDBAoAAAAAAIdO4kAAAAAAAAAAAAAAAAAG AAAAX3JlbHMvUEsDBBQAAAAIAIdO4kDVXCYozAAAAI8BAAALAAAAX3JlbHMvLnJlbHOlkLFqAzEM hvdA38Fo7/mSoZQQX7ZC1pBCV2Hr7kzOlrHMNXn7uJRCL2TLoEG/0PcJ7faXMKmZsniOBtZNC4qi ZefjYODz9PH6DkoKRocTRzJwJYF997LaHWnCUpdk9ElUpUQxMJaStlqLHSmgNJwo1knPOWCpbR50 QnvGgfSmbd90/s+AbsFUB2cgH9wG1OmaqvmOHbzNLNyXxnLQ3PfePqJqGTHRV5gqBvNAxYDL8pvW 05paoB+b10+aHX/HI81L8U+Yaf7z6sUbuxtQSwMEFAAAAAgAh07iQFrjEWb3AAAA4gEAABMAAABb Q29udGVudF9UeXBlc10ueG1slZFNT8QgEIbvJv4HMlfTUj0YY0r3YPWoRtcfMIFpS7YFwmDd/ffS /bgY18QjzLzP+wTq1XYaxUyRrXcKrssKBDntjXW9go/1U3EHghM6g6N3pGBHDKvm8qJe7wKxyGnH CoaUwr2UrAeakEsfyOVJ5+OEKR9jLwPqDfYkb6rqVmrvErlUpIUBTd1Sh59jEo/bfH0wiTQyiIfD 4tKlAEMYrcaUTeXszI+W4thQ5uR+hwcb+CprgPy1YZmcLzjmXvLTRGtIvGJMzzhlDWkiS+O/XKS5 /BuyWE5c+K6zmso2cptjbzSfrM7RecBAGf1f/PuSO8Hl/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OCkmDm8AAAA 2wAAAA8AAAAAAAAAAQAgAAAAIgAAAGRycy9kb3ducmV2LnhtbFBLAQIUABQAAAAIAIdO4kAzLwWe OwAAADkAAAAQAAAAAAAAAAEAIAAAAAsBAABkcnMvc2hhcGV4bWwueG1sUEsFBgAAAAAGAAYAWwEA ALUDAAAAAA== ">
                  <v:fill on="f" focussize="0,0"/>
                  <v:stroke color="#000000" joinstyle="round"/>
                  <v:imagedata o:title=""/>
                  <o:lock v:ext="edit" aspectratio="f"/>
                </v:line>
                <v:line id="直线 213" o:spid="_x0000_s1026" o:spt="20" style="position:absolute;left:11220;top:399708;height:1;width:315;" filled="f" stroked="t" coordsize="21600,21600" o:gfxdata="UEsDBAoAAAAAAIdO4kAAAAAAAAAAAAAAAAAEAAAAZHJzL1BLAwQUAAAACACHTuJAj+g9or0AAADb AAAADwAAAGRycy9kb3ducmV2LnhtbEWPQWvCQBSE7wX/w/KEXkR3NSASXT1oAz14MW3x+sg+k2D2 bcxuE+2v7wqFHoeZ+YbZ7O62ET11vnasYT5TIIgLZ2ouNXx+ZNMVCB+QDTaOScODPOy2o5cNpsYN fKI+D6WIEPYpaqhCaFMpfVGRRT9zLXH0Lq6zGKLsSmk6HCLcNnKh1FJarDkuVNjSvqLimn9bDT77 olv2Mykm6pyUjha3w/ENtX4dz9UaRKB7+A//td+NhmUCzy/xB8jtL1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CP6D2ivQAA ANsAAAAPAAAAAAAAAAEAIAAAACIAAABkcnMvZG93bnJldi54bWxQSwECFAAUAAAACACHTuJAMy8F njsAAAA5AAAAEAAAAAAAAAABACAAAAAMAQAAZHJzL3NoYXBleG1sLnhtbFBLBQYAAAAABgAGAFsB AAC2AwAAAAA= ">
                  <v:fill on="f" focussize="0,0"/>
                  <v:stroke color="#000000" joinstyle="round"/>
                  <v:imagedata o:title=""/>
                  <o:lock v:ext="edit" aspectratio="f"/>
                </v:line>
                <v:line id="直线 214" o:spid="_x0000_s1026" o:spt="20" style="position:absolute;left:11520;top:396274;height:3465;width:1;" filled="f" stroked="t" coordsize="21600,21600" o:gfxdata="UEsDBAoAAAAAAIdO4kAAAAAAAAAAAAAAAAAEAAAAZHJzL1BLAwQUAAAACACHTuJAAAGl1rwAAADb AAAADwAAAGRycy9kb3ducmV2LnhtbEWPS4sCMRCE7wv+h9CCF9HEByKj0YO7Ax724guvzaSdGZx0 xkl87a83grDHoqq+oubLh63EjRpfOtYw6CsQxJkzJeca9ru0NwXhA7LByjFpeJKH5aL1NcfEuDtv 6LYNuYgQ9glqKEKoEyl9VpBF33c1cfROrrEYomxyaRq8R7it5FCpibRYclwosKZVQdl5e7UafHqg S/rXzbrqOModDS/fvz+odac9UDMQgR7hP/xpr42GyRjeX+IPkIsXUEsDBBQAAAAIAIdO4kAzLwWe OwAAADkAAAAQAAAAZHJzL3NoYXBleG1sLnhtbLOxr8jNUShLLSrOzM+zVTLUM1BSSM1Lzk/JzEu3 VQoNcdO1UFIoLknMS0nMyc9LtVWqTC1Wsrfj5QIAUEsDBAoAAAAAAIdO4kAAAAAAAAAAAAAAAAAG AAAAX3JlbHMvUEsDBBQAAAAIAIdO4kDVXCYozAAAAI8BAAALAAAAX3JlbHMvLnJlbHOlkLFqAzEM hvdA38Fo7/mSoZQQX7ZC1pBCV2Hr7kzOlrHMNXn7uJRCL2TLoEG/0PcJ7faXMKmZsniOBtZNC4qi ZefjYODz9PH6DkoKRocTRzJwJYF997LaHWnCUpdk9ElUpUQxMJaStlqLHSmgNJwo1knPOWCpbR50 QnvGgfSmbd90/s+AbsFUB2cgH9wG1OmaqvmOHbzNLNyXxnLQ3PfePqJqGTHRV5gqBvNAxYDL8pvW 05paoB+b10+aHX/HI81L8U+Yaf7z6sUbuxtQSwMEFAAAAAgAh07iQFrjEWb3AAAA4gEAABMAAABb Q29udGVudF9UeXBlc10ueG1slZFNT8QgEIbvJv4HMlfTUj0YY0r3YPWoRtcfMIFpS7YFwmDd/ffS /bgY18QjzLzP+wTq1XYaxUyRrXcKrssKBDntjXW9go/1U3EHghM6g6N3pGBHDKvm8qJe7wKxyGnH CoaUwr2UrAeakEsfyOVJ5+OEKR9jLwPqDfYkb6rqVmrvErlUpIUBTd1Sh59jEo/bfH0wiTQyiIfD 4tKlAEMYrcaUTeXszI+W4thQ5uR+hwcb+CprgPy1YZmcLzjmXvLTRGtIvGJMzzhlDWkiS+O/XKS5 /BuyWE5c+K6zmso2cptjbzSfrM7RecBAGf1f/PuSO8Hl/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AABpda8AAAA 2wAAAA8AAAAAAAAAAQAgAAAAIgAAAGRycy9kb3ducmV2LnhtbFBLAQIUABQAAAAIAIdO4kAzLwWe OwAAADkAAAAQAAAAAAAAAAEAIAAAAAsBAABkcnMvc2hhcGV4bWwueG1sUEsFBgAAAAAGAAYAWwEA ALUDAAAAAA== ">
                  <v:fill on="f" focussize="0,0"/>
                  <v:stroke color="#000000" joinstyle="round"/>
                  <v:imagedata o:title=""/>
                  <o:lock v:ext="edit" aspectratio="f"/>
                </v:line>
                <v:line id="直线 215" o:spid="_x0000_s1026" o:spt="20" style="position:absolute;left:11550;top:398494;height:1;width:390;" filled="f" stroked="t" coordsize="21600,21600" o:gfxdata="UEsDBAoAAAAAAIdO4kAAAAAAAAAAAAAAAAAEAAAAZHJzL1BLAwQUAAAACACHTuJAev4d4b0AAADb AAAADwAAAGRycy9kb3ducmV2LnhtbEWPQYvCMBSE7wv+h/AEL4umCspSjR4UQcU9bF3x+mieTbF5 KU209d8bYWGPw8x8wyxWna3EgxpfOlYwHiUgiHOnSy4U/J62wy8QPiBrrByTgid5WC17HwtMtWv5 hx5ZKESEsE9RgQmhTqX0uSGLfuRq4uhdXWMxRNkUUjfYRrit5CRJZtJiyXHBYE1rQ/ktu1sFxbnd 693xkl2r8+Z0mH4a8207pQb9cTIHEagL/+G/9k4rmE3h/SX+ALl8AV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B6/h3hvQAA ANsAAAAPAAAAAAAAAAEAIAAAACIAAABkcnMvZG93bnJldi54bWxQSwECFAAUAAAACACHTuJAMy8F njsAAAA5AAAAEAAAAAAAAAABACAAAAAMAQAAZHJzL3NoYXBleG1sLnhtbFBLBQYAAAAABgAGAFsB AAC2AwAAAAA= ">
                  <v:fill on="f" focussize="0,0"/>
                  <v:stroke color="#000000" joinstyle="round" endarrow="open"/>
                  <v:imagedata o:title=""/>
                  <o:lock v:ext="edit" aspectratio="f"/>
                </v:line>
                <v:shape id="文本框 216" o:spid="_x0000_s1026" o:spt="202" type="#_x0000_t202" style="position:absolute;left:11955;top:398119;height:841;width:615;" fillcolor="#FFFFFF" filled="t" stroked="t" coordsize="21600,21600" o:gfxdata="UEsDBAoAAAAAAIdO4kAAAAAAAAAAAAAAAAAEAAAAZHJzL1BLAwQUAAAACACHTuJAweeRS70AAADb AAAADwAAAGRycy9kb3ducmV2LnhtbEWPT2sCMRTE7wW/Q3iCl6JZ/7DqavRQqNhbq6LXx+a5u7h5 WZO46rdvCkKPw8z8hlmuH6YWLTlfWVYwHCQgiHOrKy4UHPaf/RkIH5A11pZJwZM8rFedtyVm2t75 h9pdKESEsM9QQRlCk0np85IM+oFtiKN3ts5giNIVUju8R7ip5ShJUmmw4rhQYkMfJeWX3c0omE22 7cl/jb+PeXqu5+F92m6uTqled5gsQAR6hP/wq73VCtIU/r7EHyBXv1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DB55FLvQAA ANsAAAAPAAAAAAAAAAEAIAAAACIAAABkcnMvZG93bnJldi54bWxQSwECFAAUAAAACACHTuJAMy8F njsAAAA5AAAAEAAAAAAAAAABACAAAAAMAQAAZHJzL3NoYXBleG1sLnhtbFBLBQYAAAAABgAGAFsB AAC2AwAAAAA= ">
                  <v:fill on="t" focussize="0,0"/>
                  <v:stroke color="#000000" joinstyle="miter"/>
                  <v:imagedata o:title=""/>
                  <o:lock v:ext="edit" aspectratio="f"/>
                  <v:textbox>
                    <w:txbxContent>
                      <w:p>
                        <w:r>
                          <w:rPr>
                            <w:rFonts w:hint="eastAsia"/>
                          </w:rPr>
                          <w:t>处理</w:t>
                        </w:r>
                      </w:p>
                    </w:txbxContent>
                  </v:textbox>
                </v:shape>
                <v:line id="直线 218" o:spid="_x0000_s1026" o:spt="20" style="position:absolute;left:12255;top:398944;height:1740;width:1;" filled="f" stroked="t" coordsize="21600,21600" o:gfxdata="UEsDBAoAAAAAAIdO4kAAAAAAAAAAAAAAAAAEAAAAZHJzL1BLAwQUAAAACACHTuJA8NM7ob4AAADb AAAADwAAAGRycy9kb3ducmV2LnhtbEWPQWvCQBSE74L/YXlCL2J2jZCW6OpBG+jBi7al10f2NQnN vo3ZbUz7691CweMwM98wm91oWzFQ7xvHGpaJAkFcOtNwpeHttVg8gfAB2WDrmDT8kIfddjrZYG7c lU80nEMlIoR9jhrqELpcSl/WZNEnriOO3qfrLYYo+0qaHq8RbluZKpVJiw3HhRo72tdUfp2/rQZf vNOl+J2Xc/Wxqhyll8PxGbV+mC3VGkSgMdzD/+0XoyF7hL8v8QfI7Q1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8NM7ob4A AADbAAAADwAAAAAAAAABACAAAAAiAAAAZHJzL2Rvd25yZXYueG1sUEsBAhQAFAAAAAgAh07iQDMv BZ47AAAAOQAAABAAAAAAAAAAAQAgAAAADQEAAGRycy9zaGFwZXhtbC54bWxQSwUGAAAAAAYABgBb AQAAtwMAAAAA ">
                  <v:fill on="f" focussize="0,0"/>
                  <v:stroke color="#000000" joinstyle="round"/>
                  <v:imagedata o:title=""/>
                  <o:lock v:ext="edit" aspectratio="f"/>
                </v:line>
                <v:line id="直线 219" o:spid="_x0000_s1026" o:spt="20" style="position:absolute;left:10950;top:400669;height:1;width:1320;" filled="f" stroked="t" coordsize="21600,21600" o:gfxdata="UEsDBAoAAAAAAIdO4kAAAAAAAAAAAAAAAAAEAAAAZHJzL1BLAwQUAAAACACHTuJAgUyv07kAAADb AAAADwAAAGRycy9kb3ducmV2LnhtbEVPy4rCMBTdC/5DuIIbGRMVRDrGLtSCCzfqDG4vzZ22THPT NvH59WYhuDyc9zK921pcqfOVYw2TsQJBnDtTcaHh55R9LUD4gGywdkwaHuQhXfV7S0yMu/GBrsdQ iBjCPkENZQhNIqXPS7Lox64hjtyf6yyGCLtCmg5vMdzWcqrUXFqsODaU2NC6pPz/eLEafPZLbfYc 5SN1nhWOpu1mv0Wth4OJ+gYR6B4+4rd7ZzTM49j4Jf4AuXoBUEsDBBQAAAAIAIdO4kAzLwWeOwAA ADkAAAAQAAAAZHJzL3NoYXBleG1sLnhtbLOxr8jNUShLLSrOzM+zVTLUM1BSSM1Lzk/JzEu3VQoN cdO1UFIoLknMS0nMyc9LtVWqTC1Wsrfj5QIAUEsDBAoAAAAAAIdO4kAAAAAAAAAAAAAAAAAGAAAA X3JlbHMvUEsDBBQAAAAIAIdO4kDVXCYozAAAAI8BAAALAAAAX3JlbHMvLnJlbHOlkLFqAzEMhvdA 38Fo7/mSoZQQX7ZC1pBCV2Hr7kzOlrHMNXn7uJRCL2TLoEG/0PcJ7faXMKmZsniOBtZNC4qiZefj YODz9PH6DkoKRocTRzJwJYF997LaHWnCUpdk9ElUpUQxMJaStlqLHSmgNJwo1knPOWCpbR50QnvG gfSmbd90/s+AbsFUB2cgH9wG1OmaqvmOHbzNLNyXxnLQ3PfePqJqGTHRV5gqBvNAxYDL8pvW05pa oB+b10+aHX/HI81L8U+Yaf7z6sUbuxtQSwMEFAAAAAgAh07iQFrjEWb3AAAA4gEAABMAAABbQ29u dGVudF9UeXBlc10ueG1slZFNT8QgEIbvJv4HMlfTUj0YY0r3YPWoRtcfMIFpS7YFwmDd/ffS/bgY 18QjzLzP+wTq1XYaxUyRrXcKrssKBDntjXW9go/1U3EHghM6g6N3pGBHDKvm8qJe7wKxyGnHCoaU wr2UrAeakEsfyOVJ5+OEKR9jLwPqDfYkb6rqVmrvErlUpIUBTd1Sh59jEo/bfH0wiTQyiIfD4tKl AEMYrcaUTeXszI+W4thQ5uR+hwcb+CprgPy1YZmcLzjmXvLTRGtIvGJMzzhlDWkiS+O/XKS5/Buy WE5c+K6zmso2cptjbzSfrM7RecBAGf1f/PuSO8Hl/oeab1BLAQIUABQAAAAIAIdO4kBa4xFm9wAA AOIBAAATAAAAAAAAAAEAIAAAAIoCAABbQ29udGVudF9UeXBlc10ueG1sUEsBAhQACgAAAAAAh07i QAAAAAAAAAAAAAAAAAYAAAAAAAAAAAAQAAAAcQEAAF9yZWxzL1BLAQIUABQAAAAIAIdO4kDVXCYo zAAAAI8BAAALAAAAAAAAAAEAIAAAAJUBAABfcmVscy8ucmVsc1BLAQIUAAoAAAAAAIdO4kAAAAAA AAAAAAAAAAAEAAAAAAAAAAAAEAAAAAAAAABkcnMvUEsBAhQAFAAAAAgAh07iQIFMr9O5AAAA2wAA AA8AAAAAAAAAAQAgAAAAIgAAAGRycy9kb3ducmV2LnhtbFBLAQIUABQAAAAIAIdO4kAzLwWeOwAA ADkAAAAQAAAAAAAAAAEAIAAAAAgBAABkcnMvc2hhcGV4bWwueG1sUEsFBgAAAAAGAAYAWwEAALID AAAAAA== ">
                  <v:fill on="f" focussize="0,0"/>
                  <v:stroke color="#000000" joinstyle="round"/>
                  <v:imagedata o:title=""/>
                  <o:lock v:ext="edit" aspectratio="f"/>
                </v:line>
                <v:shape id="文本框 221" o:spid="_x0000_s1026" o:spt="202" type="#_x0000_t202" style="position:absolute;left:9675;top:400489;height:466;width:1275;" fillcolor="#FFFFFF" filled="t" stroked="t" coordsize="21600,21600" o:gfxdata="UEsDBAoAAAAAAIdO4kAAAAAAAAAAAAAAAAAEAAAAZHJzL1BLAwQUAAAACACHTuJAsHgFOb4AAADb AAAADwAAAGRycy9kb3ducmV2LnhtbEWPT2sCMRTE7wW/Q3iCl6JZtay6Gj0UWvRW/6DXx+a5u7h5 WZN01W9vCgWPw8z8hlms7qYWLTlfWVYwHCQgiHOrKy4UHPZf/SkIH5A11pZJwYM8rJadtwVm2t54 S+0uFCJC2GeooAyhyaT0eUkG/cA2xNE7W2cwROkKqR3eItzUcpQkqTRYcVwosaHPkvLL7tcomH6s 25PfjH+OeXquZ+F90n5fnVK97jCZgwh0D6/wf3utFaQz+PsSf4BcPgF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sHgFOb4A AADbAAAADwAAAAAAAAABACAAAAAiAAAAZHJzL2Rvd25yZXYueG1sUEsBAhQAFAAAAAgAh07iQDMv BZ47AAAAOQAAABAAAAAAAAAAAQAgAAAADQEAAGRycy9zaGFwZXhtbC54bWxQSwUGAAAAAAYABgBb AQAAtwMAAAAA ">
                  <v:fill on="t" focussize="0,0"/>
                  <v:stroke color="#000000" joinstyle="miter"/>
                  <v:imagedata o:title=""/>
                  <o:lock v:ext="edit" aspectratio="f"/>
                  <v:textbox>
                    <w:txbxContent>
                      <w:p>
                        <w:r>
                          <w:rPr>
                            <w:rFonts w:hint="eastAsia"/>
                          </w:rPr>
                          <w:t>登记台账</w:t>
                        </w:r>
                      </w:p>
                    </w:txbxContent>
                  </v:textbox>
                </v:shape>
                <v:line id="直线 222" o:spid="_x0000_s1026" o:spt="20" style="position:absolute;left:12570;top:398494;height:1;width:375;" filled="f" stroked="t" coordsize="21600,21600" o:gfxdata="UEsDBAoAAAAAAIdO4kAAAAAAAAAAAAAAAAAEAAAAZHJzL1BLAwQUAAAACACHTuJA71AopLwAAADb AAAADwAAAGRycy9kb3ducmV2LnhtbEVPz2vCMBS+D/wfwhO8jJlWcJPO2IMycLId1lp2fTTPpqx5 KU1mu/9+OQgeP77f23yynbjS4FvHCtJlAoK4drrlRsG5fHvagPABWWPnmBT8kYd8N3vYYqbdyF90 LUIjYgj7DBWYEPpMSl8bsuiXrieO3MUNFkOEQyP1gGMMt51cJcmztNhybDDY095Q/VP8WgVNNb7r 48d3cemqQ3laPxrzaSelFvM0eQURaAp38c191Ape4vr4Jf4AufsHUEsDBBQAAAAIAIdO4kAzLwWe OwAAADkAAAAQAAAAZHJzL3NoYXBleG1sLnhtbLOxr8jNUShLLSrOzM+zVTLUM1BSSM1Lzk/JzEu3 VQoNcdO1UFIoLknMS0nMyc9LtVWqTC1Wsrfj5QIAUEsDBAoAAAAAAIdO4kAAAAAAAAAAAAAAAAAG AAAAX3JlbHMvUEsDBBQAAAAIAIdO4kDVXCYozAAAAI8BAAALAAAAX3JlbHMvLnJlbHOlkLFqAzEM hvdA38Fo7/mSoZQQX7ZC1pBCV2Hr7kzOlrHMNXn7uJRCL2TLoEG/0PcJ7faXMKmZsniOBtZNC4qi ZefjYODz9PH6DkoKRocTRzJwJYF997LaHWnCUpdk9ElUpUQxMJaStlqLHSmgNJwo1knPOWCpbR50 QnvGgfSmbd90/s+AbsFUB2cgH9wG1OmaqvmOHbzNLNyXxnLQ3PfePqJqGTHRV5gqBvNAxYDL8pvW 05paoB+b10+aHX/HI81L8U+Yaf7z6sUbuxtQSwMEFAAAAAgAh07iQFrjEWb3AAAA4gEAABMAAABb Q29udGVudF9UeXBlc10ueG1slZFNT8QgEIbvJv4HMlfTUj0YY0r3YPWoRtcfMIFpS7YFwmDd/ffS /bgY18QjzLzP+wTq1XYaxUyRrXcKrssKBDntjXW9go/1U3EHghM6g6N3pGBHDKvm8qJe7wKxyGnH CoaUwr2UrAeakEsfyOVJ5+OEKR9jLwPqDfYkb6rqVmrvErlUpIUBTd1Sh59jEo/bfH0wiTQyiIfD 4tKlAEMYrcaUTeXszI+W4thQ5uR+hwcb+CprgPy1YZmcLzjmXvLTRGtIvGJMzzhlDWkiS+O/XKS5 /BuyWE5c+K6zmso2cptjbzSfrM7RecBAGf1f/PuSO8Hl/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O9QKKS8AAAA 2wAAAA8AAAAAAAAAAQAgAAAAIgAAAGRycy9kb3ducmV2LnhtbFBLAQIUABQAAAAIAIdO4kAzLwWe OwAAADkAAAAQAAAAAAAAAAEAIAAAAAsBAABkcnMvc2hhcGV4bWwueG1sUEsFBgAAAAAGAAYAWwEA ALUDAAAAAA== ">
                  <v:fill on="f" focussize="0,0"/>
                  <v:stroke color="#000000" joinstyle="round" endarrow="open"/>
                  <v:imagedata o:title=""/>
                  <o:lock v:ext="edit" aspectratio="f"/>
                </v:line>
                <v:shape id="文本框 223" o:spid="_x0000_s1026" o:spt="202" type="#_x0000_t202" style="position:absolute;left:13065;top:397367;height:1306;width:570;" fillcolor="#FFFFFF" filled="t" stroked="t" coordsize="21600,21600" o:gfxdata="UEsDBAoAAAAAAIdO4kAAAAAAAAAAAAAAAAAEAAAAZHJzL1BLAwQUAAAACACHTuJAy9ef4r4AAADb AAAADwAAAGRycy9kb3ducmV2LnhtbEWPT2sCMRTE70K/Q3gFL9LNrorardFDocXe7Lbo9bF5+4du XrZJuuq3bwTB4zAzv2HW27PpxEDOt5YVZEkKgri0uuVawffX29MKhA/IGjvLpOBCHrabh9Eac21P /ElDEWoRIexzVNCE0OdS+rIhgz6xPXH0KusMhihdLbXDU4SbTk7TdCENthwXGuzptaHyp/gzClbz 3XD0H7P9oVxU3XOYLIf3X6fU+DFLX0AEOod7+NbeaQXLDK5f4g+Qm39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y9ef4r4A AADbAAAADwAAAAAAAAABACAAAAAiAAAAZHJzL2Rvd25yZXYueG1sUEsBAhQAFAAAAAgAh07iQDMv BZ47AAAAOQAAABAAAAAAAAAAAQAgAAAADQEAAGRycy9zaGFwZXhtbC54bWxQSwUGAAAAAAYABgBb AQAAtwMAAAAA ">
                  <v:fill on="t" focussize="0,0"/>
                  <v:stroke color="#000000" joinstyle="miter"/>
                  <v:imagedata o:title=""/>
                  <o:lock v:ext="edit" aspectratio="f"/>
                  <v:textbox>
                    <w:txbxContent>
                      <w:p>
                        <w:r>
                          <w:rPr>
                            <w:rFonts w:hint="eastAsia"/>
                          </w:rPr>
                          <w:t>异常上报</w:t>
                        </w:r>
                      </w:p>
                    </w:txbxContent>
                  </v:textbox>
                </v:shape>
              </v:group>
            </w:pict>
          </mc:Fallback>
        </mc:AlternateContent>
      </w:r>
    </w:p>
    <w:p>
      <w:pPr>
        <w:spacing w:line="360" w:lineRule="auto"/>
        <w:ind w:firstLine="420" w:firstLineChars="200"/>
        <w:rPr>
          <w:rFonts w:hint="eastAsia" w:ascii="宋体" w:hAnsi="宋体" w:cs="宋体"/>
          <w:color w:val="auto"/>
          <w:kern w:val="0"/>
          <w:szCs w:val="21"/>
          <w:highlight w:val="none"/>
        </w:rPr>
      </w:pPr>
    </w:p>
    <w:p>
      <w:pPr>
        <w:spacing w:line="360" w:lineRule="auto"/>
        <w:ind w:firstLine="420" w:firstLineChars="200"/>
        <w:rPr>
          <w:rFonts w:hint="eastAsia" w:ascii="宋体" w:hAnsi="宋体" w:cs="宋体"/>
          <w:color w:val="auto"/>
          <w:kern w:val="0"/>
          <w:szCs w:val="21"/>
          <w:highlight w:val="none"/>
        </w:rPr>
      </w:pPr>
    </w:p>
    <w:p>
      <w:pPr>
        <w:spacing w:line="360" w:lineRule="auto"/>
        <w:ind w:firstLine="420" w:firstLineChars="200"/>
        <w:rPr>
          <w:rFonts w:hint="eastAsia" w:ascii="宋体" w:hAnsi="宋体" w:cs="宋体"/>
          <w:color w:val="auto"/>
          <w:kern w:val="0"/>
          <w:szCs w:val="21"/>
          <w:highlight w:val="none"/>
        </w:rPr>
      </w:pPr>
    </w:p>
    <w:p>
      <w:pPr>
        <w:spacing w:line="360" w:lineRule="auto"/>
        <w:ind w:firstLine="420" w:firstLineChars="200"/>
        <w:rPr>
          <w:rFonts w:hint="eastAsia" w:ascii="宋体" w:hAnsi="宋体" w:cs="宋体"/>
          <w:color w:val="auto"/>
          <w:kern w:val="0"/>
          <w:szCs w:val="21"/>
          <w:highlight w:val="none"/>
        </w:rPr>
      </w:pPr>
    </w:p>
    <w:p>
      <w:pPr>
        <w:spacing w:line="360" w:lineRule="auto"/>
        <w:ind w:firstLine="420" w:firstLineChars="200"/>
        <w:rPr>
          <w:rFonts w:hint="eastAsia" w:ascii="宋体" w:hAnsi="宋体" w:cs="宋体"/>
          <w:color w:val="auto"/>
          <w:kern w:val="0"/>
          <w:szCs w:val="21"/>
          <w:highlight w:val="none"/>
        </w:rPr>
      </w:pPr>
    </w:p>
    <w:p>
      <w:pPr>
        <w:spacing w:line="360" w:lineRule="auto"/>
        <w:ind w:firstLine="420" w:firstLineChars="200"/>
        <w:rPr>
          <w:rFonts w:hint="eastAsia" w:ascii="宋体" w:hAnsi="宋体" w:cs="宋体"/>
          <w:color w:val="auto"/>
          <w:kern w:val="0"/>
          <w:szCs w:val="21"/>
          <w:highlight w:val="none"/>
        </w:rPr>
      </w:pPr>
    </w:p>
    <w:p>
      <w:pPr>
        <w:spacing w:line="360" w:lineRule="auto"/>
        <w:ind w:firstLine="420" w:firstLineChars="200"/>
        <w:rPr>
          <w:rFonts w:hint="eastAsia" w:ascii="宋体" w:hAnsi="宋体" w:cs="宋体"/>
          <w:color w:val="auto"/>
          <w:kern w:val="0"/>
          <w:szCs w:val="21"/>
          <w:highlight w:val="none"/>
        </w:rPr>
      </w:pPr>
    </w:p>
    <w:p>
      <w:pPr>
        <w:spacing w:line="360" w:lineRule="auto"/>
        <w:ind w:firstLine="420" w:firstLineChars="200"/>
        <w:rPr>
          <w:rFonts w:hint="eastAsia" w:ascii="宋体" w:hAnsi="宋体" w:cs="宋体"/>
          <w:color w:val="auto"/>
          <w:kern w:val="0"/>
          <w:szCs w:val="21"/>
          <w:highlight w:val="none"/>
        </w:rPr>
      </w:pPr>
    </w:p>
    <w:p>
      <w:pPr>
        <w:spacing w:line="360" w:lineRule="auto"/>
        <w:ind w:firstLine="420" w:firstLineChars="200"/>
        <w:rPr>
          <w:rFonts w:hint="eastAsia" w:ascii="宋体" w:hAnsi="宋体" w:cs="宋体"/>
          <w:color w:val="auto"/>
          <w:kern w:val="0"/>
          <w:szCs w:val="21"/>
          <w:highlight w:val="none"/>
        </w:rPr>
      </w:pPr>
    </w:p>
    <w:p>
      <w:pPr>
        <w:spacing w:line="360" w:lineRule="auto"/>
        <w:ind w:firstLine="420" w:firstLineChars="200"/>
        <w:rPr>
          <w:rFonts w:hint="eastAsia" w:ascii="宋体" w:hAnsi="宋体" w:cs="宋体"/>
          <w:color w:val="auto"/>
          <w:kern w:val="0"/>
          <w:szCs w:val="21"/>
          <w:highlight w:val="none"/>
        </w:rPr>
      </w:pPr>
    </w:p>
    <w:p>
      <w:pPr>
        <w:spacing w:line="360" w:lineRule="auto"/>
        <w:ind w:firstLine="420" w:firstLineChars="200"/>
        <w:rPr>
          <w:rFonts w:hint="eastAsia" w:ascii="宋体" w:hAnsi="宋体" w:cs="宋体"/>
          <w:color w:val="auto"/>
          <w:kern w:val="0"/>
          <w:szCs w:val="21"/>
          <w:highlight w:val="none"/>
        </w:rPr>
      </w:pPr>
    </w:p>
    <w:p>
      <w:pPr>
        <w:spacing w:line="360" w:lineRule="auto"/>
        <w:ind w:firstLine="420" w:firstLineChars="200"/>
        <w:rPr>
          <w:rFonts w:hint="eastAsia" w:ascii="宋体" w:hAnsi="宋体" w:cs="宋体"/>
          <w:color w:val="auto"/>
          <w:kern w:val="0"/>
          <w:szCs w:val="21"/>
          <w:highlight w:val="none"/>
        </w:rPr>
      </w:pPr>
    </w:p>
    <w:p>
      <w:pPr>
        <w:spacing w:line="360" w:lineRule="auto"/>
        <w:ind w:firstLine="420" w:firstLineChars="200"/>
        <w:rPr>
          <w:rFonts w:hint="eastAsia" w:ascii="宋体" w:hAnsi="宋体" w:cs="宋体"/>
          <w:color w:val="auto"/>
          <w:kern w:val="0"/>
          <w:szCs w:val="21"/>
          <w:highlight w:val="none"/>
        </w:rPr>
      </w:pPr>
    </w:p>
    <w:p>
      <w:pPr>
        <w:spacing w:line="360" w:lineRule="auto"/>
        <w:ind w:firstLine="420" w:firstLineChars="200"/>
        <w:rPr>
          <w:rFonts w:hint="eastAsia" w:ascii="宋体" w:hAnsi="宋体" w:cs="宋体"/>
          <w:color w:val="auto"/>
          <w:kern w:val="0"/>
          <w:szCs w:val="21"/>
          <w:highlight w:val="none"/>
        </w:rPr>
      </w:pPr>
    </w:p>
    <w:p>
      <w:pPr>
        <w:spacing w:line="360" w:lineRule="auto"/>
        <w:ind w:firstLine="420" w:firstLineChars="200"/>
        <w:rPr>
          <w:rFonts w:hint="eastAsia" w:ascii="宋体" w:hAnsi="宋体" w:cs="宋体"/>
          <w:color w:val="auto"/>
          <w:kern w:val="0"/>
          <w:szCs w:val="21"/>
          <w:highlight w:val="none"/>
        </w:rPr>
      </w:pP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2、接警处理</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2.1监控中心接警后呼叫相关班次安保责任人进行出警调派，（白班由驻点安保责任人自行调派），并有明确登记，处理结果。交接班时对于未处理完成的出警事项应做好登记交接工作。</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2.2监控中心人员接警后应在有监控支持的范围内查看预判现场情况，以便明确传达出警要求。</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2.3院区保卫处监管员应每日检查接警出警记录，对于不明确的登记情况指出修正。并且每日按实际情况对前一天报警科室部位进行回访工作（随机抽取），抽查出警处理实际状况是否与登记一致，做到持续改进有成效。</w:t>
      </w:r>
    </w:p>
    <w:p>
      <w:pPr>
        <w:tabs>
          <w:tab w:val="left" w:pos="1320"/>
        </w:tabs>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2.4非本中心工作人员进出严格执行核查、登记要求，院内职工无需审批，院外人员一律禁止进入（除公、检、法办案人员外），如有特殊情况可由医院对接科室的工作人员全程陪同进入并登记。</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3、公共广播系统的管理要求</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3.1能熟练操作公共广播的操作</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 除消防应急广播外播放内容、播放区域必须经院方审核授权确定</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3.3严格根据院方要求在特定时间播放特定内容</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3.4每周对公共广播系统进行设备巡查，发现问题及时申报。</w:t>
      </w:r>
    </w:p>
    <w:p>
      <w:pPr>
        <w:pStyle w:val="2"/>
        <w:rPr>
          <w:rFonts w:hint="eastAsia" w:ascii="宋体" w:hAnsi="宋体" w:eastAsia="宋体" w:cs="宋体"/>
          <w:color w:val="auto"/>
          <w:sz w:val="21"/>
          <w:szCs w:val="21"/>
          <w:highlight w:val="none"/>
        </w:rPr>
      </w:pPr>
    </w:p>
    <w:p>
      <w:pPr>
        <w:tabs>
          <w:tab w:val="left" w:pos="1320"/>
        </w:tabs>
        <w:spacing w:before="120" w:beforeLines="50" w:after="120" w:afterLines="50" w:line="360" w:lineRule="auto"/>
        <w:jc w:val="center"/>
        <w:rPr>
          <w:rFonts w:hAnsi="宋体"/>
          <w:bCs/>
          <w:color w:val="auto"/>
          <w:szCs w:val="21"/>
          <w:highlight w:val="none"/>
        </w:rPr>
      </w:pPr>
      <w:r>
        <w:rPr>
          <w:rFonts w:hAnsi="宋体"/>
          <w:bCs/>
          <w:color w:val="auto"/>
          <w:szCs w:val="21"/>
          <w:highlight w:val="none"/>
        </w:rPr>
        <w:br w:type="page"/>
      </w:r>
      <w:r>
        <w:rPr>
          <w:rFonts w:hint="eastAsia" w:hAnsi="宋体"/>
          <w:bCs/>
          <w:color w:val="auto"/>
          <w:szCs w:val="21"/>
          <w:highlight w:val="none"/>
        </w:rPr>
        <w:t>外来人员报警中心出入登记（模板）</w:t>
      </w:r>
    </w:p>
    <w:tbl>
      <w:tblPr>
        <w:tblStyle w:val="80"/>
        <w:tblpPr w:leftFromText="180" w:rightFromText="180" w:vertAnchor="text" w:horzAnchor="page" w:tblpX="1461" w:tblpY="177"/>
        <w:tblOverlap w:val="never"/>
        <w:tblW w:w="9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1202"/>
        <w:gridCol w:w="1202"/>
        <w:gridCol w:w="1202"/>
        <w:gridCol w:w="1352"/>
        <w:gridCol w:w="1352"/>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52" w:type="dxa"/>
            <w:noWrap w:val="0"/>
            <w:vAlign w:val="top"/>
          </w:tcPr>
          <w:p>
            <w:pPr>
              <w:rPr>
                <w:color w:val="auto"/>
                <w:szCs w:val="28"/>
                <w:highlight w:val="none"/>
              </w:rPr>
            </w:pPr>
            <w:r>
              <w:rPr>
                <w:rFonts w:hint="eastAsia"/>
                <w:color w:val="auto"/>
                <w:szCs w:val="28"/>
                <w:highlight w:val="none"/>
              </w:rPr>
              <w:t>姓名</w:t>
            </w:r>
          </w:p>
        </w:tc>
        <w:tc>
          <w:tcPr>
            <w:tcW w:w="1202" w:type="dxa"/>
            <w:noWrap w:val="0"/>
            <w:vAlign w:val="top"/>
          </w:tcPr>
          <w:p>
            <w:pPr>
              <w:rPr>
                <w:color w:val="auto"/>
                <w:szCs w:val="28"/>
                <w:highlight w:val="none"/>
              </w:rPr>
            </w:pPr>
            <w:r>
              <w:rPr>
                <w:rFonts w:hint="eastAsia"/>
                <w:color w:val="auto"/>
                <w:szCs w:val="28"/>
                <w:highlight w:val="none"/>
              </w:rPr>
              <w:t>进入时间</w:t>
            </w:r>
          </w:p>
        </w:tc>
        <w:tc>
          <w:tcPr>
            <w:tcW w:w="1202" w:type="dxa"/>
            <w:noWrap w:val="0"/>
            <w:vAlign w:val="top"/>
          </w:tcPr>
          <w:p>
            <w:pPr>
              <w:rPr>
                <w:color w:val="auto"/>
                <w:szCs w:val="28"/>
                <w:highlight w:val="none"/>
              </w:rPr>
            </w:pPr>
            <w:r>
              <w:rPr>
                <w:rFonts w:hint="eastAsia"/>
                <w:color w:val="auto"/>
                <w:szCs w:val="28"/>
                <w:highlight w:val="none"/>
              </w:rPr>
              <w:t>离开时间</w:t>
            </w:r>
          </w:p>
        </w:tc>
        <w:tc>
          <w:tcPr>
            <w:tcW w:w="1202" w:type="dxa"/>
            <w:noWrap w:val="0"/>
            <w:vAlign w:val="top"/>
          </w:tcPr>
          <w:p>
            <w:pPr>
              <w:rPr>
                <w:color w:val="auto"/>
                <w:szCs w:val="28"/>
                <w:highlight w:val="none"/>
              </w:rPr>
            </w:pPr>
            <w:r>
              <w:rPr>
                <w:rFonts w:hint="eastAsia"/>
                <w:color w:val="auto"/>
                <w:szCs w:val="28"/>
                <w:highlight w:val="none"/>
              </w:rPr>
              <w:t>所属单位</w:t>
            </w:r>
          </w:p>
        </w:tc>
        <w:tc>
          <w:tcPr>
            <w:tcW w:w="1352" w:type="dxa"/>
            <w:noWrap w:val="0"/>
            <w:vAlign w:val="top"/>
          </w:tcPr>
          <w:p>
            <w:pPr>
              <w:rPr>
                <w:color w:val="auto"/>
                <w:szCs w:val="28"/>
                <w:highlight w:val="none"/>
              </w:rPr>
            </w:pPr>
            <w:r>
              <w:rPr>
                <w:rFonts w:hint="eastAsia"/>
                <w:color w:val="auto"/>
                <w:szCs w:val="28"/>
                <w:highlight w:val="none"/>
              </w:rPr>
              <w:t>联系方式</w:t>
            </w:r>
          </w:p>
        </w:tc>
        <w:tc>
          <w:tcPr>
            <w:tcW w:w="1352" w:type="dxa"/>
            <w:noWrap w:val="0"/>
            <w:vAlign w:val="top"/>
          </w:tcPr>
          <w:p>
            <w:pPr>
              <w:rPr>
                <w:color w:val="auto"/>
                <w:szCs w:val="28"/>
                <w:highlight w:val="none"/>
              </w:rPr>
            </w:pPr>
            <w:r>
              <w:rPr>
                <w:rFonts w:hint="eastAsia"/>
                <w:color w:val="auto"/>
                <w:szCs w:val="28"/>
                <w:highlight w:val="none"/>
              </w:rPr>
              <w:t>证件号码</w:t>
            </w:r>
          </w:p>
        </w:tc>
        <w:tc>
          <w:tcPr>
            <w:tcW w:w="1799" w:type="dxa"/>
            <w:noWrap w:val="0"/>
            <w:vAlign w:val="top"/>
          </w:tcPr>
          <w:p>
            <w:pPr>
              <w:rPr>
                <w:color w:val="auto"/>
                <w:szCs w:val="28"/>
                <w:highlight w:val="none"/>
              </w:rPr>
            </w:pPr>
            <w:r>
              <w:rPr>
                <w:rFonts w:hint="eastAsia"/>
                <w:color w:val="auto"/>
                <w:szCs w:val="28"/>
                <w:highlight w:val="none"/>
              </w:rPr>
              <w:t>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52" w:type="dxa"/>
            <w:noWrap w:val="0"/>
            <w:vAlign w:val="top"/>
          </w:tcPr>
          <w:p>
            <w:pPr>
              <w:rPr>
                <w:color w:val="auto"/>
                <w:szCs w:val="28"/>
                <w:highlight w:val="none"/>
              </w:rPr>
            </w:pPr>
          </w:p>
        </w:tc>
        <w:tc>
          <w:tcPr>
            <w:tcW w:w="1202" w:type="dxa"/>
            <w:noWrap w:val="0"/>
            <w:vAlign w:val="top"/>
          </w:tcPr>
          <w:p>
            <w:pPr>
              <w:rPr>
                <w:color w:val="auto"/>
                <w:szCs w:val="28"/>
                <w:highlight w:val="none"/>
              </w:rPr>
            </w:pPr>
          </w:p>
        </w:tc>
        <w:tc>
          <w:tcPr>
            <w:tcW w:w="1202" w:type="dxa"/>
            <w:noWrap w:val="0"/>
            <w:vAlign w:val="top"/>
          </w:tcPr>
          <w:p>
            <w:pPr>
              <w:rPr>
                <w:color w:val="auto"/>
                <w:szCs w:val="28"/>
                <w:highlight w:val="none"/>
              </w:rPr>
            </w:pPr>
          </w:p>
        </w:tc>
        <w:tc>
          <w:tcPr>
            <w:tcW w:w="1202" w:type="dxa"/>
            <w:noWrap w:val="0"/>
            <w:vAlign w:val="top"/>
          </w:tcPr>
          <w:p>
            <w:pPr>
              <w:rPr>
                <w:color w:val="auto"/>
                <w:szCs w:val="28"/>
                <w:highlight w:val="none"/>
              </w:rPr>
            </w:pPr>
          </w:p>
        </w:tc>
        <w:tc>
          <w:tcPr>
            <w:tcW w:w="1352" w:type="dxa"/>
            <w:noWrap w:val="0"/>
            <w:vAlign w:val="top"/>
          </w:tcPr>
          <w:p>
            <w:pPr>
              <w:rPr>
                <w:color w:val="auto"/>
                <w:szCs w:val="28"/>
                <w:highlight w:val="none"/>
              </w:rPr>
            </w:pPr>
          </w:p>
        </w:tc>
        <w:tc>
          <w:tcPr>
            <w:tcW w:w="1352" w:type="dxa"/>
            <w:noWrap w:val="0"/>
            <w:vAlign w:val="top"/>
          </w:tcPr>
          <w:p>
            <w:pPr>
              <w:rPr>
                <w:color w:val="auto"/>
                <w:szCs w:val="28"/>
                <w:highlight w:val="none"/>
              </w:rPr>
            </w:pPr>
          </w:p>
        </w:tc>
        <w:tc>
          <w:tcPr>
            <w:tcW w:w="1799" w:type="dxa"/>
            <w:noWrap w:val="0"/>
            <w:vAlign w:val="top"/>
          </w:tcPr>
          <w:p>
            <w:pPr>
              <w:rPr>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52" w:type="dxa"/>
            <w:noWrap w:val="0"/>
            <w:vAlign w:val="top"/>
          </w:tcPr>
          <w:p>
            <w:pPr>
              <w:rPr>
                <w:color w:val="auto"/>
                <w:szCs w:val="28"/>
                <w:highlight w:val="none"/>
              </w:rPr>
            </w:pPr>
          </w:p>
        </w:tc>
        <w:tc>
          <w:tcPr>
            <w:tcW w:w="1202" w:type="dxa"/>
            <w:noWrap w:val="0"/>
            <w:vAlign w:val="top"/>
          </w:tcPr>
          <w:p>
            <w:pPr>
              <w:rPr>
                <w:color w:val="auto"/>
                <w:szCs w:val="28"/>
                <w:highlight w:val="none"/>
              </w:rPr>
            </w:pPr>
          </w:p>
        </w:tc>
        <w:tc>
          <w:tcPr>
            <w:tcW w:w="1202" w:type="dxa"/>
            <w:noWrap w:val="0"/>
            <w:vAlign w:val="top"/>
          </w:tcPr>
          <w:p>
            <w:pPr>
              <w:rPr>
                <w:color w:val="auto"/>
                <w:szCs w:val="28"/>
                <w:highlight w:val="none"/>
              </w:rPr>
            </w:pPr>
          </w:p>
        </w:tc>
        <w:tc>
          <w:tcPr>
            <w:tcW w:w="1202" w:type="dxa"/>
            <w:noWrap w:val="0"/>
            <w:vAlign w:val="top"/>
          </w:tcPr>
          <w:p>
            <w:pPr>
              <w:rPr>
                <w:color w:val="auto"/>
                <w:szCs w:val="28"/>
                <w:highlight w:val="none"/>
              </w:rPr>
            </w:pPr>
          </w:p>
        </w:tc>
        <w:tc>
          <w:tcPr>
            <w:tcW w:w="1352" w:type="dxa"/>
            <w:noWrap w:val="0"/>
            <w:vAlign w:val="top"/>
          </w:tcPr>
          <w:p>
            <w:pPr>
              <w:rPr>
                <w:color w:val="auto"/>
                <w:szCs w:val="28"/>
                <w:highlight w:val="none"/>
              </w:rPr>
            </w:pPr>
          </w:p>
        </w:tc>
        <w:tc>
          <w:tcPr>
            <w:tcW w:w="1352" w:type="dxa"/>
            <w:noWrap w:val="0"/>
            <w:vAlign w:val="top"/>
          </w:tcPr>
          <w:p>
            <w:pPr>
              <w:rPr>
                <w:color w:val="auto"/>
                <w:szCs w:val="28"/>
                <w:highlight w:val="none"/>
              </w:rPr>
            </w:pPr>
          </w:p>
        </w:tc>
        <w:tc>
          <w:tcPr>
            <w:tcW w:w="1799" w:type="dxa"/>
            <w:noWrap w:val="0"/>
            <w:vAlign w:val="top"/>
          </w:tcPr>
          <w:p>
            <w:pPr>
              <w:rPr>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52" w:type="dxa"/>
            <w:noWrap w:val="0"/>
            <w:vAlign w:val="top"/>
          </w:tcPr>
          <w:p>
            <w:pPr>
              <w:rPr>
                <w:color w:val="auto"/>
                <w:szCs w:val="28"/>
                <w:highlight w:val="none"/>
              </w:rPr>
            </w:pPr>
          </w:p>
        </w:tc>
        <w:tc>
          <w:tcPr>
            <w:tcW w:w="1202" w:type="dxa"/>
            <w:noWrap w:val="0"/>
            <w:vAlign w:val="top"/>
          </w:tcPr>
          <w:p>
            <w:pPr>
              <w:rPr>
                <w:color w:val="auto"/>
                <w:szCs w:val="28"/>
                <w:highlight w:val="none"/>
              </w:rPr>
            </w:pPr>
          </w:p>
        </w:tc>
        <w:tc>
          <w:tcPr>
            <w:tcW w:w="1202" w:type="dxa"/>
            <w:noWrap w:val="0"/>
            <w:vAlign w:val="top"/>
          </w:tcPr>
          <w:p>
            <w:pPr>
              <w:rPr>
                <w:color w:val="auto"/>
                <w:szCs w:val="28"/>
                <w:highlight w:val="none"/>
              </w:rPr>
            </w:pPr>
          </w:p>
        </w:tc>
        <w:tc>
          <w:tcPr>
            <w:tcW w:w="1202" w:type="dxa"/>
            <w:noWrap w:val="0"/>
            <w:vAlign w:val="top"/>
          </w:tcPr>
          <w:p>
            <w:pPr>
              <w:rPr>
                <w:color w:val="auto"/>
                <w:szCs w:val="28"/>
                <w:highlight w:val="none"/>
              </w:rPr>
            </w:pPr>
          </w:p>
        </w:tc>
        <w:tc>
          <w:tcPr>
            <w:tcW w:w="1352" w:type="dxa"/>
            <w:noWrap w:val="0"/>
            <w:vAlign w:val="top"/>
          </w:tcPr>
          <w:p>
            <w:pPr>
              <w:rPr>
                <w:color w:val="auto"/>
                <w:szCs w:val="28"/>
                <w:highlight w:val="none"/>
              </w:rPr>
            </w:pPr>
          </w:p>
        </w:tc>
        <w:tc>
          <w:tcPr>
            <w:tcW w:w="1352" w:type="dxa"/>
            <w:noWrap w:val="0"/>
            <w:vAlign w:val="top"/>
          </w:tcPr>
          <w:p>
            <w:pPr>
              <w:rPr>
                <w:color w:val="auto"/>
                <w:szCs w:val="28"/>
                <w:highlight w:val="none"/>
              </w:rPr>
            </w:pPr>
          </w:p>
        </w:tc>
        <w:tc>
          <w:tcPr>
            <w:tcW w:w="1799" w:type="dxa"/>
            <w:noWrap w:val="0"/>
            <w:vAlign w:val="top"/>
          </w:tcPr>
          <w:p>
            <w:pPr>
              <w:rPr>
                <w:color w:val="auto"/>
                <w:szCs w:val="28"/>
                <w:highlight w:val="none"/>
              </w:rPr>
            </w:pPr>
          </w:p>
        </w:tc>
      </w:tr>
    </w:tbl>
    <w:p>
      <w:pPr>
        <w:tabs>
          <w:tab w:val="left" w:pos="1320"/>
        </w:tabs>
        <w:spacing w:before="120" w:beforeLines="50" w:after="120" w:afterLines="50" w:line="360" w:lineRule="auto"/>
        <w:rPr>
          <w:rFonts w:hAnsi="宋体"/>
          <w:bCs/>
          <w:color w:val="auto"/>
          <w:szCs w:val="21"/>
          <w:highlight w:val="none"/>
        </w:rPr>
      </w:pPr>
    </w:p>
    <w:p>
      <w:pPr>
        <w:jc w:val="center"/>
        <w:rPr>
          <w:color w:val="auto"/>
          <w:sz w:val="30"/>
          <w:szCs w:val="30"/>
          <w:highlight w:val="none"/>
        </w:rPr>
      </w:pPr>
      <w:r>
        <w:rPr>
          <w:rFonts w:hint="eastAsia"/>
          <w:bCs/>
          <w:color w:val="auto"/>
          <w:szCs w:val="21"/>
          <w:highlight w:val="none"/>
        </w:rPr>
        <w:t>指挥中心接收事件登记</w:t>
      </w:r>
      <w:r>
        <w:rPr>
          <w:rFonts w:hint="eastAsia" w:hAnsi="宋体"/>
          <w:bCs/>
          <w:color w:val="auto"/>
          <w:szCs w:val="21"/>
          <w:highlight w:val="none"/>
        </w:rPr>
        <w:t>（模板）</w:t>
      </w:r>
    </w:p>
    <w:tbl>
      <w:tblPr>
        <w:tblStyle w:val="80"/>
        <w:tblpPr w:leftFromText="180" w:rightFromText="180" w:vertAnchor="text" w:horzAnchor="page" w:tblpX="1428" w:tblpY="426"/>
        <w:tblOverlap w:val="never"/>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1260"/>
        <w:gridCol w:w="3457"/>
        <w:gridCol w:w="1885"/>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53" w:type="dxa"/>
            <w:noWrap w:val="0"/>
            <w:vAlign w:val="top"/>
          </w:tcPr>
          <w:p>
            <w:pPr>
              <w:jc w:val="center"/>
              <w:rPr>
                <w:color w:val="auto"/>
                <w:highlight w:val="none"/>
              </w:rPr>
            </w:pPr>
            <w:r>
              <w:rPr>
                <w:rFonts w:hint="eastAsia"/>
                <w:color w:val="auto"/>
                <w:highlight w:val="none"/>
              </w:rPr>
              <w:t>序号</w:t>
            </w:r>
          </w:p>
        </w:tc>
        <w:tc>
          <w:tcPr>
            <w:tcW w:w="1260" w:type="dxa"/>
            <w:noWrap w:val="0"/>
            <w:vAlign w:val="top"/>
          </w:tcPr>
          <w:p>
            <w:pPr>
              <w:jc w:val="center"/>
              <w:rPr>
                <w:color w:val="auto"/>
                <w:highlight w:val="none"/>
              </w:rPr>
            </w:pPr>
            <w:r>
              <w:rPr>
                <w:rFonts w:hint="eastAsia"/>
                <w:color w:val="auto"/>
                <w:highlight w:val="none"/>
              </w:rPr>
              <w:t>日期</w:t>
            </w:r>
          </w:p>
        </w:tc>
        <w:tc>
          <w:tcPr>
            <w:tcW w:w="3457" w:type="dxa"/>
            <w:noWrap w:val="0"/>
            <w:vAlign w:val="top"/>
          </w:tcPr>
          <w:p>
            <w:pPr>
              <w:jc w:val="center"/>
              <w:rPr>
                <w:color w:val="auto"/>
                <w:highlight w:val="none"/>
              </w:rPr>
            </w:pPr>
            <w:r>
              <w:rPr>
                <w:rFonts w:hint="eastAsia"/>
                <w:color w:val="auto"/>
                <w:highlight w:val="none"/>
              </w:rPr>
              <w:t>事件内容</w:t>
            </w:r>
          </w:p>
        </w:tc>
        <w:tc>
          <w:tcPr>
            <w:tcW w:w="1885" w:type="dxa"/>
            <w:noWrap w:val="0"/>
            <w:vAlign w:val="top"/>
          </w:tcPr>
          <w:p>
            <w:pPr>
              <w:jc w:val="center"/>
              <w:rPr>
                <w:color w:val="auto"/>
                <w:highlight w:val="none"/>
              </w:rPr>
            </w:pPr>
            <w:r>
              <w:rPr>
                <w:rFonts w:hint="eastAsia"/>
                <w:color w:val="auto"/>
                <w:highlight w:val="none"/>
              </w:rPr>
              <w:t>处理情况</w:t>
            </w:r>
          </w:p>
        </w:tc>
        <w:tc>
          <w:tcPr>
            <w:tcW w:w="1464" w:type="dxa"/>
            <w:noWrap w:val="0"/>
            <w:vAlign w:val="top"/>
          </w:tcPr>
          <w:p>
            <w:pPr>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53" w:type="dxa"/>
            <w:noWrap w:val="0"/>
            <w:vAlign w:val="top"/>
          </w:tcPr>
          <w:p>
            <w:pPr>
              <w:jc w:val="center"/>
              <w:rPr>
                <w:color w:val="auto"/>
                <w:highlight w:val="none"/>
              </w:rPr>
            </w:pPr>
          </w:p>
        </w:tc>
        <w:tc>
          <w:tcPr>
            <w:tcW w:w="1260" w:type="dxa"/>
            <w:noWrap w:val="0"/>
            <w:vAlign w:val="top"/>
          </w:tcPr>
          <w:p>
            <w:pPr>
              <w:jc w:val="center"/>
              <w:rPr>
                <w:color w:val="auto"/>
                <w:highlight w:val="none"/>
              </w:rPr>
            </w:pPr>
          </w:p>
        </w:tc>
        <w:tc>
          <w:tcPr>
            <w:tcW w:w="3457" w:type="dxa"/>
            <w:noWrap w:val="0"/>
            <w:vAlign w:val="top"/>
          </w:tcPr>
          <w:p>
            <w:pPr>
              <w:jc w:val="center"/>
              <w:rPr>
                <w:color w:val="auto"/>
                <w:highlight w:val="none"/>
              </w:rPr>
            </w:pPr>
          </w:p>
        </w:tc>
        <w:tc>
          <w:tcPr>
            <w:tcW w:w="1885" w:type="dxa"/>
            <w:noWrap w:val="0"/>
            <w:vAlign w:val="top"/>
          </w:tcPr>
          <w:p>
            <w:pPr>
              <w:jc w:val="center"/>
              <w:rPr>
                <w:color w:val="auto"/>
                <w:highlight w:val="none"/>
              </w:rPr>
            </w:pPr>
          </w:p>
        </w:tc>
        <w:tc>
          <w:tcPr>
            <w:tcW w:w="1464" w:type="dxa"/>
            <w:noWrap w:val="0"/>
            <w:vAlign w:val="top"/>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53" w:type="dxa"/>
            <w:noWrap w:val="0"/>
            <w:vAlign w:val="top"/>
          </w:tcPr>
          <w:p>
            <w:pPr>
              <w:jc w:val="center"/>
              <w:rPr>
                <w:color w:val="auto"/>
                <w:highlight w:val="none"/>
              </w:rPr>
            </w:pPr>
          </w:p>
        </w:tc>
        <w:tc>
          <w:tcPr>
            <w:tcW w:w="1260" w:type="dxa"/>
            <w:noWrap w:val="0"/>
            <w:vAlign w:val="top"/>
          </w:tcPr>
          <w:p>
            <w:pPr>
              <w:jc w:val="center"/>
              <w:rPr>
                <w:color w:val="auto"/>
                <w:highlight w:val="none"/>
              </w:rPr>
            </w:pPr>
          </w:p>
        </w:tc>
        <w:tc>
          <w:tcPr>
            <w:tcW w:w="3457" w:type="dxa"/>
            <w:noWrap w:val="0"/>
            <w:vAlign w:val="top"/>
          </w:tcPr>
          <w:p>
            <w:pPr>
              <w:jc w:val="center"/>
              <w:rPr>
                <w:color w:val="auto"/>
                <w:highlight w:val="none"/>
              </w:rPr>
            </w:pPr>
          </w:p>
        </w:tc>
        <w:tc>
          <w:tcPr>
            <w:tcW w:w="1885" w:type="dxa"/>
            <w:noWrap w:val="0"/>
            <w:vAlign w:val="top"/>
          </w:tcPr>
          <w:p>
            <w:pPr>
              <w:jc w:val="center"/>
              <w:rPr>
                <w:color w:val="auto"/>
                <w:highlight w:val="none"/>
              </w:rPr>
            </w:pPr>
          </w:p>
        </w:tc>
        <w:tc>
          <w:tcPr>
            <w:tcW w:w="1464" w:type="dxa"/>
            <w:noWrap w:val="0"/>
            <w:vAlign w:val="top"/>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053" w:type="dxa"/>
            <w:noWrap w:val="0"/>
            <w:vAlign w:val="top"/>
          </w:tcPr>
          <w:p>
            <w:pPr>
              <w:jc w:val="center"/>
              <w:rPr>
                <w:color w:val="auto"/>
                <w:highlight w:val="none"/>
              </w:rPr>
            </w:pPr>
          </w:p>
        </w:tc>
        <w:tc>
          <w:tcPr>
            <w:tcW w:w="1260" w:type="dxa"/>
            <w:noWrap w:val="0"/>
            <w:vAlign w:val="top"/>
          </w:tcPr>
          <w:p>
            <w:pPr>
              <w:jc w:val="center"/>
              <w:rPr>
                <w:color w:val="auto"/>
                <w:highlight w:val="none"/>
              </w:rPr>
            </w:pPr>
          </w:p>
        </w:tc>
        <w:tc>
          <w:tcPr>
            <w:tcW w:w="3457" w:type="dxa"/>
            <w:noWrap w:val="0"/>
            <w:vAlign w:val="top"/>
          </w:tcPr>
          <w:p>
            <w:pPr>
              <w:jc w:val="center"/>
              <w:rPr>
                <w:color w:val="auto"/>
                <w:highlight w:val="none"/>
              </w:rPr>
            </w:pPr>
          </w:p>
        </w:tc>
        <w:tc>
          <w:tcPr>
            <w:tcW w:w="1885" w:type="dxa"/>
            <w:noWrap w:val="0"/>
            <w:vAlign w:val="top"/>
          </w:tcPr>
          <w:p>
            <w:pPr>
              <w:jc w:val="center"/>
              <w:rPr>
                <w:color w:val="auto"/>
                <w:highlight w:val="none"/>
              </w:rPr>
            </w:pPr>
          </w:p>
        </w:tc>
        <w:tc>
          <w:tcPr>
            <w:tcW w:w="1464" w:type="dxa"/>
            <w:noWrap w:val="0"/>
            <w:vAlign w:val="top"/>
          </w:tcPr>
          <w:p>
            <w:pPr>
              <w:jc w:val="center"/>
              <w:rPr>
                <w:color w:val="auto"/>
                <w:highlight w:val="none"/>
              </w:rPr>
            </w:pPr>
          </w:p>
        </w:tc>
      </w:tr>
    </w:tbl>
    <w:p>
      <w:pPr>
        <w:tabs>
          <w:tab w:val="left" w:pos="1320"/>
        </w:tabs>
        <w:spacing w:line="360" w:lineRule="auto"/>
        <w:rPr>
          <w:rFonts w:hint="eastAsia" w:ascii="宋体" w:hAnsi="宋体"/>
          <w:b/>
          <w:bCs/>
          <w:color w:val="auto"/>
          <w:szCs w:val="21"/>
          <w:highlight w:val="none"/>
        </w:rPr>
      </w:pPr>
    </w:p>
    <w:p>
      <w:pPr>
        <w:tabs>
          <w:tab w:val="left" w:pos="1320"/>
        </w:tabs>
        <w:spacing w:line="360" w:lineRule="auto"/>
        <w:rPr>
          <w:rFonts w:hint="eastAsia" w:ascii="宋体" w:hAnsi="宋体"/>
          <w:b/>
          <w:bCs/>
          <w:color w:val="auto"/>
          <w:szCs w:val="21"/>
          <w:highlight w:val="none"/>
        </w:rPr>
      </w:pPr>
    </w:p>
    <w:p>
      <w:pPr>
        <w:tabs>
          <w:tab w:val="left" w:pos="1320"/>
        </w:tabs>
        <w:spacing w:line="360" w:lineRule="auto"/>
        <w:rPr>
          <w:rFonts w:hint="eastAsia" w:ascii="宋体" w:hAnsi="宋体"/>
          <w:b/>
          <w:bCs/>
          <w:color w:val="auto"/>
          <w:szCs w:val="21"/>
          <w:highlight w:val="none"/>
        </w:rPr>
      </w:pPr>
      <w:r>
        <w:rPr>
          <w:rFonts w:hint="eastAsia" w:ascii="宋体" w:hAnsi="宋体"/>
          <w:b/>
          <w:bCs/>
          <w:color w:val="auto"/>
          <w:szCs w:val="21"/>
          <w:highlight w:val="none"/>
        </w:rPr>
        <w:t>三、服务要求</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1.院区内每月发生偷盗案件不得大于2起（以辖区***报案记录为准），每超过1起，采购人对中标人罚款1000.00元，连续三个月偷盗案件每月大于二起，或当月大于五起，采购人对中标人罚款5000元。</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2.由于中标人的责任导致医院物品被盗，中标人应按院方核准价格承担等价赔偿。</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3..地下室停车管理需与停车管理服务外包单位做好工作协调工作。对地下机动车库进行秩序监管，不得超量停车，确保出入口畅通，库内交通顺畅。</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4.如出现医护人员的身心受到侵犯，必须立即制止；依据情节及时报警，且控制肇事人员，配合公安部门进行处置。</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5.每月检查紧急呼叫系统，确保完好有效，出现故障要及时报告采购人修理；如出现紧急呼叫无应答，视后果轻重予以处罚。</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6.按《消防户籍化管理》落实消防管理措施，建立各种消防档案备查；组织义务消防队员学习和训练（按院方要求频次）及演练（按院方要求频次），并建立档案。</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7.若院方举行相关应急演练，中标单位须及时无条件予以配合，确保各种应急演练顺利实施。</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8.如需在院区张贴告示，必须得到采购人的许可，严禁乱张贴。</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9.中标人要维护采购人利益，文明、礼貌、优质服务，处处体现以病人为中心、病人优先的服务理念，不得做出有损采购人形象的言论或行为。</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10.因中标人在服务过程中产生纠纷及投诉由其自行解决，处理结果报采购人保卫处备案。因中标人原因，采购人接受相关主管部门检查不达标或出现违规现象，中标单位须承担相应责任，并落实整改。</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11.对第三方投诉处理。中标人应本着服务为本的精神落实安保工作，如有第三方投诉，每发生一起，经院保卫处查实后，则对中标人罚款1000.00元，并且必须妥善处理至投诉圆满解决。</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▲12.对安保岗位数的要求：鹿城院区合计</w:t>
      </w:r>
      <w:r>
        <w:rPr>
          <w:rFonts w:hint="eastAsia" w:ascii="宋体" w:hAnsi="宋体" w:cs="宋体"/>
          <w:color w:val="auto"/>
          <w:kern w:val="0"/>
          <w:szCs w:val="21"/>
          <w:highlight w:val="none"/>
          <w:lang w:val="en-US" w:eastAsia="zh-CN"/>
        </w:rPr>
        <w:t>64</w:t>
      </w:r>
      <w:r>
        <w:rPr>
          <w:rFonts w:hint="eastAsia" w:ascii="宋体" w:hAnsi="宋体" w:cs="宋体"/>
          <w:color w:val="auto"/>
          <w:kern w:val="0"/>
          <w:szCs w:val="21"/>
          <w:highlight w:val="none"/>
        </w:rPr>
        <w:t>个外包岗位，</w:t>
      </w:r>
      <w:r>
        <w:rPr>
          <w:rFonts w:hint="eastAsia" w:ascii="宋体" w:hAnsi="宋体" w:cs="宋体"/>
          <w:color w:val="auto"/>
          <w:kern w:val="0"/>
          <w:szCs w:val="21"/>
          <w:highlight w:val="none"/>
          <w:lang w:eastAsia="zh-CN"/>
        </w:rPr>
        <w:t>安保岗位分批次进驻，第一批派驻人员为</w:t>
      </w:r>
      <w:r>
        <w:rPr>
          <w:rFonts w:hint="eastAsia" w:ascii="宋体" w:hAnsi="宋体" w:cs="宋体"/>
          <w:color w:val="auto"/>
          <w:kern w:val="0"/>
          <w:szCs w:val="21"/>
          <w:highlight w:val="none"/>
          <w:lang w:val="en-US" w:eastAsia="zh-CN"/>
        </w:rPr>
        <w:t>52岗。另设置备用人员12岗，</w:t>
      </w:r>
      <w:r>
        <w:rPr>
          <w:rFonts w:hint="eastAsia" w:ascii="宋体" w:hAnsi="宋体" w:cs="宋体"/>
          <w:color w:val="auto"/>
          <w:kern w:val="0"/>
          <w:szCs w:val="21"/>
          <w:highlight w:val="none"/>
        </w:rPr>
        <w:t>具体到位时间以院方实际要求为准。</w:t>
      </w:r>
    </w:p>
    <w:p>
      <w:pPr>
        <w:spacing w:line="360" w:lineRule="auto"/>
        <w:rPr>
          <w:rFonts w:hint="eastAsia"/>
          <w:color w:val="auto"/>
          <w:highlight w:val="none"/>
        </w:rPr>
      </w:pPr>
      <w:r>
        <w:rPr>
          <w:rFonts w:hint="eastAsia" w:ascii="宋体" w:hAnsi="宋体" w:cs="宋体"/>
          <w:color w:val="auto"/>
          <w:kern w:val="0"/>
          <w:szCs w:val="21"/>
          <w:highlight w:val="none"/>
        </w:rPr>
        <w:t>（根据采购人实际需求派驻相应数量安保员）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13.1</w:t>
      </w:r>
      <w:r>
        <w:rPr>
          <w:rFonts w:hint="eastAsia"/>
          <w:bCs/>
          <w:color w:val="auto"/>
          <w:szCs w:val="28"/>
          <w:highlight w:val="none"/>
        </w:rPr>
        <w:t>学院路外包安保岗位（</w:t>
      </w:r>
      <w:r>
        <w:rPr>
          <w:rFonts w:hint="eastAsia"/>
          <w:bCs/>
          <w:color w:val="auto"/>
          <w:szCs w:val="28"/>
          <w:highlight w:val="none"/>
          <w:lang w:val="en-US" w:eastAsia="zh-CN"/>
        </w:rPr>
        <w:t>43</w:t>
      </w:r>
      <w:r>
        <w:rPr>
          <w:rFonts w:hint="eastAsia"/>
          <w:bCs/>
          <w:color w:val="auto"/>
          <w:szCs w:val="28"/>
          <w:highlight w:val="none"/>
        </w:rPr>
        <w:t>个）明细</w:t>
      </w:r>
    </w:p>
    <w:tbl>
      <w:tblPr>
        <w:tblStyle w:val="80"/>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2625"/>
        <w:gridCol w:w="1500"/>
        <w:gridCol w:w="4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64" w:type="dxa"/>
            <w:noWrap w:val="0"/>
            <w:vAlign w:val="center"/>
          </w:tcPr>
          <w:p>
            <w:pPr>
              <w:jc w:val="left"/>
              <w:rPr>
                <w:rFonts w:hint="eastAsia"/>
                <w:color w:val="auto"/>
                <w:szCs w:val="21"/>
                <w:highlight w:val="none"/>
              </w:rPr>
            </w:pPr>
            <w:r>
              <w:rPr>
                <w:rFonts w:hint="eastAsia" w:ascii="宋体" w:hAnsi="宋体" w:eastAsia="宋体" w:cs="宋体"/>
                <w:color w:val="auto"/>
                <w:sz w:val="20"/>
                <w:szCs w:val="20"/>
                <w:highlight w:val="none"/>
              </w:rPr>
              <w:t>序号</w:t>
            </w:r>
          </w:p>
        </w:tc>
        <w:tc>
          <w:tcPr>
            <w:tcW w:w="2625" w:type="dxa"/>
            <w:noWrap w:val="0"/>
            <w:vAlign w:val="center"/>
          </w:tcPr>
          <w:p>
            <w:pPr>
              <w:jc w:val="left"/>
              <w:rPr>
                <w:color w:val="auto"/>
                <w:szCs w:val="21"/>
                <w:highlight w:val="none"/>
              </w:rPr>
            </w:pPr>
            <w:r>
              <w:rPr>
                <w:rFonts w:hint="eastAsia" w:ascii="宋体" w:hAnsi="宋体" w:eastAsia="宋体" w:cs="宋体"/>
                <w:color w:val="auto"/>
                <w:sz w:val="20"/>
                <w:szCs w:val="20"/>
                <w:highlight w:val="none"/>
              </w:rPr>
              <w:t>岗位</w:t>
            </w:r>
          </w:p>
        </w:tc>
        <w:tc>
          <w:tcPr>
            <w:tcW w:w="1500" w:type="dxa"/>
            <w:noWrap w:val="0"/>
            <w:vAlign w:val="center"/>
          </w:tcPr>
          <w:p>
            <w:pPr>
              <w:jc w:val="left"/>
              <w:rPr>
                <w:color w:val="auto"/>
                <w:szCs w:val="21"/>
                <w:highlight w:val="none"/>
              </w:rPr>
            </w:pPr>
            <w:r>
              <w:rPr>
                <w:rFonts w:hint="eastAsia" w:ascii="宋体" w:hAnsi="宋体" w:eastAsia="宋体" w:cs="宋体"/>
                <w:color w:val="auto"/>
                <w:sz w:val="20"/>
                <w:szCs w:val="20"/>
                <w:highlight w:val="none"/>
              </w:rPr>
              <w:t>上班时间</w:t>
            </w:r>
          </w:p>
        </w:tc>
        <w:tc>
          <w:tcPr>
            <w:tcW w:w="4657" w:type="dxa"/>
            <w:noWrap w:val="0"/>
            <w:vAlign w:val="center"/>
          </w:tcPr>
          <w:p>
            <w:pPr>
              <w:jc w:val="left"/>
              <w:rPr>
                <w:color w:val="auto"/>
                <w:szCs w:val="21"/>
                <w:highlight w:val="none"/>
              </w:rPr>
            </w:pPr>
            <w:r>
              <w:rPr>
                <w:rFonts w:hint="eastAsia" w:ascii="宋体" w:hAnsi="宋体" w:eastAsia="宋体" w:cs="宋体"/>
                <w:color w:val="auto"/>
                <w:sz w:val="20"/>
                <w:szCs w:val="20"/>
                <w:highlight w:val="none"/>
              </w:rPr>
              <w:t>职责概述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rPr>
              <w:t>综合楼门诊一楼巡逻人员</w:t>
            </w:r>
          </w:p>
        </w:tc>
        <w:tc>
          <w:tcPr>
            <w:tcW w:w="1500" w:type="dxa"/>
            <w:noWrap w:val="0"/>
            <w:vAlign w:val="center"/>
          </w:tcPr>
          <w:p>
            <w:pPr>
              <w:widowControl/>
              <w:jc w:val="left"/>
              <w:textAlignment w:val="top"/>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rPr>
              <w:t>07:00—</w:t>
            </w:r>
            <w:r>
              <w:rPr>
                <w:rStyle w:val="292"/>
                <w:rFonts w:hint="eastAsia" w:ascii="宋体" w:hAnsi="宋体" w:eastAsia="宋体" w:cs="宋体"/>
                <w:color w:val="auto"/>
                <w:highlight w:val="none"/>
              </w:rPr>
              <w:t>17:00</w:t>
            </w:r>
          </w:p>
        </w:tc>
        <w:tc>
          <w:tcPr>
            <w:tcW w:w="4657" w:type="dxa"/>
            <w:vMerge w:val="restart"/>
            <w:noWrap w:val="0"/>
            <w:vAlign w:val="center"/>
          </w:tcPr>
          <w:p>
            <w:pPr>
              <w:widowControl/>
              <w:jc w:val="center"/>
              <w:textAlignment w:val="top"/>
              <w:rPr>
                <w:rFonts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收费、检验、药房、服务台、影像取片台的秩序维护，现金压送，是各类突发事件处置的第一波力量。</w:t>
            </w:r>
          </w:p>
          <w:p>
            <w:pPr>
              <w:rPr>
                <w:color w:val="auto"/>
                <w:highlight w:val="none"/>
              </w:rPr>
            </w:pPr>
          </w:p>
          <w:p>
            <w:pPr>
              <w:widowControl/>
              <w:jc w:val="both"/>
              <w:textAlignment w:val="top"/>
              <w:rPr>
                <w:rFonts w:hint="eastAsia" w:ascii="宋体" w:hAnsi="宋体" w:eastAsia="宋体" w:cs="宋体"/>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rPr>
              <w:t>综合楼门诊二楼巡逻人员1</w:t>
            </w:r>
          </w:p>
        </w:tc>
        <w:tc>
          <w:tcPr>
            <w:tcW w:w="1500" w:type="dxa"/>
            <w:noWrap w:val="0"/>
            <w:vAlign w:val="center"/>
          </w:tcPr>
          <w:p>
            <w:pPr>
              <w:widowControl/>
              <w:jc w:val="left"/>
              <w:textAlignment w:val="top"/>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rPr>
              <w:t>07:00—</w:t>
            </w:r>
            <w:r>
              <w:rPr>
                <w:rStyle w:val="292"/>
                <w:rFonts w:hint="eastAsia" w:ascii="宋体" w:hAnsi="宋体" w:eastAsia="宋体" w:cs="宋体"/>
                <w:color w:val="auto"/>
                <w:highlight w:val="none"/>
              </w:rPr>
              <w:t>15:30</w:t>
            </w:r>
          </w:p>
        </w:tc>
        <w:tc>
          <w:tcPr>
            <w:tcW w:w="4657" w:type="dxa"/>
            <w:vMerge w:val="continue"/>
            <w:noWrap w:val="0"/>
            <w:vAlign w:val="center"/>
          </w:tcPr>
          <w:p>
            <w:pPr>
              <w:widowControl/>
              <w:jc w:val="left"/>
              <w:textAlignment w:val="top"/>
              <w:rPr>
                <w:rFonts w:hint="eastAsia" w:ascii="宋体" w:hAnsi="宋体" w:eastAsia="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rPr>
              <w:t>综合楼门诊二楼巡逻人员2</w:t>
            </w:r>
          </w:p>
        </w:tc>
        <w:tc>
          <w:tcPr>
            <w:tcW w:w="1500" w:type="dxa"/>
            <w:noWrap w:val="0"/>
            <w:vAlign w:val="center"/>
          </w:tcPr>
          <w:p>
            <w:pPr>
              <w:widowControl/>
              <w:jc w:val="left"/>
              <w:textAlignment w:val="top"/>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rPr>
              <w:t>07:00—</w:t>
            </w:r>
            <w:r>
              <w:rPr>
                <w:rStyle w:val="292"/>
                <w:rFonts w:hint="eastAsia" w:ascii="宋体" w:hAnsi="宋体" w:eastAsia="宋体" w:cs="宋体"/>
                <w:color w:val="auto"/>
                <w:highlight w:val="none"/>
              </w:rPr>
              <w:t>15:30</w:t>
            </w:r>
          </w:p>
        </w:tc>
        <w:tc>
          <w:tcPr>
            <w:tcW w:w="4657" w:type="dxa"/>
            <w:vMerge w:val="continue"/>
            <w:noWrap w:val="0"/>
            <w:vAlign w:val="center"/>
          </w:tcPr>
          <w:p>
            <w:pPr>
              <w:widowControl/>
              <w:jc w:val="left"/>
              <w:textAlignment w:val="top"/>
              <w:rPr>
                <w:rFonts w:hint="eastAsia" w:ascii="宋体" w:hAnsi="宋体" w:eastAsia="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rPr>
              <w:t>综合楼门诊三楼巡逻人员</w:t>
            </w:r>
          </w:p>
        </w:tc>
        <w:tc>
          <w:tcPr>
            <w:tcW w:w="1500" w:type="dxa"/>
            <w:noWrap w:val="0"/>
            <w:vAlign w:val="center"/>
          </w:tcPr>
          <w:p>
            <w:pPr>
              <w:widowControl/>
              <w:jc w:val="left"/>
              <w:textAlignment w:val="top"/>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rPr>
              <w:t>07:00—</w:t>
            </w:r>
            <w:r>
              <w:rPr>
                <w:rStyle w:val="292"/>
                <w:rFonts w:hint="eastAsia" w:ascii="宋体" w:hAnsi="宋体" w:eastAsia="宋体" w:cs="宋体"/>
                <w:color w:val="auto"/>
                <w:highlight w:val="none"/>
              </w:rPr>
              <w:t>15:30</w:t>
            </w:r>
          </w:p>
        </w:tc>
        <w:tc>
          <w:tcPr>
            <w:tcW w:w="4657" w:type="dxa"/>
            <w:noWrap w:val="0"/>
            <w:vAlign w:val="center"/>
          </w:tcPr>
          <w:p>
            <w:pPr>
              <w:widowControl/>
              <w:jc w:val="center"/>
              <w:textAlignment w:val="top"/>
              <w:rPr>
                <w:rFonts w:ascii="宋体" w:hAnsi="宋体" w:eastAsia="宋体" w:cs="宋体"/>
                <w:color w:val="auto"/>
                <w:kern w:val="0"/>
                <w:sz w:val="20"/>
                <w:szCs w:val="20"/>
                <w:highlight w:val="none"/>
                <w:lang w:val="en-US" w:eastAsia="zh-CN" w:bidi="ar-SA"/>
              </w:rPr>
            </w:pPr>
            <w:r>
              <w:rPr>
                <w:rFonts w:hint="eastAsia" w:ascii="宋体" w:hAnsi="宋体" w:eastAsia="宋体" w:cs="宋体"/>
                <w:color w:val="auto"/>
                <w:sz w:val="20"/>
                <w:szCs w:val="20"/>
                <w:highlight w:val="none"/>
              </w:rPr>
              <w:t>负责</w:t>
            </w:r>
            <w:r>
              <w:rPr>
                <w:rFonts w:hint="eastAsia" w:ascii="宋体" w:hAnsi="宋体" w:eastAsia="宋体" w:cs="宋体"/>
                <w:color w:val="auto"/>
                <w:sz w:val="20"/>
                <w:szCs w:val="20"/>
                <w:highlight w:val="none"/>
                <w:lang w:eastAsia="zh-CN"/>
              </w:rPr>
              <w:t>白</w:t>
            </w:r>
            <w:r>
              <w:rPr>
                <w:rFonts w:hint="eastAsia" w:ascii="宋体" w:hAnsi="宋体" w:eastAsia="宋体" w:cs="宋体"/>
                <w:color w:val="auto"/>
                <w:sz w:val="20"/>
                <w:szCs w:val="20"/>
                <w:highlight w:val="none"/>
              </w:rPr>
              <w:t>班安保人员工作监督、协调，突发事件处置</w:t>
            </w:r>
          </w:p>
          <w:p>
            <w:pPr>
              <w:widowControl/>
              <w:jc w:val="center"/>
              <w:textAlignment w:val="top"/>
              <w:rPr>
                <w:rFonts w:hint="eastAsia" w:ascii="宋体" w:hAnsi="宋体" w:eastAsia="宋体" w:cs="宋体"/>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综合楼门诊四楼巡逻人员</w:t>
            </w:r>
          </w:p>
        </w:tc>
        <w:tc>
          <w:tcPr>
            <w:tcW w:w="1500" w:type="dxa"/>
            <w:noWrap w:val="0"/>
            <w:vAlign w:val="center"/>
          </w:tcPr>
          <w:p>
            <w:pPr>
              <w:widowControl/>
              <w:jc w:val="left"/>
              <w:textAlignment w:val="top"/>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rPr>
              <w:t>07:00—</w:t>
            </w:r>
            <w:r>
              <w:rPr>
                <w:rStyle w:val="292"/>
                <w:rFonts w:hint="eastAsia" w:ascii="宋体" w:hAnsi="宋体" w:eastAsia="宋体" w:cs="宋体"/>
                <w:color w:val="auto"/>
                <w:highlight w:val="none"/>
              </w:rPr>
              <w:t>15:30</w:t>
            </w:r>
          </w:p>
        </w:tc>
        <w:tc>
          <w:tcPr>
            <w:tcW w:w="4657" w:type="dxa"/>
            <w:noWrap w:val="0"/>
            <w:vAlign w:val="center"/>
          </w:tcPr>
          <w:p>
            <w:pPr>
              <w:widowControl/>
              <w:jc w:val="center"/>
              <w:textAlignment w:val="top"/>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负责病区、门诊、急诊、停车场区域的不间断巡逻，听从队长的指挥，根据各区域的不同情况，给予人员上的支持，是各类突发事件处置的第二波力量。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rPr>
              <w:t>儿童门诊一楼巡逻人员</w:t>
            </w:r>
          </w:p>
        </w:tc>
        <w:tc>
          <w:tcPr>
            <w:tcW w:w="1500" w:type="dxa"/>
            <w:noWrap w:val="0"/>
            <w:vAlign w:val="center"/>
          </w:tcPr>
          <w:p>
            <w:pPr>
              <w:widowControl/>
              <w:jc w:val="left"/>
              <w:textAlignment w:val="top"/>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rPr>
              <w:t>07:00—</w:t>
            </w:r>
            <w:r>
              <w:rPr>
                <w:rStyle w:val="292"/>
                <w:rFonts w:hint="eastAsia" w:ascii="宋体" w:hAnsi="宋体" w:eastAsia="宋体" w:cs="宋体"/>
                <w:color w:val="auto"/>
                <w:highlight w:val="none"/>
              </w:rPr>
              <w:t>15:30</w:t>
            </w:r>
          </w:p>
        </w:tc>
        <w:tc>
          <w:tcPr>
            <w:tcW w:w="4657" w:type="dxa"/>
            <w:noWrap w:val="0"/>
            <w:vAlign w:val="center"/>
          </w:tcPr>
          <w:p>
            <w:pPr>
              <w:widowControl/>
              <w:jc w:val="center"/>
              <w:textAlignment w:val="top"/>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收费、检验、药房、急诊的秩序维护，现金压送，是各类突发事件处置的第一波力量。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儿童门诊二楼巡逻人员1</w:t>
            </w:r>
          </w:p>
        </w:tc>
        <w:tc>
          <w:tcPr>
            <w:tcW w:w="1500" w:type="dxa"/>
            <w:noWrap w:val="0"/>
            <w:vAlign w:val="center"/>
          </w:tcPr>
          <w:p>
            <w:pPr>
              <w:widowControl/>
              <w:jc w:val="left"/>
              <w:textAlignment w:val="top"/>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07:00—15:30</w:t>
            </w:r>
          </w:p>
        </w:tc>
        <w:tc>
          <w:tcPr>
            <w:tcW w:w="4657" w:type="dxa"/>
            <w:noWrap w:val="0"/>
            <w:vAlign w:val="center"/>
          </w:tcPr>
          <w:p>
            <w:pPr>
              <w:widowControl/>
              <w:jc w:val="center"/>
              <w:textAlignment w:val="top"/>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一号楼二楼内科门诊的秩序维护，是各类突发事件处置的第一波力量。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儿童门诊二楼巡逻人员2</w:t>
            </w:r>
          </w:p>
        </w:tc>
        <w:tc>
          <w:tcPr>
            <w:tcW w:w="1500" w:type="dxa"/>
            <w:noWrap w:val="0"/>
            <w:vAlign w:val="center"/>
          </w:tcPr>
          <w:p>
            <w:pPr>
              <w:widowControl/>
              <w:jc w:val="left"/>
              <w:textAlignment w:val="top"/>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rPr>
              <w:t>07:00—</w:t>
            </w:r>
            <w:r>
              <w:rPr>
                <w:rStyle w:val="292"/>
                <w:rFonts w:hint="eastAsia" w:ascii="宋体" w:hAnsi="宋体" w:eastAsia="宋体" w:cs="宋体"/>
                <w:color w:val="auto"/>
                <w:highlight w:val="none"/>
              </w:rPr>
              <w:t>15:30</w:t>
            </w:r>
          </w:p>
        </w:tc>
        <w:tc>
          <w:tcPr>
            <w:tcW w:w="4657" w:type="dxa"/>
            <w:noWrap w:val="0"/>
            <w:vAlign w:val="center"/>
          </w:tcPr>
          <w:p>
            <w:pPr>
              <w:widowControl/>
              <w:jc w:val="center"/>
              <w:textAlignment w:val="top"/>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一号楼二楼外科门诊、二号楼二楼内科门诊的秩序维护，是各类突发事件处置的第一波力量。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center"/>
              <w:textAlignment w:val="top"/>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七号楼二楼B超室巡逻人员</w:t>
            </w:r>
          </w:p>
        </w:tc>
        <w:tc>
          <w:tcPr>
            <w:tcW w:w="1500" w:type="dxa"/>
            <w:noWrap w:val="0"/>
            <w:vAlign w:val="center"/>
          </w:tcPr>
          <w:p>
            <w:pPr>
              <w:widowControl/>
              <w:jc w:val="center"/>
              <w:textAlignment w:val="top"/>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07:00—15:30</w:t>
            </w:r>
          </w:p>
        </w:tc>
        <w:tc>
          <w:tcPr>
            <w:tcW w:w="4657" w:type="dxa"/>
            <w:noWrap w:val="0"/>
            <w:vAlign w:val="center"/>
          </w:tcPr>
          <w:p>
            <w:pPr>
              <w:widowControl/>
              <w:jc w:val="center"/>
              <w:textAlignment w:val="top"/>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七号楼二楼B超室的秩序维护，是各类突发事件处置的第一波力量。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kern w:val="0"/>
                <w:sz w:val="20"/>
                <w:szCs w:val="20"/>
                <w:highlight w:val="none"/>
              </w:rPr>
              <w:t>八号楼二门中班门卫</w:t>
            </w:r>
          </w:p>
        </w:tc>
        <w:tc>
          <w:tcPr>
            <w:tcW w:w="1500"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kern w:val="0"/>
                <w:sz w:val="20"/>
                <w:szCs w:val="20"/>
                <w:highlight w:val="none"/>
              </w:rPr>
              <w:t>15:30—</w:t>
            </w:r>
            <w:r>
              <w:rPr>
                <w:rStyle w:val="292"/>
                <w:rFonts w:hint="eastAsia" w:ascii="宋体" w:hAnsi="宋体" w:eastAsia="宋体" w:cs="宋体"/>
                <w:color w:val="auto"/>
                <w:sz w:val="20"/>
                <w:szCs w:val="20"/>
                <w:highlight w:val="none"/>
              </w:rPr>
              <w:t>00:00</w:t>
            </w:r>
          </w:p>
        </w:tc>
        <w:tc>
          <w:tcPr>
            <w:tcW w:w="4657" w:type="dxa"/>
            <w:vMerge w:val="restart"/>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kern w:val="0"/>
                <w:sz w:val="20"/>
                <w:szCs w:val="20"/>
                <w:highlight w:val="none"/>
              </w:rPr>
              <w:t>21:00之前车辆管理，负责执行医院二门管理秩序，以及门前区域停车场管理，是突发事件处置的第二拨力量。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八号楼二门夜班门卫</w:t>
            </w:r>
          </w:p>
        </w:tc>
        <w:tc>
          <w:tcPr>
            <w:tcW w:w="1500"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00:00—</w:t>
            </w:r>
            <w:r>
              <w:rPr>
                <w:rStyle w:val="292"/>
                <w:rFonts w:hint="eastAsia" w:ascii="宋体" w:hAnsi="宋体" w:eastAsia="宋体" w:cs="宋体"/>
                <w:color w:val="auto"/>
                <w:sz w:val="20"/>
                <w:szCs w:val="20"/>
                <w:highlight w:val="none"/>
              </w:rPr>
              <w:t>08:00</w:t>
            </w:r>
          </w:p>
        </w:tc>
        <w:tc>
          <w:tcPr>
            <w:tcW w:w="4657" w:type="dxa"/>
            <w:vMerge w:val="continue"/>
            <w:noWrap w:val="0"/>
            <w:vAlign w:val="center"/>
          </w:tcPr>
          <w:p>
            <w:pPr>
              <w:widowControl/>
              <w:jc w:val="left"/>
              <w:textAlignment w:val="top"/>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kern w:val="0"/>
                <w:sz w:val="20"/>
                <w:szCs w:val="20"/>
                <w:highlight w:val="none"/>
              </w:rPr>
              <w:t>一号楼二门中班门卫</w:t>
            </w:r>
          </w:p>
        </w:tc>
        <w:tc>
          <w:tcPr>
            <w:tcW w:w="1500"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kern w:val="0"/>
                <w:sz w:val="20"/>
                <w:szCs w:val="20"/>
                <w:highlight w:val="none"/>
              </w:rPr>
              <w:t>15:30—00:0</w:t>
            </w:r>
            <w:r>
              <w:rPr>
                <w:rStyle w:val="292"/>
                <w:rFonts w:hint="eastAsia" w:ascii="宋体" w:hAnsi="宋体" w:eastAsia="宋体" w:cs="宋体"/>
                <w:color w:val="auto"/>
                <w:sz w:val="20"/>
                <w:szCs w:val="20"/>
                <w:highlight w:val="none"/>
              </w:rPr>
              <w:t>0</w:t>
            </w:r>
          </w:p>
        </w:tc>
        <w:tc>
          <w:tcPr>
            <w:tcW w:w="4657" w:type="dxa"/>
            <w:vMerge w:val="restart"/>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21:00之前车辆管理，负责执行医院二门管理秩序，以及门前区域停车场管理，是突发事件处置的第二拨力量。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center"/>
              <w:rPr>
                <w:rFonts w:ascii="宋体" w:hAnsi="宋体" w:cs="宋体"/>
                <w:color w:val="auto"/>
                <w:sz w:val="20"/>
                <w:szCs w:val="20"/>
                <w:highlight w:val="none"/>
              </w:rPr>
            </w:pPr>
            <w:r>
              <w:rPr>
                <w:rFonts w:hint="eastAsia" w:ascii="宋体" w:hAnsi="宋体" w:eastAsia="宋体" w:cs="宋体"/>
                <w:color w:val="auto"/>
                <w:kern w:val="0"/>
                <w:sz w:val="20"/>
                <w:szCs w:val="20"/>
                <w:highlight w:val="none"/>
              </w:rPr>
              <w:t>一号楼二门夜班门卫</w:t>
            </w:r>
          </w:p>
        </w:tc>
        <w:tc>
          <w:tcPr>
            <w:tcW w:w="1500"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kern w:val="0"/>
                <w:sz w:val="20"/>
                <w:szCs w:val="20"/>
                <w:highlight w:val="none"/>
              </w:rPr>
              <w:t>00:00—</w:t>
            </w:r>
            <w:r>
              <w:rPr>
                <w:rStyle w:val="292"/>
                <w:rFonts w:hint="eastAsia" w:ascii="宋体" w:hAnsi="宋体" w:eastAsia="宋体" w:cs="宋体"/>
                <w:color w:val="auto"/>
                <w:sz w:val="20"/>
                <w:szCs w:val="20"/>
                <w:highlight w:val="none"/>
              </w:rPr>
              <w:t>08:00</w:t>
            </w:r>
          </w:p>
        </w:tc>
        <w:tc>
          <w:tcPr>
            <w:tcW w:w="4657" w:type="dxa"/>
            <w:vMerge w:val="continue"/>
            <w:noWrap w:val="0"/>
            <w:vAlign w:val="center"/>
          </w:tcPr>
          <w:p>
            <w:pPr>
              <w:widowControl/>
              <w:jc w:val="left"/>
              <w:textAlignment w:val="top"/>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kern w:val="0"/>
                <w:sz w:val="20"/>
                <w:szCs w:val="20"/>
                <w:highlight w:val="none"/>
              </w:rPr>
              <w:t>七号楼二门中班门卫</w:t>
            </w:r>
          </w:p>
        </w:tc>
        <w:tc>
          <w:tcPr>
            <w:tcW w:w="1500"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kern w:val="0"/>
                <w:sz w:val="20"/>
                <w:szCs w:val="20"/>
                <w:highlight w:val="none"/>
              </w:rPr>
              <w:t>15:30—00:0</w:t>
            </w:r>
            <w:r>
              <w:rPr>
                <w:rStyle w:val="292"/>
                <w:rFonts w:hint="eastAsia" w:ascii="宋体" w:hAnsi="宋体" w:eastAsia="宋体" w:cs="宋体"/>
                <w:color w:val="auto"/>
                <w:sz w:val="20"/>
                <w:szCs w:val="20"/>
                <w:highlight w:val="none"/>
              </w:rPr>
              <w:t>0</w:t>
            </w:r>
          </w:p>
        </w:tc>
        <w:tc>
          <w:tcPr>
            <w:tcW w:w="4657" w:type="dxa"/>
            <w:vMerge w:val="restart"/>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21:00之前车辆管理，负责执行医院二门管理秩序，以及门前区域停车场管理，是突发事件处置的第二拨力量。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kern w:val="0"/>
                <w:sz w:val="20"/>
                <w:szCs w:val="20"/>
                <w:highlight w:val="none"/>
              </w:rPr>
              <w:t>七号楼二门夜班门卫</w:t>
            </w:r>
          </w:p>
        </w:tc>
        <w:tc>
          <w:tcPr>
            <w:tcW w:w="1500"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kern w:val="0"/>
                <w:sz w:val="20"/>
                <w:szCs w:val="20"/>
                <w:highlight w:val="none"/>
              </w:rPr>
              <w:t>00:00—</w:t>
            </w:r>
            <w:r>
              <w:rPr>
                <w:rStyle w:val="292"/>
                <w:rFonts w:hint="eastAsia" w:ascii="宋体" w:hAnsi="宋体" w:eastAsia="宋体" w:cs="宋体"/>
                <w:color w:val="auto"/>
                <w:sz w:val="20"/>
                <w:szCs w:val="20"/>
                <w:highlight w:val="none"/>
              </w:rPr>
              <w:t>08:00</w:t>
            </w:r>
          </w:p>
        </w:tc>
        <w:tc>
          <w:tcPr>
            <w:tcW w:w="4657" w:type="dxa"/>
            <w:vMerge w:val="continue"/>
            <w:noWrap w:val="0"/>
            <w:vAlign w:val="center"/>
          </w:tcPr>
          <w:p>
            <w:pPr>
              <w:widowControl/>
              <w:jc w:val="left"/>
              <w:textAlignment w:val="top"/>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kern w:val="0"/>
                <w:sz w:val="20"/>
                <w:szCs w:val="20"/>
                <w:highlight w:val="none"/>
              </w:rPr>
              <w:t>六号楼二门中班门卫</w:t>
            </w:r>
          </w:p>
        </w:tc>
        <w:tc>
          <w:tcPr>
            <w:tcW w:w="1500"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kern w:val="0"/>
                <w:sz w:val="20"/>
                <w:szCs w:val="20"/>
                <w:highlight w:val="none"/>
              </w:rPr>
              <w:t>15:30—00:0</w:t>
            </w:r>
            <w:r>
              <w:rPr>
                <w:rStyle w:val="292"/>
                <w:rFonts w:hint="eastAsia" w:ascii="宋体" w:hAnsi="宋体" w:eastAsia="宋体" w:cs="宋体"/>
                <w:color w:val="auto"/>
                <w:sz w:val="20"/>
                <w:szCs w:val="20"/>
                <w:highlight w:val="none"/>
              </w:rPr>
              <w:t>0</w:t>
            </w:r>
          </w:p>
        </w:tc>
        <w:tc>
          <w:tcPr>
            <w:tcW w:w="4657" w:type="dxa"/>
            <w:vMerge w:val="restart"/>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21:00之前车辆管理，负责执行医院二门管理秩序，以及门前区域停车场管理，是突发事件处置的第二拨力量。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kern w:val="0"/>
                <w:sz w:val="20"/>
                <w:szCs w:val="20"/>
                <w:highlight w:val="none"/>
              </w:rPr>
              <w:t>六号楼二门夜班门卫</w:t>
            </w:r>
          </w:p>
        </w:tc>
        <w:tc>
          <w:tcPr>
            <w:tcW w:w="1500"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kern w:val="0"/>
                <w:sz w:val="20"/>
                <w:szCs w:val="20"/>
                <w:highlight w:val="none"/>
              </w:rPr>
              <w:t>00:00—</w:t>
            </w:r>
            <w:r>
              <w:rPr>
                <w:rStyle w:val="292"/>
                <w:rFonts w:hint="eastAsia" w:ascii="宋体" w:hAnsi="宋体" w:eastAsia="宋体" w:cs="宋体"/>
                <w:color w:val="auto"/>
                <w:sz w:val="20"/>
                <w:szCs w:val="20"/>
                <w:highlight w:val="none"/>
              </w:rPr>
              <w:t>08:00</w:t>
            </w:r>
          </w:p>
        </w:tc>
        <w:tc>
          <w:tcPr>
            <w:tcW w:w="4657" w:type="dxa"/>
            <w:vMerge w:val="continue"/>
            <w:noWrap w:val="0"/>
            <w:vAlign w:val="center"/>
          </w:tcPr>
          <w:p>
            <w:pPr>
              <w:widowControl/>
              <w:jc w:val="left"/>
              <w:textAlignment w:val="top"/>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四号楼中班门卫</w:t>
            </w:r>
          </w:p>
        </w:tc>
        <w:tc>
          <w:tcPr>
            <w:tcW w:w="1500"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kern w:val="0"/>
                <w:sz w:val="20"/>
                <w:szCs w:val="20"/>
                <w:highlight w:val="none"/>
              </w:rPr>
              <w:t>15:30—00:0</w:t>
            </w:r>
            <w:r>
              <w:rPr>
                <w:rStyle w:val="292"/>
                <w:rFonts w:hint="eastAsia" w:ascii="宋体" w:hAnsi="宋体" w:eastAsia="宋体" w:cs="宋体"/>
                <w:color w:val="auto"/>
                <w:sz w:val="20"/>
                <w:szCs w:val="20"/>
                <w:highlight w:val="none"/>
              </w:rPr>
              <w:t>0</w:t>
            </w:r>
          </w:p>
        </w:tc>
        <w:tc>
          <w:tcPr>
            <w:tcW w:w="4657" w:type="dxa"/>
            <w:vMerge w:val="continue"/>
            <w:noWrap w:val="0"/>
            <w:vAlign w:val="center"/>
          </w:tcPr>
          <w:p>
            <w:pPr>
              <w:widowControl/>
              <w:jc w:val="left"/>
              <w:textAlignment w:val="top"/>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hint="eastAsia"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四号楼夜班门卫</w:t>
            </w:r>
          </w:p>
        </w:tc>
        <w:tc>
          <w:tcPr>
            <w:tcW w:w="1500" w:type="dxa"/>
            <w:noWrap w:val="0"/>
            <w:vAlign w:val="center"/>
          </w:tcPr>
          <w:p>
            <w:pPr>
              <w:widowControl/>
              <w:jc w:val="left"/>
              <w:textAlignment w:val="top"/>
              <w:rPr>
                <w:rFonts w:hint="eastAsia"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00:00—</w:t>
            </w:r>
            <w:r>
              <w:rPr>
                <w:rStyle w:val="292"/>
                <w:rFonts w:hint="eastAsia" w:ascii="宋体" w:hAnsi="宋体" w:eastAsia="宋体" w:cs="宋体"/>
                <w:color w:val="auto"/>
                <w:sz w:val="20"/>
                <w:szCs w:val="20"/>
                <w:highlight w:val="none"/>
              </w:rPr>
              <w:t>08:00</w:t>
            </w:r>
          </w:p>
        </w:tc>
        <w:tc>
          <w:tcPr>
            <w:tcW w:w="4657" w:type="dxa"/>
            <w:vMerge w:val="continue"/>
            <w:noWrap w:val="0"/>
            <w:vAlign w:val="center"/>
          </w:tcPr>
          <w:p>
            <w:pPr>
              <w:widowControl/>
              <w:jc w:val="left"/>
              <w:textAlignment w:val="top"/>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学院路白班交通管理人员</w:t>
            </w:r>
          </w:p>
        </w:tc>
        <w:tc>
          <w:tcPr>
            <w:tcW w:w="1500" w:type="dxa"/>
            <w:noWrap w:val="0"/>
            <w:vAlign w:val="center"/>
          </w:tcPr>
          <w:p>
            <w:pPr>
              <w:widowControl/>
              <w:jc w:val="left"/>
              <w:textAlignment w:val="top"/>
              <w:rPr>
                <w:rFonts w:hint="eastAsia"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07:00—15:30</w:t>
            </w:r>
          </w:p>
        </w:tc>
        <w:tc>
          <w:tcPr>
            <w:tcW w:w="4657" w:type="dxa"/>
            <w:vMerge w:val="restart"/>
            <w:noWrap w:val="0"/>
            <w:vAlign w:val="center"/>
          </w:tcPr>
          <w:p>
            <w:pPr>
              <w:widowControl/>
              <w:jc w:val="left"/>
              <w:textAlignment w:val="top"/>
              <w:rPr>
                <w:rFonts w:hint="eastAsia"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负责学院路周边的交通管理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学院路白班交通管理人员2</w:t>
            </w:r>
          </w:p>
        </w:tc>
        <w:tc>
          <w:tcPr>
            <w:tcW w:w="1500" w:type="dxa"/>
            <w:noWrap w:val="0"/>
            <w:vAlign w:val="center"/>
          </w:tcPr>
          <w:p>
            <w:pPr>
              <w:widowControl/>
              <w:jc w:val="left"/>
              <w:textAlignment w:val="top"/>
              <w:rPr>
                <w:rFonts w:hint="eastAsia"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15:30—00:0</w:t>
            </w:r>
            <w:r>
              <w:rPr>
                <w:rStyle w:val="292"/>
                <w:rFonts w:hint="eastAsia" w:ascii="宋体" w:hAnsi="宋体" w:eastAsia="宋体" w:cs="宋体"/>
                <w:color w:val="auto"/>
                <w:sz w:val="20"/>
                <w:szCs w:val="20"/>
                <w:highlight w:val="none"/>
              </w:rPr>
              <w:t>0</w:t>
            </w:r>
          </w:p>
        </w:tc>
        <w:tc>
          <w:tcPr>
            <w:tcW w:w="4657" w:type="dxa"/>
            <w:vMerge w:val="continue"/>
            <w:noWrap w:val="0"/>
            <w:vAlign w:val="center"/>
          </w:tcPr>
          <w:p>
            <w:pPr>
              <w:widowControl/>
              <w:jc w:val="left"/>
              <w:textAlignment w:val="top"/>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学院路白班交通管理人员3</w:t>
            </w:r>
          </w:p>
        </w:tc>
        <w:tc>
          <w:tcPr>
            <w:tcW w:w="1500" w:type="dxa"/>
            <w:noWrap w:val="0"/>
            <w:vAlign w:val="center"/>
          </w:tcPr>
          <w:p>
            <w:pPr>
              <w:widowControl/>
              <w:jc w:val="left"/>
              <w:textAlignment w:val="top"/>
              <w:rPr>
                <w:rFonts w:hint="eastAsia"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00:00—</w:t>
            </w:r>
            <w:r>
              <w:rPr>
                <w:rStyle w:val="292"/>
                <w:rFonts w:hint="eastAsia" w:ascii="宋体" w:hAnsi="宋体" w:eastAsia="宋体" w:cs="宋体"/>
                <w:color w:val="auto"/>
                <w:sz w:val="20"/>
                <w:szCs w:val="20"/>
                <w:highlight w:val="none"/>
              </w:rPr>
              <w:t>08:00</w:t>
            </w:r>
          </w:p>
        </w:tc>
        <w:tc>
          <w:tcPr>
            <w:tcW w:w="4657" w:type="dxa"/>
            <w:vMerge w:val="continue"/>
            <w:noWrap w:val="0"/>
            <w:vAlign w:val="center"/>
          </w:tcPr>
          <w:p>
            <w:pPr>
              <w:widowControl/>
              <w:jc w:val="left"/>
              <w:textAlignment w:val="top"/>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儿童医院大门白班门卫1</w:t>
            </w:r>
          </w:p>
        </w:tc>
        <w:tc>
          <w:tcPr>
            <w:tcW w:w="1500" w:type="dxa"/>
            <w:noWrap w:val="0"/>
            <w:vAlign w:val="center"/>
          </w:tcPr>
          <w:p>
            <w:pPr>
              <w:widowControl/>
              <w:jc w:val="left"/>
              <w:textAlignment w:val="top"/>
              <w:rPr>
                <w:rFonts w:hint="eastAsia"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07:00—15:30</w:t>
            </w:r>
          </w:p>
        </w:tc>
        <w:tc>
          <w:tcPr>
            <w:tcW w:w="4657" w:type="dxa"/>
            <w:vMerge w:val="restart"/>
            <w:noWrap w:val="0"/>
            <w:vAlign w:val="center"/>
          </w:tcPr>
          <w:p>
            <w:pPr>
              <w:widowControl/>
              <w:jc w:val="left"/>
              <w:textAlignment w:val="top"/>
              <w:rPr>
                <w:rFonts w:hint="eastAsia"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维护儿童医院大门秩序，确保大门周边秩序井然，车辆按规定有序进入，执行医院大门管理秩序，确保医院物资安全，是突发事件处置的第二拨力量。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hint="eastAsia"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儿童医院大门白班门卫2</w:t>
            </w:r>
          </w:p>
        </w:tc>
        <w:tc>
          <w:tcPr>
            <w:tcW w:w="1500" w:type="dxa"/>
            <w:noWrap w:val="0"/>
            <w:vAlign w:val="center"/>
          </w:tcPr>
          <w:p>
            <w:pPr>
              <w:widowControl/>
              <w:jc w:val="left"/>
              <w:textAlignment w:val="top"/>
              <w:rPr>
                <w:rFonts w:hint="eastAsia"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07:00—</w:t>
            </w:r>
            <w:r>
              <w:rPr>
                <w:rStyle w:val="292"/>
                <w:rFonts w:hint="eastAsia" w:ascii="宋体" w:hAnsi="宋体" w:eastAsia="宋体" w:cs="宋体"/>
                <w:color w:val="auto"/>
                <w:sz w:val="20"/>
                <w:szCs w:val="20"/>
                <w:highlight w:val="none"/>
              </w:rPr>
              <w:t>15:30</w:t>
            </w:r>
          </w:p>
        </w:tc>
        <w:tc>
          <w:tcPr>
            <w:tcW w:w="4657" w:type="dxa"/>
            <w:vMerge w:val="continue"/>
            <w:noWrap w:val="0"/>
            <w:vAlign w:val="center"/>
          </w:tcPr>
          <w:p>
            <w:pPr>
              <w:widowControl/>
              <w:jc w:val="left"/>
              <w:textAlignment w:val="top"/>
              <w:rPr>
                <w:rFonts w:hint="eastAsia"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kern w:val="0"/>
                <w:sz w:val="20"/>
                <w:szCs w:val="20"/>
                <w:highlight w:val="none"/>
              </w:rPr>
              <w:t>儿童医院大门中班门卫</w:t>
            </w:r>
          </w:p>
        </w:tc>
        <w:tc>
          <w:tcPr>
            <w:tcW w:w="1500"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kern w:val="0"/>
                <w:sz w:val="20"/>
                <w:szCs w:val="20"/>
                <w:highlight w:val="none"/>
              </w:rPr>
              <w:t>15:30—00:0</w:t>
            </w:r>
            <w:r>
              <w:rPr>
                <w:rStyle w:val="292"/>
                <w:rFonts w:hint="eastAsia" w:ascii="宋体" w:hAnsi="宋体" w:eastAsia="宋体" w:cs="宋体"/>
                <w:color w:val="auto"/>
                <w:sz w:val="20"/>
                <w:szCs w:val="20"/>
                <w:highlight w:val="none"/>
              </w:rPr>
              <w:t>0</w:t>
            </w:r>
          </w:p>
        </w:tc>
        <w:tc>
          <w:tcPr>
            <w:tcW w:w="4657" w:type="dxa"/>
            <w:vMerge w:val="continue"/>
            <w:noWrap w:val="0"/>
            <w:vAlign w:val="center"/>
          </w:tcPr>
          <w:p>
            <w:pPr>
              <w:widowControl/>
              <w:jc w:val="left"/>
              <w:textAlignment w:val="top"/>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儿童医院大门夜班门卫</w:t>
            </w:r>
          </w:p>
        </w:tc>
        <w:tc>
          <w:tcPr>
            <w:tcW w:w="1500"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00:00—</w:t>
            </w:r>
            <w:r>
              <w:rPr>
                <w:rStyle w:val="292"/>
                <w:rFonts w:hint="eastAsia" w:ascii="宋体" w:hAnsi="宋体" w:eastAsia="宋体" w:cs="宋体"/>
                <w:color w:val="auto"/>
                <w:sz w:val="20"/>
                <w:szCs w:val="20"/>
                <w:highlight w:val="none"/>
              </w:rPr>
              <w:t>08:00</w:t>
            </w:r>
          </w:p>
        </w:tc>
        <w:tc>
          <w:tcPr>
            <w:tcW w:w="4657" w:type="dxa"/>
            <w:vMerge w:val="continue"/>
            <w:noWrap w:val="0"/>
            <w:vAlign w:val="center"/>
          </w:tcPr>
          <w:p>
            <w:pPr>
              <w:widowControl/>
              <w:jc w:val="left"/>
              <w:textAlignment w:val="top"/>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附二医院大门白班进口门卫</w:t>
            </w:r>
          </w:p>
        </w:tc>
        <w:tc>
          <w:tcPr>
            <w:tcW w:w="1500"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kern w:val="0"/>
                <w:sz w:val="20"/>
                <w:szCs w:val="20"/>
                <w:highlight w:val="none"/>
              </w:rPr>
              <w:t>07:00—</w:t>
            </w:r>
            <w:r>
              <w:rPr>
                <w:rStyle w:val="292"/>
                <w:rFonts w:hint="eastAsia" w:ascii="宋体" w:hAnsi="宋体" w:eastAsia="宋体" w:cs="宋体"/>
                <w:color w:val="auto"/>
                <w:sz w:val="20"/>
                <w:szCs w:val="20"/>
                <w:highlight w:val="none"/>
              </w:rPr>
              <w:t>15:30</w:t>
            </w:r>
          </w:p>
        </w:tc>
        <w:tc>
          <w:tcPr>
            <w:tcW w:w="4657" w:type="dxa"/>
            <w:vMerge w:val="restart"/>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维护附二医院大门秩序，确保大门周边秩序井然，车辆按规定有序进入，执行医院大门管理秩序，确保医院物资安全，是突发事件处置的第二拨力量。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附二医院大门中班进口门卫</w:t>
            </w:r>
          </w:p>
        </w:tc>
        <w:tc>
          <w:tcPr>
            <w:tcW w:w="1500"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15:30—00:0</w:t>
            </w:r>
            <w:r>
              <w:rPr>
                <w:rStyle w:val="292"/>
                <w:rFonts w:hint="eastAsia" w:ascii="宋体" w:hAnsi="宋体" w:eastAsia="宋体" w:cs="宋体"/>
                <w:color w:val="auto"/>
                <w:sz w:val="20"/>
                <w:szCs w:val="20"/>
                <w:highlight w:val="none"/>
              </w:rPr>
              <w:t>0</w:t>
            </w:r>
          </w:p>
        </w:tc>
        <w:tc>
          <w:tcPr>
            <w:tcW w:w="4657" w:type="dxa"/>
            <w:vMerge w:val="continue"/>
            <w:noWrap w:val="0"/>
            <w:vAlign w:val="center"/>
          </w:tcPr>
          <w:p>
            <w:pPr>
              <w:widowControl/>
              <w:jc w:val="left"/>
              <w:textAlignment w:val="top"/>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kern w:val="0"/>
                <w:sz w:val="20"/>
                <w:szCs w:val="20"/>
                <w:highlight w:val="none"/>
              </w:rPr>
              <w:t>附二医院大门夜班进口门卫</w:t>
            </w:r>
          </w:p>
        </w:tc>
        <w:tc>
          <w:tcPr>
            <w:tcW w:w="1500"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00:00—</w:t>
            </w:r>
            <w:r>
              <w:rPr>
                <w:rStyle w:val="292"/>
                <w:rFonts w:hint="eastAsia" w:ascii="宋体" w:hAnsi="宋体" w:eastAsia="宋体" w:cs="宋体"/>
                <w:color w:val="auto"/>
                <w:sz w:val="20"/>
                <w:szCs w:val="20"/>
                <w:highlight w:val="none"/>
              </w:rPr>
              <w:t>08:00</w:t>
            </w:r>
          </w:p>
        </w:tc>
        <w:tc>
          <w:tcPr>
            <w:tcW w:w="4657" w:type="dxa"/>
            <w:vMerge w:val="continue"/>
            <w:noWrap w:val="0"/>
            <w:vAlign w:val="center"/>
          </w:tcPr>
          <w:p>
            <w:pPr>
              <w:widowControl/>
              <w:jc w:val="left"/>
              <w:textAlignment w:val="top"/>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kern w:val="0"/>
                <w:sz w:val="20"/>
                <w:szCs w:val="20"/>
                <w:highlight w:val="none"/>
              </w:rPr>
              <w:t>附二医院大门白班出口门卫</w:t>
            </w:r>
          </w:p>
        </w:tc>
        <w:tc>
          <w:tcPr>
            <w:tcW w:w="1500"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07:00—</w:t>
            </w:r>
            <w:r>
              <w:rPr>
                <w:rStyle w:val="292"/>
                <w:rFonts w:hint="eastAsia" w:ascii="宋体" w:hAnsi="宋体" w:eastAsia="宋体" w:cs="宋体"/>
                <w:color w:val="auto"/>
                <w:sz w:val="20"/>
                <w:szCs w:val="20"/>
                <w:highlight w:val="none"/>
              </w:rPr>
              <w:t>15:30</w:t>
            </w:r>
          </w:p>
        </w:tc>
        <w:tc>
          <w:tcPr>
            <w:tcW w:w="4657" w:type="dxa"/>
            <w:vMerge w:val="restart"/>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维护附二医院出口秩序，确保大门周边秩序井然，车辆按规定有序离院，执行医院大门管理秩序，确保医院物资安全，协管即停即走通道，是突发事件处置的第二拨力量。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kern w:val="0"/>
                <w:sz w:val="20"/>
                <w:szCs w:val="20"/>
                <w:highlight w:val="none"/>
              </w:rPr>
              <w:t>附二医院大门中班出口门卫</w:t>
            </w:r>
          </w:p>
        </w:tc>
        <w:tc>
          <w:tcPr>
            <w:tcW w:w="1500"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kern w:val="0"/>
                <w:sz w:val="20"/>
                <w:szCs w:val="20"/>
                <w:highlight w:val="none"/>
              </w:rPr>
              <w:t>15:30—00:0</w:t>
            </w:r>
            <w:r>
              <w:rPr>
                <w:rStyle w:val="292"/>
                <w:rFonts w:hint="eastAsia" w:ascii="宋体" w:hAnsi="宋体" w:eastAsia="宋体" w:cs="宋体"/>
                <w:color w:val="auto"/>
                <w:sz w:val="20"/>
                <w:szCs w:val="20"/>
                <w:highlight w:val="none"/>
              </w:rPr>
              <w:t>0</w:t>
            </w:r>
          </w:p>
        </w:tc>
        <w:tc>
          <w:tcPr>
            <w:tcW w:w="4657" w:type="dxa"/>
            <w:vMerge w:val="continue"/>
            <w:noWrap w:val="0"/>
            <w:vAlign w:val="center"/>
          </w:tcPr>
          <w:p>
            <w:pPr>
              <w:widowControl/>
              <w:jc w:val="left"/>
              <w:textAlignment w:val="top"/>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附二医院大门夜班出口门卫</w:t>
            </w:r>
          </w:p>
        </w:tc>
        <w:tc>
          <w:tcPr>
            <w:tcW w:w="1500"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00:00—</w:t>
            </w:r>
            <w:r>
              <w:rPr>
                <w:rStyle w:val="292"/>
                <w:rFonts w:hint="eastAsia" w:ascii="宋体" w:hAnsi="宋体" w:eastAsia="宋体" w:cs="宋体"/>
                <w:color w:val="auto"/>
                <w:sz w:val="20"/>
                <w:szCs w:val="20"/>
                <w:highlight w:val="none"/>
              </w:rPr>
              <w:t>08:00</w:t>
            </w:r>
          </w:p>
        </w:tc>
        <w:tc>
          <w:tcPr>
            <w:tcW w:w="4657" w:type="dxa"/>
            <w:vMerge w:val="continue"/>
            <w:noWrap w:val="0"/>
            <w:vAlign w:val="center"/>
          </w:tcPr>
          <w:p>
            <w:pPr>
              <w:widowControl/>
              <w:jc w:val="left"/>
              <w:textAlignment w:val="top"/>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即停即走通道管理白班人员</w:t>
            </w:r>
          </w:p>
        </w:tc>
        <w:tc>
          <w:tcPr>
            <w:tcW w:w="1500"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07:00—</w:t>
            </w:r>
            <w:r>
              <w:rPr>
                <w:rStyle w:val="292"/>
                <w:rFonts w:hint="eastAsia" w:ascii="宋体" w:hAnsi="宋体" w:eastAsia="宋体" w:cs="宋体"/>
                <w:color w:val="auto"/>
                <w:sz w:val="20"/>
                <w:szCs w:val="20"/>
                <w:highlight w:val="none"/>
              </w:rPr>
              <w:t>15:30</w:t>
            </w:r>
          </w:p>
        </w:tc>
        <w:tc>
          <w:tcPr>
            <w:tcW w:w="4657"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维护应急通道的正常交通秩序，与爱心轮椅管理人员形成管理互补，是突发事件处置的第二拨力量。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监控中心白班值班人员（一）</w:t>
            </w:r>
          </w:p>
        </w:tc>
        <w:tc>
          <w:tcPr>
            <w:tcW w:w="1500"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07:00—</w:t>
            </w:r>
            <w:r>
              <w:rPr>
                <w:rStyle w:val="292"/>
                <w:rFonts w:hint="eastAsia" w:ascii="宋体" w:hAnsi="宋体" w:eastAsia="宋体" w:cs="宋体"/>
                <w:color w:val="auto"/>
                <w:sz w:val="20"/>
                <w:szCs w:val="20"/>
                <w:highlight w:val="none"/>
              </w:rPr>
              <w:t>15:30</w:t>
            </w:r>
          </w:p>
        </w:tc>
        <w:tc>
          <w:tcPr>
            <w:tcW w:w="4657" w:type="dxa"/>
            <w:vMerge w:val="restart"/>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负责监控中心值班，是突发事件处置的第二拨力量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kern w:val="0"/>
                <w:sz w:val="20"/>
                <w:szCs w:val="20"/>
                <w:highlight w:val="none"/>
              </w:rPr>
              <w:t>监控中心白班值班人员（二）</w:t>
            </w:r>
          </w:p>
        </w:tc>
        <w:tc>
          <w:tcPr>
            <w:tcW w:w="1500"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07:00—</w:t>
            </w:r>
            <w:r>
              <w:rPr>
                <w:rStyle w:val="292"/>
                <w:rFonts w:hint="eastAsia" w:ascii="宋体" w:hAnsi="宋体" w:eastAsia="宋体" w:cs="宋体"/>
                <w:color w:val="auto"/>
                <w:sz w:val="20"/>
                <w:szCs w:val="20"/>
                <w:highlight w:val="none"/>
              </w:rPr>
              <w:t>15:30</w:t>
            </w:r>
          </w:p>
        </w:tc>
        <w:tc>
          <w:tcPr>
            <w:tcW w:w="4657" w:type="dxa"/>
            <w:vMerge w:val="continue"/>
            <w:noWrap w:val="0"/>
            <w:vAlign w:val="center"/>
          </w:tcPr>
          <w:p>
            <w:pPr>
              <w:widowControl/>
              <w:jc w:val="left"/>
              <w:textAlignment w:val="top"/>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监控中心中班值班人员</w:t>
            </w:r>
          </w:p>
        </w:tc>
        <w:tc>
          <w:tcPr>
            <w:tcW w:w="1500"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15:30—00:0</w:t>
            </w:r>
            <w:r>
              <w:rPr>
                <w:rStyle w:val="292"/>
                <w:rFonts w:hint="eastAsia" w:ascii="宋体" w:hAnsi="宋体" w:eastAsia="宋体" w:cs="宋体"/>
                <w:color w:val="auto"/>
                <w:sz w:val="20"/>
                <w:szCs w:val="20"/>
                <w:highlight w:val="none"/>
              </w:rPr>
              <w:t>0</w:t>
            </w:r>
          </w:p>
        </w:tc>
        <w:tc>
          <w:tcPr>
            <w:tcW w:w="4657" w:type="dxa"/>
            <w:vMerge w:val="continue"/>
            <w:noWrap w:val="0"/>
            <w:vAlign w:val="center"/>
          </w:tcPr>
          <w:p>
            <w:pPr>
              <w:widowControl/>
              <w:jc w:val="left"/>
              <w:textAlignment w:val="top"/>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3"/>
              </w:numPr>
              <w:ind w:left="425" w:leftChars="0" w:hanging="425" w:firstLineChars="0"/>
              <w:jc w:val="left"/>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kern w:val="0"/>
                <w:sz w:val="20"/>
                <w:szCs w:val="20"/>
                <w:highlight w:val="none"/>
              </w:rPr>
              <w:t>监控中心夜班值班人员</w:t>
            </w:r>
          </w:p>
        </w:tc>
        <w:tc>
          <w:tcPr>
            <w:tcW w:w="1500"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00:00—</w:t>
            </w:r>
            <w:r>
              <w:rPr>
                <w:rStyle w:val="292"/>
                <w:rFonts w:hint="eastAsia" w:ascii="宋体" w:hAnsi="宋体" w:eastAsia="宋体" w:cs="宋体"/>
                <w:color w:val="auto"/>
                <w:sz w:val="20"/>
                <w:szCs w:val="20"/>
                <w:highlight w:val="none"/>
              </w:rPr>
              <w:t>08:00</w:t>
            </w:r>
          </w:p>
        </w:tc>
        <w:tc>
          <w:tcPr>
            <w:tcW w:w="4657" w:type="dxa"/>
            <w:vMerge w:val="continue"/>
            <w:noWrap w:val="0"/>
            <w:vAlign w:val="center"/>
          </w:tcPr>
          <w:p>
            <w:pPr>
              <w:widowControl/>
              <w:jc w:val="left"/>
              <w:textAlignment w:val="top"/>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widowControl/>
              <w:numPr>
                <w:ilvl w:val="0"/>
                <w:numId w:val="3"/>
              </w:numPr>
              <w:tabs>
                <w:tab w:val="left" w:pos="0"/>
              </w:tabs>
              <w:ind w:left="425" w:leftChars="0" w:hanging="425" w:firstLineChars="0"/>
              <w:jc w:val="left"/>
              <w:textAlignment w:val="top"/>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cs="宋体"/>
                <w:color w:val="auto"/>
                <w:kern w:val="0"/>
                <w:sz w:val="20"/>
                <w:szCs w:val="20"/>
                <w:highlight w:val="none"/>
              </w:rPr>
              <w:t>成人预检口白班安检人员</w:t>
            </w:r>
          </w:p>
        </w:tc>
        <w:tc>
          <w:tcPr>
            <w:tcW w:w="1500"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cs="宋体"/>
                <w:color w:val="auto"/>
                <w:kern w:val="0"/>
                <w:sz w:val="20"/>
                <w:szCs w:val="20"/>
                <w:highlight w:val="none"/>
              </w:rPr>
              <w:t>07:00—</w:t>
            </w:r>
            <w:r>
              <w:rPr>
                <w:rStyle w:val="292"/>
                <w:rFonts w:hint="default"/>
                <w:color w:val="auto"/>
                <w:sz w:val="20"/>
                <w:szCs w:val="20"/>
                <w:highlight w:val="none"/>
              </w:rPr>
              <w:t>15:00</w:t>
            </w:r>
          </w:p>
        </w:tc>
        <w:tc>
          <w:tcPr>
            <w:tcW w:w="4657" w:type="dxa"/>
            <w:vMerge w:val="restart"/>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cs="宋体"/>
                <w:color w:val="auto"/>
                <w:kern w:val="0"/>
                <w:sz w:val="20"/>
                <w:szCs w:val="20"/>
                <w:highlight w:val="none"/>
              </w:rPr>
              <w:t>负责进院就诊人员及家属的安检工作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widowControl/>
              <w:numPr>
                <w:ilvl w:val="0"/>
                <w:numId w:val="3"/>
              </w:numPr>
              <w:tabs>
                <w:tab w:val="left" w:pos="0"/>
              </w:tabs>
              <w:ind w:left="425" w:leftChars="0" w:hanging="425" w:firstLineChars="0"/>
              <w:jc w:val="left"/>
              <w:textAlignment w:val="top"/>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cs="宋体"/>
                <w:color w:val="auto"/>
                <w:kern w:val="0"/>
                <w:sz w:val="20"/>
                <w:szCs w:val="20"/>
                <w:highlight w:val="none"/>
              </w:rPr>
              <w:t>成人预检口白班安检人员</w:t>
            </w:r>
          </w:p>
        </w:tc>
        <w:tc>
          <w:tcPr>
            <w:tcW w:w="1500"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cs="宋体"/>
                <w:color w:val="auto"/>
                <w:kern w:val="0"/>
                <w:sz w:val="20"/>
                <w:szCs w:val="20"/>
                <w:highlight w:val="none"/>
              </w:rPr>
              <w:t>07:00—</w:t>
            </w:r>
            <w:r>
              <w:rPr>
                <w:rStyle w:val="292"/>
                <w:rFonts w:hint="default"/>
                <w:color w:val="auto"/>
                <w:sz w:val="20"/>
                <w:szCs w:val="20"/>
                <w:highlight w:val="none"/>
              </w:rPr>
              <w:t>15:00</w:t>
            </w:r>
          </w:p>
        </w:tc>
        <w:tc>
          <w:tcPr>
            <w:tcW w:w="4657" w:type="dxa"/>
            <w:vMerge w:val="continue"/>
            <w:noWrap w:val="0"/>
            <w:vAlign w:val="center"/>
          </w:tcPr>
          <w:p>
            <w:pPr>
              <w:widowControl/>
              <w:jc w:val="left"/>
              <w:textAlignment w:val="top"/>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widowControl/>
              <w:numPr>
                <w:ilvl w:val="0"/>
                <w:numId w:val="3"/>
              </w:numPr>
              <w:tabs>
                <w:tab w:val="left" w:pos="0"/>
              </w:tabs>
              <w:ind w:left="425" w:leftChars="0" w:hanging="425" w:firstLineChars="0"/>
              <w:jc w:val="left"/>
              <w:textAlignment w:val="top"/>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cs="宋体"/>
                <w:color w:val="auto"/>
                <w:kern w:val="0"/>
                <w:sz w:val="20"/>
                <w:szCs w:val="20"/>
                <w:highlight w:val="none"/>
              </w:rPr>
              <w:t>成人预检口白班安检人员</w:t>
            </w:r>
          </w:p>
        </w:tc>
        <w:tc>
          <w:tcPr>
            <w:tcW w:w="1500"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cs="宋体"/>
                <w:color w:val="auto"/>
                <w:kern w:val="0"/>
                <w:sz w:val="20"/>
                <w:szCs w:val="20"/>
                <w:highlight w:val="none"/>
              </w:rPr>
              <w:t>07:00—</w:t>
            </w:r>
            <w:r>
              <w:rPr>
                <w:rStyle w:val="292"/>
                <w:rFonts w:hint="default"/>
                <w:color w:val="auto"/>
                <w:sz w:val="20"/>
                <w:szCs w:val="20"/>
                <w:highlight w:val="none"/>
              </w:rPr>
              <w:t>15:00</w:t>
            </w:r>
          </w:p>
        </w:tc>
        <w:tc>
          <w:tcPr>
            <w:tcW w:w="4657" w:type="dxa"/>
            <w:vMerge w:val="continue"/>
            <w:noWrap w:val="0"/>
            <w:vAlign w:val="center"/>
          </w:tcPr>
          <w:p>
            <w:pPr>
              <w:widowControl/>
              <w:jc w:val="left"/>
              <w:textAlignment w:val="top"/>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widowControl/>
              <w:numPr>
                <w:ilvl w:val="0"/>
                <w:numId w:val="3"/>
              </w:numPr>
              <w:tabs>
                <w:tab w:val="left" w:pos="0"/>
              </w:tabs>
              <w:ind w:left="425" w:leftChars="0" w:hanging="425" w:firstLineChars="0"/>
              <w:jc w:val="left"/>
              <w:textAlignment w:val="top"/>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cs="宋体"/>
                <w:color w:val="auto"/>
                <w:kern w:val="0"/>
                <w:sz w:val="20"/>
                <w:szCs w:val="20"/>
                <w:highlight w:val="none"/>
              </w:rPr>
              <w:t>成人预检口白班安检人员</w:t>
            </w:r>
          </w:p>
        </w:tc>
        <w:tc>
          <w:tcPr>
            <w:tcW w:w="1500"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rPr>
              <w:t>07:00—</w:t>
            </w:r>
            <w:r>
              <w:rPr>
                <w:rStyle w:val="292"/>
                <w:rFonts w:hint="default"/>
                <w:color w:val="auto"/>
                <w:sz w:val="20"/>
                <w:szCs w:val="20"/>
                <w:highlight w:val="none"/>
              </w:rPr>
              <w:t>15:00</w:t>
            </w:r>
          </w:p>
        </w:tc>
        <w:tc>
          <w:tcPr>
            <w:tcW w:w="4657" w:type="dxa"/>
            <w:vMerge w:val="continue"/>
            <w:noWrap w:val="0"/>
            <w:vAlign w:val="center"/>
          </w:tcPr>
          <w:p>
            <w:pPr>
              <w:widowControl/>
              <w:jc w:val="left"/>
              <w:textAlignment w:val="top"/>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widowControl/>
              <w:numPr>
                <w:ilvl w:val="0"/>
                <w:numId w:val="3"/>
              </w:numPr>
              <w:tabs>
                <w:tab w:val="left" w:pos="0"/>
              </w:tabs>
              <w:ind w:left="425" w:leftChars="0" w:hanging="425" w:firstLineChars="0"/>
              <w:jc w:val="left"/>
              <w:textAlignment w:val="top"/>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cs="宋体"/>
                <w:color w:val="auto"/>
                <w:kern w:val="0"/>
                <w:sz w:val="20"/>
                <w:szCs w:val="20"/>
                <w:highlight w:val="none"/>
              </w:rPr>
              <w:t>成人预检口白班安检人员</w:t>
            </w:r>
          </w:p>
        </w:tc>
        <w:tc>
          <w:tcPr>
            <w:tcW w:w="1500"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cs="宋体"/>
                <w:color w:val="auto"/>
                <w:kern w:val="0"/>
                <w:sz w:val="20"/>
                <w:szCs w:val="20"/>
                <w:highlight w:val="none"/>
              </w:rPr>
              <w:t>07:00—</w:t>
            </w:r>
            <w:r>
              <w:rPr>
                <w:rStyle w:val="292"/>
                <w:rFonts w:hint="default"/>
                <w:color w:val="auto"/>
                <w:sz w:val="20"/>
                <w:szCs w:val="20"/>
                <w:highlight w:val="none"/>
              </w:rPr>
              <w:t>15:00</w:t>
            </w:r>
          </w:p>
        </w:tc>
        <w:tc>
          <w:tcPr>
            <w:tcW w:w="4657" w:type="dxa"/>
            <w:vMerge w:val="continue"/>
            <w:noWrap w:val="0"/>
            <w:vAlign w:val="center"/>
          </w:tcPr>
          <w:p>
            <w:pPr>
              <w:widowControl/>
              <w:jc w:val="left"/>
              <w:textAlignment w:val="top"/>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widowControl/>
              <w:numPr>
                <w:ilvl w:val="0"/>
                <w:numId w:val="3"/>
              </w:numPr>
              <w:tabs>
                <w:tab w:val="left" w:pos="0"/>
              </w:tabs>
              <w:ind w:left="425" w:leftChars="0" w:hanging="425" w:firstLineChars="0"/>
              <w:jc w:val="left"/>
              <w:textAlignment w:val="top"/>
              <w:rPr>
                <w:rFonts w:hint="eastAsia" w:ascii="宋体" w:hAnsi="宋体" w:cs="宋体"/>
                <w:color w:val="auto"/>
                <w:kern w:val="0"/>
                <w:sz w:val="20"/>
                <w:szCs w:val="20"/>
                <w:highlight w:val="none"/>
              </w:rPr>
            </w:pPr>
          </w:p>
        </w:tc>
        <w:tc>
          <w:tcPr>
            <w:tcW w:w="2625"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cs="宋体"/>
                <w:color w:val="auto"/>
                <w:kern w:val="0"/>
                <w:sz w:val="20"/>
                <w:szCs w:val="20"/>
                <w:highlight w:val="none"/>
              </w:rPr>
              <w:t>成人预检口白班安检人员</w:t>
            </w:r>
          </w:p>
        </w:tc>
        <w:tc>
          <w:tcPr>
            <w:tcW w:w="1500"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cs="宋体"/>
                <w:color w:val="auto"/>
                <w:kern w:val="0"/>
                <w:sz w:val="20"/>
                <w:szCs w:val="20"/>
                <w:highlight w:val="none"/>
              </w:rPr>
              <w:t>07:00—</w:t>
            </w:r>
            <w:r>
              <w:rPr>
                <w:rStyle w:val="292"/>
                <w:rFonts w:hint="default"/>
                <w:color w:val="auto"/>
                <w:sz w:val="20"/>
                <w:szCs w:val="20"/>
                <w:highlight w:val="none"/>
              </w:rPr>
              <w:t>15:00</w:t>
            </w:r>
          </w:p>
        </w:tc>
        <w:tc>
          <w:tcPr>
            <w:tcW w:w="4657" w:type="dxa"/>
            <w:vMerge w:val="continue"/>
            <w:noWrap w:val="0"/>
            <w:vAlign w:val="center"/>
          </w:tcPr>
          <w:p>
            <w:pPr>
              <w:widowControl/>
              <w:jc w:val="left"/>
              <w:textAlignment w:val="top"/>
              <w:rPr>
                <w:rFonts w:ascii="宋体" w:hAnsi="宋体" w:cs="宋体"/>
                <w:color w:val="auto"/>
                <w:kern w:val="0"/>
                <w:sz w:val="20"/>
                <w:szCs w:val="20"/>
                <w:highlight w:val="none"/>
              </w:rPr>
            </w:pPr>
          </w:p>
        </w:tc>
      </w:tr>
    </w:tbl>
    <w:p>
      <w:pPr>
        <w:pStyle w:val="2"/>
        <w:jc w:val="both"/>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.2</w:t>
      </w:r>
      <w:r>
        <w:rPr>
          <w:rFonts w:hint="eastAsia"/>
          <w:bCs/>
          <w:color w:val="auto"/>
          <w:szCs w:val="28"/>
          <w:highlight w:val="none"/>
        </w:rPr>
        <w:t>南浦</w:t>
      </w:r>
      <w:r>
        <w:rPr>
          <w:rFonts w:hint="eastAsia"/>
          <w:bCs/>
          <w:color w:val="auto"/>
          <w:szCs w:val="28"/>
          <w:highlight w:val="none"/>
          <w:lang w:eastAsia="zh-CN"/>
        </w:rPr>
        <w:t>部</w:t>
      </w:r>
      <w:r>
        <w:rPr>
          <w:rFonts w:hint="eastAsia"/>
          <w:bCs/>
          <w:color w:val="auto"/>
          <w:szCs w:val="28"/>
          <w:highlight w:val="none"/>
        </w:rPr>
        <w:t>外包安保岗位（</w:t>
      </w:r>
      <w:r>
        <w:rPr>
          <w:rFonts w:hint="eastAsia"/>
          <w:bCs/>
          <w:color w:val="auto"/>
          <w:szCs w:val="28"/>
          <w:highlight w:val="none"/>
          <w:lang w:val="en-US" w:eastAsia="zh-CN"/>
        </w:rPr>
        <w:t>17</w:t>
      </w:r>
      <w:r>
        <w:rPr>
          <w:rFonts w:hint="eastAsia"/>
          <w:bCs/>
          <w:color w:val="auto"/>
          <w:szCs w:val="28"/>
          <w:highlight w:val="none"/>
        </w:rPr>
        <w:t>个）明细</w:t>
      </w:r>
    </w:p>
    <w:tbl>
      <w:tblPr>
        <w:tblStyle w:val="80"/>
        <w:tblW w:w="9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2719"/>
        <w:gridCol w:w="1470"/>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64" w:type="dxa"/>
            <w:noWrap w:val="0"/>
            <w:vAlign w:val="center"/>
          </w:tcPr>
          <w:p>
            <w:pPr>
              <w:jc w:val="center"/>
              <w:rPr>
                <w:color w:val="auto"/>
                <w:szCs w:val="21"/>
                <w:highlight w:val="none"/>
              </w:rPr>
            </w:pPr>
            <w:r>
              <w:rPr>
                <w:rFonts w:hint="eastAsia"/>
                <w:color w:val="auto"/>
                <w:szCs w:val="21"/>
                <w:highlight w:val="none"/>
              </w:rPr>
              <w:t>序号</w:t>
            </w:r>
          </w:p>
        </w:tc>
        <w:tc>
          <w:tcPr>
            <w:tcW w:w="2719" w:type="dxa"/>
            <w:noWrap w:val="0"/>
            <w:vAlign w:val="center"/>
          </w:tcPr>
          <w:p>
            <w:pPr>
              <w:jc w:val="center"/>
              <w:rPr>
                <w:color w:val="auto"/>
                <w:szCs w:val="21"/>
                <w:highlight w:val="none"/>
              </w:rPr>
            </w:pPr>
            <w:r>
              <w:rPr>
                <w:rFonts w:hint="eastAsia"/>
                <w:color w:val="auto"/>
                <w:szCs w:val="21"/>
                <w:highlight w:val="none"/>
              </w:rPr>
              <w:t>岗位</w:t>
            </w:r>
          </w:p>
        </w:tc>
        <w:tc>
          <w:tcPr>
            <w:tcW w:w="1470" w:type="dxa"/>
            <w:noWrap w:val="0"/>
            <w:vAlign w:val="center"/>
          </w:tcPr>
          <w:p>
            <w:pPr>
              <w:jc w:val="center"/>
              <w:rPr>
                <w:color w:val="auto"/>
                <w:szCs w:val="21"/>
                <w:highlight w:val="none"/>
              </w:rPr>
            </w:pPr>
            <w:r>
              <w:rPr>
                <w:rFonts w:hint="eastAsia"/>
                <w:color w:val="auto"/>
                <w:szCs w:val="21"/>
                <w:highlight w:val="none"/>
              </w:rPr>
              <w:t>上班时间</w:t>
            </w:r>
          </w:p>
        </w:tc>
        <w:tc>
          <w:tcPr>
            <w:tcW w:w="4575" w:type="dxa"/>
            <w:noWrap w:val="0"/>
            <w:vAlign w:val="center"/>
          </w:tcPr>
          <w:p>
            <w:pPr>
              <w:jc w:val="center"/>
              <w:rPr>
                <w:color w:val="auto"/>
                <w:szCs w:val="21"/>
                <w:highlight w:val="none"/>
              </w:rPr>
            </w:pPr>
            <w:r>
              <w:rPr>
                <w:rFonts w:hint="eastAsia"/>
                <w:color w:val="auto"/>
                <w:szCs w:val="21"/>
                <w:highlight w:val="none"/>
              </w:rPr>
              <w:t>职责概述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4"/>
              </w:numPr>
              <w:tabs>
                <w:tab w:val="left" w:pos="0"/>
              </w:tabs>
              <w:ind w:left="425" w:leftChars="0" w:hanging="425" w:firstLineChars="0"/>
              <w:jc w:val="left"/>
              <w:rPr>
                <w:rFonts w:ascii="宋体" w:hAnsi="宋体" w:cs="宋体"/>
                <w:color w:val="auto"/>
                <w:sz w:val="20"/>
                <w:szCs w:val="20"/>
                <w:highlight w:val="none"/>
              </w:rPr>
            </w:pPr>
          </w:p>
        </w:tc>
        <w:tc>
          <w:tcPr>
            <w:tcW w:w="2719"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sz w:val="20"/>
                <w:szCs w:val="20"/>
                <w:highlight w:val="none"/>
              </w:rPr>
              <w:t>本项目经理</w:t>
            </w:r>
          </w:p>
        </w:tc>
        <w:tc>
          <w:tcPr>
            <w:tcW w:w="1470"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sz w:val="20"/>
                <w:szCs w:val="20"/>
                <w:highlight w:val="none"/>
              </w:rPr>
              <w:t>7:30—18:00</w:t>
            </w:r>
          </w:p>
        </w:tc>
        <w:tc>
          <w:tcPr>
            <w:tcW w:w="4575"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sz w:val="20"/>
                <w:szCs w:val="20"/>
                <w:highlight w:val="none"/>
              </w:rPr>
              <w:t>项目执行总负责人，负责人员管理协调，组织处置各类治安、消防、交通、秩序，以及突发事件，非正常时间随叫随到。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64" w:type="dxa"/>
            <w:noWrap w:val="0"/>
            <w:vAlign w:val="center"/>
          </w:tcPr>
          <w:p>
            <w:pPr>
              <w:numPr>
                <w:ilvl w:val="0"/>
                <w:numId w:val="4"/>
              </w:numPr>
              <w:ind w:left="425" w:leftChars="0" w:hanging="425" w:firstLineChars="0"/>
              <w:jc w:val="left"/>
              <w:rPr>
                <w:rFonts w:ascii="宋体" w:hAnsi="宋体" w:cs="宋体"/>
                <w:color w:val="auto"/>
                <w:sz w:val="20"/>
                <w:szCs w:val="20"/>
                <w:highlight w:val="none"/>
              </w:rPr>
            </w:pPr>
          </w:p>
        </w:tc>
        <w:tc>
          <w:tcPr>
            <w:tcW w:w="2719"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sz w:val="20"/>
                <w:szCs w:val="20"/>
                <w:highlight w:val="none"/>
              </w:rPr>
              <w:t>东南门白班门卫</w:t>
            </w:r>
          </w:p>
        </w:tc>
        <w:tc>
          <w:tcPr>
            <w:tcW w:w="1470"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kern w:val="0"/>
                <w:sz w:val="20"/>
                <w:szCs w:val="20"/>
                <w:highlight w:val="none"/>
              </w:rPr>
              <w:t>07:00—</w:t>
            </w: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5:00</w:t>
            </w:r>
          </w:p>
        </w:tc>
        <w:tc>
          <w:tcPr>
            <w:tcW w:w="4575" w:type="dxa"/>
            <w:vMerge w:val="restart"/>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负责大门周边环境秩序管理，执行医院进出口管理秩序，确保停车场秩序井然。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4"/>
              </w:numPr>
              <w:ind w:left="425" w:leftChars="0" w:hanging="425" w:firstLineChars="0"/>
              <w:jc w:val="left"/>
              <w:rPr>
                <w:rFonts w:ascii="宋体" w:hAnsi="宋体" w:cs="宋体"/>
                <w:color w:val="auto"/>
                <w:sz w:val="20"/>
                <w:szCs w:val="20"/>
                <w:highlight w:val="none"/>
              </w:rPr>
            </w:pPr>
          </w:p>
        </w:tc>
        <w:tc>
          <w:tcPr>
            <w:tcW w:w="2719"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sz w:val="20"/>
                <w:szCs w:val="20"/>
                <w:highlight w:val="none"/>
              </w:rPr>
              <w:t>西南门白班门卫</w:t>
            </w:r>
          </w:p>
        </w:tc>
        <w:tc>
          <w:tcPr>
            <w:tcW w:w="1470"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kern w:val="0"/>
                <w:sz w:val="20"/>
                <w:szCs w:val="20"/>
                <w:highlight w:val="none"/>
              </w:rPr>
              <w:t>07:00—15:00</w:t>
            </w:r>
          </w:p>
        </w:tc>
        <w:tc>
          <w:tcPr>
            <w:tcW w:w="4575" w:type="dxa"/>
            <w:vMerge w:val="continue"/>
            <w:noWrap w:val="0"/>
            <w:vAlign w:val="center"/>
          </w:tcPr>
          <w:p>
            <w:pPr>
              <w:widowControl/>
              <w:jc w:val="left"/>
              <w:textAlignment w:val="top"/>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4"/>
              </w:numPr>
              <w:ind w:left="425" w:leftChars="0" w:hanging="425" w:firstLineChars="0"/>
              <w:jc w:val="left"/>
              <w:rPr>
                <w:rFonts w:ascii="宋体" w:hAnsi="宋体" w:cs="宋体"/>
                <w:color w:val="auto"/>
                <w:sz w:val="20"/>
                <w:szCs w:val="20"/>
                <w:highlight w:val="none"/>
              </w:rPr>
            </w:pPr>
          </w:p>
        </w:tc>
        <w:tc>
          <w:tcPr>
            <w:tcW w:w="2719"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sz w:val="20"/>
                <w:szCs w:val="20"/>
                <w:highlight w:val="none"/>
              </w:rPr>
              <w:t>西南门中班门卫</w:t>
            </w:r>
          </w:p>
        </w:tc>
        <w:tc>
          <w:tcPr>
            <w:tcW w:w="1470"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15:00—23:00</w:t>
            </w:r>
          </w:p>
        </w:tc>
        <w:tc>
          <w:tcPr>
            <w:tcW w:w="4575" w:type="dxa"/>
            <w:vMerge w:val="continue"/>
            <w:noWrap w:val="0"/>
            <w:vAlign w:val="center"/>
          </w:tcPr>
          <w:p>
            <w:pPr>
              <w:widowControl/>
              <w:jc w:val="left"/>
              <w:textAlignment w:val="top"/>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4"/>
              </w:numPr>
              <w:ind w:left="425" w:leftChars="0" w:hanging="425" w:firstLineChars="0"/>
              <w:jc w:val="left"/>
              <w:rPr>
                <w:rFonts w:ascii="宋体" w:hAnsi="宋体" w:cs="宋体"/>
                <w:color w:val="auto"/>
                <w:sz w:val="20"/>
                <w:szCs w:val="20"/>
                <w:highlight w:val="none"/>
              </w:rPr>
            </w:pPr>
          </w:p>
        </w:tc>
        <w:tc>
          <w:tcPr>
            <w:tcW w:w="2719"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sz w:val="20"/>
                <w:szCs w:val="20"/>
                <w:highlight w:val="none"/>
              </w:rPr>
              <w:t>西南门夜班门卫</w:t>
            </w:r>
          </w:p>
        </w:tc>
        <w:tc>
          <w:tcPr>
            <w:tcW w:w="1470"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kern w:val="0"/>
                <w:sz w:val="20"/>
                <w:szCs w:val="20"/>
                <w:highlight w:val="none"/>
              </w:rPr>
              <w:t>23:00—8:00</w:t>
            </w:r>
          </w:p>
        </w:tc>
        <w:tc>
          <w:tcPr>
            <w:tcW w:w="4575" w:type="dxa"/>
            <w:vMerge w:val="continue"/>
            <w:noWrap w:val="0"/>
            <w:vAlign w:val="center"/>
          </w:tcPr>
          <w:p>
            <w:pPr>
              <w:widowControl/>
              <w:jc w:val="left"/>
              <w:textAlignment w:val="top"/>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4"/>
              </w:numPr>
              <w:ind w:left="425" w:leftChars="0" w:hanging="425" w:firstLineChars="0"/>
              <w:jc w:val="left"/>
              <w:rPr>
                <w:rFonts w:ascii="宋体" w:hAnsi="宋体" w:cs="宋体"/>
                <w:color w:val="auto"/>
                <w:sz w:val="20"/>
                <w:szCs w:val="20"/>
                <w:highlight w:val="none"/>
              </w:rPr>
            </w:pPr>
          </w:p>
        </w:tc>
        <w:tc>
          <w:tcPr>
            <w:tcW w:w="2719"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sz w:val="20"/>
                <w:szCs w:val="20"/>
                <w:highlight w:val="none"/>
              </w:rPr>
              <w:t>应急通道白班管理人员</w:t>
            </w:r>
          </w:p>
        </w:tc>
        <w:tc>
          <w:tcPr>
            <w:tcW w:w="1470"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07:00—15:00</w:t>
            </w:r>
          </w:p>
        </w:tc>
        <w:tc>
          <w:tcPr>
            <w:tcW w:w="4575"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确保应急通道的通畅。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4"/>
              </w:numPr>
              <w:ind w:left="425" w:leftChars="0" w:hanging="425" w:firstLineChars="0"/>
              <w:jc w:val="left"/>
              <w:rPr>
                <w:rFonts w:ascii="宋体" w:hAnsi="宋体" w:cs="宋体"/>
                <w:color w:val="auto"/>
                <w:sz w:val="20"/>
                <w:szCs w:val="20"/>
                <w:highlight w:val="none"/>
              </w:rPr>
            </w:pPr>
          </w:p>
        </w:tc>
        <w:tc>
          <w:tcPr>
            <w:tcW w:w="2719"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sz w:val="20"/>
                <w:szCs w:val="20"/>
                <w:highlight w:val="none"/>
              </w:rPr>
              <w:t>南浦一楼大厅及急诊白班巡逻</w:t>
            </w:r>
          </w:p>
        </w:tc>
        <w:tc>
          <w:tcPr>
            <w:tcW w:w="1470"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07:00—15:00</w:t>
            </w:r>
          </w:p>
        </w:tc>
        <w:tc>
          <w:tcPr>
            <w:tcW w:w="4575" w:type="dxa"/>
            <w:vMerge w:val="restart"/>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eastAsia="宋体" w:cs="宋体"/>
                <w:color w:val="auto"/>
                <w:sz w:val="20"/>
                <w:szCs w:val="20"/>
                <w:highlight w:val="none"/>
              </w:rPr>
              <w:t>负责中夜班安保人员工作监督、协调，急诊区域的巡逻，突发事件处置。</w:t>
            </w:r>
            <w:r>
              <w:rPr>
                <w:rFonts w:hint="eastAsia" w:ascii="宋体" w:hAnsi="宋体" w:eastAsia="宋体" w:cs="宋体"/>
                <w:color w:val="auto"/>
                <w:kern w:val="0"/>
                <w:sz w:val="20"/>
                <w:szCs w:val="20"/>
                <w:highlight w:val="none"/>
              </w:rPr>
              <w:t>确保大厅一楼的正常治安秩序，特别是急诊的秩序维护，在第一时间化解纠纷、矛盾，及时处置各类突发事件。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4"/>
              </w:numPr>
              <w:ind w:left="425" w:leftChars="0" w:hanging="425" w:firstLineChars="0"/>
              <w:jc w:val="left"/>
              <w:rPr>
                <w:rFonts w:ascii="宋体" w:hAnsi="宋体" w:cs="宋体"/>
                <w:color w:val="auto"/>
                <w:sz w:val="20"/>
                <w:szCs w:val="20"/>
                <w:highlight w:val="none"/>
              </w:rPr>
            </w:pPr>
          </w:p>
        </w:tc>
        <w:tc>
          <w:tcPr>
            <w:tcW w:w="2719"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sz w:val="20"/>
                <w:szCs w:val="20"/>
                <w:highlight w:val="none"/>
              </w:rPr>
              <w:t>中班队长兼南浦一楼大厅及急诊中班巡逻</w:t>
            </w:r>
          </w:p>
        </w:tc>
        <w:tc>
          <w:tcPr>
            <w:tcW w:w="1470"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kern w:val="0"/>
                <w:sz w:val="20"/>
                <w:szCs w:val="20"/>
                <w:highlight w:val="none"/>
              </w:rPr>
              <w:t>15:00—23:00</w:t>
            </w:r>
          </w:p>
        </w:tc>
        <w:tc>
          <w:tcPr>
            <w:tcW w:w="4575" w:type="dxa"/>
            <w:vMerge w:val="continue"/>
            <w:noWrap w:val="0"/>
            <w:vAlign w:val="center"/>
          </w:tcPr>
          <w:p>
            <w:pPr>
              <w:widowControl/>
              <w:jc w:val="left"/>
              <w:textAlignment w:val="top"/>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numPr>
                <w:ilvl w:val="0"/>
                <w:numId w:val="4"/>
              </w:numPr>
              <w:ind w:left="425" w:leftChars="0" w:hanging="425" w:firstLineChars="0"/>
              <w:jc w:val="left"/>
              <w:rPr>
                <w:rFonts w:ascii="宋体" w:hAnsi="宋体" w:cs="宋体"/>
                <w:color w:val="auto"/>
                <w:sz w:val="20"/>
                <w:szCs w:val="20"/>
                <w:highlight w:val="none"/>
              </w:rPr>
            </w:pPr>
          </w:p>
        </w:tc>
        <w:tc>
          <w:tcPr>
            <w:tcW w:w="2719"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sz w:val="20"/>
                <w:szCs w:val="20"/>
                <w:highlight w:val="none"/>
              </w:rPr>
              <w:t>夜班队长兼南浦一楼大厅及急诊夜班巡逻</w:t>
            </w:r>
          </w:p>
        </w:tc>
        <w:tc>
          <w:tcPr>
            <w:tcW w:w="1470"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eastAsia="宋体" w:cs="宋体"/>
                <w:color w:val="auto"/>
                <w:kern w:val="0"/>
                <w:sz w:val="20"/>
                <w:szCs w:val="20"/>
                <w:highlight w:val="none"/>
              </w:rPr>
              <w:t>23:00—8:00</w:t>
            </w:r>
          </w:p>
        </w:tc>
        <w:tc>
          <w:tcPr>
            <w:tcW w:w="4575" w:type="dxa"/>
            <w:vMerge w:val="continue"/>
            <w:noWrap w:val="0"/>
            <w:vAlign w:val="center"/>
          </w:tcPr>
          <w:p>
            <w:pPr>
              <w:widowControl/>
              <w:jc w:val="left"/>
              <w:textAlignment w:val="top"/>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64" w:type="dxa"/>
            <w:noWrap w:val="0"/>
            <w:vAlign w:val="center"/>
          </w:tcPr>
          <w:p>
            <w:pPr>
              <w:numPr>
                <w:ilvl w:val="0"/>
                <w:numId w:val="4"/>
              </w:numPr>
              <w:ind w:left="425" w:leftChars="0" w:hanging="425" w:firstLineChars="0"/>
              <w:jc w:val="left"/>
              <w:rPr>
                <w:rFonts w:ascii="宋体" w:hAnsi="宋体" w:cs="宋体"/>
                <w:color w:val="auto"/>
                <w:sz w:val="20"/>
                <w:szCs w:val="20"/>
                <w:highlight w:val="none"/>
              </w:rPr>
            </w:pPr>
          </w:p>
        </w:tc>
        <w:tc>
          <w:tcPr>
            <w:tcW w:w="2719" w:type="dxa"/>
            <w:noWrap w:val="0"/>
            <w:vAlign w:val="center"/>
          </w:tcPr>
          <w:p>
            <w:pPr>
              <w:widowControl/>
              <w:jc w:val="left"/>
              <w:textAlignment w:val="top"/>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门诊二楼白班巡逻</w:t>
            </w:r>
          </w:p>
        </w:tc>
        <w:tc>
          <w:tcPr>
            <w:tcW w:w="1470" w:type="dxa"/>
            <w:noWrap w:val="0"/>
            <w:vAlign w:val="center"/>
          </w:tcPr>
          <w:p>
            <w:pPr>
              <w:widowControl/>
              <w:jc w:val="center"/>
              <w:textAlignment w:val="top"/>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rPr>
              <w:t>07:00—15:00</w:t>
            </w:r>
          </w:p>
        </w:tc>
        <w:tc>
          <w:tcPr>
            <w:tcW w:w="4575" w:type="dxa"/>
            <w:vMerge w:val="restart"/>
            <w:noWrap w:val="0"/>
            <w:vAlign w:val="center"/>
          </w:tcPr>
          <w:p>
            <w:pPr>
              <w:widowControl/>
              <w:jc w:val="center"/>
              <w:textAlignment w:val="top"/>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做好门诊各区域的秩序维护，确保治安安全，及时尽早的做好各类纠纷的调解，发现暴力事件第一时间处置，确保消防安全。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64" w:type="dxa"/>
            <w:noWrap w:val="0"/>
            <w:vAlign w:val="center"/>
          </w:tcPr>
          <w:p>
            <w:pPr>
              <w:numPr>
                <w:ilvl w:val="0"/>
                <w:numId w:val="4"/>
              </w:numPr>
              <w:ind w:left="425" w:leftChars="0" w:hanging="425" w:firstLineChars="0"/>
              <w:jc w:val="left"/>
              <w:rPr>
                <w:rFonts w:ascii="宋体" w:hAnsi="宋体" w:cs="宋体"/>
                <w:color w:val="auto"/>
                <w:sz w:val="20"/>
                <w:szCs w:val="20"/>
                <w:highlight w:val="none"/>
              </w:rPr>
            </w:pPr>
          </w:p>
        </w:tc>
        <w:tc>
          <w:tcPr>
            <w:tcW w:w="2719" w:type="dxa"/>
            <w:noWrap w:val="0"/>
            <w:vAlign w:val="center"/>
          </w:tcPr>
          <w:p>
            <w:pPr>
              <w:widowControl/>
              <w:jc w:val="left"/>
              <w:textAlignment w:val="top"/>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门诊二楼白班巡逻</w:t>
            </w:r>
          </w:p>
        </w:tc>
        <w:tc>
          <w:tcPr>
            <w:tcW w:w="1470" w:type="dxa"/>
            <w:noWrap w:val="0"/>
            <w:vAlign w:val="center"/>
          </w:tcPr>
          <w:p>
            <w:pPr>
              <w:widowControl/>
              <w:jc w:val="center"/>
              <w:textAlignment w:val="top"/>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rPr>
              <w:t>07:00—15:00</w:t>
            </w:r>
          </w:p>
        </w:tc>
        <w:tc>
          <w:tcPr>
            <w:tcW w:w="4575" w:type="dxa"/>
            <w:vMerge w:val="continue"/>
            <w:noWrap w:val="0"/>
            <w:vAlign w:val="center"/>
          </w:tcPr>
          <w:p>
            <w:pPr>
              <w:widowControl/>
              <w:jc w:val="left"/>
              <w:textAlignment w:val="top"/>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64" w:type="dxa"/>
            <w:noWrap w:val="0"/>
            <w:vAlign w:val="center"/>
          </w:tcPr>
          <w:p>
            <w:pPr>
              <w:numPr>
                <w:ilvl w:val="0"/>
                <w:numId w:val="4"/>
              </w:numPr>
              <w:ind w:left="425" w:leftChars="0" w:hanging="425" w:firstLineChars="0"/>
              <w:jc w:val="left"/>
              <w:rPr>
                <w:rFonts w:ascii="宋体" w:hAnsi="宋体" w:cs="宋体"/>
                <w:color w:val="auto"/>
                <w:sz w:val="20"/>
                <w:szCs w:val="20"/>
                <w:highlight w:val="none"/>
              </w:rPr>
            </w:pPr>
          </w:p>
        </w:tc>
        <w:tc>
          <w:tcPr>
            <w:tcW w:w="2719" w:type="dxa"/>
            <w:noWrap w:val="0"/>
            <w:vAlign w:val="center"/>
          </w:tcPr>
          <w:p>
            <w:pPr>
              <w:widowControl/>
              <w:jc w:val="left"/>
              <w:textAlignment w:val="top"/>
              <w:rPr>
                <w:rFonts w:hint="eastAsia" w:ascii="宋体" w:hAnsi="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门诊三楼白班巡逻</w:t>
            </w:r>
          </w:p>
        </w:tc>
        <w:tc>
          <w:tcPr>
            <w:tcW w:w="1470" w:type="dxa"/>
            <w:noWrap w:val="0"/>
            <w:vAlign w:val="center"/>
          </w:tcPr>
          <w:p>
            <w:pPr>
              <w:widowControl/>
              <w:jc w:val="center"/>
              <w:textAlignment w:val="top"/>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07:00—15:00</w:t>
            </w:r>
          </w:p>
        </w:tc>
        <w:tc>
          <w:tcPr>
            <w:tcW w:w="4575" w:type="dxa"/>
            <w:vMerge w:val="continue"/>
            <w:noWrap w:val="0"/>
            <w:vAlign w:val="center"/>
          </w:tcPr>
          <w:p>
            <w:pPr>
              <w:widowControl/>
              <w:jc w:val="left"/>
              <w:textAlignment w:val="top"/>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64" w:type="dxa"/>
            <w:noWrap w:val="0"/>
            <w:vAlign w:val="center"/>
          </w:tcPr>
          <w:p>
            <w:pPr>
              <w:numPr>
                <w:ilvl w:val="0"/>
                <w:numId w:val="4"/>
              </w:numPr>
              <w:ind w:left="425" w:leftChars="0" w:hanging="425" w:firstLineChars="0"/>
              <w:jc w:val="left"/>
              <w:rPr>
                <w:rFonts w:ascii="宋体" w:hAnsi="宋体" w:cs="宋体"/>
                <w:color w:val="auto"/>
                <w:sz w:val="20"/>
                <w:szCs w:val="20"/>
                <w:highlight w:val="none"/>
              </w:rPr>
            </w:pPr>
          </w:p>
        </w:tc>
        <w:tc>
          <w:tcPr>
            <w:tcW w:w="2719"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cs="宋体"/>
                <w:color w:val="auto"/>
                <w:kern w:val="0"/>
                <w:sz w:val="20"/>
                <w:szCs w:val="20"/>
                <w:highlight w:val="none"/>
              </w:rPr>
              <w:t>门诊一楼白班安检人员</w:t>
            </w:r>
          </w:p>
        </w:tc>
        <w:tc>
          <w:tcPr>
            <w:tcW w:w="1470"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rPr>
              <w:t>07:00—</w:t>
            </w:r>
            <w:r>
              <w:rPr>
                <w:rStyle w:val="292"/>
                <w:rFonts w:hint="default"/>
                <w:color w:val="auto"/>
                <w:sz w:val="20"/>
                <w:szCs w:val="20"/>
                <w:highlight w:val="none"/>
              </w:rPr>
              <w:t>15:00</w:t>
            </w:r>
          </w:p>
        </w:tc>
        <w:tc>
          <w:tcPr>
            <w:tcW w:w="4575" w:type="dxa"/>
            <w:vMerge w:val="restart"/>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cs="宋体"/>
                <w:color w:val="auto"/>
                <w:kern w:val="0"/>
                <w:sz w:val="20"/>
                <w:szCs w:val="20"/>
                <w:highlight w:val="none"/>
              </w:rPr>
              <w:t>负责进院就诊人员及家属的安检工作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64" w:type="dxa"/>
            <w:noWrap w:val="0"/>
            <w:vAlign w:val="center"/>
          </w:tcPr>
          <w:p>
            <w:pPr>
              <w:numPr>
                <w:ilvl w:val="0"/>
                <w:numId w:val="4"/>
              </w:numPr>
              <w:ind w:left="425" w:leftChars="0" w:hanging="425" w:firstLineChars="0"/>
              <w:jc w:val="left"/>
              <w:rPr>
                <w:rFonts w:ascii="宋体" w:hAnsi="宋体" w:cs="宋体"/>
                <w:color w:val="auto"/>
                <w:sz w:val="20"/>
                <w:szCs w:val="20"/>
                <w:highlight w:val="none"/>
              </w:rPr>
            </w:pPr>
          </w:p>
        </w:tc>
        <w:tc>
          <w:tcPr>
            <w:tcW w:w="2719"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cs="宋体"/>
                <w:color w:val="auto"/>
                <w:kern w:val="0"/>
                <w:sz w:val="20"/>
                <w:szCs w:val="20"/>
                <w:highlight w:val="none"/>
              </w:rPr>
              <w:t>门诊一楼白班安检人员</w:t>
            </w:r>
          </w:p>
        </w:tc>
        <w:tc>
          <w:tcPr>
            <w:tcW w:w="1470" w:type="dxa"/>
            <w:noWrap w:val="0"/>
            <w:vAlign w:val="center"/>
          </w:tcPr>
          <w:p>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rPr>
              <w:t>07:00—</w:t>
            </w:r>
            <w:r>
              <w:rPr>
                <w:rStyle w:val="292"/>
                <w:rFonts w:hint="default"/>
                <w:color w:val="auto"/>
                <w:sz w:val="20"/>
                <w:szCs w:val="20"/>
                <w:highlight w:val="none"/>
              </w:rPr>
              <w:t>15:00</w:t>
            </w:r>
          </w:p>
        </w:tc>
        <w:tc>
          <w:tcPr>
            <w:tcW w:w="4575" w:type="dxa"/>
            <w:vMerge w:val="continue"/>
            <w:noWrap w:val="0"/>
            <w:vAlign w:val="center"/>
          </w:tcPr>
          <w:p>
            <w:pPr>
              <w:widowControl/>
              <w:jc w:val="left"/>
              <w:textAlignment w:val="top"/>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64" w:type="dxa"/>
            <w:noWrap w:val="0"/>
            <w:vAlign w:val="center"/>
          </w:tcPr>
          <w:p>
            <w:pPr>
              <w:numPr>
                <w:ilvl w:val="0"/>
                <w:numId w:val="4"/>
              </w:numPr>
              <w:ind w:left="425" w:leftChars="0" w:hanging="425" w:firstLineChars="0"/>
              <w:jc w:val="left"/>
              <w:rPr>
                <w:rFonts w:ascii="宋体" w:hAnsi="宋体" w:cs="宋体"/>
                <w:color w:val="auto"/>
                <w:sz w:val="20"/>
                <w:szCs w:val="20"/>
                <w:highlight w:val="none"/>
              </w:rPr>
            </w:pPr>
          </w:p>
        </w:tc>
        <w:tc>
          <w:tcPr>
            <w:tcW w:w="2719"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cs="宋体"/>
                <w:color w:val="auto"/>
                <w:kern w:val="0"/>
                <w:sz w:val="20"/>
                <w:szCs w:val="20"/>
                <w:highlight w:val="none"/>
              </w:rPr>
              <w:t>门诊一楼白班安检人员</w:t>
            </w:r>
          </w:p>
        </w:tc>
        <w:tc>
          <w:tcPr>
            <w:tcW w:w="1470"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cs="宋体"/>
                <w:color w:val="auto"/>
                <w:kern w:val="0"/>
                <w:sz w:val="20"/>
                <w:szCs w:val="20"/>
                <w:highlight w:val="none"/>
              </w:rPr>
              <w:t>07:00—</w:t>
            </w:r>
            <w:r>
              <w:rPr>
                <w:rStyle w:val="292"/>
                <w:rFonts w:hint="default"/>
                <w:color w:val="auto"/>
                <w:sz w:val="20"/>
                <w:szCs w:val="20"/>
                <w:highlight w:val="none"/>
              </w:rPr>
              <w:t>15:00</w:t>
            </w:r>
          </w:p>
        </w:tc>
        <w:tc>
          <w:tcPr>
            <w:tcW w:w="4575" w:type="dxa"/>
            <w:vMerge w:val="continue"/>
            <w:noWrap w:val="0"/>
            <w:vAlign w:val="center"/>
          </w:tcPr>
          <w:p>
            <w:pPr>
              <w:widowControl/>
              <w:jc w:val="left"/>
              <w:textAlignment w:val="top"/>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64" w:type="dxa"/>
            <w:noWrap w:val="0"/>
            <w:vAlign w:val="center"/>
          </w:tcPr>
          <w:p>
            <w:pPr>
              <w:numPr>
                <w:ilvl w:val="0"/>
                <w:numId w:val="4"/>
              </w:numPr>
              <w:ind w:left="425" w:leftChars="0" w:hanging="425" w:firstLineChars="0"/>
              <w:jc w:val="left"/>
              <w:rPr>
                <w:rFonts w:ascii="宋体" w:hAnsi="宋体" w:cs="宋体"/>
                <w:color w:val="auto"/>
                <w:sz w:val="20"/>
                <w:szCs w:val="20"/>
                <w:highlight w:val="none"/>
              </w:rPr>
            </w:pPr>
          </w:p>
        </w:tc>
        <w:tc>
          <w:tcPr>
            <w:tcW w:w="2719"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cs="宋体"/>
                <w:color w:val="auto"/>
                <w:kern w:val="0"/>
                <w:sz w:val="20"/>
                <w:szCs w:val="20"/>
                <w:highlight w:val="none"/>
              </w:rPr>
              <w:t>住院部一楼白班安检人员</w:t>
            </w:r>
          </w:p>
        </w:tc>
        <w:tc>
          <w:tcPr>
            <w:tcW w:w="1470"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cs="宋体"/>
                <w:color w:val="auto"/>
                <w:kern w:val="0"/>
                <w:sz w:val="20"/>
                <w:szCs w:val="20"/>
                <w:highlight w:val="none"/>
              </w:rPr>
              <w:t>07:00—</w:t>
            </w:r>
            <w:r>
              <w:rPr>
                <w:rStyle w:val="292"/>
                <w:rFonts w:hint="default"/>
                <w:color w:val="auto"/>
                <w:sz w:val="20"/>
                <w:szCs w:val="20"/>
                <w:highlight w:val="none"/>
              </w:rPr>
              <w:t>15:00</w:t>
            </w:r>
          </w:p>
        </w:tc>
        <w:tc>
          <w:tcPr>
            <w:tcW w:w="4575" w:type="dxa"/>
            <w:vMerge w:val="continue"/>
            <w:noWrap w:val="0"/>
            <w:vAlign w:val="top"/>
          </w:tcPr>
          <w:p>
            <w:pPr>
              <w:widowControl/>
              <w:jc w:val="left"/>
              <w:textAlignment w:val="top"/>
              <w:rPr>
                <w:rFonts w:ascii="宋体" w:hAnsi="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64" w:type="dxa"/>
            <w:noWrap w:val="0"/>
            <w:vAlign w:val="center"/>
          </w:tcPr>
          <w:p>
            <w:pPr>
              <w:numPr>
                <w:ilvl w:val="0"/>
                <w:numId w:val="4"/>
              </w:numPr>
              <w:ind w:left="425" w:leftChars="0" w:hanging="425" w:firstLineChars="0"/>
              <w:jc w:val="left"/>
              <w:rPr>
                <w:rFonts w:ascii="宋体" w:hAnsi="宋体" w:cs="宋体"/>
                <w:color w:val="auto"/>
                <w:sz w:val="20"/>
                <w:szCs w:val="20"/>
                <w:highlight w:val="none"/>
              </w:rPr>
            </w:pPr>
          </w:p>
        </w:tc>
        <w:tc>
          <w:tcPr>
            <w:tcW w:w="2719"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cs="宋体"/>
                <w:color w:val="auto"/>
                <w:kern w:val="0"/>
                <w:sz w:val="20"/>
                <w:szCs w:val="20"/>
                <w:highlight w:val="none"/>
              </w:rPr>
              <w:t>住院部一楼白班安检人员</w:t>
            </w:r>
          </w:p>
        </w:tc>
        <w:tc>
          <w:tcPr>
            <w:tcW w:w="1470" w:type="dxa"/>
            <w:noWrap w:val="0"/>
            <w:vAlign w:val="center"/>
          </w:tcPr>
          <w:p>
            <w:pPr>
              <w:widowControl/>
              <w:jc w:val="left"/>
              <w:textAlignment w:val="top"/>
              <w:rPr>
                <w:rFonts w:ascii="宋体" w:hAnsi="宋体" w:cs="宋体"/>
                <w:color w:val="auto"/>
                <w:kern w:val="0"/>
                <w:sz w:val="20"/>
                <w:szCs w:val="20"/>
                <w:highlight w:val="none"/>
              </w:rPr>
            </w:pPr>
            <w:r>
              <w:rPr>
                <w:rFonts w:hint="eastAsia" w:ascii="宋体" w:hAnsi="宋体" w:cs="宋体"/>
                <w:color w:val="auto"/>
                <w:kern w:val="0"/>
                <w:sz w:val="20"/>
                <w:szCs w:val="20"/>
                <w:highlight w:val="none"/>
              </w:rPr>
              <w:t>07:00—</w:t>
            </w:r>
            <w:r>
              <w:rPr>
                <w:rStyle w:val="292"/>
                <w:rFonts w:hint="default"/>
                <w:color w:val="auto"/>
                <w:sz w:val="20"/>
                <w:szCs w:val="20"/>
                <w:highlight w:val="none"/>
              </w:rPr>
              <w:t>15:00</w:t>
            </w:r>
          </w:p>
        </w:tc>
        <w:tc>
          <w:tcPr>
            <w:tcW w:w="4575" w:type="dxa"/>
            <w:vMerge w:val="continue"/>
            <w:noWrap w:val="0"/>
            <w:vAlign w:val="top"/>
          </w:tcPr>
          <w:p>
            <w:pPr>
              <w:widowControl/>
              <w:jc w:val="left"/>
              <w:textAlignment w:val="top"/>
              <w:rPr>
                <w:rFonts w:ascii="宋体" w:hAnsi="宋体" w:cs="宋体"/>
                <w:color w:val="auto"/>
                <w:kern w:val="0"/>
                <w:sz w:val="20"/>
                <w:szCs w:val="20"/>
                <w:highlight w:val="none"/>
              </w:rPr>
            </w:pPr>
          </w:p>
        </w:tc>
      </w:tr>
    </w:tbl>
    <w:p>
      <w:pPr>
        <w:adjustRightInd w:val="0"/>
        <w:snapToGrid w:val="0"/>
        <w:spacing w:line="360" w:lineRule="auto"/>
        <w:jc w:val="left"/>
        <w:rPr>
          <w:rFonts w:hint="eastAsia" w:ascii="宋体" w:hAnsi="宋体" w:cs="宋体"/>
          <w:color w:val="auto"/>
          <w:szCs w:val="21"/>
          <w:highlight w:val="none"/>
        </w:rPr>
      </w:pP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.3 </w:t>
      </w:r>
      <w:r>
        <w:rPr>
          <w:rFonts w:hint="eastAsia" w:ascii="宋体" w:hAnsi="宋体" w:cs="宋体"/>
          <w:color w:val="auto"/>
          <w:szCs w:val="21"/>
          <w:highlight w:val="none"/>
          <w:lang w:eastAsia="zh-CN"/>
        </w:rPr>
        <w:t>原</w:t>
      </w:r>
      <w:r>
        <w:rPr>
          <w:rFonts w:hint="eastAsia" w:ascii="宋体" w:hAnsi="宋体" w:cs="宋体"/>
          <w:color w:val="auto"/>
          <w:szCs w:val="21"/>
          <w:highlight w:val="none"/>
        </w:rPr>
        <w:t>成人急诊</w:t>
      </w:r>
      <w:r>
        <w:rPr>
          <w:rFonts w:hint="eastAsia" w:ascii="宋体" w:hAnsi="宋体" w:cs="宋体"/>
          <w:color w:val="auto"/>
          <w:szCs w:val="21"/>
          <w:highlight w:val="none"/>
          <w:lang w:eastAsia="zh-CN"/>
        </w:rPr>
        <w:t>中心</w:t>
      </w:r>
      <w:r>
        <w:rPr>
          <w:rFonts w:hint="eastAsia" w:ascii="宋体" w:hAnsi="宋体" w:cs="宋体"/>
          <w:color w:val="auto"/>
          <w:szCs w:val="21"/>
          <w:highlight w:val="none"/>
        </w:rPr>
        <w:t>外包安保岗位（4个）明细：</w:t>
      </w:r>
    </w:p>
    <w:tbl>
      <w:tblPr>
        <w:tblStyle w:val="80"/>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640"/>
        <w:gridCol w:w="1470"/>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60" w:type="dxa"/>
            <w:noWrap w:val="0"/>
            <w:vAlign w:val="center"/>
          </w:tcPr>
          <w:p>
            <w:pPr>
              <w:jc w:val="center"/>
              <w:rPr>
                <w:color w:val="auto"/>
                <w:szCs w:val="21"/>
                <w:highlight w:val="none"/>
              </w:rPr>
            </w:pPr>
            <w:r>
              <w:rPr>
                <w:rFonts w:hint="eastAsia"/>
                <w:color w:val="auto"/>
                <w:szCs w:val="21"/>
                <w:highlight w:val="none"/>
              </w:rPr>
              <w:t>序号</w:t>
            </w:r>
          </w:p>
        </w:tc>
        <w:tc>
          <w:tcPr>
            <w:tcW w:w="2640" w:type="dxa"/>
            <w:noWrap w:val="0"/>
            <w:vAlign w:val="center"/>
          </w:tcPr>
          <w:p>
            <w:pPr>
              <w:jc w:val="center"/>
              <w:rPr>
                <w:color w:val="auto"/>
                <w:szCs w:val="21"/>
                <w:highlight w:val="none"/>
              </w:rPr>
            </w:pPr>
            <w:r>
              <w:rPr>
                <w:rFonts w:hint="eastAsia"/>
                <w:color w:val="auto"/>
                <w:szCs w:val="21"/>
                <w:highlight w:val="none"/>
              </w:rPr>
              <w:t>岗位</w:t>
            </w:r>
          </w:p>
        </w:tc>
        <w:tc>
          <w:tcPr>
            <w:tcW w:w="1470" w:type="dxa"/>
            <w:noWrap w:val="0"/>
            <w:vAlign w:val="center"/>
          </w:tcPr>
          <w:p>
            <w:pPr>
              <w:jc w:val="center"/>
              <w:rPr>
                <w:color w:val="auto"/>
                <w:szCs w:val="21"/>
                <w:highlight w:val="none"/>
              </w:rPr>
            </w:pPr>
            <w:r>
              <w:rPr>
                <w:rFonts w:hint="eastAsia"/>
                <w:color w:val="auto"/>
                <w:szCs w:val="21"/>
                <w:highlight w:val="none"/>
              </w:rPr>
              <w:t>上班时间</w:t>
            </w:r>
          </w:p>
        </w:tc>
        <w:tc>
          <w:tcPr>
            <w:tcW w:w="4575" w:type="dxa"/>
            <w:noWrap w:val="0"/>
            <w:vAlign w:val="center"/>
          </w:tcPr>
          <w:p>
            <w:pPr>
              <w:jc w:val="center"/>
              <w:rPr>
                <w:color w:val="auto"/>
                <w:szCs w:val="21"/>
                <w:highlight w:val="none"/>
              </w:rPr>
            </w:pPr>
            <w:r>
              <w:rPr>
                <w:rFonts w:hint="eastAsia"/>
                <w:color w:val="auto"/>
                <w:szCs w:val="21"/>
                <w:highlight w:val="none"/>
              </w:rPr>
              <w:t>职责概述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60" w:type="dxa"/>
            <w:noWrap w:val="0"/>
            <w:vAlign w:val="center"/>
          </w:tcPr>
          <w:p>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001</w:t>
            </w:r>
          </w:p>
        </w:tc>
        <w:tc>
          <w:tcPr>
            <w:tcW w:w="2640" w:type="dxa"/>
            <w:noWrap w:val="0"/>
            <w:vAlign w:val="center"/>
          </w:tcPr>
          <w:p>
            <w:pPr>
              <w:widowControl/>
              <w:jc w:val="center"/>
              <w:textAlignment w:val="top"/>
              <w:rPr>
                <w:rFonts w:ascii="宋体" w:hAnsi="宋体" w:cs="宋体"/>
                <w:color w:val="auto"/>
                <w:sz w:val="20"/>
                <w:szCs w:val="20"/>
                <w:highlight w:val="none"/>
              </w:rPr>
            </w:pPr>
            <w:r>
              <w:rPr>
                <w:rFonts w:hint="eastAsia" w:ascii="宋体" w:hAnsi="宋体" w:cs="宋体"/>
                <w:color w:val="auto"/>
                <w:sz w:val="20"/>
                <w:szCs w:val="20"/>
                <w:highlight w:val="none"/>
              </w:rPr>
              <w:t>大门及停车场白班管理（一）</w:t>
            </w:r>
          </w:p>
        </w:tc>
        <w:tc>
          <w:tcPr>
            <w:tcW w:w="1470" w:type="dxa"/>
            <w:noWrap w:val="0"/>
            <w:vAlign w:val="center"/>
          </w:tcPr>
          <w:p>
            <w:pPr>
              <w:widowControl/>
              <w:jc w:val="center"/>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rPr>
              <w:t>07:00—15:00</w:t>
            </w:r>
          </w:p>
        </w:tc>
        <w:tc>
          <w:tcPr>
            <w:tcW w:w="4575" w:type="dxa"/>
            <w:noWrap w:val="0"/>
            <w:vAlign w:val="center"/>
          </w:tcPr>
          <w:p>
            <w:pPr>
              <w:widowControl/>
              <w:jc w:val="center"/>
              <w:textAlignment w:val="top"/>
              <w:rPr>
                <w:rFonts w:ascii="宋体" w:hAnsi="宋体" w:cs="宋体"/>
                <w:color w:val="auto"/>
                <w:kern w:val="0"/>
                <w:sz w:val="20"/>
                <w:szCs w:val="20"/>
                <w:highlight w:val="none"/>
              </w:rPr>
            </w:pPr>
            <w:r>
              <w:rPr>
                <w:rFonts w:hint="eastAsia" w:ascii="宋体" w:hAnsi="宋体" w:cs="宋体"/>
                <w:color w:val="auto"/>
                <w:kern w:val="0"/>
                <w:sz w:val="20"/>
                <w:szCs w:val="20"/>
                <w:highlight w:val="none"/>
              </w:rPr>
              <w:t>负责大门周边环境秩序管理，停车场秩序管理，急诊处置突发事件的第二波力量。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noWrap w:val="0"/>
            <w:vAlign w:val="center"/>
          </w:tcPr>
          <w:p>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002</w:t>
            </w:r>
          </w:p>
        </w:tc>
        <w:tc>
          <w:tcPr>
            <w:tcW w:w="2640" w:type="dxa"/>
            <w:noWrap w:val="0"/>
            <w:vAlign w:val="center"/>
          </w:tcPr>
          <w:p>
            <w:pPr>
              <w:widowControl/>
              <w:jc w:val="center"/>
              <w:textAlignment w:val="top"/>
              <w:rPr>
                <w:rFonts w:ascii="宋体" w:hAnsi="宋体" w:cs="宋体"/>
                <w:color w:val="auto"/>
                <w:sz w:val="20"/>
                <w:szCs w:val="20"/>
                <w:highlight w:val="none"/>
              </w:rPr>
            </w:pPr>
            <w:r>
              <w:rPr>
                <w:rFonts w:hint="eastAsia" w:ascii="宋体" w:hAnsi="宋体" w:cs="宋体"/>
                <w:color w:val="auto"/>
                <w:sz w:val="20"/>
                <w:szCs w:val="20"/>
                <w:highlight w:val="none"/>
              </w:rPr>
              <w:t>大门及停车场白班管理（二）</w:t>
            </w:r>
          </w:p>
        </w:tc>
        <w:tc>
          <w:tcPr>
            <w:tcW w:w="1470" w:type="dxa"/>
            <w:noWrap w:val="0"/>
            <w:vAlign w:val="center"/>
          </w:tcPr>
          <w:p>
            <w:pPr>
              <w:widowControl/>
              <w:jc w:val="center"/>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rPr>
              <w:t>07:00—15:00</w:t>
            </w:r>
          </w:p>
        </w:tc>
        <w:tc>
          <w:tcPr>
            <w:tcW w:w="4575" w:type="dxa"/>
            <w:noWrap w:val="0"/>
            <w:vAlign w:val="center"/>
          </w:tcPr>
          <w:p>
            <w:pPr>
              <w:widowControl/>
              <w:jc w:val="center"/>
              <w:textAlignment w:val="top"/>
              <w:rPr>
                <w:rFonts w:ascii="宋体" w:hAnsi="宋体" w:cs="宋体"/>
                <w:color w:val="auto"/>
                <w:kern w:val="0"/>
                <w:sz w:val="20"/>
                <w:szCs w:val="20"/>
                <w:highlight w:val="none"/>
              </w:rPr>
            </w:pPr>
            <w:r>
              <w:rPr>
                <w:rFonts w:hint="eastAsia" w:ascii="宋体" w:hAnsi="宋体" w:cs="宋体"/>
                <w:color w:val="auto"/>
                <w:kern w:val="0"/>
                <w:sz w:val="20"/>
                <w:szCs w:val="20"/>
                <w:highlight w:val="none"/>
              </w:rPr>
              <w:t>负责大门周边环境秩序管理，停车场秩序管理，急诊处置突发事件的第二波力量。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noWrap w:val="0"/>
            <w:vAlign w:val="center"/>
          </w:tcPr>
          <w:p>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003</w:t>
            </w:r>
          </w:p>
        </w:tc>
        <w:tc>
          <w:tcPr>
            <w:tcW w:w="2640" w:type="dxa"/>
            <w:noWrap w:val="0"/>
            <w:vAlign w:val="center"/>
          </w:tcPr>
          <w:p>
            <w:pPr>
              <w:widowControl/>
              <w:jc w:val="center"/>
              <w:textAlignment w:val="top"/>
              <w:rPr>
                <w:rFonts w:ascii="宋体" w:hAnsi="宋体" w:cs="宋体"/>
                <w:color w:val="auto"/>
                <w:sz w:val="20"/>
                <w:szCs w:val="20"/>
                <w:highlight w:val="none"/>
              </w:rPr>
            </w:pPr>
            <w:r>
              <w:rPr>
                <w:rFonts w:hint="eastAsia" w:ascii="宋体" w:hAnsi="宋体" w:cs="宋体"/>
                <w:color w:val="auto"/>
                <w:sz w:val="20"/>
                <w:szCs w:val="20"/>
                <w:highlight w:val="none"/>
              </w:rPr>
              <w:t>大门及停车场中班管理（一）</w:t>
            </w:r>
          </w:p>
        </w:tc>
        <w:tc>
          <w:tcPr>
            <w:tcW w:w="1470" w:type="dxa"/>
            <w:noWrap w:val="0"/>
            <w:vAlign w:val="center"/>
          </w:tcPr>
          <w:p>
            <w:pPr>
              <w:widowControl/>
              <w:jc w:val="center"/>
              <w:textAlignment w:val="top"/>
              <w:rPr>
                <w:rFonts w:ascii="宋体" w:hAnsi="宋体" w:cs="宋体"/>
                <w:color w:val="auto"/>
                <w:kern w:val="0"/>
                <w:sz w:val="20"/>
                <w:szCs w:val="20"/>
                <w:highlight w:val="none"/>
              </w:rPr>
            </w:pPr>
            <w:r>
              <w:rPr>
                <w:rFonts w:hint="eastAsia" w:ascii="宋体" w:hAnsi="宋体" w:cs="宋体"/>
                <w:color w:val="auto"/>
                <w:kern w:val="0"/>
                <w:sz w:val="20"/>
                <w:szCs w:val="20"/>
                <w:highlight w:val="none"/>
              </w:rPr>
              <w:t>15:00—23:00</w:t>
            </w:r>
          </w:p>
        </w:tc>
        <w:tc>
          <w:tcPr>
            <w:tcW w:w="4575" w:type="dxa"/>
            <w:noWrap w:val="0"/>
            <w:vAlign w:val="center"/>
          </w:tcPr>
          <w:p>
            <w:pPr>
              <w:widowControl/>
              <w:jc w:val="center"/>
              <w:textAlignment w:val="top"/>
              <w:rPr>
                <w:rFonts w:ascii="宋体" w:hAnsi="宋体" w:cs="宋体"/>
                <w:color w:val="auto"/>
                <w:kern w:val="0"/>
                <w:sz w:val="20"/>
                <w:szCs w:val="20"/>
                <w:highlight w:val="none"/>
              </w:rPr>
            </w:pPr>
            <w:r>
              <w:rPr>
                <w:rFonts w:hint="eastAsia" w:ascii="宋体" w:hAnsi="宋体" w:cs="宋体"/>
                <w:color w:val="auto"/>
                <w:kern w:val="0"/>
                <w:sz w:val="20"/>
                <w:szCs w:val="20"/>
                <w:highlight w:val="none"/>
              </w:rPr>
              <w:t>负责大门周边环境秩序管理，停车场秩序管理，急诊处置突发事件的第二波力量。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noWrap w:val="0"/>
            <w:vAlign w:val="center"/>
          </w:tcPr>
          <w:p>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004</w:t>
            </w:r>
          </w:p>
        </w:tc>
        <w:tc>
          <w:tcPr>
            <w:tcW w:w="2640" w:type="dxa"/>
            <w:noWrap w:val="0"/>
            <w:vAlign w:val="center"/>
          </w:tcPr>
          <w:p>
            <w:pPr>
              <w:widowControl/>
              <w:jc w:val="center"/>
              <w:textAlignment w:val="top"/>
              <w:rPr>
                <w:rFonts w:ascii="宋体" w:hAnsi="宋体" w:cs="宋体"/>
                <w:color w:val="auto"/>
                <w:sz w:val="20"/>
                <w:szCs w:val="20"/>
                <w:highlight w:val="none"/>
              </w:rPr>
            </w:pPr>
            <w:r>
              <w:rPr>
                <w:rFonts w:hint="eastAsia" w:ascii="宋体" w:hAnsi="宋体" w:cs="宋体"/>
                <w:color w:val="auto"/>
                <w:sz w:val="20"/>
                <w:szCs w:val="20"/>
                <w:highlight w:val="none"/>
              </w:rPr>
              <w:t>大门及停车场夜班管理</w:t>
            </w:r>
          </w:p>
        </w:tc>
        <w:tc>
          <w:tcPr>
            <w:tcW w:w="1470" w:type="dxa"/>
            <w:noWrap w:val="0"/>
            <w:vAlign w:val="center"/>
          </w:tcPr>
          <w:p>
            <w:pPr>
              <w:widowControl/>
              <w:jc w:val="center"/>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rPr>
              <w:t>23:00—08:00</w:t>
            </w:r>
          </w:p>
        </w:tc>
        <w:tc>
          <w:tcPr>
            <w:tcW w:w="4575" w:type="dxa"/>
            <w:noWrap w:val="0"/>
            <w:vAlign w:val="center"/>
          </w:tcPr>
          <w:p>
            <w:pPr>
              <w:widowControl/>
              <w:jc w:val="center"/>
              <w:textAlignment w:val="top"/>
              <w:rPr>
                <w:rFonts w:ascii="宋体" w:hAnsi="宋体" w:cs="宋体"/>
                <w:color w:val="auto"/>
                <w:kern w:val="0"/>
                <w:sz w:val="20"/>
                <w:szCs w:val="20"/>
                <w:highlight w:val="none"/>
              </w:rPr>
            </w:pPr>
            <w:r>
              <w:rPr>
                <w:rFonts w:hint="eastAsia" w:ascii="宋体" w:hAnsi="宋体" w:cs="宋体"/>
                <w:color w:val="auto"/>
                <w:kern w:val="0"/>
                <w:sz w:val="20"/>
                <w:szCs w:val="20"/>
                <w:highlight w:val="none"/>
              </w:rPr>
              <w:t>负责大门周边环境秩序管理，停车场秩序管理，急诊处置突发事件的第二波力量。</w:t>
            </w:r>
          </w:p>
        </w:tc>
      </w:tr>
    </w:tbl>
    <w:p>
      <w:pPr>
        <w:adjustRightInd w:val="0"/>
        <w:snapToGrid w:val="0"/>
        <w:spacing w:line="360" w:lineRule="auto"/>
        <w:ind w:left="210" w:leftChars="100" w:firstLine="420" w:firstLineChars="200"/>
        <w:jc w:val="left"/>
        <w:rPr>
          <w:rFonts w:hint="eastAsia" w:ascii="宋体" w:hAnsi="宋体" w:cs="宋体"/>
          <w:color w:val="auto"/>
          <w:szCs w:val="21"/>
          <w:highlight w:val="none"/>
        </w:rPr>
      </w:pPr>
    </w:p>
    <w:p>
      <w:pPr>
        <w:adjustRightInd w:val="0"/>
        <w:snapToGrid w:val="0"/>
        <w:spacing w:line="360" w:lineRule="auto"/>
        <w:jc w:val="left"/>
        <w:rPr>
          <w:rFonts w:hint="eastAsia"/>
          <w:color w:val="auto"/>
          <w:highlight w:val="none"/>
        </w:rPr>
      </w:pPr>
      <w:r>
        <w:rPr>
          <w:rFonts w:hint="eastAsia" w:ascii="宋体" w:hAnsi="宋体" w:cs="宋体"/>
          <w:b/>
          <w:bCs/>
          <w:color w:val="auto"/>
          <w:szCs w:val="21"/>
          <w:highlight w:val="none"/>
        </w:rPr>
        <w:t>注：</w:t>
      </w:r>
      <w:r>
        <w:rPr>
          <w:rFonts w:hint="eastAsia" w:hAnsi="宋体"/>
          <w:color w:val="auto"/>
          <w:szCs w:val="21"/>
          <w:highlight w:val="none"/>
        </w:rPr>
        <w:t>建议</w:t>
      </w:r>
      <w:r>
        <w:rPr>
          <w:rFonts w:hAnsi="宋体"/>
          <w:color w:val="auto"/>
          <w:szCs w:val="21"/>
          <w:highlight w:val="none"/>
        </w:rPr>
        <w:t>对岗位—</w:t>
      </w:r>
      <w:r>
        <w:rPr>
          <w:rFonts w:hint="eastAsia" w:hAnsi="宋体"/>
          <w:color w:val="auto"/>
          <w:szCs w:val="21"/>
          <w:highlight w:val="none"/>
        </w:rPr>
        <w:t>人员数</w:t>
      </w:r>
      <w:r>
        <w:rPr>
          <w:rFonts w:hAnsi="宋体"/>
          <w:color w:val="auto"/>
          <w:szCs w:val="21"/>
          <w:highlight w:val="none"/>
        </w:rPr>
        <w:t>—</w:t>
      </w:r>
      <w:r>
        <w:rPr>
          <w:rFonts w:hint="eastAsia" w:hAnsi="宋体"/>
          <w:color w:val="auto"/>
          <w:szCs w:val="21"/>
          <w:highlight w:val="none"/>
        </w:rPr>
        <w:t>时间通过甘特图表述</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▲13.4安保人员的岗位可以根据医院要求进行区域、班次调整。</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▲13.5要求安保单位统筹人员使用，在保证上述人员配置的情况下，在7:30-8:30期间增加人员管控力量，确保病区陪人管理符合医院要求。</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▲13.6</w:t>
      </w:r>
      <w:r>
        <w:rPr>
          <w:rFonts w:hint="eastAsia"/>
          <w:color w:val="auto"/>
          <w:highlight w:val="none"/>
        </w:rPr>
        <w:t>中标人应按照采购人要求在学院路部、原成人急诊、南浦部三院区安排安保人员进场开展工作，视医院实际运营需求调整安排，按实际在岗数结算</w:t>
      </w:r>
      <w:r>
        <w:rPr>
          <w:rFonts w:hint="eastAsia" w:ascii="宋体" w:hAnsi="宋体" w:cs="宋体"/>
          <w:color w:val="auto"/>
          <w:kern w:val="0"/>
          <w:szCs w:val="21"/>
          <w:highlight w:val="none"/>
        </w:rPr>
        <w:t>。</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▲13.7</w:t>
      </w:r>
      <w:r>
        <w:rPr>
          <w:rFonts w:hint="eastAsia"/>
          <w:color w:val="auto"/>
          <w:highlight w:val="none"/>
        </w:rPr>
        <w:t>安保人员除ICU-手术室、急诊应设固定人员以外 ，其他区域应采用巡逻检查的方式提高用人效率</w:t>
      </w:r>
      <w:r>
        <w:rPr>
          <w:rFonts w:hint="eastAsia" w:ascii="宋体" w:hAnsi="宋体" w:cs="宋体"/>
          <w:color w:val="auto"/>
          <w:kern w:val="0"/>
          <w:szCs w:val="21"/>
          <w:highlight w:val="none"/>
        </w:rPr>
        <w:t>。</w:t>
      </w:r>
    </w:p>
    <w:p>
      <w:pPr>
        <w:adjustRightInd w:val="0"/>
        <w:snapToGrid w:val="0"/>
        <w:spacing w:line="360" w:lineRule="auto"/>
        <w:ind w:left="210" w:leftChars="100" w:firstLine="420" w:firstLineChars="200"/>
        <w:jc w:val="left"/>
        <w:rPr>
          <w:rFonts w:hAnsi="宋体"/>
          <w:color w:val="auto"/>
          <w:szCs w:val="21"/>
          <w:highlight w:val="none"/>
        </w:rPr>
      </w:pPr>
      <w:r>
        <w:rPr>
          <w:rFonts w:hint="eastAsia" w:hAnsi="宋体"/>
          <w:color w:val="auto"/>
          <w:szCs w:val="21"/>
          <w:highlight w:val="none"/>
        </w:rPr>
        <w:t>14.对安保人员的要求：</w:t>
      </w:r>
    </w:p>
    <w:p>
      <w:pPr>
        <w:adjustRightInd w:val="0"/>
        <w:snapToGrid w:val="0"/>
        <w:spacing w:line="360" w:lineRule="auto"/>
        <w:ind w:firstLine="420" w:firstLineChars="200"/>
        <w:jc w:val="left"/>
        <w:rPr>
          <w:rFonts w:hAnsi="宋体"/>
          <w:color w:val="auto"/>
          <w:szCs w:val="21"/>
          <w:highlight w:val="none"/>
        </w:rPr>
      </w:pPr>
      <w:r>
        <w:rPr>
          <w:rFonts w:hAnsi="宋体"/>
          <w:color w:val="auto"/>
          <w:szCs w:val="21"/>
          <w:highlight w:val="none"/>
        </w:rPr>
        <w:t>▲</w:t>
      </w:r>
      <w:r>
        <w:rPr>
          <w:rFonts w:hint="eastAsia" w:hAnsi="宋体"/>
          <w:color w:val="auto"/>
          <w:szCs w:val="21"/>
          <w:highlight w:val="none"/>
        </w:rPr>
        <w:t>14.1 身体条件：男性，身高在162cm以上，身体健康，相貌端正，仪表大方，无传染性疾病，年龄18—45周岁之间，夜班人员可放宽到50周岁（队伍军人可适当放宽年龄），项目经理（队长）年龄可适当放宽至55周岁。投标人派遣人员须符合劳动法的相关规定。</w:t>
      </w:r>
    </w:p>
    <w:p>
      <w:pPr>
        <w:adjustRightInd w:val="0"/>
        <w:snapToGrid w:val="0"/>
        <w:spacing w:line="360" w:lineRule="auto"/>
        <w:ind w:firstLine="420" w:firstLineChars="200"/>
        <w:jc w:val="left"/>
        <w:rPr>
          <w:rFonts w:hAnsi="宋体"/>
          <w:color w:val="auto"/>
          <w:szCs w:val="21"/>
          <w:highlight w:val="none"/>
          <w:u w:val="single"/>
        </w:rPr>
      </w:pPr>
      <w:r>
        <w:rPr>
          <w:rFonts w:hAnsi="宋体"/>
          <w:color w:val="auto"/>
          <w:szCs w:val="21"/>
          <w:highlight w:val="none"/>
        </w:rPr>
        <w:t>▲</w:t>
      </w:r>
      <w:r>
        <w:rPr>
          <w:rFonts w:hint="eastAsia" w:hAnsi="宋体"/>
          <w:color w:val="auto"/>
          <w:szCs w:val="21"/>
          <w:highlight w:val="none"/>
        </w:rPr>
        <w:t xml:space="preserve">14.2 </w:t>
      </w:r>
      <w:r>
        <w:rPr>
          <w:rFonts w:hint="eastAsia" w:hAnsi="宋体"/>
          <w:color w:val="auto"/>
          <w:szCs w:val="21"/>
          <w:highlight w:val="none"/>
          <w:u w:val="single"/>
        </w:rPr>
        <w:t>安保配置数：投标时本项目安保服务人员含项目经理每日配置岗位数按</w:t>
      </w:r>
      <w:r>
        <w:rPr>
          <w:rFonts w:hint="eastAsia" w:hAnsi="宋体"/>
          <w:color w:val="auto"/>
          <w:szCs w:val="21"/>
          <w:highlight w:val="none"/>
          <w:u w:val="single"/>
          <w:lang w:val="en-US" w:eastAsia="zh-CN"/>
        </w:rPr>
        <w:t>64</w:t>
      </w:r>
      <w:r>
        <w:rPr>
          <w:rFonts w:hint="eastAsia" w:hAnsi="宋体"/>
          <w:color w:val="auto"/>
          <w:szCs w:val="21"/>
          <w:highlight w:val="none"/>
          <w:u w:val="single"/>
        </w:rPr>
        <w:t>岗位计（以院方实际要求，实际到岗数计算），投标人应自行根据自身特点，在符合劳动保护法要求的情况下配置安保人员并据此计算人力成本。</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14.3中标人人员政治素质：拥护党的路线、方针、政策，尊重领导和服务对象，服从安排，听从指挥，无违法犯罪记录等。爱岗敬业，恪尽职守，遵纪守法，文明执勤，礼貌待人，敢于同违法犯罪现象作斗争。</w:t>
      </w:r>
    </w:p>
    <w:p>
      <w:pPr>
        <w:adjustRightInd w:val="0"/>
        <w:snapToGrid w:val="0"/>
        <w:spacing w:line="360" w:lineRule="auto"/>
        <w:ind w:firstLine="420" w:firstLineChars="200"/>
        <w:jc w:val="left"/>
        <w:rPr>
          <w:rFonts w:hAnsi="宋体"/>
          <w:color w:val="auto"/>
          <w:szCs w:val="21"/>
          <w:highlight w:val="none"/>
        </w:rPr>
      </w:pPr>
      <w:r>
        <w:rPr>
          <w:color w:val="auto"/>
          <w:highlight w:val="none"/>
        </w:rPr>
        <w:t>▲</w:t>
      </w:r>
      <w:r>
        <w:rPr>
          <w:rFonts w:hint="eastAsia" w:hAnsi="宋体"/>
          <w:color w:val="auto"/>
          <w:szCs w:val="21"/>
          <w:highlight w:val="none"/>
        </w:rPr>
        <w:t>14.4中标人的安保员必须无严重违规和违法犯罪记录，如中标人工作人员在医院内出现违法犯罪行为，中标人必须负相关法律责任。</w:t>
      </w:r>
    </w:p>
    <w:p>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14.5 安保员要求：具备相关法律法规知识、安保知识和消防知识，要求安保员具备初中以上文化水平，具备较好的语言表达及沟通协调能力，最终以院方现场工作需求进行配置。</w:t>
      </w:r>
    </w:p>
    <w:p>
      <w:pPr>
        <w:adjustRightInd w:val="0"/>
        <w:snapToGrid w:val="0"/>
        <w:spacing w:line="360" w:lineRule="auto"/>
        <w:ind w:firstLine="420" w:firstLineChars="200"/>
        <w:jc w:val="left"/>
        <w:rPr>
          <w:rFonts w:hAnsi="宋体"/>
          <w:color w:val="auto"/>
          <w:szCs w:val="21"/>
          <w:highlight w:val="none"/>
          <w:u w:val="single"/>
        </w:rPr>
      </w:pPr>
      <w:r>
        <w:rPr>
          <w:rFonts w:hAnsi="宋体"/>
          <w:color w:val="auto"/>
          <w:szCs w:val="21"/>
          <w:highlight w:val="none"/>
        </w:rPr>
        <w:t>▲</w:t>
      </w:r>
      <w:r>
        <w:rPr>
          <w:rFonts w:hint="eastAsia" w:hAnsi="宋体"/>
          <w:color w:val="auto"/>
          <w:szCs w:val="21"/>
          <w:highlight w:val="none"/>
        </w:rPr>
        <w:t xml:space="preserve">14.6 </w:t>
      </w:r>
      <w:r>
        <w:rPr>
          <w:rFonts w:hint="eastAsia" w:hAnsi="宋体"/>
          <w:color w:val="auto"/>
          <w:szCs w:val="21"/>
          <w:highlight w:val="none"/>
          <w:u w:val="single"/>
        </w:rPr>
        <w:t>安保员队长特殊要求：安保员各班次中应分别确定一名队长，白班可由项目经理兼任，队长必须具备消控室操作上岗证，同时具有监控设备操作能力，可以独立完成视频监控系统的回放热点切换、档案记录工作。安保员队长中标后必须到场，未经采购人许可不得更换，此类人员在投标文件中必须提供证明文件。</w:t>
      </w:r>
    </w:p>
    <w:p>
      <w:pPr>
        <w:adjustRightInd w:val="0"/>
        <w:snapToGrid w:val="0"/>
        <w:spacing w:line="360" w:lineRule="auto"/>
        <w:ind w:firstLine="420" w:firstLineChars="200"/>
        <w:jc w:val="left"/>
        <w:rPr>
          <w:rFonts w:hAnsi="宋体"/>
          <w:color w:val="auto"/>
          <w:szCs w:val="21"/>
          <w:highlight w:val="none"/>
        </w:rPr>
      </w:pPr>
      <w:r>
        <w:rPr>
          <w:rFonts w:hAnsi="宋体"/>
          <w:color w:val="auto"/>
          <w:szCs w:val="21"/>
          <w:highlight w:val="none"/>
        </w:rPr>
        <w:t>▲</w:t>
      </w:r>
      <w:r>
        <w:rPr>
          <w:rFonts w:hint="eastAsia" w:hAnsi="宋体"/>
          <w:color w:val="auto"/>
          <w:szCs w:val="21"/>
          <w:highlight w:val="none"/>
        </w:rPr>
        <w:t xml:space="preserve">14.7安保员必须持公安机关颁发的上岗证上岗。 </w:t>
      </w:r>
    </w:p>
    <w:p>
      <w:pPr>
        <w:adjustRightInd w:val="0"/>
        <w:snapToGrid w:val="0"/>
        <w:spacing w:line="360" w:lineRule="auto"/>
        <w:ind w:firstLine="420" w:firstLineChars="200"/>
        <w:jc w:val="left"/>
        <w:rPr>
          <w:rFonts w:hAnsi="宋体"/>
          <w:color w:val="auto"/>
          <w:szCs w:val="21"/>
          <w:highlight w:val="none"/>
        </w:rPr>
      </w:pPr>
      <w:r>
        <w:rPr>
          <w:rFonts w:hAnsi="宋体"/>
          <w:color w:val="auto"/>
          <w:szCs w:val="21"/>
          <w:highlight w:val="none"/>
        </w:rPr>
        <w:t>▲</w:t>
      </w:r>
      <w:r>
        <w:rPr>
          <w:rFonts w:hint="eastAsia" w:hAnsi="宋体"/>
          <w:color w:val="auto"/>
          <w:szCs w:val="21"/>
          <w:highlight w:val="none"/>
        </w:rPr>
        <w:t>14.8项目经理（队长）条件：</w:t>
      </w:r>
    </w:p>
    <w:p>
      <w:pPr>
        <w:numPr>
          <w:ilvl w:val="0"/>
          <w:numId w:val="5"/>
        </w:num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具备高级及以上安保员资质。</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（2）必须具备消控室操作上岗证，具备独立操作视频监控系统的能力。</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（3）对投标承诺的项目经理未经采购人同意不得更换。如中标后，采购人认为项目经理无法胜任工作，要求中标人调换，中标人必须在7日内完成同等资质条件的新项目经理的调换。</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4）要求项目经理必须按照行政上班时间到岗，以打卡考勤为准。每缺岗一日，直接在当月安保费用中扣罚500元，如累计缺岗率超过10%，则另扣罚履约保证金总额的50%，同时采购人有权无需与中标人协商终止合同且无需任何赔偿。</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15. 中标人的安保员不得向无关人员泄露监控画面并有义务保护病人隐私。必须严守单位机密，不得对外散播、传播本系统内部数据；不得利用系统内任何数据参加任何非法组织和发布任何反动言论。</w:t>
      </w:r>
    </w:p>
    <w:p>
      <w:pPr>
        <w:adjustRightInd w:val="0"/>
        <w:snapToGrid w:val="0"/>
        <w:spacing w:line="360" w:lineRule="auto"/>
        <w:ind w:firstLine="420" w:firstLineChars="200"/>
        <w:jc w:val="left"/>
        <w:rPr>
          <w:rFonts w:hAnsi="宋体"/>
          <w:bCs/>
          <w:color w:val="auto"/>
          <w:szCs w:val="21"/>
          <w:highlight w:val="none"/>
        </w:rPr>
      </w:pPr>
      <w:r>
        <w:rPr>
          <w:rFonts w:hAnsi="宋体"/>
          <w:color w:val="auto"/>
          <w:szCs w:val="21"/>
          <w:highlight w:val="none"/>
        </w:rPr>
        <w:t>▲16.</w:t>
      </w:r>
      <w:r>
        <w:rPr>
          <w:rFonts w:hint="eastAsia" w:hAnsi="宋体"/>
          <w:color w:val="auto"/>
          <w:szCs w:val="21"/>
          <w:highlight w:val="none"/>
        </w:rPr>
        <w:t>如院方其他院区因工作需要，需增加安保人员，中标单位须无条件配合，原则上在24小时内到位，</w:t>
      </w:r>
      <w:r>
        <w:rPr>
          <w:rFonts w:hint="eastAsia" w:hAnsi="宋体"/>
          <w:bCs/>
          <w:color w:val="auto"/>
          <w:szCs w:val="21"/>
          <w:highlight w:val="none"/>
        </w:rPr>
        <w:t>增加的人员要求、人员费用与招标文件要求相同。</w:t>
      </w:r>
    </w:p>
    <w:p>
      <w:pPr>
        <w:adjustRightInd w:val="0"/>
        <w:snapToGrid w:val="0"/>
        <w:spacing w:line="360" w:lineRule="auto"/>
        <w:ind w:firstLine="420" w:firstLineChars="200"/>
        <w:jc w:val="left"/>
        <w:rPr>
          <w:rFonts w:hAnsi="宋体"/>
          <w:bCs/>
          <w:color w:val="auto"/>
          <w:szCs w:val="21"/>
          <w:highlight w:val="none"/>
        </w:rPr>
      </w:pPr>
      <w:r>
        <w:rPr>
          <w:rFonts w:hAnsi="宋体"/>
          <w:bCs/>
          <w:color w:val="auto"/>
          <w:szCs w:val="21"/>
          <w:highlight w:val="none"/>
        </w:rPr>
        <w:t>▲</w:t>
      </w:r>
      <w:r>
        <w:rPr>
          <w:rFonts w:hint="eastAsia" w:hAnsi="宋体"/>
          <w:bCs/>
          <w:color w:val="auto"/>
          <w:szCs w:val="21"/>
          <w:highlight w:val="none"/>
        </w:rPr>
        <w:t>17.中标人必须提供应急支援能力证明和增援计划，确保实现在突发紧急情况下具备1小时内到场10名安保人员进行处置的能力，2小时内不少于20人。应急增加的人员标准不应低于招标标准。遇到紧急情况，采购人发出应急指令后，中标人如不能实现合同框架内实现人员增援，每次按缺口人数每人罚款1000元。</w:t>
      </w:r>
    </w:p>
    <w:p>
      <w:pPr>
        <w:adjustRightInd w:val="0"/>
        <w:snapToGrid w:val="0"/>
        <w:spacing w:line="360" w:lineRule="auto"/>
        <w:ind w:firstLine="420" w:firstLineChars="200"/>
        <w:jc w:val="left"/>
        <w:rPr>
          <w:rFonts w:hAnsi="宋体"/>
          <w:color w:val="auto"/>
          <w:szCs w:val="21"/>
          <w:highlight w:val="none"/>
        </w:rPr>
      </w:pPr>
      <w:r>
        <w:rPr>
          <w:rFonts w:hAnsi="宋体"/>
          <w:color w:val="auto"/>
          <w:szCs w:val="21"/>
          <w:highlight w:val="none"/>
        </w:rPr>
        <w:t>▲</w:t>
      </w:r>
      <w:r>
        <w:rPr>
          <w:rFonts w:hint="eastAsia" w:hAnsi="宋体"/>
          <w:color w:val="auto"/>
          <w:szCs w:val="21"/>
          <w:highlight w:val="none"/>
        </w:rPr>
        <w:t>17．1应急增员的安保人员费用请投标单位根据自身情况自行报价，价格中应包含为处置应急事件而产生的全部费用，报价方式为****</w:t>
      </w:r>
      <w:r>
        <w:rPr>
          <w:rFonts w:hint="eastAsia" w:hAnsi="宋体"/>
          <w:color w:val="auto"/>
          <w:szCs w:val="21"/>
          <w:highlight w:val="none"/>
          <w:u w:val="single"/>
        </w:rPr>
        <w:t>元每人每小时</w:t>
      </w:r>
      <w:r>
        <w:rPr>
          <w:rFonts w:hint="eastAsia" w:hAnsi="宋体"/>
          <w:color w:val="auto"/>
          <w:szCs w:val="21"/>
          <w:highlight w:val="none"/>
        </w:rPr>
        <w:t>。此报价将作为技术标其他优惠措施及承诺的评分主要依据。</w:t>
      </w:r>
    </w:p>
    <w:p>
      <w:pPr>
        <w:adjustRightInd w:val="0"/>
        <w:snapToGrid w:val="0"/>
        <w:spacing w:line="360" w:lineRule="auto"/>
        <w:ind w:firstLine="420" w:firstLineChars="200"/>
        <w:jc w:val="left"/>
        <w:rPr>
          <w:rFonts w:hint="eastAsia"/>
          <w:color w:val="auto"/>
          <w:highlight w:val="none"/>
        </w:rPr>
      </w:pPr>
      <w:r>
        <w:rPr>
          <w:rFonts w:hint="eastAsia"/>
          <w:color w:val="auto"/>
          <w:highlight w:val="none"/>
        </w:rPr>
        <w:t>▲18.中标人必须按省市有关要求配置安保服务所需的设施、器材，并承担相应费用。要求必须按采购人要求的巡更线路实施治安和防火巡查巡逻。每天的巡更结果必须报招标人备查，此将作为服务考核内容。</w:t>
      </w: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hint="eastAsia"/>
          <w:color w:val="auto"/>
          <w:highlight w:val="none"/>
        </w:rPr>
        <w:t>四</w:t>
      </w:r>
      <w:r>
        <w:rPr>
          <w:color w:val="auto"/>
          <w:highlight w:val="none"/>
        </w:rPr>
        <w:t>、其他要求：</w:t>
      </w:r>
    </w:p>
    <w:p>
      <w:pPr>
        <w:adjustRightInd w:val="0"/>
        <w:snapToGrid w:val="0"/>
        <w:spacing w:line="360" w:lineRule="auto"/>
        <w:ind w:firstLine="420" w:firstLineChars="200"/>
        <w:jc w:val="left"/>
        <w:rPr>
          <w:rFonts w:hAnsi="宋体"/>
          <w:color w:val="auto"/>
          <w:szCs w:val="21"/>
          <w:highlight w:val="none"/>
        </w:rPr>
      </w:pPr>
      <w:bookmarkStart w:id="8" w:name="_Toc498327291"/>
      <w:r>
        <w:rPr>
          <w:rFonts w:hint="eastAsia" w:hAnsi="宋体"/>
          <w:color w:val="auto"/>
          <w:szCs w:val="21"/>
          <w:highlight w:val="none"/>
        </w:rPr>
        <w:t>1.中标人服务能力未达到采购人要求的，采购人提出整改意见，如经整改仍无法达到的，采购人有权终止合同。</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2.中标人应对其工作人员的安全承担一切责任。</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3. 中标人应对与其工作人员的劳动关系承担一切责任。</w:t>
      </w:r>
    </w:p>
    <w:p>
      <w:pPr>
        <w:adjustRightInd w:val="0"/>
        <w:snapToGrid w:val="0"/>
        <w:spacing w:line="360" w:lineRule="auto"/>
        <w:ind w:firstLine="420" w:firstLineChars="200"/>
        <w:jc w:val="left"/>
        <w:rPr>
          <w:rFonts w:hAnsi="宋体"/>
          <w:color w:val="auto"/>
          <w:szCs w:val="21"/>
          <w:highlight w:val="none"/>
        </w:rPr>
      </w:pPr>
      <w:r>
        <w:rPr>
          <w:rFonts w:hint="eastAsia" w:hAnsi="宋体"/>
          <w:color w:val="auto"/>
          <w:szCs w:val="21"/>
          <w:highlight w:val="none"/>
        </w:rPr>
        <w:t>4、中标人的所有工作人员的薪酬由中标人发放，与采购人无关。</w:t>
      </w:r>
    </w:p>
    <w:p>
      <w:pPr>
        <w:adjustRightInd w:val="0"/>
        <w:snapToGrid w:val="0"/>
        <w:spacing w:line="360" w:lineRule="auto"/>
        <w:ind w:firstLine="420" w:firstLineChars="200"/>
        <w:jc w:val="left"/>
        <w:rPr>
          <w:rFonts w:hint="eastAsia" w:hAnsi="宋体"/>
          <w:color w:val="auto"/>
          <w:szCs w:val="21"/>
          <w:highlight w:val="none"/>
        </w:rPr>
      </w:pPr>
      <w:r>
        <w:rPr>
          <w:rFonts w:hAnsi="宋体"/>
          <w:color w:val="auto"/>
          <w:szCs w:val="21"/>
          <w:highlight w:val="none"/>
        </w:rPr>
        <w:t>▲</w:t>
      </w:r>
      <w:r>
        <w:rPr>
          <w:rFonts w:hint="eastAsia" w:hAnsi="宋体"/>
          <w:color w:val="auto"/>
          <w:szCs w:val="21"/>
          <w:highlight w:val="none"/>
        </w:rPr>
        <w:t>5、为配合规定的消防演练、其他应急演练所调用的安保人员视为完成安保工作所必须的，不得另外计取加班费用等。</w:t>
      </w:r>
      <w:bookmarkEnd w:id="8"/>
    </w:p>
    <w:p>
      <w:pPr>
        <w:spacing w:line="360" w:lineRule="auto"/>
        <w:ind w:firstLine="420" w:firstLineChars="200"/>
        <w:rPr>
          <w:rFonts w:hint="eastAsia"/>
          <w:color w:val="auto"/>
          <w:highlight w:val="none"/>
          <w:lang w:val="zh-TW"/>
        </w:rPr>
      </w:pPr>
    </w:p>
    <w:p>
      <w:pPr>
        <w:spacing w:line="360" w:lineRule="auto"/>
        <w:ind w:firstLine="420" w:firstLineChars="200"/>
        <w:rPr>
          <w:rFonts w:hint="eastAsia"/>
          <w:color w:val="auto"/>
          <w:highlight w:val="none"/>
        </w:rPr>
      </w:pPr>
      <w:r>
        <w:rPr>
          <w:rFonts w:hint="eastAsia"/>
          <w:color w:val="auto"/>
          <w:highlight w:val="none"/>
        </w:rPr>
        <w:t>五</w:t>
      </w:r>
      <w:r>
        <w:rPr>
          <w:color w:val="auto"/>
          <w:highlight w:val="none"/>
        </w:rPr>
        <w:t>、</w:t>
      </w:r>
      <w:r>
        <w:rPr>
          <w:rFonts w:hint="eastAsia"/>
          <w:color w:val="auto"/>
          <w:highlight w:val="none"/>
        </w:rPr>
        <w:t>考核标准</w:t>
      </w:r>
    </w:p>
    <w:tbl>
      <w:tblPr>
        <w:tblStyle w:val="80"/>
        <w:tblW w:w="0" w:type="auto"/>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5225"/>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154" w:type="dxa"/>
            <w:gridSpan w:val="3"/>
            <w:noWrap/>
            <w:vAlign w:val="center"/>
          </w:tcPr>
          <w:p>
            <w:pPr>
              <w:widowControl/>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温州医科大学附属第二医院安保服务质量考核标准（满分100分）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noWrap w:val="0"/>
            <w:vAlign w:val="center"/>
          </w:tcPr>
          <w:p>
            <w:pPr>
              <w:widowControl/>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分类</w:t>
            </w:r>
          </w:p>
        </w:tc>
        <w:tc>
          <w:tcPr>
            <w:tcW w:w="5225" w:type="dxa"/>
            <w:noWrap w:val="0"/>
            <w:vAlign w:val="center"/>
          </w:tcPr>
          <w:p>
            <w:pPr>
              <w:widowControl/>
              <w:rPr>
                <w:rFonts w:hint="eastAsia" w:ascii="宋体" w:hAnsi="宋体" w:cs="宋体"/>
                <w:bCs/>
                <w:color w:val="auto"/>
                <w:kern w:val="0"/>
                <w:szCs w:val="21"/>
                <w:highlight w:val="none"/>
              </w:rPr>
            </w:pPr>
            <w:r>
              <w:rPr>
                <w:rFonts w:hint="eastAsia" w:ascii="宋体" w:hAnsi="宋体" w:cs="宋体"/>
                <w:bCs/>
                <w:color w:val="auto"/>
                <w:kern w:val="0"/>
                <w:szCs w:val="21"/>
                <w:highlight w:val="none"/>
              </w:rPr>
              <w:t>考评内容</w:t>
            </w:r>
          </w:p>
        </w:tc>
        <w:tc>
          <w:tcPr>
            <w:tcW w:w="3150" w:type="dxa"/>
            <w:noWrap w:val="0"/>
            <w:vAlign w:val="center"/>
          </w:tcPr>
          <w:p>
            <w:pPr>
              <w:widowControl/>
              <w:rPr>
                <w:rFonts w:hint="eastAsia" w:ascii="宋体" w:hAnsi="宋体" w:cs="宋体"/>
                <w:bCs/>
                <w:color w:val="auto"/>
                <w:kern w:val="0"/>
                <w:szCs w:val="21"/>
                <w:highlight w:val="none"/>
              </w:rPr>
            </w:pPr>
            <w:r>
              <w:rPr>
                <w:rFonts w:hint="eastAsia" w:ascii="宋体" w:hAnsi="宋体" w:cs="宋体"/>
                <w:bCs/>
                <w:color w:val="auto"/>
                <w:kern w:val="0"/>
                <w:szCs w:val="21"/>
                <w:highlight w:val="none"/>
              </w:rPr>
              <w:t>考评要点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restart"/>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工</w:t>
            </w:r>
          </w:p>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作</w:t>
            </w:r>
          </w:p>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细</w:t>
            </w:r>
          </w:p>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则</w:t>
            </w:r>
          </w:p>
        </w:tc>
        <w:tc>
          <w:tcPr>
            <w:tcW w:w="5225"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坚持值班岗位制度：严格交接班，不得迟到、早退，更不能误班、漏班。在岗在位，坚守岗位、提高警惕，不得酒后上岗</w:t>
            </w:r>
          </w:p>
        </w:tc>
        <w:tc>
          <w:tcPr>
            <w:tcW w:w="3150"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continue"/>
            <w:noWrap w:val="0"/>
            <w:vAlign w:val="center"/>
          </w:tcPr>
          <w:p>
            <w:pPr>
              <w:widowControl/>
              <w:rPr>
                <w:rFonts w:hint="eastAsia" w:ascii="宋体" w:hAnsi="宋体" w:cs="宋体"/>
                <w:color w:val="auto"/>
                <w:kern w:val="0"/>
                <w:szCs w:val="21"/>
                <w:highlight w:val="none"/>
              </w:rPr>
            </w:pPr>
          </w:p>
        </w:tc>
        <w:tc>
          <w:tcPr>
            <w:tcW w:w="5225"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服从一体化报警中心的管理，3分钟内到达现场并反馈处理信息</w:t>
            </w:r>
          </w:p>
        </w:tc>
        <w:tc>
          <w:tcPr>
            <w:tcW w:w="3150"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continue"/>
            <w:noWrap w:val="0"/>
            <w:vAlign w:val="center"/>
          </w:tcPr>
          <w:p>
            <w:pPr>
              <w:widowControl/>
              <w:rPr>
                <w:rFonts w:hint="eastAsia" w:ascii="宋体" w:hAnsi="宋体" w:cs="宋体"/>
                <w:color w:val="auto"/>
                <w:kern w:val="0"/>
                <w:szCs w:val="21"/>
                <w:highlight w:val="none"/>
              </w:rPr>
            </w:pPr>
          </w:p>
        </w:tc>
        <w:tc>
          <w:tcPr>
            <w:tcW w:w="5225"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爱岗敬业、服从指挥、遵纪守法、文明服务、礼貌待人、勇敢无畏</w:t>
            </w:r>
          </w:p>
        </w:tc>
        <w:tc>
          <w:tcPr>
            <w:tcW w:w="3150"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continue"/>
            <w:noWrap w:val="0"/>
            <w:vAlign w:val="center"/>
          </w:tcPr>
          <w:p>
            <w:pPr>
              <w:widowControl/>
              <w:rPr>
                <w:rFonts w:hint="eastAsia" w:ascii="宋体" w:hAnsi="宋体" w:cs="宋体"/>
                <w:color w:val="auto"/>
                <w:kern w:val="0"/>
                <w:szCs w:val="21"/>
                <w:highlight w:val="none"/>
              </w:rPr>
            </w:pPr>
          </w:p>
        </w:tc>
        <w:tc>
          <w:tcPr>
            <w:tcW w:w="5225"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上岗时举止应文明大方，精神振作、姿态良好，挺胸，不得弯腰驼背，不准哼歌曲、吹口哨、跺脚，不准随地吐痰乱扔杂物，不准上班时看书看报，不准在值班时抽烟吃零食。穿着统一服装、佩戴工作牌。</w:t>
            </w:r>
          </w:p>
        </w:tc>
        <w:tc>
          <w:tcPr>
            <w:tcW w:w="3150"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continue"/>
            <w:noWrap w:val="0"/>
            <w:vAlign w:val="center"/>
          </w:tcPr>
          <w:p>
            <w:pPr>
              <w:widowControl/>
              <w:rPr>
                <w:rFonts w:hint="eastAsia" w:ascii="宋体" w:hAnsi="宋体" w:cs="宋体"/>
                <w:color w:val="auto"/>
                <w:kern w:val="0"/>
                <w:szCs w:val="21"/>
                <w:highlight w:val="none"/>
              </w:rPr>
            </w:pPr>
          </w:p>
        </w:tc>
        <w:tc>
          <w:tcPr>
            <w:tcW w:w="5225"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违规使用手机、睡觉、脱岗</w:t>
            </w:r>
          </w:p>
        </w:tc>
        <w:tc>
          <w:tcPr>
            <w:tcW w:w="3150"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continue"/>
            <w:noWrap w:val="0"/>
            <w:vAlign w:val="center"/>
          </w:tcPr>
          <w:p>
            <w:pPr>
              <w:widowControl/>
              <w:rPr>
                <w:rFonts w:hint="eastAsia" w:ascii="宋体" w:hAnsi="宋体" w:cs="宋体"/>
                <w:color w:val="auto"/>
                <w:kern w:val="0"/>
                <w:szCs w:val="21"/>
                <w:highlight w:val="none"/>
              </w:rPr>
            </w:pPr>
          </w:p>
        </w:tc>
        <w:tc>
          <w:tcPr>
            <w:tcW w:w="5225"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做好大门“门前三包”工作；对乱停放车辆、乱摆摊点及时阻止；保持环境卫生良好，严控私发传单和黏贴小广告行为</w:t>
            </w:r>
          </w:p>
        </w:tc>
        <w:tc>
          <w:tcPr>
            <w:tcW w:w="3150"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扣0.2分/次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continue"/>
            <w:noWrap w:val="0"/>
            <w:vAlign w:val="center"/>
          </w:tcPr>
          <w:p>
            <w:pPr>
              <w:widowControl/>
              <w:rPr>
                <w:rFonts w:hint="eastAsia" w:ascii="宋体" w:hAnsi="宋体" w:cs="宋体"/>
                <w:color w:val="auto"/>
                <w:kern w:val="0"/>
                <w:szCs w:val="21"/>
                <w:highlight w:val="none"/>
              </w:rPr>
            </w:pPr>
          </w:p>
        </w:tc>
        <w:tc>
          <w:tcPr>
            <w:tcW w:w="5225"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院区主要通道通畅，无车辆乱停乱放现象</w:t>
            </w:r>
          </w:p>
        </w:tc>
        <w:tc>
          <w:tcPr>
            <w:tcW w:w="3150"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continue"/>
            <w:noWrap w:val="0"/>
            <w:vAlign w:val="center"/>
          </w:tcPr>
          <w:p>
            <w:pPr>
              <w:widowControl/>
              <w:rPr>
                <w:rFonts w:hint="eastAsia" w:ascii="宋体" w:hAnsi="宋体" w:cs="宋体"/>
                <w:color w:val="auto"/>
                <w:kern w:val="0"/>
                <w:szCs w:val="21"/>
                <w:highlight w:val="none"/>
              </w:rPr>
            </w:pPr>
          </w:p>
        </w:tc>
        <w:tc>
          <w:tcPr>
            <w:tcW w:w="5225"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发生一例财物失窃事件，并视给院方造成的损失多少，按责任赔偿全部损失。如发生有***报案登记的偷窃事件，每次扣3分</w:t>
            </w:r>
          </w:p>
        </w:tc>
        <w:tc>
          <w:tcPr>
            <w:tcW w:w="3150"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continue"/>
            <w:noWrap w:val="0"/>
            <w:vAlign w:val="center"/>
          </w:tcPr>
          <w:p>
            <w:pPr>
              <w:widowControl/>
              <w:rPr>
                <w:rFonts w:hint="eastAsia" w:ascii="宋体" w:hAnsi="宋体" w:cs="宋体"/>
                <w:color w:val="auto"/>
                <w:kern w:val="0"/>
                <w:szCs w:val="21"/>
                <w:highlight w:val="none"/>
              </w:rPr>
            </w:pPr>
          </w:p>
        </w:tc>
        <w:tc>
          <w:tcPr>
            <w:tcW w:w="5225"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检查治安、防火、防盗、水浸等情况，发现立即处理并通知院总值班室。</w:t>
            </w:r>
          </w:p>
        </w:tc>
        <w:tc>
          <w:tcPr>
            <w:tcW w:w="3150"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continue"/>
            <w:noWrap w:val="0"/>
            <w:vAlign w:val="center"/>
          </w:tcPr>
          <w:p>
            <w:pPr>
              <w:widowControl/>
              <w:rPr>
                <w:rFonts w:hint="eastAsia" w:ascii="宋体" w:hAnsi="宋体" w:cs="宋体"/>
                <w:color w:val="auto"/>
                <w:kern w:val="0"/>
                <w:szCs w:val="21"/>
                <w:highlight w:val="none"/>
              </w:rPr>
            </w:pPr>
          </w:p>
        </w:tc>
        <w:tc>
          <w:tcPr>
            <w:tcW w:w="5225"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检查消防设备、设施（烟感器、报警按钮、消防栓、正压送风口、应急灯、疏散指示灯开关）是否完好。灭火器按月检查，地下室部分半月检查一次</w:t>
            </w:r>
          </w:p>
        </w:tc>
        <w:tc>
          <w:tcPr>
            <w:tcW w:w="3150"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continue"/>
            <w:noWrap w:val="0"/>
            <w:vAlign w:val="center"/>
          </w:tcPr>
          <w:p>
            <w:pPr>
              <w:widowControl/>
              <w:rPr>
                <w:rFonts w:hint="eastAsia" w:ascii="宋体" w:hAnsi="宋体" w:cs="宋体"/>
                <w:color w:val="auto"/>
                <w:kern w:val="0"/>
                <w:szCs w:val="21"/>
                <w:highlight w:val="none"/>
              </w:rPr>
            </w:pPr>
          </w:p>
        </w:tc>
        <w:tc>
          <w:tcPr>
            <w:tcW w:w="5225"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爱护公共设施、设备、熟悉医院情况，了解院内消防系统及消防器材的安装位置，掌握各种灭火器材的使用方法，熟悉各项突发事件或异常情况的处理方法，做到突发事件能正确进行处理。</w:t>
            </w:r>
          </w:p>
        </w:tc>
        <w:tc>
          <w:tcPr>
            <w:tcW w:w="3150"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continue"/>
            <w:noWrap w:val="0"/>
            <w:vAlign w:val="center"/>
          </w:tcPr>
          <w:p>
            <w:pPr>
              <w:widowControl/>
              <w:rPr>
                <w:rFonts w:hint="eastAsia" w:ascii="宋体" w:hAnsi="宋体" w:cs="宋体"/>
                <w:color w:val="auto"/>
                <w:kern w:val="0"/>
                <w:szCs w:val="21"/>
                <w:highlight w:val="none"/>
              </w:rPr>
            </w:pPr>
          </w:p>
        </w:tc>
        <w:tc>
          <w:tcPr>
            <w:tcW w:w="5225"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检查防火门是否关好，机房门、电梯门等是否闭锁及有无损坏。</w:t>
            </w:r>
          </w:p>
        </w:tc>
        <w:tc>
          <w:tcPr>
            <w:tcW w:w="3150"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扣0.2分/次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continue"/>
            <w:noWrap w:val="0"/>
            <w:vAlign w:val="center"/>
          </w:tcPr>
          <w:p>
            <w:pPr>
              <w:widowControl/>
              <w:rPr>
                <w:rFonts w:hint="eastAsia" w:ascii="宋体" w:hAnsi="宋体" w:cs="宋体"/>
                <w:color w:val="auto"/>
                <w:kern w:val="0"/>
                <w:szCs w:val="21"/>
                <w:highlight w:val="none"/>
              </w:rPr>
            </w:pPr>
          </w:p>
        </w:tc>
        <w:tc>
          <w:tcPr>
            <w:tcW w:w="5225"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巡视外墙、玻璃等设施是否完好。有损坏做好记录并上报主管或管理部门。</w:t>
            </w:r>
          </w:p>
        </w:tc>
        <w:tc>
          <w:tcPr>
            <w:tcW w:w="3150"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扣0.2分/次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continue"/>
            <w:noWrap w:val="0"/>
            <w:vAlign w:val="center"/>
          </w:tcPr>
          <w:p>
            <w:pPr>
              <w:widowControl/>
              <w:rPr>
                <w:rFonts w:hint="eastAsia" w:ascii="宋体" w:hAnsi="宋体" w:cs="宋体"/>
                <w:color w:val="auto"/>
                <w:kern w:val="0"/>
                <w:szCs w:val="21"/>
                <w:highlight w:val="none"/>
              </w:rPr>
            </w:pPr>
          </w:p>
        </w:tc>
        <w:tc>
          <w:tcPr>
            <w:tcW w:w="5225"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每2小时的防火巡查、每日巡查、消防安全重点部位巡查不到位或台账记录不符合要求</w:t>
            </w:r>
          </w:p>
        </w:tc>
        <w:tc>
          <w:tcPr>
            <w:tcW w:w="3150"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continue"/>
            <w:noWrap w:val="0"/>
            <w:vAlign w:val="center"/>
          </w:tcPr>
          <w:p>
            <w:pPr>
              <w:widowControl/>
              <w:rPr>
                <w:rFonts w:hint="eastAsia" w:ascii="宋体" w:hAnsi="宋体" w:cs="宋体"/>
                <w:color w:val="auto"/>
                <w:kern w:val="0"/>
                <w:szCs w:val="21"/>
                <w:highlight w:val="none"/>
              </w:rPr>
            </w:pPr>
          </w:p>
        </w:tc>
        <w:tc>
          <w:tcPr>
            <w:tcW w:w="5225"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根据院方要求，病区每日查房前的清场。工作不合格，每被病区投诉一次</w:t>
            </w:r>
          </w:p>
        </w:tc>
        <w:tc>
          <w:tcPr>
            <w:tcW w:w="3150"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continue"/>
            <w:noWrap w:val="0"/>
            <w:vAlign w:val="center"/>
          </w:tcPr>
          <w:p>
            <w:pPr>
              <w:widowControl/>
              <w:rPr>
                <w:rFonts w:hint="eastAsia" w:ascii="宋体" w:hAnsi="宋体" w:cs="宋体"/>
                <w:color w:val="auto"/>
                <w:kern w:val="0"/>
                <w:szCs w:val="21"/>
                <w:highlight w:val="none"/>
              </w:rPr>
            </w:pPr>
          </w:p>
        </w:tc>
        <w:tc>
          <w:tcPr>
            <w:tcW w:w="5225"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每日夜间楼内不得有不正常留宿人员</w:t>
            </w:r>
          </w:p>
        </w:tc>
        <w:tc>
          <w:tcPr>
            <w:tcW w:w="3150"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continue"/>
            <w:noWrap w:val="0"/>
            <w:vAlign w:val="center"/>
          </w:tcPr>
          <w:p>
            <w:pPr>
              <w:widowControl/>
              <w:rPr>
                <w:rFonts w:hint="eastAsia" w:ascii="宋体" w:hAnsi="宋体" w:cs="宋体"/>
                <w:color w:val="auto"/>
                <w:kern w:val="0"/>
                <w:szCs w:val="21"/>
                <w:highlight w:val="none"/>
              </w:rPr>
            </w:pPr>
          </w:p>
        </w:tc>
        <w:tc>
          <w:tcPr>
            <w:tcW w:w="5225"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发现大楼内可疑人员、上前盘问，三无人员、摆卖推销人员应劝其离开。</w:t>
            </w:r>
          </w:p>
        </w:tc>
        <w:tc>
          <w:tcPr>
            <w:tcW w:w="3150"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扣0.1分/次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continue"/>
            <w:noWrap w:val="0"/>
            <w:vAlign w:val="center"/>
          </w:tcPr>
          <w:p>
            <w:pPr>
              <w:widowControl/>
              <w:rPr>
                <w:rFonts w:hint="eastAsia" w:ascii="宋体" w:hAnsi="宋体" w:cs="宋体"/>
                <w:color w:val="auto"/>
                <w:kern w:val="0"/>
                <w:szCs w:val="21"/>
                <w:highlight w:val="none"/>
              </w:rPr>
            </w:pPr>
          </w:p>
        </w:tc>
        <w:tc>
          <w:tcPr>
            <w:tcW w:w="5225"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对讲机配置和执法仪等装备是否根据院方需求配置并满足院方标书中要求，并保证正常运行使用同时提供损坏备用机。如不能达到要求，每发现一项不达标</w:t>
            </w:r>
          </w:p>
        </w:tc>
        <w:tc>
          <w:tcPr>
            <w:tcW w:w="3150"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扣0.6分/次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控烟</w:t>
            </w:r>
          </w:p>
        </w:tc>
        <w:tc>
          <w:tcPr>
            <w:tcW w:w="5225" w:type="dxa"/>
            <w:noWrap w:val="0"/>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巡逻区内有人抽烟必须立即劝止，区域内地面有烟头应立即通知保洁人员清理。发现队员在工作时间工作场所有吸烟现象，发现一起扣0.5分。</w:t>
            </w:r>
          </w:p>
        </w:tc>
        <w:tc>
          <w:tcPr>
            <w:tcW w:w="3150"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restart"/>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员工</w:t>
            </w:r>
          </w:p>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状况</w:t>
            </w:r>
          </w:p>
        </w:tc>
        <w:tc>
          <w:tcPr>
            <w:tcW w:w="5225" w:type="dxa"/>
            <w:noWrap/>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员工素质未能达到招标文件要求</w:t>
            </w:r>
          </w:p>
        </w:tc>
        <w:tc>
          <w:tcPr>
            <w:tcW w:w="3150"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continue"/>
            <w:noWrap w:val="0"/>
            <w:vAlign w:val="center"/>
          </w:tcPr>
          <w:p>
            <w:pPr>
              <w:widowControl/>
              <w:rPr>
                <w:rFonts w:hint="eastAsia" w:ascii="宋体" w:hAnsi="宋体" w:cs="宋体"/>
                <w:color w:val="auto"/>
                <w:kern w:val="0"/>
                <w:szCs w:val="21"/>
                <w:highlight w:val="none"/>
              </w:rPr>
            </w:pPr>
          </w:p>
        </w:tc>
        <w:tc>
          <w:tcPr>
            <w:tcW w:w="5225" w:type="dxa"/>
            <w:vMerge w:val="restart"/>
            <w:noWrap/>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稳定性</w:t>
            </w:r>
          </w:p>
        </w:tc>
        <w:tc>
          <w:tcPr>
            <w:tcW w:w="3150"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大于5%，扣2分，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continue"/>
            <w:noWrap w:val="0"/>
            <w:vAlign w:val="center"/>
          </w:tcPr>
          <w:p>
            <w:pPr>
              <w:widowControl/>
              <w:rPr>
                <w:rFonts w:hint="eastAsia" w:ascii="宋体" w:hAnsi="宋体" w:cs="宋体"/>
                <w:color w:val="auto"/>
                <w:kern w:val="0"/>
                <w:szCs w:val="21"/>
                <w:highlight w:val="none"/>
              </w:rPr>
            </w:pPr>
          </w:p>
        </w:tc>
        <w:tc>
          <w:tcPr>
            <w:tcW w:w="5225" w:type="dxa"/>
            <w:vMerge w:val="continue"/>
            <w:noWrap w:val="0"/>
            <w:vAlign w:val="center"/>
          </w:tcPr>
          <w:p>
            <w:pPr>
              <w:widowControl/>
              <w:rPr>
                <w:rFonts w:hint="eastAsia" w:ascii="宋体" w:hAnsi="宋体" w:cs="宋体"/>
                <w:color w:val="auto"/>
                <w:kern w:val="0"/>
                <w:szCs w:val="21"/>
                <w:highlight w:val="none"/>
              </w:rPr>
            </w:pPr>
          </w:p>
        </w:tc>
        <w:tc>
          <w:tcPr>
            <w:tcW w:w="3150"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影响工作正常开展的一起扣5分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continue"/>
            <w:noWrap w:val="0"/>
            <w:vAlign w:val="center"/>
          </w:tcPr>
          <w:p>
            <w:pPr>
              <w:widowControl/>
              <w:rPr>
                <w:rFonts w:hint="eastAsia" w:ascii="宋体" w:hAnsi="宋体" w:cs="宋体"/>
                <w:color w:val="auto"/>
                <w:kern w:val="0"/>
                <w:szCs w:val="21"/>
                <w:highlight w:val="none"/>
              </w:rPr>
            </w:pPr>
          </w:p>
        </w:tc>
        <w:tc>
          <w:tcPr>
            <w:tcW w:w="5225" w:type="dxa"/>
            <w:vMerge w:val="continue"/>
            <w:noWrap w:val="0"/>
            <w:vAlign w:val="center"/>
          </w:tcPr>
          <w:p>
            <w:pPr>
              <w:widowControl/>
              <w:rPr>
                <w:rFonts w:hint="eastAsia" w:ascii="宋体" w:hAnsi="宋体" w:cs="宋体"/>
                <w:color w:val="auto"/>
                <w:kern w:val="0"/>
                <w:szCs w:val="21"/>
                <w:highlight w:val="none"/>
              </w:rPr>
            </w:pPr>
          </w:p>
        </w:tc>
        <w:tc>
          <w:tcPr>
            <w:tcW w:w="3150"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每缺1人/天，扣5分，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restart"/>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投诉</w:t>
            </w:r>
          </w:p>
        </w:tc>
        <w:tc>
          <w:tcPr>
            <w:tcW w:w="5225" w:type="dxa"/>
            <w:noWrap/>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态度、质量、</w:t>
            </w:r>
            <w:r>
              <w:rPr>
                <w:rFonts w:hint="eastAsia" w:ascii="宋体" w:hAnsi="宋体" w:cs="宋体"/>
                <w:color w:val="auto"/>
                <w:kern w:val="0"/>
                <w:szCs w:val="21"/>
                <w:highlight w:val="none"/>
                <w:u w:val="single"/>
              </w:rPr>
              <w:t>出勤速度、停车监管等</w:t>
            </w:r>
          </w:p>
        </w:tc>
        <w:tc>
          <w:tcPr>
            <w:tcW w:w="3150"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性质一般的，一起扣0.2分，超过5起，全部按每起扣0.5分。</w:t>
            </w:r>
          </w:p>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恶劣且影响坏的，每起扣3分,超过3起的,全部按每起扣8分；对于12345投诉核实后，确为乙方自身原因造成，在此基础上每次另罚款1000元。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continue"/>
            <w:noWrap w:val="0"/>
            <w:vAlign w:val="center"/>
          </w:tcPr>
          <w:p>
            <w:pPr>
              <w:widowControl/>
              <w:rPr>
                <w:rFonts w:hint="eastAsia" w:ascii="宋体" w:hAnsi="宋体" w:cs="宋体"/>
                <w:color w:val="auto"/>
                <w:kern w:val="0"/>
                <w:szCs w:val="21"/>
                <w:highlight w:val="none"/>
              </w:rPr>
            </w:pPr>
          </w:p>
        </w:tc>
        <w:tc>
          <w:tcPr>
            <w:tcW w:w="5225" w:type="dxa"/>
            <w:noWrap/>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违反医院制度或法律法规</w:t>
            </w:r>
          </w:p>
        </w:tc>
        <w:tc>
          <w:tcPr>
            <w:tcW w:w="3150"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性质一般的，每起扣2分，5起以上,每起扣5分,性质恶劣且影响极坏的，每起扣10分。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restart"/>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c>
          <w:tcPr>
            <w:tcW w:w="8375" w:type="dxa"/>
            <w:gridSpan w:val="2"/>
            <w:noWrap w:val="0"/>
            <w:vAlign w:val="center"/>
          </w:tcPr>
          <w:p>
            <w:pPr>
              <w:widowControl/>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1、每月不定期由院方组织考评,日常管理可参照本考核表扣分,月底累加扣分,并合计计算为</w:t>
            </w:r>
            <w:r>
              <w:rPr>
                <w:rFonts w:hint="eastAsia" w:ascii="宋体" w:hAnsi="宋体" w:cs="宋体"/>
                <w:bCs/>
                <w:color w:val="auto"/>
                <w:kern w:val="0"/>
                <w:szCs w:val="21"/>
                <w:highlight w:val="none"/>
                <w:u w:val="single"/>
              </w:rPr>
              <w:t>初步分值</w:t>
            </w:r>
            <w:r>
              <w:rPr>
                <w:rFonts w:hint="eastAsia" w:ascii="宋体" w:hAnsi="宋体" w:cs="宋体"/>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continue"/>
            <w:noWrap w:val="0"/>
            <w:vAlign w:val="center"/>
          </w:tcPr>
          <w:p>
            <w:pPr>
              <w:widowControl/>
              <w:rPr>
                <w:rFonts w:hint="eastAsia" w:ascii="宋体" w:hAnsi="宋体" w:cs="宋体"/>
                <w:color w:val="auto"/>
                <w:kern w:val="0"/>
                <w:szCs w:val="21"/>
                <w:highlight w:val="none"/>
              </w:rPr>
            </w:pPr>
          </w:p>
        </w:tc>
        <w:tc>
          <w:tcPr>
            <w:tcW w:w="8375" w:type="dxa"/>
            <w:gridSpan w:val="2"/>
            <w:noWrap w:val="0"/>
            <w:vAlign w:val="center"/>
          </w:tcPr>
          <w:p>
            <w:pPr>
              <w:widowControl/>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2、同时，院方将委托患者和医务人员对安保服务质量进行满意度测评，原则上不少于20份/月，测评结果将对第1点的</w:t>
            </w:r>
            <w:r>
              <w:rPr>
                <w:rFonts w:hint="eastAsia" w:ascii="宋体" w:hAnsi="宋体" w:cs="宋体"/>
                <w:bCs/>
                <w:color w:val="auto"/>
                <w:kern w:val="0"/>
                <w:szCs w:val="21"/>
                <w:highlight w:val="none"/>
                <w:u w:val="single"/>
              </w:rPr>
              <w:t>初步分值</w:t>
            </w:r>
            <w:r>
              <w:rPr>
                <w:rFonts w:hint="eastAsia" w:ascii="宋体" w:hAnsi="宋体" w:cs="宋体"/>
                <w:bCs/>
                <w:color w:val="auto"/>
                <w:kern w:val="0"/>
                <w:szCs w:val="21"/>
                <w:highlight w:val="none"/>
              </w:rPr>
              <w:t>进行调整：测评结果得分：95分（含）-100，加5分；90（含）-95分，不作处理；75（含）-90分，减5分，65（含）-75分，减10分；65以下分减20分。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continue"/>
            <w:noWrap w:val="0"/>
            <w:vAlign w:val="center"/>
          </w:tcPr>
          <w:p>
            <w:pPr>
              <w:widowControl/>
              <w:rPr>
                <w:rFonts w:hint="eastAsia" w:ascii="宋体" w:hAnsi="宋体" w:cs="宋体"/>
                <w:color w:val="auto"/>
                <w:kern w:val="0"/>
                <w:szCs w:val="21"/>
                <w:highlight w:val="none"/>
              </w:rPr>
            </w:pPr>
          </w:p>
        </w:tc>
        <w:tc>
          <w:tcPr>
            <w:tcW w:w="8375" w:type="dxa"/>
            <w:gridSpan w:val="2"/>
            <w:noWrap w:val="0"/>
            <w:vAlign w:val="center"/>
          </w:tcPr>
          <w:p>
            <w:pPr>
              <w:widowControl/>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3、调整后的得分即考核总分数：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continue"/>
            <w:noWrap w:val="0"/>
            <w:vAlign w:val="center"/>
          </w:tcPr>
          <w:p>
            <w:pPr>
              <w:widowControl/>
              <w:rPr>
                <w:rFonts w:hint="eastAsia" w:ascii="宋体" w:hAnsi="宋体" w:cs="宋体"/>
                <w:color w:val="auto"/>
                <w:kern w:val="0"/>
                <w:szCs w:val="21"/>
                <w:highlight w:val="none"/>
              </w:rPr>
            </w:pPr>
          </w:p>
        </w:tc>
        <w:tc>
          <w:tcPr>
            <w:tcW w:w="8375" w:type="dxa"/>
            <w:gridSpan w:val="2"/>
            <w:noWrap w:val="0"/>
            <w:vAlign w:val="center"/>
          </w:tcPr>
          <w:p>
            <w:pPr>
              <w:widowControl/>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1）考核总分数在90（含）分以上，安保费用按合同金额全额支付；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continue"/>
            <w:noWrap w:val="0"/>
            <w:vAlign w:val="center"/>
          </w:tcPr>
          <w:p>
            <w:pPr>
              <w:widowControl/>
              <w:rPr>
                <w:rFonts w:hint="eastAsia" w:ascii="宋体" w:hAnsi="宋体" w:cs="宋体"/>
                <w:color w:val="auto"/>
                <w:kern w:val="0"/>
                <w:szCs w:val="21"/>
                <w:highlight w:val="none"/>
              </w:rPr>
            </w:pPr>
          </w:p>
        </w:tc>
        <w:tc>
          <w:tcPr>
            <w:tcW w:w="8375" w:type="dxa"/>
            <w:gridSpan w:val="2"/>
            <w:noWrap w:val="0"/>
            <w:vAlign w:val="center"/>
          </w:tcPr>
          <w:p>
            <w:pPr>
              <w:widowControl/>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2）考核总分数在85分（含）～90分，扣除服务费用3000元；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continue"/>
            <w:noWrap w:val="0"/>
            <w:vAlign w:val="center"/>
          </w:tcPr>
          <w:p>
            <w:pPr>
              <w:widowControl/>
              <w:rPr>
                <w:rFonts w:hint="eastAsia" w:ascii="宋体" w:hAnsi="宋体" w:cs="宋体"/>
                <w:color w:val="auto"/>
                <w:kern w:val="0"/>
                <w:szCs w:val="21"/>
                <w:highlight w:val="none"/>
              </w:rPr>
            </w:pPr>
          </w:p>
        </w:tc>
        <w:tc>
          <w:tcPr>
            <w:tcW w:w="8375" w:type="dxa"/>
            <w:gridSpan w:val="2"/>
            <w:noWrap w:val="0"/>
            <w:vAlign w:val="center"/>
          </w:tcPr>
          <w:p>
            <w:pPr>
              <w:widowControl/>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3）考核总分数在80分（含）～85分，扣除服务费用5000元；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continue"/>
            <w:noWrap w:val="0"/>
            <w:vAlign w:val="center"/>
          </w:tcPr>
          <w:p>
            <w:pPr>
              <w:widowControl/>
              <w:rPr>
                <w:rFonts w:hint="eastAsia" w:ascii="宋体" w:hAnsi="宋体" w:cs="宋体"/>
                <w:color w:val="auto"/>
                <w:kern w:val="0"/>
                <w:szCs w:val="21"/>
                <w:highlight w:val="none"/>
              </w:rPr>
            </w:pPr>
          </w:p>
        </w:tc>
        <w:tc>
          <w:tcPr>
            <w:tcW w:w="8375" w:type="dxa"/>
            <w:gridSpan w:val="2"/>
            <w:noWrap w:val="0"/>
            <w:vAlign w:val="center"/>
          </w:tcPr>
          <w:p>
            <w:pPr>
              <w:widowControl/>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4）考核总分数在65～80分，扣除服务费用10000元；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continue"/>
            <w:noWrap w:val="0"/>
            <w:vAlign w:val="center"/>
          </w:tcPr>
          <w:p>
            <w:pPr>
              <w:widowControl/>
              <w:rPr>
                <w:rFonts w:hint="eastAsia" w:ascii="宋体" w:hAnsi="宋体" w:cs="宋体"/>
                <w:color w:val="auto"/>
                <w:kern w:val="0"/>
                <w:szCs w:val="21"/>
                <w:highlight w:val="none"/>
              </w:rPr>
            </w:pPr>
          </w:p>
        </w:tc>
        <w:tc>
          <w:tcPr>
            <w:tcW w:w="8375" w:type="dxa"/>
            <w:gridSpan w:val="2"/>
            <w:noWrap w:val="0"/>
            <w:vAlign w:val="center"/>
          </w:tcPr>
          <w:p>
            <w:pPr>
              <w:widowControl/>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5）考核总分数在65分以下，为考核不合格，扣除服务费15000元。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Merge w:val="continue"/>
            <w:noWrap w:val="0"/>
            <w:vAlign w:val="center"/>
          </w:tcPr>
          <w:p>
            <w:pPr>
              <w:widowControl/>
              <w:rPr>
                <w:rFonts w:hint="eastAsia" w:ascii="宋体" w:hAnsi="宋体" w:cs="宋体"/>
                <w:color w:val="auto"/>
                <w:kern w:val="0"/>
                <w:szCs w:val="21"/>
                <w:highlight w:val="none"/>
              </w:rPr>
            </w:pPr>
          </w:p>
        </w:tc>
        <w:tc>
          <w:tcPr>
            <w:tcW w:w="8375" w:type="dxa"/>
            <w:gridSpan w:val="2"/>
            <w:noWrap w:val="0"/>
            <w:vAlign w:val="center"/>
          </w:tcPr>
          <w:p>
            <w:pPr>
              <w:widowControl/>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4、全年出现二次不合格，一律终止合同，并承担违约责任的赔偿，没收履约保证金。</w:t>
            </w:r>
          </w:p>
        </w:tc>
      </w:tr>
    </w:tbl>
    <w:p>
      <w:pPr>
        <w:spacing w:line="360" w:lineRule="auto"/>
        <w:ind w:firstLine="420" w:firstLineChars="200"/>
        <w:rPr>
          <w:rFonts w:hint="eastAsia"/>
          <w:color w:val="auto"/>
          <w:highlight w:val="none"/>
        </w:rPr>
      </w:pPr>
    </w:p>
    <w:p>
      <w:pPr>
        <w:spacing w:line="360" w:lineRule="auto"/>
        <w:ind w:firstLine="420" w:firstLineChars="200"/>
        <w:rPr>
          <w:rFonts w:hint="eastAsia"/>
          <w:color w:val="auto"/>
          <w:highlight w:val="none"/>
        </w:rPr>
      </w:pPr>
      <w:r>
        <w:rPr>
          <w:rFonts w:hint="eastAsia"/>
          <w:color w:val="auto"/>
          <w:highlight w:val="none"/>
        </w:rPr>
        <w:t>六、商务要求：</w:t>
      </w:r>
    </w:p>
    <w:p>
      <w:pPr>
        <w:numPr>
          <w:ilvl w:val="0"/>
          <w:numId w:val="6"/>
        </w:numPr>
        <w:tabs>
          <w:tab w:val="left" w:pos="13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投标报价：本次投标报价为（2年的整体项目服务报价），即供应商完成本项目的全部费用，报价含人工费、服装费、设备装备费、税费、利润和伴随服务费等一切费用。</w:t>
      </w:r>
    </w:p>
    <w:p>
      <w:pPr>
        <w:numPr>
          <w:ilvl w:val="0"/>
          <w:numId w:val="6"/>
        </w:numPr>
        <w:tabs>
          <w:tab w:val="left" w:pos="13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付款方式</w:t>
      </w:r>
    </w:p>
    <w:p>
      <w:pPr>
        <w:tabs>
          <w:tab w:val="left" w:pos="13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2.1按实际上岗人数结算服务费用。服务费用=实际上岗人数*安保的每岗位平均费用。安保的每岗位每年平均价核算方式为：（投标总价/</w:t>
      </w:r>
      <w:r>
        <w:rPr>
          <w:rFonts w:hint="eastAsia" w:ascii="宋体" w:hAnsi="宋体" w:cs="宋体"/>
          <w:color w:val="auto"/>
          <w:szCs w:val="21"/>
          <w:highlight w:val="none"/>
          <w:lang w:val="en-US" w:eastAsia="zh-CN"/>
        </w:rPr>
        <w:t>64</w:t>
      </w:r>
      <w:r>
        <w:rPr>
          <w:rFonts w:hint="eastAsia" w:ascii="宋体" w:hAnsi="宋体" w:cs="宋体"/>
          <w:color w:val="auto"/>
          <w:szCs w:val="21"/>
          <w:highlight w:val="none"/>
        </w:rPr>
        <w:t>岗位），每月均价为每岗位每年平均价除以12个月，每日均价为每年岗位平均价除以360日。</w:t>
      </w:r>
    </w:p>
    <w:p>
      <w:pPr>
        <w:tabs>
          <w:tab w:val="left" w:pos="13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2.2付款方式：按上月考核结果，按实际服务进度结算，安保服务费每月结算一次，中标人提供完税财务发票，采购人在申请手续办理完毕后7个工作日内支付货款。</w:t>
      </w:r>
    </w:p>
    <w:p>
      <w:pPr>
        <w:tabs>
          <w:tab w:val="left" w:pos="13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2.3支付凭证：双方签字确认的考核单，中标人提供的正式发票。</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 xml:space="preserve"> </w:t>
      </w:r>
    </w:p>
    <w:p>
      <w:pPr>
        <w:numPr>
          <w:ilvl w:val="0"/>
          <w:numId w:val="6"/>
        </w:numPr>
        <w:tabs>
          <w:tab w:val="left" w:pos="13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采购人因岗位变动需增减派人员的，中标人须无条件响应采购人要求，并配合落实相关人员，费用按照中标安保的每岗位每年平均价核算，如岗位增减，则按增减数量乘每岗位平均价增减。</w:t>
      </w:r>
    </w:p>
    <w:p>
      <w:pPr>
        <w:numPr>
          <w:ilvl w:val="0"/>
          <w:numId w:val="6"/>
        </w:numPr>
        <w:tabs>
          <w:tab w:val="left" w:pos="13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服务费用中包含服装、警械、防护服、对讲机以及其他必要的配备，包含周末加班费，以及节假日的补贴（按国家标准），包含为履行本次招标服务的其他一切费用。</w:t>
      </w:r>
    </w:p>
    <w:p>
      <w:pPr>
        <w:numPr>
          <w:ilvl w:val="0"/>
          <w:numId w:val="6"/>
        </w:numPr>
        <w:tabs>
          <w:tab w:val="left" w:pos="13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标人在服务期内有下列行为，造成的不当损失而产生费用，要从当月支付给中标人的费用中扣除：A、中标人要爱护与保管医院财产，如损坏医院设施等，按实际损失价值赔偿；B、没有达到考核标准的，按考核标准中规定的扣除；C、其它因中标人不作为或管理不严等，造成医院不良影响或损失的，部分与招标文件不符合的做法，或不履行其投标文件的，扣除承包方的当月服务款的1%；项目经理缺岗，按缺岗次数每次处罚500元。</w:t>
      </w:r>
    </w:p>
    <w:p>
      <w:pPr>
        <w:numPr>
          <w:ilvl w:val="0"/>
          <w:numId w:val="6"/>
        </w:numPr>
        <w:tabs>
          <w:tab w:val="left" w:pos="13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w:t>
      </w:r>
      <w:r>
        <w:rPr>
          <w:rFonts w:hint="eastAsia" w:hAnsi="宋体"/>
          <w:color w:val="auto"/>
          <w:szCs w:val="21"/>
          <w:highlight w:val="none"/>
        </w:rPr>
        <w:t>履约保证金（应当以支票、汇票、本票或者金融机构、担保机构出具的保函等非现金形式提交）按合同金额的1%收取，即履约保证金为人民币</w:t>
      </w:r>
      <w:r>
        <w:rPr>
          <w:rFonts w:hint="eastAsia" w:hAnsi="宋体"/>
          <w:color w:val="auto"/>
          <w:szCs w:val="21"/>
          <w:highlight w:val="none"/>
          <w:lang w:eastAsia="zh-CN"/>
        </w:rPr>
        <w:t xml:space="preserve">    </w:t>
      </w:r>
      <w:r>
        <w:rPr>
          <w:rFonts w:hint="eastAsia" w:hAnsi="宋体"/>
          <w:color w:val="auto"/>
          <w:szCs w:val="21"/>
          <w:highlight w:val="none"/>
        </w:rPr>
        <w:t xml:space="preserve"> 元整（大写：</w:t>
      </w:r>
      <w:r>
        <w:rPr>
          <w:rFonts w:hint="eastAsia" w:hAnsi="宋体"/>
          <w:color w:val="auto"/>
          <w:szCs w:val="21"/>
          <w:highlight w:val="none"/>
          <w:lang w:eastAsia="zh-CN"/>
        </w:rPr>
        <w:t xml:space="preserve">      </w:t>
      </w:r>
      <w:r>
        <w:rPr>
          <w:rFonts w:hint="eastAsia" w:hAnsi="宋体"/>
          <w:color w:val="auto"/>
          <w:szCs w:val="21"/>
          <w:highlight w:val="none"/>
        </w:rPr>
        <w:t xml:space="preserve">  ），中标人收到中标通知书，按要求向采购人缴纳履约保证金，中标人发生履约责任问题时，采购人有权从当月结算货款或履约保证金中予以扣除，履约保证金如发生扣款情况，中标人应在30日内予以补足。履约保证金在合同终止或解除后的30天内无息退还给中标人。</w:t>
      </w:r>
    </w:p>
    <w:p>
      <w:pPr>
        <w:numPr>
          <w:ilvl w:val="0"/>
          <w:numId w:val="6"/>
        </w:numPr>
        <w:tabs>
          <w:tab w:val="left" w:pos="13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合同期限</w:t>
      </w:r>
    </w:p>
    <w:p>
      <w:pPr>
        <w:tabs>
          <w:tab w:val="left" w:pos="1320"/>
        </w:tabs>
        <w:spacing w:line="360" w:lineRule="auto"/>
        <w:ind w:firstLine="420" w:firstLineChars="200"/>
        <w:rPr>
          <w:rFonts w:hint="eastAsia" w:ascii="宋体" w:hAnsi="宋体" w:cs="宋体"/>
          <w:strike/>
          <w:color w:val="auto"/>
          <w:szCs w:val="21"/>
          <w:highlight w:val="none"/>
        </w:rPr>
      </w:pPr>
      <w:r>
        <w:rPr>
          <w:rFonts w:hint="eastAsia" w:ascii="宋体" w:hAnsi="宋体" w:cs="宋体"/>
          <w:color w:val="auto"/>
          <w:szCs w:val="21"/>
          <w:highlight w:val="none"/>
        </w:rPr>
        <w:t>7.1本项目服务期限两年。</w:t>
      </w:r>
    </w:p>
    <w:p>
      <w:pPr>
        <w:numPr>
          <w:ilvl w:val="0"/>
          <w:numId w:val="6"/>
        </w:numPr>
        <w:tabs>
          <w:tab w:val="left" w:pos="13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违约中止合同及赔偿</w:t>
      </w:r>
    </w:p>
    <w:p>
      <w:pPr>
        <w:tabs>
          <w:tab w:val="left" w:pos="13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8.1采购人在中标人存在如下违约情况时，有权单方面终止全部或部分合同，并保留进一步追究中标人责任的权利（包括经济赔偿）。</w:t>
      </w:r>
    </w:p>
    <w:p>
      <w:pPr>
        <w:tabs>
          <w:tab w:val="left" w:pos="13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（1）中标人未能履行合同规定的义务；</w:t>
      </w:r>
    </w:p>
    <w:p>
      <w:pPr>
        <w:tabs>
          <w:tab w:val="left" w:pos="13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（2）有严重影响医院有关科室的正常工作及医院形象；</w:t>
      </w:r>
    </w:p>
    <w:p>
      <w:pPr>
        <w:tabs>
          <w:tab w:val="left" w:pos="13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（3）与招标文件不符合的做法，或不履行其投标文件的承诺；</w:t>
      </w:r>
    </w:p>
    <w:p>
      <w:pPr>
        <w:tabs>
          <w:tab w:val="left" w:pos="13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8.2一年累计达2次月度考核不合格（65分以下）一律终止合同。</w:t>
      </w:r>
    </w:p>
    <w:p>
      <w:pPr>
        <w:tabs>
          <w:tab w:val="left" w:pos="13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8.3乙方如要提前中止合同，需提前3个月，并征得甲方同意，否则按合同执行。</w:t>
      </w:r>
    </w:p>
    <w:p>
      <w:pPr>
        <w:widowControl/>
        <w:snapToGrid w:val="0"/>
        <w:spacing w:line="360" w:lineRule="auto"/>
        <w:ind w:firstLine="420" w:firstLineChars="200"/>
        <w:rPr>
          <w:rFonts w:hAnsi="宋体"/>
          <w:color w:val="auto"/>
          <w:szCs w:val="21"/>
          <w:highlight w:val="none"/>
        </w:rPr>
      </w:pPr>
      <w:r>
        <w:rPr>
          <w:rFonts w:hint="eastAsia" w:ascii="宋体" w:hAnsi="宋体" w:cs="宋体"/>
          <w:color w:val="auto"/>
          <w:szCs w:val="21"/>
          <w:highlight w:val="none"/>
        </w:rPr>
        <w:t>8.4</w:t>
      </w:r>
      <w:r>
        <w:rPr>
          <w:rFonts w:hint="eastAsia" w:hAnsi="宋体"/>
          <w:color w:val="auto"/>
          <w:szCs w:val="21"/>
          <w:highlight w:val="none"/>
        </w:rPr>
        <w:t>除不可抗力外，如发生乙方不能履行合同义务、擅自终止合同、因乙方原因导致合同终止，或甲方发生中途终止合同等情况，应及时以书面形式通知对方。甲乙双方应本着友好的态度进行协商，妥善解决。如协商无效，按下列规定计算并支付违约金：</w:t>
      </w:r>
    </w:p>
    <w:p>
      <w:pPr>
        <w:widowControl/>
        <w:snapToGrid w:val="0"/>
        <w:spacing w:line="360" w:lineRule="auto"/>
        <w:ind w:firstLine="210" w:firstLineChars="100"/>
        <w:rPr>
          <w:rFonts w:hAnsi="宋体"/>
          <w:color w:val="auto"/>
          <w:szCs w:val="21"/>
          <w:highlight w:val="none"/>
        </w:rPr>
      </w:pPr>
      <w:r>
        <w:rPr>
          <w:rFonts w:hint="eastAsia" w:hAnsi="宋体"/>
          <w:color w:val="auto"/>
          <w:szCs w:val="21"/>
          <w:highlight w:val="none"/>
        </w:rPr>
        <w:t>（1）乙方不能履行合同义务、擅自终止合同、因乙方原因导致合同终止的，应按合同总价的5%向甲方偿付违约金，履约保证金作为违约金予以抵扣没收，违约金不予以弥补甲方损失的，乙方需承担赔偿责任。</w:t>
      </w:r>
    </w:p>
    <w:p>
      <w:pPr>
        <w:widowControl/>
        <w:snapToGrid w:val="0"/>
        <w:spacing w:line="360" w:lineRule="auto"/>
        <w:ind w:firstLine="210" w:firstLineChars="100"/>
        <w:rPr>
          <w:rFonts w:hAnsi="宋体"/>
          <w:color w:val="auto"/>
          <w:szCs w:val="21"/>
          <w:highlight w:val="none"/>
        </w:rPr>
      </w:pPr>
      <w:r>
        <w:rPr>
          <w:rFonts w:hint="eastAsia" w:hAnsi="宋体"/>
          <w:color w:val="auto"/>
          <w:szCs w:val="21"/>
          <w:highlight w:val="none"/>
        </w:rPr>
        <w:t>（2）如乙方未能履行合同规定的任何一项义务，甲方均有权从履约保证金中得到补偿。</w:t>
      </w:r>
    </w:p>
    <w:p>
      <w:pPr>
        <w:widowControl/>
        <w:snapToGrid w:val="0"/>
        <w:spacing w:line="360" w:lineRule="auto"/>
        <w:ind w:firstLine="210" w:firstLineChars="100"/>
        <w:rPr>
          <w:rFonts w:hAnsi="宋体"/>
          <w:color w:val="auto"/>
          <w:szCs w:val="21"/>
          <w:highlight w:val="none"/>
        </w:rPr>
      </w:pPr>
      <w:r>
        <w:rPr>
          <w:rFonts w:hint="eastAsia" w:hAnsi="宋体"/>
          <w:color w:val="auto"/>
          <w:szCs w:val="21"/>
          <w:highlight w:val="none"/>
        </w:rPr>
        <w:t>（3）甲方发生中途终止合同（上述第1条和上述第2条原因除外），应按合同总价的5%向乙方偿付违约金。</w:t>
      </w:r>
    </w:p>
    <w:p>
      <w:pPr>
        <w:tabs>
          <w:tab w:val="left" w:pos="1320"/>
        </w:tabs>
        <w:spacing w:line="360" w:lineRule="auto"/>
        <w:ind w:firstLine="420" w:firstLineChars="200"/>
        <w:rPr>
          <w:rFonts w:hint="eastAsia" w:ascii="宋体" w:hAnsi="宋体" w:cs="宋体"/>
          <w:color w:val="auto"/>
          <w:szCs w:val="21"/>
          <w:highlight w:val="none"/>
        </w:rPr>
      </w:pPr>
      <w:r>
        <w:rPr>
          <w:rFonts w:hint="eastAsia" w:hAnsi="宋体"/>
          <w:color w:val="auto"/>
          <w:szCs w:val="21"/>
          <w:highlight w:val="none"/>
        </w:rPr>
        <w:t>（4）经双方协商可终止部分或全部合同的，无须承担违约责任。</w:t>
      </w:r>
    </w:p>
    <w:p>
      <w:pPr>
        <w:numPr>
          <w:ilvl w:val="0"/>
          <w:numId w:val="6"/>
        </w:numPr>
        <w:tabs>
          <w:tab w:val="left" w:pos="13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破产终止合同</w:t>
      </w:r>
    </w:p>
    <w:p>
      <w:pPr>
        <w:tabs>
          <w:tab w:val="left" w:pos="13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如果中标人破产或无清偿能力时，采购人可在任何时候以书面通知中标人终止合同。该终止合同将不损害或影响采购人已经采取或将要采取的补救措施的权利。</w:t>
      </w:r>
    </w:p>
    <w:p>
      <w:pPr>
        <w:numPr>
          <w:ilvl w:val="0"/>
          <w:numId w:val="6"/>
        </w:numPr>
        <w:tabs>
          <w:tab w:val="left" w:pos="13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纠纷解决</w:t>
      </w:r>
    </w:p>
    <w:p>
      <w:pPr>
        <w:tabs>
          <w:tab w:val="left" w:pos="13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10.1双方在执行合同中所发生的一切争议，应通过协商解决。如协商不成，应向采购人法定地址所在人民法院起诉。</w:t>
      </w:r>
    </w:p>
    <w:p>
      <w:pPr>
        <w:tabs>
          <w:tab w:val="left" w:pos="13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10.2在诉讼期间，除正在进行诉讼的部份外，本合同其他部份应继续执行。</w:t>
      </w:r>
    </w:p>
    <w:p>
      <w:pPr>
        <w:tabs>
          <w:tab w:val="left" w:pos="13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10.3诉讼费用由败诉方承担</w:t>
      </w:r>
      <w:r>
        <w:rPr>
          <w:rFonts w:hint="eastAsia" w:hAnsi="宋体"/>
          <w:color w:val="auto"/>
          <w:szCs w:val="21"/>
          <w:highlight w:val="none"/>
        </w:rPr>
        <w:t>。</w:t>
      </w:r>
    </w:p>
    <w:p>
      <w:pPr>
        <w:pStyle w:val="2"/>
        <w:snapToGrid w:val="0"/>
        <w:rPr>
          <w:rFonts w:ascii="Times New Roman" w:hAnsi="Times New Roman" w:eastAsia="宋体"/>
          <w:color w:val="auto"/>
          <w:highlight w:val="none"/>
        </w:rPr>
      </w:pPr>
      <w:r>
        <w:rPr>
          <w:rFonts w:ascii="Times New Roman" w:hAnsi="Times New Roman" w:eastAsia="宋体"/>
          <w:b w:val="0"/>
          <w:color w:val="auto"/>
          <w:szCs w:val="21"/>
          <w:highlight w:val="none"/>
        </w:rPr>
        <w:br w:type="page"/>
      </w:r>
      <w:bookmarkStart w:id="9" w:name="_Toc273624872"/>
      <w:bookmarkStart w:id="10" w:name="_Toc211745565"/>
      <w:bookmarkStart w:id="11" w:name="_Toc495317670"/>
      <w:bookmarkStart w:id="12" w:name="_Toc82338233"/>
      <w:bookmarkStart w:id="13" w:name="_Toc82873316"/>
      <w:r>
        <w:rPr>
          <w:rFonts w:ascii="Times New Roman" w:hAnsi="Times New Roman" w:eastAsia="宋体"/>
          <w:color w:val="auto"/>
          <w:highlight w:val="none"/>
        </w:rPr>
        <w:t>第三章</w:t>
      </w:r>
      <w:bookmarkEnd w:id="9"/>
      <w:r>
        <w:rPr>
          <w:rFonts w:ascii="Times New Roman" w:hAnsi="Times New Roman" w:eastAsia="宋体"/>
          <w:color w:val="auto"/>
          <w:highlight w:val="none"/>
        </w:rPr>
        <w:t xml:space="preserve">  </w:t>
      </w:r>
      <w:r>
        <w:rPr>
          <w:rFonts w:hint="eastAsia" w:ascii="Times New Roman" w:hAnsi="Times New Roman" w:eastAsia="宋体"/>
          <w:color w:val="auto"/>
          <w:highlight w:val="none"/>
        </w:rPr>
        <w:t>供应商</w:t>
      </w:r>
      <w:r>
        <w:rPr>
          <w:rFonts w:ascii="Times New Roman" w:hAnsi="Times New Roman" w:eastAsia="宋体"/>
          <w:color w:val="auto"/>
          <w:highlight w:val="none"/>
        </w:rPr>
        <w:t>须知</w:t>
      </w:r>
      <w:bookmarkEnd w:id="10"/>
      <w:bookmarkEnd w:id="11"/>
      <w:bookmarkEnd w:id="12"/>
      <w:bookmarkEnd w:id="13"/>
      <w:bookmarkStart w:id="14" w:name="_Toc82873322"/>
      <w:bookmarkStart w:id="15" w:name="_Toc82338239"/>
    </w:p>
    <w:p>
      <w:pPr>
        <w:pStyle w:val="3"/>
        <w:spacing w:line="360" w:lineRule="auto"/>
        <w:ind w:firstLine="422"/>
        <w:rPr>
          <w:rFonts w:ascii="Times New Roman" w:hAnsi="Times New Roman"/>
          <w:color w:val="auto"/>
          <w:highlight w:val="none"/>
        </w:rPr>
      </w:pPr>
      <w:r>
        <w:rPr>
          <w:rFonts w:ascii="Times New Roman" w:hAnsi="Times New Roman"/>
          <w:color w:val="auto"/>
          <w:highlight w:val="none"/>
        </w:rPr>
        <w:t>一、</w:t>
      </w:r>
      <w:bookmarkEnd w:id="14"/>
      <w:bookmarkEnd w:id="15"/>
      <w:r>
        <w:rPr>
          <w:rFonts w:ascii="Times New Roman" w:hAnsi="Times New Roman"/>
          <w:color w:val="auto"/>
          <w:highlight w:val="none"/>
        </w:rPr>
        <w:t>总则</w:t>
      </w:r>
    </w:p>
    <w:p>
      <w:pPr>
        <w:pStyle w:val="4"/>
        <w:spacing w:line="360" w:lineRule="auto"/>
        <w:ind w:firstLine="422"/>
        <w:rPr>
          <w:rFonts w:ascii="Times New Roman" w:hAnsi="Times New Roman"/>
          <w:color w:val="auto"/>
          <w:highlight w:val="none"/>
        </w:rPr>
      </w:pPr>
      <w:bookmarkStart w:id="16" w:name="_Toc82338240"/>
      <w:bookmarkStart w:id="17" w:name="_Toc82873323"/>
      <w:r>
        <w:rPr>
          <w:rFonts w:ascii="Times New Roman" w:hAnsi="Times New Roman"/>
          <w:color w:val="auto"/>
          <w:highlight w:val="none"/>
        </w:rPr>
        <w:t>1.1 实施依据</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本次招标工作是按照</w:t>
      </w:r>
      <w:r>
        <w:rPr>
          <w:rFonts w:ascii="Times New Roman" w:hAnsi="Times New Roman"/>
          <w:color w:val="auto"/>
          <w:kern w:val="0"/>
          <w:szCs w:val="21"/>
          <w:highlight w:val="none"/>
        </w:rPr>
        <w:t>《中华人民共和国政府采购法》</w:t>
      </w:r>
      <w:r>
        <w:rPr>
          <w:rFonts w:ascii="Times New Roman" w:hAnsi="Times New Roman"/>
          <w:color w:val="auto"/>
          <w:szCs w:val="21"/>
          <w:highlight w:val="none"/>
        </w:rPr>
        <w:t>、《中华人民共和国政府采购法实施条例》、《政府采购货物和服务招标投标管理办法》</w:t>
      </w:r>
      <w:r>
        <w:rPr>
          <w:rFonts w:ascii="Times New Roman" w:hAnsi="Times New Roman"/>
          <w:color w:val="auto"/>
          <w:highlight w:val="none"/>
        </w:rPr>
        <w:t>等有关法律、法规、规章、文件的规定组织和实施。</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1.2 采购方式</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公开招标，是指招标采购单位依法以招标公告的方式邀请不特定的供应商参加投标。</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1.3 定义</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采购人：是指依法进行政府采购的国家机关、事业单位、团体组织，见“</w:t>
      </w:r>
      <w:r>
        <w:rPr>
          <w:rFonts w:hint="eastAsia" w:ascii="Times New Roman" w:hAnsi="Times New Roman"/>
          <w:color w:val="auto"/>
          <w:highlight w:val="none"/>
        </w:rPr>
        <w:t>供应商</w:t>
      </w:r>
      <w:r>
        <w:rPr>
          <w:rFonts w:ascii="Times New Roman" w:hAnsi="Times New Roman"/>
          <w:color w:val="auto"/>
          <w:highlight w:val="none"/>
        </w:rPr>
        <w:t>须知前附表”；</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采购代理机构：受采购人委托，在委托的范围内办理政府采购事宜的机构，见“</w:t>
      </w:r>
      <w:r>
        <w:rPr>
          <w:rFonts w:hint="eastAsia" w:ascii="Times New Roman" w:hAnsi="Times New Roman"/>
          <w:color w:val="auto"/>
          <w:highlight w:val="none"/>
        </w:rPr>
        <w:t>供应商</w:t>
      </w:r>
      <w:r>
        <w:rPr>
          <w:rFonts w:ascii="Times New Roman" w:hAnsi="Times New Roman"/>
          <w:color w:val="auto"/>
          <w:highlight w:val="none"/>
        </w:rPr>
        <w:t>须知前附表”；</w:t>
      </w:r>
    </w:p>
    <w:p>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：是指参加本政府采购项目投标的供应商；</w:t>
      </w:r>
    </w:p>
    <w:p>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代表：是指参加本项目投标活动的供应商法定代表人或法定代表人授权代表；</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投标联合体：是指两个以上供应商组成联合体，以一个供应商的身份参加投标；</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甲方：是指合同签订的一方，一般与采购人、用户相同；</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乙方：是指合同签订的另一方，与中标人相同；</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制造商：是指拥有投标产品自主知识产权的单位；</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1.4 联合体投标</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联合体中有同类资质的供应商按照联合体分工承担相同工作的，应当按照资质等级较低的供应商确定资质等级。</w:t>
      </w:r>
    </w:p>
    <w:p>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以联合体形式参加投标的，联合体各方不得再单独参加或者与其他供应商另外组成联合体参加本项目的投标。</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1.5 投标费用</w:t>
      </w:r>
    </w:p>
    <w:p>
      <w:pPr>
        <w:adjustRightInd w:val="0"/>
        <w:snapToGrid w:val="0"/>
        <w:spacing w:line="360" w:lineRule="auto"/>
        <w:ind w:firstLine="420" w:firstLineChars="200"/>
        <w:rPr>
          <w:b/>
          <w:bCs/>
          <w:color w:val="auto"/>
          <w:highlight w:val="none"/>
        </w:rPr>
      </w:pPr>
      <w:r>
        <w:rPr>
          <w:color w:val="auto"/>
          <w:highlight w:val="none"/>
        </w:rPr>
        <w:t>无论招投标过程中的做法和结果如何，</w:t>
      </w:r>
      <w:r>
        <w:rPr>
          <w:rFonts w:hint="eastAsia"/>
          <w:color w:val="auto"/>
          <w:highlight w:val="none"/>
        </w:rPr>
        <w:t>供应商</w:t>
      </w:r>
      <w:r>
        <w:rPr>
          <w:color w:val="auto"/>
          <w:highlight w:val="none"/>
        </w:rPr>
        <w:t>自行承担招投标活动中所发生的全部费用。</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1.6 保密</w:t>
      </w:r>
    </w:p>
    <w:p>
      <w:pPr>
        <w:adjustRightInd w:val="0"/>
        <w:snapToGrid w:val="0"/>
        <w:spacing w:line="360" w:lineRule="auto"/>
        <w:ind w:firstLine="420" w:firstLineChars="200"/>
        <w:rPr>
          <w:color w:val="auto"/>
          <w:highlight w:val="none"/>
        </w:rPr>
      </w:pPr>
      <w:r>
        <w:rPr>
          <w:color w:val="auto"/>
          <w:highlight w:val="none"/>
        </w:rPr>
        <w:t>参与招标投标活动的各方应对采购文件和投标文件中的商业和技术等秘密保密，违者应对此造成的后果承担法律责任。</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1.7 语言文字</w:t>
      </w:r>
    </w:p>
    <w:p>
      <w:pPr>
        <w:adjustRightInd w:val="0"/>
        <w:snapToGrid w:val="0"/>
        <w:spacing w:line="360" w:lineRule="auto"/>
        <w:ind w:firstLine="420" w:firstLineChars="200"/>
        <w:rPr>
          <w:color w:val="auto"/>
          <w:highlight w:val="none"/>
        </w:rPr>
      </w:pPr>
      <w:r>
        <w:rPr>
          <w:color w:val="auto"/>
          <w:highlight w:val="none"/>
        </w:rPr>
        <w:t>除专用术语外，与招标投标有关的语言使用中文。专用术语应附有中文注释。</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1.8 计量单位</w:t>
      </w:r>
    </w:p>
    <w:p>
      <w:pPr>
        <w:adjustRightInd w:val="0"/>
        <w:snapToGrid w:val="0"/>
        <w:spacing w:line="360" w:lineRule="auto"/>
        <w:ind w:firstLine="420" w:firstLineChars="200"/>
        <w:rPr>
          <w:color w:val="auto"/>
          <w:highlight w:val="none"/>
        </w:rPr>
      </w:pPr>
      <w:r>
        <w:rPr>
          <w:color w:val="auto"/>
          <w:highlight w:val="none"/>
        </w:rPr>
        <w:t>所有计量均采用中华人民共和国法定计量单位。</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1.9 踏勘现场（如适用）</w:t>
      </w:r>
    </w:p>
    <w:p>
      <w:pPr>
        <w:adjustRightInd w:val="0"/>
        <w:snapToGrid w:val="0"/>
        <w:spacing w:line="360" w:lineRule="auto"/>
        <w:ind w:firstLine="420" w:firstLineChars="200"/>
        <w:rPr>
          <w:color w:val="auto"/>
          <w:highlight w:val="none"/>
        </w:rPr>
      </w:pPr>
      <w:r>
        <w:rPr>
          <w:color w:val="auto"/>
          <w:highlight w:val="none"/>
        </w:rPr>
        <w:t>1.9.1</w:t>
      </w:r>
      <w:r>
        <w:rPr>
          <w:rFonts w:hint="eastAsia"/>
          <w:color w:val="auto"/>
          <w:highlight w:val="none"/>
        </w:rPr>
        <w:t>供应商</w:t>
      </w:r>
      <w:r>
        <w:rPr>
          <w:color w:val="auto"/>
          <w:highlight w:val="none"/>
        </w:rPr>
        <w:t>须知前附表规定组织踏勘现场的，采购人按</w:t>
      </w:r>
      <w:r>
        <w:rPr>
          <w:rFonts w:hint="eastAsia"/>
          <w:color w:val="auto"/>
          <w:highlight w:val="none"/>
        </w:rPr>
        <w:t>供应商</w:t>
      </w:r>
      <w:r>
        <w:rPr>
          <w:color w:val="auto"/>
          <w:highlight w:val="none"/>
        </w:rPr>
        <w:t>须知前附表规定的时间、地点组织</w:t>
      </w:r>
      <w:r>
        <w:rPr>
          <w:rFonts w:hint="eastAsia"/>
          <w:color w:val="auto"/>
          <w:highlight w:val="none"/>
        </w:rPr>
        <w:t>供应商</w:t>
      </w:r>
      <w:r>
        <w:rPr>
          <w:color w:val="auto"/>
          <w:highlight w:val="none"/>
        </w:rPr>
        <w:t>踏勘项目现场。</w:t>
      </w:r>
    </w:p>
    <w:p>
      <w:pPr>
        <w:adjustRightInd w:val="0"/>
        <w:snapToGrid w:val="0"/>
        <w:spacing w:line="360" w:lineRule="auto"/>
        <w:ind w:firstLine="420" w:firstLineChars="200"/>
        <w:rPr>
          <w:color w:val="auto"/>
          <w:highlight w:val="none"/>
        </w:rPr>
      </w:pPr>
      <w:r>
        <w:rPr>
          <w:color w:val="auto"/>
          <w:highlight w:val="none"/>
        </w:rPr>
        <w:t>1.9.2</w:t>
      </w:r>
      <w:r>
        <w:rPr>
          <w:rFonts w:hint="eastAsia"/>
          <w:color w:val="auto"/>
          <w:highlight w:val="none"/>
        </w:rPr>
        <w:t>供应商</w:t>
      </w:r>
      <w:r>
        <w:rPr>
          <w:color w:val="auto"/>
          <w:highlight w:val="none"/>
        </w:rPr>
        <w:t>踏勘现场发生的费用自理。</w:t>
      </w:r>
    </w:p>
    <w:p>
      <w:pPr>
        <w:adjustRightInd w:val="0"/>
        <w:snapToGrid w:val="0"/>
        <w:spacing w:line="360" w:lineRule="auto"/>
        <w:ind w:firstLine="420" w:firstLineChars="200"/>
        <w:rPr>
          <w:color w:val="auto"/>
          <w:highlight w:val="none"/>
        </w:rPr>
      </w:pPr>
      <w:r>
        <w:rPr>
          <w:color w:val="auto"/>
          <w:highlight w:val="none"/>
        </w:rPr>
        <w:t>1.9.3除采购人的原因外，</w:t>
      </w:r>
      <w:r>
        <w:rPr>
          <w:rFonts w:hint="eastAsia"/>
          <w:color w:val="auto"/>
          <w:highlight w:val="none"/>
        </w:rPr>
        <w:t>供应商</w:t>
      </w:r>
      <w:r>
        <w:rPr>
          <w:color w:val="auto"/>
          <w:highlight w:val="none"/>
        </w:rPr>
        <w:t>自行负责在踏勘现场中所发生的人员伤亡和财产损失。</w:t>
      </w:r>
    </w:p>
    <w:p>
      <w:pPr>
        <w:adjustRightInd w:val="0"/>
        <w:snapToGrid w:val="0"/>
        <w:spacing w:line="360" w:lineRule="auto"/>
        <w:ind w:firstLine="420" w:firstLineChars="200"/>
        <w:rPr>
          <w:color w:val="auto"/>
          <w:highlight w:val="none"/>
        </w:rPr>
      </w:pPr>
      <w:r>
        <w:rPr>
          <w:color w:val="auto"/>
          <w:highlight w:val="none"/>
        </w:rPr>
        <w:t>1.9.4采购人在踏勘现场中介绍的场地和相关的周边环境情况，供</w:t>
      </w:r>
      <w:r>
        <w:rPr>
          <w:rFonts w:hint="eastAsia"/>
          <w:color w:val="auto"/>
          <w:highlight w:val="none"/>
        </w:rPr>
        <w:t>供应商</w:t>
      </w:r>
      <w:r>
        <w:rPr>
          <w:color w:val="auto"/>
          <w:highlight w:val="none"/>
        </w:rPr>
        <w:t>在编制投标文件时参考，采购人不对</w:t>
      </w:r>
      <w:r>
        <w:rPr>
          <w:rFonts w:hint="eastAsia"/>
          <w:color w:val="auto"/>
          <w:highlight w:val="none"/>
        </w:rPr>
        <w:t>供应商</w:t>
      </w:r>
      <w:r>
        <w:rPr>
          <w:color w:val="auto"/>
          <w:highlight w:val="none"/>
        </w:rPr>
        <w:t>据此作出的判断和决策负责。</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1.10 分包（如适用）</w:t>
      </w:r>
    </w:p>
    <w:p>
      <w:pPr>
        <w:adjustRightInd w:val="0"/>
        <w:snapToGrid w:val="0"/>
        <w:spacing w:line="360" w:lineRule="auto"/>
        <w:ind w:firstLine="420" w:firstLineChars="200"/>
        <w:rPr>
          <w:color w:val="auto"/>
          <w:highlight w:val="none"/>
        </w:rPr>
      </w:pPr>
      <w:r>
        <w:rPr>
          <w:rFonts w:hint="eastAsia"/>
          <w:color w:val="auto"/>
          <w:highlight w:val="none"/>
        </w:rPr>
        <w:t>供应商</w:t>
      </w:r>
      <w:r>
        <w:rPr>
          <w:color w:val="auto"/>
          <w:highlight w:val="none"/>
        </w:rPr>
        <w:t>须知前附表规定允许分包的，</w:t>
      </w:r>
      <w:r>
        <w:rPr>
          <w:rFonts w:hint="eastAsia"/>
          <w:color w:val="auto"/>
          <w:highlight w:val="none"/>
        </w:rPr>
        <w:t>供应商</w:t>
      </w:r>
      <w:r>
        <w:rPr>
          <w:color w:val="auto"/>
          <w:highlight w:val="none"/>
        </w:rPr>
        <w:t>应当在投标文件载明分包的具体情况，应符合采购人在</w:t>
      </w:r>
      <w:r>
        <w:rPr>
          <w:rFonts w:hint="eastAsia"/>
          <w:color w:val="auto"/>
          <w:highlight w:val="none"/>
        </w:rPr>
        <w:t>供应商</w:t>
      </w:r>
      <w:r>
        <w:rPr>
          <w:color w:val="auto"/>
          <w:highlight w:val="none"/>
        </w:rPr>
        <w:t>须知前附表规定的分包内容、分包金额和接受分包的第三人资质要求等限制条件。</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1.11 偏离</w:t>
      </w:r>
    </w:p>
    <w:p>
      <w:pPr>
        <w:adjustRightInd w:val="0"/>
        <w:snapToGrid w:val="0"/>
        <w:spacing w:line="360" w:lineRule="auto"/>
        <w:ind w:firstLine="420" w:firstLineChars="200"/>
        <w:rPr>
          <w:color w:val="auto"/>
          <w:highlight w:val="none"/>
        </w:rPr>
      </w:pPr>
      <w:r>
        <w:rPr>
          <w:color w:val="auto"/>
          <w:highlight w:val="none"/>
        </w:rPr>
        <w:t>投标文件应完全响应采购文件规定的实质性内容和条件。</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1.12 其他说明</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1.12.1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pPr>
        <w:pStyle w:val="192"/>
        <w:snapToGrid w:val="0"/>
        <w:spacing w:line="360" w:lineRule="auto"/>
        <w:ind w:firstLine="420"/>
        <w:rPr>
          <w:rFonts w:ascii="Times New Roman" w:hAnsi="Times New Roman"/>
          <w:color w:val="auto"/>
          <w:highlight w:val="none"/>
          <w:u w:val="single"/>
        </w:rPr>
      </w:pPr>
      <w:r>
        <w:rPr>
          <w:rFonts w:ascii="Times New Roman" w:hAnsi="Times New Roman"/>
          <w:color w:val="auto"/>
          <w:highlight w:val="none"/>
        </w:rPr>
        <w:t>▲1.12.2</w:t>
      </w:r>
      <w:r>
        <w:rPr>
          <w:rFonts w:hint="eastAsia" w:ascii="Times New Roman" w:hAnsi="Times New Roman"/>
          <w:color w:val="auto"/>
          <w:highlight w:val="none"/>
        </w:rPr>
        <w:t>供应商</w:t>
      </w:r>
      <w:r>
        <w:rPr>
          <w:rFonts w:ascii="Times New Roman" w:hAnsi="Times New Roman"/>
          <w:color w:val="auto"/>
          <w:highlight w:val="none"/>
        </w:rPr>
        <w:t>对所投标项内的采购内容必须全部进行投标。</w:t>
      </w:r>
    </w:p>
    <w:p>
      <w:pPr>
        <w:pStyle w:val="192"/>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1.12.3</w:t>
      </w:r>
      <w:r>
        <w:rPr>
          <w:rFonts w:ascii="Times New Roman" w:hAnsi="Times New Roman"/>
          <w:bCs/>
          <w:color w:val="auto"/>
          <w:highlight w:val="none"/>
        </w:rPr>
        <w:t>采购文件中所涉及的产品品牌或型号均为建议性要求或为代替部分技术指标描述，</w:t>
      </w:r>
      <w:r>
        <w:rPr>
          <w:rFonts w:hint="eastAsia" w:ascii="Times New Roman" w:hAnsi="Times New Roman"/>
          <w:bCs/>
          <w:color w:val="auto"/>
          <w:highlight w:val="none"/>
        </w:rPr>
        <w:t>供应商</w:t>
      </w:r>
      <w:r>
        <w:rPr>
          <w:rFonts w:ascii="Times New Roman" w:hAnsi="Times New Roman"/>
          <w:bCs/>
          <w:color w:val="auto"/>
          <w:highlight w:val="none"/>
        </w:rPr>
        <w:t>可以选择其他品牌型号的产品参加投标但投标产品须具有相当于或优于采购文件要求的指标、性能。否则，评标委员会将对其作出不利的评审。</w:t>
      </w:r>
    </w:p>
    <w:p>
      <w:pPr>
        <w:pStyle w:val="192"/>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1.12.4采购文件中如有描述歧义或前后不一致的地方，评标委员会有权按公平、合理的原则进行评判，但对同一条款的评判适用于每个</w:t>
      </w:r>
      <w:r>
        <w:rPr>
          <w:rFonts w:hint="eastAsia" w:ascii="Times New Roman" w:hAnsi="Times New Roman"/>
          <w:bCs/>
          <w:color w:val="auto"/>
          <w:highlight w:val="none"/>
        </w:rPr>
        <w:t>供应商</w:t>
      </w:r>
      <w:r>
        <w:rPr>
          <w:rFonts w:ascii="Times New Roman" w:hAnsi="Times New Roman"/>
          <w:bCs/>
          <w:color w:val="auto"/>
          <w:highlight w:val="none"/>
        </w:rPr>
        <w:t>。</w:t>
      </w:r>
    </w:p>
    <w:p>
      <w:pPr>
        <w:pStyle w:val="192"/>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1.12.5投标文件的响应内容必须真实、明确、准确。否则，评标委员会将对其作出不利的评审。</w:t>
      </w:r>
    </w:p>
    <w:p>
      <w:pPr>
        <w:adjustRightInd w:val="0"/>
        <w:snapToGrid w:val="0"/>
        <w:spacing w:line="360" w:lineRule="auto"/>
        <w:ind w:firstLine="420" w:firstLineChars="200"/>
        <w:rPr>
          <w:color w:val="auto"/>
          <w:highlight w:val="none"/>
        </w:rPr>
      </w:pPr>
      <w:r>
        <w:rPr>
          <w:color w:val="auto"/>
          <w:highlight w:val="none"/>
        </w:rPr>
        <w:t>1.</w:t>
      </w:r>
      <w:r>
        <w:rPr>
          <w:bCs/>
          <w:color w:val="auto"/>
          <w:highlight w:val="none"/>
        </w:rPr>
        <w:t>12.6</w:t>
      </w:r>
      <w:r>
        <w:rPr>
          <w:rFonts w:hint="eastAsia"/>
          <w:bCs/>
          <w:color w:val="auto"/>
          <w:highlight w:val="none"/>
        </w:rPr>
        <w:t>供应商</w:t>
      </w:r>
      <w:r>
        <w:rPr>
          <w:color w:val="auto"/>
          <w:highlight w:val="none"/>
        </w:rPr>
        <w:t>为履行合同引起的相关人员的差旅费、食宿费以及其它费用由</w:t>
      </w:r>
      <w:r>
        <w:rPr>
          <w:rFonts w:hint="eastAsia"/>
          <w:color w:val="auto"/>
          <w:highlight w:val="none"/>
        </w:rPr>
        <w:t>供应商</w:t>
      </w:r>
      <w:r>
        <w:rPr>
          <w:color w:val="auto"/>
          <w:highlight w:val="none"/>
        </w:rPr>
        <w:t>自理。合同实施过程中，须与</w:t>
      </w:r>
      <w:r>
        <w:rPr>
          <w:rFonts w:hint="eastAsia"/>
          <w:color w:val="auto"/>
          <w:highlight w:val="none"/>
        </w:rPr>
        <w:t>采购人</w:t>
      </w:r>
      <w:r>
        <w:rPr>
          <w:color w:val="auto"/>
          <w:highlight w:val="none"/>
        </w:rPr>
        <w:t>积极配合。</w:t>
      </w:r>
    </w:p>
    <w:p>
      <w:pPr>
        <w:adjustRightInd w:val="0"/>
        <w:snapToGrid w:val="0"/>
        <w:spacing w:line="360" w:lineRule="auto"/>
        <w:ind w:firstLine="420" w:firstLineChars="200"/>
        <w:rPr>
          <w:color w:val="auto"/>
          <w:highlight w:val="none"/>
        </w:rPr>
      </w:pPr>
      <w:r>
        <w:rPr>
          <w:color w:val="auto"/>
          <w:highlight w:val="none"/>
        </w:rPr>
        <w:t>1.12.7项目资金性质见</w:t>
      </w:r>
      <w:r>
        <w:rPr>
          <w:rFonts w:hint="eastAsia"/>
          <w:color w:val="auto"/>
          <w:highlight w:val="none"/>
        </w:rPr>
        <w:t>供应商</w:t>
      </w:r>
      <w:r>
        <w:rPr>
          <w:color w:val="auto"/>
          <w:highlight w:val="none"/>
        </w:rPr>
        <w:t>须知前附表规定，且资金已落实。</w:t>
      </w:r>
    </w:p>
    <w:p>
      <w:pPr>
        <w:adjustRightInd w:val="0"/>
        <w:snapToGrid w:val="0"/>
        <w:spacing w:line="360" w:lineRule="auto"/>
        <w:ind w:firstLine="420" w:firstLineChars="200"/>
        <w:rPr>
          <w:color w:val="auto"/>
          <w:szCs w:val="21"/>
          <w:highlight w:val="none"/>
        </w:rPr>
      </w:pPr>
      <w:r>
        <w:rPr>
          <w:color w:val="auto"/>
          <w:highlight w:val="none"/>
        </w:rPr>
        <w:t>1.12.8</w:t>
      </w:r>
      <w:r>
        <w:rPr>
          <w:rFonts w:hint="eastAsia"/>
          <w:color w:val="auto"/>
          <w:highlight w:val="none"/>
        </w:rPr>
        <w:t>供应商</w:t>
      </w:r>
      <w:r>
        <w:rPr>
          <w:color w:val="auto"/>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auto"/>
          <w:szCs w:val="21"/>
          <w:highlight w:val="none"/>
        </w:rPr>
        <w:t>等归采购人所有。</w:t>
      </w:r>
    </w:p>
    <w:p>
      <w:pPr>
        <w:adjustRightInd w:val="0"/>
        <w:snapToGrid w:val="0"/>
        <w:spacing w:line="360" w:lineRule="auto"/>
        <w:ind w:firstLine="420" w:firstLineChars="200"/>
        <w:rPr>
          <w:color w:val="auto"/>
          <w:kern w:val="0"/>
          <w:szCs w:val="21"/>
          <w:highlight w:val="none"/>
        </w:rPr>
      </w:pPr>
      <w:r>
        <w:rPr>
          <w:color w:val="auto"/>
          <w:szCs w:val="21"/>
          <w:highlight w:val="none"/>
        </w:rPr>
        <w:t>1.12.9</w:t>
      </w:r>
      <w:r>
        <w:rPr>
          <w:color w:val="auto"/>
          <w:kern w:val="0"/>
          <w:szCs w:val="21"/>
          <w:highlight w:val="none"/>
        </w:rPr>
        <w:t>单位负责人为同一人或者存在直接控股、管理关系的不同供应商，不得参加同一合同项下的政府采购活动。违反该款规定的，相关投标均无效。</w:t>
      </w:r>
    </w:p>
    <w:p>
      <w:pPr>
        <w:adjustRightInd w:val="0"/>
        <w:snapToGrid w:val="0"/>
        <w:spacing w:line="360" w:lineRule="auto"/>
        <w:ind w:firstLine="420" w:firstLineChars="200"/>
        <w:rPr>
          <w:color w:val="auto"/>
          <w:kern w:val="0"/>
          <w:szCs w:val="21"/>
          <w:highlight w:val="none"/>
        </w:rPr>
      </w:pPr>
      <w:r>
        <w:rPr>
          <w:color w:val="auto"/>
          <w:kern w:val="0"/>
          <w:szCs w:val="21"/>
          <w:highlight w:val="none"/>
        </w:rPr>
        <w:t>1.12.10为证明</w:t>
      </w:r>
      <w:r>
        <w:rPr>
          <w:rFonts w:hint="eastAsia"/>
          <w:color w:val="auto"/>
          <w:kern w:val="0"/>
          <w:szCs w:val="21"/>
          <w:highlight w:val="none"/>
        </w:rPr>
        <w:t>供应商</w:t>
      </w:r>
      <w:r>
        <w:rPr>
          <w:color w:val="auto"/>
          <w:kern w:val="0"/>
          <w:szCs w:val="21"/>
          <w:highlight w:val="none"/>
        </w:rPr>
        <w:t>拥有的人员、业绩、荣誉、知识产权、项目案例等而在投标文件中提供的证明材料必须为</w:t>
      </w:r>
      <w:r>
        <w:rPr>
          <w:rFonts w:hint="eastAsia"/>
          <w:color w:val="auto"/>
          <w:kern w:val="0"/>
          <w:szCs w:val="21"/>
          <w:highlight w:val="none"/>
        </w:rPr>
        <w:t>供应商</w:t>
      </w:r>
      <w:r>
        <w:rPr>
          <w:color w:val="auto"/>
          <w:kern w:val="0"/>
          <w:szCs w:val="21"/>
          <w:highlight w:val="none"/>
        </w:rPr>
        <w:t>自身所有。不同法人、其他组织的资料与</w:t>
      </w:r>
      <w:r>
        <w:rPr>
          <w:rFonts w:hint="eastAsia"/>
          <w:color w:val="auto"/>
          <w:kern w:val="0"/>
          <w:szCs w:val="21"/>
          <w:highlight w:val="none"/>
        </w:rPr>
        <w:t>供应商</w:t>
      </w:r>
      <w:r>
        <w:rPr>
          <w:color w:val="auto"/>
          <w:kern w:val="0"/>
          <w:szCs w:val="21"/>
          <w:highlight w:val="none"/>
        </w:rPr>
        <w:t>无关。</w:t>
      </w:r>
    </w:p>
    <w:p>
      <w:pPr>
        <w:adjustRightInd w:val="0"/>
        <w:snapToGrid w:val="0"/>
        <w:spacing w:line="360" w:lineRule="auto"/>
        <w:ind w:firstLine="420" w:firstLineChars="200"/>
        <w:rPr>
          <w:color w:val="auto"/>
          <w:kern w:val="0"/>
          <w:szCs w:val="21"/>
          <w:highlight w:val="none"/>
        </w:rPr>
      </w:pPr>
      <w:r>
        <w:rPr>
          <w:color w:val="auto"/>
          <w:kern w:val="0"/>
          <w:szCs w:val="21"/>
          <w:highlight w:val="none"/>
        </w:rPr>
        <w:t>1.12.11采用最低评标价法的采购项目，</w:t>
      </w:r>
      <w:r>
        <w:rPr>
          <w:bCs/>
          <w:color w:val="auto"/>
          <w:szCs w:val="21"/>
          <w:highlight w:val="none"/>
        </w:rPr>
        <w:t>核心产品</w:t>
      </w:r>
      <w:r>
        <w:rPr>
          <w:color w:val="auto"/>
          <w:kern w:val="0"/>
          <w:szCs w:val="21"/>
          <w:highlight w:val="none"/>
        </w:rPr>
        <w:t>提供相同品牌产品的不同</w:t>
      </w:r>
      <w:r>
        <w:rPr>
          <w:rFonts w:hint="eastAsia"/>
          <w:color w:val="auto"/>
          <w:kern w:val="0"/>
          <w:szCs w:val="21"/>
          <w:highlight w:val="none"/>
        </w:rPr>
        <w:t>供应商</w:t>
      </w:r>
      <w:r>
        <w:rPr>
          <w:color w:val="auto"/>
          <w:kern w:val="0"/>
          <w:szCs w:val="21"/>
          <w:highlight w:val="none"/>
        </w:rPr>
        <w:t>参加同一合同项下投标的，以其中通过资格审查、符合性审查且报价最低的参加评标；报价相同的，由评标委员会采取随机抽取方式确定，其他投标无效。</w:t>
      </w:r>
    </w:p>
    <w:p>
      <w:pPr>
        <w:adjustRightInd w:val="0"/>
        <w:snapToGrid w:val="0"/>
        <w:spacing w:line="360" w:lineRule="auto"/>
        <w:ind w:firstLine="420" w:firstLineChars="200"/>
        <w:rPr>
          <w:color w:val="auto"/>
          <w:kern w:val="0"/>
          <w:szCs w:val="21"/>
          <w:highlight w:val="none"/>
        </w:rPr>
      </w:pPr>
      <w:r>
        <w:rPr>
          <w:color w:val="auto"/>
          <w:kern w:val="0"/>
          <w:szCs w:val="21"/>
          <w:highlight w:val="none"/>
        </w:rPr>
        <w:t>使用综合评分法的采购项目，</w:t>
      </w:r>
      <w:r>
        <w:rPr>
          <w:bCs/>
          <w:color w:val="auto"/>
          <w:szCs w:val="21"/>
          <w:highlight w:val="none"/>
        </w:rPr>
        <w:t>核心产品</w:t>
      </w:r>
      <w:r>
        <w:rPr>
          <w:color w:val="auto"/>
          <w:kern w:val="0"/>
          <w:szCs w:val="21"/>
          <w:highlight w:val="none"/>
        </w:rPr>
        <w:t>提供相同品牌产品且通过资格审查、符合性审查的不同</w:t>
      </w:r>
      <w:r>
        <w:rPr>
          <w:rFonts w:hint="eastAsia"/>
          <w:color w:val="auto"/>
          <w:kern w:val="0"/>
          <w:szCs w:val="21"/>
          <w:highlight w:val="none"/>
        </w:rPr>
        <w:t>供应商</w:t>
      </w:r>
      <w:r>
        <w:rPr>
          <w:color w:val="auto"/>
          <w:kern w:val="0"/>
          <w:szCs w:val="21"/>
          <w:highlight w:val="none"/>
        </w:rPr>
        <w:t>参加同一合同项下投标的，按一家</w:t>
      </w:r>
      <w:r>
        <w:rPr>
          <w:rFonts w:hint="eastAsia"/>
          <w:color w:val="auto"/>
          <w:kern w:val="0"/>
          <w:szCs w:val="21"/>
          <w:highlight w:val="none"/>
        </w:rPr>
        <w:t>供应商</w:t>
      </w:r>
      <w:r>
        <w:rPr>
          <w:color w:val="auto"/>
          <w:kern w:val="0"/>
          <w:szCs w:val="21"/>
          <w:highlight w:val="none"/>
        </w:rPr>
        <w:t>计算，评审后得分最高的同品牌</w:t>
      </w:r>
      <w:r>
        <w:rPr>
          <w:rFonts w:hint="eastAsia"/>
          <w:color w:val="auto"/>
          <w:kern w:val="0"/>
          <w:szCs w:val="21"/>
          <w:highlight w:val="none"/>
        </w:rPr>
        <w:t>供应商</w:t>
      </w:r>
      <w:r>
        <w:rPr>
          <w:color w:val="auto"/>
          <w:kern w:val="0"/>
          <w:szCs w:val="21"/>
          <w:highlight w:val="none"/>
        </w:rPr>
        <w:t>获得中标人推荐资格；评审得分相同的，由评标委员会按照商务技术部分得分最高的</w:t>
      </w:r>
      <w:r>
        <w:rPr>
          <w:rFonts w:hint="eastAsia"/>
          <w:color w:val="auto"/>
          <w:kern w:val="0"/>
          <w:szCs w:val="21"/>
          <w:highlight w:val="none"/>
        </w:rPr>
        <w:t>供应商</w:t>
      </w:r>
      <w:r>
        <w:rPr>
          <w:color w:val="auto"/>
          <w:kern w:val="0"/>
          <w:szCs w:val="21"/>
          <w:highlight w:val="none"/>
        </w:rPr>
        <w:t>获得中标人推荐资格，其他同品牌</w:t>
      </w:r>
      <w:r>
        <w:rPr>
          <w:rFonts w:hint="eastAsia"/>
          <w:color w:val="auto"/>
          <w:kern w:val="0"/>
          <w:szCs w:val="21"/>
          <w:highlight w:val="none"/>
        </w:rPr>
        <w:t>供应商</w:t>
      </w:r>
      <w:r>
        <w:rPr>
          <w:color w:val="auto"/>
          <w:kern w:val="0"/>
          <w:szCs w:val="21"/>
          <w:highlight w:val="none"/>
        </w:rPr>
        <w:t>不作为中标候选人。</w:t>
      </w:r>
    </w:p>
    <w:p>
      <w:pPr>
        <w:pStyle w:val="3"/>
        <w:spacing w:line="360" w:lineRule="auto"/>
        <w:ind w:firstLine="422"/>
        <w:rPr>
          <w:rFonts w:ascii="Times New Roman" w:hAnsi="Times New Roman"/>
          <w:color w:val="auto"/>
          <w:highlight w:val="none"/>
        </w:rPr>
      </w:pPr>
      <w:r>
        <w:rPr>
          <w:rFonts w:ascii="Times New Roman" w:hAnsi="Times New Roman"/>
          <w:color w:val="auto"/>
          <w:highlight w:val="none"/>
        </w:rPr>
        <w:t>二、采购文件</w:t>
      </w:r>
      <w:bookmarkEnd w:id="16"/>
      <w:bookmarkEnd w:id="17"/>
    </w:p>
    <w:p>
      <w:pPr>
        <w:pStyle w:val="4"/>
        <w:spacing w:line="360" w:lineRule="auto"/>
        <w:ind w:firstLine="422"/>
        <w:rPr>
          <w:rFonts w:ascii="Times New Roman" w:hAnsi="Times New Roman"/>
          <w:color w:val="auto"/>
          <w:highlight w:val="none"/>
        </w:rPr>
      </w:pPr>
      <w:bookmarkStart w:id="18" w:name="_Toc82873324"/>
      <w:bookmarkStart w:id="19" w:name="_Toc82338241"/>
      <w:r>
        <w:rPr>
          <w:rFonts w:ascii="Times New Roman" w:hAnsi="Times New Roman"/>
          <w:color w:val="auto"/>
          <w:highlight w:val="none"/>
        </w:rPr>
        <w:t>2.1 采购文件组成</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2.1.1第一章  招标公告</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2.1.2</w:t>
      </w:r>
      <w:r>
        <w:rPr>
          <w:rFonts w:hint="eastAsia" w:ascii="Times New Roman" w:hAnsi="Times New Roman"/>
          <w:color w:val="auto"/>
          <w:highlight w:val="none"/>
        </w:rPr>
        <w:t>供应商</w:t>
      </w:r>
      <w:r>
        <w:rPr>
          <w:rFonts w:ascii="Times New Roman" w:hAnsi="Times New Roman"/>
          <w:color w:val="auto"/>
          <w:highlight w:val="none"/>
        </w:rPr>
        <w:t>须知前附表</w:t>
      </w:r>
      <w:r>
        <w:rPr>
          <w:rFonts w:ascii="Times New Roman" w:hAnsi="Times New Roman"/>
          <w:color w:val="auto"/>
          <w:highlight w:val="none"/>
        </w:rPr>
        <w:tab/>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2.1.3第二章  采购内容及需求</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2.1.4第三章  </w:t>
      </w:r>
      <w:r>
        <w:rPr>
          <w:rFonts w:hint="eastAsia" w:ascii="Times New Roman" w:hAnsi="Times New Roman"/>
          <w:color w:val="auto"/>
          <w:highlight w:val="none"/>
        </w:rPr>
        <w:t>供应商</w:t>
      </w:r>
      <w:r>
        <w:rPr>
          <w:rFonts w:ascii="Times New Roman" w:hAnsi="Times New Roman"/>
          <w:color w:val="auto"/>
          <w:highlight w:val="none"/>
        </w:rPr>
        <w:t>须知</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2.1.5第四章  评标办法</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2.1.6第五章  采购合同</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2.1.7第六章  投标文件格式</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2.1.8补充文件</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2.2 采购文件的解释权</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采购文件的解释权归采购人所有。</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2.3 采购文件的质疑</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2.3.1</w:t>
      </w:r>
      <w:r>
        <w:rPr>
          <w:rFonts w:hint="eastAsia" w:ascii="Times New Roman" w:hAnsi="Times New Roman"/>
          <w:color w:val="auto"/>
          <w:highlight w:val="none"/>
        </w:rPr>
        <w:t>供应商</w:t>
      </w:r>
      <w:r>
        <w:rPr>
          <w:rFonts w:ascii="Times New Roman" w:hAnsi="Times New Roman"/>
          <w:color w:val="auto"/>
          <w:highlight w:val="none"/>
        </w:rPr>
        <w:t>认为采购文件规定内容使自己的合法权益受到损害的，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2.3.2质疑书须包括以下内容：</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2.3.3质疑期限为</w:t>
      </w:r>
      <w:r>
        <w:rPr>
          <w:rFonts w:hint="eastAsia" w:ascii="Times New Roman" w:hAnsi="Times New Roman"/>
          <w:color w:val="auto"/>
          <w:highlight w:val="none"/>
        </w:rPr>
        <w:t>供应商</w:t>
      </w:r>
      <w:r>
        <w:rPr>
          <w:rFonts w:ascii="Times New Roman" w:hAnsi="Times New Roman"/>
          <w:color w:val="auto"/>
          <w:highlight w:val="none"/>
        </w:rPr>
        <w:t>收到采购文件之日或者招标公告期限届满之日起7个工作日内向采购代理机构提出。</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2.3.4质疑书中涉及的相关材料中有外文资料的，应当将与质疑相关的外文资料完整、客观、真实地翻译为中文，并注明翻译人员姓名、工作单位、联系方式等信息。</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2.3.5质疑书必须署名，供应商为自然人的，应当由本人签字；供应商为法人或者其他组织的，应当由法定代表人、主要负责人，或者其授权代表签字或者盖章，并加盖公章，否则不予受理。</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2.3.6质疑书以直接提交、传真或邮寄方式提交（一式三份）。</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2.3.7质疑书以传真形式提交后，同时须向采购代理机构提交质疑书原件，实际收到原件之日作为收到质疑日。</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2.4 采购文件的澄清</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见供应商须知前附表“采购文件的澄清和修改”。</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2.5 采购文件的修改</w:t>
      </w:r>
    </w:p>
    <w:p>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pPr>
        <w:pStyle w:val="3"/>
        <w:spacing w:line="360" w:lineRule="auto"/>
        <w:ind w:firstLine="422"/>
        <w:rPr>
          <w:rFonts w:ascii="Times New Roman" w:hAnsi="Times New Roman"/>
          <w:color w:val="auto"/>
          <w:highlight w:val="none"/>
        </w:rPr>
      </w:pPr>
      <w:r>
        <w:rPr>
          <w:rFonts w:ascii="Times New Roman" w:hAnsi="Times New Roman"/>
          <w:color w:val="auto"/>
          <w:highlight w:val="none"/>
        </w:rPr>
        <w:t>三、投标文件</w:t>
      </w:r>
      <w:bookmarkEnd w:id="18"/>
      <w:bookmarkEnd w:id="19"/>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3.1 投标文件</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3.1.1 </w:t>
      </w:r>
      <w:r>
        <w:rPr>
          <w:rFonts w:hint="eastAsia" w:ascii="Times New Roman" w:hAnsi="Times New Roman"/>
          <w:color w:val="auto"/>
          <w:highlight w:val="none"/>
        </w:rPr>
        <w:t>供应商</w:t>
      </w:r>
      <w:r>
        <w:rPr>
          <w:rFonts w:ascii="Times New Roman" w:hAnsi="Times New Roman"/>
          <w:color w:val="auto"/>
          <w:highlight w:val="none"/>
        </w:rPr>
        <w:t>应仔细阅读采购文件规定的所有内容，以保证能全面准确理解采购文件，并按照采购文件要求，详细编制投标文件，投标文件内容必须针对本次招标响应。</w:t>
      </w:r>
    </w:p>
    <w:p>
      <w:pPr>
        <w:pStyle w:val="192"/>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3.1.2</w:t>
      </w:r>
      <w:r>
        <w:rPr>
          <w:rFonts w:hint="eastAsia" w:ascii="Times New Roman" w:hAnsi="Times New Roman"/>
          <w:color w:val="auto"/>
          <w:highlight w:val="none"/>
        </w:rPr>
        <w:t>供应商</w:t>
      </w:r>
      <w:r>
        <w:rPr>
          <w:rFonts w:ascii="Times New Roman" w:hAnsi="Times New Roman"/>
          <w:color w:val="auto"/>
          <w:highlight w:val="none"/>
        </w:rPr>
        <w:t>必须按采购文件的要求提供相关资料，并对采购文件中提出的所有内容要求给予实质性响应，须保证投标文件的准确、真实、明确</w:t>
      </w:r>
      <w:r>
        <w:rPr>
          <w:rFonts w:ascii="Times New Roman" w:hAnsi="Times New Roman"/>
          <w:bCs/>
          <w:color w:val="auto"/>
          <w:highlight w:val="none"/>
        </w:rPr>
        <w:t>。投标文件响应内容对采购文件要求如有偏离均应填写偏离表。</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3.2 投标文件组成</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3.2.1报价文件</w:t>
      </w:r>
    </w:p>
    <w:p>
      <w:pPr>
        <w:pStyle w:val="192"/>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（1）开标一览表；</w:t>
      </w:r>
    </w:p>
    <w:p>
      <w:pPr>
        <w:pStyle w:val="192"/>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（2）投标价格组成明细表；</w:t>
      </w:r>
    </w:p>
    <w:p>
      <w:pPr>
        <w:pStyle w:val="192"/>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（3）</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pPr>
        <w:pStyle w:val="192"/>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3.2.2</w:t>
      </w:r>
      <w:r>
        <w:rPr>
          <w:rFonts w:hint="eastAsia" w:ascii="Times New Roman" w:hAnsi="Times New Roman"/>
          <w:color w:val="auto"/>
          <w:highlight w:val="none"/>
        </w:rPr>
        <w:t>资格文件</w:t>
      </w:r>
    </w:p>
    <w:p>
      <w:pPr>
        <w:pStyle w:val="192"/>
        <w:snapToGrid w:val="0"/>
        <w:spacing w:line="360" w:lineRule="auto"/>
        <w:ind w:firstLine="420"/>
        <w:rPr>
          <w:rFonts w:hint="eastAsia" w:ascii="Times New Roman" w:hAnsi="Times New Roman"/>
          <w:color w:val="auto"/>
          <w:szCs w:val="21"/>
          <w:highlight w:val="none"/>
        </w:rPr>
      </w:pPr>
      <w:r>
        <w:rPr>
          <w:rFonts w:hint="eastAsia"/>
          <w:color w:val="auto"/>
          <w:highlight w:val="none"/>
        </w:rPr>
        <w:t>以联合体形式参加本项目投标的，联合体各方均应当提供如下资格证明材料。</w:t>
      </w:r>
    </w:p>
    <w:p>
      <w:pPr>
        <w:pStyle w:val="192"/>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（1）符合《中华人民共和国政府采购法》第二十二条规定的相关证明材料；</w:t>
      </w:r>
    </w:p>
    <w:p>
      <w:pPr>
        <w:pStyle w:val="192"/>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各投标人须在投标文件中出具对应证明材料。（商业信誉可提前自查，投标文件中可不提供）</w:t>
      </w:r>
    </w:p>
    <w:p>
      <w:pPr>
        <w:pStyle w:val="192"/>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a.具有独立承担民事责任能力的证明材料；</w:t>
      </w:r>
    </w:p>
    <w:p>
      <w:pPr>
        <w:pStyle w:val="192"/>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投标人须在投标文件中出具符合以下情况的证明材料复印件（五选一）：</w:t>
      </w:r>
    </w:p>
    <w:p>
      <w:pPr>
        <w:pStyle w:val="192"/>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①　如投标人是企业（包括合伙企业），提供在工商部门注册的有效“企业法人营业执照”或“营业执照”；</w:t>
      </w:r>
    </w:p>
    <w:p>
      <w:pPr>
        <w:pStyle w:val="192"/>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②　如投标人是事业单位，提供有效的“事业单位法人证书”；</w:t>
      </w:r>
    </w:p>
    <w:p>
      <w:pPr>
        <w:pStyle w:val="192"/>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③　如投标人是非企业专业服务机构的，提供执业许可证等证明文件；</w:t>
      </w:r>
    </w:p>
    <w:p>
      <w:pPr>
        <w:pStyle w:val="192"/>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④　如投标人是个体工商户，提供有效的“个体工商户营业执照”；</w:t>
      </w:r>
    </w:p>
    <w:p>
      <w:pPr>
        <w:pStyle w:val="192"/>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⑤　如投标人是自然人，提供有效的自然人身份证明（居民身份证正反面或公安机关出具的临时居民身份证正反面或港澳台胞证或护照）。</w:t>
      </w:r>
    </w:p>
    <w:p>
      <w:pPr>
        <w:pStyle w:val="192"/>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192"/>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b.符合参与政府采购活动资格条件的承诺函；</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c.商业信誉：</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pPr>
        <w:pStyle w:val="192"/>
        <w:snapToGrid w:val="0"/>
        <w:spacing w:line="360" w:lineRule="auto"/>
        <w:ind w:firstLine="420"/>
        <w:rPr>
          <w:rFonts w:hint="eastAsia" w:ascii="Times New Roman" w:hAnsi="Times New Roman"/>
          <w:color w:val="auto"/>
          <w:highlight w:val="none"/>
        </w:rPr>
      </w:pPr>
      <w:r>
        <w:rPr>
          <w:rFonts w:hint="eastAsia"/>
          <w:color w:val="auto"/>
          <w:highlight w:val="none"/>
        </w:rPr>
        <w:t>（2）落实政府采购政策需满足的资格要求：供应商为中小企业或小微企业，本项目专门面向中小企业采购（监狱企业及残疾人福利性单位视同小型、微型企业）</w:t>
      </w:r>
    </w:p>
    <w:p>
      <w:pPr>
        <w:spacing w:line="360" w:lineRule="auto"/>
        <w:ind w:firstLine="420" w:firstLineChars="200"/>
        <w:rPr>
          <w:rFonts w:hint="eastAsia"/>
          <w:color w:val="auto"/>
          <w:highlight w:val="none"/>
        </w:rPr>
      </w:pPr>
      <w:r>
        <w:rPr>
          <w:rFonts w:hint="eastAsia"/>
          <w:color w:val="auto"/>
          <w:highlight w:val="none"/>
        </w:rPr>
        <w:t>必须提供下述1）、2）、3）三个文件中的至少一个：</w:t>
      </w:r>
    </w:p>
    <w:p>
      <w:pPr>
        <w:spacing w:line="360" w:lineRule="auto"/>
        <w:ind w:firstLine="420" w:firstLineChars="200"/>
        <w:rPr>
          <w:rFonts w:hint="eastAsia"/>
          <w:color w:val="auto"/>
          <w:highlight w:val="none"/>
        </w:rPr>
      </w:pPr>
      <w:r>
        <w:rPr>
          <w:rFonts w:hint="eastAsia"/>
          <w:color w:val="auto"/>
          <w:highlight w:val="none"/>
        </w:rPr>
        <w:t>1</w:t>
      </w:r>
      <w:r>
        <w:rPr>
          <w:color w:val="auto"/>
          <w:highlight w:val="none"/>
        </w:rPr>
        <w:t>）中小企业声明函</w:t>
      </w:r>
      <w:r>
        <w:rPr>
          <w:rFonts w:hint="eastAsia"/>
          <w:color w:val="auto"/>
          <w:highlight w:val="none"/>
        </w:rPr>
        <w:t>；</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2</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为监狱企业的证明文件：省级以上监狱管理局、戒毒管理局（含新疆生产建设兵团）出具</w:t>
      </w:r>
      <w:r>
        <w:rPr>
          <w:rFonts w:hint="eastAsia" w:ascii="Times New Roman" w:hAnsi="Times New Roman"/>
          <w:color w:val="auto"/>
          <w:highlight w:val="none"/>
        </w:rPr>
        <w:t>；</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w:t>
      </w:r>
      <w:r>
        <w:rPr>
          <w:rFonts w:ascii="Times New Roman" w:hAnsi="Times New Roman"/>
          <w:color w:val="auto"/>
          <w:highlight w:val="none"/>
        </w:rPr>
        <w:t>）残疾人福利性单位声明函</w:t>
      </w:r>
      <w:r>
        <w:rPr>
          <w:rFonts w:ascii="Times New Roman" w:hAnsi="Times New Roman"/>
          <w:color w:val="auto"/>
          <w:highlight w:val="none"/>
        </w:rPr>
        <w:tab/>
      </w:r>
      <w:r>
        <w:rPr>
          <w:rFonts w:hint="eastAsia" w:ascii="Times New Roman" w:hAnsi="Times New Roman"/>
          <w:color w:val="auto"/>
          <w:highlight w:val="none"/>
        </w:rPr>
        <w:t>；</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（3）特定资格条件：无。</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（4）联合协议（如为联合体投标）。</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3.2.</w:t>
      </w:r>
      <w:r>
        <w:rPr>
          <w:rFonts w:hint="eastAsia" w:ascii="Times New Roman" w:hAnsi="Times New Roman"/>
          <w:color w:val="auto"/>
          <w:highlight w:val="none"/>
        </w:rPr>
        <w:t>3</w:t>
      </w:r>
      <w:r>
        <w:rPr>
          <w:rFonts w:ascii="Times New Roman" w:hAnsi="Times New Roman"/>
          <w:color w:val="auto"/>
          <w:highlight w:val="none"/>
        </w:rPr>
        <w:t>商务技术文件</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w:t>
      </w:r>
      <w:r>
        <w:rPr>
          <w:rFonts w:ascii="Times New Roman" w:hAnsi="Times New Roman"/>
          <w:color w:val="auto"/>
          <w:highlight w:val="none"/>
        </w:rPr>
        <w:t>）投标函；</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w:t>
      </w:r>
      <w:r>
        <w:rPr>
          <w:rFonts w:ascii="Times New Roman" w:hAnsi="Times New Roman"/>
          <w:color w:val="auto"/>
          <w:highlight w:val="none"/>
        </w:rPr>
        <w:t>）法定代表人资格证明书；</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）法定代表人授权委托书（法定代表人签署不需提供此书）；</w:t>
      </w:r>
    </w:p>
    <w:p>
      <w:pPr>
        <w:pStyle w:val="192"/>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法定代表人及授权代表身份证正反面复印件；</w:t>
      </w:r>
    </w:p>
    <w:p>
      <w:pPr>
        <w:pStyle w:val="192"/>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（4）分包意向协议（如有分包）；</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w:t>
      </w:r>
      <w:r>
        <w:rPr>
          <w:rFonts w:ascii="Times New Roman" w:hAnsi="Times New Roman"/>
          <w:color w:val="auto"/>
          <w:highlight w:val="none"/>
        </w:rPr>
        <w:t>中标服务费支付承诺书</w:t>
      </w:r>
      <w:r>
        <w:rPr>
          <w:rFonts w:hint="eastAsia" w:ascii="Times New Roman" w:hAnsi="Times New Roman"/>
          <w:color w:val="auto"/>
          <w:highlight w:val="none"/>
        </w:rPr>
        <w:t>；</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6</w:t>
      </w:r>
      <w:r>
        <w:rPr>
          <w:rFonts w:ascii="Times New Roman" w:hAnsi="Times New Roman"/>
          <w:color w:val="auto"/>
          <w:highlight w:val="none"/>
        </w:rPr>
        <w:t>）技术规格偏离表；</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7</w:t>
      </w:r>
      <w:r>
        <w:rPr>
          <w:rFonts w:ascii="Times New Roman" w:hAnsi="Times New Roman"/>
          <w:color w:val="auto"/>
          <w:highlight w:val="none"/>
        </w:rPr>
        <w:t>）商务条款偏离表；</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（8）</w:t>
      </w:r>
      <w:r>
        <w:rPr>
          <w:rFonts w:hint="eastAsia"/>
          <w:color w:val="auto"/>
          <w:highlight w:val="none"/>
        </w:rPr>
        <w:t>证书：供应商具有有效的职业健康安全管理体系认证、环境管理体系认证证书、质量管理体系认证证书的，提供证书复印件；</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（9）</w:t>
      </w:r>
      <w:r>
        <w:rPr>
          <w:rFonts w:hint="eastAsia"/>
          <w:color w:val="auto"/>
          <w:highlight w:val="none"/>
        </w:rPr>
        <w:t>业绩：供应商自2020年1月1日以来（以合同签订日期为准）具有年度保安服务业绩的，提供不同用户的合同复印件，合同中需体现服务期不少于12个月的内容；</w:t>
      </w:r>
    </w:p>
    <w:p>
      <w:pPr>
        <w:pStyle w:val="192"/>
        <w:snapToGrid w:val="0"/>
        <w:spacing w:line="360" w:lineRule="auto"/>
        <w:ind w:firstLine="420"/>
        <w:rPr>
          <w:rFonts w:hint="eastAsia"/>
          <w:color w:val="auto"/>
          <w:highlight w:val="none"/>
        </w:rPr>
      </w:pPr>
      <w:r>
        <w:rPr>
          <w:rFonts w:hint="eastAsia" w:ascii="Times New Roman" w:hAnsi="Times New Roman"/>
          <w:color w:val="auto"/>
          <w:highlight w:val="none"/>
        </w:rPr>
        <w:t>（10）设备装备投入方案</w:t>
      </w:r>
    </w:p>
    <w:p>
      <w:pPr>
        <w:pStyle w:val="192"/>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11</w:t>
      </w:r>
      <w:r>
        <w:rPr>
          <w:rFonts w:ascii="Times New Roman" w:hAnsi="Times New Roman"/>
          <w:color w:val="auto"/>
          <w:highlight w:val="none"/>
        </w:rPr>
        <w:t>）</w:t>
      </w:r>
      <w:r>
        <w:rPr>
          <w:rFonts w:hint="eastAsia"/>
          <w:color w:val="auto"/>
          <w:highlight w:val="none"/>
        </w:rPr>
        <w:t>重点、难点分析：供应商对项目现状、存在的问题和保安服务的难点、要点等问题进行调查剖析，提出克服难点和要点的措施和方案；</w:t>
      </w:r>
    </w:p>
    <w:p>
      <w:pPr>
        <w:pStyle w:val="192"/>
        <w:snapToGrid w:val="0"/>
        <w:spacing w:line="360" w:lineRule="auto"/>
        <w:ind w:firstLine="420"/>
        <w:rPr>
          <w:rFonts w:hint="eastAsia"/>
          <w:color w:val="auto"/>
          <w:highlight w:val="none"/>
        </w:rPr>
      </w:pPr>
      <w:r>
        <w:rPr>
          <w:rFonts w:hint="eastAsia"/>
          <w:color w:val="auto"/>
          <w:highlight w:val="none"/>
        </w:rPr>
        <w:t>（12）</w:t>
      </w:r>
      <w:r>
        <w:rPr>
          <w:rFonts w:hint="eastAsia"/>
          <w:color w:val="auto"/>
          <w:highlight w:val="none"/>
          <w:lang w:val="zh-TW"/>
        </w:rPr>
        <w:t>服务方案：</w:t>
      </w:r>
      <w:r>
        <w:rPr>
          <w:rFonts w:hint="eastAsia"/>
          <w:color w:val="auto"/>
          <w:highlight w:val="none"/>
        </w:rPr>
        <w:t>供应商针对本项目的服务范围涉及区域制定的总体服务方案；</w:t>
      </w:r>
    </w:p>
    <w:p>
      <w:pPr>
        <w:pStyle w:val="192"/>
        <w:snapToGrid w:val="0"/>
        <w:spacing w:line="360" w:lineRule="auto"/>
        <w:ind w:firstLine="420"/>
        <w:rPr>
          <w:rFonts w:hint="eastAsia"/>
          <w:color w:val="auto"/>
          <w:highlight w:val="none"/>
        </w:rPr>
      </w:pPr>
      <w:r>
        <w:rPr>
          <w:rFonts w:hint="eastAsia"/>
          <w:color w:val="auto"/>
          <w:highlight w:val="none"/>
        </w:rPr>
        <w:t>（13）服务过程中各种情况的服务方案；</w:t>
      </w:r>
    </w:p>
    <w:p>
      <w:pPr>
        <w:pStyle w:val="192"/>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14</w:t>
      </w:r>
      <w:r>
        <w:rPr>
          <w:rFonts w:ascii="Times New Roman" w:hAnsi="Times New Roman"/>
          <w:color w:val="auto"/>
          <w:highlight w:val="none"/>
        </w:rPr>
        <w:t>）</w:t>
      </w:r>
      <w:r>
        <w:rPr>
          <w:rFonts w:hint="eastAsia"/>
          <w:color w:val="auto"/>
          <w:highlight w:val="none"/>
        </w:rPr>
        <w:t>针对中标后工作的衔接、人员及装备的进场、与医院各项医务工作及医院业务流程相适应的服务运作流程等指定的方案；</w:t>
      </w:r>
    </w:p>
    <w:p>
      <w:pPr>
        <w:pStyle w:val="192"/>
        <w:snapToGrid w:val="0"/>
        <w:spacing w:line="360" w:lineRule="auto"/>
        <w:ind w:firstLine="420"/>
        <w:rPr>
          <w:rFonts w:hint="eastAsia"/>
          <w:color w:val="auto"/>
          <w:highlight w:val="none"/>
        </w:rPr>
      </w:pPr>
      <w:r>
        <w:rPr>
          <w:rFonts w:ascii="Times New Roman" w:hAnsi="Times New Roman"/>
          <w:color w:val="auto"/>
          <w:highlight w:val="none"/>
        </w:rPr>
        <w:t>（</w:t>
      </w:r>
      <w:r>
        <w:rPr>
          <w:rFonts w:hint="eastAsia" w:ascii="Times New Roman" w:hAnsi="Times New Roman"/>
          <w:color w:val="auto"/>
          <w:highlight w:val="none"/>
        </w:rPr>
        <w:t>15</w:t>
      </w:r>
      <w:r>
        <w:rPr>
          <w:rFonts w:ascii="Times New Roman" w:hAnsi="Times New Roman"/>
          <w:color w:val="auto"/>
          <w:highlight w:val="none"/>
        </w:rPr>
        <w:t>）</w:t>
      </w:r>
      <w:r>
        <w:rPr>
          <w:rFonts w:hint="eastAsia"/>
          <w:color w:val="auto"/>
          <w:highlight w:val="none"/>
        </w:rPr>
        <w:t>服务人员</w:t>
      </w:r>
    </w:p>
    <w:p>
      <w:pPr>
        <w:pStyle w:val="192"/>
        <w:snapToGrid w:val="0"/>
        <w:spacing w:line="360" w:lineRule="auto"/>
        <w:ind w:firstLine="420"/>
        <w:rPr>
          <w:rFonts w:hint="eastAsia"/>
          <w:color w:val="auto"/>
          <w:highlight w:val="none"/>
        </w:rPr>
      </w:pPr>
      <w:r>
        <w:rPr>
          <w:rFonts w:hint="eastAsia"/>
          <w:color w:val="auto"/>
          <w:highlight w:val="none"/>
        </w:rPr>
        <w:t>（16）应急方案及措施</w:t>
      </w:r>
    </w:p>
    <w:p>
      <w:pPr>
        <w:pStyle w:val="192"/>
        <w:snapToGrid w:val="0"/>
        <w:spacing w:line="360" w:lineRule="auto"/>
        <w:ind w:firstLine="420"/>
        <w:rPr>
          <w:rFonts w:hint="eastAsia"/>
          <w:color w:val="auto"/>
          <w:highlight w:val="none"/>
        </w:rPr>
      </w:pPr>
      <w:r>
        <w:rPr>
          <w:rFonts w:hint="eastAsia"/>
          <w:color w:val="auto"/>
          <w:highlight w:val="none"/>
        </w:rPr>
        <w:t>（17）保障措施</w:t>
      </w:r>
    </w:p>
    <w:p>
      <w:pPr>
        <w:pStyle w:val="192"/>
        <w:snapToGrid w:val="0"/>
        <w:spacing w:line="360" w:lineRule="auto"/>
        <w:ind w:firstLine="420"/>
        <w:rPr>
          <w:rFonts w:hint="eastAsia"/>
          <w:color w:val="auto"/>
          <w:highlight w:val="none"/>
        </w:rPr>
      </w:pPr>
      <w:r>
        <w:rPr>
          <w:rFonts w:hint="eastAsia"/>
          <w:color w:val="auto"/>
          <w:highlight w:val="none"/>
        </w:rPr>
        <w:t>供应商提供雇主责任险购买证明；</w:t>
      </w:r>
    </w:p>
    <w:p>
      <w:pPr>
        <w:pStyle w:val="192"/>
        <w:snapToGrid w:val="0"/>
        <w:spacing w:line="360" w:lineRule="auto"/>
        <w:ind w:firstLine="420"/>
        <w:rPr>
          <w:rFonts w:hint="eastAsia"/>
          <w:color w:val="auto"/>
          <w:highlight w:val="none"/>
        </w:rPr>
      </w:pPr>
      <w:r>
        <w:rPr>
          <w:rFonts w:hint="eastAsia"/>
          <w:color w:val="auto"/>
          <w:highlight w:val="none"/>
        </w:rPr>
        <w:t>供应商承诺中标后在服务过程中，因保安人员过失造成第三方人员人身伤亡或财产损失的，供应商负责处理及赔偿事宜的，提供承诺；</w:t>
      </w:r>
    </w:p>
    <w:p>
      <w:pPr>
        <w:pStyle w:val="192"/>
        <w:snapToGrid w:val="0"/>
        <w:spacing w:line="360" w:lineRule="auto"/>
        <w:ind w:firstLine="420"/>
        <w:rPr>
          <w:rFonts w:hint="eastAsia"/>
          <w:color w:val="auto"/>
          <w:highlight w:val="none"/>
        </w:rPr>
      </w:pPr>
      <w:r>
        <w:rPr>
          <w:rFonts w:hint="eastAsia"/>
          <w:color w:val="auto"/>
          <w:highlight w:val="none"/>
        </w:rPr>
        <w:t>对保安人员的劳动保障情况；</w:t>
      </w:r>
    </w:p>
    <w:p>
      <w:pPr>
        <w:pStyle w:val="192"/>
        <w:snapToGrid w:val="0"/>
        <w:spacing w:line="360" w:lineRule="auto"/>
        <w:ind w:firstLine="420"/>
        <w:rPr>
          <w:rFonts w:hint="eastAsia"/>
          <w:color w:val="auto"/>
          <w:highlight w:val="none"/>
        </w:rPr>
      </w:pPr>
      <w:r>
        <w:rPr>
          <w:rFonts w:hint="eastAsia"/>
          <w:color w:val="auto"/>
          <w:highlight w:val="none"/>
        </w:rPr>
        <w:t>承诺给保安人员的实发工资及各种福利待遇情况。</w:t>
      </w:r>
    </w:p>
    <w:p>
      <w:pPr>
        <w:pStyle w:val="192"/>
        <w:snapToGrid w:val="0"/>
        <w:spacing w:line="360" w:lineRule="auto"/>
        <w:ind w:firstLine="420"/>
        <w:rPr>
          <w:rFonts w:hint="eastAsia"/>
          <w:color w:val="auto"/>
          <w:highlight w:val="none"/>
        </w:rPr>
      </w:pPr>
      <w:r>
        <w:rPr>
          <w:rFonts w:hint="eastAsia"/>
          <w:color w:val="auto"/>
          <w:highlight w:val="none"/>
        </w:rPr>
        <w:t>（18）供应商提供雇主责任险购买证明；</w:t>
      </w:r>
    </w:p>
    <w:p>
      <w:pPr>
        <w:pStyle w:val="192"/>
        <w:snapToGrid w:val="0"/>
        <w:spacing w:line="360" w:lineRule="auto"/>
        <w:ind w:firstLine="420"/>
        <w:rPr>
          <w:color w:val="auto"/>
          <w:highlight w:val="none"/>
        </w:rPr>
      </w:pPr>
      <w:r>
        <w:rPr>
          <w:rFonts w:hint="eastAsia"/>
          <w:color w:val="auto"/>
          <w:highlight w:val="none"/>
        </w:rPr>
        <w:t>（19）</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r>
        <w:rPr>
          <w:rFonts w:hint="eastAsia" w:ascii="Times New Roman" w:hAnsi="Times New Roman"/>
          <w:color w:val="auto"/>
          <w:highlight w:val="none"/>
        </w:rPr>
        <w:t>。</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3.3 投标文件的编制</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3.3.1本项目实行网上投标。</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3.3.2</w:t>
      </w:r>
      <w:r>
        <w:rPr>
          <w:rFonts w:hint="eastAsia"/>
          <w:color w:val="auto"/>
          <w:szCs w:val="21"/>
          <w:highlight w:val="none"/>
        </w:rPr>
        <w:t>供应商应准备2种形式的投标文件：</w:t>
      </w:r>
      <w:r>
        <w:rPr>
          <w:rFonts w:hint="eastAsia" w:ascii="Times New Roman" w:hAnsi="Times New Roman"/>
          <w:color w:val="auto"/>
          <w:highlight w:val="none"/>
        </w:rPr>
        <w:t>电子加密投标文件、以介质存储的数据电文形式的备份投标文件。</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投标文件均由资格文件、报价文件、商务技术文件组成。</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（1）“电子加密投标文件”是指通过“政采云电子交易客户端”完成投标文件编制后生成并加密的数据电文形式的投标文件（后缀格式为.jmbs）</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3.3.3投标文件须按照采购文件要求加盖供应商公章或电子签章（除此之外的投标专用章、合同章等均视为无效）。</w:t>
      </w:r>
    </w:p>
    <w:p>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3.3.4以联合体形式参与本项目投标的，除联合协议外，其他采购文件要求需盖章的部分，仅由联合体牵头人加盖供应商公章或电子签章即可。</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3.4 投标报价</w:t>
      </w:r>
    </w:p>
    <w:p>
      <w:pPr>
        <w:pStyle w:val="192"/>
        <w:snapToGrid w:val="0"/>
        <w:spacing w:line="360" w:lineRule="auto"/>
        <w:ind w:firstLine="420"/>
        <w:rPr>
          <w:rFonts w:ascii="Times New Roman" w:hAnsi="Times New Roman"/>
          <w:color w:val="auto"/>
          <w:highlight w:val="none"/>
          <w:u w:val="thick"/>
        </w:rPr>
      </w:pPr>
      <w:r>
        <w:rPr>
          <w:rFonts w:ascii="Times New Roman" w:hAnsi="Times New Roman"/>
          <w:color w:val="auto"/>
          <w:highlight w:val="none"/>
        </w:rPr>
        <w:t>▲3.4.1</w:t>
      </w:r>
      <w:r>
        <w:rPr>
          <w:rFonts w:ascii="Times New Roman" w:hAnsi="Times New Roman"/>
          <w:b/>
          <w:color w:val="auto"/>
          <w:highlight w:val="none"/>
          <w:u w:val="single"/>
        </w:rPr>
        <w:t>本次投标报价为含税人民币价</w:t>
      </w:r>
      <w:r>
        <w:rPr>
          <w:rFonts w:ascii="Times New Roman" w:hAnsi="Times New Roman"/>
          <w:color w:val="auto"/>
          <w:highlight w:val="none"/>
          <w:u w:val="single"/>
        </w:rPr>
        <w:t>。</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3.4.2投标报价包括完成所有产品供货及履行所有规定服务所产生的全部费用。产品及服务须达到采购文件规定的质量标准及使用要求。</w:t>
      </w:r>
    </w:p>
    <w:p>
      <w:pPr>
        <w:pStyle w:val="192"/>
        <w:snapToGrid w:val="0"/>
        <w:spacing w:line="360" w:lineRule="auto"/>
        <w:ind w:firstLine="420"/>
        <w:rPr>
          <w:rFonts w:ascii="Times New Roman" w:hAnsi="Times New Roman"/>
          <w:b/>
          <w:bCs/>
          <w:color w:val="auto"/>
          <w:highlight w:val="none"/>
          <w:u w:val="thick"/>
        </w:rPr>
      </w:pPr>
      <w:r>
        <w:rPr>
          <w:rFonts w:ascii="Times New Roman" w:hAnsi="Times New Roman"/>
          <w:color w:val="auto"/>
          <w:highlight w:val="none"/>
        </w:rPr>
        <w:t>3.4.3报价应按不同费用构成分开填写，具体详见“投标文件格式”。</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▲3.4.4</w:t>
      </w:r>
      <w:r>
        <w:rPr>
          <w:rFonts w:ascii="Times New Roman" w:hAnsi="Times New Roman"/>
          <w:b/>
          <w:color w:val="auto"/>
          <w:highlight w:val="none"/>
          <w:u w:val="single"/>
        </w:rPr>
        <w:t>所投标项只允许有一个报价，不接受有选择报价的投标文件。</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3.5 投标保证金</w:t>
      </w:r>
    </w:p>
    <w:p>
      <w:pPr>
        <w:pStyle w:val="192"/>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3.5.1 本项目不收取投标保证金</w:t>
      </w:r>
      <w:r>
        <w:rPr>
          <w:rFonts w:hint="eastAsia" w:ascii="Times New Roman" w:hAnsi="Times New Roman"/>
          <w:color w:val="auto"/>
          <w:highlight w:val="none"/>
        </w:rPr>
        <w:t>。</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3.6 投标文件有效期</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3.6.1 投标文件有效期按“</w:t>
      </w:r>
      <w:r>
        <w:rPr>
          <w:rFonts w:hint="eastAsia" w:ascii="Times New Roman" w:hAnsi="Times New Roman"/>
          <w:color w:val="auto"/>
          <w:highlight w:val="none"/>
        </w:rPr>
        <w:t>供应商</w:t>
      </w:r>
      <w:r>
        <w:rPr>
          <w:rFonts w:ascii="Times New Roman" w:hAnsi="Times New Roman"/>
          <w:color w:val="auto"/>
          <w:highlight w:val="none"/>
        </w:rPr>
        <w:t>须知前附表”规定，投标文件应在该有效期内保持有效。合同签订后，投标文件作为合同附件，投标文件有效期同合同有效期。</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3.6.2 在特殊情况下，采购人可与</w:t>
      </w:r>
      <w:r>
        <w:rPr>
          <w:rFonts w:hint="eastAsia" w:ascii="Times New Roman" w:hAnsi="Times New Roman"/>
          <w:color w:val="auto"/>
          <w:highlight w:val="none"/>
        </w:rPr>
        <w:t>供应商</w:t>
      </w:r>
      <w:r>
        <w:rPr>
          <w:rFonts w:ascii="Times New Roman" w:hAnsi="Times New Roman"/>
          <w:color w:val="auto"/>
          <w:highlight w:val="none"/>
        </w:rPr>
        <w:t>协商延长投标文件有效期，这种要求和答复均应以书面形式进行。</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3.6.3同意延长有效期的</w:t>
      </w:r>
      <w:r>
        <w:rPr>
          <w:rFonts w:hint="eastAsia" w:ascii="Times New Roman" w:hAnsi="Times New Roman"/>
          <w:color w:val="auto"/>
          <w:highlight w:val="none"/>
        </w:rPr>
        <w:t>供应商</w:t>
      </w:r>
      <w:r>
        <w:rPr>
          <w:rFonts w:ascii="Times New Roman" w:hAnsi="Times New Roman"/>
          <w:color w:val="auto"/>
          <w:highlight w:val="none"/>
        </w:rPr>
        <w:t>不能修改投标文件。</w:t>
      </w:r>
    </w:p>
    <w:p>
      <w:pPr>
        <w:pStyle w:val="3"/>
        <w:spacing w:line="360" w:lineRule="auto"/>
        <w:ind w:firstLine="422"/>
        <w:rPr>
          <w:rFonts w:ascii="Times New Roman" w:hAnsi="Times New Roman"/>
          <w:color w:val="auto"/>
          <w:highlight w:val="none"/>
        </w:rPr>
      </w:pPr>
      <w:bookmarkStart w:id="20" w:name="_Toc82873325"/>
      <w:bookmarkStart w:id="21" w:name="_Toc82338242"/>
      <w:r>
        <w:rPr>
          <w:rFonts w:ascii="Times New Roman" w:hAnsi="Times New Roman"/>
          <w:color w:val="auto"/>
          <w:highlight w:val="none"/>
        </w:rPr>
        <w:t>四、投标</w:t>
      </w:r>
      <w:bookmarkEnd w:id="20"/>
      <w:bookmarkEnd w:id="21"/>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4.1 投标文件的</w:t>
      </w:r>
      <w:r>
        <w:rPr>
          <w:rFonts w:hint="eastAsia" w:ascii="Times New Roman" w:hAnsi="Times New Roman"/>
          <w:color w:val="auto"/>
          <w:highlight w:val="none"/>
        </w:rPr>
        <w:t>上传和递交</w:t>
      </w:r>
    </w:p>
    <w:p>
      <w:pPr>
        <w:pStyle w:val="4"/>
        <w:spacing w:line="360" w:lineRule="auto"/>
        <w:ind w:firstLine="420"/>
        <w:rPr>
          <w:rFonts w:ascii="Times New Roman" w:hAnsi="Times New Roman"/>
          <w:b w:val="0"/>
          <w:bCs/>
          <w:color w:val="auto"/>
          <w:highlight w:val="none"/>
        </w:rPr>
      </w:pPr>
      <w:r>
        <w:rPr>
          <w:rFonts w:hint="eastAsia" w:ascii="Times New Roman" w:hAnsi="Times New Roman"/>
          <w:b w:val="0"/>
          <w:bCs/>
          <w:color w:val="auto"/>
          <w:highlight w:val="none"/>
        </w:rPr>
        <w:t>见供应商须知前附表“投标文件的上传和递交”。</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2</w:t>
      </w:r>
      <w:r>
        <w:rPr>
          <w:rFonts w:ascii="Times New Roman" w:hAnsi="Times New Roman"/>
          <w:color w:val="auto"/>
          <w:highlight w:val="none"/>
        </w:rPr>
        <w:t xml:space="preserve"> 投标文件的修改和撤回</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4.2.1 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4.2.2 从投标截止期至供应商在投标函格式中确定的投标有效期期满这段时间内，供应商不得撤回其投标。</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3</w:t>
      </w:r>
      <w:r>
        <w:rPr>
          <w:rFonts w:ascii="Times New Roman" w:hAnsi="Times New Roman"/>
          <w:color w:val="auto"/>
          <w:highlight w:val="none"/>
        </w:rPr>
        <w:t xml:space="preserve"> 备选投标方案</w:t>
      </w:r>
    </w:p>
    <w:p>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不得提交备选投标方案，否则，投标文件将被判定为无效标。</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4</w:t>
      </w:r>
      <w:r>
        <w:rPr>
          <w:rFonts w:ascii="Times New Roman" w:hAnsi="Times New Roman"/>
          <w:color w:val="auto"/>
          <w:highlight w:val="none"/>
        </w:rPr>
        <w:t xml:space="preserve"> </w:t>
      </w:r>
      <w:r>
        <w:rPr>
          <w:rFonts w:hint="eastAsia" w:ascii="Times New Roman" w:hAnsi="Times New Roman"/>
          <w:color w:val="auto"/>
          <w:highlight w:val="none"/>
        </w:rPr>
        <w:t>供应商</w:t>
      </w:r>
      <w:r>
        <w:rPr>
          <w:rFonts w:ascii="Times New Roman" w:hAnsi="Times New Roman"/>
          <w:color w:val="auto"/>
          <w:highlight w:val="none"/>
        </w:rPr>
        <w:t>不足三家情况处理</w:t>
      </w:r>
    </w:p>
    <w:p>
      <w:pPr>
        <w:pStyle w:val="192"/>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投标截止时间后参加标项投标的供应商不足三家的，本标项作废标处理，重新组织采购</w:t>
      </w:r>
      <w:r>
        <w:rPr>
          <w:rFonts w:hint="eastAsia" w:ascii="Times New Roman" w:hAnsi="Times New Roman"/>
          <w:color w:val="auto"/>
          <w:highlight w:val="none"/>
        </w:rPr>
        <w:t>。</w:t>
      </w:r>
    </w:p>
    <w:p>
      <w:pPr>
        <w:pStyle w:val="3"/>
        <w:spacing w:line="360" w:lineRule="auto"/>
        <w:ind w:firstLine="422"/>
        <w:rPr>
          <w:rFonts w:ascii="Times New Roman" w:hAnsi="Times New Roman"/>
          <w:color w:val="auto"/>
          <w:highlight w:val="none"/>
        </w:rPr>
      </w:pPr>
      <w:bookmarkStart w:id="22" w:name="_Toc82338243"/>
      <w:bookmarkStart w:id="23" w:name="_Toc82873326"/>
      <w:r>
        <w:rPr>
          <w:rFonts w:ascii="Times New Roman" w:hAnsi="Times New Roman"/>
          <w:color w:val="auto"/>
          <w:highlight w:val="none"/>
        </w:rPr>
        <w:t>五、开标、评标</w:t>
      </w:r>
      <w:bookmarkEnd w:id="22"/>
      <w:bookmarkEnd w:id="23"/>
      <w:r>
        <w:rPr>
          <w:rFonts w:ascii="Times New Roman" w:hAnsi="Times New Roman"/>
          <w:color w:val="auto"/>
          <w:highlight w:val="none"/>
        </w:rPr>
        <w:t>及合同签订</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5.1 开标准备</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5.1.1 采购代理机构将按照采购文件规定的时间通过浙江政府采购网组织开标、开启</w:t>
      </w:r>
      <w:r>
        <w:rPr>
          <w:color w:val="auto"/>
          <w:szCs w:val="21"/>
          <w:highlight w:val="none"/>
        </w:rPr>
        <w:t>电子加密投标文件</w:t>
      </w:r>
      <w:r>
        <w:rPr>
          <w:rFonts w:hint="eastAsia" w:ascii="Times New Roman" w:hAnsi="Times New Roman"/>
          <w:color w:val="auto"/>
          <w:highlight w:val="none"/>
        </w:rPr>
        <w:t>，所有供应商均应当准时在线参加。供应商因未在线参加开标而导致</w:t>
      </w:r>
      <w:r>
        <w:rPr>
          <w:color w:val="auto"/>
          <w:szCs w:val="21"/>
          <w:highlight w:val="none"/>
        </w:rPr>
        <w:t>电子加密投标文件</w:t>
      </w:r>
      <w:r>
        <w:rPr>
          <w:rFonts w:hint="eastAsia" w:ascii="Times New Roman" w:hAnsi="Times New Roman"/>
          <w:color w:val="auto"/>
          <w:highlight w:val="none"/>
        </w:rPr>
        <w:t>无法按时解密等一切后果由供应商自己承担。</w:t>
      </w:r>
      <w:r>
        <w:rPr>
          <w:rFonts w:hint="eastAsia"/>
          <w:color w:val="000000"/>
          <w:szCs w:val="21"/>
          <w:highlight w:val="none"/>
          <w:lang w:eastAsia="zh-CN"/>
        </w:rPr>
        <w:t>（具体操作指南：详见政采云平台“服务中心-帮助文档-项目采购-操作流程-电子招投标-政府采购项目电子交易管理操作指南-供应商”。）</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 开标流程（两阶段）</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5.2.1 开标第一阶段</w:t>
      </w:r>
    </w:p>
    <w:p>
      <w:pPr>
        <w:pStyle w:val="192"/>
        <w:snapToGrid w:val="0"/>
        <w:spacing w:line="360" w:lineRule="auto"/>
        <w:ind w:left="420" w:leftChars="200" w:firstLine="0" w:firstLineChars="0"/>
        <w:rPr>
          <w:rFonts w:hint="eastAsia" w:ascii="Times New Roman" w:hAnsi="Times New Roman"/>
          <w:color w:val="auto"/>
          <w:highlight w:val="none"/>
        </w:rPr>
      </w:pPr>
      <w:r>
        <w:rPr>
          <w:rFonts w:hint="eastAsia" w:ascii="Times New Roman" w:hAnsi="Times New Roman"/>
          <w:color w:val="auto"/>
          <w:highlight w:val="none"/>
        </w:rPr>
        <w:t>（1）采购代理机构开始解密，供应商在规定的时间内自行进行</w:t>
      </w:r>
      <w:r>
        <w:rPr>
          <w:color w:val="auto"/>
          <w:szCs w:val="21"/>
          <w:highlight w:val="none"/>
        </w:rPr>
        <w:t>电子加密投标文件</w:t>
      </w:r>
      <w:r>
        <w:rPr>
          <w:rFonts w:hint="eastAsia" w:ascii="Times New Roman" w:hAnsi="Times New Roman"/>
          <w:color w:val="auto"/>
          <w:highlight w:val="none"/>
        </w:rPr>
        <w:t>解密。</w:t>
      </w:r>
    </w:p>
    <w:p>
      <w:pPr>
        <w:pStyle w:val="192"/>
        <w:snapToGrid w:val="0"/>
        <w:spacing w:line="360" w:lineRule="auto"/>
        <w:ind w:left="420" w:leftChars="200" w:firstLine="0" w:firstLineChars="0"/>
        <w:rPr>
          <w:rFonts w:hint="eastAsia" w:ascii="Times New Roman" w:hAnsi="Times New Roman"/>
          <w:color w:val="auto"/>
          <w:highlight w:val="none"/>
        </w:rPr>
      </w:pPr>
      <w:r>
        <w:rPr>
          <w:rFonts w:hint="eastAsia" w:ascii="Times New Roman" w:hAnsi="Times New Roman"/>
          <w:color w:val="auto"/>
          <w:highlight w:val="none"/>
        </w:rPr>
        <w:t>（2）解密时间为开标后30分钟内。</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（3）解密失败的异常处理：供应商在规定的时间内无法完成已递交的</w:t>
      </w:r>
      <w:r>
        <w:rPr>
          <w:color w:val="auto"/>
          <w:szCs w:val="21"/>
          <w:highlight w:val="none"/>
        </w:rPr>
        <w:t>电子加密投标文件</w:t>
      </w:r>
      <w:r>
        <w:rPr>
          <w:rFonts w:hint="eastAsia" w:ascii="Times New Roman" w:hAnsi="Times New Roman"/>
          <w:color w:val="auto"/>
          <w:highlight w:val="none"/>
        </w:rPr>
        <w:t>解密的，如已按规定递交了备份投标文件的，将由采购代理机构将备份投标文件上传至浙江政府采购网，上传成功后，原</w:t>
      </w:r>
      <w:r>
        <w:rPr>
          <w:color w:val="auto"/>
          <w:szCs w:val="21"/>
          <w:highlight w:val="none"/>
        </w:rPr>
        <w:t>电子加密投标文件</w:t>
      </w:r>
      <w:r>
        <w:rPr>
          <w:rFonts w:hint="eastAsia" w:ascii="Times New Roman" w:hAnsi="Times New Roman"/>
          <w:color w:val="auto"/>
          <w:highlight w:val="none"/>
        </w:rPr>
        <w:t>自动失效。</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（4）第一阶段开标结束。</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（5）转入资格文件和商务技术文件评审。</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（6）商务技术文件开启后30分钟内，供应商通过邮件形式将经授权代表签署的《政府采购活动现场确认声明书》（格式见附件）扫描件发至代理机构经办人邮箱（邮箱地址：178433617@qq.com，联系人：盛磊敏）；</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说明：未按上述要求提供《政府采购活动现场确认声明书》的，视同</w:t>
      </w:r>
      <w:r>
        <w:rPr>
          <w:rFonts w:ascii="仿宋" w:hAnsi="仿宋"/>
          <w:color w:val="auto"/>
          <w:kern w:val="0"/>
          <w:szCs w:val="21"/>
          <w:highlight w:val="none"/>
        </w:rPr>
        <w:t>不存在</w:t>
      </w:r>
      <w:r>
        <w:rPr>
          <w:rFonts w:hint="eastAsia" w:ascii="Times New Roman" w:hAnsi="Times New Roman"/>
          <w:color w:val="auto"/>
          <w:highlight w:val="none"/>
        </w:rPr>
        <w:t>《声明书》中所涉及的利害关系。</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5.2.2 开标第二阶段</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（1）资格文件和商务技术文件评审结束后，进入开标大会第二阶段。公布无效供应商名称及理由，同时公布有效供应商的商务技术部分得分情况。</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（2）开启有效供应商的报价文件，公布开标一览表有关内容。开标结束后，由评标委员会对报价的合理性、准确性等进行审查核实。</w:t>
      </w:r>
    </w:p>
    <w:p>
      <w:pPr>
        <w:pStyle w:val="4"/>
        <w:spacing w:line="360" w:lineRule="auto"/>
        <w:ind w:firstLine="420"/>
        <w:rPr>
          <w:rFonts w:ascii="Times New Roman" w:hAnsi="Times New Roman"/>
          <w:b w:val="0"/>
          <w:bCs/>
          <w:color w:val="auto"/>
          <w:highlight w:val="none"/>
        </w:rPr>
      </w:pPr>
      <w:r>
        <w:rPr>
          <w:rFonts w:ascii="Times New Roman" w:hAnsi="Times New Roman"/>
          <w:b w:val="0"/>
          <w:bCs/>
          <w:color w:val="auto"/>
          <w:highlight w:val="none"/>
        </w:rPr>
        <w:t>5.3 投标文件初步评审</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5.3.1采购人或采购代理机构将首先审查各供应商的资格条件是否满足采购文件的要求。</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5.3.2评标委员会将首先审查每份投标文件是否实质上响应了采购文件的要求，实质性响应的投标文件是指投标文件符合采购文件规定的实质性内容、条件和规定。</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5.3.3重大偏离或保留是指将会影响到采购文件规定的服务范围、质量标准，或会给合同中规定的采购人的权利和</w:t>
      </w:r>
      <w:r>
        <w:rPr>
          <w:rFonts w:hint="eastAsia" w:ascii="Times New Roman" w:hAnsi="Times New Roman"/>
          <w:color w:val="auto"/>
          <w:highlight w:val="none"/>
        </w:rPr>
        <w:t>供应商</w:t>
      </w:r>
      <w:r>
        <w:rPr>
          <w:rFonts w:ascii="Times New Roman" w:hAnsi="Times New Roman"/>
          <w:color w:val="auto"/>
          <w:highlight w:val="none"/>
        </w:rPr>
        <w:t>的责任造成实质性限制，而纠正这些偏离或保留将对其他提交了实质性响应的投标文件的</w:t>
      </w:r>
      <w:r>
        <w:rPr>
          <w:rFonts w:hint="eastAsia" w:ascii="Times New Roman" w:hAnsi="Times New Roman"/>
          <w:color w:val="auto"/>
          <w:highlight w:val="none"/>
        </w:rPr>
        <w:t>供应商</w:t>
      </w:r>
      <w:r>
        <w:rPr>
          <w:rFonts w:ascii="Times New Roman" w:hAnsi="Times New Roman"/>
          <w:color w:val="auto"/>
          <w:highlight w:val="none"/>
        </w:rPr>
        <w:t>产生不公平影响的。</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5.3.4细微偏离是指投标文件对采购文件的非实质性内容存在不完全响应或不响应。</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5.3.5重大偏离和保留、细微偏离由评标委员会界定。初步评审时如发现投标文件与采购文件要求有重大偏离和保留，其投标文件将被作无效标处理。</w:t>
      </w:r>
      <w:r>
        <w:rPr>
          <w:rFonts w:hint="eastAsia" w:ascii="Times New Roman" w:hAnsi="Times New Roman"/>
          <w:color w:val="auto"/>
          <w:highlight w:val="none"/>
        </w:rPr>
        <w:t>供应商</w:t>
      </w:r>
      <w:r>
        <w:rPr>
          <w:rFonts w:ascii="Times New Roman" w:hAnsi="Times New Roman"/>
          <w:color w:val="auto"/>
          <w:highlight w:val="none"/>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auto"/>
          <w:highlight w:val="none"/>
        </w:rPr>
        <w:t>供应商</w:t>
      </w:r>
      <w:r>
        <w:rPr>
          <w:rFonts w:ascii="Times New Roman" w:hAnsi="Times New Roman"/>
          <w:color w:val="auto"/>
          <w:highlight w:val="none"/>
        </w:rPr>
        <w:t>的评审。</w:t>
      </w:r>
    </w:p>
    <w:p>
      <w:pPr>
        <w:adjustRightInd w:val="0"/>
        <w:snapToGrid w:val="0"/>
        <w:spacing w:line="360" w:lineRule="auto"/>
        <w:ind w:firstLine="420" w:firstLineChars="200"/>
        <w:rPr>
          <w:color w:val="auto"/>
          <w:highlight w:val="none"/>
        </w:rPr>
      </w:pPr>
      <w:r>
        <w:rPr>
          <w:color w:val="auto"/>
          <w:highlight w:val="none"/>
        </w:rPr>
        <w:t>5.3.6初步评审工作内容</w:t>
      </w:r>
    </w:p>
    <w:p>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（1）资格性检查</w:t>
      </w:r>
    </w:p>
    <w:p>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依据法律法规及采购文件的规定，对投标文件中的提供的资格证明材料进行审查，以确定</w:t>
      </w:r>
      <w:r>
        <w:rPr>
          <w:rFonts w:hint="eastAsia" w:ascii="Times New Roman" w:hAnsi="Times New Roman"/>
          <w:color w:val="auto"/>
          <w:highlight w:val="none"/>
        </w:rPr>
        <w:t>供应商</w:t>
      </w:r>
      <w:r>
        <w:rPr>
          <w:rFonts w:ascii="Times New Roman" w:hAnsi="Times New Roman"/>
          <w:color w:val="auto"/>
          <w:highlight w:val="none"/>
        </w:rPr>
        <w:t>是否具备投标资格。</w:t>
      </w:r>
    </w:p>
    <w:p>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（2）符合性检查</w:t>
      </w:r>
    </w:p>
    <w:p>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依据采购文件的规定，从投标文件的有效性、完整性和对采购文件的响应程度进行审查，以确定是否对采购文件的实质性要求作出响应。</w:t>
      </w:r>
    </w:p>
    <w:p>
      <w:pPr>
        <w:adjustRightInd w:val="0"/>
        <w:snapToGrid w:val="0"/>
        <w:spacing w:line="360" w:lineRule="auto"/>
        <w:ind w:firstLine="420" w:firstLineChars="200"/>
        <w:rPr>
          <w:color w:val="auto"/>
          <w:highlight w:val="none"/>
        </w:rPr>
      </w:pPr>
      <w:r>
        <w:rPr>
          <w:color w:val="auto"/>
          <w:highlight w:val="none"/>
        </w:rPr>
        <w:t>5.3.7除符合5.6款规定外，评标委员会对投标文件的判定，只依据投标文件内容本身和按采购文件规定提交资料，不依靠开标后的任何外来证明。如</w:t>
      </w:r>
      <w:r>
        <w:rPr>
          <w:rFonts w:hint="eastAsia"/>
          <w:color w:val="auto"/>
          <w:highlight w:val="none"/>
        </w:rPr>
        <w:t>供应商</w:t>
      </w:r>
      <w:r>
        <w:rPr>
          <w:color w:val="auto"/>
          <w:highlight w:val="none"/>
        </w:rPr>
        <w:t>提交的资质证明或其他内容不齐全，由此造成的后果由</w:t>
      </w:r>
      <w:r>
        <w:rPr>
          <w:rFonts w:hint="eastAsia"/>
          <w:color w:val="auto"/>
          <w:highlight w:val="none"/>
        </w:rPr>
        <w:t>供应商</w:t>
      </w:r>
      <w:r>
        <w:rPr>
          <w:color w:val="auto"/>
          <w:highlight w:val="none"/>
        </w:rPr>
        <w:t>自己负责。</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5.4 投标文件的澄清</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5.4.1评标委员会可要求</w:t>
      </w:r>
      <w:r>
        <w:rPr>
          <w:rFonts w:hint="eastAsia" w:ascii="Times New Roman" w:hAnsi="Times New Roman"/>
          <w:color w:val="auto"/>
          <w:highlight w:val="none"/>
        </w:rPr>
        <w:t>供应商</w:t>
      </w:r>
      <w:r>
        <w:rPr>
          <w:rFonts w:ascii="Times New Roman" w:hAnsi="Times New Roman"/>
          <w:color w:val="auto"/>
          <w:highlight w:val="none"/>
        </w:rPr>
        <w:t>对投标文件中含义不明确、同类问题表述不一致、有明显的文字和计算错误的内容等进行澄清并做出书面答复。</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5.4.2 </w:t>
      </w:r>
      <w:r>
        <w:rPr>
          <w:rFonts w:hint="eastAsia" w:ascii="Times New Roman" w:hAnsi="Times New Roman"/>
          <w:color w:val="auto"/>
          <w:highlight w:val="none"/>
        </w:rPr>
        <w:t>供应商</w:t>
      </w:r>
      <w:r>
        <w:rPr>
          <w:rFonts w:ascii="Times New Roman" w:hAnsi="Times New Roman"/>
          <w:color w:val="auto"/>
          <w:highlight w:val="none"/>
        </w:rPr>
        <w:t>对投标文件的澄清不得超出投标文件的范围或者改变投标文件的实质性内容。</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5.5 错误修正</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评标委员会将对确定为实质上响应采购文件要求的投标文件进行校核，看其在投标报价方面是否有计算、累计或表达上的错误，</w:t>
      </w:r>
      <w:r>
        <w:rPr>
          <w:rFonts w:ascii="Times New Roman" w:hAnsi="Times New Roman"/>
          <w:bCs/>
          <w:color w:val="auto"/>
          <w:highlight w:val="none"/>
        </w:rPr>
        <w:t>修正错误的原则及顺序如下：</w:t>
      </w:r>
    </w:p>
    <w:p>
      <w:pPr>
        <w:pStyle w:val="192"/>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w:t>
      </w:r>
      <w:r>
        <w:rPr>
          <w:rFonts w:ascii="Times New Roman" w:hAnsi="Times New Roman"/>
          <w:color w:val="auto"/>
          <w:highlight w:val="none"/>
        </w:rPr>
        <w:t>正本与副本不一致时，以正本为准；</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（2）投标文件中开标一览表（报价表）内容与投标文件中相应内容不一致的，以开标一览表（报价表）为准；</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（3）大写金额和小写金额不一致的，以大写金额为准；</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（4）单价金额小数点或者百分比有明显错位的，以开标一览表的总价为准，并修改单价；</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（5）总价金额与按单价汇总金额不一致的，以单价金额计算结果为准。</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（6）如</w:t>
      </w:r>
      <w:r>
        <w:rPr>
          <w:rFonts w:ascii="Times New Roman" w:hAnsi="Times New Roman"/>
          <w:color w:val="auto"/>
          <w:szCs w:val="21"/>
          <w:highlight w:val="none"/>
        </w:rPr>
        <w:t>投标文件中报价明细表</w:t>
      </w:r>
      <w:r>
        <w:rPr>
          <w:rFonts w:ascii="Times New Roman" w:hAnsi="Times New Roman"/>
          <w:color w:val="auto"/>
          <w:highlight w:val="none"/>
        </w:rPr>
        <w:t>分项价格或单价有遗报，应视作已含在投标总价中；其投标总价在评标过程中不予调整。其分项价或单价由评标委员会在投标总价不变的前提下根据合理的原则对其予以确定；</w:t>
      </w:r>
    </w:p>
    <w:p>
      <w:pPr>
        <w:pStyle w:val="192"/>
        <w:snapToGrid w:val="0"/>
        <w:spacing w:line="360" w:lineRule="auto"/>
        <w:ind w:firstLine="420"/>
        <w:rPr>
          <w:rFonts w:hint="eastAsia" w:ascii="Times New Roman" w:hAnsi="Times New Roman"/>
          <w:color w:val="auto"/>
          <w:highlight w:val="none"/>
        </w:rPr>
      </w:pPr>
      <w:r>
        <w:rPr>
          <w:rFonts w:hint="eastAsia"/>
          <w:color w:val="auto"/>
          <w:highlight w:val="none"/>
        </w:rPr>
        <w:t>（7）</w:t>
      </w:r>
      <w:r>
        <w:rPr>
          <w:rFonts w:hint="eastAsia"/>
          <w:color w:val="auto"/>
          <w:highlight w:val="none"/>
        </w:rPr>
        <w:tab/>
      </w:r>
      <w:r>
        <w:rPr>
          <w:rFonts w:hint="eastAsia"/>
          <w:color w:val="auto"/>
          <w:highlight w:val="none"/>
        </w:rPr>
        <w:t>政采云平台填报的开标一览表中的价格与上传的报价文件中开标一览表的报价不一致的，以上传的报价文件为准。</w:t>
      </w:r>
    </w:p>
    <w:p>
      <w:pPr>
        <w:pStyle w:val="192"/>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同时出现两种以上不一致的，按照前款规定的顺序修正。修正后的报价以澄清方式经</w:t>
      </w:r>
      <w:r>
        <w:rPr>
          <w:rFonts w:hint="eastAsia" w:ascii="Times New Roman" w:hAnsi="Times New Roman"/>
          <w:bCs/>
          <w:color w:val="auto"/>
          <w:highlight w:val="none"/>
        </w:rPr>
        <w:t>供应商</w:t>
      </w:r>
      <w:r>
        <w:rPr>
          <w:rFonts w:ascii="Times New Roman" w:hAnsi="Times New Roman"/>
          <w:bCs/>
          <w:color w:val="auto"/>
          <w:highlight w:val="none"/>
        </w:rPr>
        <w:t>确认后产生约束力，</w:t>
      </w:r>
      <w:r>
        <w:rPr>
          <w:rFonts w:hint="eastAsia" w:ascii="Times New Roman" w:hAnsi="Times New Roman"/>
          <w:bCs/>
          <w:color w:val="auto"/>
          <w:highlight w:val="none"/>
        </w:rPr>
        <w:t>供应商</w:t>
      </w:r>
      <w:r>
        <w:rPr>
          <w:rFonts w:ascii="Times New Roman" w:hAnsi="Times New Roman"/>
          <w:bCs/>
          <w:color w:val="auto"/>
          <w:highlight w:val="none"/>
        </w:rPr>
        <w:t>不确认的，其投标无效。</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5.6 合理报价澄清说明</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评标委员会认为</w:t>
      </w:r>
      <w:r>
        <w:rPr>
          <w:rFonts w:hint="eastAsia" w:ascii="Times New Roman" w:hAnsi="Times New Roman"/>
          <w:color w:val="auto"/>
          <w:highlight w:val="none"/>
        </w:rPr>
        <w:t>供应商</w:t>
      </w:r>
      <w:r>
        <w:rPr>
          <w:rFonts w:ascii="Times New Roman" w:hAnsi="Times New Roman"/>
          <w:color w:val="auto"/>
          <w:highlight w:val="none"/>
        </w:rPr>
        <w:t>的报价明显低于其他通过符合性审查</w:t>
      </w:r>
      <w:r>
        <w:rPr>
          <w:rFonts w:hint="eastAsia" w:ascii="Times New Roman" w:hAnsi="Times New Roman"/>
          <w:color w:val="auto"/>
          <w:highlight w:val="none"/>
        </w:rPr>
        <w:t>供应商</w:t>
      </w:r>
      <w:r>
        <w:rPr>
          <w:rFonts w:ascii="Times New Roman" w:hAnsi="Times New Roman"/>
          <w:color w:val="auto"/>
          <w:highlight w:val="none"/>
        </w:rPr>
        <w:t>的报价，有可能影响产品质量或者不能诚信履约的，应当要求其在30分钟内提供书面说明，必要时提交相关证明材料；</w:t>
      </w:r>
      <w:r>
        <w:rPr>
          <w:rFonts w:hint="eastAsia" w:ascii="Times New Roman" w:hAnsi="Times New Roman"/>
          <w:color w:val="auto"/>
          <w:highlight w:val="none"/>
        </w:rPr>
        <w:t>供应商</w:t>
      </w:r>
      <w:r>
        <w:rPr>
          <w:rFonts w:ascii="Times New Roman" w:hAnsi="Times New Roman"/>
          <w:color w:val="auto"/>
          <w:highlight w:val="none"/>
        </w:rPr>
        <w:t>不能证明其报价合理性的，评标委员会应当将其作为无效投标处理。</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5.7 无效标</w:t>
      </w:r>
    </w:p>
    <w:p>
      <w:pPr>
        <w:snapToGrid w:val="0"/>
        <w:spacing w:line="360" w:lineRule="auto"/>
        <w:ind w:firstLine="411" w:firstLineChars="196"/>
        <w:rPr>
          <w:rFonts w:hint="eastAsia"/>
          <w:color w:val="auto"/>
          <w:highlight w:val="none"/>
        </w:rPr>
      </w:pPr>
      <w:r>
        <w:rPr>
          <w:rFonts w:hint="eastAsia"/>
          <w:color w:val="auto"/>
          <w:highlight w:val="none"/>
        </w:rPr>
        <w:t>5.7.1</w:t>
      </w:r>
      <w:r>
        <w:rPr>
          <w:color w:val="auto"/>
          <w:highlight w:val="none"/>
        </w:rPr>
        <w:t>资格证明</w:t>
      </w:r>
      <w:r>
        <w:rPr>
          <w:rFonts w:hint="eastAsia"/>
          <w:color w:val="auto"/>
          <w:highlight w:val="none"/>
        </w:rPr>
        <w:t>文件</w:t>
      </w:r>
      <w:r>
        <w:rPr>
          <w:color w:val="auto"/>
          <w:highlight w:val="none"/>
        </w:rPr>
        <w:t>评审阶段：</w:t>
      </w:r>
    </w:p>
    <w:p>
      <w:pPr>
        <w:snapToGrid w:val="0"/>
        <w:spacing w:line="360" w:lineRule="auto"/>
        <w:ind w:firstLine="411" w:firstLineChars="196"/>
        <w:rPr>
          <w:color w:val="auto"/>
          <w:highlight w:val="none"/>
        </w:rPr>
      </w:pPr>
      <w:r>
        <w:rPr>
          <w:color w:val="auto"/>
          <w:highlight w:val="none"/>
        </w:rPr>
        <w:t>有下列情形之一的投标文件，经</w:t>
      </w:r>
      <w:r>
        <w:rPr>
          <w:rFonts w:hint="eastAsia"/>
          <w:color w:val="auto"/>
          <w:highlight w:val="none"/>
        </w:rPr>
        <w:t>采购人或采购代理机构</w:t>
      </w:r>
      <w:r>
        <w:rPr>
          <w:color w:val="auto"/>
          <w:highlight w:val="none"/>
        </w:rPr>
        <w:t>认定属实后将该投标文件作无效标处理：</w:t>
      </w:r>
    </w:p>
    <w:p>
      <w:pPr>
        <w:snapToGrid w:val="0"/>
        <w:spacing w:line="360" w:lineRule="auto"/>
        <w:ind w:firstLine="411" w:firstLineChars="196"/>
        <w:rPr>
          <w:color w:val="auto"/>
          <w:highlight w:val="none"/>
        </w:rPr>
      </w:pPr>
      <w:r>
        <w:rPr>
          <w:color w:val="auto"/>
          <w:highlight w:val="none"/>
        </w:rPr>
        <w:t>1）</w:t>
      </w:r>
      <w:r>
        <w:rPr>
          <w:color w:val="auto"/>
          <w:highlight w:val="none"/>
        </w:rPr>
        <w:tab/>
      </w:r>
      <w:r>
        <w:rPr>
          <w:color w:val="auto"/>
          <w:highlight w:val="none"/>
        </w:rPr>
        <w:t>投标文件内容不能充分证明</w:t>
      </w:r>
      <w:r>
        <w:rPr>
          <w:rFonts w:hint="eastAsia"/>
          <w:color w:val="auto"/>
          <w:highlight w:val="none"/>
        </w:rPr>
        <w:t>供应商</w:t>
      </w:r>
      <w:r>
        <w:rPr>
          <w:color w:val="auto"/>
          <w:highlight w:val="none"/>
        </w:rPr>
        <w:t>符合投标资格条件的；</w:t>
      </w:r>
    </w:p>
    <w:p>
      <w:pPr>
        <w:snapToGrid w:val="0"/>
        <w:spacing w:line="360" w:lineRule="auto"/>
        <w:ind w:firstLine="420" w:firstLineChars="200"/>
        <w:rPr>
          <w:rFonts w:hint="eastAsia"/>
          <w:color w:val="auto"/>
          <w:highlight w:val="none"/>
        </w:rPr>
      </w:pPr>
      <w:r>
        <w:rPr>
          <w:rFonts w:hint="eastAsia" w:ascii="宋体" w:hAnsi="宋体" w:cs="宋体"/>
          <w:color w:val="auto"/>
          <w:szCs w:val="21"/>
          <w:highlight w:val="none"/>
        </w:rPr>
        <w:t>2）如以联合体形式参加政府采购活动的，</w:t>
      </w:r>
      <w:r>
        <w:rPr>
          <w:rFonts w:hint="eastAsia"/>
          <w:color w:val="auto"/>
          <w:highlight w:val="none"/>
        </w:rPr>
        <w:t>未出具联合协议或联合协议不符合采购文件规定的。</w:t>
      </w:r>
    </w:p>
    <w:p>
      <w:pPr>
        <w:snapToGrid w:val="0"/>
        <w:spacing w:line="360" w:lineRule="auto"/>
        <w:ind w:firstLine="411" w:firstLineChars="196"/>
        <w:rPr>
          <w:color w:val="auto"/>
          <w:highlight w:val="none"/>
        </w:rPr>
      </w:pPr>
      <w:r>
        <w:rPr>
          <w:rFonts w:hint="eastAsia"/>
          <w:color w:val="auto"/>
          <w:highlight w:val="none"/>
        </w:rPr>
        <w:t>5.7.2</w:t>
      </w:r>
      <w:r>
        <w:rPr>
          <w:color w:val="auto"/>
          <w:highlight w:val="none"/>
        </w:rPr>
        <w:t>商务技术</w:t>
      </w:r>
      <w:r>
        <w:rPr>
          <w:rFonts w:hint="eastAsia"/>
          <w:color w:val="auto"/>
          <w:highlight w:val="none"/>
        </w:rPr>
        <w:t>文件</w:t>
      </w:r>
      <w:r>
        <w:rPr>
          <w:color w:val="auto"/>
          <w:highlight w:val="none"/>
        </w:rPr>
        <w:t>评审阶段：</w:t>
      </w:r>
    </w:p>
    <w:p>
      <w:pPr>
        <w:spacing w:line="360" w:lineRule="auto"/>
        <w:ind w:firstLine="420" w:firstLineChars="200"/>
        <w:rPr>
          <w:rFonts w:hint="eastAsia"/>
          <w:color w:val="auto"/>
          <w:highlight w:val="none"/>
        </w:rPr>
      </w:pPr>
      <w:r>
        <w:rPr>
          <w:color w:val="auto"/>
          <w:highlight w:val="none"/>
        </w:rPr>
        <w:t>有下列情形之一的投标文件，由评标委员会按少数服从多数原则进行认定，经认定属实后将该投标文件作无效标处理：</w:t>
      </w:r>
    </w:p>
    <w:p>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1</w:t>
      </w:r>
      <w:r>
        <w:rPr>
          <w:b w:val="0"/>
          <w:bCs w:val="0"/>
          <w:color w:val="000000"/>
          <w:highlight w:val="none"/>
          <w:u w:val="none"/>
        </w:rPr>
        <w:t>）</w:t>
      </w:r>
      <w:r>
        <w:rPr>
          <w:b w:val="0"/>
          <w:bCs w:val="0"/>
          <w:color w:val="000000"/>
          <w:highlight w:val="none"/>
          <w:u w:val="none"/>
        </w:rPr>
        <w:tab/>
      </w:r>
      <w:r>
        <w:rPr>
          <w:rFonts w:hint="eastAsia"/>
          <w:b w:val="0"/>
          <w:bCs w:val="0"/>
          <w:color w:val="000000"/>
          <w:highlight w:val="none"/>
          <w:u w:val="none"/>
        </w:rPr>
        <w:t>供应商</w:t>
      </w:r>
      <w:r>
        <w:rPr>
          <w:b w:val="0"/>
          <w:bCs w:val="0"/>
          <w:color w:val="000000"/>
          <w:highlight w:val="none"/>
          <w:u w:val="none"/>
        </w:rPr>
        <w:t>提交两份或两份以上内容不同的投标方案，未声明哪一份有效的；</w:t>
      </w:r>
    </w:p>
    <w:p>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2</w:t>
      </w:r>
      <w:r>
        <w:rPr>
          <w:b w:val="0"/>
          <w:bCs w:val="0"/>
          <w:color w:val="000000"/>
          <w:highlight w:val="none"/>
          <w:u w:val="none"/>
        </w:rPr>
        <w:t>）</w:t>
      </w:r>
      <w:r>
        <w:rPr>
          <w:b w:val="0"/>
          <w:bCs w:val="0"/>
          <w:color w:val="000000"/>
          <w:highlight w:val="none"/>
          <w:u w:val="none"/>
        </w:rPr>
        <w:tab/>
      </w:r>
      <w:r>
        <w:rPr>
          <w:b w:val="0"/>
          <w:bCs w:val="0"/>
          <w:color w:val="000000"/>
          <w:highlight w:val="none"/>
          <w:u w:val="none"/>
        </w:rPr>
        <w:t>投标文件非</w:t>
      </w:r>
      <w:r>
        <w:rPr>
          <w:rFonts w:hint="eastAsia"/>
          <w:b w:val="0"/>
          <w:bCs w:val="0"/>
          <w:color w:val="000000"/>
          <w:highlight w:val="none"/>
          <w:u w:val="none"/>
        </w:rPr>
        <w:t>供应商</w:t>
      </w:r>
      <w:r>
        <w:rPr>
          <w:b w:val="0"/>
          <w:bCs w:val="0"/>
          <w:color w:val="000000"/>
          <w:highlight w:val="none"/>
          <w:u w:val="none"/>
        </w:rPr>
        <w:t>法定代表人签署的，未提供或提供无效的法定代表人授权书；</w:t>
      </w:r>
    </w:p>
    <w:p>
      <w:pPr>
        <w:snapToGrid w:val="0"/>
        <w:spacing w:line="360" w:lineRule="auto"/>
        <w:ind w:firstLine="420" w:firstLineChars="200"/>
        <w:rPr>
          <w:b w:val="0"/>
          <w:bCs w:val="0"/>
          <w:color w:val="000000"/>
          <w:highlight w:val="none"/>
          <w:u w:val="none"/>
        </w:rPr>
      </w:pPr>
      <w:r>
        <w:rPr>
          <w:rFonts w:hint="eastAsia"/>
          <w:b w:val="0"/>
          <w:bCs w:val="0"/>
          <w:snapToGrid w:val="0"/>
          <w:color w:val="000000"/>
          <w:kern w:val="0"/>
          <w:highlight w:val="none"/>
          <w:u w:val="none"/>
        </w:rPr>
        <w:t>3</w:t>
      </w:r>
      <w:r>
        <w:rPr>
          <w:b w:val="0"/>
          <w:bCs w:val="0"/>
          <w:snapToGrid w:val="0"/>
          <w:color w:val="000000"/>
          <w:kern w:val="0"/>
          <w:highlight w:val="none"/>
          <w:u w:val="none"/>
        </w:rPr>
        <w:t>）投标文件中法定代表人和授权代表身份证复印件不齐全的；</w:t>
      </w:r>
    </w:p>
    <w:p>
      <w:pPr>
        <w:snapToGrid w:val="0"/>
        <w:spacing w:line="360" w:lineRule="auto"/>
        <w:ind w:firstLine="420" w:firstLineChars="200"/>
        <w:rPr>
          <w:b w:val="0"/>
          <w:bCs w:val="0"/>
          <w:color w:val="FF0000"/>
          <w:highlight w:val="none"/>
          <w:u w:val="none"/>
        </w:rPr>
      </w:pPr>
      <w:r>
        <w:rPr>
          <w:rFonts w:hint="eastAsia"/>
          <w:b w:val="0"/>
          <w:bCs w:val="0"/>
          <w:color w:val="000000"/>
          <w:highlight w:val="none"/>
          <w:u w:val="none"/>
        </w:rPr>
        <w:t>4</w:t>
      </w:r>
      <w:r>
        <w:rPr>
          <w:b w:val="0"/>
          <w:bCs w:val="0"/>
          <w:color w:val="000000"/>
          <w:highlight w:val="none"/>
          <w:u w:val="none"/>
        </w:rPr>
        <w:t>）</w:t>
      </w:r>
      <w:r>
        <w:rPr>
          <w:b w:val="0"/>
          <w:bCs w:val="0"/>
          <w:color w:val="000000"/>
          <w:highlight w:val="none"/>
          <w:u w:val="none"/>
        </w:rPr>
        <w:tab/>
      </w:r>
      <w:r>
        <w:rPr>
          <w:b w:val="0"/>
          <w:bCs w:val="0"/>
          <w:color w:val="000000"/>
          <w:highlight w:val="none"/>
          <w:u w:val="none"/>
        </w:rPr>
        <w:t>投标文件内容未按采购文件规定盖章的；</w:t>
      </w:r>
    </w:p>
    <w:p>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5</w:t>
      </w:r>
      <w:r>
        <w:rPr>
          <w:b w:val="0"/>
          <w:bCs w:val="0"/>
          <w:color w:val="000000"/>
          <w:highlight w:val="none"/>
          <w:u w:val="none"/>
        </w:rPr>
        <w:t>）</w:t>
      </w:r>
      <w:r>
        <w:rPr>
          <w:b w:val="0"/>
          <w:bCs w:val="0"/>
          <w:color w:val="000000"/>
          <w:highlight w:val="none"/>
          <w:u w:val="none"/>
        </w:rPr>
        <w:tab/>
      </w:r>
      <w:r>
        <w:rPr>
          <w:b w:val="0"/>
          <w:bCs w:val="0"/>
          <w:color w:val="000000"/>
          <w:highlight w:val="none"/>
          <w:u w:val="none"/>
        </w:rPr>
        <w:t>投标文件内容不全或内容字迹模糊辨认不清的等而导致评标活动无法正常进行；</w:t>
      </w:r>
    </w:p>
    <w:p>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6</w:t>
      </w:r>
      <w:r>
        <w:rPr>
          <w:b w:val="0"/>
          <w:bCs w:val="0"/>
          <w:color w:val="000000"/>
          <w:highlight w:val="none"/>
          <w:u w:val="none"/>
        </w:rPr>
        <w:t>）</w:t>
      </w:r>
      <w:r>
        <w:rPr>
          <w:b w:val="0"/>
          <w:bCs w:val="0"/>
          <w:color w:val="000000"/>
          <w:highlight w:val="none"/>
          <w:u w:val="none"/>
        </w:rPr>
        <w:tab/>
      </w:r>
      <w:r>
        <w:rPr>
          <w:rFonts w:hint="eastAsia"/>
          <w:b w:val="0"/>
          <w:bCs w:val="0"/>
          <w:color w:val="000000"/>
          <w:highlight w:val="none"/>
          <w:u w:val="none"/>
        </w:rPr>
        <w:t>供应商</w:t>
      </w:r>
      <w:r>
        <w:rPr>
          <w:b w:val="0"/>
          <w:bCs w:val="0"/>
          <w:color w:val="000000"/>
          <w:highlight w:val="none"/>
          <w:u w:val="none"/>
        </w:rPr>
        <w:t>未按采购文件变更通知更改投标文件的；</w:t>
      </w:r>
    </w:p>
    <w:p>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7</w:t>
      </w:r>
      <w:r>
        <w:rPr>
          <w:b w:val="0"/>
          <w:bCs w:val="0"/>
          <w:color w:val="000000"/>
          <w:highlight w:val="none"/>
          <w:u w:val="none"/>
        </w:rPr>
        <w:t>）</w:t>
      </w:r>
      <w:r>
        <w:rPr>
          <w:b w:val="0"/>
          <w:bCs w:val="0"/>
          <w:color w:val="000000"/>
          <w:highlight w:val="none"/>
          <w:u w:val="none"/>
        </w:rPr>
        <w:tab/>
      </w:r>
      <w:r>
        <w:rPr>
          <w:b w:val="0"/>
          <w:bCs w:val="0"/>
          <w:color w:val="000000"/>
          <w:highlight w:val="none"/>
          <w:u w:val="none"/>
        </w:rPr>
        <w:t>未实质性响应采购文件中带“▲”条款要求的投标文件；</w:t>
      </w:r>
    </w:p>
    <w:p>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rPr>
        <w:t>8</w:t>
      </w:r>
      <w:r>
        <w:rPr>
          <w:b w:val="0"/>
          <w:bCs w:val="0"/>
          <w:color w:val="000000"/>
          <w:highlight w:val="none"/>
          <w:u w:val="none"/>
        </w:rPr>
        <w:t>）</w:t>
      </w:r>
      <w:r>
        <w:rPr>
          <w:b w:val="0"/>
          <w:bCs w:val="0"/>
          <w:snapToGrid w:val="0"/>
          <w:color w:val="000000"/>
          <w:kern w:val="0"/>
          <w:highlight w:val="none"/>
          <w:u w:val="none"/>
        </w:rPr>
        <w:t>投标有效期、交货期、</w:t>
      </w:r>
      <w:r>
        <w:rPr>
          <w:rFonts w:hint="eastAsia"/>
          <w:b w:val="0"/>
          <w:bCs w:val="0"/>
          <w:snapToGrid w:val="0"/>
          <w:color w:val="000000"/>
          <w:kern w:val="0"/>
          <w:highlight w:val="none"/>
          <w:u w:val="none"/>
          <w:lang w:eastAsia="zh-CN"/>
        </w:rPr>
        <w:t>服务期、</w:t>
      </w:r>
      <w:r>
        <w:rPr>
          <w:b w:val="0"/>
          <w:bCs w:val="0"/>
          <w:snapToGrid w:val="0"/>
          <w:color w:val="000000"/>
          <w:kern w:val="0"/>
          <w:highlight w:val="none"/>
          <w:u w:val="none"/>
        </w:rPr>
        <w:t>质保期不能满足</w:t>
      </w:r>
      <w:r>
        <w:rPr>
          <w:rFonts w:hint="eastAsia"/>
          <w:b w:val="0"/>
          <w:bCs w:val="0"/>
          <w:snapToGrid w:val="0"/>
          <w:color w:val="000000"/>
          <w:kern w:val="0"/>
          <w:highlight w:val="none"/>
          <w:u w:val="none"/>
        </w:rPr>
        <w:t>采购文件</w:t>
      </w:r>
      <w:r>
        <w:rPr>
          <w:b w:val="0"/>
          <w:bCs w:val="0"/>
          <w:snapToGrid w:val="0"/>
          <w:color w:val="000000"/>
          <w:kern w:val="0"/>
          <w:highlight w:val="none"/>
          <w:u w:val="none"/>
        </w:rPr>
        <w:t>要求的；</w:t>
      </w:r>
    </w:p>
    <w:p>
      <w:pPr>
        <w:snapToGrid w:val="0"/>
        <w:spacing w:line="360" w:lineRule="auto"/>
        <w:ind w:firstLine="420" w:firstLineChars="200"/>
        <w:rPr>
          <w:b w:val="0"/>
          <w:bCs w:val="0"/>
          <w:color w:val="000000"/>
          <w:highlight w:val="none"/>
          <w:u w:val="none"/>
        </w:rPr>
      </w:pPr>
      <w:r>
        <w:rPr>
          <w:rFonts w:hint="eastAsia"/>
          <w:b w:val="0"/>
          <w:bCs w:val="0"/>
          <w:color w:val="000000"/>
          <w:highlight w:val="none"/>
          <w:u w:val="none"/>
          <w:lang w:val="en-US" w:eastAsia="zh-CN"/>
        </w:rPr>
        <w:t>9</w:t>
      </w:r>
      <w:r>
        <w:rPr>
          <w:b w:val="0"/>
          <w:bCs w:val="0"/>
          <w:color w:val="000000"/>
          <w:highlight w:val="none"/>
          <w:u w:val="none"/>
        </w:rPr>
        <w:t>）</w:t>
      </w:r>
      <w:r>
        <w:rPr>
          <w:b w:val="0"/>
          <w:bCs w:val="0"/>
          <w:color w:val="000000"/>
          <w:highlight w:val="none"/>
          <w:u w:val="none"/>
        </w:rPr>
        <w:tab/>
      </w:r>
      <w:r>
        <w:rPr>
          <w:b w:val="0"/>
          <w:bCs w:val="0"/>
          <w:color w:val="000000"/>
          <w:highlight w:val="none"/>
          <w:u w:val="none"/>
        </w:rPr>
        <w:t>投标文件附有采购人不能接受的条款；</w:t>
      </w:r>
    </w:p>
    <w:p>
      <w:pPr>
        <w:snapToGrid w:val="0"/>
        <w:spacing w:line="360" w:lineRule="auto"/>
        <w:ind w:firstLine="420" w:firstLineChars="200"/>
        <w:rPr>
          <w:rFonts w:ascii="Times New Roman" w:hAnsi="Times New Roman" w:eastAsia="宋体" w:cs="Times New Roman"/>
          <w:color w:val="000000"/>
          <w:highlight w:val="none"/>
        </w:rPr>
      </w:pPr>
      <w:r>
        <w:rPr>
          <w:rFonts w:hint="default" w:ascii="Times New Roman" w:hAnsi="Times New Roman" w:eastAsia="宋体" w:cs="Times New Roman"/>
          <w:color w:val="000000"/>
          <w:highlight w:val="none"/>
          <w:u w:val="none"/>
          <w:lang w:val="en-US" w:eastAsia="zh-CN"/>
        </w:rPr>
        <w:t>10）</w:t>
      </w:r>
      <w:r>
        <w:rPr>
          <w:rFonts w:hint="default" w:ascii="Times New Roman" w:hAnsi="Times New Roman" w:eastAsia="宋体" w:cs="Times New Roman"/>
          <w:color w:val="000000"/>
          <w:highlight w:val="none"/>
          <w:u w:val="none"/>
          <w:lang w:eastAsia="zh-CN"/>
        </w:rPr>
        <w:t>供应商</w:t>
      </w:r>
      <w:r>
        <w:rPr>
          <w:rFonts w:hint="default" w:ascii="Times New Roman" w:hAnsi="Times New Roman" w:eastAsia="宋体" w:cs="Times New Roman"/>
          <w:color w:val="000000"/>
          <w:highlight w:val="none"/>
          <w:u w:val="none"/>
        </w:rPr>
        <w:t>提供虚假材料投标的</w:t>
      </w:r>
      <w:r>
        <w:rPr>
          <w:rFonts w:hint="eastAsia" w:ascii="Times New Roman" w:hAnsi="Times New Roman" w:eastAsia="宋体" w:cs="Times New Roman"/>
          <w:color w:val="000000"/>
          <w:highlight w:val="none"/>
          <w:lang w:eastAsia="zh-CN"/>
        </w:rPr>
        <w:t>，或投标响应情况与事实不符的</w:t>
      </w:r>
      <w:r>
        <w:rPr>
          <w:rFonts w:hint="default" w:ascii="Times New Roman" w:hAnsi="Times New Roman" w:eastAsia="宋体" w:cs="Times New Roman"/>
          <w:color w:val="000000"/>
          <w:highlight w:val="none"/>
          <w:u w:val="none"/>
          <w:lang w:eastAsia="zh-CN"/>
        </w:rPr>
        <w:t>；</w:t>
      </w:r>
    </w:p>
    <w:p>
      <w:pPr>
        <w:snapToGrid w:val="0"/>
        <w:spacing w:line="360" w:lineRule="auto"/>
        <w:ind w:firstLine="420" w:firstLineChars="200"/>
        <w:rPr>
          <w:b w:val="0"/>
          <w:bCs w:val="0"/>
          <w:color w:val="000000"/>
          <w:highlight w:val="none"/>
          <w:u w:val="none"/>
        </w:rPr>
      </w:pPr>
      <w:r>
        <w:rPr>
          <w:b w:val="0"/>
          <w:bCs w:val="0"/>
          <w:color w:val="000000"/>
          <w:highlight w:val="none"/>
          <w:u w:val="none"/>
        </w:rPr>
        <w:t>1</w:t>
      </w:r>
      <w:r>
        <w:rPr>
          <w:rFonts w:hint="eastAsia"/>
          <w:b w:val="0"/>
          <w:bCs w:val="0"/>
          <w:color w:val="000000"/>
          <w:highlight w:val="none"/>
          <w:u w:val="none"/>
          <w:lang w:val="en-US" w:eastAsia="zh-CN"/>
        </w:rPr>
        <w:t>1</w:t>
      </w:r>
      <w:r>
        <w:rPr>
          <w:b w:val="0"/>
          <w:bCs w:val="0"/>
          <w:color w:val="000000"/>
          <w:highlight w:val="none"/>
          <w:u w:val="none"/>
        </w:rPr>
        <w:t>）</w:t>
      </w:r>
      <w:r>
        <w:rPr>
          <w:b w:val="0"/>
          <w:bCs w:val="0"/>
          <w:color w:val="000000"/>
          <w:highlight w:val="none"/>
          <w:u w:val="none"/>
        </w:rPr>
        <w:tab/>
      </w:r>
      <w:r>
        <w:rPr>
          <w:b w:val="0"/>
          <w:bCs w:val="0"/>
          <w:color w:val="000000"/>
          <w:highlight w:val="none"/>
          <w:u w:val="none"/>
        </w:rPr>
        <w:t>投标文件中提供了与采购无关的赠品、回扣或者其他商品、服务；</w:t>
      </w:r>
    </w:p>
    <w:p>
      <w:pPr>
        <w:snapToGrid w:val="0"/>
        <w:spacing w:line="360" w:lineRule="auto"/>
        <w:ind w:firstLine="420" w:firstLineChars="200"/>
        <w:rPr>
          <w:b w:val="0"/>
          <w:bCs w:val="0"/>
          <w:color w:val="000000"/>
          <w:highlight w:val="none"/>
          <w:u w:val="none"/>
        </w:rPr>
      </w:pPr>
      <w:r>
        <w:rPr>
          <w:b w:val="0"/>
          <w:bCs w:val="0"/>
          <w:color w:val="000000"/>
          <w:highlight w:val="none"/>
          <w:u w:val="none"/>
        </w:rPr>
        <w:t>1</w:t>
      </w:r>
      <w:r>
        <w:rPr>
          <w:rFonts w:hint="eastAsia"/>
          <w:b w:val="0"/>
          <w:bCs w:val="0"/>
          <w:color w:val="000000"/>
          <w:highlight w:val="none"/>
          <w:u w:val="none"/>
          <w:lang w:val="en-US" w:eastAsia="zh-CN"/>
        </w:rPr>
        <w:t>2</w:t>
      </w:r>
      <w:r>
        <w:rPr>
          <w:b w:val="0"/>
          <w:bCs w:val="0"/>
          <w:color w:val="000000"/>
          <w:highlight w:val="none"/>
          <w:u w:val="none"/>
        </w:rPr>
        <w:t>）</w:t>
      </w:r>
      <w:r>
        <w:rPr>
          <w:b w:val="0"/>
          <w:bCs w:val="0"/>
          <w:color w:val="000000"/>
          <w:highlight w:val="none"/>
          <w:u w:val="none"/>
        </w:rPr>
        <w:tab/>
      </w:r>
      <w:r>
        <w:rPr>
          <w:rFonts w:hint="eastAsia"/>
          <w:b w:val="0"/>
          <w:bCs w:val="0"/>
          <w:color w:val="000000"/>
          <w:highlight w:val="none"/>
          <w:u w:val="none"/>
        </w:rPr>
        <w:t>供应商</w:t>
      </w:r>
      <w:r>
        <w:rPr>
          <w:b w:val="0"/>
          <w:bCs w:val="0"/>
          <w:color w:val="000000"/>
          <w:highlight w:val="none"/>
          <w:u w:val="none"/>
        </w:rPr>
        <w:t>串通投标，妨碍其他</w:t>
      </w:r>
      <w:r>
        <w:rPr>
          <w:rFonts w:hint="eastAsia"/>
          <w:b w:val="0"/>
          <w:bCs w:val="0"/>
          <w:color w:val="000000"/>
          <w:highlight w:val="none"/>
          <w:u w:val="none"/>
        </w:rPr>
        <w:t>供应商</w:t>
      </w:r>
      <w:r>
        <w:rPr>
          <w:b w:val="0"/>
          <w:bCs w:val="0"/>
          <w:color w:val="000000"/>
          <w:highlight w:val="none"/>
          <w:u w:val="none"/>
        </w:rPr>
        <w:t>的竞争行为，损害采购人或者其他</w:t>
      </w:r>
      <w:r>
        <w:rPr>
          <w:rFonts w:hint="eastAsia"/>
          <w:b w:val="0"/>
          <w:bCs w:val="0"/>
          <w:color w:val="000000"/>
          <w:highlight w:val="none"/>
          <w:u w:val="none"/>
        </w:rPr>
        <w:t>供应商</w:t>
      </w:r>
      <w:r>
        <w:rPr>
          <w:b w:val="0"/>
          <w:bCs w:val="0"/>
          <w:color w:val="000000"/>
          <w:highlight w:val="none"/>
          <w:u w:val="none"/>
        </w:rPr>
        <w:t>的合法权益；</w:t>
      </w:r>
    </w:p>
    <w:p>
      <w:pPr>
        <w:snapToGrid w:val="0"/>
        <w:spacing w:line="360" w:lineRule="auto"/>
        <w:ind w:firstLine="420" w:firstLineChars="200"/>
        <w:rPr>
          <w:b w:val="0"/>
          <w:bCs w:val="0"/>
          <w:color w:val="000000"/>
          <w:highlight w:val="none"/>
          <w:u w:val="none"/>
        </w:rPr>
      </w:pPr>
      <w:r>
        <w:rPr>
          <w:b w:val="0"/>
          <w:bCs w:val="0"/>
          <w:color w:val="000000"/>
          <w:highlight w:val="none"/>
          <w:u w:val="none"/>
        </w:rPr>
        <w:t>1</w:t>
      </w:r>
      <w:r>
        <w:rPr>
          <w:rFonts w:hint="eastAsia"/>
          <w:b w:val="0"/>
          <w:bCs w:val="0"/>
          <w:color w:val="000000"/>
          <w:highlight w:val="none"/>
          <w:u w:val="none"/>
          <w:lang w:val="en-US" w:eastAsia="zh-CN"/>
        </w:rPr>
        <w:t>3</w:t>
      </w:r>
      <w:r>
        <w:rPr>
          <w:b w:val="0"/>
          <w:bCs w:val="0"/>
          <w:color w:val="000000"/>
          <w:highlight w:val="none"/>
          <w:u w:val="none"/>
        </w:rPr>
        <w:t>）</w:t>
      </w:r>
      <w:r>
        <w:rPr>
          <w:b w:val="0"/>
          <w:bCs w:val="0"/>
          <w:color w:val="000000"/>
          <w:highlight w:val="none"/>
          <w:u w:val="none"/>
        </w:rPr>
        <w:tab/>
      </w:r>
      <w:r>
        <w:rPr>
          <w:b w:val="0"/>
          <w:bCs w:val="0"/>
          <w:color w:val="000000"/>
          <w:highlight w:val="none"/>
          <w:u w:val="none"/>
        </w:rPr>
        <w:t>违反国家及政府部门相关法律、法规、文件规定或经评标委员会认定的其他属于重大偏离。</w:t>
      </w:r>
    </w:p>
    <w:p>
      <w:pPr>
        <w:snapToGrid w:val="0"/>
        <w:spacing w:line="360" w:lineRule="auto"/>
        <w:ind w:firstLine="420" w:firstLineChars="200"/>
        <w:rPr>
          <w:color w:val="auto"/>
          <w:highlight w:val="none"/>
        </w:rPr>
      </w:pPr>
      <w:r>
        <w:rPr>
          <w:rFonts w:hint="eastAsia"/>
          <w:color w:val="auto"/>
          <w:highlight w:val="none"/>
        </w:rPr>
        <w:t>5.7.3</w:t>
      </w:r>
      <w:r>
        <w:rPr>
          <w:color w:val="auto"/>
          <w:highlight w:val="none"/>
        </w:rPr>
        <w:t>报价文件评审阶段：</w:t>
      </w:r>
    </w:p>
    <w:p>
      <w:pPr>
        <w:snapToGrid w:val="0"/>
        <w:spacing w:line="360" w:lineRule="auto"/>
        <w:ind w:firstLine="420" w:firstLineChars="200"/>
        <w:rPr>
          <w:color w:val="auto"/>
          <w:highlight w:val="none"/>
        </w:rPr>
      </w:pPr>
      <w:r>
        <w:rPr>
          <w:color w:val="auto"/>
          <w:highlight w:val="none"/>
        </w:rPr>
        <w:t>有下列情形之一的投标文件，由评标委员会按少数服从多数原则进行认定，经认定属实后将该投标文件作无效标处理：</w:t>
      </w:r>
    </w:p>
    <w:p>
      <w:pPr>
        <w:snapToGrid w:val="0"/>
        <w:spacing w:line="360" w:lineRule="auto"/>
        <w:ind w:firstLine="420" w:firstLineChars="200"/>
        <w:rPr>
          <w:color w:val="000000"/>
          <w:highlight w:val="none"/>
        </w:rPr>
      </w:pPr>
      <w:r>
        <w:rPr>
          <w:color w:val="000000"/>
          <w:highlight w:val="none"/>
        </w:rPr>
        <w:t>1）</w:t>
      </w:r>
      <w:r>
        <w:rPr>
          <w:color w:val="000000"/>
          <w:highlight w:val="none"/>
        </w:rPr>
        <w:tab/>
      </w:r>
      <w:r>
        <w:rPr>
          <w:rFonts w:hint="eastAsia"/>
          <w:color w:val="000000"/>
          <w:highlight w:val="none"/>
        </w:rPr>
        <w:t>供应商</w:t>
      </w:r>
      <w:r>
        <w:rPr>
          <w:color w:val="000000"/>
          <w:highlight w:val="none"/>
        </w:rPr>
        <w:t>提交两份或两份以上内容不同的投标报价，未声明哪一份有效的；</w:t>
      </w:r>
    </w:p>
    <w:p>
      <w:pPr>
        <w:snapToGrid w:val="0"/>
        <w:spacing w:line="360" w:lineRule="auto"/>
        <w:ind w:firstLine="420" w:firstLineChars="200"/>
        <w:rPr>
          <w:color w:val="000000"/>
          <w:highlight w:val="none"/>
        </w:rPr>
      </w:pPr>
      <w:r>
        <w:rPr>
          <w:color w:val="000000"/>
          <w:highlight w:val="none"/>
        </w:rPr>
        <w:t>2）</w:t>
      </w:r>
      <w:r>
        <w:rPr>
          <w:color w:val="000000"/>
          <w:highlight w:val="none"/>
        </w:rPr>
        <w:tab/>
      </w:r>
      <w:r>
        <w:rPr>
          <w:color w:val="000000"/>
          <w:highlight w:val="none"/>
        </w:rPr>
        <w:t>投标文件内容未按采购文件规定盖章的；</w:t>
      </w:r>
    </w:p>
    <w:p>
      <w:pPr>
        <w:snapToGrid w:val="0"/>
        <w:spacing w:line="360" w:lineRule="auto"/>
        <w:ind w:firstLine="420" w:firstLineChars="200"/>
        <w:rPr>
          <w:color w:val="000000"/>
          <w:highlight w:val="none"/>
        </w:rPr>
      </w:pPr>
      <w:r>
        <w:rPr>
          <w:color w:val="000000"/>
          <w:highlight w:val="none"/>
        </w:rPr>
        <w:t>3）</w:t>
      </w:r>
      <w:r>
        <w:rPr>
          <w:color w:val="000000"/>
          <w:highlight w:val="none"/>
        </w:rPr>
        <w:tab/>
      </w:r>
      <w:r>
        <w:rPr>
          <w:color w:val="000000"/>
          <w:highlight w:val="none"/>
        </w:rPr>
        <w:t>《开标一览表》和《投标价格组成明细表》内容不完整且不接受修正意见或字迹不能辨认的或未提供；</w:t>
      </w:r>
    </w:p>
    <w:p>
      <w:pPr>
        <w:snapToGrid w:val="0"/>
        <w:spacing w:line="360" w:lineRule="auto"/>
        <w:ind w:firstLine="420" w:firstLineChars="200"/>
        <w:rPr>
          <w:color w:val="000000"/>
          <w:highlight w:val="none"/>
        </w:rPr>
      </w:pPr>
      <w:r>
        <w:rPr>
          <w:color w:val="000000"/>
          <w:highlight w:val="none"/>
        </w:rPr>
        <w:t>4）</w:t>
      </w:r>
      <w:r>
        <w:rPr>
          <w:color w:val="000000"/>
          <w:highlight w:val="none"/>
        </w:rPr>
        <w:tab/>
      </w:r>
      <w:r>
        <w:rPr>
          <w:color w:val="000000"/>
          <w:highlight w:val="none"/>
        </w:rPr>
        <w:t>所投标项的投标报价超过采购文件规定的预算金额或最高限价；</w:t>
      </w:r>
    </w:p>
    <w:p>
      <w:pPr>
        <w:snapToGrid w:val="0"/>
        <w:spacing w:line="360" w:lineRule="auto"/>
        <w:ind w:firstLine="420" w:firstLineChars="200"/>
        <w:rPr>
          <w:rFonts w:hint="eastAsia"/>
          <w:color w:val="000000"/>
          <w:highlight w:val="none"/>
        </w:rPr>
      </w:pPr>
      <w:r>
        <w:rPr>
          <w:color w:val="000000"/>
          <w:highlight w:val="none"/>
        </w:rPr>
        <w:t>5）</w:t>
      </w:r>
      <w:r>
        <w:rPr>
          <w:color w:val="000000"/>
          <w:highlight w:val="none"/>
        </w:rPr>
        <w:tab/>
      </w:r>
      <w:r>
        <w:rPr>
          <w:color w:val="000000"/>
          <w:highlight w:val="none"/>
        </w:rPr>
        <w:t>《开标一览表》投标报价为零的，或其报价（大写）无法按正常书写方式进行报价唱标的或无投标报价的；</w:t>
      </w:r>
    </w:p>
    <w:p>
      <w:pPr>
        <w:snapToGrid w:val="0"/>
        <w:spacing w:line="360" w:lineRule="auto"/>
        <w:ind w:firstLine="420" w:firstLineChars="200"/>
        <w:rPr>
          <w:color w:val="000000"/>
          <w:highlight w:val="none"/>
        </w:rPr>
      </w:pPr>
      <w:r>
        <w:rPr>
          <w:rFonts w:hint="eastAsia"/>
          <w:color w:val="000000"/>
          <w:highlight w:val="none"/>
        </w:rPr>
        <w:t>6</w:t>
      </w:r>
      <w:r>
        <w:rPr>
          <w:color w:val="000000"/>
          <w:highlight w:val="none"/>
        </w:rPr>
        <w:t>）</w:t>
      </w:r>
      <w:r>
        <w:rPr>
          <w:rFonts w:hint="eastAsia"/>
          <w:color w:val="000000"/>
          <w:highlight w:val="none"/>
          <w:lang w:val="en-US" w:eastAsia="zh-CN"/>
        </w:rPr>
        <w:t>供应商</w:t>
      </w:r>
      <w:r>
        <w:rPr>
          <w:rFonts w:hint="eastAsia"/>
          <w:color w:val="000000"/>
          <w:highlight w:val="none"/>
        </w:rPr>
        <w:t>的报价明显低于其他通过符合性审查</w:t>
      </w:r>
      <w:r>
        <w:rPr>
          <w:rFonts w:hint="eastAsia"/>
          <w:color w:val="000000"/>
          <w:highlight w:val="none"/>
          <w:lang w:val="en-US" w:eastAsia="zh-CN"/>
        </w:rPr>
        <w:t>供应商</w:t>
      </w:r>
      <w:r>
        <w:rPr>
          <w:rFonts w:hint="eastAsia"/>
          <w:color w:val="000000"/>
          <w:highlight w:val="none"/>
        </w:rPr>
        <w:t>的报价，有可能影响</w:t>
      </w:r>
      <w:r>
        <w:rPr>
          <w:rFonts w:hint="eastAsia"/>
          <w:color w:val="000000"/>
          <w:highlight w:val="none"/>
          <w:lang w:eastAsia="zh-CN"/>
        </w:rPr>
        <w:t>产品或服务</w:t>
      </w:r>
      <w:r>
        <w:rPr>
          <w:rFonts w:hint="eastAsia"/>
          <w:color w:val="000000"/>
          <w:highlight w:val="none"/>
        </w:rPr>
        <w:t>质量或者不能诚信履约，评标委员会要求其在评标现场合理的时间内提供书面说明</w:t>
      </w:r>
      <w:r>
        <w:rPr>
          <w:rFonts w:hint="eastAsia"/>
          <w:color w:val="000000"/>
          <w:highlight w:val="none"/>
          <w:lang w:eastAsia="zh-CN"/>
        </w:rPr>
        <w:t>（</w:t>
      </w:r>
      <w:r>
        <w:rPr>
          <w:rFonts w:hint="eastAsia"/>
          <w:color w:val="000000"/>
          <w:highlight w:val="none"/>
          <w:lang w:val="en-US" w:eastAsia="zh-CN"/>
        </w:rPr>
        <w:t>必要时提交</w:t>
      </w:r>
      <w:r>
        <w:rPr>
          <w:rFonts w:hint="eastAsia"/>
          <w:color w:val="000000"/>
          <w:highlight w:val="none"/>
        </w:rPr>
        <w:t>相关证明材料</w:t>
      </w:r>
      <w:r>
        <w:rPr>
          <w:rFonts w:hint="eastAsia"/>
          <w:color w:val="000000"/>
          <w:highlight w:val="none"/>
          <w:lang w:eastAsia="zh-CN"/>
        </w:rPr>
        <w:t>），</w:t>
      </w:r>
      <w:r>
        <w:rPr>
          <w:rFonts w:hint="eastAsia"/>
          <w:color w:val="000000"/>
          <w:highlight w:val="none"/>
          <w:lang w:val="en-US" w:eastAsia="zh-CN"/>
        </w:rPr>
        <w:t>供应商</w:t>
      </w:r>
      <w:r>
        <w:rPr>
          <w:rFonts w:hint="eastAsia"/>
          <w:color w:val="000000"/>
          <w:highlight w:val="none"/>
          <w:lang w:eastAsia="zh-CN"/>
        </w:rPr>
        <w:t>未提供书面说明的或提供的书面说明（相关证明材料）不能证明其报价合理性的</w:t>
      </w:r>
      <w:r>
        <w:rPr>
          <w:color w:val="000000"/>
          <w:highlight w:val="none"/>
        </w:rPr>
        <w:t>；</w:t>
      </w:r>
    </w:p>
    <w:p>
      <w:pPr>
        <w:snapToGrid w:val="0"/>
        <w:spacing w:line="360" w:lineRule="auto"/>
        <w:ind w:firstLine="420" w:firstLineChars="200"/>
        <w:rPr>
          <w:color w:val="000000"/>
          <w:highlight w:val="none"/>
        </w:rPr>
      </w:pPr>
      <w:r>
        <w:rPr>
          <w:rFonts w:hint="eastAsia"/>
          <w:color w:val="000000"/>
          <w:highlight w:val="none"/>
        </w:rPr>
        <w:t>7</w:t>
      </w:r>
      <w:r>
        <w:rPr>
          <w:color w:val="000000"/>
          <w:highlight w:val="none"/>
        </w:rPr>
        <w:t>）投标文件内容不全或内容字迹模糊辨认不清的等而导致评标活动无法正常进行；</w:t>
      </w:r>
    </w:p>
    <w:p>
      <w:pPr>
        <w:snapToGrid w:val="0"/>
        <w:spacing w:line="360" w:lineRule="auto"/>
        <w:ind w:firstLine="420" w:firstLineChars="200"/>
        <w:rPr>
          <w:color w:val="000000"/>
          <w:highlight w:val="none"/>
        </w:rPr>
      </w:pPr>
      <w:r>
        <w:rPr>
          <w:rFonts w:hint="eastAsia"/>
          <w:color w:val="000000"/>
          <w:highlight w:val="none"/>
        </w:rPr>
        <w:t>8</w:t>
      </w:r>
      <w:r>
        <w:rPr>
          <w:color w:val="000000"/>
          <w:highlight w:val="none"/>
        </w:rPr>
        <w:t>）</w:t>
      </w:r>
      <w:r>
        <w:rPr>
          <w:color w:val="000000"/>
          <w:highlight w:val="none"/>
        </w:rPr>
        <w:tab/>
      </w:r>
      <w:r>
        <w:rPr>
          <w:rFonts w:hint="eastAsia"/>
          <w:color w:val="000000"/>
          <w:highlight w:val="none"/>
        </w:rPr>
        <w:t>供应商</w:t>
      </w:r>
      <w:r>
        <w:rPr>
          <w:color w:val="000000"/>
          <w:highlight w:val="none"/>
        </w:rPr>
        <w:t>未按采购文件变更通知更改投标文件的；</w:t>
      </w:r>
    </w:p>
    <w:p>
      <w:pPr>
        <w:snapToGrid w:val="0"/>
        <w:spacing w:line="360" w:lineRule="auto"/>
        <w:ind w:firstLine="420" w:firstLineChars="200"/>
        <w:rPr>
          <w:color w:val="000000"/>
          <w:highlight w:val="none"/>
        </w:rPr>
      </w:pPr>
      <w:r>
        <w:rPr>
          <w:rFonts w:hint="eastAsia"/>
          <w:color w:val="000000"/>
          <w:highlight w:val="none"/>
        </w:rPr>
        <w:t>9</w:t>
      </w:r>
      <w:r>
        <w:rPr>
          <w:color w:val="000000"/>
          <w:highlight w:val="none"/>
        </w:rPr>
        <w:t>）</w:t>
      </w:r>
      <w:r>
        <w:rPr>
          <w:color w:val="000000"/>
          <w:highlight w:val="none"/>
        </w:rPr>
        <w:tab/>
      </w:r>
      <w:r>
        <w:rPr>
          <w:color w:val="000000"/>
          <w:highlight w:val="none"/>
        </w:rPr>
        <w:t>未实质性响应采购文件中带“▲”条款要求的投标文件；</w:t>
      </w:r>
    </w:p>
    <w:p>
      <w:pPr>
        <w:snapToGrid w:val="0"/>
        <w:spacing w:line="360" w:lineRule="auto"/>
        <w:ind w:firstLine="420" w:firstLineChars="200"/>
        <w:rPr>
          <w:color w:val="000000"/>
          <w:highlight w:val="none"/>
        </w:rPr>
      </w:pPr>
      <w:r>
        <w:rPr>
          <w:color w:val="000000"/>
          <w:highlight w:val="none"/>
        </w:rPr>
        <w:t>1</w:t>
      </w:r>
      <w:r>
        <w:rPr>
          <w:rFonts w:hint="eastAsia"/>
          <w:color w:val="000000"/>
          <w:highlight w:val="none"/>
        </w:rPr>
        <w:t>0</w:t>
      </w:r>
      <w:r>
        <w:rPr>
          <w:color w:val="000000"/>
          <w:highlight w:val="none"/>
        </w:rPr>
        <w:t>）</w:t>
      </w:r>
      <w:r>
        <w:rPr>
          <w:color w:val="000000"/>
          <w:highlight w:val="none"/>
        </w:rPr>
        <w:tab/>
      </w:r>
      <w:r>
        <w:rPr>
          <w:color w:val="000000"/>
          <w:highlight w:val="none"/>
        </w:rPr>
        <w:t>投标文件附有采购人不能接受的条款；</w:t>
      </w:r>
    </w:p>
    <w:p>
      <w:pPr>
        <w:snapToGrid w:val="0"/>
        <w:spacing w:line="360" w:lineRule="auto"/>
        <w:ind w:firstLine="420" w:firstLineChars="200"/>
        <w:rPr>
          <w:rFonts w:hint="eastAsia"/>
          <w:color w:val="000000"/>
          <w:highlight w:val="none"/>
        </w:rPr>
      </w:pPr>
      <w:r>
        <w:rPr>
          <w:rFonts w:hint="default" w:ascii="Times New Roman" w:hAnsi="Times New Roman" w:eastAsia="宋体" w:cs="Times New Roman"/>
          <w:color w:val="000000"/>
          <w:highlight w:val="none"/>
          <w:u w:val="none"/>
          <w:lang w:val="en-US" w:eastAsia="zh-CN"/>
        </w:rPr>
        <w:t>11）</w:t>
      </w:r>
      <w:r>
        <w:rPr>
          <w:rFonts w:hint="default" w:ascii="Times New Roman" w:hAnsi="Times New Roman" w:eastAsia="宋体" w:cs="Times New Roman"/>
          <w:color w:val="000000"/>
          <w:highlight w:val="none"/>
          <w:u w:val="none"/>
          <w:lang w:eastAsia="zh-CN"/>
        </w:rPr>
        <w:t>供应商</w:t>
      </w:r>
      <w:r>
        <w:rPr>
          <w:rFonts w:hint="default" w:ascii="Times New Roman" w:hAnsi="Times New Roman" w:eastAsia="宋体" w:cs="Times New Roman"/>
          <w:color w:val="000000"/>
          <w:highlight w:val="none"/>
          <w:u w:val="none"/>
        </w:rPr>
        <w:t>提供虚假材料投标的</w:t>
      </w:r>
      <w:r>
        <w:rPr>
          <w:rFonts w:hint="eastAsia" w:ascii="Times New Roman" w:hAnsi="Times New Roman" w:eastAsia="宋体" w:cs="Times New Roman"/>
          <w:color w:val="000000"/>
          <w:highlight w:val="none"/>
          <w:lang w:eastAsia="zh-CN"/>
        </w:rPr>
        <w:t>，或投标响应情况与事实不符的</w:t>
      </w:r>
      <w:r>
        <w:rPr>
          <w:rFonts w:hint="default" w:ascii="Times New Roman" w:hAnsi="Times New Roman" w:eastAsia="宋体" w:cs="Times New Roman"/>
          <w:color w:val="000000"/>
          <w:highlight w:val="none"/>
          <w:u w:val="none"/>
          <w:lang w:eastAsia="zh-CN"/>
        </w:rPr>
        <w:t>；</w:t>
      </w:r>
    </w:p>
    <w:p>
      <w:pPr>
        <w:snapToGrid w:val="0"/>
        <w:spacing w:line="360" w:lineRule="auto"/>
        <w:ind w:firstLine="420" w:firstLineChars="200"/>
        <w:rPr>
          <w:color w:val="000000"/>
          <w:highlight w:val="none"/>
        </w:rPr>
      </w:pPr>
      <w:r>
        <w:rPr>
          <w:rFonts w:hint="eastAsia"/>
          <w:color w:val="000000"/>
          <w:highlight w:val="none"/>
        </w:rPr>
        <w:t>1</w:t>
      </w:r>
      <w:r>
        <w:rPr>
          <w:rFonts w:hint="eastAsia"/>
          <w:color w:val="000000"/>
          <w:highlight w:val="none"/>
          <w:lang w:val="en-US" w:eastAsia="zh-CN"/>
        </w:rPr>
        <w:t>2</w:t>
      </w:r>
      <w:r>
        <w:rPr>
          <w:color w:val="000000"/>
          <w:highlight w:val="none"/>
        </w:rPr>
        <w:t>）投标文件中提供了与采购无关的赠品、回扣或者其他商品、服务；</w:t>
      </w:r>
    </w:p>
    <w:p>
      <w:pPr>
        <w:snapToGrid w:val="0"/>
        <w:spacing w:line="360" w:lineRule="auto"/>
        <w:ind w:firstLine="420" w:firstLineChars="200"/>
        <w:rPr>
          <w:color w:val="000000"/>
          <w:highlight w:val="none"/>
        </w:rPr>
      </w:pPr>
      <w:r>
        <w:rPr>
          <w:color w:val="000000"/>
          <w:highlight w:val="none"/>
        </w:rPr>
        <w:t>1</w:t>
      </w:r>
      <w:r>
        <w:rPr>
          <w:rFonts w:hint="eastAsia"/>
          <w:color w:val="000000"/>
          <w:highlight w:val="none"/>
          <w:lang w:val="en-US" w:eastAsia="zh-CN"/>
        </w:rPr>
        <w:t>3</w:t>
      </w:r>
      <w:r>
        <w:rPr>
          <w:color w:val="000000"/>
          <w:highlight w:val="none"/>
        </w:rPr>
        <w:t>）</w:t>
      </w:r>
      <w:r>
        <w:rPr>
          <w:color w:val="000000"/>
          <w:highlight w:val="none"/>
        </w:rPr>
        <w:tab/>
      </w:r>
      <w:r>
        <w:rPr>
          <w:rFonts w:hint="eastAsia"/>
          <w:color w:val="000000"/>
          <w:highlight w:val="none"/>
        </w:rPr>
        <w:t>供应商</w:t>
      </w:r>
      <w:r>
        <w:rPr>
          <w:color w:val="000000"/>
          <w:highlight w:val="none"/>
        </w:rPr>
        <w:t>串通投标，妨碍其他</w:t>
      </w:r>
      <w:r>
        <w:rPr>
          <w:rFonts w:hint="eastAsia"/>
          <w:color w:val="000000"/>
          <w:highlight w:val="none"/>
        </w:rPr>
        <w:t>供应商</w:t>
      </w:r>
      <w:r>
        <w:rPr>
          <w:color w:val="000000"/>
          <w:highlight w:val="none"/>
        </w:rPr>
        <w:t>的竞争行为，损害采购人或者其他</w:t>
      </w:r>
      <w:r>
        <w:rPr>
          <w:rFonts w:hint="eastAsia"/>
          <w:color w:val="000000"/>
          <w:highlight w:val="none"/>
        </w:rPr>
        <w:t>供应商</w:t>
      </w:r>
      <w:r>
        <w:rPr>
          <w:color w:val="000000"/>
          <w:highlight w:val="none"/>
        </w:rPr>
        <w:t>的合法权益；</w:t>
      </w:r>
    </w:p>
    <w:p>
      <w:pPr>
        <w:snapToGrid w:val="0"/>
        <w:spacing w:line="360" w:lineRule="auto"/>
        <w:ind w:firstLine="420" w:firstLineChars="200"/>
        <w:rPr>
          <w:color w:val="000000"/>
          <w:highlight w:val="none"/>
        </w:rPr>
      </w:pPr>
      <w:r>
        <w:rPr>
          <w:color w:val="000000"/>
          <w:highlight w:val="none"/>
        </w:rPr>
        <w:t>1</w:t>
      </w:r>
      <w:r>
        <w:rPr>
          <w:rFonts w:hint="eastAsia"/>
          <w:color w:val="000000"/>
          <w:highlight w:val="none"/>
          <w:lang w:val="en-US" w:eastAsia="zh-CN"/>
        </w:rPr>
        <w:t>4</w:t>
      </w:r>
      <w:r>
        <w:rPr>
          <w:color w:val="000000"/>
          <w:highlight w:val="none"/>
        </w:rPr>
        <w:t>）</w:t>
      </w:r>
      <w:r>
        <w:rPr>
          <w:color w:val="000000"/>
          <w:highlight w:val="none"/>
        </w:rPr>
        <w:tab/>
      </w:r>
      <w:r>
        <w:rPr>
          <w:color w:val="000000"/>
          <w:highlight w:val="none"/>
        </w:rPr>
        <w:t>违反国家及政府部门相关法律、法规、文件规定或经评标委员会认定的其他属于重大偏离。</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5.8 串通投标</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有下列情形之一的，视为</w:t>
      </w:r>
      <w:r>
        <w:rPr>
          <w:rFonts w:hint="eastAsia" w:ascii="Times New Roman" w:hAnsi="Times New Roman"/>
          <w:color w:val="auto"/>
          <w:highlight w:val="none"/>
        </w:rPr>
        <w:t>供应商</w:t>
      </w:r>
      <w:r>
        <w:rPr>
          <w:rFonts w:ascii="Times New Roman" w:hAnsi="Times New Roman"/>
          <w:color w:val="auto"/>
          <w:highlight w:val="none"/>
        </w:rPr>
        <w:t>串通投标：</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1）不同</w:t>
      </w:r>
      <w:r>
        <w:rPr>
          <w:rFonts w:hint="eastAsia" w:ascii="Times New Roman" w:hAnsi="Times New Roman"/>
          <w:color w:val="auto"/>
          <w:highlight w:val="none"/>
        </w:rPr>
        <w:t>供应商</w:t>
      </w:r>
      <w:r>
        <w:rPr>
          <w:rFonts w:ascii="Times New Roman" w:hAnsi="Times New Roman"/>
          <w:color w:val="auto"/>
          <w:highlight w:val="none"/>
        </w:rPr>
        <w:t>的投标文件由同一单位或者个人编制；</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2）不同</w:t>
      </w:r>
      <w:r>
        <w:rPr>
          <w:rFonts w:hint="eastAsia" w:ascii="Times New Roman" w:hAnsi="Times New Roman"/>
          <w:color w:val="auto"/>
          <w:highlight w:val="none"/>
        </w:rPr>
        <w:t>供应商</w:t>
      </w:r>
      <w:r>
        <w:rPr>
          <w:rFonts w:ascii="Times New Roman" w:hAnsi="Times New Roman"/>
          <w:color w:val="auto"/>
          <w:highlight w:val="none"/>
        </w:rPr>
        <w:t>委托同一单位或者个人办理投标事宜；</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3）不同</w:t>
      </w:r>
      <w:r>
        <w:rPr>
          <w:rFonts w:hint="eastAsia" w:ascii="Times New Roman" w:hAnsi="Times New Roman"/>
          <w:color w:val="auto"/>
          <w:highlight w:val="none"/>
        </w:rPr>
        <w:t>供应商</w:t>
      </w:r>
      <w:r>
        <w:rPr>
          <w:rFonts w:ascii="Times New Roman" w:hAnsi="Times New Roman"/>
          <w:color w:val="auto"/>
          <w:highlight w:val="none"/>
        </w:rPr>
        <w:t>的投标文件载明的项目管理成员或者联系人员为同一人；</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4）不同</w:t>
      </w:r>
      <w:r>
        <w:rPr>
          <w:rFonts w:hint="eastAsia" w:ascii="Times New Roman" w:hAnsi="Times New Roman"/>
          <w:color w:val="auto"/>
          <w:highlight w:val="none"/>
        </w:rPr>
        <w:t>供应商</w:t>
      </w:r>
      <w:r>
        <w:rPr>
          <w:rFonts w:ascii="Times New Roman" w:hAnsi="Times New Roman"/>
          <w:color w:val="auto"/>
          <w:highlight w:val="none"/>
        </w:rPr>
        <w:t>的投标文件异常一致或者投标报价呈规律性差异；</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5）不同</w:t>
      </w:r>
      <w:r>
        <w:rPr>
          <w:rFonts w:hint="eastAsia" w:ascii="Times New Roman" w:hAnsi="Times New Roman"/>
          <w:color w:val="auto"/>
          <w:highlight w:val="none"/>
        </w:rPr>
        <w:t>供应商</w:t>
      </w:r>
      <w:r>
        <w:rPr>
          <w:rFonts w:ascii="Times New Roman" w:hAnsi="Times New Roman"/>
          <w:color w:val="auto"/>
          <w:highlight w:val="none"/>
        </w:rPr>
        <w:t>的投标文件相互混装。</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5.9 评标</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5.9.1 采购人将按相关规定组织评标委员会，对投标文件进行审查、比较和评价。</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5.9.2评标办法</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评标办法详见第四章。</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5.10 有效</w:t>
      </w:r>
      <w:r>
        <w:rPr>
          <w:rFonts w:hint="eastAsia" w:ascii="Times New Roman" w:hAnsi="Times New Roman"/>
          <w:color w:val="auto"/>
          <w:highlight w:val="none"/>
        </w:rPr>
        <w:t>供应商</w:t>
      </w:r>
      <w:r>
        <w:rPr>
          <w:rFonts w:ascii="Times New Roman" w:hAnsi="Times New Roman"/>
          <w:color w:val="auto"/>
          <w:highlight w:val="none"/>
        </w:rPr>
        <w:t>少于三家的情况处理</w:t>
      </w:r>
    </w:p>
    <w:p>
      <w:pPr>
        <w:pStyle w:val="192"/>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评审期间，出现符合资格条件的供应商或者对采购文件做出实质响应的供应商不足三家，本标项作废标处理，重新组织采购</w:t>
      </w:r>
      <w:r>
        <w:rPr>
          <w:rFonts w:hint="eastAsia" w:ascii="Times New Roman" w:hAnsi="Times New Roman"/>
          <w:color w:val="auto"/>
          <w:highlight w:val="none"/>
        </w:rPr>
        <w:t>。</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5.11 废标</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在招标采购中，出现下列情形之一的，应予废标：</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（1）符合采购文件规定废标情形的；</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（2）出现影响采购公正的违法、违规行为的；</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供应商</w:t>
      </w:r>
      <w:r>
        <w:rPr>
          <w:rFonts w:ascii="Times New Roman" w:hAnsi="Times New Roman"/>
          <w:color w:val="auto"/>
          <w:highlight w:val="none"/>
        </w:rPr>
        <w:t>的报价均超过了采购预算，采购人不能支付的；</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（4）因重大变故，采购任务取消的；</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5.12 确定采购结果</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采购代理机构自评审结束之日起2个工作日内将评审报告送交采购人。采购人自收到评审报告之日起5个工作日内在评审报告推荐的中标候选人中按顺序确定中标人。</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5.13 结果公告</w:t>
      </w:r>
    </w:p>
    <w:p>
      <w:pPr>
        <w:pStyle w:val="192"/>
        <w:snapToGrid w:val="0"/>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采购代理机构自中标人确定之日起2个工作日内，在省级以上财政部门指定的媒体上公告中标结果，在公告中标结果的同时，采购代理机构向中标人发出中标通知书。</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w:t>
      </w:r>
      <w:r>
        <w:rPr>
          <w:rFonts w:ascii="Times New Roman" w:hAnsi="Times New Roman"/>
          <w:bCs/>
          <w:color w:val="auto"/>
          <w:highlight w:val="none"/>
        </w:rPr>
        <w:t xml:space="preserve">14 </w:t>
      </w:r>
      <w:r>
        <w:rPr>
          <w:rFonts w:ascii="Times New Roman" w:hAnsi="Times New Roman"/>
          <w:color w:val="auto"/>
          <w:highlight w:val="none"/>
        </w:rPr>
        <w:t>采购过程、采购结果质疑</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5.14.1</w:t>
      </w:r>
      <w:r>
        <w:rPr>
          <w:rFonts w:hint="eastAsia" w:ascii="Times New Roman" w:hAnsi="Times New Roman"/>
          <w:color w:val="auto"/>
          <w:highlight w:val="none"/>
        </w:rPr>
        <w:t>供应商</w:t>
      </w:r>
      <w:r>
        <w:rPr>
          <w:rFonts w:ascii="Times New Roman" w:hAnsi="Times New Roman"/>
          <w:color w:val="auto"/>
          <w:highlight w:val="none"/>
        </w:rPr>
        <w:t>认为采购过程、采购结果使自己的合法权益受到损害的，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5.14.2质疑书须包括以下内容：</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5.14.3采购过程的质疑期限自各采购程序环节结束之日起计算，7个工作日内向采购代理机构提出，逾期提出不予受理。</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采购结果的质疑期限自采购结果公告</w:t>
      </w:r>
      <w:r>
        <w:rPr>
          <w:rFonts w:ascii="Times New Roman" w:hAnsi="Times New Roman"/>
          <w:color w:val="auto"/>
          <w:szCs w:val="21"/>
          <w:highlight w:val="none"/>
        </w:rPr>
        <w:t>期限届满之日（自本公告发布之日起至第2日24时止）</w:t>
      </w:r>
      <w:r>
        <w:rPr>
          <w:rFonts w:ascii="Times New Roman" w:hAnsi="Times New Roman"/>
          <w:color w:val="auto"/>
          <w:highlight w:val="none"/>
        </w:rPr>
        <w:t>之日起计算，7个工作日内向采购代理机构提出，逾期提出不予受理。</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5.14.4质疑书中涉及的相关材料中有外文资料的，应当将与质疑相关的外文资料完整、客观、真实地翻译为中文，并注明翻译人员姓名、工作单位、联系方式等信息。</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5.14.5质疑书必须署名，供应商为自然人的，应当由本人签字；供应商为法人或者其他组织的，应当由法定代表人、主要负责人，或者其授权代表签字或者盖章，并加盖公章，否则不予受理。</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5.14.6质疑书以直接提交、传真或邮寄方式提交（一式三份）。</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5.14.7质疑书以传真形式提交后，同时须向采购代理机构提交质疑书原件，采购代理机构以收到原件之日作为收到质疑日。</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5.14.8供应商不得捏造事实、提供虚假材料或者以非法手段取得证明材料进行质疑。</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5.15 发出中标通知书</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5.15.1采购人及采购代理机构将以书面形式向中标人发出中标通知书。中标通知书发出后，采购人不得违法改变中标结果，中标人无正当理由不得放弃中标。</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5.16 签订合同</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5.16.1采购人应当自中标通知书发出之日起30日内，按照采购文件和中标人投标文件的规定，与中标人签订书面合同。所签订的合同不得对采购文件确定的事项和中标人投标文件作实质性修改。</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5.16.2采购文件及补充文件、中标人的投标文件及投标修改文件、评标过程中有关澄清文件和中标通知书均作为合同附件。</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5.16.3拒签合同的责任</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中标人接到中标通知书后，在规定时间内借故否认已经承诺的条件而拒签合同者，以投标违约处理，应赔偿采购人由此造成的直接经济损失。</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5.17 采购代理服务费</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5.17.1 中标人须向采购代理机构按如下标准和规定交纳中标服务费。</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5.17.2 以</w:t>
      </w:r>
      <w:r>
        <w:rPr>
          <w:rFonts w:hint="eastAsia" w:ascii="Times New Roman" w:hAnsi="Times New Roman"/>
          <w:color w:val="auto"/>
          <w:highlight w:val="none"/>
        </w:rPr>
        <w:t>中标金额</w:t>
      </w:r>
      <w:r>
        <w:rPr>
          <w:rFonts w:ascii="Times New Roman" w:hAnsi="Times New Roman"/>
          <w:color w:val="auto"/>
          <w:highlight w:val="none"/>
        </w:rPr>
        <w:t>作为收费的计算基数。</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5.17.3 中标服务费按计价[2002]1980号文规定</w:t>
      </w:r>
      <w:r>
        <w:rPr>
          <w:rFonts w:hint="eastAsia" w:ascii="宋体" w:hAnsi="宋体" w:cs="宋体"/>
          <w:color w:val="auto"/>
          <w:szCs w:val="21"/>
          <w:highlight w:val="none"/>
        </w:rPr>
        <w:t>×80</w:t>
      </w:r>
      <w:r>
        <w:rPr>
          <w:rFonts w:ascii="Times New Roman" w:hAnsi="Times New Roman"/>
          <w:color w:val="auto"/>
          <w:szCs w:val="21"/>
          <w:highlight w:val="none"/>
        </w:rPr>
        <w:t>%</w:t>
      </w:r>
      <w:r>
        <w:rPr>
          <w:rFonts w:ascii="Times New Roman" w:hAnsi="Times New Roman"/>
          <w:color w:val="auto"/>
          <w:highlight w:val="none"/>
        </w:rPr>
        <w:t>（见下）收取：</w:t>
      </w:r>
    </w:p>
    <w:tbl>
      <w:tblPr>
        <w:tblStyle w:val="80"/>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auto"/>
                <w:kern w:val="0"/>
                <w:szCs w:val="21"/>
                <w:highlight w:val="none"/>
              </w:rPr>
            </w:pPr>
            <w:r>
              <w:rPr>
                <w:color w:val="auto"/>
                <w:kern w:val="0"/>
                <w:szCs w:val="21"/>
                <w:highlight w:val="none"/>
              </w:rPr>
              <w:t>中标金额</w:t>
            </w:r>
            <w:r>
              <w:rPr>
                <w:color w:val="auto"/>
                <w:spacing w:val="20"/>
                <w:szCs w:val="21"/>
                <w:highlight w:val="none"/>
              </w:rPr>
              <w:t>P</w:t>
            </w:r>
            <w:r>
              <w:rPr>
                <w:color w:val="auto"/>
                <w:kern w:val="0"/>
                <w:szCs w:val="21"/>
                <w:highlight w:val="none"/>
              </w:rPr>
              <w:t>（万元人民币）</w:t>
            </w:r>
          </w:p>
        </w:tc>
        <w:tc>
          <w:tcPr>
            <w:tcW w:w="4315" w:type="dxa"/>
            <w:noWrap w:val="0"/>
            <w:vAlign w:val="top"/>
          </w:tcPr>
          <w:p>
            <w:pPr>
              <w:widowControl/>
              <w:spacing w:after="156" w:line="360" w:lineRule="auto"/>
              <w:jc w:val="center"/>
              <w:rPr>
                <w:color w:val="auto"/>
                <w:kern w:val="0"/>
                <w:szCs w:val="21"/>
                <w:highlight w:val="none"/>
              </w:rPr>
            </w:pPr>
            <w:r>
              <w:rPr>
                <w:rFonts w:hint="eastAsia"/>
                <w:color w:val="auto"/>
                <w:kern w:val="0"/>
                <w:szCs w:val="21"/>
                <w:highlight w:val="none"/>
              </w:rPr>
              <w:t>服务采购代理</w:t>
            </w:r>
            <w:r>
              <w:rPr>
                <w:color w:val="auto"/>
                <w:kern w:val="0"/>
                <w:szCs w:val="21"/>
                <w:highlight w:val="none"/>
              </w:rPr>
              <w:t>服务费（万元人民币）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auto"/>
                <w:kern w:val="0"/>
                <w:szCs w:val="21"/>
                <w:highlight w:val="none"/>
              </w:rPr>
            </w:pPr>
            <w:r>
              <w:rPr>
                <w:color w:val="auto"/>
                <w:kern w:val="0"/>
                <w:szCs w:val="21"/>
                <w:highlight w:val="none"/>
              </w:rPr>
              <w:t>100以下</w:t>
            </w:r>
          </w:p>
        </w:tc>
        <w:tc>
          <w:tcPr>
            <w:tcW w:w="4315" w:type="dxa"/>
            <w:noWrap w:val="0"/>
            <w:vAlign w:val="center"/>
          </w:tcPr>
          <w:p>
            <w:pPr>
              <w:jc w:val="center"/>
              <w:rPr>
                <w:color w:val="auto"/>
                <w:highlight w:val="none"/>
              </w:rPr>
            </w:pPr>
            <w:r>
              <w:rPr>
                <w:color w:val="auto"/>
                <w:highlight w:val="none"/>
              </w:rPr>
              <w:t>P*1.5%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auto"/>
                <w:kern w:val="0"/>
                <w:szCs w:val="21"/>
                <w:highlight w:val="none"/>
              </w:rPr>
            </w:pPr>
            <w:r>
              <w:rPr>
                <w:color w:val="auto"/>
                <w:kern w:val="0"/>
                <w:szCs w:val="21"/>
                <w:highlight w:val="none"/>
              </w:rPr>
              <w:t>100-500</w:t>
            </w:r>
          </w:p>
        </w:tc>
        <w:tc>
          <w:tcPr>
            <w:tcW w:w="4315" w:type="dxa"/>
            <w:noWrap w:val="0"/>
            <w:vAlign w:val="center"/>
          </w:tcPr>
          <w:p>
            <w:pPr>
              <w:jc w:val="center"/>
              <w:rPr>
                <w:color w:val="auto"/>
                <w:highlight w:val="none"/>
              </w:rPr>
            </w:pPr>
            <w:r>
              <w:rPr>
                <w:color w:val="auto"/>
                <w:highlight w:val="none"/>
              </w:rPr>
              <w:t>0.7+P*0.8%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auto"/>
                <w:kern w:val="0"/>
                <w:szCs w:val="21"/>
                <w:highlight w:val="none"/>
              </w:rPr>
            </w:pPr>
            <w:r>
              <w:rPr>
                <w:color w:val="auto"/>
                <w:kern w:val="0"/>
                <w:szCs w:val="21"/>
                <w:highlight w:val="none"/>
              </w:rPr>
              <w:t>500-1000</w:t>
            </w:r>
          </w:p>
        </w:tc>
        <w:tc>
          <w:tcPr>
            <w:tcW w:w="4315" w:type="dxa"/>
            <w:noWrap w:val="0"/>
            <w:vAlign w:val="center"/>
          </w:tcPr>
          <w:p>
            <w:pPr>
              <w:jc w:val="center"/>
              <w:rPr>
                <w:color w:val="auto"/>
                <w:highlight w:val="none"/>
              </w:rPr>
            </w:pPr>
            <w:r>
              <w:rPr>
                <w:color w:val="auto"/>
                <w:highlight w:val="none"/>
              </w:rPr>
              <w:t>2.45+P*0.45%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auto"/>
                <w:kern w:val="0"/>
                <w:szCs w:val="21"/>
                <w:highlight w:val="none"/>
              </w:rPr>
            </w:pPr>
            <w:r>
              <w:rPr>
                <w:color w:val="auto"/>
                <w:kern w:val="0"/>
                <w:szCs w:val="21"/>
                <w:highlight w:val="none"/>
              </w:rPr>
              <w:t>1000-5000</w:t>
            </w:r>
          </w:p>
        </w:tc>
        <w:tc>
          <w:tcPr>
            <w:tcW w:w="4315" w:type="dxa"/>
            <w:noWrap w:val="0"/>
            <w:vAlign w:val="center"/>
          </w:tcPr>
          <w:p>
            <w:pPr>
              <w:jc w:val="center"/>
              <w:rPr>
                <w:color w:val="auto"/>
                <w:highlight w:val="none"/>
              </w:rPr>
            </w:pPr>
            <w:r>
              <w:rPr>
                <w:color w:val="auto"/>
                <w:highlight w:val="none"/>
              </w:rPr>
              <w:t>4.45+P*0.25%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auto"/>
                <w:kern w:val="0"/>
                <w:szCs w:val="21"/>
                <w:highlight w:val="none"/>
              </w:rPr>
            </w:pPr>
            <w:r>
              <w:rPr>
                <w:color w:val="auto"/>
                <w:kern w:val="0"/>
                <w:szCs w:val="21"/>
                <w:highlight w:val="none"/>
              </w:rPr>
              <w:t>5000-10000</w:t>
            </w:r>
          </w:p>
        </w:tc>
        <w:tc>
          <w:tcPr>
            <w:tcW w:w="4315" w:type="dxa"/>
            <w:noWrap w:val="0"/>
            <w:vAlign w:val="center"/>
          </w:tcPr>
          <w:p>
            <w:pPr>
              <w:jc w:val="center"/>
              <w:rPr>
                <w:color w:val="auto"/>
                <w:highlight w:val="none"/>
              </w:rPr>
            </w:pPr>
            <w:r>
              <w:rPr>
                <w:color w:val="auto"/>
                <w:highlight w:val="none"/>
              </w:rPr>
              <w:t>11.95+P*0.1%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auto"/>
                <w:kern w:val="0"/>
                <w:szCs w:val="21"/>
                <w:highlight w:val="none"/>
              </w:rPr>
            </w:pPr>
            <w:r>
              <w:rPr>
                <w:color w:val="auto"/>
                <w:kern w:val="0"/>
                <w:szCs w:val="21"/>
                <w:highlight w:val="none"/>
              </w:rPr>
              <w:t>10000-100000</w:t>
            </w:r>
          </w:p>
        </w:tc>
        <w:tc>
          <w:tcPr>
            <w:tcW w:w="4315" w:type="dxa"/>
            <w:noWrap w:val="0"/>
            <w:vAlign w:val="center"/>
          </w:tcPr>
          <w:p>
            <w:pPr>
              <w:jc w:val="center"/>
              <w:rPr>
                <w:color w:val="auto"/>
                <w:highlight w:val="none"/>
              </w:rPr>
            </w:pPr>
            <w:r>
              <w:rPr>
                <w:color w:val="auto"/>
                <w:highlight w:val="none"/>
              </w:rPr>
              <w:t>16.95+P*0.05%</w:t>
            </w:r>
          </w:p>
        </w:tc>
      </w:tr>
    </w:tbl>
    <w:p>
      <w:pPr>
        <w:pStyle w:val="2"/>
        <w:snapToGrid w:val="0"/>
        <w:rPr>
          <w:rFonts w:ascii="Times New Roman" w:hAnsi="Times New Roman" w:eastAsia="宋体"/>
          <w:color w:val="auto"/>
          <w:highlight w:val="none"/>
        </w:rPr>
      </w:pPr>
      <w:r>
        <w:rPr>
          <w:rFonts w:ascii="Times New Roman" w:hAnsi="Times New Roman" w:eastAsia="宋体"/>
          <w:color w:val="auto"/>
          <w:highlight w:val="none"/>
        </w:rPr>
        <w:br w:type="page"/>
      </w:r>
      <w:bookmarkStart w:id="24" w:name="_Toc495317671"/>
      <w:r>
        <w:rPr>
          <w:rFonts w:ascii="Times New Roman" w:hAnsi="Times New Roman" w:eastAsia="宋体"/>
          <w:color w:val="auto"/>
          <w:highlight w:val="none"/>
        </w:rPr>
        <w:t>第四章  评标办法</w:t>
      </w:r>
      <w:bookmarkEnd w:id="24"/>
    </w:p>
    <w:p>
      <w:pPr>
        <w:adjustRightInd w:val="0"/>
        <w:snapToGrid w:val="0"/>
        <w:spacing w:line="360" w:lineRule="auto"/>
        <w:ind w:firstLine="420" w:firstLineChars="200"/>
        <w:rPr>
          <w:color w:val="auto"/>
          <w:highlight w:val="none"/>
        </w:rPr>
      </w:pPr>
      <w:r>
        <w:rPr>
          <w:color w:val="auto"/>
          <w:highlight w:val="none"/>
        </w:rPr>
        <w:t>根据《中华人民共和国政府采购法》、《中华人民共和国政府采购法实施条例》、《政府采购货物和服务招标投标管理办法》、《浙江省政府采购活动现场组织管理办法》等有关规定，结合本项目的实际情况，制定本评标办法。</w:t>
      </w:r>
    </w:p>
    <w:p>
      <w:pPr>
        <w:adjustRightInd w:val="0"/>
        <w:snapToGrid w:val="0"/>
        <w:spacing w:line="360" w:lineRule="auto"/>
        <w:ind w:firstLine="422" w:firstLineChars="200"/>
        <w:rPr>
          <w:b/>
          <w:bCs/>
          <w:color w:val="auto"/>
          <w:highlight w:val="none"/>
        </w:rPr>
      </w:pPr>
      <w:r>
        <w:rPr>
          <w:b/>
          <w:bCs/>
          <w:color w:val="auto"/>
          <w:highlight w:val="none"/>
        </w:rPr>
        <w:t>一、总则</w:t>
      </w:r>
    </w:p>
    <w:p>
      <w:pPr>
        <w:snapToGrid w:val="0"/>
        <w:spacing w:line="360" w:lineRule="auto"/>
        <w:ind w:firstLine="420" w:firstLineChars="200"/>
        <w:rPr>
          <w:color w:val="auto"/>
          <w:highlight w:val="none"/>
        </w:rPr>
      </w:pPr>
      <w:r>
        <w:rPr>
          <w:color w:val="auto"/>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snapToGrid w:val="0"/>
        <w:spacing w:line="360" w:lineRule="auto"/>
        <w:ind w:firstLine="420" w:firstLineChars="200"/>
        <w:rPr>
          <w:color w:val="auto"/>
          <w:highlight w:val="none"/>
        </w:rPr>
      </w:pPr>
      <w:r>
        <w:rPr>
          <w:color w:val="auto"/>
          <w:highlight w:val="none"/>
        </w:rPr>
        <w:t>对未中标人，评标委员会不作任何落标解释。</w:t>
      </w:r>
    </w:p>
    <w:p>
      <w:pPr>
        <w:snapToGrid w:val="0"/>
        <w:spacing w:line="360" w:lineRule="auto"/>
        <w:ind w:firstLine="420" w:firstLineChars="200"/>
        <w:rPr>
          <w:color w:val="auto"/>
          <w:highlight w:val="none"/>
        </w:rPr>
      </w:pPr>
      <w:r>
        <w:rPr>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b/>
          <w:bCs/>
          <w:color w:val="auto"/>
          <w:highlight w:val="none"/>
        </w:rPr>
      </w:pPr>
      <w:r>
        <w:rPr>
          <w:b/>
          <w:bCs/>
          <w:color w:val="auto"/>
          <w:highlight w:val="none"/>
        </w:rPr>
        <w:t>二、评标组织</w:t>
      </w:r>
    </w:p>
    <w:p>
      <w:pPr>
        <w:snapToGrid w:val="0"/>
        <w:spacing w:line="360" w:lineRule="auto"/>
        <w:ind w:firstLine="420" w:firstLineChars="200"/>
        <w:rPr>
          <w:color w:val="auto"/>
          <w:highlight w:val="none"/>
        </w:rPr>
      </w:pPr>
      <w:r>
        <w:rPr>
          <w:color w:val="auto"/>
          <w:highlight w:val="none"/>
        </w:rPr>
        <w:t>评标工作由招标采购单位依法组建的评标委员会负责。评标委员会负责审标、询标、评审等工作，并向采购人提出评审意见和评标报告。</w:t>
      </w:r>
    </w:p>
    <w:p>
      <w:pPr>
        <w:adjustRightInd w:val="0"/>
        <w:snapToGrid w:val="0"/>
        <w:spacing w:line="360" w:lineRule="auto"/>
        <w:ind w:firstLine="422" w:firstLineChars="200"/>
        <w:rPr>
          <w:b/>
          <w:bCs/>
          <w:color w:val="auto"/>
          <w:highlight w:val="none"/>
        </w:rPr>
      </w:pPr>
      <w:r>
        <w:rPr>
          <w:b/>
          <w:bCs/>
          <w:color w:val="auto"/>
          <w:highlight w:val="none"/>
        </w:rPr>
        <w:t>三、评标纪律</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1.评标是招标工作的重要环节，评标工作在评标委员会内独立进行。评标委员会将按照评标原则的要求，公正、平等地对待所有</w:t>
      </w:r>
      <w:r>
        <w:rPr>
          <w:rFonts w:hint="eastAsia"/>
          <w:snapToGrid w:val="0"/>
          <w:color w:val="auto"/>
          <w:kern w:val="0"/>
          <w:szCs w:val="21"/>
          <w:highlight w:val="none"/>
        </w:rPr>
        <w:t>供应商</w:t>
      </w:r>
      <w:r>
        <w:rPr>
          <w:snapToGrid w:val="0"/>
          <w:color w:val="auto"/>
          <w:kern w:val="0"/>
          <w:szCs w:val="21"/>
          <w:highlight w:val="none"/>
        </w:rPr>
        <w:t>。</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2.所有评标人员应忠于职守、廉洁自律、秉公办事、不徇私情。</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3.评标人员不得接受或参加</w:t>
      </w:r>
      <w:r>
        <w:rPr>
          <w:rFonts w:hint="eastAsia"/>
          <w:snapToGrid w:val="0"/>
          <w:color w:val="auto"/>
          <w:kern w:val="0"/>
          <w:szCs w:val="21"/>
          <w:highlight w:val="none"/>
        </w:rPr>
        <w:t>供应商</w:t>
      </w:r>
      <w:r>
        <w:rPr>
          <w:snapToGrid w:val="0"/>
          <w:color w:val="auto"/>
          <w:kern w:val="0"/>
          <w:szCs w:val="21"/>
          <w:highlight w:val="none"/>
        </w:rPr>
        <w:t>或与投标有关的单位、组织或个人的有碍公务的宴请、娱乐活动等，不得以任何形式弄虚作假。</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4.评标期间，评标人员不得随意出入评标地点、与外界通讯、会客等。</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5.在投标文件的审查、澄清、评价和比较以及授予合同的过程中，</w:t>
      </w:r>
      <w:r>
        <w:rPr>
          <w:rFonts w:hint="eastAsia"/>
          <w:snapToGrid w:val="0"/>
          <w:color w:val="auto"/>
          <w:kern w:val="0"/>
          <w:szCs w:val="21"/>
          <w:highlight w:val="none"/>
        </w:rPr>
        <w:t>供应商</w:t>
      </w:r>
      <w:r>
        <w:rPr>
          <w:snapToGrid w:val="0"/>
          <w:color w:val="auto"/>
          <w:kern w:val="0"/>
          <w:szCs w:val="21"/>
          <w:highlight w:val="none"/>
        </w:rPr>
        <w:t>对采购人、采购机构人员及评标委员会成员施加影响的任何行为，都将导致被取消投标资格。</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6.为保证评标的公正性，在评标过程中，评标委员会成员不得与</w:t>
      </w:r>
      <w:r>
        <w:rPr>
          <w:rFonts w:hint="eastAsia"/>
          <w:snapToGrid w:val="0"/>
          <w:color w:val="auto"/>
          <w:kern w:val="0"/>
          <w:szCs w:val="21"/>
          <w:highlight w:val="none"/>
        </w:rPr>
        <w:t>供应商</w:t>
      </w:r>
      <w:r>
        <w:rPr>
          <w:snapToGrid w:val="0"/>
          <w:color w:val="auto"/>
          <w:kern w:val="0"/>
          <w:szCs w:val="21"/>
          <w:highlight w:val="none"/>
        </w:rPr>
        <w:t>或与中标结果有利害关系的人进行私下接触。在评标工作结束后，凡与评标情况有接触的任何人，不得将评标情况扩散出评标委员会以外。</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7.评标过程中，评标专家对</w:t>
      </w:r>
      <w:r>
        <w:rPr>
          <w:rFonts w:hint="eastAsia"/>
          <w:snapToGrid w:val="0"/>
          <w:color w:val="auto"/>
          <w:kern w:val="0"/>
          <w:szCs w:val="21"/>
          <w:highlight w:val="none"/>
        </w:rPr>
        <w:t>供应商</w:t>
      </w:r>
      <w:r>
        <w:rPr>
          <w:snapToGrid w:val="0"/>
          <w:color w:val="auto"/>
          <w:kern w:val="0"/>
          <w:szCs w:val="21"/>
          <w:highlight w:val="none"/>
        </w:rPr>
        <w:t>的优劣情况，以及认为差异较大的情况等，应以书面意见作出真实、专业、诚恳负责的表述，不得违背客观、公正的原则。</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8.评标结束后，各评标人员应将全部资料整理上交采购人，严禁将评标过程中的任何资料带出评标现场向</w:t>
      </w:r>
      <w:r>
        <w:rPr>
          <w:rFonts w:hint="eastAsia"/>
          <w:snapToGrid w:val="0"/>
          <w:color w:val="auto"/>
          <w:kern w:val="0"/>
          <w:szCs w:val="21"/>
          <w:highlight w:val="none"/>
        </w:rPr>
        <w:t>供应商</w:t>
      </w:r>
      <w:r>
        <w:rPr>
          <w:snapToGrid w:val="0"/>
          <w:color w:val="auto"/>
          <w:kern w:val="0"/>
          <w:szCs w:val="21"/>
          <w:highlight w:val="none"/>
        </w:rPr>
        <w:t>或其他单位提供。</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9.在中标结果公布前应对评标委员会成员名单予以保密。</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10.评标委员会对各</w:t>
      </w:r>
      <w:r>
        <w:rPr>
          <w:rFonts w:hint="eastAsia"/>
          <w:snapToGrid w:val="0"/>
          <w:color w:val="auto"/>
          <w:kern w:val="0"/>
          <w:szCs w:val="21"/>
          <w:highlight w:val="none"/>
        </w:rPr>
        <w:t>供应商</w:t>
      </w:r>
      <w:r>
        <w:rPr>
          <w:snapToGrid w:val="0"/>
          <w:color w:val="auto"/>
          <w:kern w:val="0"/>
          <w:szCs w:val="21"/>
          <w:highlight w:val="none"/>
        </w:rPr>
        <w:t>的商业秘密予以保密。</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11.评标委员会成员应当客观、公正地履行职责，遵守职业道德，对所提出的评审意见承担个人责任。</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12.在整个评标过程中，</w:t>
      </w:r>
      <w:r>
        <w:rPr>
          <w:rFonts w:hint="eastAsia"/>
          <w:snapToGrid w:val="0"/>
          <w:color w:val="auto"/>
          <w:kern w:val="0"/>
          <w:szCs w:val="21"/>
          <w:highlight w:val="none"/>
        </w:rPr>
        <w:t>供应商</w:t>
      </w:r>
      <w:r>
        <w:rPr>
          <w:snapToGrid w:val="0"/>
          <w:color w:val="auto"/>
          <w:kern w:val="0"/>
          <w:szCs w:val="21"/>
          <w:highlight w:val="none"/>
        </w:rPr>
        <w:t>企图影响招标结果的任何活动，可能导致其投标失败。如有违法行为，将依法追究其法律责任。</w:t>
      </w:r>
    </w:p>
    <w:p>
      <w:pPr>
        <w:adjustRightInd w:val="0"/>
        <w:snapToGrid w:val="0"/>
        <w:spacing w:line="360" w:lineRule="auto"/>
        <w:ind w:firstLine="422" w:firstLineChars="200"/>
        <w:rPr>
          <w:b/>
          <w:bCs/>
          <w:color w:val="auto"/>
          <w:highlight w:val="none"/>
        </w:rPr>
      </w:pPr>
      <w:r>
        <w:rPr>
          <w:b/>
          <w:bCs/>
          <w:color w:val="auto"/>
          <w:highlight w:val="none"/>
        </w:rPr>
        <w:t>四、评标程序</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1.本项目采用不公开方式评标，评标的依据为采购文件和投标文件。</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2.熟悉采购文件和评标办法。</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w:t>
      </w:r>
      <w:r>
        <w:rPr>
          <w:rFonts w:hint="eastAsia"/>
          <w:snapToGrid w:val="0"/>
          <w:color w:val="auto"/>
          <w:kern w:val="0"/>
          <w:szCs w:val="21"/>
          <w:highlight w:val="none"/>
        </w:rPr>
        <w:t>采购代理机构</w:t>
      </w:r>
      <w:r>
        <w:rPr>
          <w:snapToGrid w:val="0"/>
          <w:color w:val="auto"/>
          <w:kern w:val="0"/>
          <w:szCs w:val="21"/>
          <w:highlight w:val="none"/>
        </w:rPr>
        <w:t>按照采购文件规定的时间、地点及程序组织评审。评审程序如下：</w:t>
      </w:r>
    </w:p>
    <w:p>
      <w:pPr>
        <w:adjustRightInd w:val="0"/>
        <w:snapToGrid w:val="0"/>
        <w:spacing w:line="360" w:lineRule="auto"/>
        <w:ind w:firstLine="420" w:firstLineChars="200"/>
        <w:rPr>
          <w:color w:val="auto"/>
          <w:szCs w:val="21"/>
          <w:highlight w:val="none"/>
        </w:rPr>
      </w:pPr>
      <w:r>
        <w:rPr>
          <w:color w:val="auto"/>
          <w:szCs w:val="21"/>
          <w:highlight w:val="none"/>
        </w:rPr>
        <w:t>1）开启评审场地的录音录像采集设备，并确保其正常运行。</w:t>
      </w:r>
    </w:p>
    <w:p>
      <w:pPr>
        <w:adjustRightInd w:val="0"/>
        <w:snapToGrid w:val="0"/>
        <w:spacing w:line="360" w:lineRule="auto"/>
        <w:ind w:firstLine="420" w:firstLineChars="200"/>
        <w:rPr>
          <w:color w:val="auto"/>
          <w:szCs w:val="21"/>
          <w:highlight w:val="none"/>
        </w:rPr>
      </w:pPr>
      <w:r>
        <w:rPr>
          <w:color w:val="auto"/>
          <w:szCs w:val="21"/>
          <w:highlight w:val="none"/>
        </w:rPr>
        <w:t>2）核验出席评审活动现场的评审小组各成员和相关监督人员身份，并要求其分别登记、签到，按规定统一收缴、保存其通讯工具，无关人员一律拒绝其进入评审现场。</w:t>
      </w:r>
    </w:p>
    <w:p>
      <w:pPr>
        <w:adjustRightInd w:val="0"/>
        <w:snapToGrid w:val="0"/>
        <w:spacing w:line="360" w:lineRule="auto"/>
        <w:ind w:firstLine="420" w:firstLineChars="200"/>
        <w:rPr>
          <w:color w:val="auto"/>
          <w:szCs w:val="21"/>
          <w:highlight w:val="none"/>
        </w:rPr>
      </w:pPr>
      <w:r>
        <w:rPr>
          <w:color w:val="auto"/>
          <w:szCs w:val="21"/>
          <w:highlight w:val="none"/>
        </w:rPr>
        <w:t>3）介绍评审现场的人员情况，宣布评审工作纪律，告知评审人员应当回避情形；组织推选评审小组组长。</w:t>
      </w:r>
    </w:p>
    <w:p>
      <w:pPr>
        <w:adjustRightInd w:val="0"/>
        <w:snapToGrid w:val="0"/>
        <w:spacing w:line="360" w:lineRule="auto"/>
        <w:ind w:firstLine="420" w:firstLineChars="200"/>
        <w:rPr>
          <w:color w:val="auto"/>
          <w:szCs w:val="21"/>
          <w:highlight w:val="none"/>
        </w:rPr>
      </w:pPr>
      <w:r>
        <w:rPr>
          <w:color w:val="auto"/>
          <w:szCs w:val="21"/>
          <w:highlight w:val="none"/>
        </w:rPr>
        <w:t>4）通报报名参加本项目采购的</w:t>
      </w:r>
      <w:r>
        <w:rPr>
          <w:rFonts w:hint="eastAsia"/>
          <w:color w:val="auto"/>
          <w:szCs w:val="21"/>
          <w:highlight w:val="none"/>
        </w:rPr>
        <w:t>供应商</w:t>
      </w:r>
      <w:r>
        <w:rPr>
          <w:color w:val="auto"/>
          <w:szCs w:val="21"/>
          <w:highlight w:val="none"/>
        </w:rPr>
        <w:t>名单及资格预审情况（如有），宣读最终提交采购响应文件的</w:t>
      </w:r>
      <w:r>
        <w:rPr>
          <w:rFonts w:hint="eastAsia"/>
          <w:color w:val="auto"/>
          <w:szCs w:val="21"/>
          <w:highlight w:val="none"/>
        </w:rPr>
        <w:t>供应商</w:t>
      </w:r>
      <w:r>
        <w:rPr>
          <w:color w:val="auto"/>
          <w:szCs w:val="21"/>
          <w:highlight w:val="none"/>
        </w:rPr>
        <w:t>名单，组织评审小组各位成员签订《政府采购评审人员廉洁自律承诺书》。</w:t>
      </w:r>
    </w:p>
    <w:p>
      <w:pPr>
        <w:adjustRightInd w:val="0"/>
        <w:snapToGrid w:val="0"/>
        <w:spacing w:line="360" w:lineRule="auto"/>
        <w:ind w:firstLine="420" w:firstLineChars="200"/>
        <w:rPr>
          <w:color w:val="auto"/>
          <w:szCs w:val="21"/>
          <w:highlight w:val="none"/>
        </w:rPr>
      </w:pPr>
      <w:r>
        <w:rPr>
          <w:color w:val="auto"/>
          <w:szCs w:val="21"/>
          <w:highlight w:val="none"/>
        </w:rPr>
        <w:t>5）根据需要简要介绍采购文件（含补充文件）制定及质疑答复情况、按书面陈述项目基本情况及评审工作需注意事项等。</w:t>
      </w:r>
    </w:p>
    <w:p>
      <w:pPr>
        <w:adjustRightInd w:val="0"/>
        <w:snapToGrid w:val="0"/>
        <w:spacing w:line="360" w:lineRule="auto"/>
        <w:ind w:firstLine="420" w:firstLineChars="200"/>
        <w:rPr>
          <w:color w:val="auto"/>
          <w:szCs w:val="21"/>
          <w:highlight w:val="none"/>
        </w:rPr>
      </w:pPr>
      <w:r>
        <w:rPr>
          <w:color w:val="auto"/>
          <w:szCs w:val="21"/>
          <w:highlight w:val="none"/>
        </w:rPr>
        <w:t>6）评审小组组长组织评审人员独立评审。评审小组对拟认定为采购响应文件无效、</w:t>
      </w:r>
      <w:r>
        <w:rPr>
          <w:rFonts w:hint="eastAsia"/>
          <w:color w:val="auto"/>
          <w:szCs w:val="21"/>
          <w:highlight w:val="none"/>
        </w:rPr>
        <w:t>供应商</w:t>
      </w:r>
      <w:r>
        <w:rPr>
          <w:color w:val="auto"/>
          <w:szCs w:val="21"/>
          <w:highlight w:val="none"/>
        </w:rPr>
        <w:t>资格不符合的，应组织相关</w:t>
      </w:r>
      <w:r>
        <w:rPr>
          <w:rFonts w:hint="eastAsia"/>
          <w:color w:val="auto"/>
          <w:szCs w:val="21"/>
          <w:highlight w:val="none"/>
        </w:rPr>
        <w:t>供应商</w:t>
      </w:r>
      <w:r>
        <w:rPr>
          <w:color w:val="auto"/>
          <w:szCs w:val="21"/>
          <w:highlight w:val="none"/>
        </w:rPr>
        <w:t>代表进行陈述、澄清或申辩。</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0" w:firstLineChars="200"/>
        <w:rPr>
          <w:color w:val="auto"/>
          <w:szCs w:val="21"/>
          <w:highlight w:val="none"/>
        </w:rPr>
      </w:pPr>
      <w:r>
        <w:rPr>
          <w:color w:val="auto"/>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adjustRightInd w:val="0"/>
        <w:snapToGrid w:val="0"/>
        <w:spacing w:line="360" w:lineRule="auto"/>
        <w:ind w:firstLine="420" w:firstLineChars="200"/>
        <w:rPr>
          <w:color w:val="auto"/>
          <w:szCs w:val="21"/>
          <w:highlight w:val="none"/>
        </w:rPr>
      </w:pPr>
      <w:r>
        <w:rPr>
          <w:color w:val="auto"/>
          <w:szCs w:val="21"/>
          <w:highlight w:val="none"/>
        </w:rPr>
        <w:t>4.起草评审报告，所有评审人员须在评审报告上签字确认。</w:t>
      </w:r>
    </w:p>
    <w:p>
      <w:pPr>
        <w:adjustRightInd w:val="0"/>
        <w:snapToGrid w:val="0"/>
        <w:spacing w:line="360" w:lineRule="auto"/>
        <w:ind w:firstLine="420" w:firstLineChars="200"/>
        <w:rPr>
          <w:color w:val="auto"/>
          <w:szCs w:val="21"/>
          <w:highlight w:val="none"/>
        </w:rPr>
      </w:pPr>
      <w:r>
        <w:rPr>
          <w:color w:val="auto"/>
          <w:szCs w:val="21"/>
          <w:highlight w:val="none"/>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auto"/>
          <w:szCs w:val="21"/>
          <w:highlight w:val="none"/>
        </w:rPr>
        <w:t>采购文件</w:t>
      </w:r>
      <w:r>
        <w:rPr>
          <w:color w:val="auto"/>
          <w:szCs w:val="21"/>
          <w:highlight w:val="none"/>
        </w:rPr>
        <w:t>存在歧义、重大缺陷导致评标工作无法进行，或者</w:t>
      </w:r>
      <w:r>
        <w:rPr>
          <w:rFonts w:hint="eastAsia"/>
          <w:color w:val="auto"/>
          <w:szCs w:val="21"/>
          <w:highlight w:val="none"/>
        </w:rPr>
        <w:t>采购文件</w:t>
      </w:r>
      <w:r>
        <w:rPr>
          <w:color w:val="auto"/>
          <w:szCs w:val="21"/>
          <w:highlight w:val="none"/>
        </w:rPr>
        <w:t>内容违反国家有关强制性规定的，可停止评标工作，重新组织采购活动。评审人员拒绝在评审报告中签字又不说明其不同意见或理由的，由现场监督员记录在案后，可视为同意评审结果。</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评审报告是根据</w:t>
      </w:r>
      <w:r>
        <w:rPr>
          <w:color w:val="auto"/>
          <w:szCs w:val="21"/>
          <w:highlight w:val="none"/>
        </w:rPr>
        <w:t>评审人员</w:t>
      </w:r>
      <w:r>
        <w:rPr>
          <w:snapToGrid w:val="0"/>
          <w:color w:val="auto"/>
          <w:kern w:val="0"/>
          <w:szCs w:val="21"/>
          <w:highlight w:val="none"/>
        </w:rPr>
        <w:t>签字的原始评标记录和评标结果编写的报告，其主要内容包括：</w:t>
      </w:r>
    </w:p>
    <w:p>
      <w:pPr>
        <w:adjustRightInd w:val="0"/>
        <w:snapToGrid w:val="0"/>
        <w:spacing w:line="360" w:lineRule="auto"/>
        <w:ind w:firstLine="420" w:firstLineChars="200"/>
        <w:rPr>
          <w:color w:val="auto"/>
          <w:szCs w:val="21"/>
          <w:highlight w:val="none"/>
        </w:rPr>
      </w:pPr>
      <w:r>
        <w:rPr>
          <w:snapToGrid w:val="0"/>
          <w:color w:val="auto"/>
          <w:kern w:val="0"/>
          <w:szCs w:val="21"/>
          <w:highlight w:val="none"/>
        </w:rPr>
        <w:t>1）</w:t>
      </w:r>
      <w:r>
        <w:rPr>
          <w:color w:val="auto"/>
          <w:szCs w:val="21"/>
          <w:highlight w:val="none"/>
        </w:rPr>
        <w:t>采购项目基本情况：</w:t>
      </w:r>
      <w:r>
        <w:rPr>
          <w:rFonts w:hint="eastAsia"/>
          <w:color w:val="auto"/>
          <w:szCs w:val="21"/>
          <w:highlight w:val="none"/>
        </w:rPr>
        <w:t>采购代理机构</w:t>
      </w:r>
      <w:r>
        <w:rPr>
          <w:color w:val="auto"/>
          <w:szCs w:val="21"/>
          <w:highlight w:val="none"/>
        </w:rPr>
        <w:t>，项目名称，项目编号，采购内容，预算执行确认书编号，采购预算金额，采购方式，发布公告时间；公告发布网站，采购响应截止时间，购买采购文件单位情况，采购响应单位情况等</w:t>
      </w:r>
    </w:p>
    <w:p>
      <w:pPr>
        <w:adjustRightInd w:val="0"/>
        <w:snapToGrid w:val="0"/>
        <w:spacing w:line="360" w:lineRule="auto"/>
        <w:ind w:firstLine="420" w:firstLineChars="200"/>
        <w:rPr>
          <w:color w:val="auto"/>
          <w:szCs w:val="21"/>
          <w:highlight w:val="none"/>
        </w:rPr>
      </w:pPr>
      <w:r>
        <w:rPr>
          <w:color w:val="auto"/>
          <w:szCs w:val="21"/>
          <w:highlight w:val="none"/>
        </w:rPr>
        <w:t>2）评审小组组成；</w:t>
      </w:r>
    </w:p>
    <w:p>
      <w:pPr>
        <w:adjustRightInd w:val="0"/>
        <w:snapToGrid w:val="0"/>
        <w:spacing w:line="360" w:lineRule="auto"/>
        <w:ind w:firstLine="420" w:firstLineChars="200"/>
        <w:rPr>
          <w:color w:val="auto"/>
          <w:szCs w:val="21"/>
          <w:highlight w:val="none"/>
        </w:rPr>
      </w:pPr>
      <w:r>
        <w:rPr>
          <w:color w:val="auto"/>
          <w:szCs w:val="21"/>
          <w:highlight w:val="none"/>
        </w:rPr>
        <w:t>3）评审方法和标准；</w:t>
      </w:r>
    </w:p>
    <w:p>
      <w:pPr>
        <w:adjustRightInd w:val="0"/>
        <w:snapToGrid w:val="0"/>
        <w:spacing w:line="360" w:lineRule="auto"/>
        <w:ind w:firstLine="420" w:firstLineChars="200"/>
        <w:rPr>
          <w:color w:val="auto"/>
          <w:szCs w:val="21"/>
          <w:highlight w:val="none"/>
        </w:rPr>
      </w:pPr>
      <w:r>
        <w:rPr>
          <w:color w:val="auto"/>
          <w:szCs w:val="21"/>
          <w:highlight w:val="none"/>
        </w:rPr>
        <w:t>4）评审情况及说明；</w:t>
      </w:r>
    </w:p>
    <w:p>
      <w:pPr>
        <w:adjustRightInd w:val="0"/>
        <w:snapToGrid w:val="0"/>
        <w:spacing w:line="360" w:lineRule="auto"/>
        <w:ind w:firstLine="420" w:firstLineChars="200"/>
        <w:rPr>
          <w:color w:val="auto"/>
          <w:szCs w:val="21"/>
          <w:highlight w:val="none"/>
        </w:rPr>
      </w:pPr>
      <w:r>
        <w:rPr>
          <w:color w:val="auto"/>
          <w:szCs w:val="21"/>
          <w:highlight w:val="none"/>
        </w:rPr>
        <w:t>5）评标结果和中标候选人排序；</w:t>
      </w:r>
    </w:p>
    <w:p>
      <w:pPr>
        <w:adjustRightInd w:val="0"/>
        <w:snapToGrid w:val="0"/>
        <w:spacing w:line="360" w:lineRule="auto"/>
        <w:ind w:firstLine="420" w:firstLineChars="200"/>
        <w:rPr>
          <w:color w:val="auto"/>
          <w:highlight w:val="none"/>
        </w:rPr>
      </w:pPr>
      <w:r>
        <w:rPr>
          <w:color w:val="auto"/>
          <w:szCs w:val="21"/>
          <w:highlight w:val="none"/>
        </w:rPr>
        <w:t>6）评标委员会的授标建议。</w:t>
      </w:r>
    </w:p>
    <w:p>
      <w:pPr>
        <w:adjustRightInd w:val="0"/>
        <w:snapToGrid w:val="0"/>
        <w:spacing w:line="360" w:lineRule="auto"/>
        <w:ind w:firstLine="422" w:firstLineChars="200"/>
        <w:rPr>
          <w:b/>
          <w:bCs/>
          <w:color w:val="auto"/>
          <w:highlight w:val="none"/>
        </w:rPr>
      </w:pPr>
      <w:r>
        <w:rPr>
          <w:b/>
          <w:bCs/>
          <w:color w:val="auto"/>
          <w:highlight w:val="none"/>
        </w:rPr>
        <w:t>五、评标细则</w:t>
      </w:r>
    </w:p>
    <w:p>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1.本项目采用综合评分法（总分100分），评标委员会根据本评审办法进行评审，对各供应商的价格、商务、技术等评分因素在分值范围内进行各自打分。每个供应商最终得分=价格分+商务技术分。</w:t>
      </w:r>
    </w:p>
    <w:p>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2.评审时，评标委员会各成员应当独立对每个有效响应的文件进行评价、打分，然后汇总每个供应商每项评分因素的得分。</w:t>
      </w:r>
    </w:p>
    <w:p>
      <w:pPr>
        <w:pStyle w:val="48"/>
        <w:adjustRightInd w:val="0"/>
        <w:snapToGrid w:val="0"/>
        <w:spacing w:line="360" w:lineRule="auto"/>
        <w:ind w:firstLine="420" w:firstLineChars="200"/>
        <w:rPr>
          <w:rFonts w:hint="eastAsia" w:ascii="Times New Roman"/>
          <w:color w:val="auto"/>
          <w:sz w:val="21"/>
          <w:szCs w:val="21"/>
          <w:highlight w:val="none"/>
        </w:rPr>
      </w:pPr>
      <w:r>
        <w:rPr>
          <w:rFonts w:ascii="Times New Roman"/>
          <w:color w:val="auto"/>
          <w:sz w:val="21"/>
          <w:szCs w:val="21"/>
          <w:highlight w:val="none"/>
        </w:rPr>
        <w:t>3.对供应商的价格分等客观评分项的评分应当一致，对其他需要借助专业知识评判的主观评分项，应当严格按照评分细则公正评分。</w:t>
      </w:r>
      <w:r>
        <w:rPr>
          <w:rFonts w:hint="eastAsia" w:ascii="Times New Roman"/>
          <w:color w:val="auto"/>
          <w:sz w:val="21"/>
          <w:szCs w:val="21"/>
          <w:highlight w:val="none"/>
        </w:rPr>
        <w:t>评审小组成员个人主观打分偏离所有评审小组成员主观打分平均值30%以上的，由评审委员会启动评分畸高、畸低行为认定程序。</w:t>
      </w:r>
    </w:p>
    <w:p>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4.采用综合评分法的，评标结果按评审后得分由高到低顺序排列。得分相同的，按投标报价由低到高顺序排列。得分且投标报价相同的并列。投标文件满足</w:t>
      </w:r>
      <w:r>
        <w:rPr>
          <w:rFonts w:hint="eastAsia" w:ascii="Times New Roman"/>
          <w:color w:val="auto"/>
          <w:sz w:val="21"/>
          <w:szCs w:val="21"/>
          <w:highlight w:val="none"/>
        </w:rPr>
        <w:t>采购文件</w:t>
      </w:r>
      <w:r>
        <w:rPr>
          <w:rFonts w:ascii="Times New Roman"/>
          <w:color w:val="auto"/>
          <w:sz w:val="21"/>
          <w:szCs w:val="21"/>
          <w:highlight w:val="none"/>
        </w:rPr>
        <w:t>全部实质性要求，且按照评审因素的量化指标评审得分最高的</w:t>
      </w:r>
      <w:r>
        <w:rPr>
          <w:rFonts w:hint="eastAsia" w:ascii="Times New Roman"/>
          <w:color w:val="auto"/>
          <w:sz w:val="21"/>
          <w:szCs w:val="21"/>
          <w:highlight w:val="none"/>
        </w:rPr>
        <w:t>供应商</w:t>
      </w:r>
      <w:r>
        <w:rPr>
          <w:rFonts w:ascii="Times New Roman"/>
          <w:color w:val="auto"/>
          <w:sz w:val="21"/>
          <w:szCs w:val="21"/>
          <w:highlight w:val="none"/>
        </w:rPr>
        <w:t>为排名第一的中标候选人。</w:t>
      </w:r>
    </w:p>
    <w:p>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5.评分因素及分值范围</w:t>
      </w:r>
    </w:p>
    <w:p>
      <w:pPr>
        <w:snapToGrid w:val="0"/>
        <w:spacing w:line="360" w:lineRule="auto"/>
        <w:ind w:firstLine="420" w:firstLineChars="200"/>
        <w:rPr>
          <w:rFonts w:hint="eastAsia"/>
          <w:color w:val="auto"/>
          <w:szCs w:val="21"/>
          <w:highlight w:val="none"/>
        </w:rPr>
      </w:pPr>
      <w:bookmarkStart w:id="25" w:name="_Toc345320402"/>
      <w:r>
        <w:rPr>
          <w:color w:val="auto"/>
          <w:szCs w:val="21"/>
          <w:highlight w:val="none"/>
        </w:rPr>
        <w:t>1）</w:t>
      </w:r>
      <w:r>
        <w:rPr>
          <w:b/>
          <w:bCs/>
          <w:color w:val="auto"/>
          <w:szCs w:val="21"/>
          <w:highlight w:val="none"/>
        </w:rPr>
        <w:t>商务技术分</w:t>
      </w:r>
      <w:bookmarkEnd w:id="25"/>
      <w:r>
        <w:rPr>
          <w:rFonts w:hint="eastAsia"/>
          <w:b/>
          <w:bCs/>
          <w:color w:val="auto"/>
          <w:szCs w:val="21"/>
          <w:highlight w:val="none"/>
        </w:rPr>
        <w:t>（80分）</w:t>
      </w:r>
    </w:p>
    <w:p>
      <w:pPr>
        <w:pStyle w:val="64"/>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该评分分值由评标委员会根据</w:t>
      </w:r>
      <w:r>
        <w:rPr>
          <w:rFonts w:hint="eastAsia" w:eastAsia="宋体"/>
          <w:color w:val="auto"/>
          <w:sz w:val="21"/>
          <w:szCs w:val="21"/>
          <w:highlight w:val="none"/>
        </w:rPr>
        <w:t>评分细则</w:t>
      </w:r>
      <w:r>
        <w:rPr>
          <w:rFonts w:eastAsia="宋体"/>
          <w:color w:val="auto"/>
          <w:sz w:val="21"/>
          <w:szCs w:val="21"/>
          <w:highlight w:val="none"/>
        </w:rPr>
        <w:t>在分值范围内独立打分（具体分值设定详见表格），小数点后保留一位小数。每个</w:t>
      </w:r>
      <w:r>
        <w:rPr>
          <w:rFonts w:hint="eastAsia" w:eastAsia="宋体"/>
          <w:color w:val="auto"/>
          <w:sz w:val="21"/>
          <w:szCs w:val="21"/>
          <w:highlight w:val="none"/>
        </w:rPr>
        <w:t>供应商</w:t>
      </w:r>
      <w:r>
        <w:rPr>
          <w:rFonts w:eastAsia="宋体"/>
          <w:color w:val="auto"/>
          <w:sz w:val="21"/>
          <w:szCs w:val="21"/>
          <w:highlight w:val="none"/>
        </w:rPr>
        <w:t>的最终得分为评标委员会打分汇总后的算术平均值</w:t>
      </w:r>
      <w:r>
        <w:rPr>
          <w:rFonts w:eastAsia="宋体"/>
          <w:color w:val="auto"/>
          <w:kern w:val="0"/>
          <w:sz w:val="21"/>
          <w:szCs w:val="21"/>
          <w:highlight w:val="none"/>
        </w:rPr>
        <w:t>（小数点后保留二位小数，第三位四舍五入）</w:t>
      </w:r>
      <w:r>
        <w:rPr>
          <w:rFonts w:eastAsia="宋体"/>
          <w:color w:val="auto"/>
          <w:sz w:val="21"/>
          <w:szCs w:val="21"/>
          <w:highlight w:val="none"/>
        </w:rPr>
        <w:t>。</w:t>
      </w:r>
    </w:p>
    <w:tbl>
      <w:tblPr>
        <w:tblStyle w:val="80"/>
        <w:tblW w:w="935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10"/>
        <w:gridCol w:w="6229"/>
        <w:gridCol w:w="781"/>
        <w:gridCol w:w="70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6" w:type="dxa"/>
            <w:noWrap w:val="0"/>
            <w:vAlign w:val="center"/>
          </w:tcPr>
          <w:p>
            <w:pPr>
              <w:spacing w:line="360" w:lineRule="auto"/>
              <w:jc w:val="center"/>
              <w:rPr>
                <w:color w:val="auto"/>
                <w:highlight w:val="none"/>
              </w:rPr>
            </w:pPr>
            <w:bookmarkStart w:id="26" w:name="_Toc345320401"/>
            <w:r>
              <w:rPr>
                <w:rFonts w:hint="eastAsia"/>
                <w:color w:val="auto"/>
                <w:highlight w:val="none"/>
              </w:rPr>
              <w:t>序号</w:t>
            </w:r>
          </w:p>
        </w:tc>
        <w:tc>
          <w:tcPr>
            <w:tcW w:w="7239" w:type="dxa"/>
            <w:gridSpan w:val="2"/>
            <w:noWrap w:val="0"/>
            <w:vAlign w:val="center"/>
          </w:tcPr>
          <w:p>
            <w:pPr>
              <w:spacing w:line="360" w:lineRule="auto"/>
              <w:jc w:val="center"/>
              <w:rPr>
                <w:color w:val="auto"/>
                <w:highlight w:val="none"/>
              </w:rPr>
            </w:pPr>
            <w:r>
              <w:rPr>
                <w:rFonts w:hint="eastAsia"/>
                <w:color w:val="auto"/>
                <w:highlight w:val="none"/>
              </w:rPr>
              <w:t>评审内容</w:t>
            </w:r>
          </w:p>
        </w:tc>
        <w:tc>
          <w:tcPr>
            <w:tcW w:w="781" w:type="dxa"/>
            <w:noWrap w:val="0"/>
            <w:vAlign w:val="center"/>
          </w:tcPr>
          <w:p>
            <w:pPr>
              <w:spacing w:line="360" w:lineRule="auto"/>
              <w:jc w:val="center"/>
              <w:rPr>
                <w:rFonts w:hint="eastAsia"/>
                <w:color w:val="auto"/>
                <w:highlight w:val="none"/>
              </w:rPr>
            </w:pPr>
            <w:r>
              <w:rPr>
                <w:rFonts w:hint="eastAsia"/>
                <w:color w:val="auto"/>
                <w:highlight w:val="none"/>
              </w:rPr>
              <w:t>说明</w:t>
            </w:r>
          </w:p>
        </w:tc>
        <w:tc>
          <w:tcPr>
            <w:tcW w:w="702" w:type="dxa"/>
            <w:noWrap w:val="0"/>
            <w:vAlign w:val="center"/>
          </w:tcPr>
          <w:p>
            <w:pPr>
              <w:spacing w:line="360" w:lineRule="auto"/>
              <w:jc w:val="center"/>
              <w:rPr>
                <w:color w:val="auto"/>
                <w:highlight w:val="none"/>
              </w:rPr>
            </w:pPr>
            <w:r>
              <w:rPr>
                <w:rFonts w:hint="eastAsia"/>
                <w:color w:val="auto"/>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636" w:type="dxa"/>
            <w:noWrap w:val="0"/>
            <w:vAlign w:val="center"/>
          </w:tcPr>
          <w:p>
            <w:pPr>
              <w:spacing w:line="360" w:lineRule="auto"/>
              <w:jc w:val="center"/>
              <w:rPr>
                <w:rFonts w:hint="eastAsia"/>
                <w:color w:val="auto"/>
                <w:highlight w:val="none"/>
              </w:rPr>
            </w:pPr>
            <w:r>
              <w:rPr>
                <w:rFonts w:hint="eastAsia"/>
                <w:color w:val="auto"/>
                <w:highlight w:val="none"/>
              </w:rPr>
              <w:t>1</w:t>
            </w:r>
          </w:p>
        </w:tc>
        <w:tc>
          <w:tcPr>
            <w:tcW w:w="1010" w:type="dxa"/>
            <w:noWrap w:val="0"/>
            <w:vAlign w:val="center"/>
          </w:tcPr>
          <w:p>
            <w:pPr>
              <w:spacing w:line="360" w:lineRule="auto"/>
              <w:rPr>
                <w:rFonts w:hint="eastAsia" w:ascii="宋体" w:hAnsi="宋体" w:cs="宋体"/>
                <w:color w:val="auto"/>
                <w:kern w:val="0"/>
                <w:szCs w:val="21"/>
                <w:highlight w:val="none"/>
              </w:rPr>
            </w:pPr>
            <w:r>
              <w:rPr>
                <w:rFonts w:hint="eastAsia" w:hAnsi="宋体"/>
                <w:color w:val="auto"/>
                <w:highlight w:val="none"/>
              </w:rPr>
              <w:t>服务需求响应性</w:t>
            </w:r>
          </w:p>
        </w:tc>
        <w:tc>
          <w:tcPr>
            <w:tcW w:w="6229" w:type="dxa"/>
            <w:noWrap w:val="0"/>
            <w:vAlign w:val="center"/>
          </w:tcPr>
          <w:p>
            <w:pPr>
              <w:spacing w:line="360" w:lineRule="auto"/>
              <w:rPr>
                <w:rFonts w:hint="eastAsia"/>
                <w:color w:val="auto"/>
                <w:highlight w:val="none"/>
              </w:rPr>
            </w:pPr>
            <w:r>
              <w:rPr>
                <w:rFonts w:hint="eastAsia"/>
                <w:color w:val="auto"/>
                <w:highlight w:val="none"/>
              </w:rPr>
              <w:t>对应于采购文件“第二章，采购内容与需求”“技术要求、服务要求”的符合情况，一条不能满足采购文件扣1分，大于14条不能满足采购文件要求将导致废标。</w:t>
            </w:r>
          </w:p>
          <w:p>
            <w:pPr>
              <w:spacing w:line="360" w:lineRule="auto"/>
              <w:rPr>
                <w:rFonts w:hint="eastAsia"/>
                <w:color w:val="auto"/>
                <w:highlight w:val="none"/>
              </w:rPr>
            </w:pPr>
            <w:r>
              <w:rPr>
                <w:rFonts w:hint="eastAsia"/>
                <w:color w:val="auto"/>
                <w:highlight w:val="none"/>
              </w:rPr>
              <w:t>本评分办法中已单独列明的按列明细则评审，本条不重复扣分</w:t>
            </w:r>
          </w:p>
        </w:tc>
        <w:tc>
          <w:tcPr>
            <w:tcW w:w="781" w:type="dxa"/>
            <w:noWrap w:val="0"/>
            <w:vAlign w:val="center"/>
          </w:tcPr>
          <w:p>
            <w:pPr>
              <w:spacing w:line="360" w:lineRule="auto"/>
              <w:jc w:val="center"/>
              <w:rPr>
                <w:rFonts w:hint="eastAsia"/>
                <w:color w:val="auto"/>
                <w:highlight w:val="none"/>
              </w:rPr>
            </w:pPr>
            <w:r>
              <w:rPr>
                <w:rFonts w:hint="eastAsia"/>
                <w:color w:val="auto"/>
                <w:highlight w:val="none"/>
              </w:rPr>
              <w:t>客观分</w:t>
            </w:r>
          </w:p>
        </w:tc>
        <w:tc>
          <w:tcPr>
            <w:tcW w:w="702" w:type="dxa"/>
            <w:noWrap w:val="0"/>
            <w:vAlign w:val="center"/>
          </w:tcPr>
          <w:p>
            <w:pPr>
              <w:spacing w:line="360" w:lineRule="auto"/>
              <w:jc w:val="center"/>
              <w:rPr>
                <w:color w:val="auto"/>
                <w:highlight w:val="none"/>
              </w:rPr>
            </w:pPr>
            <w:r>
              <w:rPr>
                <w:rFonts w:hint="eastAsia"/>
                <w:color w:val="auto"/>
                <w:highlight w:val="none"/>
              </w:rPr>
              <w:t>14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636" w:type="dxa"/>
            <w:noWrap w:val="0"/>
            <w:vAlign w:val="center"/>
          </w:tcPr>
          <w:p>
            <w:pPr>
              <w:spacing w:line="360" w:lineRule="auto"/>
              <w:jc w:val="center"/>
              <w:rPr>
                <w:color w:val="auto"/>
                <w:highlight w:val="none"/>
              </w:rPr>
            </w:pPr>
            <w:r>
              <w:rPr>
                <w:rFonts w:hint="eastAsia"/>
                <w:color w:val="auto"/>
                <w:highlight w:val="none"/>
              </w:rPr>
              <w:t>2</w:t>
            </w:r>
          </w:p>
        </w:tc>
        <w:tc>
          <w:tcPr>
            <w:tcW w:w="1010" w:type="dxa"/>
            <w:noWrap w:val="0"/>
            <w:vAlign w:val="center"/>
          </w:tcPr>
          <w:p>
            <w:pPr>
              <w:spacing w:line="360" w:lineRule="auto"/>
              <w:rPr>
                <w:rFonts w:hint="eastAsia"/>
                <w:color w:val="auto"/>
                <w:highlight w:val="none"/>
              </w:rPr>
            </w:pPr>
            <w:r>
              <w:rPr>
                <w:rFonts w:hint="eastAsia" w:ascii="宋体" w:hAnsi="宋体" w:cs="宋体"/>
                <w:color w:val="auto"/>
                <w:kern w:val="0"/>
                <w:szCs w:val="21"/>
                <w:highlight w:val="none"/>
              </w:rPr>
              <w:t>企业管理</w:t>
            </w:r>
            <w:r>
              <w:rPr>
                <w:rFonts w:hint="eastAsia"/>
                <w:color w:val="auto"/>
                <w:highlight w:val="none"/>
              </w:rPr>
              <w:t>体系认</w:t>
            </w:r>
          </w:p>
        </w:tc>
        <w:tc>
          <w:tcPr>
            <w:tcW w:w="6229" w:type="dxa"/>
            <w:noWrap w:val="0"/>
            <w:vAlign w:val="center"/>
          </w:tcPr>
          <w:p>
            <w:pPr>
              <w:rPr>
                <w:rFonts w:hint="eastAsia"/>
                <w:color w:val="auto"/>
                <w:highlight w:val="none"/>
              </w:rPr>
            </w:pPr>
            <w:r>
              <w:rPr>
                <w:rFonts w:hint="eastAsia"/>
                <w:color w:val="auto"/>
                <w:highlight w:val="none"/>
              </w:rPr>
              <w:t>供应商具有有效的职业健康安全管理体系认证、质量管理体系认证证书的，每项得0.5分，最高得1分。需提供证书复印件。</w:t>
            </w:r>
          </w:p>
        </w:tc>
        <w:tc>
          <w:tcPr>
            <w:tcW w:w="781" w:type="dxa"/>
            <w:noWrap w:val="0"/>
            <w:vAlign w:val="center"/>
          </w:tcPr>
          <w:p>
            <w:pPr>
              <w:spacing w:line="360" w:lineRule="auto"/>
              <w:jc w:val="center"/>
              <w:rPr>
                <w:rFonts w:hint="eastAsia"/>
                <w:color w:val="auto"/>
                <w:highlight w:val="none"/>
              </w:rPr>
            </w:pPr>
            <w:r>
              <w:rPr>
                <w:rFonts w:hint="eastAsia"/>
                <w:color w:val="auto"/>
                <w:highlight w:val="none"/>
              </w:rPr>
              <w:t>客观分</w:t>
            </w:r>
          </w:p>
        </w:tc>
        <w:tc>
          <w:tcPr>
            <w:tcW w:w="702" w:type="dxa"/>
            <w:noWrap w:val="0"/>
            <w:vAlign w:val="center"/>
          </w:tcPr>
          <w:p>
            <w:pPr>
              <w:spacing w:line="360" w:lineRule="auto"/>
              <w:jc w:val="center"/>
              <w:rPr>
                <w:rFonts w:hint="eastAsia"/>
                <w:color w:val="auto"/>
                <w:highlight w:val="none"/>
              </w:rPr>
            </w:pPr>
            <w:r>
              <w:rPr>
                <w:rFonts w:hint="eastAsia"/>
                <w:color w:val="auto"/>
                <w:highlight w:val="none"/>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636" w:type="dxa"/>
            <w:noWrap w:val="0"/>
            <w:vAlign w:val="center"/>
          </w:tcPr>
          <w:p>
            <w:pPr>
              <w:spacing w:line="360" w:lineRule="auto"/>
              <w:jc w:val="center"/>
              <w:rPr>
                <w:rFonts w:hint="eastAsia" w:eastAsia="宋体"/>
                <w:color w:val="auto"/>
                <w:highlight w:val="none"/>
                <w:lang w:eastAsia="zh-CN"/>
              </w:rPr>
            </w:pPr>
            <w:r>
              <w:rPr>
                <w:rFonts w:hint="eastAsia"/>
                <w:color w:val="auto"/>
                <w:highlight w:val="none"/>
                <w:lang w:val="en-US" w:eastAsia="zh-CN"/>
              </w:rPr>
              <w:t>3</w:t>
            </w:r>
          </w:p>
        </w:tc>
        <w:tc>
          <w:tcPr>
            <w:tcW w:w="1010" w:type="dxa"/>
            <w:noWrap w:val="0"/>
            <w:vAlign w:val="center"/>
          </w:tcPr>
          <w:p>
            <w:pPr>
              <w:spacing w:line="360" w:lineRule="auto"/>
              <w:rPr>
                <w:rFonts w:hint="eastAsia"/>
                <w:color w:val="auto"/>
                <w:highlight w:val="none"/>
              </w:rPr>
            </w:pPr>
            <w:r>
              <w:rPr>
                <w:rFonts w:hint="eastAsia"/>
                <w:color w:val="auto"/>
                <w:highlight w:val="none"/>
              </w:rPr>
              <w:t>业绩</w:t>
            </w:r>
          </w:p>
        </w:tc>
        <w:tc>
          <w:tcPr>
            <w:tcW w:w="6229" w:type="dxa"/>
            <w:noWrap w:val="0"/>
            <w:vAlign w:val="center"/>
          </w:tcPr>
          <w:p>
            <w:pPr>
              <w:spacing w:line="360" w:lineRule="auto"/>
              <w:rPr>
                <w:rFonts w:hint="eastAsia"/>
                <w:color w:val="auto"/>
                <w:highlight w:val="none"/>
              </w:rPr>
            </w:pPr>
            <w:r>
              <w:rPr>
                <w:rFonts w:hint="eastAsia"/>
                <w:color w:val="auto"/>
                <w:highlight w:val="none"/>
              </w:rPr>
              <w:t>供应商自2020年1月1日以来（以合同签订日期为准）具有年度保安服务业绩的，每提供一份不同用户的合同复印件得0.5分，最高得</w:t>
            </w:r>
            <w:r>
              <w:rPr>
                <w:rFonts w:hint="eastAsia"/>
                <w:color w:val="auto"/>
                <w:highlight w:val="none"/>
                <w:lang w:val="en-US" w:eastAsia="zh-CN"/>
              </w:rPr>
              <w:t>2</w:t>
            </w:r>
            <w:r>
              <w:rPr>
                <w:rFonts w:hint="eastAsia"/>
                <w:color w:val="auto"/>
                <w:highlight w:val="none"/>
              </w:rPr>
              <w:t>分，合同中需体现服务期不少于12个月的内容。</w:t>
            </w:r>
          </w:p>
        </w:tc>
        <w:tc>
          <w:tcPr>
            <w:tcW w:w="781" w:type="dxa"/>
            <w:noWrap w:val="0"/>
            <w:vAlign w:val="center"/>
          </w:tcPr>
          <w:p>
            <w:pPr>
              <w:spacing w:line="360" w:lineRule="auto"/>
              <w:jc w:val="center"/>
              <w:rPr>
                <w:rFonts w:hint="eastAsia"/>
                <w:color w:val="auto"/>
                <w:highlight w:val="none"/>
              </w:rPr>
            </w:pPr>
            <w:r>
              <w:rPr>
                <w:rFonts w:hint="eastAsia"/>
                <w:color w:val="auto"/>
                <w:highlight w:val="none"/>
              </w:rPr>
              <w:t>客观分</w:t>
            </w:r>
          </w:p>
        </w:tc>
        <w:tc>
          <w:tcPr>
            <w:tcW w:w="702" w:type="dxa"/>
            <w:noWrap w:val="0"/>
            <w:vAlign w:val="center"/>
          </w:tcPr>
          <w:p>
            <w:pPr>
              <w:spacing w:line="360" w:lineRule="auto"/>
              <w:jc w:val="center"/>
              <w:rPr>
                <w:rFonts w:hint="eastAsia"/>
                <w:color w:val="auto"/>
                <w:highlight w:val="none"/>
              </w:rPr>
            </w:pPr>
            <w:r>
              <w:rPr>
                <w:rFonts w:hint="eastAsia"/>
                <w:color w:val="auto"/>
                <w:highlight w:val="none"/>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636" w:type="dxa"/>
            <w:noWrap w:val="0"/>
            <w:vAlign w:val="center"/>
          </w:tcPr>
          <w:p>
            <w:pPr>
              <w:spacing w:line="360" w:lineRule="auto"/>
              <w:jc w:val="center"/>
              <w:rPr>
                <w:rFonts w:hint="eastAsia" w:eastAsia="宋体"/>
                <w:color w:val="auto"/>
                <w:highlight w:val="none"/>
                <w:lang w:eastAsia="zh-CN"/>
              </w:rPr>
            </w:pPr>
            <w:r>
              <w:rPr>
                <w:rFonts w:hint="eastAsia"/>
                <w:color w:val="auto"/>
                <w:highlight w:val="none"/>
                <w:lang w:val="en-US" w:eastAsia="zh-CN"/>
              </w:rPr>
              <w:t>4</w:t>
            </w:r>
          </w:p>
        </w:tc>
        <w:tc>
          <w:tcPr>
            <w:tcW w:w="1010" w:type="dxa"/>
            <w:noWrap w:val="0"/>
            <w:vAlign w:val="center"/>
          </w:tcPr>
          <w:p>
            <w:pPr>
              <w:spacing w:line="360" w:lineRule="auto"/>
              <w:rPr>
                <w:color w:val="auto"/>
                <w:highlight w:val="none"/>
              </w:rPr>
            </w:pPr>
            <w:r>
              <w:rPr>
                <w:rFonts w:hint="eastAsia"/>
                <w:color w:val="auto"/>
                <w:highlight w:val="none"/>
              </w:rPr>
              <w:t>重点、难点分析</w:t>
            </w:r>
          </w:p>
        </w:tc>
        <w:tc>
          <w:tcPr>
            <w:tcW w:w="6229" w:type="dxa"/>
            <w:noWrap w:val="0"/>
            <w:vAlign w:val="center"/>
          </w:tcPr>
          <w:p>
            <w:pPr>
              <w:spacing w:line="360" w:lineRule="auto"/>
              <w:rPr>
                <w:color w:val="auto"/>
                <w:highlight w:val="none"/>
              </w:rPr>
            </w:pPr>
            <w:r>
              <w:rPr>
                <w:rFonts w:hint="eastAsia"/>
                <w:color w:val="auto"/>
                <w:highlight w:val="none"/>
              </w:rPr>
              <w:t>供应商针对项目现状、存在的问题和保安服务的难点、要点等问题进行调查剖析，提出克服难点和要点的措施和方案。措施和方案完善可行得3分；措施和方案较完善可行得2分；措施和方案普通得1分；措施和方案有瑕疵得0.5分；未提供得0分。</w:t>
            </w:r>
          </w:p>
        </w:tc>
        <w:tc>
          <w:tcPr>
            <w:tcW w:w="781" w:type="dxa"/>
            <w:noWrap w:val="0"/>
            <w:vAlign w:val="center"/>
          </w:tcPr>
          <w:p>
            <w:pPr>
              <w:spacing w:line="360" w:lineRule="auto"/>
              <w:jc w:val="center"/>
              <w:rPr>
                <w:rFonts w:hint="eastAsia"/>
                <w:color w:val="auto"/>
                <w:highlight w:val="none"/>
              </w:rPr>
            </w:pPr>
            <w:r>
              <w:rPr>
                <w:rFonts w:hint="eastAsia"/>
                <w:color w:val="auto"/>
                <w:highlight w:val="none"/>
              </w:rPr>
              <w:t>主观分</w:t>
            </w:r>
          </w:p>
        </w:tc>
        <w:tc>
          <w:tcPr>
            <w:tcW w:w="702" w:type="dxa"/>
            <w:noWrap w:val="0"/>
            <w:vAlign w:val="center"/>
          </w:tcPr>
          <w:p>
            <w:pPr>
              <w:spacing w:line="360" w:lineRule="auto"/>
              <w:jc w:val="center"/>
              <w:rPr>
                <w:rFonts w:hint="eastAsia"/>
                <w:color w:val="auto"/>
                <w:highlight w:val="none"/>
              </w:rPr>
            </w:pPr>
            <w:r>
              <w:rPr>
                <w:rFonts w:hint="eastAsia"/>
                <w:color w:val="auto"/>
                <w:highlight w:val="none"/>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636" w:type="dxa"/>
            <w:vMerge w:val="restart"/>
            <w:noWrap w:val="0"/>
            <w:vAlign w:val="center"/>
          </w:tcPr>
          <w:p>
            <w:pPr>
              <w:spacing w:line="360" w:lineRule="auto"/>
              <w:jc w:val="center"/>
              <w:rPr>
                <w:rFonts w:hint="eastAsia" w:eastAsia="宋体"/>
                <w:color w:val="auto"/>
                <w:highlight w:val="none"/>
                <w:lang w:eastAsia="zh-CN"/>
              </w:rPr>
            </w:pPr>
            <w:r>
              <w:rPr>
                <w:rFonts w:hint="eastAsia"/>
                <w:color w:val="auto"/>
                <w:highlight w:val="none"/>
                <w:lang w:val="en-US" w:eastAsia="zh-CN"/>
              </w:rPr>
              <w:t>5</w:t>
            </w:r>
          </w:p>
        </w:tc>
        <w:tc>
          <w:tcPr>
            <w:tcW w:w="1010" w:type="dxa"/>
            <w:vMerge w:val="restart"/>
            <w:noWrap w:val="0"/>
            <w:vAlign w:val="center"/>
          </w:tcPr>
          <w:p>
            <w:pPr>
              <w:spacing w:line="360" w:lineRule="auto"/>
              <w:rPr>
                <w:color w:val="auto"/>
                <w:highlight w:val="none"/>
                <w:lang w:val="zh-TW"/>
              </w:rPr>
            </w:pPr>
            <w:r>
              <w:rPr>
                <w:rFonts w:hint="eastAsia"/>
                <w:color w:val="auto"/>
                <w:highlight w:val="none"/>
                <w:lang w:val="zh-TW"/>
              </w:rPr>
              <w:t>服务方案</w:t>
            </w:r>
          </w:p>
        </w:tc>
        <w:tc>
          <w:tcPr>
            <w:tcW w:w="6229" w:type="dxa"/>
            <w:noWrap w:val="0"/>
            <w:vAlign w:val="center"/>
          </w:tcPr>
          <w:p>
            <w:pPr>
              <w:spacing w:line="360" w:lineRule="auto"/>
              <w:rPr>
                <w:color w:val="auto"/>
                <w:highlight w:val="none"/>
              </w:rPr>
            </w:pPr>
            <w:r>
              <w:rPr>
                <w:rFonts w:hint="eastAsia"/>
                <w:color w:val="auto"/>
                <w:highlight w:val="none"/>
              </w:rPr>
              <w:t>供应商针对本项目的服务范围涉及区域制定的总体服务方案的全面性、合理性进行评审。方案详细全面得4分；方案较详细全面得3分；方案一般得2分；方案有瑕疵得1分；未提供不得分。</w:t>
            </w:r>
          </w:p>
        </w:tc>
        <w:tc>
          <w:tcPr>
            <w:tcW w:w="781" w:type="dxa"/>
            <w:noWrap w:val="0"/>
            <w:vAlign w:val="center"/>
          </w:tcPr>
          <w:p>
            <w:pPr>
              <w:spacing w:line="360" w:lineRule="auto"/>
              <w:jc w:val="center"/>
              <w:rPr>
                <w:rFonts w:hint="eastAsia"/>
                <w:color w:val="auto"/>
                <w:highlight w:val="none"/>
              </w:rPr>
            </w:pPr>
            <w:r>
              <w:rPr>
                <w:rFonts w:hint="eastAsia"/>
                <w:color w:val="auto"/>
                <w:highlight w:val="none"/>
              </w:rPr>
              <w:t>主观分</w:t>
            </w:r>
          </w:p>
        </w:tc>
        <w:tc>
          <w:tcPr>
            <w:tcW w:w="702" w:type="dxa"/>
            <w:noWrap w:val="0"/>
            <w:vAlign w:val="center"/>
          </w:tcPr>
          <w:p>
            <w:pPr>
              <w:spacing w:line="360" w:lineRule="auto"/>
              <w:jc w:val="center"/>
              <w:rPr>
                <w:rFonts w:hint="eastAsia"/>
                <w:color w:val="auto"/>
                <w:highlight w:val="none"/>
              </w:rPr>
            </w:pPr>
            <w:r>
              <w:rPr>
                <w:rFonts w:hint="eastAsia"/>
                <w:color w:val="auto"/>
                <w:highlight w:val="none"/>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636" w:type="dxa"/>
            <w:vMerge w:val="continue"/>
            <w:noWrap w:val="0"/>
            <w:vAlign w:val="center"/>
          </w:tcPr>
          <w:p>
            <w:pPr>
              <w:spacing w:line="360" w:lineRule="auto"/>
              <w:jc w:val="center"/>
              <w:rPr>
                <w:color w:val="auto"/>
                <w:highlight w:val="none"/>
              </w:rPr>
            </w:pPr>
          </w:p>
        </w:tc>
        <w:tc>
          <w:tcPr>
            <w:tcW w:w="1010" w:type="dxa"/>
            <w:vMerge w:val="continue"/>
            <w:noWrap w:val="0"/>
            <w:vAlign w:val="center"/>
          </w:tcPr>
          <w:p>
            <w:pPr>
              <w:spacing w:line="360" w:lineRule="auto"/>
              <w:rPr>
                <w:color w:val="auto"/>
                <w:highlight w:val="none"/>
                <w:lang w:val="zh-TW"/>
              </w:rPr>
            </w:pPr>
          </w:p>
        </w:tc>
        <w:tc>
          <w:tcPr>
            <w:tcW w:w="6229" w:type="dxa"/>
            <w:noWrap w:val="0"/>
            <w:vAlign w:val="center"/>
          </w:tcPr>
          <w:p>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巡逻、车辆管理方案：</w:t>
            </w:r>
          </w:p>
          <w:p>
            <w:pPr>
              <w:spacing w:line="360" w:lineRule="auto"/>
              <w:rPr>
                <w:rFonts w:hint="eastAsia"/>
                <w:color w:val="auto"/>
                <w:highlight w:val="none"/>
              </w:rPr>
            </w:pPr>
            <w:r>
              <w:rPr>
                <w:rFonts w:hint="eastAsia" w:ascii="宋体" w:hAnsi="宋体" w:cs="宋体"/>
                <w:color w:val="auto"/>
                <w:kern w:val="0"/>
                <w:szCs w:val="21"/>
                <w:highlight w:val="none"/>
              </w:rPr>
              <w:t>根据投标人对巡逻、车辆管理工作方案、计划内容情况、可行性给0-4分。</w:t>
            </w:r>
            <w:r>
              <w:rPr>
                <w:rFonts w:hint="eastAsia"/>
                <w:color w:val="auto"/>
                <w:highlight w:val="none"/>
              </w:rPr>
              <w:t>方案完善可行得4分；方案普通得3分；方案有瑕疵得2分；方案过于简单得1分；未提供得0分。</w:t>
            </w:r>
          </w:p>
        </w:tc>
        <w:tc>
          <w:tcPr>
            <w:tcW w:w="781" w:type="dxa"/>
            <w:noWrap w:val="0"/>
            <w:vAlign w:val="center"/>
          </w:tcPr>
          <w:p>
            <w:pPr>
              <w:spacing w:line="360" w:lineRule="auto"/>
              <w:jc w:val="center"/>
              <w:rPr>
                <w:rFonts w:hint="eastAsia"/>
                <w:color w:val="auto"/>
                <w:highlight w:val="none"/>
              </w:rPr>
            </w:pPr>
            <w:r>
              <w:rPr>
                <w:rFonts w:hint="eastAsia"/>
                <w:color w:val="auto"/>
                <w:highlight w:val="none"/>
              </w:rPr>
              <w:t>主观分</w:t>
            </w:r>
          </w:p>
        </w:tc>
        <w:tc>
          <w:tcPr>
            <w:tcW w:w="702" w:type="dxa"/>
            <w:noWrap w:val="0"/>
            <w:vAlign w:val="center"/>
          </w:tcPr>
          <w:p>
            <w:pPr>
              <w:spacing w:line="360" w:lineRule="auto"/>
              <w:jc w:val="center"/>
              <w:rPr>
                <w:rFonts w:hint="eastAsia"/>
                <w:color w:val="auto"/>
                <w:highlight w:val="none"/>
              </w:rPr>
            </w:pPr>
            <w:r>
              <w:rPr>
                <w:rFonts w:hint="eastAsia"/>
                <w:color w:val="auto"/>
                <w:highlight w:val="none"/>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636" w:type="dxa"/>
            <w:vMerge w:val="continue"/>
            <w:noWrap w:val="0"/>
            <w:vAlign w:val="center"/>
          </w:tcPr>
          <w:p>
            <w:pPr>
              <w:spacing w:line="360" w:lineRule="auto"/>
              <w:jc w:val="center"/>
              <w:rPr>
                <w:color w:val="auto"/>
                <w:highlight w:val="none"/>
              </w:rPr>
            </w:pPr>
          </w:p>
        </w:tc>
        <w:tc>
          <w:tcPr>
            <w:tcW w:w="1010" w:type="dxa"/>
            <w:vMerge w:val="continue"/>
            <w:noWrap w:val="0"/>
            <w:vAlign w:val="center"/>
          </w:tcPr>
          <w:p>
            <w:pPr>
              <w:spacing w:line="360" w:lineRule="auto"/>
              <w:rPr>
                <w:color w:val="auto"/>
                <w:highlight w:val="none"/>
                <w:lang w:val="zh-TW"/>
              </w:rPr>
            </w:pPr>
          </w:p>
        </w:tc>
        <w:tc>
          <w:tcPr>
            <w:tcW w:w="6229" w:type="dxa"/>
            <w:noWrap w:val="0"/>
            <w:vAlign w:val="center"/>
          </w:tcPr>
          <w:p>
            <w:pPr>
              <w:spacing w:line="360" w:lineRule="auto"/>
              <w:rPr>
                <w:rFonts w:hint="eastAsia"/>
                <w:color w:val="auto"/>
                <w:highlight w:val="none"/>
              </w:rPr>
            </w:pPr>
            <w:r>
              <w:rPr>
                <w:rFonts w:hint="eastAsia" w:ascii="宋体" w:hAnsi="宋体" w:cs="宋体"/>
                <w:color w:val="auto"/>
                <w:kern w:val="0"/>
                <w:szCs w:val="21"/>
                <w:highlight w:val="none"/>
              </w:rPr>
              <w:t>按照要求定期对消防设施检查、消防演练，有完整的档案记录的给0-4分。检查、演练方案详细，计划合理的，得4分；检查、演练方案较详细，计划较合理的，得3分；检查、演练方案一般，计划一般的，得2分；检查、演练方案偏离，计划粗糙的，得1分；</w:t>
            </w:r>
            <w:r>
              <w:rPr>
                <w:rFonts w:hint="eastAsia"/>
                <w:color w:val="auto"/>
                <w:highlight w:val="none"/>
              </w:rPr>
              <w:t>未提供得0分。</w:t>
            </w:r>
          </w:p>
        </w:tc>
        <w:tc>
          <w:tcPr>
            <w:tcW w:w="781" w:type="dxa"/>
            <w:noWrap w:val="0"/>
            <w:vAlign w:val="center"/>
          </w:tcPr>
          <w:p>
            <w:pPr>
              <w:spacing w:line="360" w:lineRule="auto"/>
              <w:jc w:val="center"/>
              <w:rPr>
                <w:rFonts w:hint="eastAsia"/>
                <w:color w:val="auto"/>
                <w:highlight w:val="none"/>
              </w:rPr>
            </w:pPr>
            <w:r>
              <w:rPr>
                <w:rFonts w:hint="eastAsia"/>
                <w:color w:val="auto"/>
                <w:highlight w:val="none"/>
              </w:rPr>
              <w:t>主观分</w:t>
            </w:r>
          </w:p>
        </w:tc>
        <w:tc>
          <w:tcPr>
            <w:tcW w:w="702" w:type="dxa"/>
            <w:noWrap w:val="0"/>
            <w:vAlign w:val="center"/>
          </w:tcPr>
          <w:p>
            <w:pPr>
              <w:spacing w:line="360" w:lineRule="auto"/>
              <w:jc w:val="center"/>
              <w:rPr>
                <w:rFonts w:hint="eastAsia"/>
                <w:color w:val="auto"/>
                <w:highlight w:val="none"/>
              </w:rPr>
            </w:pPr>
            <w:r>
              <w:rPr>
                <w:rFonts w:hint="eastAsia"/>
                <w:color w:val="auto"/>
                <w:highlight w:val="none"/>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636" w:type="dxa"/>
            <w:vMerge w:val="continue"/>
            <w:noWrap w:val="0"/>
            <w:vAlign w:val="center"/>
          </w:tcPr>
          <w:p>
            <w:pPr>
              <w:spacing w:line="360" w:lineRule="auto"/>
              <w:jc w:val="center"/>
              <w:rPr>
                <w:color w:val="auto"/>
                <w:highlight w:val="none"/>
              </w:rPr>
            </w:pPr>
          </w:p>
        </w:tc>
        <w:tc>
          <w:tcPr>
            <w:tcW w:w="1010" w:type="dxa"/>
            <w:vMerge w:val="continue"/>
            <w:noWrap w:val="0"/>
            <w:vAlign w:val="center"/>
          </w:tcPr>
          <w:p>
            <w:pPr>
              <w:spacing w:line="360" w:lineRule="auto"/>
              <w:rPr>
                <w:color w:val="auto"/>
                <w:highlight w:val="none"/>
                <w:lang w:val="zh-TW"/>
              </w:rPr>
            </w:pPr>
          </w:p>
        </w:tc>
        <w:tc>
          <w:tcPr>
            <w:tcW w:w="6229" w:type="dxa"/>
            <w:noWrap w:val="0"/>
            <w:vAlign w:val="center"/>
          </w:tcPr>
          <w:p>
            <w:pPr>
              <w:spacing w:line="360" w:lineRule="auto"/>
              <w:rPr>
                <w:rFonts w:hint="eastAsia"/>
                <w:color w:val="auto"/>
                <w:highlight w:val="none"/>
              </w:rPr>
            </w:pPr>
            <w:r>
              <w:rPr>
                <w:rFonts w:hint="eastAsia"/>
                <w:color w:val="auto"/>
                <w:highlight w:val="none"/>
              </w:rPr>
              <w:t>针对中标后工作的衔接、人员及装备的进场、与医院各项医务工作及医院业务流程相适应的服务运作流程等指定的方案。方案完善可行得4分；方案普通得3分；方案有瑕疵得2分；方案过于简单得1分；未提供得0分。</w:t>
            </w:r>
          </w:p>
        </w:tc>
        <w:tc>
          <w:tcPr>
            <w:tcW w:w="781" w:type="dxa"/>
            <w:noWrap w:val="0"/>
            <w:vAlign w:val="center"/>
          </w:tcPr>
          <w:p>
            <w:pPr>
              <w:spacing w:line="360" w:lineRule="auto"/>
              <w:jc w:val="center"/>
              <w:rPr>
                <w:rFonts w:hint="eastAsia"/>
                <w:color w:val="auto"/>
                <w:highlight w:val="none"/>
              </w:rPr>
            </w:pPr>
            <w:r>
              <w:rPr>
                <w:rFonts w:hint="eastAsia"/>
                <w:color w:val="auto"/>
                <w:highlight w:val="none"/>
              </w:rPr>
              <w:t>主观分</w:t>
            </w:r>
          </w:p>
        </w:tc>
        <w:tc>
          <w:tcPr>
            <w:tcW w:w="702" w:type="dxa"/>
            <w:noWrap w:val="0"/>
            <w:vAlign w:val="center"/>
          </w:tcPr>
          <w:p>
            <w:pPr>
              <w:spacing w:line="360" w:lineRule="auto"/>
              <w:jc w:val="center"/>
              <w:rPr>
                <w:rFonts w:hint="eastAsia"/>
                <w:color w:val="auto"/>
                <w:highlight w:val="none"/>
              </w:rPr>
            </w:pPr>
            <w:r>
              <w:rPr>
                <w:rFonts w:hint="eastAsia"/>
                <w:color w:val="auto"/>
                <w:highlight w:val="none"/>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636" w:type="dxa"/>
            <w:vMerge w:val="continue"/>
            <w:noWrap w:val="0"/>
            <w:vAlign w:val="center"/>
          </w:tcPr>
          <w:p>
            <w:pPr>
              <w:spacing w:line="360" w:lineRule="auto"/>
              <w:jc w:val="center"/>
              <w:rPr>
                <w:color w:val="auto"/>
                <w:highlight w:val="none"/>
              </w:rPr>
            </w:pPr>
          </w:p>
        </w:tc>
        <w:tc>
          <w:tcPr>
            <w:tcW w:w="1010" w:type="dxa"/>
            <w:vMerge w:val="continue"/>
            <w:noWrap w:val="0"/>
            <w:vAlign w:val="center"/>
          </w:tcPr>
          <w:p>
            <w:pPr>
              <w:spacing w:line="360" w:lineRule="auto"/>
              <w:rPr>
                <w:color w:val="auto"/>
                <w:highlight w:val="none"/>
                <w:lang w:val="zh-TW"/>
              </w:rPr>
            </w:pPr>
          </w:p>
        </w:tc>
        <w:tc>
          <w:tcPr>
            <w:tcW w:w="6229" w:type="dxa"/>
            <w:noWrap w:val="0"/>
            <w:vAlign w:val="center"/>
          </w:tcPr>
          <w:p>
            <w:pPr>
              <w:spacing w:line="360" w:lineRule="auto"/>
              <w:rPr>
                <w:rFonts w:hint="eastAsia"/>
                <w:color w:val="auto"/>
                <w:highlight w:val="none"/>
              </w:rPr>
            </w:pPr>
            <w:r>
              <w:rPr>
                <w:rFonts w:hint="eastAsia"/>
                <w:color w:val="auto"/>
                <w:highlight w:val="none"/>
              </w:rPr>
              <w:t>对医院消防监控值班的特点的认识及相应针对方案。评价有关组织计划、工作制度、应急方案的合理性、科学性。项目组织计划和人员、设施投入情况。方案、制度合理可行得4分；方案、制度普通得3分；方案、制度有瑕疵得2分；方案、制度过于简单得1分；未提供得0分。</w:t>
            </w:r>
          </w:p>
        </w:tc>
        <w:tc>
          <w:tcPr>
            <w:tcW w:w="781" w:type="dxa"/>
            <w:noWrap w:val="0"/>
            <w:vAlign w:val="center"/>
          </w:tcPr>
          <w:p>
            <w:pPr>
              <w:spacing w:line="360" w:lineRule="auto"/>
              <w:jc w:val="center"/>
              <w:rPr>
                <w:rFonts w:hint="eastAsia"/>
                <w:color w:val="auto"/>
                <w:highlight w:val="none"/>
              </w:rPr>
            </w:pPr>
            <w:r>
              <w:rPr>
                <w:rFonts w:hint="eastAsia"/>
                <w:color w:val="auto"/>
                <w:highlight w:val="none"/>
              </w:rPr>
              <w:t>主观分</w:t>
            </w:r>
          </w:p>
        </w:tc>
        <w:tc>
          <w:tcPr>
            <w:tcW w:w="702" w:type="dxa"/>
            <w:noWrap w:val="0"/>
            <w:vAlign w:val="center"/>
          </w:tcPr>
          <w:p>
            <w:pPr>
              <w:spacing w:line="360" w:lineRule="auto"/>
              <w:jc w:val="center"/>
              <w:rPr>
                <w:rFonts w:hint="eastAsia"/>
                <w:color w:val="auto"/>
                <w:highlight w:val="none"/>
              </w:rPr>
            </w:pPr>
            <w:r>
              <w:rPr>
                <w:rFonts w:hint="eastAsia"/>
                <w:color w:val="auto"/>
                <w:highlight w:val="none"/>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636" w:type="dxa"/>
            <w:vMerge w:val="restart"/>
            <w:noWrap w:val="0"/>
            <w:vAlign w:val="center"/>
          </w:tcPr>
          <w:p>
            <w:pPr>
              <w:spacing w:line="360" w:lineRule="auto"/>
              <w:jc w:val="center"/>
              <w:rPr>
                <w:rFonts w:hint="eastAsia" w:eastAsia="宋体"/>
                <w:color w:val="auto"/>
                <w:highlight w:val="none"/>
                <w:lang w:eastAsia="zh-CN"/>
              </w:rPr>
            </w:pPr>
            <w:r>
              <w:rPr>
                <w:rFonts w:hint="eastAsia"/>
                <w:color w:val="auto"/>
                <w:highlight w:val="none"/>
                <w:lang w:val="en-US" w:eastAsia="zh-CN"/>
              </w:rPr>
              <w:t>6</w:t>
            </w:r>
          </w:p>
        </w:tc>
        <w:tc>
          <w:tcPr>
            <w:tcW w:w="1010" w:type="dxa"/>
            <w:vMerge w:val="restart"/>
            <w:noWrap w:val="0"/>
            <w:vAlign w:val="center"/>
          </w:tcPr>
          <w:p>
            <w:pPr>
              <w:spacing w:line="360" w:lineRule="auto"/>
              <w:rPr>
                <w:rFonts w:hint="eastAsia"/>
                <w:color w:val="auto"/>
                <w:highlight w:val="none"/>
              </w:rPr>
            </w:pPr>
            <w:r>
              <w:rPr>
                <w:rFonts w:hint="eastAsia" w:ascii="宋体" w:hAnsi="宋体" w:cs="宋体"/>
                <w:color w:val="auto"/>
                <w:kern w:val="0"/>
                <w:szCs w:val="21"/>
                <w:highlight w:val="none"/>
              </w:rPr>
              <w:t>设备装备投入方案</w:t>
            </w:r>
          </w:p>
        </w:tc>
        <w:tc>
          <w:tcPr>
            <w:tcW w:w="6229" w:type="dxa"/>
            <w:noWrap w:val="0"/>
            <w:vAlign w:val="center"/>
          </w:tcPr>
          <w:p>
            <w:pPr>
              <w:adjustRightInd w:val="0"/>
              <w:snapToGrid w:val="0"/>
              <w:spacing w:line="360" w:lineRule="auto"/>
              <w:rPr>
                <w:rFonts w:hint="eastAsia"/>
                <w:color w:val="auto"/>
                <w:highlight w:val="none"/>
              </w:rPr>
            </w:pPr>
            <w:r>
              <w:rPr>
                <w:rFonts w:hint="eastAsia"/>
                <w:color w:val="auto"/>
                <w:highlight w:val="none"/>
              </w:rPr>
              <w:t>安保个人各季节服装、装备配备合理、完备、优质，并与医院环境相适应的，得2分；服装、装备配备一般的，适应性一般的，得1分；服装、装备配备不合理的，得0.5分；未提供不得分（附个人装备清单与图片，未提供的不得分）</w:t>
            </w:r>
          </w:p>
        </w:tc>
        <w:tc>
          <w:tcPr>
            <w:tcW w:w="781" w:type="dxa"/>
            <w:noWrap w:val="0"/>
            <w:vAlign w:val="center"/>
          </w:tcPr>
          <w:p>
            <w:pPr>
              <w:spacing w:line="360" w:lineRule="auto"/>
              <w:jc w:val="center"/>
              <w:rPr>
                <w:rFonts w:hint="eastAsia"/>
                <w:color w:val="auto"/>
                <w:highlight w:val="none"/>
              </w:rPr>
            </w:pPr>
            <w:r>
              <w:rPr>
                <w:rFonts w:hint="eastAsia"/>
                <w:color w:val="auto"/>
                <w:highlight w:val="none"/>
              </w:rPr>
              <w:t>主观分</w:t>
            </w:r>
          </w:p>
        </w:tc>
        <w:tc>
          <w:tcPr>
            <w:tcW w:w="702" w:type="dxa"/>
            <w:noWrap w:val="0"/>
            <w:vAlign w:val="center"/>
          </w:tcPr>
          <w:p>
            <w:pPr>
              <w:spacing w:line="360" w:lineRule="auto"/>
              <w:jc w:val="center"/>
              <w:rPr>
                <w:rFonts w:hint="eastAsia"/>
                <w:color w:val="auto"/>
                <w:highlight w:val="none"/>
              </w:rPr>
            </w:pPr>
            <w:r>
              <w:rPr>
                <w:rFonts w:hint="eastAsia"/>
                <w:color w:val="auto"/>
                <w:highlight w:val="none"/>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636" w:type="dxa"/>
            <w:vMerge w:val="continue"/>
            <w:noWrap w:val="0"/>
            <w:vAlign w:val="center"/>
          </w:tcPr>
          <w:p>
            <w:pPr>
              <w:spacing w:line="360" w:lineRule="auto"/>
              <w:jc w:val="center"/>
              <w:rPr>
                <w:rFonts w:hint="eastAsia"/>
                <w:color w:val="auto"/>
                <w:highlight w:val="none"/>
              </w:rPr>
            </w:pPr>
          </w:p>
        </w:tc>
        <w:tc>
          <w:tcPr>
            <w:tcW w:w="1010" w:type="dxa"/>
            <w:vMerge w:val="continue"/>
            <w:noWrap w:val="0"/>
            <w:vAlign w:val="center"/>
          </w:tcPr>
          <w:p>
            <w:pPr>
              <w:spacing w:line="360" w:lineRule="auto"/>
              <w:rPr>
                <w:rFonts w:hint="eastAsia"/>
                <w:color w:val="auto"/>
                <w:highlight w:val="none"/>
              </w:rPr>
            </w:pPr>
          </w:p>
        </w:tc>
        <w:tc>
          <w:tcPr>
            <w:tcW w:w="6229" w:type="dxa"/>
            <w:noWrap w:val="0"/>
            <w:vAlign w:val="center"/>
          </w:tcPr>
          <w:p>
            <w:pPr>
              <w:spacing w:line="360" w:lineRule="auto"/>
              <w:jc w:val="left"/>
              <w:rPr>
                <w:rFonts w:hint="eastAsia"/>
                <w:color w:val="auto"/>
                <w:highlight w:val="none"/>
              </w:rPr>
            </w:pPr>
            <w:r>
              <w:rPr>
                <w:rFonts w:hint="eastAsia"/>
                <w:color w:val="auto"/>
                <w:highlight w:val="none"/>
              </w:rPr>
              <w:t>巡更、巡查、巡逻、警用器械配置。除采购文件列举标准配置之外的警用器械（附配置清单与图片，未提供的不得分）设备丰富先进的得2分；设备较丰富先进的得1.5分；设备一般的得1分；设备较少的得0.5分；未提供说明不得分。</w:t>
            </w:r>
          </w:p>
        </w:tc>
        <w:tc>
          <w:tcPr>
            <w:tcW w:w="781" w:type="dxa"/>
            <w:noWrap w:val="0"/>
            <w:vAlign w:val="center"/>
          </w:tcPr>
          <w:p>
            <w:pPr>
              <w:spacing w:line="360" w:lineRule="auto"/>
              <w:jc w:val="center"/>
              <w:rPr>
                <w:rFonts w:hint="eastAsia"/>
                <w:color w:val="auto"/>
                <w:highlight w:val="none"/>
              </w:rPr>
            </w:pPr>
            <w:r>
              <w:rPr>
                <w:rFonts w:hint="eastAsia"/>
                <w:color w:val="auto"/>
                <w:highlight w:val="none"/>
              </w:rPr>
              <w:t>主观分</w:t>
            </w:r>
          </w:p>
        </w:tc>
        <w:tc>
          <w:tcPr>
            <w:tcW w:w="702" w:type="dxa"/>
            <w:noWrap w:val="0"/>
            <w:vAlign w:val="center"/>
          </w:tcPr>
          <w:p>
            <w:pPr>
              <w:spacing w:line="360" w:lineRule="auto"/>
              <w:jc w:val="center"/>
              <w:rPr>
                <w:rFonts w:hint="eastAsia"/>
                <w:color w:val="auto"/>
                <w:highlight w:val="none"/>
              </w:rPr>
            </w:pPr>
            <w:r>
              <w:rPr>
                <w:rFonts w:hint="eastAsia"/>
                <w:color w:val="auto"/>
                <w:highlight w:val="none"/>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36" w:type="dxa"/>
            <w:vMerge w:val="continue"/>
            <w:noWrap w:val="0"/>
            <w:vAlign w:val="center"/>
          </w:tcPr>
          <w:p>
            <w:pPr>
              <w:spacing w:line="360" w:lineRule="auto"/>
              <w:jc w:val="center"/>
              <w:rPr>
                <w:rFonts w:hint="eastAsia"/>
                <w:color w:val="auto"/>
                <w:highlight w:val="none"/>
              </w:rPr>
            </w:pPr>
          </w:p>
        </w:tc>
        <w:tc>
          <w:tcPr>
            <w:tcW w:w="1010" w:type="dxa"/>
            <w:vMerge w:val="continue"/>
            <w:noWrap w:val="0"/>
            <w:vAlign w:val="center"/>
          </w:tcPr>
          <w:p>
            <w:pPr>
              <w:spacing w:line="360" w:lineRule="auto"/>
              <w:rPr>
                <w:rFonts w:hint="eastAsia"/>
                <w:color w:val="auto"/>
                <w:highlight w:val="none"/>
              </w:rPr>
            </w:pPr>
          </w:p>
        </w:tc>
        <w:tc>
          <w:tcPr>
            <w:tcW w:w="6229" w:type="dxa"/>
            <w:noWrap w:val="0"/>
            <w:vAlign w:val="center"/>
          </w:tcPr>
          <w:p>
            <w:pPr>
              <w:spacing w:line="360" w:lineRule="auto"/>
              <w:jc w:val="left"/>
              <w:rPr>
                <w:rFonts w:hint="eastAsia"/>
                <w:color w:val="auto"/>
                <w:highlight w:val="none"/>
              </w:rPr>
            </w:pPr>
            <w:r>
              <w:rPr>
                <w:rFonts w:hint="eastAsia"/>
                <w:color w:val="auto"/>
                <w:highlight w:val="none"/>
              </w:rPr>
              <w:t>投标人拟投入对讲机45部以上的，得1分；</w:t>
            </w:r>
          </w:p>
          <w:p>
            <w:pPr>
              <w:spacing w:line="360" w:lineRule="auto"/>
              <w:rPr>
                <w:rFonts w:hint="eastAsia"/>
                <w:color w:val="auto"/>
                <w:highlight w:val="none"/>
              </w:rPr>
            </w:pPr>
            <w:r>
              <w:rPr>
                <w:rFonts w:hint="eastAsia"/>
                <w:color w:val="auto"/>
                <w:highlight w:val="none"/>
              </w:rPr>
              <w:t>投标人拟投入执法记录仪4台以上的，得1分；</w:t>
            </w:r>
          </w:p>
        </w:tc>
        <w:tc>
          <w:tcPr>
            <w:tcW w:w="781" w:type="dxa"/>
            <w:noWrap w:val="0"/>
            <w:vAlign w:val="center"/>
          </w:tcPr>
          <w:p>
            <w:pPr>
              <w:spacing w:line="360" w:lineRule="auto"/>
              <w:jc w:val="center"/>
              <w:rPr>
                <w:color w:val="auto"/>
                <w:highlight w:val="none"/>
              </w:rPr>
            </w:pPr>
            <w:r>
              <w:rPr>
                <w:rFonts w:hint="eastAsia"/>
                <w:color w:val="auto"/>
                <w:highlight w:val="none"/>
              </w:rPr>
              <w:t>客观分</w:t>
            </w:r>
          </w:p>
        </w:tc>
        <w:tc>
          <w:tcPr>
            <w:tcW w:w="702" w:type="dxa"/>
            <w:noWrap w:val="0"/>
            <w:vAlign w:val="center"/>
          </w:tcPr>
          <w:p>
            <w:pPr>
              <w:spacing w:line="360" w:lineRule="auto"/>
              <w:jc w:val="center"/>
              <w:rPr>
                <w:rFonts w:hint="eastAsia"/>
                <w:color w:val="auto"/>
                <w:highlight w:val="none"/>
              </w:rPr>
            </w:pPr>
            <w:r>
              <w:rPr>
                <w:rFonts w:hint="eastAsia"/>
                <w:color w:val="auto"/>
                <w:highlight w:val="none"/>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636" w:type="dxa"/>
            <w:noWrap w:val="0"/>
            <w:vAlign w:val="center"/>
          </w:tcPr>
          <w:p>
            <w:pPr>
              <w:spacing w:line="360" w:lineRule="auto"/>
              <w:jc w:val="center"/>
              <w:rPr>
                <w:rFonts w:hint="eastAsia" w:eastAsia="宋体"/>
                <w:color w:val="auto"/>
                <w:highlight w:val="none"/>
                <w:lang w:eastAsia="zh-CN"/>
              </w:rPr>
            </w:pPr>
            <w:r>
              <w:rPr>
                <w:rFonts w:hint="eastAsia"/>
                <w:color w:val="auto"/>
                <w:highlight w:val="none"/>
                <w:lang w:val="en-US" w:eastAsia="zh-CN"/>
              </w:rPr>
              <w:t>7</w:t>
            </w:r>
          </w:p>
        </w:tc>
        <w:tc>
          <w:tcPr>
            <w:tcW w:w="1010" w:type="dxa"/>
            <w:noWrap w:val="0"/>
            <w:vAlign w:val="center"/>
          </w:tcPr>
          <w:p>
            <w:pPr>
              <w:spacing w:line="360" w:lineRule="auto"/>
              <w:rPr>
                <w:rFonts w:hint="eastAsia"/>
                <w:color w:val="auto"/>
                <w:highlight w:val="none"/>
                <w:lang w:val="zh-TW"/>
              </w:rPr>
            </w:pPr>
            <w:r>
              <w:rPr>
                <w:rFonts w:hint="eastAsia"/>
                <w:color w:val="auto"/>
                <w:highlight w:val="none"/>
              </w:rPr>
              <w:t>服务人员</w:t>
            </w:r>
          </w:p>
        </w:tc>
        <w:tc>
          <w:tcPr>
            <w:tcW w:w="6229" w:type="dxa"/>
            <w:noWrap w:val="0"/>
            <w:vAlign w:val="center"/>
          </w:tcPr>
          <w:p>
            <w:pPr>
              <w:spacing w:line="360" w:lineRule="auto"/>
              <w:jc w:val="left"/>
              <w:rPr>
                <w:rFonts w:hint="eastAsia"/>
                <w:color w:val="auto"/>
                <w:highlight w:val="none"/>
              </w:rPr>
            </w:pPr>
            <w:r>
              <w:rPr>
                <w:rFonts w:hint="eastAsia"/>
                <w:color w:val="auto"/>
                <w:highlight w:val="none"/>
              </w:rPr>
              <w:t xml:space="preserve">拟投入人员配备中具有高中及以上学历比例，≥80%得3分，80%＞比例≥70%得 2分，70%＞比例≥60%得1 分 </w:t>
            </w:r>
          </w:p>
          <w:p>
            <w:pPr>
              <w:spacing w:line="360" w:lineRule="auto"/>
              <w:jc w:val="left"/>
              <w:rPr>
                <w:rFonts w:hint="eastAsia"/>
                <w:color w:val="auto"/>
                <w:highlight w:val="none"/>
              </w:rPr>
            </w:pPr>
            <w:r>
              <w:rPr>
                <w:rFonts w:hint="eastAsia"/>
                <w:color w:val="auto"/>
                <w:highlight w:val="none"/>
              </w:rPr>
              <w:t>（投标人出具承诺函，并在中标后尽快安排到位预备进场）</w:t>
            </w:r>
          </w:p>
        </w:tc>
        <w:tc>
          <w:tcPr>
            <w:tcW w:w="781" w:type="dxa"/>
            <w:noWrap w:val="0"/>
            <w:vAlign w:val="center"/>
          </w:tcPr>
          <w:p>
            <w:pPr>
              <w:spacing w:line="360" w:lineRule="auto"/>
              <w:jc w:val="left"/>
              <w:rPr>
                <w:rFonts w:hint="eastAsia"/>
                <w:color w:val="auto"/>
                <w:highlight w:val="none"/>
              </w:rPr>
            </w:pPr>
            <w:r>
              <w:rPr>
                <w:rFonts w:hint="eastAsia"/>
                <w:color w:val="auto"/>
                <w:highlight w:val="none"/>
              </w:rPr>
              <w:t>客观分</w:t>
            </w:r>
          </w:p>
        </w:tc>
        <w:tc>
          <w:tcPr>
            <w:tcW w:w="702" w:type="dxa"/>
            <w:noWrap w:val="0"/>
            <w:vAlign w:val="center"/>
          </w:tcPr>
          <w:p>
            <w:pPr>
              <w:spacing w:line="360" w:lineRule="auto"/>
              <w:jc w:val="left"/>
              <w:rPr>
                <w:rFonts w:hint="eastAsia"/>
                <w:color w:val="auto"/>
                <w:highlight w:val="none"/>
              </w:rPr>
            </w:pPr>
            <w:r>
              <w:rPr>
                <w:rFonts w:hint="eastAsia"/>
                <w:color w:val="auto"/>
                <w:highlight w:val="none"/>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636" w:type="dxa"/>
            <w:vMerge w:val="restart"/>
            <w:noWrap w:val="0"/>
            <w:vAlign w:val="center"/>
          </w:tcPr>
          <w:p>
            <w:pPr>
              <w:spacing w:line="360" w:lineRule="auto"/>
              <w:jc w:val="center"/>
              <w:rPr>
                <w:rFonts w:hint="eastAsia" w:eastAsia="宋体"/>
                <w:color w:val="auto"/>
                <w:highlight w:val="none"/>
                <w:lang w:eastAsia="zh-CN"/>
              </w:rPr>
            </w:pPr>
            <w:r>
              <w:rPr>
                <w:rFonts w:hint="eastAsia"/>
                <w:color w:val="auto"/>
                <w:highlight w:val="none"/>
                <w:lang w:val="en-US" w:eastAsia="zh-CN"/>
              </w:rPr>
              <w:t>8</w:t>
            </w:r>
          </w:p>
        </w:tc>
        <w:tc>
          <w:tcPr>
            <w:tcW w:w="1010" w:type="dxa"/>
            <w:vMerge w:val="restart"/>
            <w:noWrap w:val="0"/>
            <w:vAlign w:val="center"/>
          </w:tcPr>
          <w:p>
            <w:pPr>
              <w:spacing w:line="360" w:lineRule="auto"/>
              <w:rPr>
                <w:color w:val="auto"/>
                <w:highlight w:val="none"/>
                <w:lang w:val="zh-TW"/>
              </w:rPr>
            </w:pPr>
            <w:r>
              <w:rPr>
                <w:rFonts w:hint="eastAsia"/>
                <w:color w:val="auto"/>
                <w:highlight w:val="none"/>
              </w:rPr>
              <w:t>应急方案及措施</w:t>
            </w:r>
          </w:p>
        </w:tc>
        <w:tc>
          <w:tcPr>
            <w:tcW w:w="6229" w:type="dxa"/>
            <w:noWrap w:val="0"/>
            <w:vAlign w:val="center"/>
          </w:tcPr>
          <w:p>
            <w:pPr>
              <w:spacing w:line="360" w:lineRule="auto"/>
              <w:rPr>
                <w:rFonts w:hint="eastAsia"/>
                <w:color w:val="auto"/>
                <w:highlight w:val="none"/>
              </w:rPr>
            </w:pPr>
            <w:r>
              <w:rPr>
                <w:rFonts w:hint="eastAsia"/>
                <w:color w:val="auto"/>
                <w:highlight w:val="none"/>
              </w:rPr>
              <w:t>突发事件（包括台风、暴雨、地震等灾害性天气导致的各类突发事件及其他突发事件）时的应急预案及相应的措施。预案及措施详细全面得3分；预案及措施较详细全面得2分；预案及措施一般得1分；预案及措施有瑕疵得0.5分；未提供不得分。</w:t>
            </w:r>
          </w:p>
        </w:tc>
        <w:tc>
          <w:tcPr>
            <w:tcW w:w="781" w:type="dxa"/>
            <w:noWrap w:val="0"/>
            <w:vAlign w:val="center"/>
          </w:tcPr>
          <w:p>
            <w:pPr>
              <w:spacing w:line="360" w:lineRule="auto"/>
              <w:jc w:val="center"/>
              <w:rPr>
                <w:rFonts w:hint="eastAsia"/>
                <w:color w:val="auto"/>
                <w:highlight w:val="none"/>
              </w:rPr>
            </w:pPr>
            <w:r>
              <w:rPr>
                <w:rFonts w:hint="eastAsia"/>
                <w:color w:val="auto"/>
                <w:highlight w:val="none"/>
              </w:rPr>
              <w:t>主观分</w:t>
            </w:r>
          </w:p>
        </w:tc>
        <w:tc>
          <w:tcPr>
            <w:tcW w:w="702" w:type="dxa"/>
            <w:noWrap w:val="0"/>
            <w:vAlign w:val="center"/>
          </w:tcPr>
          <w:p>
            <w:pPr>
              <w:spacing w:line="360" w:lineRule="auto"/>
              <w:jc w:val="center"/>
              <w:rPr>
                <w:rFonts w:hint="eastAsia"/>
                <w:color w:val="auto"/>
                <w:highlight w:val="none"/>
              </w:rPr>
            </w:pPr>
            <w:r>
              <w:rPr>
                <w:rFonts w:hint="eastAsia"/>
                <w:color w:val="auto"/>
                <w:highlight w:val="none"/>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636" w:type="dxa"/>
            <w:vMerge w:val="continue"/>
            <w:noWrap w:val="0"/>
            <w:vAlign w:val="center"/>
          </w:tcPr>
          <w:p>
            <w:pPr>
              <w:spacing w:line="360" w:lineRule="auto"/>
              <w:jc w:val="center"/>
              <w:rPr>
                <w:color w:val="auto"/>
                <w:highlight w:val="none"/>
              </w:rPr>
            </w:pPr>
          </w:p>
        </w:tc>
        <w:tc>
          <w:tcPr>
            <w:tcW w:w="1010" w:type="dxa"/>
            <w:vMerge w:val="continue"/>
            <w:noWrap w:val="0"/>
            <w:vAlign w:val="center"/>
          </w:tcPr>
          <w:p>
            <w:pPr>
              <w:spacing w:line="360" w:lineRule="auto"/>
              <w:rPr>
                <w:color w:val="auto"/>
                <w:highlight w:val="none"/>
              </w:rPr>
            </w:pPr>
          </w:p>
        </w:tc>
        <w:tc>
          <w:tcPr>
            <w:tcW w:w="6229" w:type="dxa"/>
            <w:noWrap w:val="0"/>
            <w:vAlign w:val="center"/>
          </w:tcPr>
          <w:p>
            <w:pPr>
              <w:spacing w:line="360" w:lineRule="auto"/>
              <w:rPr>
                <w:rFonts w:hint="eastAsia"/>
                <w:color w:val="auto"/>
                <w:highlight w:val="none"/>
              </w:rPr>
            </w:pPr>
            <w:r>
              <w:rPr>
                <w:rFonts w:hint="eastAsia"/>
                <w:color w:val="auto"/>
                <w:highlight w:val="none"/>
              </w:rPr>
              <w:t>针对防盗、防火的安全防范巡查措施。措施详细全面得3分；措施较详细全面得2分；措施一般得1分；措施有瑕疵得0.5分；未提供不得分。</w:t>
            </w:r>
          </w:p>
        </w:tc>
        <w:tc>
          <w:tcPr>
            <w:tcW w:w="781" w:type="dxa"/>
            <w:noWrap w:val="0"/>
            <w:vAlign w:val="center"/>
          </w:tcPr>
          <w:p>
            <w:pPr>
              <w:spacing w:line="360" w:lineRule="auto"/>
              <w:jc w:val="center"/>
              <w:rPr>
                <w:rFonts w:hint="eastAsia"/>
                <w:color w:val="auto"/>
                <w:highlight w:val="none"/>
              </w:rPr>
            </w:pPr>
            <w:r>
              <w:rPr>
                <w:rFonts w:hint="eastAsia"/>
                <w:color w:val="auto"/>
                <w:highlight w:val="none"/>
              </w:rPr>
              <w:t>主观分</w:t>
            </w:r>
          </w:p>
        </w:tc>
        <w:tc>
          <w:tcPr>
            <w:tcW w:w="702" w:type="dxa"/>
            <w:noWrap w:val="0"/>
            <w:vAlign w:val="center"/>
          </w:tcPr>
          <w:p>
            <w:pPr>
              <w:spacing w:line="360" w:lineRule="auto"/>
              <w:jc w:val="center"/>
              <w:rPr>
                <w:rFonts w:hint="eastAsia"/>
                <w:color w:val="auto"/>
                <w:highlight w:val="none"/>
              </w:rPr>
            </w:pPr>
            <w:r>
              <w:rPr>
                <w:rFonts w:hint="eastAsia"/>
                <w:color w:val="auto"/>
                <w:highlight w:val="none"/>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636" w:type="dxa"/>
            <w:vMerge w:val="continue"/>
            <w:noWrap w:val="0"/>
            <w:vAlign w:val="center"/>
          </w:tcPr>
          <w:p>
            <w:pPr>
              <w:spacing w:line="360" w:lineRule="auto"/>
              <w:jc w:val="center"/>
              <w:rPr>
                <w:color w:val="auto"/>
                <w:highlight w:val="none"/>
              </w:rPr>
            </w:pPr>
          </w:p>
        </w:tc>
        <w:tc>
          <w:tcPr>
            <w:tcW w:w="1010" w:type="dxa"/>
            <w:vMerge w:val="continue"/>
            <w:noWrap w:val="0"/>
            <w:vAlign w:val="center"/>
          </w:tcPr>
          <w:p>
            <w:pPr>
              <w:spacing w:line="360" w:lineRule="auto"/>
              <w:rPr>
                <w:color w:val="auto"/>
                <w:highlight w:val="none"/>
              </w:rPr>
            </w:pPr>
          </w:p>
        </w:tc>
        <w:tc>
          <w:tcPr>
            <w:tcW w:w="6229" w:type="dxa"/>
            <w:noWrap w:val="0"/>
            <w:vAlign w:val="center"/>
          </w:tcPr>
          <w:p>
            <w:pPr>
              <w:spacing w:line="360" w:lineRule="auto"/>
              <w:rPr>
                <w:rFonts w:hint="eastAsia"/>
                <w:color w:val="auto"/>
                <w:highlight w:val="none"/>
              </w:rPr>
            </w:pPr>
            <w:r>
              <w:rPr>
                <w:rFonts w:hint="eastAsia"/>
                <w:color w:val="auto"/>
                <w:highlight w:val="none"/>
              </w:rPr>
              <w:t>应对危及社会纠纷、暴恐事件、医护人员安全的突发事件的应急预案。预案详细全面得3分；预案较详细全面得2分；预案一般得1分；预案有瑕疵得0.5分；未提供不得分。</w:t>
            </w:r>
          </w:p>
        </w:tc>
        <w:tc>
          <w:tcPr>
            <w:tcW w:w="781" w:type="dxa"/>
            <w:noWrap w:val="0"/>
            <w:vAlign w:val="center"/>
          </w:tcPr>
          <w:p>
            <w:pPr>
              <w:spacing w:line="360" w:lineRule="auto"/>
              <w:jc w:val="center"/>
              <w:rPr>
                <w:rFonts w:hint="eastAsia"/>
                <w:color w:val="auto"/>
                <w:highlight w:val="none"/>
              </w:rPr>
            </w:pPr>
            <w:r>
              <w:rPr>
                <w:rFonts w:hint="eastAsia"/>
                <w:color w:val="auto"/>
                <w:highlight w:val="none"/>
              </w:rPr>
              <w:t>主观分</w:t>
            </w:r>
          </w:p>
        </w:tc>
        <w:tc>
          <w:tcPr>
            <w:tcW w:w="702" w:type="dxa"/>
            <w:noWrap w:val="0"/>
            <w:vAlign w:val="center"/>
          </w:tcPr>
          <w:p>
            <w:pPr>
              <w:spacing w:line="360" w:lineRule="auto"/>
              <w:jc w:val="center"/>
              <w:rPr>
                <w:rFonts w:hint="eastAsia"/>
                <w:color w:val="auto"/>
                <w:highlight w:val="none"/>
              </w:rPr>
            </w:pPr>
            <w:r>
              <w:rPr>
                <w:rFonts w:hint="eastAsia"/>
                <w:color w:val="auto"/>
                <w:highlight w:val="none"/>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636" w:type="dxa"/>
            <w:vMerge w:val="continue"/>
            <w:noWrap w:val="0"/>
            <w:vAlign w:val="center"/>
          </w:tcPr>
          <w:p>
            <w:pPr>
              <w:spacing w:line="360" w:lineRule="auto"/>
              <w:jc w:val="center"/>
              <w:rPr>
                <w:color w:val="auto"/>
                <w:highlight w:val="none"/>
              </w:rPr>
            </w:pPr>
          </w:p>
        </w:tc>
        <w:tc>
          <w:tcPr>
            <w:tcW w:w="1010" w:type="dxa"/>
            <w:vMerge w:val="continue"/>
            <w:noWrap w:val="0"/>
            <w:vAlign w:val="center"/>
          </w:tcPr>
          <w:p>
            <w:pPr>
              <w:spacing w:line="360" w:lineRule="auto"/>
              <w:rPr>
                <w:color w:val="auto"/>
                <w:highlight w:val="none"/>
              </w:rPr>
            </w:pPr>
          </w:p>
        </w:tc>
        <w:tc>
          <w:tcPr>
            <w:tcW w:w="6229" w:type="dxa"/>
            <w:noWrap w:val="0"/>
            <w:vAlign w:val="center"/>
          </w:tcPr>
          <w:p>
            <w:pPr>
              <w:spacing w:line="360" w:lineRule="auto"/>
              <w:rPr>
                <w:rFonts w:hint="eastAsia"/>
                <w:color w:val="auto"/>
                <w:highlight w:val="none"/>
              </w:rPr>
            </w:pPr>
            <w:r>
              <w:rPr>
                <w:rFonts w:hint="eastAsia"/>
                <w:color w:val="auto"/>
                <w:highlight w:val="none"/>
              </w:rPr>
              <w:t>应对重大活动或重要接待任务等类型的应急预案。预案详细全面得3分；预案较详细全面得2分；预案一般得1分；预案有瑕疵得0.5分；未提供不得分。</w:t>
            </w:r>
          </w:p>
        </w:tc>
        <w:tc>
          <w:tcPr>
            <w:tcW w:w="781" w:type="dxa"/>
            <w:noWrap w:val="0"/>
            <w:vAlign w:val="center"/>
          </w:tcPr>
          <w:p>
            <w:pPr>
              <w:spacing w:line="360" w:lineRule="auto"/>
              <w:jc w:val="center"/>
              <w:rPr>
                <w:rFonts w:hint="eastAsia"/>
                <w:color w:val="auto"/>
                <w:highlight w:val="none"/>
              </w:rPr>
            </w:pPr>
            <w:r>
              <w:rPr>
                <w:rFonts w:hint="eastAsia"/>
                <w:color w:val="auto"/>
                <w:highlight w:val="none"/>
              </w:rPr>
              <w:t>主观分</w:t>
            </w:r>
          </w:p>
        </w:tc>
        <w:tc>
          <w:tcPr>
            <w:tcW w:w="702" w:type="dxa"/>
            <w:noWrap w:val="0"/>
            <w:vAlign w:val="center"/>
          </w:tcPr>
          <w:p>
            <w:pPr>
              <w:spacing w:line="360" w:lineRule="auto"/>
              <w:jc w:val="center"/>
              <w:rPr>
                <w:rFonts w:hint="eastAsia"/>
                <w:color w:val="auto"/>
                <w:highlight w:val="none"/>
              </w:rPr>
            </w:pPr>
            <w:r>
              <w:rPr>
                <w:rFonts w:hint="eastAsia"/>
                <w:color w:val="auto"/>
                <w:highlight w:val="none"/>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636" w:type="dxa"/>
            <w:vMerge w:val="continue"/>
            <w:noWrap w:val="0"/>
            <w:vAlign w:val="center"/>
          </w:tcPr>
          <w:p>
            <w:pPr>
              <w:spacing w:line="360" w:lineRule="auto"/>
              <w:jc w:val="center"/>
              <w:rPr>
                <w:color w:val="auto"/>
                <w:highlight w:val="none"/>
              </w:rPr>
            </w:pPr>
          </w:p>
        </w:tc>
        <w:tc>
          <w:tcPr>
            <w:tcW w:w="1010" w:type="dxa"/>
            <w:vMerge w:val="continue"/>
            <w:noWrap w:val="0"/>
            <w:vAlign w:val="center"/>
          </w:tcPr>
          <w:p>
            <w:pPr>
              <w:spacing w:line="360" w:lineRule="auto"/>
              <w:rPr>
                <w:color w:val="auto"/>
                <w:highlight w:val="none"/>
              </w:rPr>
            </w:pPr>
          </w:p>
        </w:tc>
        <w:tc>
          <w:tcPr>
            <w:tcW w:w="6229" w:type="dxa"/>
            <w:noWrap w:val="0"/>
            <w:vAlign w:val="center"/>
          </w:tcPr>
          <w:p>
            <w:pPr>
              <w:spacing w:line="360" w:lineRule="auto"/>
              <w:rPr>
                <w:color w:val="auto"/>
                <w:highlight w:val="none"/>
              </w:rPr>
            </w:pPr>
            <w:r>
              <w:rPr>
                <w:rFonts w:hint="eastAsia"/>
                <w:color w:val="auto"/>
                <w:highlight w:val="none"/>
              </w:rPr>
              <w:t>应对突发性公卫事件（如针对疫情防控）等类型的应急预案。预案详细全面得3分；预案较详细全面得2分；预案一般得1分；预案有瑕疵得0.5分；未提供不得分。</w:t>
            </w:r>
          </w:p>
        </w:tc>
        <w:tc>
          <w:tcPr>
            <w:tcW w:w="781" w:type="dxa"/>
            <w:noWrap w:val="0"/>
            <w:vAlign w:val="center"/>
          </w:tcPr>
          <w:p>
            <w:pPr>
              <w:spacing w:line="360" w:lineRule="auto"/>
              <w:jc w:val="center"/>
              <w:rPr>
                <w:rFonts w:hint="eastAsia"/>
                <w:color w:val="auto"/>
                <w:highlight w:val="none"/>
              </w:rPr>
            </w:pPr>
            <w:r>
              <w:rPr>
                <w:rFonts w:hint="eastAsia"/>
                <w:color w:val="auto"/>
                <w:highlight w:val="none"/>
              </w:rPr>
              <w:t>主观分</w:t>
            </w:r>
          </w:p>
        </w:tc>
        <w:tc>
          <w:tcPr>
            <w:tcW w:w="702" w:type="dxa"/>
            <w:noWrap w:val="0"/>
            <w:vAlign w:val="center"/>
          </w:tcPr>
          <w:p>
            <w:pPr>
              <w:spacing w:line="360" w:lineRule="auto"/>
              <w:jc w:val="center"/>
              <w:rPr>
                <w:rFonts w:hint="eastAsia"/>
                <w:color w:val="auto"/>
                <w:highlight w:val="none"/>
              </w:rPr>
            </w:pPr>
            <w:r>
              <w:rPr>
                <w:rFonts w:hint="eastAsia"/>
                <w:color w:val="auto"/>
                <w:highlight w:val="none"/>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32" w:hRule="atLeast"/>
          <w:jc w:val="center"/>
        </w:trPr>
        <w:tc>
          <w:tcPr>
            <w:tcW w:w="636" w:type="dxa"/>
            <w:noWrap w:val="0"/>
            <w:vAlign w:val="center"/>
          </w:tcPr>
          <w:p>
            <w:pPr>
              <w:spacing w:line="360" w:lineRule="auto"/>
              <w:jc w:val="center"/>
              <w:rPr>
                <w:rFonts w:hint="default" w:eastAsia="宋体"/>
                <w:color w:val="auto"/>
                <w:highlight w:val="none"/>
                <w:lang w:val="en-US" w:eastAsia="zh-CN"/>
              </w:rPr>
            </w:pPr>
            <w:r>
              <w:rPr>
                <w:rFonts w:hint="eastAsia"/>
                <w:color w:val="auto"/>
                <w:highlight w:val="none"/>
                <w:lang w:val="en-US" w:eastAsia="zh-CN"/>
              </w:rPr>
              <w:t>9</w:t>
            </w:r>
          </w:p>
        </w:tc>
        <w:tc>
          <w:tcPr>
            <w:tcW w:w="1010" w:type="dxa"/>
            <w:vMerge w:val="continue"/>
            <w:noWrap w:val="0"/>
            <w:vAlign w:val="center"/>
          </w:tcPr>
          <w:p>
            <w:pPr>
              <w:spacing w:line="360" w:lineRule="auto"/>
              <w:rPr>
                <w:color w:val="auto"/>
                <w:highlight w:val="none"/>
              </w:rPr>
            </w:pPr>
          </w:p>
        </w:tc>
        <w:tc>
          <w:tcPr>
            <w:tcW w:w="6229" w:type="dxa"/>
            <w:noWrap w:val="0"/>
            <w:vAlign w:val="center"/>
          </w:tcPr>
          <w:p>
            <w:pPr>
              <w:adjustRightInd w:val="0"/>
              <w:snapToGrid w:val="0"/>
              <w:spacing w:line="360" w:lineRule="auto"/>
              <w:rPr>
                <w:rFonts w:hint="eastAsia"/>
                <w:color w:val="auto"/>
                <w:highlight w:val="none"/>
              </w:rPr>
            </w:pPr>
            <w:r>
              <w:rPr>
                <w:rFonts w:hint="eastAsia"/>
                <w:color w:val="auto"/>
                <w:highlight w:val="none"/>
              </w:rPr>
              <w:t>快速应急服务响应方案</w:t>
            </w:r>
          </w:p>
          <w:p>
            <w:pPr>
              <w:adjustRightInd w:val="0"/>
              <w:snapToGrid w:val="0"/>
              <w:spacing w:line="360" w:lineRule="auto"/>
              <w:rPr>
                <w:color w:val="auto"/>
                <w:highlight w:val="none"/>
              </w:rPr>
            </w:pPr>
            <w:r>
              <w:rPr>
                <w:rFonts w:hint="eastAsia"/>
                <w:color w:val="auto"/>
                <w:highlight w:val="none"/>
              </w:rPr>
              <w:t>1、除派驻本院的服务团队外，投标人具备便捷的服务响应，在特殊安保需要时，能迅速派出足够数量的有经验的增援人员，对此投标人有具体的方案的阐述和承诺。</w:t>
            </w:r>
          </w:p>
          <w:p>
            <w:pPr>
              <w:adjustRightInd w:val="0"/>
              <w:snapToGrid w:val="0"/>
              <w:spacing w:line="360" w:lineRule="auto"/>
              <w:rPr>
                <w:rFonts w:hint="eastAsia"/>
                <w:color w:val="auto"/>
                <w:highlight w:val="none"/>
              </w:rPr>
            </w:pPr>
            <w:r>
              <w:rPr>
                <w:rFonts w:hint="eastAsia"/>
                <w:color w:val="auto"/>
                <w:highlight w:val="none"/>
              </w:rPr>
              <w:t>投标人的方案具体可行，承诺合理可行的，得2分；</w:t>
            </w:r>
          </w:p>
          <w:p>
            <w:pPr>
              <w:adjustRightInd w:val="0"/>
              <w:snapToGrid w:val="0"/>
              <w:spacing w:line="360" w:lineRule="auto"/>
              <w:rPr>
                <w:rFonts w:hint="eastAsia"/>
                <w:color w:val="auto"/>
                <w:highlight w:val="none"/>
              </w:rPr>
            </w:pPr>
            <w:r>
              <w:rPr>
                <w:rFonts w:hint="eastAsia"/>
                <w:color w:val="auto"/>
                <w:highlight w:val="none"/>
              </w:rPr>
              <w:t>投标人的方案和承诺可行的，得1分；</w:t>
            </w:r>
          </w:p>
          <w:p>
            <w:pPr>
              <w:widowControl/>
              <w:spacing w:line="360" w:lineRule="auto"/>
              <w:jc w:val="left"/>
              <w:rPr>
                <w:rFonts w:hint="eastAsia"/>
                <w:color w:val="auto"/>
                <w:highlight w:val="none"/>
              </w:rPr>
            </w:pPr>
            <w:r>
              <w:rPr>
                <w:rFonts w:hint="eastAsia"/>
                <w:color w:val="auto"/>
                <w:highlight w:val="none"/>
              </w:rPr>
              <w:t>投标人的方案和承诺不可行的，得0分。</w:t>
            </w:r>
          </w:p>
          <w:p>
            <w:pPr>
              <w:widowControl/>
              <w:spacing w:line="360" w:lineRule="auto"/>
              <w:jc w:val="left"/>
              <w:rPr>
                <w:rFonts w:hint="eastAsia" w:eastAsia="宋体"/>
                <w:color w:val="auto"/>
                <w:highlight w:val="none"/>
                <w:lang w:eastAsia="zh-CN"/>
              </w:rPr>
            </w:pPr>
            <w:r>
              <w:rPr>
                <w:rFonts w:hint="eastAsia"/>
                <w:color w:val="auto"/>
                <w:highlight w:val="none"/>
              </w:rPr>
              <w:t>2、</w:t>
            </w:r>
            <w:r>
              <w:rPr>
                <w:rFonts w:hint="eastAsia"/>
                <w:color w:val="auto"/>
                <w:highlight w:val="none"/>
                <w:lang w:bidi="ar"/>
              </w:rPr>
              <w:t>应急增员的安保人员费用报价的合理性</w:t>
            </w:r>
            <w:r>
              <w:rPr>
                <w:rFonts w:hint="eastAsia"/>
                <w:color w:val="auto"/>
                <w:highlight w:val="none"/>
                <w:lang w:eastAsia="zh-CN" w:bidi="ar"/>
              </w:rPr>
              <w:t>。</w:t>
            </w:r>
          </w:p>
          <w:p>
            <w:pPr>
              <w:spacing w:line="360" w:lineRule="auto"/>
              <w:rPr>
                <w:color w:val="auto"/>
                <w:highlight w:val="none"/>
              </w:rPr>
            </w:pPr>
            <w:r>
              <w:rPr>
                <w:rFonts w:hint="eastAsia"/>
                <w:color w:val="auto"/>
                <w:highlight w:val="none"/>
              </w:rPr>
              <w:t>费用报价合理的，得2分；费用报价不太合理的，得1分；未报价不得分。</w:t>
            </w:r>
          </w:p>
        </w:tc>
        <w:tc>
          <w:tcPr>
            <w:tcW w:w="781" w:type="dxa"/>
            <w:noWrap w:val="0"/>
            <w:vAlign w:val="center"/>
          </w:tcPr>
          <w:p>
            <w:pPr>
              <w:spacing w:line="360" w:lineRule="auto"/>
              <w:jc w:val="center"/>
              <w:rPr>
                <w:rFonts w:hint="eastAsia"/>
                <w:color w:val="auto"/>
                <w:highlight w:val="none"/>
              </w:rPr>
            </w:pPr>
            <w:r>
              <w:rPr>
                <w:rFonts w:hint="eastAsia"/>
                <w:color w:val="auto"/>
                <w:highlight w:val="none"/>
              </w:rPr>
              <w:t>主观分</w:t>
            </w:r>
          </w:p>
        </w:tc>
        <w:tc>
          <w:tcPr>
            <w:tcW w:w="702" w:type="dxa"/>
            <w:noWrap w:val="0"/>
            <w:vAlign w:val="center"/>
          </w:tcPr>
          <w:p>
            <w:pPr>
              <w:spacing w:line="360" w:lineRule="auto"/>
              <w:jc w:val="center"/>
              <w:rPr>
                <w:rFonts w:hint="eastAsia"/>
                <w:color w:val="auto"/>
                <w:highlight w:val="none"/>
              </w:rPr>
            </w:pPr>
            <w:r>
              <w:rPr>
                <w:rFonts w:hint="eastAsia"/>
                <w:color w:val="auto"/>
                <w:highlight w:val="none"/>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36" w:type="dxa"/>
            <w:vMerge w:val="restart"/>
            <w:noWrap w:val="0"/>
            <w:vAlign w:val="center"/>
          </w:tcPr>
          <w:p>
            <w:pPr>
              <w:spacing w:line="360" w:lineRule="auto"/>
              <w:jc w:val="center"/>
              <w:rPr>
                <w:rFonts w:hint="default" w:eastAsia="宋体"/>
                <w:color w:val="auto"/>
                <w:highlight w:val="none"/>
                <w:lang w:val="en-US" w:eastAsia="zh-CN"/>
              </w:rPr>
            </w:pPr>
            <w:r>
              <w:rPr>
                <w:rFonts w:hint="eastAsia"/>
                <w:color w:val="auto"/>
                <w:highlight w:val="none"/>
                <w:lang w:val="en-US" w:eastAsia="zh-CN"/>
              </w:rPr>
              <w:t>10</w:t>
            </w:r>
          </w:p>
        </w:tc>
        <w:tc>
          <w:tcPr>
            <w:tcW w:w="1010" w:type="dxa"/>
            <w:vMerge w:val="restart"/>
            <w:noWrap w:val="0"/>
            <w:vAlign w:val="center"/>
          </w:tcPr>
          <w:p>
            <w:pPr>
              <w:spacing w:line="360" w:lineRule="auto"/>
              <w:rPr>
                <w:rFonts w:hint="eastAsia"/>
                <w:color w:val="auto"/>
                <w:highlight w:val="none"/>
              </w:rPr>
            </w:pPr>
            <w:r>
              <w:rPr>
                <w:rFonts w:hint="eastAsia"/>
                <w:color w:val="auto"/>
                <w:highlight w:val="none"/>
              </w:rPr>
              <w:t>保障措施</w:t>
            </w:r>
          </w:p>
        </w:tc>
        <w:tc>
          <w:tcPr>
            <w:tcW w:w="6229" w:type="dxa"/>
            <w:noWrap w:val="0"/>
            <w:vAlign w:val="center"/>
          </w:tcPr>
          <w:p>
            <w:pPr>
              <w:spacing w:line="360" w:lineRule="auto"/>
              <w:rPr>
                <w:rFonts w:hint="eastAsia"/>
                <w:color w:val="auto"/>
                <w:highlight w:val="none"/>
              </w:rPr>
            </w:pPr>
            <w:r>
              <w:rPr>
                <w:rFonts w:hint="eastAsia"/>
                <w:color w:val="auto"/>
                <w:highlight w:val="none"/>
              </w:rPr>
              <w:t>供应商提供雇主责任险购买证明的得1分。</w:t>
            </w:r>
          </w:p>
        </w:tc>
        <w:tc>
          <w:tcPr>
            <w:tcW w:w="781" w:type="dxa"/>
            <w:noWrap w:val="0"/>
            <w:vAlign w:val="center"/>
          </w:tcPr>
          <w:p>
            <w:pPr>
              <w:spacing w:line="360" w:lineRule="auto"/>
              <w:jc w:val="center"/>
              <w:rPr>
                <w:rFonts w:hint="eastAsia"/>
                <w:color w:val="auto"/>
                <w:highlight w:val="none"/>
              </w:rPr>
            </w:pPr>
            <w:r>
              <w:rPr>
                <w:rFonts w:hint="eastAsia"/>
                <w:color w:val="auto"/>
                <w:highlight w:val="none"/>
              </w:rPr>
              <w:t>客观分</w:t>
            </w:r>
          </w:p>
        </w:tc>
        <w:tc>
          <w:tcPr>
            <w:tcW w:w="702" w:type="dxa"/>
            <w:noWrap w:val="0"/>
            <w:vAlign w:val="center"/>
          </w:tcPr>
          <w:p>
            <w:pPr>
              <w:spacing w:line="360" w:lineRule="auto"/>
              <w:jc w:val="center"/>
              <w:rPr>
                <w:rFonts w:hint="eastAsia"/>
                <w:color w:val="auto"/>
                <w:highlight w:val="none"/>
              </w:rPr>
            </w:pPr>
            <w:r>
              <w:rPr>
                <w:rFonts w:hint="eastAsia"/>
                <w:color w:val="auto"/>
                <w:highlight w:val="none"/>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636" w:type="dxa"/>
            <w:vMerge w:val="continue"/>
            <w:noWrap w:val="0"/>
            <w:vAlign w:val="center"/>
          </w:tcPr>
          <w:p>
            <w:pPr>
              <w:spacing w:line="360" w:lineRule="auto"/>
              <w:jc w:val="center"/>
              <w:rPr>
                <w:color w:val="auto"/>
                <w:highlight w:val="none"/>
              </w:rPr>
            </w:pPr>
          </w:p>
        </w:tc>
        <w:tc>
          <w:tcPr>
            <w:tcW w:w="1010" w:type="dxa"/>
            <w:vMerge w:val="continue"/>
            <w:noWrap w:val="0"/>
            <w:vAlign w:val="center"/>
          </w:tcPr>
          <w:p>
            <w:pPr>
              <w:spacing w:line="360" w:lineRule="auto"/>
              <w:rPr>
                <w:rFonts w:hint="eastAsia"/>
                <w:color w:val="auto"/>
                <w:highlight w:val="none"/>
              </w:rPr>
            </w:pPr>
          </w:p>
        </w:tc>
        <w:tc>
          <w:tcPr>
            <w:tcW w:w="6229" w:type="dxa"/>
            <w:noWrap w:val="0"/>
            <w:vAlign w:val="center"/>
          </w:tcPr>
          <w:p>
            <w:pPr>
              <w:spacing w:line="360" w:lineRule="auto"/>
              <w:rPr>
                <w:rFonts w:hint="eastAsia"/>
                <w:color w:val="auto"/>
                <w:highlight w:val="none"/>
              </w:rPr>
            </w:pPr>
            <w:r>
              <w:rPr>
                <w:rFonts w:hint="eastAsia"/>
                <w:color w:val="auto"/>
                <w:highlight w:val="none"/>
              </w:rPr>
              <w:t>供应商承诺中标后在服务过程中，因保安人员过失造成第三方人员人身伤亡或财产损失的，供应商负责处理及赔偿事宜的，得1分，提供承诺。</w:t>
            </w:r>
          </w:p>
        </w:tc>
        <w:tc>
          <w:tcPr>
            <w:tcW w:w="781" w:type="dxa"/>
            <w:noWrap w:val="0"/>
            <w:vAlign w:val="center"/>
          </w:tcPr>
          <w:p>
            <w:pPr>
              <w:spacing w:line="360" w:lineRule="auto"/>
              <w:jc w:val="center"/>
              <w:rPr>
                <w:rFonts w:hint="eastAsia"/>
                <w:color w:val="auto"/>
                <w:highlight w:val="none"/>
              </w:rPr>
            </w:pPr>
            <w:r>
              <w:rPr>
                <w:rFonts w:hint="eastAsia"/>
                <w:color w:val="auto"/>
                <w:highlight w:val="none"/>
              </w:rPr>
              <w:t>客观分</w:t>
            </w:r>
          </w:p>
        </w:tc>
        <w:tc>
          <w:tcPr>
            <w:tcW w:w="702" w:type="dxa"/>
            <w:noWrap w:val="0"/>
            <w:vAlign w:val="center"/>
          </w:tcPr>
          <w:p>
            <w:pPr>
              <w:spacing w:line="360" w:lineRule="auto"/>
              <w:jc w:val="center"/>
              <w:rPr>
                <w:rFonts w:hint="eastAsia"/>
                <w:color w:val="auto"/>
                <w:highlight w:val="none"/>
              </w:rPr>
            </w:pPr>
            <w:r>
              <w:rPr>
                <w:rFonts w:hint="eastAsia"/>
                <w:color w:val="auto"/>
                <w:highlight w:val="none"/>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636" w:type="dxa"/>
            <w:vMerge w:val="continue"/>
            <w:noWrap w:val="0"/>
            <w:vAlign w:val="center"/>
          </w:tcPr>
          <w:p>
            <w:pPr>
              <w:spacing w:line="360" w:lineRule="auto"/>
              <w:jc w:val="center"/>
              <w:rPr>
                <w:color w:val="auto"/>
                <w:highlight w:val="none"/>
              </w:rPr>
            </w:pPr>
          </w:p>
        </w:tc>
        <w:tc>
          <w:tcPr>
            <w:tcW w:w="1010" w:type="dxa"/>
            <w:vMerge w:val="continue"/>
            <w:noWrap w:val="0"/>
            <w:vAlign w:val="center"/>
          </w:tcPr>
          <w:p>
            <w:pPr>
              <w:spacing w:line="360" w:lineRule="auto"/>
              <w:rPr>
                <w:color w:val="auto"/>
                <w:highlight w:val="none"/>
              </w:rPr>
            </w:pPr>
          </w:p>
        </w:tc>
        <w:tc>
          <w:tcPr>
            <w:tcW w:w="6229" w:type="dxa"/>
            <w:noWrap w:val="0"/>
            <w:vAlign w:val="center"/>
          </w:tcPr>
          <w:p>
            <w:pPr>
              <w:spacing w:line="360" w:lineRule="auto"/>
              <w:rPr>
                <w:rFonts w:hint="eastAsia"/>
                <w:color w:val="auto"/>
                <w:highlight w:val="none"/>
              </w:rPr>
            </w:pPr>
            <w:r>
              <w:rPr>
                <w:rFonts w:hint="eastAsia"/>
                <w:color w:val="auto"/>
                <w:highlight w:val="none"/>
              </w:rPr>
              <w:t>对保安人员的劳动保障情况。保障方案详细全面得4分；保障方案较详细全面得3分；保障方案一般得2分；保障方案有瑕疵得1分；未提供不得分。</w:t>
            </w:r>
          </w:p>
        </w:tc>
        <w:tc>
          <w:tcPr>
            <w:tcW w:w="781" w:type="dxa"/>
            <w:noWrap w:val="0"/>
            <w:vAlign w:val="center"/>
          </w:tcPr>
          <w:p>
            <w:pPr>
              <w:spacing w:line="360" w:lineRule="auto"/>
              <w:jc w:val="center"/>
              <w:rPr>
                <w:rFonts w:hint="eastAsia"/>
                <w:color w:val="auto"/>
                <w:highlight w:val="none"/>
              </w:rPr>
            </w:pPr>
            <w:r>
              <w:rPr>
                <w:rFonts w:hint="eastAsia"/>
                <w:color w:val="auto"/>
                <w:highlight w:val="none"/>
              </w:rPr>
              <w:t>主观分</w:t>
            </w:r>
          </w:p>
        </w:tc>
        <w:tc>
          <w:tcPr>
            <w:tcW w:w="702" w:type="dxa"/>
            <w:noWrap w:val="0"/>
            <w:vAlign w:val="center"/>
          </w:tcPr>
          <w:p>
            <w:pPr>
              <w:spacing w:line="360" w:lineRule="auto"/>
              <w:jc w:val="center"/>
              <w:rPr>
                <w:rFonts w:hint="eastAsia"/>
                <w:color w:val="auto"/>
                <w:highlight w:val="none"/>
              </w:rPr>
            </w:pPr>
            <w:r>
              <w:rPr>
                <w:rFonts w:hint="eastAsia"/>
                <w:color w:val="auto"/>
                <w:highlight w:val="none"/>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636" w:type="dxa"/>
            <w:vMerge w:val="continue"/>
            <w:noWrap w:val="0"/>
            <w:vAlign w:val="center"/>
          </w:tcPr>
          <w:p>
            <w:pPr>
              <w:spacing w:line="360" w:lineRule="auto"/>
              <w:jc w:val="center"/>
              <w:rPr>
                <w:color w:val="auto"/>
                <w:highlight w:val="none"/>
              </w:rPr>
            </w:pPr>
          </w:p>
        </w:tc>
        <w:tc>
          <w:tcPr>
            <w:tcW w:w="1010" w:type="dxa"/>
            <w:vMerge w:val="continue"/>
            <w:noWrap w:val="0"/>
            <w:vAlign w:val="center"/>
          </w:tcPr>
          <w:p>
            <w:pPr>
              <w:spacing w:line="360" w:lineRule="auto"/>
              <w:rPr>
                <w:color w:val="auto"/>
                <w:highlight w:val="none"/>
              </w:rPr>
            </w:pPr>
          </w:p>
        </w:tc>
        <w:tc>
          <w:tcPr>
            <w:tcW w:w="6229" w:type="dxa"/>
            <w:noWrap w:val="0"/>
            <w:vAlign w:val="center"/>
          </w:tcPr>
          <w:p>
            <w:pPr>
              <w:spacing w:line="360" w:lineRule="auto"/>
              <w:rPr>
                <w:rFonts w:hint="eastAsia"/>
                <w:color w:val="auto"/>
                <w:highlight w:val="none"/>
              </w:rPr>
            </w:pPr>
            <w:r>
              <w:rPr>
                <w:rFonts w:hint="eastAsia"/>
                <w:color w:val="auto"/>
                <w:highlight w:val="none"/>
              </w:rPr>
              <w:t>承诺给保安人员的实发工资及各种福利待遇情况。承诺详细全面得4分；承诺较详细全面得3分；承诺一般得2分；承诺有瑕疵得1分；承诺空洞欠合理得0.5分；未提供不得分。</w:t>
            </w:r>
          </w:p>
        </w:tc>
        <w:tc>
          <w:tcPr>
            <w:tcW w:w="781" w:type="dxa"/>
            <w:noWrap w:val="0"/>
            <w:vAlign w:val="center"/>
          </w:tcPr>
          <w:p>
            <w:pPr>
              <w:spacing w:line="360" w:lineRule="auto"/>
              <w:jc w:val="center"/>
              <w:rPr>
                <w:rFonts w:hint="eastAsia"/>
                <w:color w:val="auto"/>
                <w:highlight w:val="none"/>
              </w:rPr>
            </w:pPr>
            <w:r>
              <w:rPr>
                <w:rFonts w:hint="eastAsia"/>
                <w:color w:val="auto"/>
                <w:highlight w:val="none"/>
              </w:rPr>
              <w:t>主观分</w:t>
            </w:r>
          </w:p>
        </w:tc>
        <w:tc>
          <w:tcPr>
            <w:tcW w:w="702" w:type="dxa"/>
            <w:noWrap w:val="0"/>
            <w:vAlign w:val="center"/>
          </w:tcPr>
          <w:p>
            <w:pPr>
              <w:spacing w:line="360" w:lineRule="auto"/>
              <w:jc w:val="center"/>
              <w:rPr>
                <w:rFonts w:hint="eastAsia"/>
                <w:color w:val="auto"/>
                <w:highlight w:val="none"/>
              </w:rPr>
            </w:pPr>
            <w:r>
              <w:rPr>
                <w:rFonts w:hint="eastAsia"/>
                <w:color w:val="auto"/>
                <w:highlight w:val="none"/>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636" w:type="dxa"/>
            <w:noWrap w:val="0"/>
            <w:vAlign w:val="center"/>
          </w:tcPr>
          <w:p>
            <w:pPr>
              <w:spacing w:line="360" w:lineRule="auto"/>
              <w:jc w:val="center"/>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1</w:t>
            </w:r>
          </w:p>
        </w:tc>
        <w:tc>
          <w:tcPr>
            <w:tcW w:w="1010" w:type="dxa"/>
            <w:noWrap w:val="0"/>
            <w:vAlign w:val="center"/>
          </w:tcPr>
          <w:p>
            <w:pPr>
              <w:spacing w:line="360" w:lineRule="auto"/>
              <w:rPr>
                <w:rFonts w:hint="eastAsia"/>
                <w:strike/>
                <w:color w:val="auto"/>
                <w:highlight w:val="none"/>
              </w:rPr>
            </w:pPr>
            <w:r>
              <w:rPr>
                <w:rFonts w:hint="eastAsia"/>
                <w:color w:val="auto"/>
                <w:highlight w:val="none"/>
              </w:rPr>
              <w:t>培训</w:t>
            </w:r>
          </w:p>
        </w:tc>
        <w:tc>
          <w:tcPr>
            <w:tcW w:w="6229" w:type="dxa"/>
            <w:noWrap w:val="0"/>
            <w:vAlign w:val="center"/>
          </w:tcPr>
          <w:p>
            <w:pPr>
              <w:spacing w:line="360" w:lineRule="auto"/>
              <w:rPr>
                <w:rFonts w:hint="eastAsia"/>
                <w:color w:val="auto"/>
                <w:highlight w:val="none"/>
              </w:rPr>
            </w:pPr>
            <w:r>
              <w:rPr>
                <w:rFonts w:hint="eastAsia"/>
                <w:color w:val="auto"/>
                <w:highlight w:val="none"/>
              </w:rPr>
              <w:t>供应商提供整个服务团队从业能力的培训教育方案且贴合实际需求的，得2分；不太贴合需求的，得1分；未提供不得分。</w:t>
            </w:r>
          </w:p>
        </w:tc>
        <w:tc>
          <w:tcPr>
            <w:tcW w:w="781" w:type="dxa"/>
            <w:noWrap w:val="0"/>
            <w:vAlign w:val="center"/>
          </w:tcPr>
          <w:p>
            <w:pPr>
              <w:spacing w:line="360" w:lineRule="auto"/>
              <w:jc w:val="center"/>
              <w:rPr>
                <w:rFonts w:hint="eastAsia"/>
                <w:color w:val="auto"/>
                <w:highlight w:val="none"/>
              </w:rPr>
            </w:pPr>
            <w:r>
              <w:rPr>
                <w:rFonts w:hint="eastAsia"/>
                <w:color w:val="auto"/>
                <w:highlight w:val="none"/>
              </w:rPr>
              <w:t>主观分</w:t>
            </w:r>
          </w:p>
        </w:tc>
        <w:tc>
          <w:tcPr>
            <w:tcW w:w="702" w:type="dxa"/>
            <w:noWrap w:val="0"/>
            <w:vAlign w:val="center"/>
          </w:tcPr>
          <w:p>
            <w:pPr>
              <w:spacing w:line="360" w:lineRule="auto"/>
              <w:jc w:val="center"/>
              <w:rPr>
                <w:rFonts w:hint="eastAsia"/>
                <w:color w:val="auto"/>
                <w:highlight w:val="none"/>
              </w:rPr>
            </w:pPr>
            <w:r>
              <w:rPr>
                <w:rFonts w:hint="eastAsia"/>
                <w:color w:val="auto"/>
                <w:highlight w:val="none"/>
              </w:rPr>
              <w:t>2</w:t>
            </w:r>
          </w:p>
        </w:tc>
      </w:tr>
    </w:tbl>
    <w:p>
      <w:pPr>
        <w:pStyle w:val="64"/>
        <w:adjustRightInd w:val="0"/>
        <w:snapToGrid w:val="0"/>
        <w:spacing w:line="360" w:lineRule="auto"/>
        <w:ind w:firstLine="420"/>
        <w:rPr>
          <w:rFonts w:hint="eastAsia" w:eastAsia="宋体"/>
          <w:color w:val="auto"/>
          <w:sz w:val="21"/>
          <w:szCs w:val="21"/>
          <w:highlight w:val="none"/>
          <w:lang w:eastAsia="zh-CN"/>
        </w:rPr>
      </w:pPr>
      <w:r>
        <w:rPr>
          <w:rFonts w:eastAsia="宋体"/>
          <w:color w:val="auto"/>
          <w:sz w:val="21"/>
          <w:szCs w:val="21"/>
          <w:highlight w:val="none"/>
        </w:rPr>
        <w:t>2）</w:t>
      </w:r>
      <w:r>
        <w:rPr>
          <w:rFonts w:eastAsia="宋体"/>
          <w:b/>
          <w:color w:val="auto"/>
          <w:sz w:val="21"/>
          <w:szCs w:val="21"/>
          <w:highlight w:val="none"/>
        </w:rPr>
        <w:t>价格分</w:t>
      </w:r>
      <w:bookmarkEnd w:id="26"/>
      <w:r>
        <w:rPr>
          <w:rFonts w:hint="eastAsia" w:eastAsia="宋体"/>
          <w:b/>
          <w:color w:val="auto"/>
          <w:sz w:val="21"/>
          <w:szCs w:val="21"/>
          <w:highlight w:val="none"/>
          <w:lang w:eastAsia="zh-CN"/>
        </w:rPr>
        <w:t>（</w:t>
      </w:r>
      <w:r>
        <w:rPr>
          <w:rFonts w:hint="eastAsia" w:eastAsia="宋体"/>
          <w:b/>
          <w:color w:val="auto"/>
          <w:sz w:val="21"/>
          <w:szCs w:val="21"/>
          <w:highlight w:val="none"/>
          <w:lang w:val="en-US" w:eastAsia="zh-CN"/>
        </w:rPr>
        <w:t>20分</w:t>
      </w:r>
      <w:r>
        <w:rPr>
          <w:rFonts w:hint="eastAsia" w:eastAsia="宋体"/>
          <w:b/>
          <w:color w:val="auto"/>
          <w:sz w:val="21"/>
          <w:szCs w:val="21"/>
          <w:highlight w:val="none"/>
          <w:lang w:eastAsia="zh-CN"/>
        </w:rPr>
        <w:t>）</w:t>
      </w:r>
    </w:p>
    <w:p>
      <w:pPr>
        <w:widowControl/>
        <w:snapToGrid w:val="0"/>
        <w:spacing w:line="360" w:lineRule="auto"/>
        <w:ind w:firstLine="420" w:firstLineChars="200"/>
        <w:rPr>
          <w:color w:val="auto"/>
          <w:kern w:val="0"/>
          <w:szCs w:val="21"/>
          <w:highlight w:val="none"/>
        </w:rPr>
      </w:pPr>
      <w:r>
        <w:rPr>
          <w:color w:val="auto"/>
          <w:kern w:val="0"/>
          <w:szCs w:val="21"/>
          <w:highlight w:val="none"/>
        </w:rPr>
        <w:t>价格评分将在有效</w:t>
      </w:r>
      <w:r>
        <w:rPr>
          <w:rFonts w:hint="eastAsia"/>
          <w:color w:val="auto"/>
          <w:kern w:val="0"/>
          <w:szCs w:val="21"/>
          <w:highlight w:val="none"/>
        </w:rPr>
        <w:t>供应商</w:t>
      </w:r>
      <w:r>
        <w:rPr>
          <w:color w:val="auto"/>
          <w:kern w:val="0"/>
          <w:szCs w:val="21"/>
          <w:highlight w:val="none"/>
        </w:rPr>
        <w:t>范围内进行，最高得</w:t>
      </w:r>
      <w:r>
        <w:rPr>
          <w:rFonts w:hint="eastAsia"/>
          <w:color w:val="auto"/>
          <w:kern w:val="0"/>
          <w:szCs w:val="21"/>
          <w:highlight w:val="none"/>
        </w:rPr>
        <w:t>2</w:t>
      </w:r>
      <w:r>
        <w:rPr>
          <w:color w:val="auto"/>
          <w:kern w:val="0"/>
          <w:szCs w:val="21"/>
          <w:highlight w:val="none"/>
        </w:rPr>
        <w:t>0分，最低得0分（小数点后保留二位小数，第三位四舍五入）。满足采购文件要求且投标价格最低的</w:t>
      </w:r>
      <w:r>
        <w:rPr>
          <w:b/>
          <w:color w:val="auto"/>
          <w:kern w:val="0"/>
          <w:szCs w:val="21"/>
          <w:highlight w:val="none"/>
          <w:u w:val="thick"/>
        </w:rPr>
        <w:t>投标报价</w:t>
      </w:r>
      <w:r>
        <w:rPr>
          <w:color w:val="auto"/>
          <w:kern w:val="0"/>
          <w:szCs w:val="21"/>
          <w:highlight w:val="none"/>
        </w:rPr>
        <w:t>为</w:t>
      </w:r>
      <w:r>
        <w:rPr>
          <w:b/>
          <w:color w:val="auto"/>
          <w:kern w:val="0"/>
          <w:szCs w:val="21"/>
          <w:highlight w:val="none"/>
          <w:u w:val="thick"/>
        </w:rPr>
        <w:t>评标基准价</w:t>
      </w:r>
      <w:r>
        <w:rPr>
          <w:color w:val="auto"/>
          <w:kern w:val="0"/>
          <w:szCs w:val="21"/>
          <w:highlight w:val="none"/>
        </w:rPr>
        <w:t>，</w:t>
      </w:r>
      <w:r>
        <w:rPr>
          <w:rFonts w:hint="eastAsia"/>
          <w:color w:val="auto"/>
          <w:kern w:val="0"/>
          <w:szCs w:val="21"/>
          <w:highlight w:val="none"/>
        </w:rPr>
        <w:t>供应商</w:t>
      </w:r>
      <w:r>
        <w:rPr>
          <w:color w:val="auto"/>
          <w:kern w:val="0"/>
          <w:szCs w:val="21"/>
          <w:highlight w:val="none"/>
        </w:rPr>
        <w:t>的价格分统一按照下列公式计算：</w:t>
      </w:r>
    </w:p>
    <w:p>
      <w:pPr>
        <w:widowControl/>
        <w:snapToGrid w:val="0"/>
        <w:spacing w:line="360" w:lineRule="auto"/>
        <w:ind w:firstLine="420" w:firstLineChars="200"/>
        <w:rPr>
          <w:color w:val="auto"/>
          <w:kern w:val="0"/>
          <w:szCs w:val="21"/>
          <w:highlight w:val="none"/>
        </w:rPr>
      </w:pPr>
      <w:r>
        <w:rPr>
          <w:color w:val="auto"/>
          <w:kern w:val="0"/>
          <w:szCs w:val="21"/>
          <w:highlight w:val="none"/>
        </w:rPr>
        <w:t>投标报价得分=（</w:t>
      </w:r>
      <w:r>
        <w:rPr>
          <w:b/>
          <w:color w:val="auto"/>
          <w:kern w:val="0"/>
          <w:szCs w:val="21"/>
          <w:highlight w:val="none"/>
          <w:u w:val="thick"/>
        </w:rPr>
        <w:t>评标基准价</w:t>
      </w:r>
      <w:r>
        <w:rPr>
          <w:color w:val="auto"/>
          <w:kern w:val="0"/>
          <w:szCs w:val="21"/>
          <w:highlight w:val="none"/>
        </w:rPr>
        <w:t>/</w:t>
      </w:r>
      <w:r>
        <w:rPr>
          <w:b/>
          <w:color w:val="auto"/>
          <w:kern w:val="0"/>
          <w:szCs w:val="21"/>
          <w:highlight w:val="none"/>
          <w:u w:val="thick"/>
        </w:rPr>
        <w:t>投标报价</w:t>
      </w:r>
      <w:r>
        <w:rPr>
          <w:color w:val="auto"/>
          <w:kern w:val="0"/>
          <w:szCs w:val="21"/>
          <w:highlight w:val="none"/>
        </w:rPr>
        <w:t>）×</w:t>
      </w:r>
      <w:r>
        <w:rPr>
          <w:rFonts w:hint="eastAsia"/>
          <w:color w:val="auto"/>
          <w:kern w:val="0"/>
          <w:szCs w:val="21"/>
          <w:highlight w:val="none"/>
        </w:rPr>
        <w:t>2</w:t>
      </w:r>
      <w:r>
        <w:rPr>
          <w:color w:val="auto"/>
          <w:kern w:val="0"/>
          <w:szCs w:val="21"/>
          <w:highlight w:val="none"/>
        </w:rPr>
        <w:t>0%×100</w:t>
      </w:r>
    </w:p>
    <w:p>
      <w:pPr>
        <w:widowControl/>
        <w:adjustRightInd w:val="0"/>
        <w:snapToGrid w:val="0"/>
        <w:spacing w:line="360" w:lineRule="auto"/>
        <w:ind w:firstLine="420" w:firstLineChars="200"/>
        <w:rPr>
          <w:color w:val="auto"/>
          <w:szCs w:val="21"/>
          <w:highlight w:val="none"/>
        </w:rPr>
      </w:pPr>
      <w:r>
        <w:rPr>
          <w:color w:val="auto"/>
          <w:szCs w:val="21"/>
          <w:highlight w:val="none"/>
        </w:rPr>
        <w:t>此项由评标委员会集体核实后统一打分。</w:t>
      </w:r>
    </w:p>
    <w:p>
      <w:pPr>
        <w:pStyle w:val="64"/>
        <w:adjustRightInd w:val="0"/>
        <w:snapToGrid w:val="0"/>
        <w:spacing w:line="360" w:lineRule="auto"/>
        <w:ind w:firstLine="422"/>
        <w:rPr>
          <w:rFonts w:eastAsia="宋体"/>
          <w:b/>
          <w:bCs/>
          <w:color w:val="auto"/>
          <w:sz w:val="21"/>
          <w:szCs w:val="21"/>
          <w:highlight w:val="none"/>
        </w:rPr>
      </w:pPr>
      <w:r>
        <w:rPr>
          <w:rFonts w:eastAsia="宋体"/>
          <w:b/>
          <w:bCs/>
          <w:color w:val="auto"/>
          <w:sz w:val="21"/>
          <w:szCs w:val="21"/>
          <w:highlight w:val="none"/>
        </w:rPr>
        <w:t>六、询标</w:t>
      </w:r>
    </w:p>
    <w:p>
      <w:pPr>
        <w:pStyle w:val="64"/>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对投标文件中存在含义不清楚的内容，必要时评标委员会要求</w:t>
      </w:r>
      <w:r>
        <w:rPr>
          <w:rFonts w:hint="eastAsia" w:eastAsia="宋体"/>
          <w:color w:val="auto"/>
          <w:sz w:val="21"/>
          <w:szCs w:val="21"/>
          <w:highlight w:val="none"/>
        </w:rPr>
        <w:t>供应商</w:t>
      </w:r>
      <w:r>
        <w:rPr>
          <w:rFonts w:eastAsia="宋体"/>
          <w:color w:val="auto"/>
          <w:sz w:val="21"/>
          <w:szCs w:val="21"/>
          <w:highlight w:val="none"/>
        </w:rPr>
        <w:t>作必要的澄清、说明或补正。询标记录需</w:t>
      </w:r>
      <w:r>
        <w:rPr>
          <w:rFonts w:hint="eastAsia" w:eastAsia="宋体"/>
          <w:color w:val="auto"/>
          <w:sz w:val="21"/>
          <w:szCs w:val="21"/>
          <w:highlight w:val="none"/>
        </w:rPr>
        <w:t>供应商</w:t>
      </w:r>
      <w:r>
        <w:rPr>
          <w:rFonts w:eastAsia="宋体"/>
          <w:color w:val="auto"/>
          <w:sz w:val="21"/>
          <w:szCs w:val="21"/>
          <w:highlight w:val="none"/>
        </w:rPr>
        <w:t>授权代表签字确认，它将作为投标文件的一部分。</w:t>
      </w:r>
    </w:p>
    <w:p>
      <w:pPr>
        <w:adjustRightInd w:val="0"/>
        <w:snapToGrid w:val="0"/>
        <w:spacing w:line="360" w:lineRule="auto"/>
        <w:ind w:firstLine="422" w:firstLineChars="200"/>
        <w:rPr>
          <w:b/>
          <w:bCs/>
          <w:color w:val="auto"/>
          <w:szCs w:val="21"/>
          <w:highlight w:val="none"/>
        </w:rPr>
      </w:pPr>
      <w:r>
        <w:rPr>
          <w:b/>
          <w:bCs/>
          <w:color w:val="auto"/>
          <w:szCs w:val="21"/>
          <w:highlight w:val="none"/>
        </w:rPr>
        <w:t>七、修改评标结果</w:t>
      </w:r>
    </w:p>
    <w:p>
      <w:pPr>
        <w:adjustRightInd w:val="0"/>
        <w:snapToGrid w:val="0"/>
        <w:spacing w:line="360" w:lineRule="auto"/>
        <w:ind w:firstLine="420" w:firstLineChars="200"/>
        <w:rPr>
          <w:b/>
          <w:bCs/>
          <w:color w:val="auto"/>
          <w:szCs w:val="21"/>
          <w:highlight w:val="none"/>
        </w:rPr>
      </w:pPr>
      <w:r>
        <w:rPr>
          <w:rStyle w:val="489"/>
          <w:rFonts w:hint="default" w:ascii="Times New Roman" w:hAnsi="Times New Roman"/>
          <w:color w:val="auto"/>
          <w:sz w:val="21"/>
          <w:szCs w:val="21"/>
          <w:highlight w:val="none"/>
        </w:rPr>
        <w:t>评标结果汇总完成后，除下列情形外，任何人不得修改评标结果：</w:t>
      </w:r>
    </w:p>
    <w:p>
      <w:pPr>
        <w:adjustRightInd w:val="0"/>
        <w:snapToGrid w:val="0"/>
        <w:spacing w:line="360" w:lineRule="auto"/>
        <w:ind w:firstLine="420" w:firstLineChars="200"/>
        <w:rPr>
          <w:rStyle w:val="489"/>
          <w:rFonts w:hint="default" w:ascii="Times New Roman" w:hAnsi="Times New Roman"/>
          <w:color w:val="auto"/>
          <w:sz w:val="21"/>
          <w:szCs w:val="21"/>
          <w:highlight w:val="none"/>
        </w:rPr>
      </w:pPr>
      <w:r>
        <w:rPr>
          <w:rStyle w:val="489"/>
          <w:rFonts w:hint="default" w:ascii="Times New Roman" w:hAnsi="Times New Roman"/>
          <w:color w:val="auto"/>
          <w:sz w:val="21"/>
          <w:szCs w:val="21"/>
          <w:highlight w:val="none"/>
        </w:rPr>
        <w:t>（一）分值汇总计算错误的</w:t>
      </w:r>
    </w:p>
    <w:p>
      <w:pPr>
        <w:adjustRightInd w:val="0"/>
        <w:snapToGrid w:val="0"/>
        <w:spacing w:line="360" w:lineRule="auto"/>
        <w:ind w:firstLine="420" w:firstLineChars="200"/>
        <w:rPr>
          <w:rStyle w:val="489"/>
          <w:rFonts w:hint="default" w:ascii="Times New Roman" w:hAnsi="Times New Roman"/>
          <w:color w:val="auto"/>
          <w:sz w:val="21"/>
          <w:szCs w:val="21"/>
          <w:highlight w:val="none"/>
        </w:rPr>
      </w:pPr>
      <w:r>
        <w:rPr>
          <w:rStyle w:val="489"/>
          <w:rFonts w:hint="default" w:ascii="Times New Roman" w:hAnsi="Times New Roman"/>
          <w:color w:val="auto"/>
          <w:sz w:val="21"/>
          <w:szCs w:val="21"/>
          <w:highlight w:val="none"/>
        </w:rPr>
        <w:t>（二）分项评分超出评分标准范围的；</w:t>
      </w:r>
    </w:p>
    <w:p>
      <w:pPr>
        <w:adjustRightInd w:val="0"/>
        <w:snapToGrid w:val="0"/>
        <w:spacing w:line="360" w:lineRule="auto"/>
        <w:ind w:firstLine="420" w:firstLineChars="200"/>
        <w:rPr>
          <w:rStyle w:val="489"/>
          <w:rFonts w:hint="default" w:ascii="Times New Roman" w:hAnsi="Times New Roman"/>
          <w:color w:val="auto"/>
          <w:sz w:val="21"/>
          <w:szCs w:val="21"/>
          <w:highlight w:val="none"/>
        </w:rPr>
      </w:pPr>
      <w:r>
        <w:rPr>
          <w:rStyle w:val="489"/>
          <w:rFonts w:hint="default" w:ascii="Times New Roman" w:hAnsi="Times New Roman"/>
          <w:color w:val="auto"/>
          <w:sz w:val="21"/>
          <w:szCs w:val="21"/>
          <w:highlight w:val="none"/>
        </w:rPr>
        <w:t>（三）评标委员会成员对客观评审因素评分不一致的；</w:t>
      </w:r>
    </w:p>
    <w:p>
      <w:pPr>
        <w:adjustRightInd w:val="0"/>
        <w:snapToGrid w:val="0"/>
        <w:spacing w:line="360" w:lineRule="auto"/>
        <w:ind w:firstLine="420" w:firstLineChars="200"/>
        <w:rPr>
          <w:rStyle w:val="489"/>
          <w:rFonts w:hint="default" w:ascii="Times New Roman" w:hAnsi="Times New Roman"/>
          <w:color w:val="auto"/>
          <w:sz w:val="21"/>
          <w:szCs w:val="21"/>
          <w:highlight w:val="none"/>
        </w:rPr>
      </w:pPr>
      <w:r>
        <w:rPr>
          <w:rStyle w:val="489"/>
          <w:rFonts w:hint="default" w:ascii="Times New Roman" w:hAnsi="Times New Roman"/>
          <w:color w:val="auto"/>
          <w:sz w:val="21"/>
          <w:szCs w:val="21"/>
          <w:highlight w:val="none"/>
        </w:rPr>
        <w:t>（四）经评标委员会认定评分畸高、畸低的。</w:t>
      </w:r>
    </w:p>
    <w:p>
      <w:pPr>
        <w:pStyle w:val="2"/>
        <w:snapToGrid w:val="0"/>
        <w:rPr>
          <w:rFonts w:ascii="Times New Roman" w:hAnsi="Times New Roman" w:eastAsia="宋体"/>
          <w:color w:val="auto"/>
          <w:highlight w:val="none"/>
        </w:rPr>
      </w:pPr>
      <w:r>
        <w:rPr>
          <w:rFonts w:ascii="Times New Roman" w:hAnsi="Times New Roman" w:eastAsia="宋体"/>
          <w:color w:val="auto"/>
          <w:highlight w:val="none"/>
        </w:rPr>
        <w:br w:type="page"/>
      </w:r>
      <w:bookmarkStart w:id="27" w:name="_Toc82873328"/>
      <w:bookmarkStart w:id="28" w:name="_Toc211745569"/>
      <w:bookmarkStart w:id="29" w:name="_Toc82338245"/>
      <w:bookmarkStart w:id="30" w:name="_Toc495317672"/>
      <w:r>
        <w:rPr>
          <w:rFonts w:ascii="Times New Roman" w:hAnsi="Times New Roman" w:eastAsia="宋体"/>
          <w:color w:val="auto"/>
          <w:highlight w:val="none"/>
        </w:rPr>
        <w:t>第五章  采购合同</w:t>
      </w:r>
      <w:bookmarkEnd w:id="27"/>
      <w:bookmarkEnd w:id="28"/>
      <w:bookmarkEnd w:id="29"/>
      <w:bookmarkEnd w:id="30"/>
    </w:p>
    <w:p>
      <w:pPr>
        <w:widowControl/>
        <w:snapToGrid w:val="0"/>
        <w:spacing w:line="360" w:lineRule="auto"/>
        <w:rPr>
          <w:rFonts w:hAnsi="宋体"/>
          <w:color w:val="auto"/>
          <w:szCs w:val="21"/>
          <w:highlight w:val="none"/>
        </w:rPr>
      </w:pPr>
      <w:bookmarkStart w:id="31" w:name="_Toc82873329"/>
      <w:bookmarkStart w:id="32" w:name="_Toc82338246"/>
      <w:r>
        <w:rPr>
          <w:rFonts w:hint="eastAsia" w:hAnsi="宋体"/>
          <w:color w:val="auto"/>
          <w:szCs w:val="21"/>
          <w:highlight w:val="none"/>
        </w:rPr>
        <w:t>甲方（招标人）：</w:t>
      </w:r>
    </w:p>
    <w:p>
      <w:pPr>
        <w:widowControl/>
        <w:snapToGrid w:val="0"/>
        <w:spacing w:line="360" w:lineRule="auto"/>
        <w:rPr>
          <w:rFonts w:hAnsi="宋体"/>
          <w:color w:val="auto"/>
          <w:szCs w:val="21"/>
          <w:highlight w:val="none"/>
        </w:rPr>
      </w:pPr>
      <w:r>
        <w:rPr>
          <w:rFonts w:hint="eastAsia" w:hAnsi="宋体"/>
          <w:color w:val="auto"/>
          <w:szCs w:val="21"/>
          <w:highlight w:val="none"/>
        </w:rPr>
        <w:t>乙方（中标人）：</w:t>
      </w:r>
    </w:p>
    <w:p>
      <w:pPr>
        <w:widowControl/>
        <w:snapToGrid w:val="0"/>
        <w:spacing w:line="360" w:lineRule="auto"/>
        <w:ind w:firstLine="420" w:firstLineChars="200"/>
        <w:rPr>
          <w:rFonts w:hAnsi="宋体"/>
          <w:color w:val="auto"/>
          <w:szCs w:val="21"/>
          <w:highlight w:val="none"/>
        </w:rPr>
      </w:pPr>
      <w:r>
        <w:rPr>
          <w:rFonts w:hint="eastAsia" w:hAnsi="宋体"/>
          <w:color w:val="auto"/>
          <w:szCs w:val="21"/>
          <w:highlight w:val="none"/>
        </w:rPr>
        <w:t>依据中华人民共和国有关法律法规，本着实信用、平等互利的原则，甲乙双方经友好协商，就乙方为甲方提供安保服务事项达成一致意见，签订本合同。</w:t>
      </w:r>
    </w:p>
    <w:p>
      <w:pPr>
        <w:widowControl/>
        <w:snapToGrid w:val="0"/>
        <w:spacing w:line="360" w:lineRule="auto"/>
        <w:ind w:firstLine="420" w:firstLineChars="200"/>
        <w:rPr>
          <w:rFonts w:hAnsi="宋体"/>
          <w:color w:val="auto"/>
          <w:szCs w:val="21"/>
          <w:highlight w:val="none"/>
        </w:rPr>
      </w:pPr>
      <w:r>
        <w:rPr>
          <w:rFonts w:hint="eastAsia" w:hAnsi="宋体"/>
          <w:color w:val="auto"/>
          <w:szCs w:val="21"/>
          <w:highlight w:val="none"/>
        </w:rPr>
        <w:t>第一条 安保服务内容、安保岗位数</w:t>
      </w:r>
    </w:p>
    <w:p>
      <w:pPr>
        <w:widowControl/>
        <w:snapToGrid w:val="0"/>
        <w:spacing w:line="360" w:lineRule="auto"/>
        <w:ind w:firstLine="420" w:firstLineChars="200"/>
        <w:rPr>
          <w:rFonts w:hAnsi="宋体"/>
          <w:color w:val="auto"/>
          <w:szCs w:val="21"/>
          <w:highlight w:val="none"/>
        </w:rPr>
      </w:pPr>
      <w:r>
        <w:rPr>
          <w:rFonts w:hint="eastAsia" w:hAnsi="宋体"/>
          <w:color w:val="auto"/>
          <w:szCs w:val="21"/>
          <w:highlight w:val="none"/>
        </w:rPr>
        <w:t>1、根据甲方要求，乙方指派安保人员向甲方</w:t>
      </w:r>
      <w:r>
        <w:rPr>
          <w:rFonts w:hint="eastAsia"/>
          <w:color w:val="auto"/>
          <w:szCs w:val="21"/>
          <w:highlight w:val="none"/>
        </w:rPr>
        <w:t>鹿城院区（含</w:t>
      </w:r>
      <w:r>
        <w:rPr>
          <w:rFonts w:hint="eastAsia" w:hAnsi="宋体"/>
          <w:color w:val="auto"/>
          <w:szCs w:val="21"/>
          <w:highlight w:val="none"/>
        </w:rPr>
        <w:t>学院路部、原</w:t>
      </w:r>
      <w:r>
        <w:rPr>
          <w:rFonts w:hint="eastAsia"/>
          <w:color w:val="auto"/>
          <w:szCs w:val="21"/>
          <w:highlight w:val="none"/>
        </w:rPr>
        <w:t>成人</w:t>
      </w:r>
      <w:r>
        <w:rPr>
          <w:rFonts w:hint="eastAsia" w:hAnsi="宋体"/>
          <w:color w:val="auto"/>
          <w:szCs w:val="21"/>
          <w:highlight w:val="none"/>
        </w:rPr>
        <w:t>急诊中心、南浦部</w:t>
      </w:r>
      <w:r>
        <w:rPr>
          <w:rFonts w:hint="eastAsia"/>
          <w:color w:val="auto"/>
          <w:szCs w:val="21"/>
          <w:highlight w:val="none"/>
        </w:rPr>
        <w:t>）</w:t>
      </w:r>
      <w:r>
        <w:rPr>
          <w:rFonts w:hint="eastAsia" w:hAnsi="宋体"/>
          <w:color w:val="auto"/>
          <w:szCs w:val="21"/>
          <w:highlight w:val="none"/>
        </w:rPr>
        <w:t>提供安保服务，确保甲方单位正常的治安安全、消防安全、门岗及院区秩序维护。安保人员由甲乙双方实行双重管理。</w:t>
      </w:r>
    </w:p>
    <w:p>
      <w:pPr>
        <w:widowControl/>
        <w:snapToGrid w:val="0"/>
        <w:spacing w:line="360" w:lineRule="auto"/>
        <w:ind w:firstLine="420" w:firstLineChars="200"/>
        <w:rPr>
          <w:rFonts w:hAnsi="宋体"/>
          <w:color w:val="auto"/>
          <w:szCs w:val="21"/>
          <w:highlight w:val="none"/>
        </w:rPr>
      </w:pPr>
      <w:r>
        <w:rPr>
          <w:rFonts w:hint="eastAsia" w:hAnsi="宋体"/>
          <w:color w:val="auto"/>
          <w:szCs w:val="21"/>
          <w:highlight w:val="none"/>
        </w:rPr>
        <w:t>2、乙方按甲方要求派驻安保团队（含项目经理）。</w:t>
      </w:r>
      <w:r>
        <w:rPr>
          <w:rFonts w:hint="eastAsia"/>
          <w:color w:val="auto"/>
          <w:szCs w:val="21"/>
          <w:highlight w:val="none"/>
        </w:rPr>
        <w:t>鹿城院区（含</w:t>
      </w:r>
      <w:r>
        <w:rPr>
          <w:rFonts w:hint="eastAsia" w:hAnsi="宋体"/>
          <w:color w:val="auto"/>
          <w:szCs w:val="21"/>
          <w:highlight w:val="none"/>
        </w:rPr>
        <w:t>学院路</w:t>
      </w:r>
      <w:r>
        <w:rPr>
          <w:rFonts w:hint="eastAsia" w:hAnsi="宋体"/>
          <w:color w:val="auto"/>
          <w:szCs w:val="21"/>
          <w:highlight w:val="none"/>
          <w:lang w:eastAsia="zh-CN"/>
        </w:rPr>
        <w:t>部</w:t>
      </w:r>
      <w:r>
        <w:rPr>
          <w:rFonts w:hint="eastAsia" w:hAnsi="宋体"/>
          <w:color w:val="auto"/>
          <w:szCs w:val="21"/>
          <w:highlight w:val="none"/>
        </w:rPr>
        <w:t>、</w:t>
      </w:r>
      <w:r>
        <w:rPr>
          <w:rFonts w:hint="eastAsia" w:hAnsi="宋体"/>
          <w:color w:val="auto"/>
          <w:szCs w:val="21"/>
          <w:highlight w:val="none"/>
          <w:lang w:eastAsia="zh-CN"/>
        </w:rPr>
        <w:t>原</w:t>
      </w:r>
      <w:r>
        <w:rPr>
          <w:rFonts w:hint="eastAsia"/>
          <w:color w:val="auto"/>
          <w:szCs w:val="21"/>
          <w:highlight w:val="none"/>
        </w:rPr>
        <w:t>成人</w:t>
      </w:r>
      <w:r>
        <w:rPr>
          <w:rFonts w:hint="eastAsia" w:hAnsi="宋体"/>
          <w:color w:val="auto"/>
          <w:szCs w:val="21"/>
          <w:highlight w:val="none"/>
        </w:rPr>
        <w:t>急诊</w:t>
      </w:r>
      <w:r>
        <w:rPr>
          <w:rFonts w:hint="eastAsia" w:hAnsi="宋体"/>
          <w:color w:val="auto"/>
          <w:szCs w:val="21"/>
          <w:highlight w:val="none"/>
          <w:lang w:eastAsia="zh-CN"/>
        </w:rPr>
        <w:t>中心</w:t>
      </w:r>
      <w:r>
        <w:rPr>
          <w:rFonts w:hint="eastAsia" w:hAnsi="宋体"/>
          <w:color w:val="auto"/>
          <w:szCs w:val="21"/>
          <w:highlight w:val="none"/>
        </w:rPr>
        <w:t>、南浦</w:t>
      </w:r>
      <w:r>
        <w:rPr>
          <w:rFonts w:hint="eastAsia" w:hAnsi="宋体"/>
          <w:color w:val="auto"/>
          <w:szCs w:val="21"/>
          <w:highlight w:val="none"/>
          <w:lang w:eastAsia="zh-CN"/>
        </w:rPr>
        <w:t>部</w:t>
      </w:r>
      <w:r>
        <w:rPr>
          <w:rFonts w:hint="eastAsia"/>
          <w:color w:val="auto"/>
          <w:szCs w:val="21"/>
          <w:highlight w:val="none"/>
        </w:rPr>
        <w:t>）安保人员于2023年4月1日进场入驻。</w:t>
      </w:r>
      <w:r>
        <w:rPr>
          <w:rFonts w:hint="eastAsia" w:ascii="宋体" w:hAnsi="宋体" w:cs="宋体"/>
          <w:color w:val="auto"/>
          <w:kern w:val="0"/>
          <w:szCs w:val="21"/>
          <w:highlight w:val="none"/>
        </w:rPr>
        <w:t>鹿城院区合计</w:t>
      </w:r>
      <w:r>
        <w:rPr>
          <w:rFonts w:hint="eastAsia" w:ascii="宋体" w:hAnsi="宋体" w:cs="宋体"/>
          <w:color w:val="auto"/>
          <w:kern w:val="0"/>
          <w:szCs w:val="21"/>
          <w:highlight w:val="none"/>
          <w:lang w:val="en-US" w:eastAsia="zh-CN"/>
        </w:rPr>
        <w:t>64</w:t>
      </w:r>
      <w:r>
        <w:rPr>
          <w:rFonts w:hint="eastAsia" w:ascii="宋体" w:hAnsi="宋体" w:cs="宋体"/>
          <w:color w:val="auto"/>
          <w:kern w:val="0"/>
          <w:szCs w:val="21"/>
          <w:highlight w:val="none"/>
        </w:rPr>
        <w:t>个外包岗位</w:t>
      </w:r>
      <w:r>
        <w:rPr>
          <w:rFonts w:hint="eastAsia" w:hAnsi="宋体"/>
          <w:color w:val="auto"/>
          <w:szCs w:val="21"/>
          <w:highlight w:val="none"/>
        </w:rPr>
        <w:t>，按实际需求增减，不视为甲方违约，按实际上岗人数结算服务费用。</w:t>
      </w:r>
      <w:r>
        <w:rPr>
          <w:rFonts w:hint="eastAsia" w:ascii="宋体" w:hAnsi="宋体" w:cs="宋体"/>
          <w:color w:val="auto"/>
          <w:kern w:val="0"/>
          <w:szCs w:val="21"/>
          <w:highlight w:val="none"/>
          <w:lang w:eastAsia="zh-CN"/>
        </w:rPr>
        <w:t>安保岗位分批次进驻，第一批派驻人员为</w:t>
      </w:r>
      <w:r>
        <w:rPr>
          <w:rFonts w:hint="eastAsia" w:ascii="宋体" w:hAnsi="宋体" w:cs="宋体"/>
          <w:color w:val="auto"/>
          <w:kern w:val="0"/>
          <w:szCs w:val="21"/>
          <w:highlight w:val="none"/>
          <w:lang w:val="en-US" w:eastAsia="zh-CN"/>
        </w:rPr>
        <w:t>52岗。另设置备用人员12岗，</w:t>
      </w:r>
      <w:r>
        <w:rPr>
          <w:rFonts w:hint="eastAsia" w:ascii="宋体" w:hAnsi="宋体"/>
          <w:color w:val="auto"/>
          <w:kern w:val="0"/>
          <w:szCs w:val="21"/>
          <w:highlight w:val="none"/>
        </w:rPr>
        <w:t>具体进场日期以甲方实际要求为准。</w:t>
      </w:r>
    </w:p>
    <w:p>
      <w:pPr>
        <w:widowControl/>
        <w:snapToGrid w:val="0"/>
        <w:spacing w:line="360" w:lineRule="auto"/>
        <w:ind w:firstLine="420" w:firstLineChars="200"/>
        <w:rPr>
          <w:rFonts w:hAnsi="宋体"/>
          <w:color w:val="auto"/>
          <w:szCs w:val="21"/>
          <w:highlight w:val="none"/>
        </w:rPr>
      </w:pPr>
      <w:r>
        <w:rPr>
          <w:rFonts w:hint="eastAsia" w:hAnsi="宋体"/>
          <w:color w:val="auto"/>
          <w:szCs w:val="21"/>
          <w:highlight w:val="none"/>
        </w:rPr>
        <w:t>第二条 甲方责任</w:t>
      </w:r>
    </w:p>
    <w:p>
      <w:pPr>
        <w:snapToGrid w:val="0"/>
        <w:spacing w:line="360" w:lineRule="auto"/>
        <w:ind w:firstLine="420" w:firstLineChars="200"/>
        <w:rPr>
          <w:rFonts w:hAnsi="宋体"/>
          <w:color w:val="auto"/>
          <w:szCs w:val="21"/>
          <w:highlight w:val="none"/>
        </w:rPr>
      </w:pPr>
      <w:r>
        <w:rPr>
          <w:rFonts w:hint="eastAsia" w:hAnsi="宋体"/>
          <w:color w:val="auto"/>
          <w:szCs w:val="21"/>
          <w:highlight w:val="none"/>
        </w:rPr>
        <w:t>1、代表和维护甲方的合法权益，提供安保等的服务质量标准、作业规范及考核办法。</w:t>
      </w:r>
    </w:p>
    <w:p>
      <w:pPr>
        <w:widowControl/>
        <w:snapToGrid w:val="0"/>
        <w:spacing w:line="360" w:lineRule="auto"/>
        <w:ind w:firstLine="420" w:firstLineChars="200"/>
        <w:rPr>
          <w:rFonts w:hAnsi="宋体"/>
          <w:color w:val="auto"/>
          <w:szCs w:val="21"/>
          <w:highlight w:val="none"/>
        </w:rPr>
      </w:pPr>
      <w:r>
        <w:rPr>
          <w:rFonts w:hint="eastAsia" w:hAnsi="宋体"/>
          <w:color w:val="auto"/>
          <w:szCs w:val="21"/>
          <w:highlight w:val="none"/>
        </w:rPr>
        <w:t>2、检查监督乙方管理工作的实施及制度、措施的执行情况。</w:t>
      </w:r>
    </w:p>
    <w:p>
      <w:pPr>
        <w:snapToGrid w:val="0"/>
        <w:spacing w:line="360" w:lineRule="auto"/>
        <w:ind w:firstLine="420" w:firstLineChars="200"/>
        <w:rPr>
          <w:rFonts w:hAnsi="宋体"/>
          <w:color w:val="auto"/>
          <w:szCs w:val="21"/>
          <w:highlight w:val="none"/>
        </w:rPr>
      </w:pPr>
      <w:r>
        <w:rPr>
          <w:rFonts w:hint="eastAsia" w:hAnsi="宋体"/>
          <w:color w:val="auto"/>
          <w:szCs w:val="21"/>
          <w:highlight w:val="none"/>
        </w:rPr>
        <w:t>3、审定乙方拟定的管理制度和管理服务年度计划，并提出合理化建议，督促乙方健全应有的制度规程、工作规范等。</w:t>
      </w:r>
    </w:p>
    <w:p>
      <w:pPr>
        <w:snapToGrid w:val="0"/>
        <w:spacing w:line="360" w:lineRule="auto"/>
        <w:ind w:firstLine="420" w:firstLineChars="200"/>
        <w:rPr>
          <w:rFonts w:hAnsi="宋体"/>
          <w:color w:val="auto"/>
          <w:szCs w:val="21"/>
          <w:highlight w:val="none"/>
        </w:rPr>
      </w:pPr>
      <w:r>
        <w:rPr>
          <w:rFonts w:hint="eastAsia" w:hAnsi="宋体"/>
          <w:color w:val="auto"/>
          <w:szCs w:val="21"/>
          <w:highlight w:val="none"/>
        </w:rPr>
        <w:t>4、对乙方管理人员有考核权利，对乙方不称职的工作人员，甲方有权要求乙方限期更换。</w:t>
      </w:r>
    </w:p>
    <w:p>
      <w:pPr>
        <w:widowControl/>
        <w:snapToGrid w:val="0"/>
        <w:spacing w:line="360" w:lineRule="auto"/>
        <w:ind w:firstLine="420" w:firstLineChars="200"/>
        <w:rPr>
          <w:rFonts w:hAnsi="宋体"/>
          <w:color w:val="auto"/>
          <w:szCs w:val="21"/>
          <w:highlight w:val="none"/>
        </w:rPr>
      </w:pPr>
      <w:r>
        <w:rPr>
          <w:rFonts w:hint="eastAsia" w:hAnsi="宋体"/>
          <w:color w:val="auto"/>
          <w:szCs w:val="21"/>
          <w:highlight w:val="none"/>
        </w:rPr>
        <w:t>5、协助乙方做好管理工作。</w:t>
      </w:r>
    </w:p>
    <w:p>
      <w:pPr>
        <w:widowControl/>
        <w:snapToGrid w:val="0"/>
        <w:spacing w:line="360" w:lineRule="auto"/>
        <w:ind w:firstLine="420" w:firstLineChars="200"/>
        <w:rPr>
          <w:rFonts w:hAnsi="宋体"/>
          <w:color w:val="auto"/>
          <w:szCs w:val="21"/>
          <w:highlight w:val="none"/>
        </w:rPr>
      </w:pPr>
      <w:r>
        <w:rPr>
          <w:rFonts w:hint="eastAsia" w:hAnsi="宋体"/>
          <w:color w:val="auto"/>
          <w:szCs w:val="21"/>
          <w:highlight w:val="none"/>
        </w:rPr>
        <w:t>6、按合同约定支付合同款项。</w:t>
      </w:r>
    </w:p>
    <w:p>
      <w:pPr>
        <w:snapToGrid w:val="0"/>
        <w:spacing w:line="360" w:lineRule="auto"/>
        <w:ind w:firstLine="420" w:firstLineChars="200"/>
        <w:rPr>
          <w:rFonts w:hAnsi="宋体"/>
          <w:color w:val="auto"/>
          <w:szCs w:val="21"/>
          <w:highlight w:val="none"/>
        </w:rPr>
      </w:pPr>
      <w:r>
        <w:rPr>
          <w:rFonts w:hint="eastAsia" w:hAnsi="宋体"/>
          <w:color w:val="auto"/>
          <w:szCs w:val="21"/>
          <w:highlight w:val="none"/>
        </w:rPr>
        <w:t>7、如遇突发事件，协调乙方在作业过程中与其他部门的关系。</w:t>
      </w:r>
    </w:p>
    <w:p>
      <w:pPr>
        <w:widowControl/>
        <w:snapToGrid w:val="0"/>
        <w:spacing w:line="360" w:lineRule="auto"/>
        <w:ind w:firstLine="420" w:firstLineChars="200"/>
        <w:rPr>
          <w:rFonts w:hAnsi="宋体"/>
          <w:color w:val="auto"/>
          <w:szCs w:val="21"/>
          <w:highlight w:val="none"/>
        </w:rPr>
      </w:pPr>
      <w:r>
        <w:rPr>
          <w:rFonts w:hint="eastAsia" w:hAnsi="宋体"/>
          <w:color w:val="auto"/>
          <w:szCs w:val="21"/>
          <w:highlight w:val="none"/>
        </w:rPr>
        <w:t>第三条 乙方责任</w:t>
      </w:r>
    </w:p>
    <w:p>
      <w:pPr>
        <w:widowControl/>
        <w:snapToGrid w:val="0"/>
        <w:spacing w:line="360" w:lineRule="auto"/>
        <w:ind w:firstLine="420" w:firstLineChars="200"/>
        <w:rPr>
          <w:rFonts w:hAnsi="宋体"/>
          <w:color w:val="auto"/>
          <w:szCs w:val="21"/>
          <w:highlight w:val="none"/>
        </w:rPr>
      </w:pPr>
      <w:r>
        <w:rPr>
          <w:rFonts w:hint="eastAsia" w:hAnsi="宋体"/>
          <w:color w:val="auto"/>
          <w:szCs w:val="21"/>
          <w:highlight w:val="none"/>
        </w:rPr>
        <w:t>1、按招标文件、投标文件及医院的有关要求提供安保服务。</w:t>
      </w:r>
    </w:p>
    <w:p>
      <w:pPr>
        <w:widowControl/>
        <w:snapToGrid w:val="0"/>
        <w:spacing w:line="360" w:lineRule="auto"/>
        <w:ind w:firstLine="420" w:firstLineChars="200"/>
        <w:rPr>
          <w:rFonts w:hAnsi="宋体"/>
          <w:color w:val="auto"/>
          <w:szCs w:val="21"/>
          <w:highlight w:val="none"/>
        </w:rPr>
      </w:pPr>
      <w:r>
        <w:rPr>
          <w:rFonts w:hint="eastAsia" w:hAnsi="宋体"/>
          <w:color w:val="auto"/>
          <w:szCs w:val="21"/>
          <w:highlight w:val="none"/>
        </w:rPr>
        <w:t>2、根据有关法律法规及本合同的约定，制订管理制度，编制管理年度计划，并经甲方审定后实施。</w:t>
      </w:r>
    </w:p>
    <w:p>
      <w:pPr>
        <w:widowControl/>
        <w:snapToGrid w:val="0"/>
        <w:spacing w:line="360" w:lineRule="auto"/>
        <w:ind w:firstLine="420" w:firstLineChars="200"/>
        <w:rPr>
          <w:rFonts w:hAnsi="宋体"/>
          <w:color w:val="auto"/>
          <w:szCs w:val="21"/>
          <w:highlight w:val="none"/>
        </w:rPr>
      </w:pPr>
      <w:r>
        <w:rPr>
          <w:rFonts w:hint="eastAsia" w:hAnsi="宋体"/>
          <w:color w:val="auto"/>
          <w:szCs w:val="21"/>
          <w:highlight w:val="none"/>
        </w:rPr>
        <w:t>3、在日常相关业务管理过程中发生的事故应及时告知甲方，对甲方的公用设施不得擅自占用和改变使用功能。</w:t>
      </w:r>
    </w:p>
    <w:p>
      <w:pPr>
        <w:widowControl/>
        <w:snapToGrid w:val="0"/>
        <w:spacing w:line="360" w:lineRule="auto"/>
        <w:ind w:firstLine="420" w:firstLineChars="200"/>
        <w:rPr>
          <w:rFonts w:hAnsi="宋体"/>
          <w:color w:val="auto"/>
          <w:szCs w:val="21"/>
          <w:highlight w:val="none"/>
        </w:rPr>
      </w:pPr>
      <w:r>
        <w:rPr>
          <w:rFonts w:hint="eastAsia" w:hAnsi="宋体"/>
          <w:color w:val="auto"/>
          <w:szCs w:val="21"/>
          <w:highlight w:val="none"/>
        </w:rPr>
        <w:t>4、在服务期内，乙方必须做好工作人员所需要的安全教育及安全措施，保证工作人员的安全，乙方工作人员在甲方工作范围内发生事故的一切责任由乙方负责。</w:t>
      </w:r>
    </w:p>
    <w:p>
      <w:pPr>
        <w:widowControl/>
        <w:snapToGrid w:val="0"/>
        <w:spacing w:line="360" w:lineRule="auto"/>
        <w:ind w:firstLine="420" w:firstLineChars="200"/>
        <w:rPr>
          <w:rFonts w:hAnsi="宋体"/>
          <w:color w:val="auto"/>
          <w:szCs w:val="21"/>
          <w:highlight w:val="none"/>
        </w:rPr>
      </w:pPr>
      <w:r>
        <w:rPr>
          <w:rFonts w:hint="eastAsia" w:hAnsi="宋体"/>
          <w:color w:val="auto"/>
          <w:szCs w:val="21"/>
          <w:highlight w:val="none"/>
        </w:rPr>
        <w:t>5、乙方的派驻的服务人员，要有严格审查，重要岗位人员聘用要经甲方审定，同时，乙方的服务人员在必要时如突发事件或自然灾害时须听从甲方统一调动指挥。</w:t>
      </w:r>
    </w:p>
    <w:p>
      <w:pPr>
        <w:widowControl/>
        <w:snapToGrid w:val="0"/>
        <w:spacing w:line="360" w:lineRule="auto"/>
        <w:ind w:firstLine="420" w:firstLineChars="200"/>
        <w:rPr>
          <w:rFonts w:hAnsi="宋体"/>
          <w:color w:val="auto"/>
          <w:szCs w:val="21"/>
          <w:highlight w:val="none"/>
        </w:rPr>
      </w:pPr>
      <w:r>
        <w:rPr>
          <w:rFonts w:hint="eastAsia" w:hAnsi="宋体"/>
          <w:color w:val="auto"/>
          <w:szCs w:val="21"/>
          <w:highlight w:val="none"/>
        </w:rPr>
        <w:t>6、协助甲方调查、处理有关投诉，并根据甲方要求及时处理。</w:t>
      </w:r>
    </w:p>
    <w:p>
      <w:pPr>
        <w:snapToGrid w:val="0"/>
        <w:spacing w:line="360" w:lineRule="auto"/>
        <w:ind w:firstLine="420" w:firstLineChars="200"/>
        <w:rPr>
          <w:rFonts w:hAnsi="宋体"/>
          <w:color w:val="auto"/>
          <w:szCs w:val="21"/>
          <w:highlight w:val="none"/>
        </w:rPr>
      </w:pPr>
      <w:r>
        <w:rPr>
          <w:rFonts w:hint="eastAsia" w:hAnsi="宋体"/>
          <w:color w:val="auto"/>
          <w:szCs w:val="21"/>
          <w:highlight w:val="none"/>
        </w:rPr>
        <w:t>7、招标文件及合同附件中约定的乙方其它权利义务。</w:t>
      </w:r>
    </w:p>
    <w:p>
      <w:pPr>
        <w:snapToGrid w:val="0"/>
        <w:spacing w:line="360" w:lineRule="auto"/>
        <w:ind w:firstLine="420" w:firstLineChars="200"/>
        <w:rPr>
          <w:rFonts w:hAnsi="宋体"/>
          <w:color w:val="auto"/>
          <w:szCs w:val="21"/>
          <w:highlight w:val="none"/>
        </w:rPr>
      </w:pPr>
      <w:r>
        <w:rPr>
          <w:rFonts w:hint="eastAsia" w:hAnsi="宋体"/>
          <w:color w:val="auto"/>
          <w:szCs w:val="21"/>
          <w:highlight w:val="none"/>
        </w:rPr>
        <w:t>8、完成甲方交办的临时性任务。</w:t>
      </w:r>
    </w:p>
    <w:p>
      <w:pPr>
        <w:snapToGrid w:val="0"/>
        <w:spacing w:line="360" w:lineRule="auto"/>
        <w:ind w:firstLine="420" w:firstLineChars="200"/>
        <w:rPr>
          <w:rFonts w:hAnsi="宋体"/>
          <w:color w:val="auto"/>
          <w:szCs w:val="21"/>
          <w:highlight w:val="none"/>
        </w:rPr>
      </w:pPr>
      <w:r>
        <w:rPr>
          <w:rFonts w:hint="eastAsia" w:hAnsi="宋体"/>
          <w:color w:val="auto"/>
          <w:szCs w:val="21"/>
          <w:highlight w:val="none"/>
        </w:rPr>
        <w:t>9、未经甲方同意，乙方无权在承包区域内从事任何经营活动或类似宣传，甲方有权依照法律法规和甲方相关的规定责令乙方限期改正，并接受处罚。</w:t>
      </w:r>
    </w:p>
    <w:p>
      <w:pPr>
        <w:widowControl/>
        <w:snapToGrid w:val="0"/>
        <w:spacing w:line="360" w:lineRule="auto"/>
        <w:ind w:firstLine="420" w:firstLineChars="200"/>
        <w:rPr>
          <w:rFonts w:hAnsi="宋体"/>
          <w:color w:val="auto"/>
          <w:szCs w:val="21"/>
          <w:highlight w:val="none"/>
        </w:rPr>
      </w:pPr>
      <w:r>
        <w:rPr>
          <w:rFonts w:hint="eastAsia" w:hAnsi="宋体"/>
          <w:color w:val="auto"/>
          <w:szCs w:val="21"/>
          <w:highlight w:val="none"/>
        </w:rPr>
        <w:t>10、乙方须配合甲方做好相应的考核。</w:t>
      </w:r>
    </w:p>
    <w:p>
      <w:pPr>
        <w:snapToGrid w:val="0"/>
        <w:spacing w:line="360" w:lineRule="auto"/>
        <w:ind w:firstLine="420" w:firstLineChars="200"/>
        <w:rPr>
          <w:rFonts w:hAnsi="宋体"/>
          <w:color w:val="auto"/>
          <w:szCs w:val="21"/>
          <w:highlight w:val="none"/>
        </w:rPr>
      </w:pPr>
      <w:r>
        <w:rPr>
          <w:rFonts w:hint="eastAsia" w:hAnsi="宋体"/>
          <w:color w:val="auto"/>
          <w:szCs w:val="21"/>
          <w:highlight w:val="none"/>
        </w:rPr>
        <w:t>11、未经甲方同意，乙方不得以任何形式转租、转让、抵押承包区域及承包合同内容，在承包区域内只从事甲方认可的承包工作；否则甲方有权单方面终止合同，并保留进一步追究乙方责任的权利。在承包期间，乙方任何重大变动或法律事宜均应通知甲方。</w:t>
      </w:r>
    </w:p>
    <w:p>
      <w:pPr>
        <w:snapToGrid w:val="0"/>
        <w:spacing w:line="360" w:lineRule="auto"/>
        <w:ind w:firstLine="420" w:firstLineChars="200"/>
        <w:rPr>
          <w:rFonts w:hAnsi="宋体"/>
          <w:bCs/>
          <w:color w:val="auto"/>
          <w:szCs w:val="21"/>
          <w:highlight w:val="none"/>
        </w:rPr>
      </w:pPr>
      <w:r>
        <w:rPr>
          <w:rFonts w:hint="eastAsia" w:hAnsi="宋体"/>
          <w:color w:val="auto"/>
          <w:szCs w:val="21"/>
          <w:highlight w:val="none"/>
        </w:rPr>
        <w:t xml:space="preserve">第四条 </w:t>
      </w:r>
      <w:r>
        <w:rPr>
          <w:rFonts w:hint="eastAsia" w:hAnsi="宋体"/>
          <w:bCs/>
          <w:color w:val="auto"/>
          <w:szCs w:val="21"/>
          <w:highlight w:val="none"/>
        </w:rPr>
        <w:t>考核标准</w:t>
      </w:r>
    </w:p>
    <w:p>
      <w:pPr>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甲方对乙方按考核制度每月进行考核（详见温州医科大学附属第二医院安保服务质量考核标准）。</w:t>
      </w:r>
    </w:p>
    <w:p>
      <w:pPr>
        <w:widowControl/>
        <w:snapToGrid w:val="0"/>
        <w:spacing w:line="360" w:lineRule="auto"/>
        <w:ind w:firstLine="420" w:firstLineChars="200"/>
        <w:rPr>
          <w:rFonts w:hAnsi="宋体"/>
          <w:color w:val="auto"/>
          <w:szCs w:val="21"/>
          <w:highlight w:val="none"/>
        </w:rPr>
      </w:pPr>
      <w:r>
        <w:rPr>
          <w:rFonts w:hint="eastAsia" w:hAnsi="宋体"/>
          <w:color w:val="auto"/>
          <w:szCs w:val="21"/>
          <w:highlight w:val="none"/>
        </w:rPr>
        <w:t>第五条 付款方式</w:t>
      </w:r>
    </w:p>
    <w:p>
      <w:pPr>
        <w:widowControl/>
        <w:snapToGrid w:val="0"/>
        <w:spacing w:line="360" w:lineRule="auto"/>
        <w:ind w:firstLine="420" w:firstLineChars="200"/>
        <w:rPr>
          <w:rFonts w:hAnsi="宋体"/>
          <w:color w:val="auto"/>
          <w:szCs w:val="21"/>
          <w:highlight w:val="none"/>
        </w:rPr>
      </w:pPr>
      <w:r>
        <w:rPr>
          <w:rFonts w:hint="eastAsia" w:hAnsi="宋体"/>
          <w:color w:val="auto"/>
          <w:szCs w:val="21"/>
          <w:highlight w:val="none"/>
        </w:rPr>
        <w:t>1、付款方式</w:t>
      </w:r>
    </w:p>
    <w:p>
      <w:pPr>
        <w:snapToGrid w:val="0"/>
        <w:spacing w:line="360" w:lineRule="auto"/>
        <w:ind w:firstLine="420" w:firstLineChars="200"/>
        <w:rPr>
          <w:rFonts w:hAnsi="宋体"/>
          <w:color w:val="auto"/>
          <w:szCs w:val="21"/>
          <w:highlight w:val="none"/>
        </w:rPr>
      </w:pPr>
      <w:r>
        <w:rPr>
          <w:rFonts w:hint="eastAsia" w:hAnsi="宋体"/>
          <w:color w:val="auto"/>
          <w:szCs w:val="21"/>
          <w:highlight w:val="none"/>
        </w:rPr>
        <w:t>1.1按实际上岗人数结算服务费用。服务费用=实际上岗人数*安保的每岗位平均费用。安保的每岗位每年平均价核算方式为：（投标总价/</w:t>
      </w:r>
      <w:r>
        <w:rPr>
          <w:rFonts w:hint="eastAsia" w:hAnsi="宋体"/>
          <w:color w:val="auto"/>
          <w:szCs w:val="21"/>
          <w:highlight w:val="none"/>
          <w:lang w:val="en-US" w:eastAsia="zh-CN"/>
        </w:rPr>
        <w:t>64</w:t>
      </w:r>
      <w:r>
        <w:rPr>
          <w:rFonts w:hint="eastAsia" w:hAnsi="宋体"/>
          <w:color w:val="auto"/>
          <w:szCs w:val="21"/>
          <w:highlight w:val="none"/>
        </w:rPr>
        <w:t>岗位），每月均价为每岗位每年平均价除以12个月，每日均价为每年岗位平均价除以360日。</w:t>
      </w:r>
    </w:p>
    <w:p>
      <w:pPr>
        <w:tabs>
          <w:tab w:val="left" w:pos="1320"/>
        </w:tabs>
        <w:spacing w:line="360" w:lineRule="auto"/>
        <w:ind w:firstLine="420" w:firstLineChars="200"/>
        <w:rPr>
          <w:rFonts w:hint="eastAsia" w:ascii="宋体" w:hAnsi="宋体" w:cs="宋体"/>
          <w:color w:val="auto"/>
          <w:szCs w:val="21"/>
          <w:highlight w:val="none"/>
        </w:rPr>
      </w:pPr>
      <w:r>
        <w:rPr>
          <w:rFonts w:hint="eastAsia" w:hAnsi="宋体"/>
          <w:color w:val="auto"/>
          <w:szCs w:val="21"/>
          <w:highlight w:val="none"/>
        </w:rPr>
        <w:t>1.2付款方式：按上月考核结果，安保服务费每月结算一次，中标人提供完税财务发票，采购人转入对方账户。</w:t>
      </w:r>
      <w:r>
        <w:rPr>
          <w:rFonts w:hint="eastAsia" w:ascii="宋体" w:hAnsi="宋体" w:cs="宋体"/>
          <w:color w:val="auto"/>
          <w:szCs w:val="21"/>
          <w:highlight w:val="none"/>
        </w:rPr>
        <w:t>采购人在申请手续办理完毕后7个工作日内支付货款。</w:t>
      </w:r>
    </w:p>
    <w:p>
      <w:pPr>
        <w:snapToGrid w:val="0"/>
        <w:spacing w:line="360" w:lineRule="auto"/>
        <w:ind w:firstLine="420" w:firstLineChars="200"/>
        <w:rPr>
          <w:rFonts w:hAnsi="宋体"/>
          <w:color w:val="auto"/>
          <w:szCs w:val="21"/>
          <w:highlight w:val="none"/>
        </w:rPr>
      </w:pPr>
      <w:r>
        <w:rPr>
          <w:rFonts w:hint="eastAsia" w:hAnsi="宋体"/>
          <w:color w:val="auto"/>
          <w:szCs w:val="21"/>
          <w:highlight w:val="none"/>
        </w:rPr>
        <w:t>1.3支付凭证：双方签字确认的考核单，中标人提供的正式发票。</w:t>
      </w:r>
      <w:r>
        <w:rPr>
          <w:rFonts w:hint="eastAsia" w:hAnsi="宋体"/>
          <w:color w:val="auto"/>
          <w:szCs w:val="21"/>
          <w:highlight w:val="none"/>
          <w:lang w:eastAsia="zh-CN"/>
        </w:rPr>
        <w:t xml:space="preserve">                    </w:t>
      </w:r>
      <w:r>
        <w:rPr>
          <w:rFonts w:hint="eastAsia" w:hAnsi="宋体"/>
          <w:color w:val="auto"/>
          <w:szCs w:val="21"/>
          <w:highlight w:val="none"/>
        </w:rPr>
        <w:t xml:space="preserve"> </w:t>
      </w:r>
    </w:p>
    <w:p>
      <w:pPr>
        <w:snapToGrid w:val="0"/>
        <w:spacing w:line="360" w:lineRule="auto"/>
        <w:ind w:firstLine="420" w:firstLineChars="200"/>
        <w:rPr>
          <w:rFonts w:hAnsi="宋体"/>
          <w:color w:val="auto"/>
          <w:szCs w:val="21"/>
          <w:highlight w:val="none"/>
        </w:rPr>
      </w:pPr>
      <w:r>
        <w:rPr>
          <w:rFonts w:hint="eastAsia" w:hAnsi="宋体"/>
          <w:color w:val="auto"/>
          <w:szCs w:val="21"/>
          <w:highlight w:val="none"/>
        </w:rPr>
        <w:t>1.采购人因岗位变动需增减派人员的，中标人须无条件响应采购人要求，并配合落实相关人员，费用按照中标安保的</w:t>
      </w:r>
      <w:r>
        <w:rPr>
          <w:rFonts w:hint="eastAsia" w:hAnsi="宋体"/>
          <w:color w:val="auto"/>
          <w:szCs w:val="21"/>
          <w:highlight w:val="none"/>
          <w:u w:val="single"/>
        </w:rPr>
        <w:t>每岗位每年平均价核算</w:t>
      </w:r>
      <w:r>
        <w:rPr>
          <w:rFonts w:hint="eastAsia" w:hAnsi="宋体"/>
          <w:color w:val="auto"/>
          <w:szCs w:val="21"/>
          <w:highlight w:val="none"/>
        </w:rPr>
        <w:t>，如岗位增减，则按增减数量乘</w:t>
      </w:r>
      <w:r>
        <w:rPr>
          <w:rFonts w:hint="eastAsia" w:hAnsi="宋体"/>
          <w:color w:val="auto"/>
          <w:szCs w:val="21"/>
          <w:highlight w:val="none"/>
          <w:u w:val="single"/>
        </w:rPr>
        <w:t>每岗位平均价</w:t>
      </w:r>
      <w:r>
        <w:rPr>
          <w:rFonts w:hint="eastAsia" w:hAnsi="宋体"/>
          <w:color w:val="auto"/>
          <w:szCs w:val="21"/>
          <w:highlight w:val="none"/>
        </w:rPr>
        <w:t>增减。</w:t>
      </w:r>
    </w:p>
    <w:p>
      <w:pPr>
        <w:snapToGrid w:val="0"/>
        <w:spacing w:line="360" w:lineRule="auto"/>
        <w:ind w:firstLine="420" w:firstLineChars="200"/>
        <w:rPr>
          <w:rFonts w:hAnsi="宋体"/>
          <w:color w:val="auto"/>
          <w:szCs w:val="21"/>
          <w:highlight w:val="none"/>
        </w:rPr>
      </w:pPr>
      <w:r>
        <w:rPr>
          <w:rFonts w:hint="eastAsia" w:hAnsi="宋体"/>
          <w:color w:val="auto"/>
          <w:szCs w:val="21"/>
          <w:highlight w:val="none"/>
        </w:rPr>
        <w:t>2.服务费用中包含服装、警械、防护服、对讲机以及其他必要的配备，包含周末加班费，以及节假日的补贴（按国家标准），包含为履行本次招标服务的其他一切费用。</w:t>
      </w:r>
    </w:p>
    <w:p>
      <w:pPr>
        <w:snapToGrid w:val="0"/>
        <w:spacing w:line="360" w:lineRule="auto"/>
        <w:ind w:firstLine="420" w:firstLineChars="200"/>
        <w:rPr>
          <w:rFonts w:hAnsi="宋体"/>
          <w:color w:val="auto"/>
          <w:szCs w:val="21"/>
          <w:highlight w:val="none"/>
        </w:rPr>
      </w:pPr>
      <w:r>
        <w:rPr>
          <w:rFonts w:hint="eastAsia" w:hAnsi="宋体"/>
          <w:color w:val="auto"/>
          <w:szCs w:val="21"/>
          <w:highlight w:val="none"/>
        </w:rPr>
        <w:t>3.中标人在服务期内有下列行为，造成的不当损失而产生费用，要从当月支付给中标人的费用中扣除：A、中标人要爱护与保管医院财产，如损坏医院设施等，按实际损失价值赔偿；B、没有达到考核标准的，按考核标准中规定的扣除；C、其它因中标人不作为或管理不严等，造成医院不良影响或损失的，部分与招标文件不符合的做法，或不履行其投标文件的，扣除承包方的当月服务款的1%；项目经理缺岗，按缺岗次数每次处罚500元。</w:t>
      </w:r>
    </w:p>
    <w:p>
      <w:pPr>
        <w:snapToGrid w:val="0"/>
        <w:spacing w:line="360" w:lineRule="auto"/>
        <w:ind w:left="210" w:leftChars="100" w:firstLine="210" w:firstLineChars="100"/>
        <w:rPr>
          <w:rFonts w:hAnsi="宋体"/>
          <w:color w:val="auto"/>
          <w:szCs w:val="21"/>
          <w:highlight w:val="none"/>
        </w:rPr>
      </w:pPr>
      <w:r>
        <w:rPr>
          <w:rFonts w:hint="eastAsia" w:hAnsi="宋体"/>
          <w:color w:val="auto"/>
          <w:szCs w:val="21"/>
          <w:highlight w:val="none"/>
        </w:rPr>
        <w:t xml:space="preserve">第六条 </w:t>
      </w:r>
      <w:r>
        <w:rPr>
          <w:rFonts w:hint="eastAsia" w:hAnsi="宋体"/>
          <w:bCs/>
          <w:color w:val="auto"/>
          <w:szCs w:val="21"/>
          <w:highlight w:val="none"/>
        </w:rPr>
        <w:t>履约保证金</w:t>
      </w:r>
    </w:p>
    <w:p>
      <w:pPr>
        <w:widowControl/>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履约保证金（应当以支票、汇票、本票或者金融机构、担保机构出具的保函等非现金形式提交）按合同金额的1%收取，即履约保证金为人民币</w:t>
      </w:r>
      <w:r>
        <w:rPr>
          <w:rFonts w:hint="eastAsia" w:hAnsi="宋体"/>
          <w:color w:val="auto"/>
          <w:szCs w:val="21"/>
          <w:highlight w:val="none"/>
          <w:lang w:eastAsia="zh-CN"/>
        </w:rPr>
        <w:t xml:space="preserve">    </w:t>
      </w:r>
      <w:r>
        <w:rPr>
          <w:rFonts w:hint="eastAsia" w:hAnsi="宋体"/>
          <w:color w:val="auto"/>
          <w:szCs w:val="21"/>
          <w:highlight w:val="none"/>
        </w:rPr>
        <w:t xml:space="preserve"> 元整（大写：</w:t>
      </w:r>
      <w:r>
        <w:rPr>
          <w:rFonts w:hint="eastAsia" w:hAnsi="宋体"/>
          <w:color w:val="auto"/>
          <w:szCs w:val="21"/>
          <w:highlight w:val="none"/>
          <w:lang w:eastAsia="zh-CN"/>
        </w:rPr>
        <w:t xml:space="preserve">      </w:t>
      </w:r>
      <w:r>
        <w:rPr>
          <w:rFonts w:hint="eastAsia" w:hAnsi="宋体"/>
          <w:color w:val="auto"/>
          <w:szCs w:val="21"/>
          <w:highlight w:val="none"/>
        </w:rPr>
        <w:t xml:space="preserve">  ），中标人收到中标通知书，按要求向采购人缴纳履约保证金，中标人发生履约责任问题时，采购人有权从当月结算货款或履约保证金中予以扣除，履约保证金如发生扣款情况，中标人应在30日内予以补足。履约保证金在合同终止或解除后的30天内无息退还给中标人。</w:t>
      </w:r>
    </w:p>
    <w:p>
      <w:pPr>
        <w:widowControl/>
        <w:snapToGrid w:val="0"/>
        <w:spacing w:line="360" w:lineRule="auto"/>
        <w:ind w:firstLine="420" w:firstLineChars="200"/>
        <w:rPr>
          <w:rFonts w:hAnsi="宋体"/>
          <w:color w:val="auto"/>
          <w:szCs w:val="21"/>
          <w:highlight w:val="none"/>
        </w:rPr>
      </w:pPr>
      <w:r>
        <w:rPr>
          <w:rFonts w:hint="eastAsia" w:hAnsi="宋体"/>
          <w:color w:val="auto"/>
          <w:szCs w:val="21"/>
          <w:highlight w:val="none"/>
        </w:rPr>
        <w:t>第七条 合同期限</w:t>
      </w:r>
    </w:p>
    <w:p>
      <w:pPr>
        <w:widowControl/>
        <w:snapToGrid w:val="0"/>
        <w:spacing w:line="360" w:lineRule="auto"/>
        <w:ind w:firstLine="420" w:firstLineChars="200"/>
        <w:rPr>
          <w:rFonts w:hAnsi="宋体"/>
          <w:color w:val="auto"/>
          <w:szCs w:val="21"/>
          <w:highlight w:val="none"/>
          <w:u w:val="single"/>
        </w:rPr>
      </w:pPr>
      <w:r>
        <w:rPr>
          <w:rFonts w:hint="eastAsia" w:hAnsi="宋体"/>
          <w:color w:val="auto"/>
          <w:szCs w:val="21"/>
          <w:highlight w:val="none"/>
        </w:rPr>
        <w:t>1、</w:t>
      </w:r>
      <w:r>
        <w:rPr>
          <w:rFonts w:hint="eastAsia" w:hAnsi="宋体"/>
          <w:color w:val="auto"/>
          <w:szCs w:val="21"/>
          <w:highlight w:val="none"/>
          <w:u w:val="single"/>
        </w:rPr>
        <w:t>本合同自</w:t>
      </w:r>
      <w:r>
        <w:rPr>
          <w:rFonts w:hint="eastAsia" w:hAnsi="宋体"/>
          <w:color w:val="auto"/>
          <w:szCs w:val="21"/>
          <w:highlight w:val="none"/>
          <w:u w:val="single"/>
          <w:lang w:eastAsia="zh-CN"/>
        </w:rPr>
        <w:t xml:space="preserve">  </w:t>
      </w:r>
      <w:r>
        <w:rPr>
          <w:rFonts w:hint="eastAsia" w:hAnsi="宋体"/>
          <w:color w:val="auto"/>
          <w:szCs w:val="21"/>
          <w:highlight w:val="none"/>
          <w:u w:val="single"/>
        </w:rPr>
        <w:t>年</w:t>
      </w:r>
      <w:r>
        <w:rPr>
          <w:rFonts w:hint="eastAsia" w:hAnsi="宋体"/>
          <w:color w:val="auto"/>
          <w:szCs w:val="21"/>
          <w:highlight w:val="none"/>
          <w:u w:val="single"/>
          <w:lang w:eastAsia="zh-CN"/>
        </w:rPr>
        <w:t xml:space="preserve">  </w:t>
      </w:r>
      <w:r>
        <w:rPr>
          <w:rFonts w:hint="eastAsia" w:hAnsi="宋体"/>
          <w:color w:val="auto"/>
          <w:szCs w:val="21"/>
          <w:highlight w:val="none"/>
          <w:u w:val="single"/>
        </w:rPr>
        <w:t>月</w:t>
      </w:r>
      <w:r>
        <w:rPr>
          <w:rFonts w:hint="eastAsia" w:hAnsi="宋体"/>
          <w:color w:val="auto"/>
          <w:szCs w:val="21"/>
          <w:highlight w:val="none"/>
          <w:u w:val="single"/>
          <w:lang w:eastAsia="zh-CN"/>
        </w:rPr>
        <w:t xml:space="preserve">  </w:t>
      </w:r>
      <w:r>
        <w:rPr>
          <w:rFonts w:hint="eastAsia" w:hAnsi="宋体"/>
          <w:color w:val="auto"/>
          <w:szCs w:val="21"/>
          <w:highlight w:val="none"/>
          <w:u w:val="single"/>
        </w:rPr>
        <w:t>日起至</w:t>
      </w:r>
      <w:r>
        <w:rPr>
          <w:rFonts w:hint="eastAsia" w:hAnsi="宋体"/>
          <w:color w:val="auto"/>
          <w:szCs w:val="21"/>
          <w:highlight w:val="none"/>
          <w:u w:val="single"/>
          <w:lang w:eastAsia="zh-CN"/>
        </w:rPr>
        <w:t xml:space="preserve">  </w:t>
      </w:r>
      <w:r>
        <w:rPr>
          <w:rFonts w:hint="eastAsia" w:hAnsi="宋体"/>
          <w:color w:val="auto"/>
          <w:szCs w:val="21"/>
          <w:highlight w:val="none"/>
          <w:u w:val="single"/>
        </w:rPr>
        <w:t xml:space="preserve">  年</w:t>
      </w:r>
      <w:r>
        <w:rPr>
          <w:rFonts w:hint="eastAsia" w:hAnsi="宋体"/>
          <w:color w:val="auto"/>
          <w:szCs w:val="21"/>
          <w:highlight w:val="none"/>
          <w:u w:val="single"/>
          <w:lang w:eastAsia="zh-CN"/>
        </w:rPr>
        <w:t xml:space="preserve">  </w:t>
      </w:r>
      <w:r>
        <w:rPr>
          <w:rFonts w:hint="eastAsia" w:hAnsi="宋体"/>
          <w:color w:val="auto"/>
          <w:szCs w:val="21"/>
          <w:highlight w:val="none"/>
          <w:u w:val="single"/>
        </w:rPr>
        <w:t xml:space="preserve"> 月</w:t>
      </w:r>
      <w:r>
        <w:rPr>
          <w:rFonts w:hint="eastAsia" w:hAnsi="宋体"/>
          <w:color w:val="auto"/>
          <w:szCs w:val="21"/>
          <w:highlight w:val="none"/>
          <w:u w:val="single"/>
          <w:lang w:eastAsia="zh-CN"/>
        </w:rPr>
        <w:t xml:space="preserve">  </w:t>
      </w:r>
      <w:r>
        <w:rPr>
          <w:rFonts w:hint="eastAsia" w:hAnsi="宋体"/>
          <w:color w:val="auto"/>
          <w:szCs w:val="21"/>
          <w:highlight w:val="none"/>
          <w:u w:val="single"/>
        </w:rPr>
        <w:t xml:space="preserve"> 日止。</w:t>
      </w:r>
    </w:p>
    <w:p>
      <w:pPr>
        <w:tabs>
          <w:tab w:val="left" w:pos="1320"/>
        </w:tabs>
        <w:spacing w:line="360" w:lineRule="auto"/>
        <w:ind w:firstLine="420" w:firstLineChars="200"/>
        <w:rPr>
          <w:strike/>
          <w:color w:val="auto"/>
          <w:szCs w:val="21"/>
          <w:highlight w:val="none"/>
        </w:rPr>
      </w:pPr>
      <w:r>
        <w:rPr>
          <w:rFonts w:hint="eastAsia" w:hAnsi="宋体"/>
          <w:color w:val="auto"/>
          <w:szCs w:val="21"/>
          <w:highlight w:val="none"/>
        </w:rPr>
        <w:t>2、</w:t>
      </w:r>
      <w:r>
        <w:rPr>
          <w:rFonts w:hint="eastAsia" w:ascii="宋体" w:hAnsi="宋体" w:cs="宋体"/>
          <w:color w:val="auto"/>
          <w:szCs w:val="21"/>
          <w:highlight w:val="none"/>
        </w:rPr>
        <w:t>本项目服务期限两年。</w:t>
      </w:r>
    </w:p>
    <w:p>
      <w:pPr>
        <w:snapToGrid w:val="0"/>
        <w:spacing w:line="360" w:lineRule="auto"/>
        <w:ind w:firstLine="420" w:firstLineChars="200"/>
        <w:rPr>
          <w:color w:val="auto"/>
          <w:szCs w:val="21"/>
          <w:highlight w:val="none"/>
        </w:rPr>
      </w:pPr>
      <w:r>
        <w:rPr>
          <w:rFonts w:hint="eastAsia" w:hAnsi="宋体"/>
          <w:bCs/>
          <w:color w:val="auto"/>
          <w:szCs w:val="21"/>
          <w:highlight w:val="none"/>
        </w:rPr>
        <w:t xml:space="preserve">第八条 </w:t>
      </w:r>
      <w:r>
        <w:rPr>
          <w:rFonts w:hAnsi="宋体"/>
          <w:bCs/>
          <w:color w:val="auto"/>
          <w:szCs w:val="21"/>
          <w:highlight w:val="none"/>
        </w:rPr>
        <w:t>违约</w:t>
      </w:r>
      <w:r>
        <w:rPr>
          <w:rFonts w:hint="eastAsia" w:hAnsi="宋体"/>
          <w:bCs/>
          <w:color w:val="auto"/>
          <w:szCs w:val="21"/>
          <w:highlight w:val="none"/>
        </w:rPr>
        <w:t>终止</w:t>
      </w:r>
      <w:r>
        <w:rPr>
          <w:rFonts w:hAnsi="宋体"/>
          <w:bCs/>
          <w:color w:val="auto"/>
          <w:szCs w:val="21"/>
          <w:highlight w:val="none"/>
        </w:rPr>
        <w:t>合同及赔偿</w:t>
      </w:r>
    </w:p>
    <w:p>
      <w:pPr>
        <w:snapToGrid w:val="0"/>
        <w:spacing w:line="360" w:lineRule="auto"/>
        <w:ind w:firstLine="420" w:firstLineChars="200"/>
        <w:rPr>
          <w:rFonts w:hAnsi="宋体"/>
          <w:color w:val="auto"/>
          <w:szCs w:val="21"/>
          <w:highlight w:val="none"/>
        </w:rPr>
      </w:pPr>
      <w:r>
        <w:rPr>
          <w:rFonts w:hint="eastAsia" w:hAnsi="宋体"/>
          <w:color w:val="auto"/>
          <w:szCs w:val="21"/>
          <w:highlight w:val="none"/>
        </w:rPr>
        <w:t>1、甲方在乙方存在如下违约情况时，有权单方面终止全部或部分合同，并保留进一步追究乙方责任的权利（包括经济赔偿）。</w:t>
      </w:r>
    </w:p>
    <w:p>
      <w:pPr>
        <w:snapToGrid w:val="0"/>
        <w:spacing w:line="360" w:lineRule="auto"/>
        <w:ind w:firstLine="210" w:firstLineChars="100"/>
        <w:rPr>
          <w:rFonts w:hAnsi="宋体"/>
          <w:color w:val="auto"/>
          <w:szCs w:val="21"/>
          <w:highlight w:val="none"/>
        </w:rPr>
      </w:pPr>
      <w:r>
        <w:rPr>
          <w:rFonts w:hint="eastAsia" w:hAnsi="宋体"/>
          <w:color w:val="auto"/>
          <w:szCs w:val="21"/>
          <w:highlight w:val="none"/>
        </w:rPr>
        <w:t>（1）乙方未能履行合同规定的义务；</w:t>
      </w:r>
    </w:p>
    <w:p>
      <w:pPr>
        <w:snapToGrid w:val="0"/>
        <w:spacing w:line="360" w:lineRule="auto"/>
        <w:ind w:firstLine="210" w:firstLineChars="100"/>
        <w:rPr>
          <w:rFonts w:hAnsi="宋体"/>
          <w:color w:val="auto"/>
          <w:szCs w:val="21"/>
          <w:highlight w:val="none"/>
        </w:rPr>
      </w:pPr>
      <w:r>
        <w:rPr>
          <w:rFonts w:hint="eastAsia" w:hAnsi="宋体"/>
          <w:color w:val="auto"/>
          <w:szCs w:val="21"/>
          <w:highlight w:val="none"/>
        </w:rPr>
        <w:t>（2）有严重影响医院有关科室的正常工作及医院形象；</w:t>
      </w:r>
    </w:p>
    <w:p>
      <w:pPr>
        <w:snapToGrid w:val="0"/>
        <w:spacing w:line="360" w:lineRule="auto"/>
        <w:ind w:firstLine="210" w:firstLineChars="100"/>
        <w:rPr>
          <w:rFonts w:hAnsi="宋体"/>
          <w:color w:val="auto"/>
          <w:szCs w:val="21"/>
          <w:highlight w:val="none"/>
        </w:rPr>
      </w:pPr>
      <w:r>
        <w:rPr>
          <w:rFonts w:hint="eastAsia" w:hAnsi="宋体"/>
          <w:color w:val="auto"/>
          <w:szCs w:val="21"/>
          <w:highlight w:val="none"/>
        </w:rPr>
        <w:t>（3）与招标文件不符合的做法，或不履行其投标文件的承诺；</w:t>
      </w:r>
    </w:p>
    <w:p>
      <w:pPr>
        <w:snapToGrid w:val="0"/>
        <w:spacing w:line="360" w:lineRule="auto"/>
        <w:ind w:firstLine="420" w:firstLineChars="200"/>
        <w:rPr>
          <w:rFonts w:hAnsi="宋体"/>
          <w:color w:val="auto"/>
          <w:szCs w:val="21"/>
          <w:highlight w:val="none"/>
        </w:rPr>
      </w:pPr>
      <w:r>
        <w:rPr>
          <w:rFonts w:hint="eastAsia" w:hAnsi="宋体"/>
          <w:color w:val="auto"/>
          <w:szCs w:val="21"/>
          <w:highlight w:val="none"/>
        </w:rPr>
        <w:t>2、一年累计达2次月度考核不合格（65分以下）一律终止合同。</w:t>
      </w:r>
    </w:p>
    <w:p>
      <w:pPr>
        <w:snapToGrid w:val="0"/>
        <w:spacing w:line="360" w:lineRule="auto"/>
        <w:ind w:firstLine="420" w:firstLineChars="200"/>
        <w:rPr>
          <w:rFonts w:hAnsi="宋体"/>
          <w:color w:val="auto"/>
          <w:szCs w:val="21"/>
          <w:highlight w:val="none"/>
        </w:rPr>
      </w:pPr>
      <w:r>
        <w:rPr>
          <w:rFonts w:hint="eastAsia" w:hAnsi="宋体"/>
          <w:color w:val="auto"/>
          <w:szCs w:val="21"/>
          <w:highlight w:val="none"/>
        </w:rPr>
        <w:t>3、乙方如要提前终止合同，需提前3个月，并征得甲方同意，否则按合同执行。</w:t>
      </w:r>
    </w:p>
    <w:p>
      <w:pPr>
        <w:widowControl/>
        <w:snapToGrid w:val="0"/>
        <w:spacing w:line="360" w:lineRule="auto"/>
        <w:ind w:firstLine="420" w:firstLineChars="200"/>
        <w:rPr>
          <w:rFonts w:hAnsi="宋体"/>
          <w:color w:val="auto"/>
          <w:szCs w:val="21"/>
          <w:highlight w:val="none"/>
        </w:rPr>
      </w:pPr>
      <w:r>
        <w:rPr>
          <w:rFonts w:hint="eastAsia" w:hAnsi="宋体"/>
          <w:color w:val="auto"/>
          <w:szCs w:val="21"/>
          <w:highlight w:val="none"/>
        </w:rPr>
        <w:t>4、除不可抗力外，如发生乙方不能履行合同义务、擅自终止合同、因乙方原因导致合同终止，或甲方发生中途终止合同等情况，应及时以书面形式通知对方。甲乙双方应本着友好的态度进行协商，妥善解决。如协商无效，按下列规定计算并支付违约金：</w:t>
      </w:r>
    </w:p>
    <w:p>
      <w:pPr>
        <w:widowControl/>
        <w:snapToGrid w:val="0"/>
        <w:spacing w:line="360" w:lineRule="auto"/>
        <w:ind w:firstLine="210" w:firstLineChars="100"/>
        <w:rPr>
          <w:rFonts w:hAnsi="宋体"/>
          <w:color w:val="auto"/>
          <w:szCs w:val="21"/>
          <w:highlight w:val="none"/>
        </w:rPr>
      </w:pPr>
      <w:r>
        <w:rPr>
          <w:rFonts w:hint="eastAsia" w:hAnsi="宋体"/>
          <w:color w:val="auto"/>
          <w:szCs w:val="21"/>
          <w:highlight w:val="none"/>
        </w:rPr>
        <w:t>（1）乙方不能履行合同义务、擅自终止合同、因乙方原因导致合同终止的，应按合同总价的5%向甲方偿付违约金，履约保证金作为违约金予以抵扣没收，违约金不予以弥补甲方损失的，乙方需承担赔偿责任。</w:t>
      </w:r>
    </w:p>
    <w:p>
      <w:pPr>
        <w:widowControl/>
        <w:snapToGrid w:val="0"/>
        <w:spacing w:line="360" w:lineRule="auto"/>
        <w:ind w:firstLine="210" w:firstLineChars="100"/>
        <w:rPr>
          <w:rFonts w:hAnsi="宋体"/>
          <w:color w:val="auto"/>
          <w:szCs w:val="21"/>
          <w:highlight w:val="none"/>
        </w:rPr>
      </w:pPr>
      <w:r>
        <w:rPr>
          <w:rFonts w:hint="eastAsia" w:hAnsi="宋体"/>
          <w:color w:val="auto"/>
          <w:szCs w:val="21"/>
          <w:highlight w:val="none"/>
        </w:rPr>
        <w:t>（2）如乙方未能履行合同规定的任何一项义务，甲方均有权从履约保证金中得到补偿。</w:t>
      </w:r>
    </w:p>
    <w:p>
      <w:pPr>
        <w:widowControl/>
        <w:snapToGrid w:val="0"/>
        <w:spacing w:line="360" w:lineRule="auto"/>
        <w:ind w:firstLine="210" w:firstLineChars="100"/>
        <w:rPr>
          <w:rFonts w:hAnsi="宋体"/>
          <w:color w:val="auto"/>
          <w:szCs w:val="21"/>
          <w:highlight w:val="none"/>
        </w:rPr>
      </w:pPr>
      <w:r>
        <w:rPr>
          <w:rFonts w:hint="eastAsia" w:hAnsi="宋体"/>
          <w:color w:val="auto"/>
          <w:szCs w:val="21"/>
          <w:highlight w:val="none"/>
        </w:rPr>
        <w:t>（3）甲方发生中途终止合同（上述第1条和上述第2条原因除外），应按合同总价的5%向乙方偿付违约金。</w:t>
      </w:r>
    </w:p>
    <w:p>
      <w:pPr>
        <w:widowControl/>
        <w:snapToGrid w:val="0"/>
        <w:spacing w:line="360" w:lineRule="auto"/>
        <w:ind w:firstLine="210" w:firstLineChars="100"/>
        <w:rPr>
          <w:rFonts w:hAnsi="宋体"/>
          <w:color w:val="auto"/>
          <w:szCs w:val="21"/>
          <w:highlight w:val="none"/>
        </w:rPr>
      </w:pPr>
      <w:r>
        <w:rPr>
          <w:rFonts w:hint="eastAsia" w:hAnsi="宋体"/>
          <w:color w:val="auto"/>
          <w:szCs w:val="21"/>
          <w:highlight w:val="none"/>
        </w:rPr>
        <w:t>（4）经双方协商可终止部分或全部合同的，无须承担违约责任。</w:t>
      </w:r>
    </w:p>
    <w:p>
      <w:pPr>
        <w:snapToGrid w:val="0"/>
        <w:spacing w:line="360" w:lineRule="auto"/>
        <w:ind w:firstLine="420" w:firstLineChars="200"/>
        <w:rPr>
          <w:rFonts w:hAnsi="宋体"/>
          <w:bCs/>
          <w:color w:val="auto"/>
          <w:szCs w:val="21"/>
          <w:highlight w:val="none"/>
        </w:rPr>
      </w:pPr>
      <w:r>
        <w:rPr>
          <w:rFonts w:hint="eastAsia" w:hAnsi="宋体"/>
          <w:color w:val="auto"/>
          <w:szCs w:val="21"/>
          <w:highlight w:val="none"/>
        </w:rPr>
        <w:t xml:space="preserve">第九条 </w:t>
      </w:r>
      <w:r>
        <w:rPr>
          <w:rFonts w:hAnsi="宋体"/>
          <w:bCs/>
          <w:color w:val="auto"/>
          <w:szCs w:val="21"/>
          <w:highlight w:val="none"/>
        </w:rPr>
        <w:t>破产终止合同</w:t>
      </w:r>
    </w:p>
    <w:p>
      <w:pPr>
        <w:snapToGrid w:val="0"/>
        <w:spacing w:line="360" w:lineRule="auto"/>
        <w:ind w:firstLine="420" w:firstLineChars="200"/>
        <w:rPr>
          <w:rFonts w:hAnsi="宋体"/>
          <w:color w:val="auto"/>
          <w:szCs w:val="21"/>
          <w:highlight w:val="none"/>
        </w:rPr>
      </w:pPr>
      <w:r>
        <w:rPr>
          <w:rFonts w:hint="eastAsia" w:hAnsi="宋体"/>
          <w:color w:val="auto"/>
          <w:szCs w:val="21"/>
          <w:highlight w:val="none"/>
        </w:rPr>
        <w:t>如果乙方破产或无清偿能力时，甲方可在任何时候以书面通知乙方终止合同。该终止合同将不损害或影响甲方已经采取或将要采取的补救措施的权利。</w:t>
      </w:r>
    </w:p>
    <w:p>
      <w:pPr>
        <w:snapToGrid w:val="0"/>
        <w:spacing w:line="360" w:lineRule="auto"/>
        <w:ind w:firstLine="420" w:firstLineChars="200"/>
        <w:rPr>
          <w:rFonts w:hAnsi="宋体"/>
          <w:color w:val="auto"/>
          <w:szCs w:val="21"/>
          <w:highlight w:val="none"/>
        </w:rPr>
      </w:pPr>
      <w:r>
        <w:rPr>
          <w:rFonts w:hint="eastAsia" w:hAnsi="宋体"/>
          <w:color w:val="auto"/>
          <w:szCs w:val="21"/>
          <w:highlight w:val="none"/>
        </w:rPr>
        <w:t>第十条 纠纷解决</w:t>
      </w:r>
    </w:p>
    <w:p>
      <w:pPr>
        <w:numPr>
          <w:ilvl w:val="0"/>
          <w:numId w:val="7"/>
        </w:numPr>
        <w:snapToGrid w:val="0"/>
        <w:spacing w:line="360" w:lineRule="auto"/>
        <w:ind w:firstLine="420" w:firstLineChars="200"/>
        <w:rPr>
          <w:rFonts w:hAnsi="宋体"/>
          <w:color w:val="auto"/>
          <w:szCs w:val="21"/>
          <w:highlight w:val="none"/>
        </w:rPr>
      </w:pPr>
      <w:r>
        <w:rPr>
          <w:rFonts w:hint="eastAsia" w:hAnsi="宋体"/>
          <w:color w:val="auto"/>
          <w:szCs w:val="21"/>
          <w:highlight w:val="none"/>
        </w:rPr>
        <w:t>双方在执行合同中所发生的一切争议，应通过协商解决。如协商不成，应向甲方法定地址所在人民法院起诉。</w:t>
      </w:r>
    </w:p>
    <w:p>
      <w:pPr>
        <w:snapToGrid w:val="0"/>
        <w:spacing w:line="360" w:lineRule="auto"/>
        <w:ind w:firstLine="420" w:firstLineChars="200"/>
        <w:rPr>
          <w:color w:val="auto"/>
          <w:szCs w:val="21"/>
          <w:highlight w:val="none"/>
        </w:rPr>
      </w:pPr>
      <w:r>
        <w:rPr>
          <w:rFonts w:hint="eastAsia" w:hAnsi="宋体"/>
          <w:color w:val="auto"/>
          <w:szCs w:val="21"/>
          <w:highlight w:val="none"/>
        </w:rPr>
        <w:t>2、在诉讼期间，除正在进行诉讼的部份外，本合同其他部份应继续执行。</w:t>
      </w:r>
    </w:p>
    <w:p>
      <w:pPr>
        <w:snapToGrid w:val="0"/>
        <w:spacing w:line="360" w:lineRule="auto"/>
        <w:ind w:firstLine="420" w:firstLineChars="200"/>
        <w:rPr>
          <w:rFonts w:hAnsi="宋体"/>
          <w:color w:val="auto"/>
          <w:szCs w:val="21"/>
          <w:highlight w:val="none"/>
        </w:rPr>
      </w:pPr>
      <w:r>
        <w:rPr>
          <w:rFonts w:hint="eastAsia" w:hAnsi="宋体"/>
          <w:color w:val="auto"/>
          <w:szCs w:val="21"/>
          <w:highlight w:val="none"/>
        </w:rPr>
        <w:t>3、诉讼费用由败诉方承担。</w:t>
      </w:r>
    </w:p>
    <w:p>
      <w:pPr>
        <w:snapToGrid w:val="0"/>
        <w:spacing w:line="360" w:lineRule="auto"/>
        <w:ind w:firstLine="420" w:firstLineChars="200"/>
        <w:rPr>
          <w:rFonts w:hAnsi="宋体"/>
          <w:color w:val="auto"/>
          <w:szCs w:val="21"/>
          <w:highlight w:val="none"/>
        </w:rPr>
      </w:pPr>
      <w:r>
        <w:rPr>
          <w:rFonts w:hint="eastAsia" w:hAnsi="宋体"/>
          <w:color w:val="auto"/>
          <w:szCs w:val="21"/>
          <w:highlight w:val="none"/>
        </w:rPr>
        <w:t>第十一条 合同生效及其他</w:t>
      </w:r>
    </w:p>
    <w:p>
      <w:pPr>
        <w:snapToGrid w:val="0"/>
        <w:spacing w:line="360" w:lineRule="auto"/>
        <w:ind w:firstLine="420" w:firstLineChars="200"/>
        <w:rPr>
          <w:rFonts w:hAnsi="宋体"/>
          <w:color w:val="auto"/>
          <w:szCs w:val="21"/>
          <w:highlight w:val="none"/>
        </w:rPr>
      </w:pPr>
      <w:r>
        <w:rPr>
          <w:rFonts w:hint="eastAsia" w:hAnsi="宋体"/>
          <w:color w:val="auto"/>
          <w:szCs w:val="21"/>
          <w:highlight w:val="none"/>
        </w:rPr>
        <w:t>1、合同经双方签字并加盖公章后生效。</w:t>
      </w:r>
    </w:p>
    <w:p>
      <w:pPr>
        <w:snapToGrid w:val="0"/>
        <w:spacing w:line="360" w:lineRule="auto"/>
        <w:ind w:firstLine="420" w:firstLineChars="200"/>
        <w:rPr>
          <w:rFonts w:hAnsi="宋体"/>
          <w:color w:val="auto"/>
          <w:szCs w:val="21"/>
          <w:highlight w:val="none"/>
        </w:rPr>
      </w:pPr>
      <w:r>
        <w:rPr>
          <w:rFonts w:hint="eastAsia" w:hAnsi="宋体"/>
          <w:color w:val="auto"/>
          <w:szCs w:val="21"/>
          <w:highlight w:val="none"/>
        </w:rPr>
        <w:t>2、合同签定地点：合同执行地。</w:t>
      </w:r>
    </w:p>
    <w:p>
      <w:pPr>
        <w:snapToGrid w:val="0"/>
        <w:spacing w:line="360" w:lineRule="auto"/>
        <w:ind w:firstLine="420" w:firstLineChars="200"/>
        <w:rPr>
          <w:rFonts w:hAnsi="宋体"/>
          <w:color w:val="auto"/>
          <w:szCs w:val="21"/>
          <w:highlight w:val="none"/>
        </w:rPr>
      </w:pPr>
      <w:r>
        <w:rPr>
          <w:rFonts w:hint="eastAsia" w:hAnsi="宋体"/>
          <w:color w:val="auto"/>
          <w:szCs w:val="21"/>
          <w:highlight w:val="none"/>
        </w:rPr>
        <w:t>3、合同执行中，如需修改或补充合同内容，经协商，双方应签署书面修改或补充协议。该协议将作为合同不可分割的一部分。</w:t>
      </w:r>
    </w:p>
    <w:p>
      <w:pPr>
        <w:snapToGrid w:val="0"/>
        <w:spacing w:line="360" w:lineRule="auto"/>
        <w:ind w:firstLine="420" w:firstLineChars="200"/>
        <w:rPr>
          <w:rFonts w:hAnsi="宋体"/>
          <w:color w:val="auto"/>
          <w:szCs w:val="21"/>
          <w:highlight w:val="none"/>
        </w:rPr>
      </w:pPr>
      <w:r>
        <w:rPr>
          <w:rFonts w:hint="eastAsia" w:hAnsi="宋体"/>
          <w:color w:val="auto"/>
          <w:szCs w:val="21"/>
          <w:highlight w:val="none"/>
        </w:rPr>
        <w:t>4、招标文件、补充文件、投标文件及询标答疑纪要、中标通知书等作为本合同的附件，与本合同具有同等法律效力。</w:t>
      </w:r>
    </w:p>
    <w:p>
      <w:pPr>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5、本合同一式伍份，甲方执叁份，乙方执贰份，双方签字盖章后生效，违约及其处罚按法律及本合同有关条款执行。</w:t>
      </w:r>
    </w:p>
    <w:p>
      <w:pPr>
        <w:pStyle w:val="2"/>
        <w:jc w:val="left"/>
        <w:rPr>
          <w:rFonts w:hint="eastAsia"/>
          <w:color w:val="auto"/>
          <w:highlight w:val="none"/>
          <w:lang w:val="en-US" w:eastAsia="zh-CN"/>
        </w:rPr>
      </w:pPr>
      <w:r>
        <w:rPr>
          <w:rFonts w:hint="eastAsia" w:hAnsi="宋体"/>
          <w:color w:val="auto"/>
          <w:sz w:val="21"/>
          <w:szCs w:val="21"/>
          <w:highlight w:val="none"/>
          <w:lang w:val="en-US" w:eastAsia="zh-CN"/>
        </w:rPr>
        <w:t>6、</w:t>
      </w:r>
      <w:r>
        <w:rPr>
          <w:rFonts w:hint="eastAsia" w:ascii="宋体" w:hAnsi="宋体" w:eastAsia="宋体" w:cs="宋体"/>
          <w:b w:val="0"/>
          <w:bCs/>
          <w:color w:val="auto"/>
          <w:sz w:val="21"/>
          <w:szCs w:val="21"/>
          <w:highlight w:val="none"/>
          <w:lang w:val="zh-CN" w:eastAsia="zh-CN"/>
        </w:rPr>
        <w:t>双方需签署购销廉洁自律协议书，详见附件</w:t>
      </w:r>
      <w:r>
        <w:rPr>
          <w:rFonts w:hint="eastAsia" w:ascii="宋体" w:hAnsi="宋体" w:eastAsia="宋体" w:cs="宋体"/>
          <w:b w:val="0"/>
          <w:bCs/>
          <w:color w:val="auto"/>
          <w:sz w:val="21"/>
          <w:szCs w:val="21"/>
          <w:highlight w:val="none"/>
          <w:lang w:val="en-US" w:eastAsia="zh-CN"/>
        </w:rPr>
        <w:t>1。</w:t>
      </w:r>
    </w:p>
    <w:p>
      <w:pPr>
        <w:widowControl/>
        <w:snapToGrid w:val="0"/>
        <w:spacing w:line="360" w:lineRule="auto"/>
        <w:ind w:firstLine="420" w:firstLineChars="200"/>
        <w:rPr>
          <w:rFonts w:hAnsi="宋体"/>
          <w:color w:val="auto"/>
          <w:szCs w:val="21"/>
          <w:highlight w:val="none"/>
        </w:rPr>
      </w:pPr>
    </w:p>
    <w:p>
      <w:pPr>
        <w:widowControl/>
        <w:snapToGrid w:val="0"/>
        <w:spacing w:line="360" w:lineRule="auto"/>
        <w:ind w:firstLine="420" w:firstLineChars="200"/>
        <w:rPr>
          <w:rFonts w:hAnsi="宋体"/>
          <w:color w:val="auto"/>
          <w:szCs w:val="21"/>
          <w:highlight w:val="none"/>
        </w:rPr>
      </w:pPr>
      <w:r>
        <w:rPr>
          <w:rFonts w:hint="eastAsia" w:hAnsi="宋体"/>
          <w:color w:val="auto"/>
          <w:szCs w:val="21"/>
          <w:highlight w:val="none"/>
        </w:rPr>
        <w:t>甲方：（印章）</w:t>
      </w:r>
      <w:r>
        <w:rPr>
          <w:rFonts w:hint="eastAsia" w:hAnsi="宋体"/>
          <w:color w:val="auto"/>
          <w:szCs w:val="21"/>
          <w:highlight w:val="none"/>
          <w:lang w:eastAsia="zh-CN"/>
        </w:rPr>
        <w:t xml:space="preserve">                  </w:t>
      </w:r>
      <w:r>
        <w:rPr>
          <w:rFonts w:hint="eastAsia" w:hAnsi="宋体"/>
          <w:color w:val="auto"/>
          <w:szCs w:val="21"/>
          <w:highlight w:val="none"/>
        </w:rPr>
        <w:t xml:space="preserve">   乙方：（印章）</w:t>
      </w:r>
    </w:p>
    <w:p>
      <w:pPr>
        <w:widowControl/>
        <w:snapToGrid w:val="0"/>
        <w:spacing w:line="360" w:lineRule="auto"/>
        <w:ind w:firstLine="420" w:firstLineChars="200"/>
        <w:rPr>
          <w:rFonts w:hAnsi="宋体"/>
          <w:color w:val="auto"/>
          <w:szCs w:val="21"/>
          <w:highlight w:val="none"/>
        </w:rPr>
      </w:pPr>
      <w:r>
        <w:rPr>
          <w:rFonts w:hint="eastAsia" w:hAnsi="宋体"/>
          <w:color w:val="auto"/>
          <w:szCs w:val="21"/>
          <w:highlight w:val="none"/>
        </w:rPr>
        <w:t>法定代表：（签字）</w:t>
      </w:r>
      <w:r>
        <w:rPr>
          <w:rFonts w:hint="eastAsia" w:hAnsi="宋体"/>
          <w:color w:val="auto"/>
          <w:szCs w:val="21"/>
          <w:highlight w:val="none"/>
          <w:lang w:eastAsia="zh-CN"/>
        </w:rPr>
        <w:t xml:space="preserve">                </w:t>
      </w:r>
      <w:r>
        <w:rPr>
          <w:rFonts w:hint="eastAsia" w:hAnsi="宋体"/>
          <w:color w:val="auto"/>
          <w:szCs w:val="21"/>
          <w:highlight w:val="none"/>
        </w:rPr>
        <w:t xml:space="preserve">   法定代表：（签字）</w:t>
      </w:r>
    </w:p>
    <w:p>
      <w:pPr>
        <w:widowControl/>
        <w:snapToGrid w:val="0"/>
        <w:spacing w:line="360" w:lineRule="auto"/>
        <w:ind w:firstLine="420" w:firstLineChars="200"/>
        <w:rPr>
          <w:rFonts w:hAnsi="宋体"/>
          <w:color w:val="auto"/>
          <w:szCs w:val="21"/>
          <w:highlight w:val="none"/>
        </w:rPr>
      </w:pPr>
      <w:r>
        <w:rPr>
          <w:rFonts w:hint="eastAsia" w:hAnsi="宋体"/>
          <w:color w:val="auto"/>
          <w:szCs w:val="21"/>
          <w:highlight w:val="none"/>
        </w:rPr>
        <w:t>授权代表：</w:t>
      </w:r>
      <w:r>
        <w:rPr>
          <w:rFonts w:hint="eastAsia" w:hAnsi="宋体"/>
          <w:color w:val="auto"/>
          <w:szCs w:val="21"/>
          <w:highlight w:val="none"/>
          <w:lang w:eastAsia="zh-CN"/>
        </w:rPr>
        <w:t xml:space="preserve">                    </w:t>
      </w:r>
      <w:r>
        <w:rPr>
          <w:rFonts w:hint="eastAsia" w:hAnsi="宋体"/>
          <w:color w:val="auto"/>
          <w:szCs w:val="21"/>
          <w:highlight w:val="none"/>
        </w:rPr>
        <w:t xml:space="preserve">  授权代表：</w:t>
      </w:r>
    </w:p>
    <w:p>
      <w:pPr>
        <w:widowControl/>
        <w:snapToGrid w:val="0"/>
        <w:spacing w:line="360" w:lineRule="auto"/>
        <w:ind w:firstLine="420" w:firstLineChars="200"/>
        <w:rPr>
          <w:rFonts w:hAnsi="宋体"/>
          <w:color w:val="auto"/>
          <w:szCs w:val="21"/>
          <w:highlight w:val="none"/>
        </w:rPr>
      </w:pPr>
      <w:r>
        <w:rPr>
          <w:rFonts w:hint="eastAsia" w:hAnsi="宋体"/>
          <w:color w:val="auto"/>
          <w:szCs w:val="21"/>
          <w:highlight w:val="none"/>
        </w:rPr>
        <w:t>地址：</w:t>
      </w:r>
      <w:r>
        <w:rPr>
          <w:rFonts w:hint="eastAsia" w:hAnsi="宋体"/>
          <w:color w:val="auto"/>
          <w:szCs w:val="21"/>
          <w:highlight w:val="none"/>
          <w:lang w:eastAsia="zh-CN"/>
        </w:rPr>
        <w:t xml:space="preserve">                      </w:t>
      </w:r>
      <w:r>
        <w:rPr>
          <w:rFonts w:hint="eastAsia" w:hAnsi="宋体"/>
          <w:color w:val="auto"/>
          <w:szCs w:val="21"/>
          <w:highlight w:val="none"/>
        </w:rPr>
        <w:t xml:space="preserve">  地址：</w:t>
      </w:r>
    </w:p>
    <w:p>
      <w:pPr>
        <w:widowControl/>
        <w:snapToGrid w:val="0"/>
        <w:spacing w:line="360" w:lineRule="auto"/>
        <w:ind w:firstLine="420" w:firstLineChars="200"/>
        <w:rPr>
          <w:rFonts w:hAnsi="宋体"/>
          <w:color w:val="auto"/>
          <w:szCs w:val="21"/>
          <w:highlight w:val="none"/>
        </w:rPr>
      </w:pPr>
      <w:r>
        <w:rPr>
          <w:rFonts w:hint="eastAsia" w:hAnsi="宋体"/>
          <w:color w:val="auto"/>
          <w:szCs w:val="21"/>
          <w:highlight w:val="none"/>
        </w:rPr>
        <w:t>邮政编码：</w:t>
      </w:r>
      <w:r>
        <w:rPr>
          <w:rFonts w:hint="eastAsia" w:hAnsi="宋体"/>
          <w:color w:val="auto"/>
          <w:szCs w:val="21"/>
          <w:highlight w:val="none"/>
          <w:lang w:eastAsia="zh-CN"/>
        </w:rPr>
        <w:t xml:space="preserve">                    </w:t>
      </w:r>
      <w:r>
        <w:rPr>
          <w:rFonts w:hint="eastAsia" w:hAnsi="宋体"/>
          <w:color w:val="auto"/>
          <w:szCs w:val="21"/>
          <w:highlight w:val="none"/>
        </w:rPr>
        <w:t xml:space="preserve">  邮政编码：</w:t>
      </w:r>
    </w:p>
    <w:p>
      <w:pPr>
        <w:widowControl/>
        <w:snapToGrid w:val="0"/>
        <w:spacing w:line="360" w:lineRule="auto"/>
        <w:ind w:firstLine="420" w:firstLineChars="200"/>
        <w:rPr>
          <w:rFonts w:hAnsi="宋体"/>
          <w:color w:val="auto"/>
          <w:szCs w:val="21"/>
          <w:highlight w:val="none"/>
        </w:rPr>
      </w:pPr>
      <w:r>
        <w:rPr>
          <w:rFonts w:hint="eastAsia" w:hAnsi="宋体"/>
          <w:color w:val="auto"/>
          <w:szCs w:val="21"/>
          <w:highlight w:val="none"/>
        </w:rPr>
        <w:t>电话：</w:t>
      </w:r>
      <w:r>
        <w:rPr>
          <w:rFonts w:hint="eastAsia" w:hAnsi="宋体"/>
          <w:color w:val="auto"/>
          <w:szCs w:val="21"/>
          <w:highlight w:val="none"/>
          <w:lang w:eastAsia="zh-CN"/>
        </w:rPr>
        <w:t xml:space="preserve">                      </w:t>
      </w:r>
      <w:r>
        <w:rPr>
          <w:rFonts w:hint="eastAsia" w:hAnsi="宋体"/>
          <w:color w:val="auto"/>
          <w:szCs w:val="21"/>
          <w:highlight w:val="none"/>
        </w:rPr>
        <w:t xml:space="preserve">   电话：</w:t>
      </w:r>
    </w:p>
    <w:p>
      <w:pPr>
        <w:widowControl/>
        <w:snapToGrid w:val="0"/>
        <w:spacing w:line="360" w:lineRule="auto"/>
        <w:ind w:firstLine="420" w:firstLineChars="200"/>
        <w:rPr>
          <w:rFonts w:hAnsi="宋体"/>
          <w:color w:val="auto"/>
          <w:szCs w:val="21"/>
          <w:highlight w:val="none"/>
        </w:rPr>
      </w:pPr>
      <w:r>
        <w:rPr>
          <w:rFonts w:hint="eastAsia" w:hAnsi="宋体"/>
          <w:color w:val="auto"/>
          <w:szCs w:val="21"/>
          <w:highlight w:val="none"/>
        </w:rPr>
        <w:t>传真：</w:t>
      </w:r>
      <w:r>
        <w:rPr>
          <w:rFonts w:hint="eastAsia" w:hAnsi="宋体"/>
          <w:color w:val="auto"/>
          <w:szCs w:val="21"/>
          <w:highlight w:val="none"/>
          <w:lang w:eastAsia="zh-CN"/>
        </w:rPr>
        <w:t xml:space="preserve">                      </w:t>
      </w:r>
      <w:r>
        <w:rPr>
          <w:rFonts w:hint="eastAsia" w:hAnsi="宋体"/>
          <w:color w:val="auto"/>
          <w:szCs w:val="21"/>
          <w:highlight w:val="none"/>
        </w:rPr>
        <w:t xml:space="preserve">   传真：</w:t>
      </w:r>
    </w:p>
    <w:p>
      <w:pPr>
        <w:widowControl/>
        <w:snapToGrid w:val="0"/>
        <w:spacing w:line="360" w:lineRule="auto"/>
        <w:ind w:firstLine="420" w:firstLineChars="200"/>
        <w:rPr>
          <w:rFonts w:hAnsi="宋体"/>
          <w:color w:val="auto"/>
          <w:szCs w:val="21"/>
          <w:highlight w:val="none"/>
        </w:rPr>
      </w:pPr>
      <w:r>
        <w:rPr>
          <w:rFonts w:hint="eastAsia" w:hAnsi="宋体"/>
          <w:color w:val="auto"/>
          <w:szCs w:val="21"/>
          <w:highlight w:val="none"/>
        </w:rPr>
        <w:t>开户银行：</w:t>
      </w:r>
      <w:r>
        <w:rPr>
          <w:rFonts w:hint="eastAsia" w:hAnsi="宋体"/>
          <w:color w:val="auto"/>
          <w:szCs w:val="21"/>
          <w:highlight w:val="none"/>
          <w:lang w:eastAsia="zh-CN"/>
        </w:rPr>
        <w:t xml:space="preserve">                    </w:t>
      </w:r>
      <w:r>
        <w:rPr>
          <w:rFonts w:hint="eastAsia" w:hAnsi="宋体"/>
          <w:color w:val="auto"/>
          <w:szCs w:val="21"/>
          <w:highlight w:val="none"/>
        </w:rPr>
        <w:t xml:space="preserve">   开户银行：</w:t>
      </w:r>
    </w:p>
    <w:p>
      <w:pPr>
        <w:widowControl/>
        <w:snapToGrid w:val="0"/>
        <w:spacing w:line="360" w:lineRule="auto"/>
        <w:ind w:firstLine="420" w:firstLineChars="200"/>
        <w:rPr>
          <w:rFonts w:hAnsi="宋体"/>
          <w:color w:val="auto"/>
          <w:szCs w:val="21"/>
          <w:highlight w:val="none"/>
        </w:rPr>
      </w:pPr>
      <w:r>
        <w:rPr>
          <w:rFonts w:hint="eastAsia" w:hAnsi="宋体"/>
          <w:color w:val="auto"/>
          <w:szCs w:val="21"/>
          <w:highlight w:val="none"/>
        </w:rPr>
        <w:t>帐号：</w:t>
      </w:r>
      <w:r>
        <w:rPr>
          <w:rFonts w:hint="eastAsia" w:hAnsi="宋体"/>
          <w:color w:val="auto"/>
          <w:szCs w:val="21"/>
          <w:highlight w:val="none"/>
          <w:lang w:eastAsia="zh-CN"/>
        </w:rPr>
        <w:t xml:space="preserve">                      </w:t>
      </w:r>
      <w:r>
        <w:rPr>
          <w:rFonts w:hint="eastAsia" w:hAnsi="宋体"/>
          <w:color w:val="auto"/>
          <w:szCs w:val="21"/>
          <w:highlight w:val="none"/>
        </w:rPr>
        <w:t xml:space="preserve">   帐号：</w:t>
      </w:r>
    </w:p>
    <w:p>
      <w:pPr>
        <w:spacing w:line="360" w:lineRule="auto"/>
        <w:ind w:firstLine="420" w:firstLineChars="200"/>
        <w:rPr>
          <w:rFonts w:hint="eastAsia" w:ascii="宋体" w:hAnsi="宋体" w:cs="宋体"/>
          <w:color w:val="auto"/>
          <w:szCs w:val="21"/>
          <w:highlight w:val="none"/>
        </w:rPr>
      </w:pPr>
      <w:r>
        <w:rPr>
          <w:rFonts w:hint="eastAsia" w:hAnsi="宋体"/>
          <w:color w:val="auto"/>
          <w:szCs w:val="21"/>
          <w:highlight w:val="none"/>
        </w:rPr>
        <w:t>签订日期：</w:t>
      </w:r>
      <w:r>
        <w:rPr>
          <w:rFonts w:hint="eastAsia" w:hAnsi="宋体"/>
          <w:color w:val="auto"/>
          <w:szCs w:val="21"/>
          <w:highlight w:val="none"/>
          <w:lang w:eastAsia="zh-CN"/>
        </w:rPr>
        <w:t xml:space="preserve">                    </w:t>
      </w:r>
      <w:r>
        <w:rPr>
          <w:rFonts w:hint="eastAsia" w:hAnsi="宋体"/>
          <w:color w:val="auto"/>
          <w:szCs w:val="21"/>
          <w:highlight w:val="none"/>
        </w:rPr>
        <w:t xml:space="preserve">   签订日期：</w:t>
      </w:r>
    </w:p>
    <w:p>
      <w:pPr>
        <w:pStyle w:val="2"/>
        <w:jc w:val="left"/>
        <w:rPr>
          <w:rFonts w:hint="eastAsia"/>
          <w:b w:val="0"/>
          <w:bCs/>
          <w:color w:val="auto"/>
          <w:sz w:val="22"/>
          <w:szCs w:val="20"/>
          <w:highlight w:val="none"/>
          <w:lang w:eastAsia="zh-CN"/>
        </w:rPr>
        <w:sectPr>
          <w:footerReference r:id="rId10" w:type="first"/>
          <w:footerReference r:id="rId9" w:type="default"/>
          <w:pgSz w:w="11906" w:h="16838"/>
          <w:pgMar w:top="1247" w:right="1247" w:bottom="1247" w:left="1474" w:header="851" w:footer="850" w:gutter="0"/>
          <w:pgNumType w:start="1"/>
          <w:cols w:space="720" w:num="1"/>
          <w:titlePg/>
          <w:docGrid w:linePitch="312" w:charSpace="0"/>
        </w:sectPr>
      </w:pPr>
    </w:p>
    <w:p>
      <w:pPr>
        <w:pStyle w:val="2"/>
        <w:jc w:val="left"/>
        <w:rPr>
          <w:rFonts w:hint="eastAsia"/>
          <w:b w:val="0"/>
          <w:bCs/>
          <w:color w:val="auto"/>
          <w:highlight w:val="none"/>
        </w:rPr>
      </w:pPr>
      <w:r>
        <w:rPr>
          <w:rFonts w:hint="eastAsia"/>
          <w:b w:val="0"/>
          <w:bCs/>
          <w:color w:val="auto"/>
          <w:sz w:val="22"/>
          <w:szCs w:val="20"/>
          <w:highlight w:val="none"/>
          <w:lang w:eastAsia="zh-CN"/>
        </w:rPr>
        <w:t>附件</w:t>
      </w:r>
      <w:r>
        <w:rPr>
          <w:rFonts w:hint="eastAsia"/>
          <w:b w:val="0"/>
          <w:bCs/>
          <w:color w:val="auto"/>
          <w:sz w:val="22"/>
          <w:szCs w:val="20"/>
          <w:highlight w:val="none"/>
          <w:lang w:val="en-US" w:eastAsia="zh-CN"/>
        </w:rPr>
        <w:t>1</w:t>
      </w:r>
    </w:p>
    <w:p>
      <w:pPr>
        <w:jc w:val="center"/>
        <w:rPr>
          <w:rFonts w:hint="eastAsia" w:ascii="黑体" w:eastAsia="黑体"/>
          <w:color w:val="auto"/>
          <w:sz w:val="36"/>
          <w:szCs w:val="36"/>
          <w:highlight w:val="none"/>
        </w:rPr>
      </w:pPr>
      <w:r>
        <w:rPr>
          <w:rFonts w:hint="eastAsia" w:ascii="黑体" w:eastAsia="黑体"/>
          <w:color w:val="auto"/>
          <w:sz w:val="36"/>
          <w:szCs w:val="36"/>
          <w:highlight w:val="none"/>
        </w:rPr>
        <w:t>温州医科大学附属第二医院</w:t>
      </w:r>
    </w:p>
    <w:p>
      <w:pPr>
        <w:jc w:val="center"/>
        <w:rPr>
          <w:rFonts w:hint="eastAsia" w:ascii="黑体" w:eastAsia="黑体"/>
          <w:color w:val="auto"/>
          <w:sz w:val="36"/>
          <w:szCs w:val="36"/>
          <w:highlight w:val="none"/>
        </w:rPr>
      </w:pPr>
      <w:r>
        <w:rPr>
          <w:rFonts w:hint="eastAsia" w:ascii="黑体" w:eastAsia="黑体"/>
          <w:color w:val="auto"/>
          <w:sz w:val="36"/>
          <w:szCs w:val="36"/>
          <w:highlight w:val="none"/>
        </w:rPr>
        <w:t>购销廉洁自律协议书</w:t>
      </w:r>
    </w:p>
    <w:p>
      <w:pPr>
        <w:jc w:val="center"/>
        <w:rPr>
          <w:rFonts w:hint="eastAsia" w:ascii="黑体" w:eastAsia="黑体"/>
          <w:color w:val="auto"/>
          <w:sz w:val="22"/>
          <w:szCs w:val="22"/>
          <w:highlight w:val="none"/>
        </w:rPr>
      </w:pPr>
    </w:p>
    <w:p>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甲方：温州医科大学附属第二医院</w:t>
      </w:r>
    </w:p>
    <w:p>
      <w:pPr>
        <w:spacing w:line="360" w:lineRule="auto"/>
        <w:ind w:firstLine="315" w:firstLineChars="15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乙方：</w:t>
      </w:r>
      <w:r>
        <w:rPr>
          <w:rFonts w:hint="eastAsia" w:ascii="宋体" w:hAnsi="宋体" w:cs="宋体"/>
          <w:color w:val="auto"/>
          <w:szCs w:val="21"/>
          <w:highlight w:val="none"/>
          <w:lang w:eastAsia="zh-CN"/>
        </w:rPr>
        <w:t xml:space="preserve">            </w:t>
      </w:r>
    </w:p>
    <w:p>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根据卫健委《医疗机构工作人员廉洁从业九项准则》及省卫生厅《关于进一步加强卫生系统行业作风建设的通知》等法规精神，为加强双方在购销活动中的廉洁自律建设，有效防范商业贿赂行为，严格管理、强化监督、确保医院医疗安全和廉洁行医，经甲、乙双方协商，同意签订本协议，并共同遵守。</w:t>
      </w:r>
    </w:p>
    <w:p>
      <w:pPr>
        <w:numPr>
          <w:ilvl w:val="0"/>
          <w:numId w:val="8"/>
        </w:numPr>
        <w:spacing w:line="360" w:lineRule="auto"/>
        <w:ind w:left="0" w:firstLine="540"/>
        <w:rPr>
          <w:rFonts w:hint="eastAsia" w:ascii="宋体" w:hAnsi="宋体" w:cs="宋体"/>
          <w:color w:val="auto"/>
          <w:szCs w:val="21"/>
          <w:highlight w:val="none"/>
        </w:rPr>
      </w:pPr>
      <w:r>
        <w:rPr>
          <w:rFonts w:hint="eastAsia" w:ascii="宋体" w:hAnsi="宋体" w:cs="宋体"/>
          <w:color w:val="auto"/>
          <w:szCs w:val="21"/>
          <w:highlight w:val="none"/>
        </w:rPr>
        <w:t>为了保证购销活动中的公开、公平、公正的竞争，甲方应当严格执行购销协议验收、入库制度，对采购的项目及发票进行查验，不得违反有关规定协议外采购、违规采购或从非规定渠道采购。</w:t>
      </w:r>
    </w:p>
    <w:p>
      <w:pPr>
        <w:numPr>
          <w:ilvl w:val="0"/>
          <w:numId w:val="8"/>
        </w:numPr>
        <w:spacing w:line="360" w:lineRule="auto"/>
        <w:ind w:left="0" w:firstLine="540"/>
        <w:rPr>
          <w:rFonts w:hint="eastAsia" w:ascii="宋体" w:hAnsi="宋体" w:cs="宋体"/>
          <w:color w:val="auto"/>
          <w:szCs w:val="21"/>
          <w:highlight w:val="none"/>
        </w:rPr>
      </w:pPr>
      <w:r>
        <w:rPr>
          <w:rFonts w:hint="eastAsia" w:ascii="宋体" w:hAnsi="宋体" w:cs="宋体"/>
          <w:color w:val="auto"/>
          <w:szCs w:val="21"/>
          <w:highlight w:val="none"/>
        </w:rPr>
        <w:t>甲方及相关科室的工作人员严禁利用职务上的便利或以各种名义向乙方索取各种形式带有回扣性质的现金、有价证券、支付凭证和贵重礼品等（含以科室集体活动的名义接收赞助经费），否则乙方有权拒绝并向各级主管部门举报。</w:t>
      </w:r>
    </w:p>
    <w:p>
      <w:pPr>
        <w:numPr>
          <w:ilvl w:val="0"/>
          <w:numId w:val="8"/>
        </w:numPr>
        <w:tabs>
          <w:tab w:val="left" w:pos="0"/>
        </w:tabs>
        <w:spacing w:line="360" w:lineRule="auto"/>
        <w:ind w:left="0" w:firstLine="540"/>
        <w:rPr>
          <w:rFonts w:hint="eastAsia" w:ascii="宋体" w:hAnsi="宋体" w:cs="宋体"/>
          <w:color w:val="auto"/>
          <w:szCs w:val="21"/>
          <w:highlight w:val="none"/>
        </w:rPr>
      </w:pPr>
      <w:r>
        <w:rPr>
          <w:rFonts w:hint="eastAsia" w:ascii="宋体" w:hAnsi="宋体" w:cs="宋体"/>
          <w:color w:val="auto"/>
          <w:szCs w:val="21"/>
          <w:highlight w:val="none"/>
        </w:rPr>
        <w:t>甲方及相关科室及工作人员不得参加乙方安排并支付费用的营业性娱乐场所的娱乐活动；被动接受乙方给予的钱物，应予退还；无法退还的，有责任如实向有关纪检监察部门反映情况。</w:t>
      </w:r>
    </w:p>
    <w:p>
      <w:pPr>
        <w:numPr>
          <w:ilvl w:val="0"/>
          <w:numId w:val="8"/>
        </w:numPr>
        <w:spacing w:line="360" w:lineRule="auto"/>
        <w:ind w:left="0" w:firstLine="540"/>
        <w:rPr>
          <w:rFonts w:hint="eastAsia" w:ascii="宋体" w:hAnsi="宋体" w:cs="宋体"/>
          <w:color w:val="auto"/>
          <w:szCs w:val="21"/>
          <w:highlight w:val="none"/>
        </w:rPr>
      </w:pPr>
      <w:r>
        <w:rPr>
          <w:rFonts w:hint="eastAsia" w:ascii="宋体" w:hAnsi="宋体" w:cs="宋体"/>
          <w:color w:val="auto"/>
          <w:szCs w:val="21"/>
          <w:highlight w:val="none"/>
        </w:rPr>
        <w:t>严禁甲方工作人员利用任何途径或方式，为乙方统计相关数据，或为乙方统计提供便利。</w:t>
      </w:r>
    </w:p>
    <w:p>
      <w:pPr>
        <w:numPr>
          <w:ilvl w:val="0"/>
          <w:numId w:val="8"/>
        </w:numPr>
        <w:spacing w:line="360" w:lineRule="auto"/>
        <w:ind w:left="0" w:firstLine="540"/>
        <w:rPr>
          <w:rFonts w:hint="eastAsia" w:ascii="宋体" w:hAnsi="宋体" w:cs="宋体"/>
          <w:color w:val="auto"/>
          <w:szCs w:val="21"/>
          <w:highlight w:val="none"/>
        </w:rPr>
      </w:pPr>
      <w:r>
        <w:rPr>
          <w:rFonts w:hint="eastAsia" w:ascii="宋体" w:hAnsi="宋体" w:cs="宋体"/>
          <w:color w:val="auto"/>
          <w:szCs w:val="21"/>
          <w:highlight w:val="none"/>
        </w:rPr>
        <w:t>乙方不得以各种理由向甲方及相关科室及工作人员赠送回扣的现金、有价证券和礼品，不得宴请甲方工作人员，也不得在学术活动中提供旅游、超标准支付食宿费用。如经查实，一律停止乙方在甲方的一切销售活动，并根据情节，对相关公司给予终止使用或取消准入使用资格。</w:t>
      </w:r>
    </w:p>
    <w:p>
      <w:pPr>
        <w:numPr>
          <w:ilvl w:val="0"/>
          <w:numId w:val="8"/>
        </w:numPr>
        <w:tabs>
          <w:tab w:val="clear" w:pos="1680"/>
        </w:tabs>
        <w:spacing w:line="360" w:lineRule="auto"/>
        <w:ind w:left="0" w:firstLine="540"/>
        <w:rPr>
          <w:rFonts w:hint="eastAsia" w:ascii="宋体" w:hAnsi="宋体" w:cs="宋体"/>
          <w:color w:val="auto"/>
          <w:szCs w:val="21"/>
          <w:highlight w:val="none"/>
        </w:rPr>
      </w:pPr>
      <w:r>
        <w:rPr>
          <w:rFonts w:hint="eastAsia" w:ascii="宋体" w:hAnsi="宋体" w:cs="宋体"/>
          <w:color w:val="auto"/>
          <w:szCs w:val="21"/>
          <w:highlight w:val="none"/>
        </w:rPr>
        <w:t>乙方必须指定固定的销售代表洽谈业务。销售代表必须在工作时间到甲方指定地点联系商谈，不得到住院部、门诊部、医技科室等推销，不得借故到甲方相关领导、部门负责人及相关工作人员家中拜访并提供任何好处费。</w:t>
      </w:r>
    </w:p>
    <w:p>
      <w:pPr>
        <w:numPr>
          <w:ilvl w:val="0"/>
          <w:numId w:val="8"/>
        </w:numPr>
        <w:tabs>
          <w:tab w:val="clear" w:pos="1680"/>
        </w:tabs>
        <w:spacing w:line="360" w:lineRule="auto"/>
        <w:ind w:left="0" w:firstLine="420"/>
        <w:rPr>
          <w:rFonts w:hint="eastAsia" w:ascii="宋体" w:hAnsi="宋体" w:cs="宋体"/>
          <w:color w:val="auto"/>
          <w:szCs w:val="21"/>
          <w:highlight w:val="none"/>
        </w:rPr>
      </w:pPr>
      <w:r>
        <w:rPr>
          <w:rFonts w:hint="eastAsia" w:ascii="宋体" w:hAnsi="宋体" w:cs="宋体"/>
          <w:color w:val="auto"/>
          <w:szCs w:val="21"/>
          <w:highlight w:val="none"/>
        </w:rPr>
        <w:t>甲乙双方如违反本协议，由甲方纪检监察部门会同有关部门按党纪法规处理，情节严重涉及犯罪的移交司法机关处理。</w:t>
      </w:r>
    </w:p>
    <w:p>
      <w:pPr>
        <w:numPr>
          <w:ilvl w:val="0"/>
          <w:numId w:val="8"/>
        </w:numPr>
        <w:tabs>
          <w:tab w:val="clear" w:pos="1680"/>
        </w:tabs>
        <w:spacing w:line="360" w:lineRule="auto"/>
        <w:ind w:left="0" w:firstLine="720"/>
        <w:rPr>
          <w:rFonts w:hint="eastAsia" w:ascii="宋体" w:hAnsi="宋体" w:cs="宋体"/>
          <w:color w:val="auto"/>
          <w:szCs w:val="21"/>
          <w:highlight w:val="none"/>
        </w:rPr>
      </w:pPr>
      <w:r>
        <w:rPr>
          <w:rFonts w:hint="eastAsia" w:ascii="宋体" w:hAnsi="宋体" w:cs="宋体"/>
          <w:color w:val="auto"/>
          <w:szCs w:val="21"/>
          <w:highlight w:val="none"/>
        </w:rPr>
        <w:t>乙方一旦被列入商业贿赂不良记录，则严格按照国家相关法规规定处理。</w:t>
      </w:r>
    </w:p>
    <w:p>
      <w:pPr>
        <w:numPr>
          <w:ilvl w:val="0"/>
          <w:numId w:val="8"/>
        </w:numPr>
        <w:tabs>
          <w:tab w:val="left" w:pos="0"/>
          <w:tab w:val="clear" w:pos="1680"/>
        </w:tabs>
        <w:spacing w:line="360" w:lineRule="auto"/>
        <w:ind w:left="0" w:firstLine="720"/>
        <w:rPr>
          <w:rFonts w:hint="eastAsia" w:ascii="宋体" w:hAnsi="宋体" w:cs="宋体"/>
          <w:color w:val="auto"/>
          <w:szCs w:val="21"/>
          <w:highlight w:val="none"/>
        </w:rPr>
      </w:pPr>
      <w:r>
        <w:rPr>
          <w:rFonts w:hint="eastAsia" w:ascii="宋体" w:hAnsi="宋体" w:cs="宋体"/>
          <w:color w:val="auto"/>
          <w:szCs w:val="21"/>
          <w:highlight w:val="none"/>
        </w:rPr>
        <w:t>本协议作为购销协议的重要组成部分，与购销协议一并执行，具有同等法律效力。</w:t>
      </w:r>
    </w:p>
    <w:p>
      <w:pPr>
        <w:numPr>
          <w:ilvl w:val="0"/>
          <w:numId w:val="8"/>
        </w:numPr>
        <w:tabs>
          <w:tab w:val="left" w:pos="0"/>
          <w:tab w:val="clear" w:pos="1680"/>
        </w:tabs>
        <w:spacing w:line="360" w:lineRule="auto"/>
        <w:ind w:left="109" w:firstLine="531"/>
        <w:rPr>
          <w:rFonts w:hint="eastAsia" w:ascii="宋体" w:hAnsi="宋体" w:cs="宋体"/>
          <w:color w:val="auto"/>
          <w:szCs w:val="21"/>
          <w:highlight w:val="none"/>
        </w:rPr>
      </w:pPr>
      <w:r>
        <w:rPr>
          <w:rFonts w:hint="eastAsia" w:ascii="宋体" w:hAnsi="宋体" w:cs="宋体"/>
          <w:color w:val="auto"/>
          <w:szCs w:val="21"/>
          <w:highlight w:val="none"/>
        </w:rPr>
        <w:t>本协议一式伍份，甲方叁份，乙方贰份，自签字盖章之日起生效。</w:t>
      </w:r>
    </w:p>
    <w:p>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甲方：（医院盖章）</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 xml:space="preserve">  乙方：（公司盖章）</w:t>
      </w:r>
    </w:p>
    <w:p>
      <w:pPr>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授权代表：</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 xml:space="preserve"> 授权代表：</w:t>
      </w:r>
    </w:p>
    <w:p>
      <w:pPr>
        <w:spacing w:line="360" w:lineRule="auto"/>
        <w:ind w:firstLine="840" w:firstLineChars="400"/>
        <w:rPr>
          <w:rFonts w:hint="eastAsia" w:ascii="宋体" w:hAnsi="宋体" w:cs="宋体"/>
          <w:color w:val="auto"/>
          <w:szCs w:val="21"/>
          <w:highlight w:val="none"/>
        </w:rPr>
      </w:pPr>
    </w:p>
    <w:p>
      <w:pPr>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 xml:space="preserve"> 联系电话：</w:t>
      </w:r>
    </w:p>
    <w:p>
      <w:pPr>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联系地址：</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 xml:space="preserve"> 联系地址：</w:t>
      </w:r>
    </w:p>
    <w:p>
      <w:pPr>
        <w:ind w:firstLine="840" w:firstLineChars="400"/>
        <w:rPr>
          <w:rFonts w:hint="eastAsia" w:ascii="宋体" w:hAnsi="宋体" w:cs="宋体"/>
          <w:color w:val="auto"/>
          <w:szCs w:val="21"/>
          <w:highlight w:val="none"/>
        </w:rPr>
      </w:pPr>
    </w:p>
    <w:p>
      <w:pPr>
        <w:rPr>
          <w:color w:val="auto"/>
          <w:highlight w:val="none"/>
        </w:rPr>
      </w:pPr>
      <w:r>
        <w:rPr>
          <w:rFonts w:hint="eastAsia" w:ascii="宋体" w:hAnsi="宋体" w:cs="宋体"/>
          <w:color w:val="auto"/>
          <w:szCs w:val="21"/>
          <w:highlight w:val="none"/>
        </w:rPr>
        <w:t>年</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 xml:space="preserve"> 月</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 xml:space="preserve"> 日</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 xml:space="preserve">   月</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 xml:space="preserve">  日</w:t>
      </w:r>
    </w:p>
    <w:p>
      <w:pPr>
        <w:widowControl/>
        <w:jc w:val="left"/>
        <w:rPr>
          <w:color w:val="auto"/>
          <w:szCs w:val="21"/>
          <w:highlight w:val="none"/>
          <w:lang w:val="zh-TW"/>
        </w:rPr>
      </w:pPr>
      <w:r>
        <w:rPr>
          <w:color w:val="auto"/>
          <w:szCs w:val="21"/>
          <w:highlight w:val="none"/>
          <w:lang w:val="zh-TW"/>
        </w:rPr>
        <w:br w:type="page"/>
      </w:r>
    </w:p>
    <w:p>
      <w:pPr>
        <w:pStyle w:val="2"/>
        <w:snapToGrid w:val="0"/>
        <w:rPr>
          <w:rFonts w:ascii="Times New Roman" w:hAnsi="Times New Roman" w:eastAsia="宋体"/>
          <w:color w:val="auto"/>
          <w:highlight w:val="none"/>
        </w:rPr>
      </w:pPr>
      <w:bookmarkStart w:id="33" w:name="_Toc495317673"/>
      <w:bookmarkStart w:id="34" w:name="_Toc211745570"/>
      <w:r>
        <w:rPr>
          <w:rFonts w:ascii="Times New Roman" w:hAnsi="Times New Roman" w:eastAsia="宋体"/>
          <w:color w:val="auto"/>
          <w:highlight w:val="none"/>
        </w:rPr>
        <w:t>第六章  投标文件格式</w:t>
      </w:r>
      <w:bookmarkEnd w:id="31"/>
      <w:bookmarkEnd w:id="32"/>
      <w:bookmarkEnd w:id="33"/>
      <w:bookmarkEnd w:id="34"/>
    </w:p>
    <w:p>
      <w:pPr>
        <w:snapToGrid w:val="0"/>
        <w:spacing w:line="300" w:lineRule="auto"/>
        <w:jc w:val="center"/>
        <w:rPr>
          <w:color w:val="auto"/>
          <w:highlight w:val="none"/>
        </w:rPr>
      </w:pPr>
      <w:r>
        <w:rPr>
          <w:color w:val="auto"/>
          <w:highlight w:val="none"/>
        </w:rPr>
        <w:t>（未提供格式的由</w:t>
      </w:r>
      <w:r>
        <w:rPr>
          <w:rFonts w:hint="eastAsia"/>
          <w:color w:val="auto"/>
          <w:highlight w:val="none"/>
        </w:rPr>
        <w:t>供应商</w:t>
      </w:r>
      <w:r>
        <w:rPr>
          <w:color w:val="auto"/>
          <w:highlight w:val="none"/>
        </w:rPr>
        <w:t>自拟）</w:t>
      </w:r>
    </w:p>
    <w:p>
      <w:pPr>
        <w:snapToGrid w:val="0"/>
        <w:spacing w:line="300" w:lineRule="auto"/>
        <w:jc w:val="center"/>
        <w:rPr>
          <w:color w:val="auto"/>
          <w:highlight w:val="none"/>
        </w:rPr>
      </w:pPr>
    </w:p>
    <w:p>
      <w:pPr>
        <w:pStyle w:val="3"/>
        <w:ind w:firstLine="422"/>
        <w:rPr>
          <w:rFonts w:ascii="Times New Roman" w:hAnsi="Times New Roman"/>
          <w:color w:val="auto"/>
          <w:highlight w:val="none"/>
        </w:rPr>
      </w:pPr>
      <w:bookmarkStart w:id="35" w:name="_Toc437953145"/>
      <w:bookmarkStart w:id="36" w:name="_Toc345575534"/>
      <w:r>
        <w:rPr>
          <w:rFonts w:ascii="Times New Roman" w:hAnsi="Times New Roman"/>
          <w:color w:val="auto"/>
          <w:highlight w:val="none"/>
        </w:rPr>
        <w:t>报价文件封面</w:t>
      </w:r>
      <w:bookmarkEnd w:id="35"/>
      <w:bookmarkEnd w:id="36"/>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rFonts w:hint="eastAsia"/>
          <w:color w:val="auto"/>
          <w:kern w:val="0"/>
          <w:sz w:val="24"/>
          <w:highlight w:val="none"/>
          <w:u w:val="single"/>
          <w:lang w:eastAsia="zh-CN"/>
        </w:rPr>
        <w:t xml:space="preserve">            </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rFonts w:hint="eastAsia"/>
          <w:color w:val="auto"/>
          <w:kern w:val="0"/>
          <w:sz w:val="24"/>
          <w:highlight w:val="none"/>
          <w:u w:val="single"/>
          <w:lang w:eastAsia="zh-CN"/>
        </w:rPr>
        <w:t xml:space="preserve">            </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rFonts w:hint="eastAsia"/>
          <w:color w:val="auto"/>
          <w:kern w:val="0"/>
          <w:sz w:val="24"/>
          <w:highlight w:val="none"/>
          <w:u w:val="single"/>
          <w:lang w:eastAsia="zh-CN"/>
        </w:rPr>
        <w:t xml:space="preserve">      </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（报价文件）</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rFonts w:hint="eastAsia"/>
          <w:color w:val="auto"/>
          <w:kern w:val="0"/>
          <w:sz w:val="28"/>
          <w:highlight w:val="none"/>
          <w:u w:val="single"/>
          <w:lang w:eastAsia="zh-CN"/>
        </w:rPr>
        <w:t xml:space="preserve">          </w:t>
      </w:r>
      <w:r>
        <w:rPr>
          <w:color w:val="auto"/>
          <w:kern w:val="0"/>
          <w:sz w:val="28"/>
          <w:highlight w:val="none"/>
        </w:rPr>
        <w:t>（盖单位公章</w:t>
      </w:r>
      <w:r>
        <w:rPr>
          <w:rFonts w:hint="eastAsia"/>
          <w:color w:val="auto"/>
          <w:kern w:val="0"/>
          <w:sz w:val="28"/>
          <w:highlight w:val="none"/>
        </w:rPr>
        <w:t>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（1）开标一览表；</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（2）投标价格组成明细表；</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（3）</w:t>
      </w:r>
      <w:r>
        <w:rPr>
          <w:rFonts w:hint="eastAsia"/>
          <w:color w:val="auto"/>
          <w:kern w:val="0"/>
          <w:sz w:val="24"/>
          <w:highlight w:val="none"/>
        </w:rPr>
        <w:t>供应商</w:t>
      </w:r>
      <w:r>
        <w:rPr>
          <w:color w:val="auto"/>
          <w:kern w:val="0"/>
          <w:sz w:val="24"/>
          <w:highlight w:val="none"/>
        </w:rPr>
        <w:t>认为有必要提供的其它文件。</w:t>
      </w:r>
    </w:p>
    <w:p>
      <w:pPr>
        <w:snapToGrid w:val="0"/>
        <w:spacing w:line="300" w:lineRule="auto"/>
        <w:jc w:val="center"/>
        <w:rPr>
          <w:color w:val="auto"/>
          <w:highlight w:val="none"/>
        </w:rPr>
      </w:pPr>
    </w:p>
    <w:p>
      <w:pPr>
        <w:pStyle w:val="3"/>
        <w:ind w:firstLine="422"/>
        <w:rPr>
          <w:rFonts w:ascii="Times New Roman" w:hAnsi="Times New Roman"/>
          <w:color w:val="auto"/>
          <w:highlight w:val="none"/>
        </w:rPr>
      </w:pPr>
      <w:r>
        <w:rPr>
          <w:rFonts w:ascii="Times New Roman" w:hAnsi="Times New Roman"/>
          <w:color w:val="auto"/>
          <w:highlight w:val="none"/>
        </w:rPr>
        <w:br w:type="page"/>
      </w:r>
      <w:bookmarkStart w:id="37" w:name="_Toc345575539"/>
      <w:bookmarkStart w:id="38" w:name="_Toc336683579"/>
      <w:r>
        <w:rPr>
          <w:rFonts w:ascii="Times New Roman" w:hAnsi="Times New Roman"/>
          <w:color w:val="auto"/>
          <w:highlight w:val="none"/>
        </w:rPr>
        <w:t>1、开标一览表格式</w:t>
      </w:r>
      <w:bookmarkEnd w:id="37"/>
      <w:bookmarkEnd w:id="38"/>
    </w:p>
    <w:p>
      <w:pPr>
        <w:snapToGrid w:val="0"/>
        <w:spacing w:line="300" w:lineRule="auto"/>
        <w:jc w:val="center"/>
        <w:rPr>
          <w:b/>
          <w:bCs/>
          <w:color w:val="auto"/>
          <w:sz w:val="32"/>
          <w:szCs w:val="32"/>
          <w:highlight w:val="none"/>
        </w:rPr>
      </w:pPr>
      <w:r>
        <w:rPr>
          <w:b/>
          <w:bCs/>
          <w:color w:val="auto"/>
          <w:sz w:val="32"/>
          <w:szCs w:val="32"/>
          <w:highlight w:val="none"/>
        </w:rPr>
        <w:t>开标一览表</w:t>
      </w:r>
    </w:p>
    <w:p>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项目名称：</w:t>
      </w:r>
    </w:p>
    <w:p>
      <w:pPr>
        <w:pStyle w:val="40"/>
        <w:adjustRightInd w:val="0"/>
        <w:snapToGrid w:val="0"/>
        <w:spacing w:line="300" w:lineRule="auto"/>
        <w:rPr>
          <w:rFonts w:ascii="Times New Roman" w:hAnsi="Times New Roman"/>
          <w:color w:val="auto"/>
          <w:highlight w:val="none"/>
          <w:u w:val="single"/>
        </w:rPr>
      </w:pPr>
    </w:p>
    <w:p>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招标项目编号：</w:t>
      </w:r>
    </w:p>
    <w:p>
      <w:pPr>
        <w:pStyle w:val="40"/>
        <w:adjustRightInd w:val="0"/>
        <w:snapToGrid w:val="0"/>
        <w:spacing w:line="300" w:lineRule="auto"/>
        <w:rPr>
          <w:rFonts w:ascii="Times New Roman" w:hAnsi="Times New Roman"/>
          <w:color w:val="auto"/>
          <w:highlight w:val="none"/>
        </w:rPr>
      </w:pPr>
    </w:p>
    <w:p>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价格单位：元人民币</w:t>
      </w:r>
    </w:p>
    <w:p>
      <w:pPr>
        <w:pStyle w:val="40"/>
        <w:adjustRightInd w:val="0"/>
        <w:snapToGrid w:val="0"/>
        <w:spacing w:line="300" w:lineRule="auto"/>
        <w:rPr>
          <w:rFonts w:ascii="Times New Roman" w:hAnsi="Times New Roman"/>
          <w:color w:val="auto"/>
          <w:highlight w:val="none"/>
        </w:rPr>
      </w:pP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54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1866" w:type="dxa"/>
            <w:noWrap w:val="0"/>
            <w:vAlign w:val="center"/>
          </w:tcPr>
          <w:p>
            <w:pPr>
              <w:spacing w:line="480" w:lineRule="auto"/>
              <w:rPr>
                <w:color w:val="auto"/>
                <w:highlight w:val="none"/>
              </w:rPr>
            </w:pPr>
            <w:r>
              <w:rPr>
                <w:color w:val="auto"/>
                <w:highlight w:val="none"/>
              </w:rPr>
              <w:t>投标总价</w:t>
            </w:r>
          </w:p>
        </w:tc>
        <w:tc>
          <w:tcPr>
            <w:tcW w:w="5442" w:type="dxa"/>
            <w:noWrap w:val="0"/>
            <w:vAlign w:val="center"/>
          </w:tcPr>
          <w:p>
            <w:pPr>
              <w:spacing w:line="360" w:lineRule="auto"/>
              <w:rPr>
                <w:color w:val="auto"/>
                <w:highlight w:val="none"/>
              </w:rPr>
            </w:pPr>
          </w:p>
          <w:p>
            <w:pPr>
              <w:spacing w:line="360" w:lineRule="auto"/>
              <w:rPr>
                <w:rFonts w:hint="eastAsia" w:eastAsia="宋体"/>
                <w:color w:val="auto"/>
                <w:highlight w:val="none"/>
                <w:lang w:eastAsia="zh-CN"/>
              </w:rPr>
            </w:pPr>
            <w:r>
              <w:rPr>
                <w:color w:val="auto"/>
                <w:highlight w:val="none"/>
              </w:rPr>
              <w:t>小写：</w:t>
            </w:r>
            <w:r>
              <w:rPr>
                <w:rFonts w:hint="eastAsia"/>
                <w:color w:val="auto"/>
                <w:highlight w:val="none"/>
                <w:u w:val="single"/>
                <w:lang w:eastAsia="zh-CN"/>
              </w:rPr>
              <w:t xml:space="preserve">            </w:t>
            </w:r>
          </w:p>
          <w:p>
            <w:pPr>
              <w:spacing w:line="360" w:lineRule="auto"/>
              <w:rPr>
                <w:color w:val="auto"/>
                <w:highlight w:val="none"/>
              </w:rPr>
            </w:pPr>
          </w:p>
          <w:p>
            <w:pPr>
              <w:spacing w:line="360" w:lineRule="auto"/>
              <w:rPr>
                <w:rFonts w:hint="eastAsia" w:eastAsia="宋体"/>
                <w:color w:val="auto"/>
                <w:highlight w:val="none"/>
                <w:lang w:eastAsia="zh-CN"/>
              </w:rPr>
            </w:pPr>
            <w:r>
              <w:rPr>
                <w:color w:val="auto"/>
                <w:highlight w:val="none"/>
              </w:rPr>
              <w:t>大写：</w:t>
            </w:r>
            <w:r>
              <w:rPr>
                <w:rFonts w:hint="eastAsia"/>
                <w:color w:val="auto"/>
                <w:highlight w:val="none"/>
                <w:u w:val="single"/>
                <w:lang w:eastAsia="zh-CN"/>
              </w:rPr>
              <w:t xml:space="preserve">            </w:t>
            </w:r>
          </w:p>
        </w:tc>
      </w:tr>
    </w:tbl>
    <w:p>
      <w:pPr>
        <w:pStyle w:val="40"/>
        <w:adjustRightInd w:val="0"/>
        <w:snapToGrid w:val="0"/>
        <w:spacing w:line="300" w:lineRule="auto"/>
        <w:rPr>
          <w:rFonts w:ascii="Times New Roman" w:hAnsi="Times New Roman"/>
          <w:color w:val="auto"/>
          <w:highlight w:val="none"/>
        </w:rPr>
      </w:pPr>
    </w:p>
    <w:p>
      <w:pPr>
        <w:adjustRightInd w:val="0"/>
        <w:snapToGrid w:val="0"/>
        <w:spacing w:line="300" w:lineRule="auto"/>
        <w:ind w:firstLine="420" w:firstLineChars="200"/>
        <w:rPr>
          <w:color w:val="auto"/>
          <w:highlight w:val="none"/>
        </w:rPr>
      </w:pPr>
      <w:r>
        <w:rPr>
          <w:color w:val="auto"/>
          <w:highlight w:val="none"/>
        </w:rPr>
        <w:t>注：</w:t>
      </w:r>
    </w:p>
    <w:p>
      <w:pPr>
        <w:adjustRightInd w:val="0"/>
        <w:snapToGrid w:val="0"/>
        <w:spacing w:line="300" w:lineRule="auto"/>
        <w:ind w:firstLine="420" w:firstLineChars="200"/>
        <w:rPr>
          <w:color w:val="auto"/>
          <w:highlight w:val="none"/>
        </w:rPr>
      </w:pPr>
      <w:r>
        <w:rPr>
          <w:color w:val="auto"/>
          <w:highlight w:val="none"/>
        </w:rPr>
        <w:t>1、具体价格明细详见《投标价格组成明细表》。</w:t>
      </w:r>
    </w:p>
    <w:p>
      <w:pPr>
        <w:adjustRightInd w:val="0"/>
        <w:snapToGrid w:val="0"/>
        <w:spacing w:line="300" w:lineRule="auto"/>
        <w:ind w:firstLine="420" w:firstLineChars="200"/>
        <w:rPr>
          <w:color w:val="auto"/>
          <w:highlight w:val="none"/>
        </w:rPr>
      </w:pPr>
      <w:r>
        <w:rPr>
          <w:color w:val="auto"/>
          <w:highlight w:val="none"/>
        </w:rPr>
        <w:t>2、大写金额与小写金额不一致时，以大写金额为准。</w:t>
      </w:r>
    </w:p>
    <w:p>
      <w:pPr>
        <w:adjustRightInd w:val="0"/>
        <w:snapToGrid w:val="0"/>
        <w:spacing w:line="300" w:lineRule="auto"/>
        <w:ind w:firstLine="420" w:firstLineChars="200"/>
        <w:rPr>
          <w:color w:val="auto"/>
          <w:highlight w:val="none"/>
        </w:rPr>
      </w:pPr>
      <w:r>
        <w:rPr>
          <w:color w:val="auto"/>
          <w:highlight w:val="none"/>
        </w:rPr>
        <w:t>3、开标一览表上任何超出采购文件的优惠内容均不计入评标。</w:t>
      </w:r>
    </w:p>
    <w:p>
      <w:pPr>
        <w:adjustRightInd w:val="0"/>
        <w:snapToGrid w:val="0"/>
        <w:spacing w:line="300" w:lineRule="auto"/>
        <w:ind w:firstLine="420" w:firstLineChars="200"/>
        <w:rPr>
          <w:rFonts w:hint="eastAsia"/>
          <w:color w:val="auto"/>
          <w:szCs w:val="21"/>
          <w:highlight w:val="none"/>
        </w:rPr>
      </w:pPr>
      <w:r>
        <w:rPr>
          <w:color w:val="auto"/>
          <w:highlight w:val="none"/>
        </w:rPr>
        <w:t>4、</w:t>
      </w:r>
      <w:r>
        <w:rPr>
          <w:color w:val="auto"/>
          <w:szCs w:val="21"/>
          <w:highlight w:val="none"/>
        </w:rPr>
        <w:t>所需发生的直接成本、间接成本、利润、税金、政策性文件规定的费用、材料器材价格变化风险等一切费用均应计入投标报价；凡未列入的，将被认为均已包含在投标总报价中</w:t>
      </w:r>
    </w:p>
    <w:p>
      <w:pPr>
        <w:adjustRightInd w:val="0"/>
        <w:snapToGrid w:val="0"/>
        <w:spacing w:line="300" w:lineRule="auto"/>
        <w:ind w:firstLine="420" w:firstLineChars="200"/>
        <w:rPr>
          <w:rFonts w:hint="eastAsia"/>
          <w:color w:val="auto"/>
          <w:highlight w:val="none"/>
        </w:rPr>
      </w:pPr>
      <w:r>
        <w:rPr>
          <w:rFonts w:hint="eastAsia"/>
          <w:color w:val="auto"/>
          <w:szCs w:val="21"/>
          <w:highlight w:val="none"/>
        </w:rPr>
        <w:t>5、</w:t>
      </w:r>
      <w:r>
        <w:rPr>
          <w:color w:val="auto"/>
          <w:highlight w:val="none"/>
        </w:rPr>
        <w:t>表格可扩展。</w:t>
      </w:r>
    </w:p>
    <w:p>
      <w:pPr>
        <w:pStyle w:val="17"/>
        <w:rPr>
          <w:color w:val="auto"/>
          <w:highlight w:val="none"/>
        </w:rPr>
      </w:pP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u w:val="single"/>
        </w:rPr>
      </w:pPr>
      <w:r>
        <w:rPr>
          <w:color w:val="auto"/>
          <w:highlight w:val="none"/>
        </w:rPr>
        <w:t xml:space="preserve">日期：  </w:t>
      </w:r>
      <w:r>
        <w:rPr>
          <w:color w:val="auto"/>
          <w:kern w:val="0"/>
          <w:szCs w:val="21"/>
          <w:highlight w:val="none"/>
        </w:rPr>
        <w:t>年  月  日</w:t>
      </w:r>
    </w:p>
    <w:p>
      <w:pPr>
        <w:pStyle w:val="3"/>
        <w:ind w:firstLine="422"/>
        <w:rPr>
          <w:rFonts w:ascii="Times New Roman" w:hAnsi="Times New Roman"/>
          <w:color w:val="auto"/>
          <w:highlight w:val="none"/>
        </w:rPr>
      </w:pPr>
      <w:r>
        <w:rPr>
          <w:rFonts w:ascii="Times New Roman" w:hAnsi="Times New Roman"/>
          <w:color w:val="auto"/>
          <w:highlight w:val="none"/>
        </w:rPr>
        <w:br w:type="page"/>
      </w:r>
      <w:bookmarkStart w:id="39" w:name="_Toc345575540"/>
      <w:bookmarkStart w:id="40" w:name="_Toc336683580"/>
      <w:r>
        <w:rPr>
          <w:rFonts w:ascii="Times New Roman" w:hAnsi="Times New Roman"/>
          <w:color w:val="auto"/>
          <w:highlight w:val="none"/>
        </w:rPr>
        <w:t>2、投标价格组成明细表格式</w:t>
      </w:r>
      <w:bookmarkEnd w:id="39"/>
      <w:bookmarkEnd w:id="40"/>
    </w:p>
    <w:p>
      <w:pPr>
        <w:snapToGrid w:val="0"/>
        <w:spacing w:line="300" w:lineRule="auto"/>
        <w:jc w:val="center"/>
        <w:rPr>
          <w:b/>
          <w:bCs/>
          <w:color w:val="auto"/>
          <w:sz w:val="32"/>
          <w:szCs w:val="32"/>
          <w:highlight w:val="none"/>
        </w:rPr>
      </w:pPr>
      <w:r>
        <w:rPr>
          <w:b/>
          <w:bCs/>
          <w:color w:val="auto"/>
          <w:sz w:val="32"/>
          <w:szCs w:val="32"/>
          <w:highlight w:val="none"/>
        </w:rPr>
        <w:t>投标价格组成明细表</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p>
      <w:pPr>
        <w:snapToGrid w:val="0"/>
        <w:spacing w:line="300" w:lineRule="auto"/>
        <w:rPr>
          <w:color w:val="auto"/>
          <w:highlight w:val="none"/>
        </w:rPr>
      </w:pPr>
      <w:r>
        <w:rPr>
          <w:color w:val="auto"/>
          <w:highlight w:val="none"/>
        </w:rPr>
        <w:t>价格单位：元人民币</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841"/>
        <w:gridCol w:w="780"/>
        <w:gridCol w:w="1171"/>
        <w:gridCol w:w="709"/>
        <w:gridCol w:w="1689"/>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cantSplit/>
          <w:trHeight w:val="454" w:hRule="atLeast"/>
          <w:jc w:val="center"/>
        </w:trPr>
        <w:tc>
          <w:tcPr>
            <w:tcW w:w="816" w:type="dxa"/>
            <w:noWrap w:val="0"/>
            <w:vAlign w:val="center"/>
          </w:tcPr>
          <w:p>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序号</w:t>
            </w:r>
          </w:p>
        </w:tc>
        <w:tc>
          <w:tcPr>
            <w:tcW w:w="1603" w:type="dxa"/>
            <w:noWrap w:val="0"/>
            <w:vAlign w:val="center"/>
          </w:tcPr>
          <w:p>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名称</w:t>
            </w:r>
          </w:p>
        </w:tc>
        <w:tc>
          <w:tcPr>
            <w:tcW w:w="841" w:type="dxa"/>
            <w:noWrap w:val="0"/>
            <w:vAlign w:val="center"/>
          </w:tcPr>
          <w:p>
            <w:pPr>
              <w:pStyle w:val="40"/>
              <w:adjustRightInd w:val="0"/>
              <w:snapToGrid w:val="0"/>
              <w:spacing w:line="300" w:lineRule="auto"/>
              <w:jc w:val="center"/>
              <w:rPr>
                <w:rFonts w:hint="eastAsia" w:ascii="Times New Roman" w:hAnsi="Times New Roman"/>
                <w:color w:val="auto"/>
                <w:highlight w:val="none"/>
              </w:rPr>
            </w:pPr>
            <w:r>
              <w:rPr>
                <w:rFonts w:hint="eastAsia" w:ascii="Times New Roman" w:hAnsi="Times New Roman"/>
                <w:color w:val="auto"/>
                <w:highlight w:val="none"/>
              </w:rPr>
              <w:t>说明</w:t>
            </w:r>
          </w:p>
        </w:tc>
        <w:tc>
          <w:tcPr>
            <w:tcW w:w="780" w:type="dxa"/>
            <w:noWrap w:val="0"/>
            <w:vAlign w:val="center"/>
          </w:tcPr>
          <w:p>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数量</w:t>
            </w:r>
          </w:p>
        </w:tc>
        <w:tc>
          <w:tcPr>
            <w:tcW w:w="1171" w:type="dxa"/>
            <w:noWrap w:val="0"/>
            <w:vAlign w:val="center"/>
          </w:tcPr>
          <w:p>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单位</w:t>
            </w:r>
            <w:r>
              <w:rPr>
                <w:rFonts w:hint="eastAsia" w:ascii="Times New Roman" w:hAnsi="Times New Roman"/>
                <w:color w:val="auto"/>
                <w:highlight w:val="none"/>
              </w:rPr>
              <w:t>（岗）</w:t>
            </w:r>
          </w:p>
        </w:tc>
        <w:tc>
          <w:tcPr>
            <w:tcW w:w="709" w:type="dxa"/>
            <w:noWrap w:val="0"/>
            <w:vAlign w:val="center"/>
          </w:tcPr>
          <w:p>
            <w:pPr>
              <w:pStyle w:val="40"/>
              <w:adjustRightInd w:val="0"/>
              <w:snapToGrid w:val="0"/>
              <w:spacing w:line="300" w:lineRule="auto"/>
              <w:jc w:val="center"/>
              <w:rPr>
                <w:rFonts w:ascii="Times New Roman" w:hAnsi="Times New Roman"/>
                <w:color w:val="auto"/>
                <w:highlight w:val="none"/>
              </w:rPr>
            </w:pPr>
            <w:r>
              <w:rPr>
                <w:rFonts w:hint="eastAsia" w:ascii="Times New Roman" w:hAnsi="Times New Roman"/>
                <w:color w:val="auto"/>
                <w:highlight w:val="none"/>
              </w:rPr>
              <w:t>.....</w:t>
            </w:r>
          </w:p>
        </w:tc>
        <w:tc>
          <w:tcPr>
            <w:tcW w:w="1689" w:type="dxa"/>
            <w:noWrap w:val="0"/>
            <w:vAlign w:val="center"/>
          </w:tcPr>
          <w:p>
            <w:pPr>
              <w:pStyle w:val="40"/>
              <w:adjustRightInd w:val="0"/>
              <w:snapToGrid w:val="0"/>
              <w:spacing w:line="300" w:lineRule="auto"/>
              <w:jc w:val="center"/>
              <w:rPr>
                <w:rFonts w:hint="eastAsia" w:ascii="Times New Roman" w:hAnsi="Times New Roman"/>
                <w:color w:val="auto"/>
                <w:highlight w:val="none"/>
              </w:rPr>
            </w:pPr>
            <w:r>
              <w:rPr>
                <w:rFonts w:ascii="Times New Roman" w:hAnsi="Times New Roman"/>
                <w:color w:val="auto"/>
                <w:highlight w:val="none"/>
              </w:rPr>
              <w:t>人均单价</w:t>
            </w:r>
          </w:p>
          <w:p>
            <w:pPr>
              <w:pStyle w:val="40"/>
              <w:adjustRightInd w:val="0"/>
              <w:snapToGrid w:val="0"/>
              <w:spacing w:line="300" w:lineRule="auto"/>
              <w:jc w:val="center"/>
              <w:rPr>
                <w:rFonts w:ascii="Times New Roman" w:hAnsi="Times New Roman"/>
                <w:color w:val="auto"/>
                <w:highlight w:val="none"/>
              </w:rPr>
            </w:pPr>
            <w:r>
              <w:rPr>
                <w:rFonts w:hint="eastAsia" w:ascii="Times New Roman" w:hAnsi="Times New Roman"/>
                <w:color w:val="auto"/>
                <w:highlight w:val="none"/>
              </w:rPr>
              <w:t>（元/岗/月）</w:t>
            </w:r>
          </w:p>
        </w:tc>
        <w:tc>
          <w:tcPr>
            <w:tcW w:w="976" w:type="dxa"/>
            <w:noWrap w:val="0"/>
            <w:vAlign w:val="center"/>
          </w:tcPr>
          <w:p>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合价</w:t>
            </w:r>
          </w:p>
        </w:tc>
        <w:tc>
          <w:tcPr>
            <w:tcW w:w="816" w:type="dxa"/>
            <w:noWrap w:val="0"/>
            <w:vAlign w:val="center"/>
          </w:tcPr>
          <w:p>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cantSplit/>
          <w:trHeight w:val="454" w:hRule="atLeast"/>
          <w:jc w:val="center"/>
        </w:trPr>
        <w:tc>
          <w:tcPr>
            <w:tcW w:w="816" w:type="dxa"/>
            <w:noWrap w:val="0"/>
            <w:vAlign w:val="center"/>
          </w:tcPr>
          <w:p>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1</w:t>
            </w:r>
          </w:p>
        </w:tc>
        <w:tc>
          <w:tcPr>
            <w:tcW w:w="1603" w:type="dxa"/>
            <w:noWrap w:val="0"/>
            <w:vAlign w:val="center"/>
          </w:tcPr>
          <w:p>
            <w:pPr>
              <w:pStyle w:val="40"/>
              <w:adjustRightInd w:val="0"/>
              <w:snapToGrid w:val="0"/>
              <w:spacing w:line="300" w:lineRule="auto"/>
              <w:jc w:val="center"/>
              <w:rPr>
                <w:rFonts w:ascii="Times New Roman" w:hAnsi="Times New Roman"/>
                <w:color w:val="auto"/>
                <w:highlight w:val="none"/>
              </w:rPr>
            </w:pPr>
          </w:p>
        </w:tc>
        <w:tc>
          <w:tcPr>
            <w:tcW w:w="841" w:type="dxa"/>
            <w:noWrap w:val="0"/>
            <w:vAlign w:val="center"/>
          </w:tcPr>
          <w:p>
            <w:pPr>
              <w:pStyle w:val="40"/>
              <w:adjustRightInd w:val="0"/>
              <w:snapToGrid w:val="0"/>
              <w:spacing w:line="300" w:lineRule="auto"/>
              <w:jc w:val="center"/>
              <w:rPr>
                <w:rFonts w:ascii="Times New Roman" w:hAnsi="Times New Roman"/>
                <w:color w:val="auto"/>
                <w:highlight w:val="none"/>
              </w:rPr>
            </w:pPr>
          </w:p>
        </w:tc>
        <w:tc>
          <w:tcPr>
            <w:tcW w:w="780" w:type="dxa"/>
            <w:noWrap w:val="0"/>
            <w:vAlign w:val="center"/>
          </w:tcPr>
          <w:p>
            <w:pPr>
              <w:pStyle w:val="40"/>
              <w:adjustRightInd w:val="0"/>
              <w:snapToGrid w:val="0"/>
              <w:spacing w:line="300" w:lineRule="auto"/>
              <w:jc w:val="center"/>
              <w:rPr>
                <w:rFonts w:ascii="Times New Roman" w:hAnsi="Times New Roman"/>
                <w:color w:val="auto"/>
                <w:highlight w:val="none"/>
              </w:rPr>
            </w:pPr>
          </w:p>
        </w:tc>
        <w:tc>
          <w:tcPr>
            <w:tcW w:w="1171" w:type="dxa"/>
            <w:noWrap w:val="0"/>
            <w:vAlign w:val="center"/>
          </w:tcPr>
          <w:p>
            <w:pPr>
              <w:pStyle w:val="40"/>
              <w:adjustRightInd w:val="0"/>
              <w:snapToGrid w:val="0"/>
              <w:spacing w:line="300" w:lineRule="auto"/>
              <w:jc w:val="center"/>
              <w:rPr>
                <w:rFonts w:ascii="Times New Roman" w:hAnsi="Times New Roman"/>
                <w:color w:val="auto"/>
                <w:highlight w:val="none"/>
              </w:rPr>
            </w:pPr>
          </w:p>
        </w:tc>
        <w:tc>
          <w:tcPr>
            <w:tcW w:w="709" w:type="dxa"/>
            <w:noWrap w:val="0"/>
            <w:vAlign w:val="center"/>
          </w:tcPr>
          <w:p>
            <w:pPr>
              <w:pStyle w:val="40"/>
              <w:adjustRightInd w:val="0"/>
              <w:snapToGrid w:val="0"/>
              <w:spacing w:line="300" w:lineRule="auto"/>
              <w:jc w:val="center"/>
              <w:rPr>
                <w:rFonts w:ascii="Times New Roman" w:hAnsi="Times New Roman"/>
                <w:color w:val="auto"/>
                <w:highlight w:val="none"/>
              </w:rPr>
            </w:pPr>
          </w:p>
        </w:tc>
        <w:tc>
          <w:tcPr>
            <w:tcW w:w="1689" w:type="dxa"/>
            <w:noWrap w:val="0"/>
            <w:vAlign w:val="center"/>
          </w:tcPr>
          <w:p>
            <w:pPr>
              <w:pStyle w:val="40"/>
              <w:adjustRightInd w:val="0"/>
              <w:snapToGrid w:val="0"/>
              <w:spacing w:line="300" w:lineRule="auto"/>
              <w:jc w:val="center"/>
              <w:rPr>
                <w:rFonts w:ascii="Times New Roman" w:hAnsi="Times New Roman"/>
                <w:color w:val="auto"/>
                <w:highlight w:val="none"/>
              </w:rPr>
            </w:pPr>
          </w:p>
        </w:tc>
        <w:tc>
          <w:tcPr>
            <w:tcW w:w="976" w:type="dxa"/>
            <w:noWrap w:val="0"/>
            <w:vAlign w:val="center"/>
          </w:tcPr>
          <w:p>
            <w:pPr>
              <w:pStyle w:val="40"/>
              <w:adjustRightInd w:val="0"/>
              <w:snapToGrid w:val="0"/>
              <w:spacing w:line="300" w:lineRule="auto"/>
              <w:jc w:val="center"/>
              <w:rPr>
                <w:rFonts w:ascii="Times New Roman" w:hAnsi="Times New Roman"/>
                <w:color w:val="auto"/>
                <w:highlight w:val="none"/>
              </w:rPr>
            </w:pPr>
          </w:p>
        </w:tc>
        <w:tc>
          <w:tcPr>
            <w:tcW w:w="816" w:type="dxa"/>
            <w:noWrap w:val="0"/>
            <w:vAlign w:val="center"/>
          </w:tcPr>
          <w:p>
            <w:pPr>
              <w:pStyle w:val="40"/>
              <w:adjustRightInd w:val="0"/>
              <w:snapToGrid w:val="0"/>
              <w:spacing w:line="300" w:lineRule="auto"/>
              <w:jc w:val="center"/>
              <w:rPr>
                <w:rFonts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cantSplit/>
          <w:trHeight w:val="454" w:hRule="atLeast"/>
          <w:jc w:val="center"/>
        </w:trPr>
        <w:tc>
          <w:tcPr>
            <w:tcW w:w="816" w:type="dxa"/>
            <w:noWrap w:val="0"/>
            <w:vAlign w:val="center"/>
          </w:tcPr>
          <w:p>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2</w:t>
            </w:r>
          </w:p>
        </w:tc>
        <w:tc>
          <w:tcPr>
            <w:tcW w:w="1603" w:type="dxa"/>
            <w:noWrap w:val="0"/>
            <w:vAlign w:val="center"/>
          </w:tcPr>
          <w:p>
            <w:pPr>
              <w:pStyle w:val="40"/>
              <w:adjustRightInd w:val="0"/>
              <w:snapToGrid w:val="0"/>
              <w:spacing w:line="300" w:lineRule="auto"/>
              <w:jc w:val="center"/>
              <w:rPr>
                <w:rFonts w:ascii="Times New Roman" w:hAnsi="Times New Roman"/>
                <w:color w:val="auto"/>
                <w:highlight w:val="none"/>
              </w:rPr>
            </w:pPr>
          </w:p>
        </w:tc>
        <w:tc>
          <w:tcPr>
            <w:tcW w:w="841" w:type="dxa"/>
            <w:noWrap w:val="0"/>
            <w:vAlign w:val="center"/>
          </w:tcPr>
          <w:p>
            <w:pPr>
              <w:pStyle w:val="40"/>
              <w:adjustRightInd w:val="0"/>
              <w:snapToGrid w:val="0"/>
              <w:spacing w:line="300" w:lineRule="auto"/>
              <w:jc w:val="center"/>
              <w:rPr>
                <w:rFonts w:ascii="Times New Roman" w:hAnsi="Times New Roman"/>
                <w:color w:val="auto"/>
                <w:highlight w:val="none"/>
              </w:rPr>
            </w:pPr>
          </w:p>
        </w:tc>
        <w:tc>
          <w:tcPr>
            <w:tcW w:w="780" w:type="dxa"/>
            <w:noWrap w:val="0"/>
            <w:vAlign w:val="center"/>
          </w:tcPr>
          <w:p>
            <w:pPr>
              <w:pStyle w:val="40"/>
              <w:adjustRightInd w:val="0"/>
              <w:snapToGrid w:val="0"/>
              <w:spacing w:line="300" w:lineRule="auto"/>
              <w:jc w:val="center"/>
              <w:rPr>
                <w:rFonts w:ascii="Times New Roman" w:hAnsi="Times New Roman"/>
                <w:color w:val="auto"/>
                <w:highlight w:val="none"/>
              </w:rPr>
            </w:pPr>
          </w:p>
        </w:tc>
        <w:tc>
          <w:tcPr>
            <w:tcW w:w="1171" w:type="dxa"/>
            <w:noWrap w:val="0"/>
            <w:vAlign w:val="center"/>
          </w:tcPr>
          <w:p>
            <w:pPr>
              <w:pStyle w:val="40"/>
              <w:adjustRightInd w:val="0"/>
              <w:snapToGrid w:val="0"/>
              <w:spacing w:line="300" w:lineRule="auto"/>
              <w:jc w:val="center"/>
              <w:rPr>
                <w:rFonts w:ascii="Times New Roman" w:hAnsi="Times New Roman"/>
                <w:color w:val="auto"/>
                <w:highlight w:val="none"/>
              </w:rPr>
            </w:pPr>
          </w:p>
        </w:tc>
        <w:tc>
          <w:tcPr>
            <w:tcW w:w="709" w:type="dxa"/>
            <w:noWrap w:val="0"/>
            <w:vAlign w:val="center"/>
          </w:tcPr>
          <w:p>
            <w:pPr>
              <w:pStyle w:val="40"/>
              <w:adjustRightInd w:val="0"/>
              <w:snapToGrid w:val="0"/>
              <w:spacing w:line="300" w:lineRule="auto"/>
              <w:jc w:val="center"/>
              <w:rPr>
                <w:rFonts w:ascii="Times New Roman" w:hAnsi="Times New Roman"/>
                <w:color w:val="auto"/>
                <w:highlight w:val="none"/>
              </w:rPr>
            </w:pPr>
          </w:p>
        </w:tc>
        <w:tc>
          <w:tcPr>
            <w:tcW w:w="1689" w:type="dxa"/>
            <w:noWrap w:val="0"/>
            <w:vAlign w:val="center"/>
          </w:tcPr>
          <w:p>
            <w:pPr>
              <w:pStyle w:val="40"/>
              <w:adjustRightInd w:val="0"/>
              <w:snapToGrid w:val="0"/>
              <w:spacing w:line="300" w:lineRule="auto"/>
              <w:jc w:val="center"/>
              <w:rPr>
                <w:rFonts w:ascii="Times New Roman" w:hAnsi="Times New Roman"/>
                <w:color w:val="auto"/>
                <w:highlight w:val="none"/>
              </w:rPr>
            </w:pPr>
          </w:p>
        </w:tc>
        <w:tc>
          <w:tcPr>
            <w:tcW w:w="976" w:type="dxa"/>
            <w:noWrap w:val="0"/>
            <w:vAlign w:val="center"/>
          </w:tcPr>
          <w:p>
            <w:pPr>
              <w:pStyle w:val="40"/>
              <w:adjustRightInd w:val="0"/>
              <w:snapToGrid w:val="0"/>
              <w:spacing w:line="300" w:lineRule="auto"/>
              <w:jc w:val="center"/>
              <w:rPr>
                <w:rFonts w:ascii="Times New Roman" w:hAnsi="Times New Roman"/>
                <w:color w:val="auto"/>
                <w:highlight w:val="none"/>
              </w:rPr>
            </w:pPr>
          </w:p>
        </w:tc>
        <w:tc>
          <w:tcPr>
            <w:tcW w:w="816" w:type="dxa"/>
            <w:noWrap w:val="0"/>
            <w:vAlign w:val="center"/>
          </w:tcPr>
          <w:p>
            <w:pPr>
              <w:pStyle w:val="40"/>
              <w:adjustRightInd w:val="0"/>
              <w:snapToGrid w:val="0"/>
              <w:spacing w:line="300" w:lineRule="auto"/>
              <w:jc w:val="center"/>
              <w:rPr>
                <w:rFonts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cantSplit/>
          <w:trHeight w:val="454" w:hRule="atLeast"/>
          <w:jc w:val="center"/>
        </w:trPr>
        <w:tc>
          <w:tcPr>
            <w:tcW w:w="816" w:type="dxa"/>
            <w:noWrap w:val="0"/>
            <w:vAlign w:val="center"/>
          </w:tcPr>
          <w:p>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3</w:t>
            </w:r>
          </w:p>
        </w:tc>
        <w:tc>
          <w:tcPr>
            <w:tcW w:w="1603" w:type="dxa"/>
            <w:noWrap w:val="0"/>
            <w:vAlign w:val="center"/>
          </w:tcPr>
          <w:p>
            <w:pPr>
              <w:pStyle w:val="40"/>
              <w:adjustRightInd w:val="0"/>
              <w:snapToGrid w:val="0"/>
              <w:spacing w:line="300" w:lineRule="auto"/>
              <w:jc w:val="center"/>
              <w:rPr>
                <w:rFonts w:ascii="Times New Roman" w:hAnsi="Times New Roman"/>
                <w:color w:val="auto"/>
                <w:highlight w:val="none"/>
              </w:rPr>
            </w:pPr>
          </w:p>
        </w:tc>
        <w:tc>
          <w:tcPr>
            <w:tcW w:w="841" w:type="dxa"/>
            <w:noWrap w:val="0"/>
            <w:vAlign w:val="center"/>
          </w:tcPr>
          <w:p>
            <w:pPr>
              <w:pStyle w:val="40"/>
              <w:adjustRightInd w:val="0"/>
              <w:snapToGrid w:val="0"/>
              <w:spacing w:line="300" w:lineRule="auto"/>
              <w:jc w:val="center"/>
              <w:rPr>
                <w:rFonts w:ascii="Times New Roman" w:hAnsi="Times New Roman"/>
                <w:color w:val="auto"/>
                <w:highlight w:val="none"/>
              </w:rPr>
            </w:pPr>
          </w:p>
        </w:tc>
        <w:tc>
          <w:tcPr>
            <w:tcW w:w="780" w:type="dxa"/>
            <w:noWrap w:val="0"/>
            <w:vAlign w:val="center"/>
          </w:tcPr>
          <w:p>
            <w:pPr>
              <w:pStyle w:val="40"/>
              <w:adjustRightInd w:val="0"/>
              <w:snapToGrid w:val="0"/>
              <w:spacing w:line="300" w:lineRule="auto"/>
              <w:jc w:val="center"/>
              <w:rPr>
                <w:rFonts w:ascii="Times New Roman" w:hAnsi="Times New Roman"/>
                <w:color w:val="auto"/>
                <w:highlight w:val="none"/>
              </w:rPr>
            </w:pPr>
          </w:p>
        </w:tc>
        <w:tc>
          <w:tcPr>
            <w:tcW w:w="1171" w:type="dxa"/>
            <w:noWrap w:val="0"/>
            <w:vAlign w:val="center"/>
          </w:tcPr>
          <w:p>
            <w:pPr>
              <w:pStyle w:val="40"/>
              <w:adjustRightInd w:val="0"/>
              <w:snapToGrid w:val="0"/>
              <w:spacing w:line="300" w:lineRule="auto"/>
              <w:jc w:val="center"/>
              <w:rPr>
                <w:rFonts w:ascii="Times New Roman" w:hAnsi="Times New Roman"/>
                <w:color w:val="auto"/>
                <w:highlight w:val="none"/>
              </w:rPr>
            </w:pPr>
          </w:p>
        </w:tc>
        <w:tc>
          <w:tcPr>
            <w:tcW w:w="709" w:type="dxa"/>
            <w:noWrap w:val="0"/>
            <w:vAlign w:val="center"/>
          </w:tcPr>
          <w:p>
            <w:pPr>
              <w:pStyle w:val="40"/>
              <w:adjustRightInd w:val="0"/>
              <w:snapToGrid w:val="0"/>
              <w:spacing w:line="300" w:lineRule="auto"/>
              <w:jc w:val="center"/>
              <w:rPr>
                <w:rFonts w:ascii="Times New Roman" w:hAnsi="Times New Roman"/>
                <w:color w:val="auto"/>
                <w:highlight w:val="none"/>
              </w:rPr>
            </w:pPr>
          </w:p>
        </w:tc>
        <w:tc>
          <w:tcPr>
            <w:tcW w:w="1689" w:type="dxa"/>
            <w:noWrap w:val="0"/>
            <w:vAlign w:val="center"/>
          </w:tcPr>
          <w:p>
            <w:pPr>
              <w:pStyle w:val="40"/>
              <w:adjustRightInd w:val="0"/>
              <w:snapToGrid w:val="0"/>
              <w:spacing w:line="300" w:lineRule="auto"/>
              <w:jc w:val="center"/>
              <w:rPr>
                <w:rFonts w:ascii="Times New Roman" w:hAnsi="Times New Roman"/>
                <w:color w:val="auto"/>
                <w:highlight w:val="none"/>
              </w:rPr>
            </w:pPr>
          </w:p>
        </w:tc>
        <w:tc>
          <w:tcPr>
            <w:tcW w:w="976" w:type="dxa"/>
            <w:noWrap w:val="0"/>
            <w:vAlign w:val="center"/>
          </w:tcPr>
          <w:p>
            <w:pPr>
              <w:pStyle w:val="40"/>
              <w:adjustRightInd w:val="0"/>
              <w:snapToGrid w:val="0"/>
              <w:spacing w:line="300" w:lineRule="auto"/>
              <w:jc w:val="center"/>
              <w:rPr>
                <w:rFonts w:ascii="Times New Roman" w:hAnsi="Times New Roman"/>
                <w:color w:val="auto"/>
                <w:highlight w:val="none"/>
              </w:rPr>
            </w:pPr>
          </w:p>
        </w:tc>
        <w:tc>
          <w:tcPr>
            <w:tcW w:w="816" w:type="dxa"/>
            <w:noWrap w:val="0"/>
            <w:vAlign w:val="center"/>
          </w:tcPr>
          <w:p>
            <w:pPr>
              <w:pStyle w:val="40"/>
              <w:adjustRightInd w:val="0"/>
              <w:snapToGrid w:val="0"/>
              <w:spacing w:line="300" w:lineRule="auto"/>
              <w:jc w:val="center"/>
              <w:rPr>
                <w:rFonts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cantSplit/>
          <w:trHeight w:val="454" w:hRule="atLeast"/>
          <w:jc w:val="center"/>
        </w:trPr>
        <w:tc>
          <w:tcPr>
            <w:tcW w:w="816" w:type="dxa"/>
            <w:noWrap w:val="0"/>
            <w:vAlign w:val="center"/>
          </w:tcPr>
          <w:p>
            <w:pPr>
              <w:pStyle w:val="40"/>
              <w:adjustRightInd w:val="0"/>
              <w:snapToGrid w:val="0"/>
              <w:spacing w:line="300" w:lineRule="auto"/>
              <w:jc w:val="center"/>
              <w:rPr>
                <w:rFonts w:ascii="Times New Roman" w:hAnsi="Times New Roman"/>
                <w:color w:val="auto"/>
                <w:highlight w:val="none"/>
              </w:rPr>
            </w:pPr>
          </w:p>
        </w:tc>
        <w:tc>
          <w:tcPr>
            <w:tcW w:w="1603" w:type="dxa"/>
            <w:noWrap w:val="0"/>
            <w:vAlign w:val="center"/>
          </w:tcPr>
          <w:p>
            <w:pPr>
              <w:pStyle w:val="40"/>
              <w:adjustRightInd w:val="0"/>
              <w:snapToGrid w:val="0"/>
              <w:spacing w:line="300" w:lineRule="auto"/>
              <w:jc w:val="center"/>
              <w:rPr>
                <w:rFonts w:ascii="Times New Roman" w:hAnsi="Times New Roman"/>
                <w:color w:val="auto"/>
                <w:highlight w:val="none"/>
              </w:rPr>
            </w:pPr>
            <w:r>
              <w:rPr>
                <w:rFonts w:hint="eastAsia" w:ascii="Times New Roman" w:hAnsi="Times New Roman"/>
                <w:color w:val="auto"/>
                <w:highlight w:val="none"/>
              </w:rPr>
              <w:t>......</w:t>
            </w:r>
          </w:p>
        </w:tc>
        <w:tc>
          <w:tcPr>
            <w:tcW w:w="841" w:type="dxa"/>
            <w:noWrap w:val="0"/>
            <w:vAlign w:val="center"/>
          </w:tcPr>
          <w:p>
            <w:pPr>
              <w:pStyle w:val="40"/>
              <w:adjustRightInd w:val="0"/>
              <w:snapToGrid w:val="0"/>
              <w:spacing w:line="300" w:lineRule="auto"/>
              <w:jc w:val="center"/>
              <w:rPr>
                <w:rFonts w:ascii="Times New Roman" w:hAnsi="Times New Roman"/>
                <w:color w:val="auto"/>
                <w:highlight w:val="none"/>
              </w:rPr>
            </w:pPr>
          </w:p>
        </w:tc>
        <w:tc>
          <w:tcPr>
            <w:tcW w:w="780" w:type="dxa"/>
            <w:noWrap w:val="0"/>
            <w:vAlign w:val="center"/>
          </w:tcPr>
          <w:p>
            <w:pPr>
              <w:pStyle w:val="40"/>
              <w:adjustRightInd w:val="0"/>
              <w:snapToGrid w:val="0"/>
              <w:spacing w:line="300" w:lineRule="auto"/>
              <w:jc w:val="center"/>
              <w:rPr>
                <w:rFonts w:ascii="Times New Roman" w:hAnsi="Times New Roman"/>
                <w:color w:val="auto"/>
                <w:highlight w:val="none"/>
              </w:rPr>
            </w:pPr>
          </w:p>
        </w:tc>
        <w:tc>
          <w:tcPr>
            <w:tcW w:w="1171" w:type="dxa"/>
            <w:noWrap w:val="0"/>
            <w:vAlign w:val="center"/>
          </w:tcPr>
          <w:p>
            <w:pPr>
              <w:pStyle w:val="40"/>
              <w:adjustRightInd w:val="0"/>
              <w:snapToGrid w:val="0"/>
              <w:spacing w:line="300" w:lineRule="auto"/>
              <w:jc w:val="center"/>
              <w:rPr>
                <w:rFonts w:ascii="Times New Roman" w:hAnsi="Times New Roman"/>
                <w:color w:val="auto"/>
                <w:highlight w:val="none"/>
              </w:rPr>
            </w:pPr>
          </w:p>
        </w:tc>
        <w:tc>
          <w:tcPr>
            <w:tcW w:w="709" w:type="dxa"/>
            <w:noWrap w:val="0"/>
            <w:vAlign w:val="center"/>
          </w:tcPr>
          <w:p>
            <w:pPr>
              <w:pStyle w:val="40"/>
              <w:adjustRightInd w:val="0"/>
              <w:snapToGrid w:val="0"/>
              <w:spacing w:line="300" w:lineRule="auto"/>
              <w:jc w:val="center"/>
              <w:rPr>
                <w:rFonts w:ascii="Times New Roman" w:hAnsi="Times New Roman"/>
                <w:color w:val="auto"/>
                <w:highlight w:val="none"/>
              </w:rPr>
            </w:pPr>
          </w:p>
        </w:tc>
        <w:tc>
          <w:tcPr>
            <w:tcW w:w="1689" w:type="dxa"/>
            <w:noWrap w:val="0"/>
            <w:vAlign w:val="center"/>
          </w:tcPr>
          <w:p>
            <w:pPr>
              <w:pStyle w:val="40"/>
              <w:adjustRightInd w:val="0"/>
              <w:snapToGrid w:val="0"/>
              <w:spacing w:line="300" w:lineRule="auto"/>
              <w:jc w:val="center"/>
              <w:rPr>
                <w:rFonts w:ascii="Times New Roman" w:hAnsi="Times New Roman"/>
                <w:color w:val="auto"/>
                <w:highlight w:val="none"/>
              </w:rPr>
            </w:pPr>
          </w:p>
        </w:tc>
        <w:tc>
          <w:tcPr>
            <w:tcW w:w="976" w:type="dxa"/>
            <w:noWrap w:val="0"/>
            <w:vAlign w:val="center"/>
          </w:tcPr>
          <w:p>
            <w:pPr>
              <w:pStyle w:val="40"/>
              <w:adjustRightInd w:val="0"/>
              <w:snapToGrid w:val="0"/>
              <w:spacing w:line="300" w:lineRule="auto"/>
              <w:jc w:val="center"/>
              <w:rPr>
                <w:rFonts w:ascii="Times New Roman" w:hAnsi="Times New Roman"/>
                <w:color w:val="auto"/>
                <w:highlight w:val="none"/>
              </w:rPr>
            </w:pPr>
          </w:p>
        </w:tc>
        <w:tc>
          <w:tcPr>
            <w:tcW w:w="816" w:type="dxa"/>
            <w:noWrap w:val="0"/>
            <w:vAlign w:val="center"/>
          </w:tcPr>
          <w:p>
            <w:pPr>
              <w:pStyle w:val="40"/>
              <w:adjustRightInd w:val="0"/>
              <w:snapToGrid w:val="0"/>
              <w:spacing w:line="300" w:lineRule="auto"/>
              <w:jc w:val="center"/>
              <w:rPr>
                <w:rFonts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cantSplit/>
          <w:trHeight w:val="454" w:hRule="atLeast"/>
          <w:jc w:val="center"/>
        </w:trPr>
        <w:tc>
          <w:tcPr>
            <w:tcW w:w="816" w:type="dxa"/>
            <w:noWrap w:val="0"/>
            <w:vAlign w:val="center"/>
          </w:tcPr>
          <w:p>
            <w:pPr>
              <w:pStyle w:val="40"/>
              <w:adjustRightInd w:val="0"/>
              <w:snapToGrid w:val="0"/>
              <w:spacing w:line="300" w:lineRule="auto"/>
              <w:jc w:val="center"/>
              <w:rPr>
                <w:rFonts w:ascii="Times New Roman" w:hAnsi="Times New Roman"/>
                <w:color w:val="auto"/>
                <w:highlight w:val="none"/>
              </w:rPr>
            </w:pPr>
          </w:p>
        </w:tc>
        <w:tc>
          <w:tcPr>
            <w:tcW w:w="8585" w:type="dxa"/>
            <w:gridSpan w:val="8"/>
            <w:noWrap w:val="0"/>
            <w:vAlign w:val="center"/>
          </w:tcPr>
          <w:p>
            <w:pPr>
              <w:pStyle w:val="40"/>
              <w:adjustRightInd w:val="0"/>
              <w:snapToGrid w:val="0"/>
              <w:spacing w:line="300" w:lineRule="auto"/>
              <w:jc w:val="left"/>
              <w:rPr>
                <w:rFonts w:ascii="Times New Roman" w:hAnsi="Times New Roman"/>
                <w:color w:val="auto"/>
                <w:highlight w:val="none"/>
              </w:rPr>
            </w:pPr>
            <w:r>
              <w:rPr>
                <w:rFonts w:ascii="Times New Roman" w:hAnsi="Times New Roman"/>
                <w:color w:val="auto"/>
                <w:highlight w:val="none"/>
              </w:rPr>
              <w:t>投标总价：</w:t>
            </w:r>
          </w:p>
        </w:tc>
      </w:tr>
    </w:tbl>
    <w:p>
      <w:pPr>
        <w:pStyle w:val="40"/>
        <w:adjustRightInd w:val="0"/>
        <w:snapToGrid w:val="0"/>
        <w:spacing w:line="300" w:lineRule="auto"/>
        <w:ind w:firstLine="480"/>
        <w:rPr>
          <w:rFonts w:ascii="Times New Roman" w:hAnsi="Times New Roman"/>
          <w:color w:val="auto"/>
          <w:highlight w:val="none"/>
        </w:rPr>
      </w:pPr>
    </w:p>
    <w:p>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说明：</w:t>
      </w:r>
      <w:r>
        <w:rPr>
          <w:rFonts w:ascii="Times New Roman" w:hAnsi="Times New Roman"/>
          <w:color w:val="auto"/>
          <w:highlight w:val="none"/>
        </w:rPr>
        <w:tab/>
      </w:r>
      <w:r>
        <w:rPr>
          <w:rFonts w:ascii="Times New Roman" w:hAnsi="Times New Roman"/>
          <w:color w:val="auto"/>
          <w:highlight w:val="none"/>
        </w:rPr>
        <w:t>表格可扩展。</w:t>
      </w:r>
    </w:p>
    <w:p>
      <w:pPr>
        <w:pStyle w:val="40"/>
        <w:adjustRightInd w:val="0"/>
        <w:snapToGrid w:val="0"/>
        <w:spacing w:line="300" w:lineRule="auto"/>
        <w:ind w:firstLine="480"/>
        <w:rPr>
          <w:rFonts w:ascii="Times New Roman" w:hAnsi="Times New Roman"/>
          <w:color w:val="auto"/>
          <w:highlight w:val="none"/>
        </w:rPr>
      </w:pPr>
    </w:p>
    <w:p>
      <w:pPr>
        <w:pStyle w:val="40"/>
        <w:adjustRightInd w:val="0"/>
        <w:snapToGrid w:val="0"/>
        <w:spacing w:line="300" w:lineRule="auto"/>
        <w:ind w:firstLine="48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pPr>
        <w:pStyle w:val="40"/>
        <w:adjustRightInd w:val="0"/>
        <w:snapToGrid w:val="0"/>
        <w:spacing w:line="300" w:lineRule="auto"/>
        <w:ind w:firstLine="480"/>
        <w:rPr>
          <w:rFonts w:ascii="Times New Roman" w:hAnsi="Times New Roman"/>
          <w:color w:val="auto"/>
          <w:highlight w:val="none"/>
        </w:rPr>
      </w:pPr>
    </w:p>
    <w:p>
      <w:pPr>
        <w:pStyle w:val="40"/>
        <w:adjustRightInd w:val="0"/>
        <w:snapToGrid w:val="0"/>
        <w:spacing w:line="300" w:lineRule="auto"/>
        <w:ind w:firstLine="480"/>
        <w:rPr>
          <w:rFonts w:ascii="Times New Roman" w:hAnsi="Times New Roman"/>
          <w:color w:val="auto"/>
          <w:highlight w:val="none"/>
        </w:rPr>
      </w:pPr>
    </w:p>
    <w:p>
      <w:pPr>
        <w:pStyle w:val="40"/>
        <w:adjustRightInd w:val="0"/>
        <w:snapToGrid w:val="0"/>
        <w:spacing w:line="300" w:lineRule="auto"/>
        <w:ind w:firstLine="480"/>
        <w:rPr>
          <w:rFonts w:ascii="Times New Roman" w:hAnsi="Times New Roman"/>
          <w:color w:val="auto"/>
          <w:kern w:val="0"/>
          <w:szCs w:val="21"/>
          <w:highlight w:val="non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pPr>
        <w:pStyle w:val="3"/>
        <w:ind w:firstLine="422"/>
        <w:rPr>
          <w:rFonts w:ascii="Times New Roman" w:hAnsi="Times New Roman"/>
          <w:color w:val="auto"/>
          <w:kern w:val="0"/>
          <w:szCs w:val="21"/>
          <w:highlight w:val="none"/>
        </w:rPr>
      </w:pPr>
      <w:r>
        <w:rPr>
          <w:rFonts w:ascii="Times New Roman" w:hAnsi="Times New Roman"/>
          <w:color w:val="auto"/>
          <w:kern w:val="0"/>
          <w:szCs w:val="21"/>
          <w:highlight w:val="none"/>
        </w:rPr>
        <w:br w:type="page"/>
      </w:r>
      <w:r>
        <w:rPr>
          <w:rFonts w:ascii="Times New Roman" w:hAnsi="Times New Roman"/>
          <w:color w:val="auto"/>
          <w:kern w:val="0"/>
          <w:szCs w:val="21"/>
          <w:highlight w:val="none"/>
        </w:rPr>
        <w:t>3</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pPr>
        <w:pStyle w:val="3"/>
        <w:ind w:firstLine="413" w:firstLineChars="196"/>
        <w:rPr>
          <w:rFonts w:ascii="Times New Roman" w:hAnsi="Times New Roman"/>
          <w:color w:val="auto"/>
          <w:highlight w:val="none"/>
        </w:rPr>
      </w:pPr>
      <w:r>
        <w:rPr>
          <w:rFonts w:ascii="Times New Roman" w:hAnsi="Times New Roman"/>
          <w:color w:val="auto"/>
          <w:kern w:val="0"/>
          <w:szCs w:val="21"/>
          <w:highlight w:val="none"/>
        </w:rPr>
        <w:br w:type="page"/>
      </w:r>
      <w:bookmarkStart w:id="41" w:name="_Toc437953149"/>
      <w:bookmarkStart w:id="42" w:name="_Toc345575538"/>
      <w:bookmarkStart w:id="43" w:name="_Toc336683578"/>
      <w:r>
        <w:rPr>
          <w:rFonts w:hint="eastAsia" w:ascii="Times New Roman" w:hAnsi="Times New Roman"/>
          <w:color w:val="auto"/>
          <w:kern w:val="0"/>
          <w:highlight w:val="none"/>
        </w:rPr>
        <w:t>资格文件</w:t>
      </w:r>
      <w:r>
        <w:rPr>
          <w:rFonts w:ascii="Times New Roman" w:hAnsi="Times New Roman"/>
          <w:color w:val="auto"/>
          <w:kern w:val="0"/>
          <w:highlight w:val="none"/>
        </w:rPr>
        <w:t>封面</w:t>
      </w:r>
      <w:bookmarkEnd w:id="41"/>
    </w:p>
    <w:p>
      <w:pPr>
        <w:tabs>
          <w:tab w:val="left" w:pos="2580"/>
          <w:tab w:val="left" w:pos="5940"/>
        </w:tabs>
        <w:autoSpaceDE w:val="0"/>
        <w:autoSpaceDN w:val="0"/>
        <w:adjustRightInd w:val="0"/>
        <w:snapToGrid w:val="0"/>
        <w:spacing w:line="300" w:lineRule="auto"/>
        <w:ind w:right="-20" w:firstLine="735" w:firstLineChars="350"/>
        <w:rPr>
          <w:color w:val="auto"/>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rFonts w:hint="eastAsia"/>
          <w:color w:val="auto"/>
          <w:kern w:val="0"/>
          <w:sz w:val="24"/>
          <w:highlight w:val="none"/>
          <w:u w:val="single"/>
          <w:lang w:eastAsia="zh-CN"/>
        </w:rPr>
        <w:t xml:space="preserve">            </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rFonts w:hint="eastAsia"/>
          <w:color w:val="auto"/>
          <w:kern w:val="0"/>
          <w:sz w:val="24"/>
          <w:highlight w:val="none"/>
          <w:u w:val="single"/>
          <w:lang w:eastAsia="zh-CN"/>
        </w:rPr>
        <w:t xml:space="preserve">            </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rFonts w:hint="eastAsia"/>
          <w:color w:val="auto"/>
          <w:kern w:val="0"/>
          <w:sz w:val="24"/>
          <w:highlight w:val="none"/>
          <w:u w:val="single"/>
          <w:lang w:eastAsia="zh-CN"/>
        </w:rPr>
        <w:t xml:space="preserve">      </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w:t>
      </w:r>
      <w:r>
        <w:rPr>
          <w:rFonts w:hint="eastAsia"/>
          <w:color w:val="auto"/>
          <w:kern w:val="0"/>
          <w:sz w:val="52"/>
          <w:highlight w:val="none"/>
        </w:rPr>
        <w:t>资格文件</w:t>
      </w:r>
      <w:r>
        <w:rPr>
          <w:color w:val="auto"/>
          <w:kern w:val="0"/>
          <w:sz w:val="52"/>
          <w:highlight w:val="none"/>
        </w:rPr>
        <w:t>）</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rFonts w:hint="eastAsia"/>
          <w:color w:val="auto"/>
          <w:kern w:val="0"/>
          <w:sz w:val="28"/>
          <w:highlight w:val="none"/>
          <w:u w:val="single"/>
          <w:lang w:eastAsia="zh-CN"/>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bookmarkEnd w:id="42"/>
    <w:bookmarkEnd w:id="43"/>
    <w:p>
      <w:pPr>
        <w:pStyle w:val="192"/>
        <w:snapToGrid w:val="0"/>
        <w:spacing w:line="360" w:lineRule="auto"/>
        <w:ind w:firstLine="420"/>
        <w:rPr>
          <w:rFonts w:hint="eastAsia" w:ascii="Times New Roman" w:hAnsi="Times New Roman"/>
          <w:color w:val="auto"/>
          <w:highlight w:val="none"/>
        </w:rPr>
      </w:pPr>
      <w:r>
        <w:rPr>
          <w:rFonts w:hint="eastAsia"/>
          <w:color w:val="auto"/>
          <w:highlight w:val="none"/>
        </w:rPr>
        <w:t>以联合体形式参加本项目投标的，联合体各方均应当提供如下资格证明材料。</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（1）符合《中华人民共和国政府采购法》第二十二条规定的相关证明材料；</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a.具有独立承担民事责任能力的证明材料；</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b.符合参与政府采购活动资格条件的承诺函；</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c.商业信誉：</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pPr>
        <w:pStyle w:val="192"/>
        <w:snapToGrid w:val="0"/>
        <w:spacing w:line="360" w:lineRule="auto"/>
        <w:ind w:firstLine="420"/>
        <w:rPr>
          <w:rFonts w:hint="eastAsia" w:ascii="Times New Roman" w:hAnsi="Times New Roman"/>
          <w:color w:val="auto"/>
          <w:highlight w:val="none"/>
        </w:rPr>
      </w:pPr>
      <w:r>
        <w:rPr>
          <w:rFonts w:hint="eastAsia"/>
          <w:color w:val="auto"/>
          <w:highlight w:val="none"/>
        </w:rPr>
        <w:t>（2）落实政府采购政策需满足的资格要求：供应商为中小企业或小微企业，本项目专门面向中小企业采购（监狱企业及残疾人福利性单位视同小型、微型企业）</w:t>
      </w:r>
    </w:p>
    <w:p>
      <w:pPr>
        <w:spacing w:line="360" w:lineRule="auto"/>
        <w:ind w:firstLine="420" w:firstLineChars="200"/>
        <w:rPr>
          <w:rFonts w:hint="eastAsia"/>
          <w:color w:val="auto"/>
          <w:highlight w:val="none"/>
        </w:rPr>
      </w:pPr>
      <w:r>
        <w:rPr>
          <w:rFonts w:hint="eastAsia"/>
          <w:color w:val="auto"/>
          <w:highlight w:val="none"/>
        </w:rPr>
        <w:t>必须提供下述1）、2）、3）三个文件中的至少一个：</w:t>
      </w:r>
    </w:p>
    <w:p>
      <w:pPr>
        <w:spacing w:line="360" w:lineRule="auto"/>
        <w:ind w:firstLine="420" w:firstLineChars="200"/>
        <w:rPr>
          <w:rFonts w:hint="eastAsia"/>
          <w:color w:val="auto"/>
          <w:highlight w:val="none"/>
        </w:rPr>
      </w:pPr>
      <w:r>
        <w:rPr>
          <w:rFonts w:hint="eastAsia"/>
          <w:color w:val="auto"/>
          <w:highlight w:val="none"/>
        </w:rPr>
        <w:t>1</w:t>
      </w:r>
      <w:r>
        <w:rPr>
          <w:color w:val="auto"/>
          <w:highlight w:val="none"/>
        </w:rPr>
        <w:t>）中小企业声明函</w:t>
      </w:r>
      <w:r>
        <w:rPr>
          <w:rFonts w:hint="eastAsia"/>
          <w:color w:val="auto"/>
          <w:highlight w:val="none"/>
        </w:rPr>
        <w:t>；</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2</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为监狱企业的证明文件：省级以上监狱管理局、戒毒管理局（含新疆生产建设兵团）出具</w:t>
      </w:r>
      <w:r>
        <w:rPr>
          <w:rFonts w:hint="eastAsia" w:ascii="Times New Roman" w:hAnsi="Times New Roman"/>
          <w:color w:val="auto"/>
          <w:highlight w:val="none"/>
        </w:rPr>
        <w:t>；</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w:t>
      </w:r>
      <w:r>
        <w:rPr>
          <w:rFonts w:ascii="Times New Roman" w:hAnsi="Times New Roman"/>
          <w:color w:val="auto"/>
          <w:highlight w:val="none"/>
        </w:rPr>
        <w:t>）残疾人福利性单位声明函</w:t>
      </w:r>
      <w:r>
        <w:rPr>
          <w:rFonts w:hint="eastAsia" w:ascii="Times New Roman" w:hAnsi="Times New Roman"/>
          <w:color w:val="auto"/>
          <w:highlight w:val="none"/>
        </w:rPr>
        <w:t>；</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（3）特定资格条件：无。</w:t>
      </w:r>
    </w:p>
    <w:p>
      <w:pPr>
        <w:pStyle w:val="192"/>
        <w:snapToGrid w:val="0"/>
        <w:spacing w:line="360" w:lineRule="auto"/>
        <w:ind w:firstLine="420"/>
        <w:rPr>
          <w:color w:val="auto"/>
          <w:highlight w:val="none"/>
        </w:rPr>
      </w:pPr>
      <w:r>
        <w:rPr>
          <w:rFonts w:hint="eastAsia" w:ascii="Times New Roman" w:hAnsi="Times New Roman"/>
          <w:color w:val="auto"/>
          <w:highlight w:val="none"/>
        </w:rPr>
        <w:t>（4）联合协议（如为联合体投标）。</w:t>
      </w:r>
    </w:p>
    <w:p>
      <w:pPr>
        <w:pStyle w:val="73"/>
        <w:tabs>
          <w:tab w:val="left" w:pos="630"/>
          <w:tab w:val="left" w:pos="840"/>
          <w:tab w:val="left" w:pos="1050"/>
        </w:tabs>
        <w:adjustRightInd w:val="0"/>
        <w:snapToGrid w:val="0"/>
        <w:spacing w:before="0" w:beforeAutospacing="0" w:after="0" w:afterAutospacing="0" w:line="360" w:lineRule="auto"/>
        <w:rPr>
          <w:rFonts w:hint="eastAsia" w:cs="宋体"/>
          <w:bCs/>
          <w:color w:val="auto"/>
          <w:sz w:val="21"/>
          <w:szCs w:val="21"/>
          <w:highlight w:val="none"/>
        </w:rPr>
      </w:pPr>
      <w:r>
        <w:rPr>
          <w:rFonts w:ascii="Times New Roman" w:hAnsi="Times New Roman"/>
          <w:color w:val="auto"/>
          <w:highlight w:val="none"/>
        </w:rPr>
        <w:br w:type="page"/>
      </w:r>
      <w:r>
        <w:rPr>
          <w:rFonts w:hint="eastAsia" w:cs="宋体"/>
          <w:bCs/>
          <w:color w:val="auto"/>
          <w:sz w:val="21"/>
          <w:szCs w:val="21"/>
          <w:highlight w:val="none"/>
        </w:rPr>
        <w:t>基本资格条件相关证明材料</w:t>
      </w:r>
    </w:p>
    <w:p>
      <w:pPr>
        <w:pStyle w:val="73"/>
        <w:numPr>
          <w:ilvl w:val="0"/>
          <w:numId w:val="9"/>
        </w:numPr>
        <w:tabs>
          <w:tab w:val="left" w:pos="630"/>
          <w:tab w:val="left" w:pos="840"/>
          <w:tab w:val="left" w:pos="1050"/>
        </w:tabs>
        <w:adjustRightInd w:val="0"/>
        <w:snapToGrid w:val="0"/>
        <w:spacing w:before="0" w:beforeAutospacing="0" w:after="0" w:afterAutospacing="0" w:line="360" w:lineRule="auto"/>
        <w:ind w:hanging="5"/>
        <w:rPr>
          <w:rFonts w:hint="eastAsia" w:cs="宋体"/>
          <w:bCs/>
          <w:color w:val="auto"/>
          <w:sz w:val="21"/>
          <w:szCs w:val="21"/>
          <w:highlight w:val="none"/>
        </w:rPr>
      </w:pPr>
      <w:r>
        <w:rPr>
          <w:rFonts w:hint="eastAsia" w:cs="宋体"/>
          <w:bCs/>
          <w:color w:val="auto"/>
          <w:sz w:val="21"/>
          <w:szCs w:val="21"/>
          <w:highlight w:val="none"/>
        </w:rPr>
        <w:t>具有独立承担民事责任能力的证明材料：</w:t>
      </w:r>
    </w:p>
    <w:p>
      <w:pPr>
        <w:pStyle w:val="73"/>
        <w:tabs>
          <w:tab w:val="left" w:pos="630"/>
          <w:tab w:val="left" w:pos="840"/>
          <w:tab w:val="left" w:pos="1050"/>
        </w:tabs>
        <w:adjustRightInd w:val="0"/>
        <w:snapToGrid w:val="0"/>
        <w:spacing w:before="0" w:beforeAutospacing="0" w:after="0" w:afterAutospacing="0" w:line="360" w:lineRule="auto"/>
        <w:ind w:left="420"/>
        <w:rPr>
          <w:rFonts w:hint="eastAsia" w:cs="宋体"/>
          <w:bCs/>
          <w:color w:val="auto"/>
          <w:sz w:val="21"/>
          <w:szCs w:val="21"/>
          <w:highlight w:val="none"/>
        </w:rPr>
      </w:pPr>
      <w:r>
        <w:rPr>
          <w:rFonts w:hint="eastAsia" w:cs="宋体"/>
          <w:bCs/>
          <w:color w:val="auto"/>
          <w:sz w:val="21"/>
          <w:szCs w:val="21"/>
          <w:highlight w:val="none"/>
        </w:rPr>
        <w:t>投标人须在投标文件中出具符合以下情况的证明材料复印件（五选一）：</w:t>
      </w:r>
    </w:p>
    <w:p>
      <w:pPr>
        <w:pStyle w:val="73"/>
        <w:numPr>
          <w:ilvl w:val="0"/>
          <w:numId w:val="10"/>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如投标人是企业（包括合伙企业），提供在工商部门注册的有效“企业法人营业执照”或“营业执照”；</w:t>
      </w:r>
    </w:p>
    <w:p>
      <w:pPr>
        <w:pStyle w:val="73"/>
        <w:numPr>
          <w:ilvl w:val="0"/>
          <w:numId w:val="10"/>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如投标人是事业单位，提供有效的“事业单位法人证书”；</w:t>
      </w:r>
    </w:p>
    <w:p>
      <w:pPr>
        <w:pStyle w:val="73"/>
        <w:numPr>
          <w:ilvl w:val="0"/>
          <w:numId w:val="10"/>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如投标人是非企业专业服务机构的，提供执业许可证等证明文件；</w:t>
      </w:r>
    </w:p>
    <w:p>
      <w:pPr>
        <w:pStyle w:val="73"/>
        <w:numPr>
          <w:ilvl w:val="0"/>
          <w:numId w:val="10"/>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如投标人是个体工商户，提供有效的“个体工商户营业执照”；</w:t>
      </w:r>
    </w:p>
    <w:p>
      <w:pPr>
        <w:pStyle w:val="73"/>
        <w:numPr>
          <w:ilvl w:val="0"/>
          <w:numId w:val="10"/>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如投标人是自然人，提供有效的自然人身份证明（居民身份证正反面或公安机关出具的临时居民身份证正反面或港澳台胞证或护照）。</w:t>
      </w:r>
    </w:p>
    <w:p>
      <w:pPr>
        <w:pStyle w:val="73"/>
        <w:tabs>
          <w:tab w:val="left" w:pos="312"/>
        </w:tabs>
        <w:adjustRightInd w:val="0"/>
        <w:snapToGrid w:val="0"/>
        <w:spacing w:before="0" w:beforeAutospacing="0" w:after="0" w:afterAutospacing="0" w:line="360" w:lineRule="auto"/>
        <w:rPr>
          <w:rFonts w:hint="eastAsia" w:cs="宋体"/>
          <w:bCs/>
          <w:color w:val="auto"/>
          <w:sz w:val="21"/>
          <w:szCs w:val="21"/>
          <w:highlight w:val="none"/>
        </w:rPr>
      </w:pPr>
    </w:p>
    <w:p>
      <w:pPr>
        <w:pStyle w:val="73"/>
        <w:tabs>
          <w:tab w:val="left" w:pos="312"/>
        </w:tabs>
        <w:adjustRightInd w:val="0"/>
        <w:snapToGrid w:val="0"/>
        <w:spacing w:before="0" w:beforeAutospacing="0" w:after="0" w:afterAutospacing="0" w:line="360" w:lineRule="auto"/>
        <w:ind w:left="420" w:leftChars="200"/>
        <w:rPr>
          <w:rFonts w:hint="eastAsia" w:cs="宋体"/>
          <w:color w:val="auto"/>
          <w:sz w:val="21"/>
          <w:szCs w:val="21"/>
          <w:highlight w:val="none"/>
        </w:rPr>
      </w:pPr>
      <w:r>
        <w:rPr>
          <w:rFonts w:hint="eastAsia" w:cs="宋体"/>
          <w:b/>
          <w:bCs/>
          <w:color w:val="auto"/>
          <w:sz w:val="21"/>
          <w:szCs w:val="21"/>
          <w:highlight w:val="none"/>
        </w:rPr>
        <w:br w:type="page"/>
      </w:r>
    </w:p>
    <w:p>
      <w:pPr>
        <w:pStyle w:val="73"/>
        <w:numPr>
          <w:ilvl w:val="0"/>
          <w:numId w:val="9"/>
        </w:numPr>
        <w:tabs>
          <w:tab w:val="left" w:pos="630"/>
          <w:tab w:val="left" w:pos="840"/>
          <w:tab w:val="left" w:pos="1050"/>
        </w:tabs>
        <w:adjustRightInd w:val="0"/>
        <w:snapToGrid w:val="0"/>
        <w:spacing w:before="0" w:beforeAutospacing="0" w:after="0" w:afterAutospacing="0" w:line="360" w:lineRule="auto"/>
        <w:ind w:hanging="5"/>
        <w:rPr>
          <w:rFonts w:hint="eastAsia" w:cs="宋体"/>
          <w:color w:val="auto"/>
          <w:sz w:val="21"/>
          <w:szCs w:val="21"/>
          <w:highlight w:val="none"/>
        </w:rPr>
      </w:pPr>
      <w:r>
        <w:rPr>
          <w:rFonts w:hint="eastAsia" w:cs="宋体"/>
          <w:color w:val="auto"/>
          <w:sz w:val="21"/>
          <w:szCs w:val="21"/>
          <w:highlight w:val="none"/>
        </w:rPr>
        <w:t>符合参与政府采购活动资格条件的承诺函：</w:t>
      </w:r>
    </w:p>
    <w:p>
      <w:pPr>
        <w:pStyle w:val="73"/>
        <w:adjustRightInd w:val="0"/>
        <w:snapToGrid w:val="0"/>
        <w:spacing w:before="0" w:beforeAutospacing="0" w:after="0" w:afterAutospacing="0" w:line="360" w:lineRule="auto"/>
        <w:ind w:left="420" w:leftChars="200"/>
        <w:rPr>
          <w:rFonts w:hint="eastAsia" w:cs="宋体"/>
          <w:color w:val="auto"/>
          <w:sz w:val="21"/>
          <w:szCs w:val="21"/>
          <w:highlight w:val="none"/>
        </w:rPr>
      </w:pPr>
    </w:p>
    <w:p>
      <w:pPr>
        <w:pStyle w:val="73"/>
        <w:adjustRightInd w:val="0"/>
        <w:snapToGrid w:val="0"/>
        <w:spacing w:before="0" w:beforeAutospacing="0" w:after="0" w:afterAutospacing="0" w:line="360" w:lineRule="auto"/>
        <w:jc w:val="center"/>
        <w:rPr>
          <w:rFonts w:hint="eastAsia" w:cs="宋体"/>
          <w:color w:val="auto"/>
          <w:sz w:val="32"/>
          <w:szCs w:val="32"/>
          <w:highlight w:val="none"/>
        </w:rPr>
      </w:pPr>
      <w:r>
        <w:rPr>
          <w:rFonts w:hint="eastAsia" w:cs="宋体"/>
          <w:color w:val="auto"/>
          <w:sz w:val="32"/>
          <w:szCs w:val="32"/>
          <w:highlight w:val="none"/>
        </w:rPr>
        <w:t>承诺函</w:t>
      </w:r>
    </w:p>
    <w:p>
      <w:pPr>
        <w:spacing w:line="480" w:lineRule="auto"/>
        <w:rPr>
          <w:rFonts w:hint="eastAsia" w:ascii="宋体" w:hAnsi="宋体" w:cs="宋体"/>
          <w:color w:val="auto"/>
          <w:szCs w:val="21"/>
          <w:highlight w:val="none"/>
          <w:u w:val="single"/>
        </w:rPr>
      </w:pPr>
    </w:p>
    <w:p>
      <w:pPr>
        <w:spacing w:line="48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（采购人）：</w:t>
      </w:r>
    </w:p>
    <w:p>
      <w:pPr>
        <w:pStyle w:val="73"/>
        <w:spacing w:before="0" w:beforeAutospacing="0" w:after="0" w:afterAutospacing="0" w:line="480" w:lineRule="auto"/>
        <w:ind w:firstLine="840" w:firstLineChars="400"/>
        <w:rPr>
          <w:rFonts w:hint="eastAsia" w:cs="宋体"/>
          <w:color w:val="auto"/>
          <w:sz w:val="21"/>
          <w:szCs w:val="21"/>
          <w:highlight w:val="none"/>
        </w:rPr>
      </w:pPr>
    </w:p>
    <w:p>
      <w:pPr>
        <w:pStyle w:val="73"/>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w:t>
      </w:r>
      <w:r>
        <w:rPr>
          <w:rFonts w:hint="eastAsia" w:cs="宋体"/>
          <w:color w:val="auto"/>
          <w:sz w:val="21"/>
          <w:szCs w:val="21"/>
          <w:highlight w:val="none"/>
          <w:u w:val="single"/>
          <w:lang w:eastAsia="zh-CN"/>
        </w:rPr>
        <w:t xml:space="preserve">  </w:t>
      </w:r>
      <w:r>
        <w:rPr>
          <w:rFonts w:hint="eastAsia" w:cs="宋体"/>
          <w:i/>
          <w:iCs/>
          <w:color w:val="auto"/>
          <w:sz w:val="21"/>
          <w:szCs w:val="21"/>
          <w:highlight w:val="none"/>
          <w:u w:val="single"/>
        </w:rPr>
        <w:t>（投标人全称）</w:t>
      </w:r>
      <w:r>
        <w:rPr>
          <w:rFonts w:hint="eastAsia" w:cs="宋体"/>
          <w:color w:val="auto"/>
          <w:sz w:val="21"/>
          <w:szCs w:val="21"/>
          <w:highlight w:val="none"/>
          <w:u w:val="single"/>
        </w:rPr>
        <w:t xml:space="preserve">  </w:t>
      </w:r>
      <w:r>
        <w:rPr>
          <w:rFonts w:hint="eastAsia" w:cs="宋体"/>
          <w:color w:val="auto"/>
          <w:sz w:val="21"/>
          <w:szCs w:val="21"/>
          <w:highlight w:val="none"/>
        </w:rPr>
        <w:t>参与</w:t>
      </w:r>
      <w:r>
        <w:rPr>
          <w:rFonts w:hint="eastAsia" w:cs="宋体"/>
          <w:color w:val="auto"/>
          <w:sz w:val="21"/>
          <w:szCs w:val="21"/>
          <w:highlight w:val="none"/>
          <w:u w:val="single"/>
          <w:lang w:eastAsia="zh-CN"/>
        </w:rPr>
        <w:t xml:space="preserve">  </w:t>
      </w:r>
      <w:r>
        <w:rPr>
          <w:rFonts w:hint="eastAsia" w:cs="宋体"/>
          <w:i/>
          <w:iCs/>
          <w:color w:val="auto"/>
          <w:sz w:val="21"/>
          <w:szCs w:val="21"/>
          <w:highlight w:val="none"/>
          <w:u w:val="single"/>
        </w:rPr>
        <w:t xml:space="preserve">  （项目名称）   </w:t>
      </w:r>
      <w:r>
        <w:rPr>
          <w:rFonts w:hint="eastAsia" w:cs="宋体"/>
          <w:color w:val="auto"/>
          <w:sz w:val="21"/>
          <w:szCs w:val="21"/>
          <w:highlight w:val="none"/>
        </w:rPr>
        <w:t>政府采购活动，针对《中华人民共和国政府采购法》第二十二条所述条件做如下承诺：</w:t>
      </w:r>
    </w:p>
    <w:p>
      <w:pPr>
        <w:pStyle w:val="73"/>
        <w:numPr>
          <w:ilvl w:val="0"/>
          <w:numId w:val="11"/>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我方具有良好的商业信誉和健全的财务会计制度；</w:t>
      </w:r>
    </w:p>
    <w:p>
      <w:pPr>
        <w:pStyle w:val="73"/>
        <w:numPr>
          <w:ilvl w:val="0"/>
          <w:numId w:val="11"/>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我方具有履行本项目合同所必需的设备和专业技术能力；</w:t>
      </w:r>
    </w:p>
    <w:p>
      <w:pPr>
        <w:pStyle w:val="73"/>
        <w:numPr>
          <w:ilvl w:val="0"/>
          <w:numId w:val="11"/>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我方没有缴纳税收和社会保障等方面的失信记录；</w:t>
      </w:r>
    </w:p>
    <w:p>
      <w:pPr>
        <w:pStyle w:val="73"/>
        <w:numPr>
          <w:ilvl w:val="0"/>
          <w:numId w:val="11"/>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73"/>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我方对上述承诺内容的真实性负责。如有虚假，将依法承担相应责任。</w:t>
      </w:r>
    </w:p>
    <w:p>
      <w:pPr>
        <w:pStyle w:val="73"/>
        <w:spacing w:before="0" w:beforeAutospacing="0" w:after="0" w:afterAutospacing="0" w:line="480" w:lineRule="auto"/>
        <w:ind w:firstLine="420" w:firstLineChars="200"/>
        <w:rPr>
          <w:rFonts w:hint="eastAsia" w:cs="宋体"/>
          <w:color w:val="auto"/>
          <w:sz w:val="21"/>
          <w:szCs w:val="21"/>
          <w:highlight w:val="none"/>
        </w:rPr>
      </w:pPr>
    </w:p>
    <w:p>
      <w:pPr>
        <w:pStyle w:val="73"/>
        <w:spacing w:before="0" w:beforeAutospacing="0" w:after="0" w:afterAutospacing="0" w:line="480" w:lineRule="auto"/>
        <w:ind w:firstLine="422" w:firstLineChars="200"/>
        <w:rPr>
          <w:rFonts w:hint="eastAsia" w:cs="宋体"/>
          <w:b/>
          <w:bCs/>
          <w:color w:val="auto"/>
          <w:sz w:val="21"/>
          <w:szCs w:val="21"/>
          <w:highlight w:val="none"/>
        </w:rPr>
      </w:pPr>
    </w:p>
    <w:p>
      <w:pPr>
        <w:pStyle w:val="73"/>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供应商名称（盖单位公章或电子签章）：</w:t>
      </w:r>
    </w:p>
    <w:p>
      <w:pPr>
        <w:pStyle w:val="3"/>
        <w:ind w:firstLine="411" w:firstLineChars="196"/>
        <w:rPr>
          <w:rFonts w:hint="eastAsia" w:ascii="Times New Roman" w:hAnsi="Times New Roman" w:eastAsia="宋体"/>
          <w:color w:val="auto"/>
          <w:highlight w:val="none"/>
          <w:lang w:eastAsia="zh-CN"/>
        </w:rPr>
      </w:pPr>
      <w:r>
        <w:rPr>
          <w:rFonts w:hint="eastAsia" w:ascii="宋体" w:hAnsi="宋体" w:cs="宋体"/>
          <w:b w:val="0"/>
          <w:bCs w:val="0"/>
          <w:color w:val="auto"/>
          <w:szCs w:val="21"/>
          <w:highlight w:val="none"/>
        </w:rPr>
        <w:t>日期：  年  月  日</w:t>
      </w:r>
      <w:r>
        <w:rPr>
          <w:rFonts w:hint="eastAsia" w:ascii="宋体" w:hAnsi="宋体" w:cs="宋体"/>
          <w:b w:val="0"/>
          <w:bCs w:val="0"/>
          <w:color w:val="auto"/>
          <w:szCs w:val="21"/>
          <w:highlight w:val="none"/>
          <w:lang w:eastAsia="zh-CN"/>
        </w:rPr>
        <w:t xml:space="preserve">  </w:t>
      </w:r>
    </w:p>
    <w:p>
      <w:pPr>
        <w:pStyle w:val="192"/>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（2）落实政府采购政策需满足的资格要求：供应商为中小企业或小微企业，本项目专门面向中小企业采购（监狱企业及残疾人福利性单位视同小型、微型企业）</w:t>
      </w:r>
    </w:p>
    <w:p>
      <w:pPr>
        <w:pStyle w:val="3"/>
        <w:ind w:firstLine="411" w:firstLineChars="196"/>
        <w:rPr>
          <w:rFonts w:hint="eastAsia" w:ascii="Times New Roman" w:hAnsi="Times New Roman"/>
          <w:b w:val="0"/>
          <w:bCs w:val="0"/>
          <w:color w:val="auto"/>
          <w:highlight w:val="none"/>
        </w:rPr>
      </w:pPr>
    </w:p>
    <w:p>
      <w:pPr>
        <w:ind w:firstLine="420" w:firstLineChars="200"/>
        <w:rPr>
          <w:rFonts w:hint="eastAsia"/>
          <w:color w:val="auto"/>
          <w:highlight w:val="none"/>
        </w:rPr>
      </w:pPr>
      <w:r>
        <w:rPr>
          <w:rFonts w:hint="eastAsia"/>
          <w:color w:val="auto"/>
          <w:highlight w:val="none"/>
        </w:rPr>
        <w:t>必须提供下述1）、2）、3）三个文件中的至少一个：</w:t>
      </w:r>
    </w:p>
    <w:p>
      <w:pPr>
        <w:rPr>
          <w:rFonts w:hint="eastAsia"/>
          <w:color w:val="auto"/>
          <w:highlight w:val="none"/>
        </w:rPr>
      </w:pPr>
    </w:p>
    <w:p>
      <w:pPr>
        <w:pStyle w:val="3"/>
        <w:ind w:firstLine="411" w:firstLineChars="196"/>
        <w:rPr>
          <w:rFonts w:ascii="Times New Roman" w:hAnsi="Times New Roman"/>
          <w:color w:val="auto"/>
          <w:highlight w:val="none"/>
        </w:rPr>
      </w:pPr>
      <w:r>
        <w:rPr>
          <w:rFonts w:hint="eastAsia" w:ascii="Times New Roman" w:hAnsi="Times New Roman"/>
          <w:b w:val="0"/>
          <w:bCs w:val="0"/>
          <w:color w:val="auto"/>
          <w:highlight w:val="none"/>
        </w:rPr>
        <w:br w:type="page"/>
      </w:r>
      <w:r>
        <w:rPr>
          <w:rFonts w:hint="eastAsia" w:ascii="Times New Roman" w:hAnsi="Times New Roman"/>
          <w:b w:val="0"/>
          <w:bCs w:val="0"/>
          <w:color w:val="auto"/>
          <w:highlight w:val="none"/>
        </w:rPr>
        <w:t>1）</w:t>
      </w:r>
      <w:r>
        <w:rPr>
          <w:rFonts w:ascii="Times New Roman" w:hAnsi="Times New Roman"/>
          <w:color w:val="auto"/>
          <w:highlight w:val="none"/>
        </w:rPr>
        <w:t>中小企业声明函</w:t>
      </w:r>
    </w:p>
    <w:p>
      <w:pPr>
        <w:snapToGrid w:val="0"/>
        <w:spacing w:line="360" w:lineRule="auto"/>
        <w:jc w:val="center"/>
        <w:rPr>
          <w:b/>
          <w:bCs/>
          <w:color w:val="auto"/>
          <w:sz w:val="32"/>
          <w:szCs w:val="32"/>
          <w:highlight w:val="none"/>
        </w:rPr>
      </w:pPr>
    </w:p>
    <w:p>
      <w:pPr>
        <w:widowControl/>
        <w:jc w:val="center"/>
        <w:rPr>
          <w:rFonts w:ascii="宋体" w:hAnsi="宋体" w:cs="宋体"/>
          <w:b/>
          <w:color w:val="auto"/>
          <w:sz w:val="36"/>
          <w:szCs w:val="36"/>
          <w:highlight w:val="none"/>
          <w:lang w:bidi="ar"/>
        </w:rPr>
      </w:pPr>
      <w:r>
        <w:rPr>
          <w:rFonts w:hint="eastAsia" w:ascii="宋体" w:hAnsi="宋体" w:cs="宋体"/>
          <w:b/>
          <w:color w:val="auto"/>
          <w:sz w:val="36"/>
          <w:szCs w:val="36"/>
          <w:highlight w:val="none"/>
          <w:lang w:bidi="ar"/>
        </w:rPr>
        <w:t>中小企业声明函（服务）</w:t>
      </w:r>
    </w:p>
    <w:p>
      <w:pPr>
        <w:widowControl/>
        <w:jc w:val="center"/>
        <w:rPr>
          <w:rFonts w:ascii="宋体" w:hAnsi="宋体" w:cs="宋体"/>
          <w:b/>
          <w:color w:val="auto"/>
          <w:sz w:val="36"/>
          <w:szCs w:val="36"/>
          <w:highlight w:val="none"/>
          <w:lang w:bidi="ar"/>
        </w:rPr>
      </w:pPr>
    </w:p>
    <w:p>
      <w:pPr>
        <w:widowControl/>
        <w:spacing w:line="360" w:lineRule="auto"/>
        <w:ind w:firstLine="420" w:firstLineChars="200"/>
        <w:jc w:val="left"/>
        <w:rPr>
          <w:color w:val="auto"/>
          <w:szCs w:val="21"/>
          <w:highlight w:val="none"/>
        </w:rPr>
      </w:pPr>
      <w:r>
        <w:rPr>
          <w:color w:val="auto"/>
          <w:szCs w:val="21"/>
          <w:highlight w:val="none"/>
          <w:lang w:bidi="ar"/>
        </w:rPr>
        <w:t>本公司（联合体）郑重声明，根据《政府采购促进中小企业发展管理办法》（财库﹝2020﹞46号）的规定，本公司（联合体）参加</w:t>
      </w:r>
      <w:r>
        <w:rPr>
          <w:i/>
          <w:color w:val="auto"/>
          <w:szCs w:val="21"/>
          <w:highlight w:val="none"/>
          <w:u w:val="single"/>
          <w:lang w:bidi="ar"/>
        </w:rPr>
        <w:t>（单位名称）</w:t>
      </w:r>
      <w:r>
        <w:rPr>
          <w:color w:val="auto"/>
          <w:szCs w:val="21"/>
          <w:highlight w:val="none"/>
          <w:lang w:bidi="ar"/>
        </w:rPr>
        <w:t>的</w:t>
      </w:r>
      <w:r>
        <w:rPr>
          <w:i/>
          <w:color w:val="auto"/>
          <w:szCs w:val="21"/>
          <w:highlight w:val="none"/>
          <w:u w:val="single"/>
          <w:lang w:bidi="ar"/>
        </w:rPr>
        <w:t>（项目名称）</w:t>
      </w:r>
      <w:r>
        <w:rPr>
          <w:color w:val="auto"/>
          <w:szCs w:val="21"/>
          <w:highlight w:val="none"/>
          <w:lang w:bidi="ar"/>
        </w:rPr>
        <w:t>采购活动，</w:t>
      </w:r>
      <w:r>
        <w:rPr>
          <w:rFonts w:hint="eastAsia" w:ascii="宋体" w:hAnsi="宋体" w:cs="宋体"/>
          <w:b/>
          <w:bCs/>
          <w:color w:val="auto"/>
          <w:szCs w:val="21"/>
          <w:highlight w:val="none"/>
        </w:rPr>
        <w:t>服务</w:t>
      </w:r>
      <w:r>
        <w:rPr>
          <w:rFonts w:hint="eastAsia" w:ascii="宋体" w:hAnsi="宋体" w:cs="宋体"/>
          <w:b/>
          <w:bCs/>
          <w:color w:val="auto"/>
          <w:w w:val="95"/>
          <w:szCs w:val="21"/>
          <w:highlight w:val="none"/>
        </w:rPr>
        <w:t>全部由符合政策要求的中小企业承接</w:t>
      </w:r>
      <w:r>
        <w:rPr>
          <w:color w:val="auto"/>
          <w:szCs w:val="21"/>
          <w:highlight w:val="none"/>
          <w:lang w:bidi="ar"/>
        </w:rPr>
        <w:t xml:space="preserve">。相关企业（含联合体中的中小企业、签订分包意向协议的中小企业）的具体情况如下： </w:t>
      </w:r>
    </w:p>
    <w:p>
      <w:pPr>
        <w:widowControl/>
        <w:spacing w:line="360" w:lineRule="auto"/>
        <w:jc w:val="left"/>
        <w:rPr>
          <w:color w:val="auto"/>
          <w:szCs w:val="21"/>
          <w:highlight w:val="none"/>
        </w:rPr>
      </w:pPr>
      <w:r>
        <w:rPr>
          <w:color w:val="auto"/>
          <w:szCs w:val="21"/>
          <w:highlight w:val="none"/>
          <w:lang w:bidi="ar"/>
        </w:rPr>
        <w:t>1.</w:t>
      </w:r>
      <w:r>
        <w:rPr>
          <w:color w:val="auto"/>
          <w:szCs w:val="21"/>
          <w:highlight w:val="none"/>
          <w:u w:val="single"/>
          <w:lang w:bidi="ar"/>
        </w:rPr>
        <w:t xml:space="preserve"> </w:t>
      </w:r>
      <w:r>
        <w:rPr>
          <w:i/>
          <w:color w:val="auto"/>
          <w:szCs w:val="21"/>
          <w:highlight w:val="none"/>
          <w:u w:val="single"/>
          <w:lang w:bidi="ar"/>
        </w:rPr>
        <w:t xml:space="preserve">（标的名称） </w:t>
      </w:r>
      <w:r>
        <w:rPr>
          <w:color w:val="auto"/>
          <w:szCs w:val="21"/>
          <w:highlight w:val="none"/>
          <w:lang w:bidi="ar"/>
        </w:rPr>
        <w:t>，属于</w:t>
      </w:r>
      <w:r>
        <w:rPr>
          <w:i/>
          <w:color w:val="auto"/>
          <w:szCs w:val="21"/>
          <w:highlight w:val="none"/>
          <w:u w:val="single"/>
          <w:lang w:bidi="ar"/>
        </w:rPr>
        <w:t>（采购文件中明确的所属行业）</w:t>
      </w:r>
      <w:r>
        <w:rPr>
          <w:i/>
          <w:color w:val="auto"/>
          <w:szCs w:val="21"/>
          <w:highlight w:val="none"/>
          <w:lang w:bidi="ar"/>
        </w:rPr>
        <w:t>行业</w:t>
      </w:r>
      <w:r>
        <w:rPr>
          <w:color w:val="auto"/>
          <w:szCs w:val="21"/>
          <w:highlight w:val="none"/>
          <w:lang w:bidi="ar"/>
        </w:rPr>
        <w:t>；</w:t>
      </w:r>
      <w:r>
        <w:rPr>
          <w:rFonts w:hint="eastAsia" w:ascii="宋体" w:hAnsi="宋体" w:cs="宋体"/>
          <w:color w:val="auto"/>
          <w:w w:val="99"/>
          <w:szCs w:val="21"/>
          <w:highlight w:val="none"/>
        </w:rPr>
        <w:t>承建（承接）</w:t>
      </w:r>
      <w:r>
        <w:rPr>
          <w:color w:val="auto"/>
          <w:szCs w:val="21"/>
          <w:highlight w:val="none"/>
          <w:lang w:bidi="ar"/>
        </w:rPr>
        <w:t>为</w:t>
      </w:r>
      <w:r>
        <w:rPr>
          <w:i/>
          <w:color w:val="auto"/>
          <w:szCs w:val="21"/>
          <w:highlight w:val="none"/>
          <w:u w:val="single"/>
          <w:lang w:bidi="ar"/>
        </w:rPr>
        <w:t>（企业名称）</w:t>
      </w:r>
      <w:r>
        <w:rPr>
          <w:color w:val="auto"/>
          <w:szCs w:val="21"/>
          <w:highlight w:val="none"/>
          <w:lang w:bidi="ar"/>
        </w:rPr>
        <w:t>，从业人员</w:t>
      </w:r>
      <w:r>
        <w:rPr>
          <w:rFonts w:hint="eastAsia"/>
          <w:color w:val="auto"/>
          <w:szCs w:val="21"/>
          <w:highlight w:val="none"/>
          <w:u w:val="single"/>
          <w:lang w:bidi="ar"/>
        </w:rPr>
        <w:t xml:space="preserve">  </w:t>
      </w:r>
      <w:r>
        <w:rPr>
          <w:color w:val="auto"/>
          <w:szCs w:val="21"/>
          <w:highlight w:val="none"/>
          <w:lang w:bidi="ar"/>
        </w:rPr>
        <w:t>人，营业收入为</w:t>
      </w:r>
      <w:r>
        <w:rPr>
          <w:rFonts w:hint="eastAsia"/>
          <w:color w:val="auto"/>
          <w:szCs w:val="21"/>
          <w:highlight w:val="none"/>
          <w:u w:val="single"/>
          <w:lang w:bidi="ar"/>
        </w:rPr>
        <w:t xml:space="preserve">  </w:t>
      </w:r>
      <w:r>
        <w:rPr>
          <w:color w:val="auto"/>
          <w:szCs w:val="21"/>
          <w:highlight w:val="none"/>
          <w:lang w:bidi="ar"/>
        </w:rPr>
        <w:t>万元，资产总额为</w:t>
      </w:r>
      <w:r>
        <w:rPr>
          <w:rFonts w:hint="eastAsia"/>
          <w:color w:val="auto"/>
          <w:szCs w:val="21"/>
          <w:highlight w:val="none"/>
          <w:u w:val="single"/>
          <w:lang w:eastAsia="zh-CN" w:bidi="ar"/>
        </w:rPr>
        <w:t xml:space="preserve">  </w:t>
      </w:r>
      <w:r>
        <w:rPr>
          <w:color w:val="auto"/>
          <w:szCs w:val="21"/>
          <w:highlight w:val="none"/>
          <w:lang w:bidi="ar"/>
        </w:rPr>
        <w:t>万元</w:t>
      </w:r>
      <w:r>
        <w:rPr>
          <w:color w:val="auto"/>
          <w:szCs w:val="21"/>
          <w:highlight w:val="none"/>
          <w:vertAlign w:val="superscript"/>
          <w:lang w:bidi="ar"/>
        </w:rPr>
        <w:t>1</w:t>
      </w:r>
      <w:r>
        <w:rPr>
          <w:color w:val="auto"/>
          <w:szCs w:val="21"/>
          <w:highlight w:val="none"/>
          <w:lang w:bidi="ar"/>
        </w:rPr>
        <w:t>，属于</w:t>
      </w:r>
      <w:r>
        <w:rPr>
          <w:i/>
          <w:color w:val="auto"/>
          <w:szCs w:val="21"/>
          <w:highlight w:val="none"/>
          <w:u w:val="single"/>
          <w:lang w:bidi="ar"/>
        </w:rPr>
        <w:t>（中型企业、小型企业、微型企业）</w:t>
      </w:r>
      <w:r>
        <w:rPr>
          <w:color w:val="auto"/>
          <w:szCs w:val="21"/>
          <w:highlight w:val="none"/>
          <w:lang w:bidi="ar"/>
        </w:rPr>
        <w:t xml:space="preserve">； </w:t>
      </w:r>
    </w:p>
    <w:p>
      <w:pPr>
        <w:widowControl/>
        <w:spacing w:line="360" w:lineRule="auto"/>
        <w:jc w:val="left"/>
        <w:rPr>
          <w:color w:val="auto"/>
          <w:szCs w:val="21"/>
          <w:highlight w:val="none"/>
        </w:rPr>
      </w:pPr>
      <w:r>
        <w:rPr>
          <w:color w:val="auto"/>
          <w:szCs w:val="21"/>
          <w:highlight w:val="none"/>
          <w:lang w:bidi="ar"/>
        </w:rPr>
        <w:t>2.</w:t>
      </w:r>
      <w:r>
        <w:rPr>
          <w:color w:val="auto"/>
          <w:szCs w:val="21"/>
          <w:highlight w:val="none"/>
          <w:u w:val="single"/>
          <w:lang w:bidi="ar"/>
        </w:rPr>
        <w:t xml:space="preserve"> </w:t>
      </w:r>
      <w:r>
        <w:rPr>
          <w:i/>
          <w:color w:val="auto"/>
          <w:szCs w:val="21"/>
          <w:highlight w:val="none"/>
          <w:u w:val="single"/>
          <w:lang w:bidi="ar"/>
        </w:rPr>
        <w:t xml:space="preserve">（标的名称） </w:t>
      </w:r>
      <w:r>
        <w:rPr>
          <w:color w:val="auto"/>
          <w:szCs w:val="21"/>
          <w:highlight w:val="none"/>
          <w:lang w:bidi="ar"/>
        </w:rPr>
        <w:t>，属于</w:t>
      </w:r>
      <w:r>
        <w:rPr>
          <w:i/>
          <w:color w:val="auto"/>
          <w:szCs w:val="21"/>
          <w:highlight w:val="none"/>
          <w:u w:val="single"/>
          <w:lang w:bidi="ar"/>
        </w:rPr>
        <w:t>（采购文件中明确的所属行业）</w:t>
      </w:r>
      <w:r>
        <w:rPr>
          <w:i/>
          <w:color w:val="auto"/>
          <w:szCs w:val="21"/>
          <w:highlight w:val="none"/>
          <w:lang w:bidi="ar"/>
        </w:rPr>
        <w:t>行业</w:t>
      </w:r>
      <w:r>
        <w:rPr>
          <w:color w:val="auto"/>
          <w:szCs w:val="21"/>
          <w:highlight w:val="none"/>
          <w:lang w:bidi="ar"/>
        </w:rPr>
        <w:t>；</w:t>
      </w:r>
      <w:r>
        <w:rPr>
          <w:rFonts w:hint="eastAsia" w:ascii="宋体" w:hAnsi="宋体" w:cs="宋体"/>
          <w:color w:val="auto"/>
          <w:w w:val="99"/>
          <w:szCs w:val="21"/>
          <w:highlight w:val="none"/>
        </w:rPr>
        <w:t>承建（承接）</w:t>
      </w:r>
      <w:r>
        <w:rPr>
          <w:color w:val="auto"/>
          <w:szCs w:val="21"/>
          <w:highlight w:val="none"/>
          <w:lang w:bidi="ar"/>
        </w:rPr>
        <w:t>为</w:t>
      </w:r>
      <w:r>
        <w:rPr>
          <w:i/>
          <w:color w:val="auto"/>
          <w:szCs w:val="21"/>
          <w:highlight w:val="none"/>
          <w:u w:val="single"/>
          <w:lang w:bidi="ar"/>
        </w:rPr>
        <w:t>（企业名称）</w:t>
      </w:r>
      <w:r>
        <w:rPr>
          <w:color w:val="auto"/>
          <w:szCs w:val="21"/>
          <w:highlight w:val="none"/>
          <w:lang w:bidi="ar"/>
        </w:rPr>
        <w:t>，从业人员</w:t>
      </w:r>
      <w:r>
        <w:rPr>
          <w:rFonts w:hint="eastAsia"/>
          <w:color w:val="auto"/>
          <w:szCs w:val="21"/>
          <w:highlight w:val="none"/>
          <w:u w:val="single"/>
          <w:lang w:bidi="ar"/>
        </w:rPr>
        <w:t xml:space="preserve">  </w:t>
      </w:r>
      <w:r>
        <w:rPr>
          <w:color w:val="auto"/>
          <w:szCs w:val="21"/>
          <w:highlight w:val="none"/>
          <w:lang w:bidi="ar"/>
        </w:rPr>
        <w:t>人，营业收入为</w:t>
      </w:r>
      <w:r>
        <w:rPr>
          <w:rFonts w:hint="eastAsia"/>
          <w:color w:val="auto"/>
          <w:szCs w:val="21"/>
          <w:highlight w:val="none"/>
          <w:u w:val="single"/>
          <w:lang w:bidi="ar"/>
        </w:rPr>
        <w:t xml:space="preserve">   </w:t>
      </w:r>
      <w:r>
        <w:rPr>
          <w:color w:val="auto"/>
          <w:szCs w:val="21"/>
          <w:highlight w:val="none"/>
          <w:lang w:bidi="ar"/>
        </w:rPr>
        <w:t>万元，资产总额为</w:t>
      </w:r>
      <w:r>
        <w:rPr>
          <w:rFonts w:hint="eastAsia"/>
          <w:color w:val="auto"/>
          <w:szCs w:val="21"/>
          <w:highlight w:val="none"/>
          <w:u w:val="single"/>
          <w:lang w:bidi="ar"/>
        </w:rPr>
        <w:t xml:space="preserve">   </w:t>
      </w:r>
      <w:r>
        <w:rPr>
          <w:color w:val="auto"/>
          <w:szCs w:val="21"/>
          <w:highlight w:val="none"/>
          <w:lang w:bidi="ar"/>
        </w:rPr>
        <w:t>万元，属于</w:t>
      </w:r>
      <w:r>
        <w:rPr>
          <w:i/>
          <w:color w:val="auto"/>
          <w:szCs w:val="21"/>
          <w:highlight w:val="none"/>
          <w:u w:val="single"/>
          <w:lang w:bidi="ar"/>
        </w:rPr>
        <w:t>（中型企业、小型企业、微型企业）</w:t>
      </w:r>
      <w:r>
        <w:rPr>
          <w:color w:val="auto"/>
          <w:szCs w:val="21"/>
          <w:highlight w:val="none"/>
          <w:lang w:bidi="ar"/>
        </w:rPr>
        <w:t xml:space="preserve">； </w:t>
      </w:r>
    </w:p>
    <w:p>
      <w:pPr>
        <w:widowControl/>
        <w:spacing w:line="360" w:lineRule="auto"/>
        <w:jc w:val="left"/>
        <w:rPr>
          <w:color w:val="auto"/>
          <w:szCs w:val="21"/>
          <w:highlight w:val="none"/>
        </w:rPr>
      </w:pPr>
      <w:r>
        <w:rPr>
          <w:color w:val="auto"/>
          <w:szCs w:val="21"/>
          <w:highlight w:val="none"/>
          <w:lang w:bidi="ar"/>
        </w:rPr>
        <w:t>……</w:t>
      </w:r>
    </w:p>
    <w:p>
      <w:pPr>
        <w:widowControl/>
        <w:spacing w:line="360" w:lineRule="auto"/>
        <w:ind w:firstLine="420" w:firstLineChars="200"/>
        <w:jc w:val="left"/>
        <w:rPr>
          <w:color w:val="auto"/>
          <w:szCs w:val="21"/>
          <w:highlight w:val="none"/>
        </w:rPr>
      </w:pPr>
      <w:r>
        <w:rPr>
          <w:color w:val="auto"/>
          <w:szCs w:val="21"/>
          <w:highlight w:val="none"/>
          <w:lang w:bidi="ar"/>
        </w:rPr>
        <w:t>以上企业，不属于大企业的分支机构，不存在控股股东为大企业的情形，也不存在与大企业的负责人为同一人的情形。</w:t>
      </w:r>
    </w:p>
    <w:p>
      <w:pPr>
        <w:widowControl/>
        <w:spacing w:line="360" w:lineRule="auto"/>
        <w:ind w:firstLine="420" w:firstLineChars="200"/>
        <w:jc w:val="left"/>
        <w:rPr>
          <w:color w:val="auto"/>
          <w:szCs w:val="21"/>
          <w:highlight w:val="none"/>
        </w:rPr>
      </w:pPr>
      <w:r>
        <w:rPr>
          <w:color w:val="auto"/>
          <w:szCs w:val="21"/>
          <w:highlight w:val="none"/>
          <w:lang w:bidi="ar"/>
        </w:rPr>
        <w:t xml:space="preserve">本企业对上述声明内容的真实性负责。如有虚假，将依法承担相应责任。 </w:t>
      </w:r>
    </w:p>
    <w:p>
      <w:pPr>
        <w:widowControl/>
        <w:spacing w:line="360" w:lineRule="auto"/>
        <w:ind w:firstLine="420" w:firstLineChars="200"/>
        <w:jc w:val="left"/>
        <w:rPr>
          <w:color w:val="auto"/>
          <w:szCs w:val="21"/>
          <w:highlight w:val="none"/>
          <w:lang w:bidi="ar"/>
        </w:rPr>
      </w:pPr>
    </w:p>
    <w:p>
      <w:pPr>
        <w:widowControl/>
        <w:spacing w:line="360" w:lineRule="auto"/>
        <w:ind w:firstLine="420" w:firstLineChars="200"/>
        <w:jc w:val="left"/>
        <w:rPr>
          <w:color w:val="auto"/>
          <w:szCs w:val="21"/>
          <w:highlight w:val="none"/>
        </w:rPr>
      </w:pPr>
      <w:r>
        <w:rPr>
          <w:color w:val="auto"/>
          <w:szCs w:val="21"/>
          <w:highlight w:val="none"/>
          <w:lang w:bidi="ar"/>
        </w:rPr>
        <w:t xml:space="preserve">企业名称（盖章）： </w:t>
      </w:r>
    </w:p>
    <w:p>
      <w:pPr>
        <w:widowControl/>
        <w:spacing w:line="360" w:lineRule="auto"/>
        <w:ind w:firstLine="420" w:firstLineChars="200"/>
        <w:jc w:val="left"/>
        <w:rPr>
          <w:color w:val="auto"/>
          <w:szCs w:val="21"/>
          <w:highlight w:val="none"/>
          <w:lang w:bidi="ar"/>
        </w:rPr>
      </w:pPr>
      <w:r>
        <w:rPr>
          <w:color w:val="auto"/>
          <w:szCs w:val="21"/>
          <w:highlight w:val="none"/>
          <w:lang w:bidi="ar"/>
        </w:rPr>
        <w:t>日期：</w:t>
      </w:r>
    </w:p>
    <w:p>
      <w:pPr>
        <w:widowControl/>
        <w:jc w:val="left"/>
        <w:rPr>
          <w:color w:val="auto"/>
          <w:highlight w:val="none"/>
        </w:rPr>
      </w:pPr>
      <w:r>
        <w:rPr>
          <w:rFonts w:hint="eastAsia" w:ascii="仿宋" w:hAnsi="仿宋" w:eastAsia="仿宋" w:cs="仿宋"/>
          <w:color w:val="auto"/>
          <w:sz w:val="31"/>
          <w:szCs w:val="31"/>
          <w:highlight w:val="none"/>
          <w:lang w:bidi="ar"/>
        </w:rPr>
        <w:t xml:space="preserve"> </w:t>
      </w:r>
    </w:p>
    <w:p>
      <w:pPr>
        <w:widowControl/>
        <w:jc w:val="left"/>
        <w:rPr>
          <w:color w:val="auto"/>
          <w:highlight w:val="none"/>
        </w:rPr>
      </w:pPr>
      <w:r>
        <w:rPr>
          <w:color w:val="auto"/>
          <w:sz w:val="11"/>
          <w:szCs w:val="11"/>
          <w:highlight w:val="none"/>
          <w:lang w:bidi="ar"/>
        </w:rPr>
        <w:t>1</w:t>
      </w:r>
      <w:r>
        <w:rPr>
          <w:rFonts w:hint="eastAsia" w:ascii="宋体" w:hAnsi="宋体" w:cs="宋体"/>
          <w:color w:val="auto"/>
          <w:sz w:val="18"/>
          <w:szCs w:val="18"/>
          <w:highlight w:val="none"/>
          <w:lang w:bidi="ar"/>
        </w:rPr>
        <w:t>从业人员、营业收入、资产总额填报上一年度数据，无上一年度数据的新成立企业可不填报。</w:t>
      </w:r>
    </w:p>
    <w:p>
      <w:pPr>
        <w:pStyle w:val="73"/>
        <w:spacing w:before="0" w:beforeAutospacing="0" w:after="0" w:afterAutospacing="0" w:line="360" w:lineRule="auto"/>
        <w:ind w:firstLine="420" w:firstLineChars="200"/>
        <w:jc w:val="both"/>
        <w:rPr>
          <w:color w:val="auto"/>
          <w:sz w:val="21"/>
          <w:szCs w:val="21"/>
          <w:highlight w:val="none"/>
        </w:rPr>
      </w:pPr>
    </w:p>
    <w:p>
      <w:pPr>
        <w:pStyle w:val="73"/>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中小企业应当按照《政府采购促进中小企业发展管理办法》规定和《中小企业划型标准规定》（工信部联企业〔2011〕300号），如实填写并提交《中小企业声明函》。未按要求出具声明函的，投标报价不予扣减。</w:t>
      </w:r>
    </w:p>
    <w:p>
      <w:pPr>
        <w:pStyle w:val="73"/>
        <w:spacing w:before="0" w:beforeAutospacing="0" w:after="0" w:afterAutospacing="0" w:line="360" w:lineRule="auto"/>
        <w:ind w:firstLine="420" w:firstLineChars="200"/>
        <w:jc w:val="both"/>
        <w:rPr>
          <w:rFonts w:ascii="Times New Roman" w:hAnsi="Times New Roman"/>
          <w:color w:val="auto"/>
          <w:sz w:val="21"/>
          <w:szCs w:val="21"/>
          <w:highlight w:val="none"/>
        </w:rPr>
      </w:pPr>
      <w:r>
        <w:rPr>
          <w:rFonts w:hint="eastAsia"/>
          <w:color w:val="auto"/>
          <w:sz w:val="21"/>
          <w:szCs w:val="21"/>
          <w:highlight w:val="none"/>
        </w:rPr>
        <w:t>中小企业对其声明内容的真实性负责，声明函内容不实的，属于提供虚假材料谋取中标、成交，依照《中华人民共和国政府采购法》等国家有关规定追究相应责任。</w:t>
      </w:r>
    </w:p>
    <w:p>
      <w:pPr>
        <w:snapToGrid w:val="0"/>
        <w:spacing w:line="300" w:lineRule="auto"/>
        <w:jc w:val="center"/>
        <w:rPr>
          <w:rFonts w:hint="eastAsia"/>
          <w:color w:val="auto"/>
          <w:highlight w:val="none"/>
        </w:rPr>
      </w:pPr>
      <w:r>
        <w:rPr>
          <w:color w:val="auto"/>
          <w:highlight w:val="none"/>
        </w:rPr>
        <w:br w:type="page"/>
      </w:r>
      <w:r>
        <w:rPr>
          <w:rFonts w:hint="eastAsia"/>
          <w:color w:val="auto"/>
          <w:highlight w:val="none"/>
        </w:rPr>
        <w:t xml:space="preserve"> </w:t>
      </w:r>
    </w:p>
    <w:p>
      <w:pPr>
        <w:pStyle w:val="2"/>
        <w:rPr>
          <w:color w:val="auto"/>
          <w:highlight w:val="none"/>
        </w:rPr>
      </w:pPr>
    </w:p>
    <w:p>
      <w:pPr>
        <w:pStyle w:val="2"/>
        <w:rPr>
          <w:rFonts w:hint="eastAsia"/>
          <w:color w:val="auto"/>
          <w:highlight w:val="none"/>
        </w:rPr>
      </w:pPr>
      <w:r>
        <w:rPr>
          <w:rFonts w:hint="eastAsia"/>
          <w:color w:val="auto"/>
          <w:highlight w:val="none"/>
        </w:rPr>
        <w:drawing>
          <wp:inline distT="0" distB="0" distL="114300" distR="114300">
            <wp:extent cx="5826125" cy="3538855"/>
            <wp:effectExtent l="0" t="0" r="3175" b="4445"/>
            <wp:docPr id="73"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2" descr="11"/>
                    <pic:cNvPicPr>
                      <a:picLocks noChangeAspect="1"/>
                    </pic:cNvPicPr>
                  </pic:nvPicPr>
                  <pic:blipFill>
                    <a:blip r:embed="rId12"/>
                    <a:stretch>
                      <a:fillRect/>
                    </a:stretch>
                  </pic:blipFill>
                  <pic:spPr>
                    <a:xfrm>
                      <a:off x="0" y="0"/>
                      <a:ext cx="5826125" cy="3538855"/>
                    </a:xfrm>
                    <a:prstGeom prst="rect">
                      <a:avLst/>
                    </a:prstGeom>
                    <a:noFill/>
                    <a:ln>
                      <a:noFill/>
                    </a:ln>
                  </pic:spPr>
                </pic:pic>
              </a:graphicData>
            </a:graphic>
          </wp:inline>
        </w:drawing>
      </w:r>
    </w:p>
    <w:p>
      <w:pPr>
        <w:rPr>
          <w:rFonts w:hint="eastAsia"/>
          <w:color w:val="auto"/>
          <w:highlight w:val="none"/>
        </w:rPr>
      </w:pPr>
    </w:p>
    <w:p>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2）供应商</w:t>
      </w:r>
      <w:r>
        <w:rPr>
          <w:rFonts w:ascii="Times New Roman" w:hAnsi="Times New Roman"/>
          <w:color w:val="auto"/>
          <w:highlight w:val="none"/>
        </w:rPr>
        <w:t>为监狱企业的证明文件：省级以上监狱管理局、戒毒管理局（含新疆生产建设兵团）出具</w:t>
      </w:r>
    </w:p>
    <w:p>
      <w:pPr>
        <w:spacing w:line="360" w:lineRule="auto"/>
        <w:rPr>
          <w:color w:val="auto"/>
          <w:highlight w:val="none"/>
        </w:rPr>
      </w:pPr>
    </w:p>
    <w:p>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3）</w:t>
      </w:r>
      <w:r>
        <w:rPr>
          <w:rFonts w:ascii="Times New Roman" w:hAnsi="Times New Roman"/>
          <w:color w:val="auto"/>
          <w:highlight w:val="none"/>
        </w:rPr>
        <w:t>残疾人福利性单位声明函</w:t>
      </w:r>
    </w:p>
    <w:p>
      <w:pPr>
        <w:snapToGrid w:val="0"/>
        <w:spacing w:line="360" w:lineRule="auto"/>
        <w:jc w:val="center"/>
        <w:rPr>
          <w:b/>
          <w:bCs/>
          <w:color w:val="auto"/>
          <w:sz w:val="32"/>
          <w:szCs w:val="32"/>
          <w:highlight w:val="none"/>
        </w:rPr>
      </w:pPr>
    </w:p>
    <w:p>
      <w:pPr>
        <w:snapToGrid w:val="0"/>
        <w:spacing w:line="360" w:lineRule="auto"/>
        <w:jc w:val="center"/>
        <w:rPr>
          <w:b/>
          <w:bCs/>
          <w:color w:val="auto"/>
          <w:sz w:val="32"/>
          <w:szCs w:val="32"/>
          <w:highlight w:val="none"/>
        </w:rPr>
      </w:pPr>
      <w:r>
        <w:rPr>
          <w:b/>
          <w:bCs/>
          <w:color w:val="auto"/>
          <w:sz w:val="32"/>
          <w:szCs w:val="32"/>
          <w:highlight w:val="none"/>
        </w:rPr>
        <w:t>残疾人福利性单位声明函</w:t>
      </w:r>
    </w:p>
    <w:p>
      <w:pPr>
        <w:snapToGrid w:val="0"/>
        <w:spacing w:line="360" w:lineRule="auto"/>
        <w:jc w:val="center"/>
        <w:rPr>
          <w:b/>
          <w:bCs/>
          <w:color w:val="auto"/>
          <w:sz w:val="32"/>
          <w:szCs w:val="32"/>
          <w:highlight w:val="none"/>
        </w:rPr>
      </w:pPr>
    </w:p>
    <w:p>
      <w:pPr>
        <w:snapToGrid w:val="0"/>
        <w:spacing w:line="360" w:lineRule="auto"/>
        <w:ind w:firstLine="444" w:firstLineChars="200"/>
        <w:rPr>
          <w:color w:val="auto"/>
          <w:spacing w:val="6"/>
          <w:szCs w:val="21"/>
          <w:highlight w:val="none"/>
        </w:rPr>
      </w:pPr>
      <w:r>
        <w:rPr>
          <w:color w:val="auto"/>
          <w:spacing w:val="6"/>
          <w:szCs w:val="21"/>
          <w:highlight w:val="none"/>
        </w:rPr>
        <w:t>本单位郑重声明，根据《财政部民政部中国残疾人联合会关于促进残疾人就业政府采购政策的通知》（财库</w:t>
      </w:r>
      <w:r>
        <w:rPr>
          <w:color w:val="auto"/>
          <w:szCs w:val="21"/>
          <w:highlight w:val="none"/>
        </w:rPr>
        <w:t>〔2017〕141</w:t>
      </w:r>
      <w:r>
        <w:rPr>
          <w:color w:val="auto"/>
          <w:spacing w:val="6"/>
          <w:szCs w:val="21"/>
          <w:highlight w:val="none"/>
        </w:rPr>
        <w:t>号）的规定，本单位为符合条件的残疾人福利性单位，且本单位参加</w:t>
      </w:r>
      <w:r>
        <w:rPr>
          <w:color w:val="auto"/>
          <w:spacing w:val="6"/>
          <w:szCs w:val="21"/>
          <w:highlight w:val="none"/>
          <w:u w:val="single"/>
        </w:rPr>
        <w:t>（采购人名称）</w:t>
      </w:r>
      <w:r>
        <w:rPr>
          <w:color w:val="auto"/>
          <w:spacing w:val="6"/>
          <w:szCs w:val="21"/>
          <w:highlight w:val="none"/>
        </w:rPr>
        <w:t>单位的</w:t>
      </w:r>
      <w:r>
        <w:rPr>
          <w:color w:val="auto"/>
          <w:spacing w:val="6"/>
          <w:szCs w:val="21"/>
          <w:highlight w:val="none"/>
          <w:u w:val="single"/>
        </w:rPr>
        <w:t>（项目名称）</w:t>
      </w:r>
      <w:r>
        <w:rPr>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color w:val="auto"/>
          <w:spacing w:val="6"/>
          <w:szCs w:val="21"/>
          <w:highlight w:val="none"/>
        </w:rPr>
      </w:pPr>
      <w:r>
        <w:rPr>
          <w:color w:val="auto"/>
          <w:spacing w:val="6"/>
          <w:szCs w:val="21"/>
          <w:highlight w:val="none"/>
        </w:rPr>
        <w:t>本单位对上述声明的真实性负责。如有虚假，将依法承担相应责任。</w:t>
      </w:r>
    </w:p>
    <w:p>
      <w:pPr>
        <w:snapToGrid w:val="0"/>
        <w:spacing w:line="360" w:lineRule="auto"/>
        <w:ind w:firstLine="444" w:firstLineChars="200"/>
        <w:rPr>
          <w:color w:val="auto"/>
          <w:spacing w:val="6"/>
          <w:szCs w:val="21"/>
          <w:highlight w:val="none"/>
        </w:rPr>
      </w:pPr>
    </w:p>
    <w:p>
      <w:pPr>
        <w:snapToGrid w:val="0"/>
        <w:spacing w:line="360" w:lineRule="auto"/>
        <w:ind w:firstLine="444" w:firstLineChars="200"/>
        <w:rPr>
          <w:color w:val="auto"/>
          <w:spacing w:val="6"/>
          <w:szCs w:val="21"/>
          <w:highlight w:val="none"/>
        </w:rPr>
      </w:pPr>
    </w:p>
    <w:p>
      <w:pPr>
        <w:adjustRightInd w:val="0"/>
        <w:snapToGrid w:val="0"/>
        <w:spacing w:line="360" w:lineRule="auto"/>
        <w:ind w:firstLine="420" w:firstLineChars="200"/>
        <w:rPr>
          <w:color w:val="auto"/>
          <w:kern w:val="0"/>
          <w:szCs w:val="21"/>
          <w:highlight w:val="none"/>
          <w:u w:val="single"/>
        </w:rPr>
      </w:pPr>
      <w:r>
        <w:rPr>
          <w:rFonts w:hint="eastAsia"/>
          <w:color w:val="auto"/>
          <w:kern w:val="0"/>
          <w:szCs w:val="21"/>
          <w:highlight w:val="none"/>
        </w:rPr>
        <w:t>供应商</w:t>
      </w:r>
      <w:r>
        <w:rPr>
          <w:color w:val="auto"/>
          <w:kern w:val="0"/>
          <w:szCs w:val="21"/>
          <w:highlight w:val="none"/>
        </w:rPr>
        <w:t>名称（盖章）：</w:t>
      </w:r>
    </w:p>
    <w:p>
      <w:pPr>
        <w:adjustRightInd w:val="0"/>
        <w:snapToGrid w:val="0"/>
        <w:spacing w:line="360" w:lineRule="auto"/>
        <w:ind w:firstLine="420" w:firstLineChars="200"/>
        <w:rPr>
          <w:color w:val="auto"/>
          <w:kern w:val="0"/>
          <w:szCs w:val="21"/>
          <w:highlight w:val="none"/>
        </w:rPr>
      </w:pPr>
      <w:r>
        <w:rPr>
          <w:color w:val="auto"/>
          <w:kern w:val="0"/>
          <w:szCs w:val="21"/>
          <w:highlight w:val="none"/>
        </w:rPr>
        <w:t>日期：  年  月  日</w:t>
      </w:r>
    </w:p>
    <w:p>
      <w:pPr>
        <w:rPr>
          <w:color w:val="auto"/>
          <w:highlight w:val="none"/>
        </w:rPr>
      </w:pPr>
    </w:p>
    <w:p>
      <w:pPr>
        <w:pStyle w:val="192"/>
        <w:snapToGrid w:val="0"/>
        <w:spacing w:line="360" w:lineRule="auto"/>
        <w:ind w:firstLine="420"/>
        <w:rPr>
          <w:rFonts w:ascii="Times New Roman" w:hAnsi="Times New Roman"/>
          <w:color w:val="auto"/>
          <w:highlight w:val="none"/>
        </w:rPr>
      </w:pPr>
    </w:p>
    <w:p>
      <w:pPr>
        <w:pStyle w:val="3"/>
        <w:ind w:firstLine="413" w:firstLineChars="196"/>
        <w:rPr>
          <w:rFonts w:hint="eastAsia" w:ascii="Times New Roman" w:hAnsi="Times New Roman"/>
          <w:b w:val="0"/>
          <w:bCs w:val="0"/>
          <w:color w:val="auto"/>
          <w:highlight w:val="none"/>
        </w:rPr>
      </w:pPr>
      <w:r>
        <w:rPr>
          <w:rFonts w:ascii="Times New Roman" w:hAnsi="Times New Roman"/>
          <w:color w:val="auto"/>
          <w:highlight w:val="none"/>
        </w:rPr>
        <w:br w:type="page"/>
      </w:r>
      <w:r>
        <w:rPr>
          <w:rFonts w:hint="eastAsia" w:ascii="Times New Roman" w:hAnsi="Times New Roman"/>
          <w:b w:val="0"/>
          <w:bCs w:val="0"/>
          <w:color w:val="auto"/>
          <w:highlight w:val="none"/>
        </w:rPr>
        <w:t>（3）特定资格条件：无。</w:t>
      </w:r>
    </w:p>
    <w:p>
      <w:pPr>
        <w:pStyle w:val="192"/>
        <w:snapToGrid w:val="0"/>
        <w:spacing w:line="360" w:lineRule="auto"/>
        <w:ind w:firstLine="420"/>
        <w:rPr>
          <w:rFonts w:hint="eastAsia" w:ascii="Times New Roman" w:hAnsi="Times New Roman"/>
          <w:color w:val="auto"/>
          <w:highlight w:val="none"/>
        </w:rPr>
      </w:pPr>
      <w:r>
        <w:rPr>
          <w:color w:val="auto"/>
          <w:highlight w:val="none"/>
        </w:rPr>
        <w:br w:type="page"/>
      </w:r>
      <w:r>
        <w:rPr>
          <w:rFonts w:hint="eastAsia"/>
          <w:color w:val="auto"/>
          <w:highlight w:val="none"/>
        </w:rPr>
        <w:t>（4）</w:t>
      </w:r>
      <w:r>
        <w:rPr>
          <w:rFonts w:hint="eastAsia" w:ascii="Times New Roman" w:hAnsi="Times New Roman"/>
          <w:color w:val="auto"/>
          <w:highlight w:val="none"/>
        </w:rPr>
        <w:t>联合协议（如为联合体投标）</w:t>
      </w:r>
    </w:p>
    <w:p>
      <w:pPr>
        <w:jc w:val="center"/>
        <w:rPr>
          <w:b/>
          <w:color w:val="auto"/>
          <w:sz w:val="32"/>
          <w:szCs w:val="32"/>
          <w:highlight w:val="none"/>
        </w:rPr>
      </w:pPr>
      <w:r>
        <w:rPr>
          <w:rFonts w:hAnsi="宋体"/>
          <w:b/>
          <w:color w:val="auto"/>
          <w:sz w:val="32"/>
          <w:szCs w:val="32"/>
          <w:highlight w:val="none"/>
        </w:rPr>
        <w:t>联合协议</w:t>
      </w:r>
    </w:p>
    <w:p>
      <w:pPr>
        <w:spacing w:line="360" w:lineRule="auto"/>
        <w:ind w:firstLine="420" w:firstLineChars="200"/>
        <w:jc w:val="left"/>
        <w:rPr>
          <w:bCs/>
          <w:color w:val="auto"/>
          <w:szCs w:val="21"/>
          <w:highlight w:val="none"/>
        </w:rPr>
      </w:pPr>
    </w:p>
    <w:p>
      <w:pPr>
        <w:snapToGrid w:val="0"/>
        <w:spacing w:line="360" w:lineRule="auto"/>
        <w:ind w:firstLine="576"/>
        <w:rPr>
          <w:color w:val="auto"/>
          <w:kern w:val="0"/>
          <w:szCs w:val="21"/>
          <w:highlight w:val="none"/>
          <w:lang w:val="zh-CN"/>
        </w:rPr>
      </w:pPr>
      <w:r>
        <w:rPr>
          <w:color w:val="auto"/>
          <w:kern w:val="0"/>
          <w:szCs w:val="21"/>
          <w:highlight w:val="none"/>
          <w:u w:val="single"/>
        </w:rPr>
        <w:t>（联合体所有成员名称）</w:t>
      </w:r>
      <w:r>
        <w:rPr>
          <w:color w:val="auto"/>
          <w:kern w:val="0"/>
          <w:szCs w:val="21"/>
          <w:highlight w:val="none"/>
        </w:rPr>
        <w:t>自愿</w:t>
      </w:r>
      <w:r>
        <w:rPr>
          <w:color w:val="auto"/>
          <w:kern w:val="0"/>
          <w:szCs w:val="21"/>
          <w:highlight w:val="none"/>
          <w:lang w:val="zh-CN"/>
        </w:rPr>
        <w:t>组成一个联合体，以一个投标人的身份</w:t>
      </w:r>
      <w:r>
        <w:rPr>
          <w:color w:val="auto"/>
          <w:kern w:val="0"/>
          <w:szCs w:val="21"/>
          <w:highlight w:val="none"/>
        </w:rPr>
        <w:t>参加</w:t>
      </w:r>
      <w:r>
        <w:rPr>
          <w:color w:val="auto"/>
          <w:szCs w:val="21"/>
          <w:highlight w:val="none"/>
        </w:rPr>
        <w:t>（项目名称）（采购编号：</w:t>
      </w:r>
      <w:r>
        <w:rPr>
          <w:rFonts w:hint="eastAsia"/>
          <w:color w:val="auto"/>
          <w:szCs w:val="21"/>
          <w:highlight w:val="none"/>
          <w:lang w:eastAsia="zh-CN"/>
        </w:rPr>
        <w:t xml:space="preserve">  </w:t>
      </w:r>
      <w:r>
        <w:rPr>
          <w:color w:val="auto"/>
          <w:szCs w:val="21"/>
          <w:highlight w:val="none"/>
        </w:rPr>
        <w:t xml:space="preserve">   ）</w:t>
      </w:r>
      <w:r>
        <w:rPr>
          <w:color w:val="auto"/>
          <w:kern w:val="0"/>
          <w:szCs w:val="21"/>
          <w:highlight w:val="none"/>
          <w:lang w:val="zh-CN"/>
        </w:rPr>
        <w:t xml:space="preserve">投标。 </w:t>
      </w:r>
    </w:p>
    <w:p>
      <w:pPr>
        <w:snapToGrid w:val="0"/>
        <w:spacing w:line="360" w:lineRule="auto"/>
        <w:ind w:firstLine="576"/>
        <w:rPr>
          <w:color w:val="auto"/>
          <w:kern w:val="0"/>
          <w:szCs w:val="21"/>
          <w:highlight w:val="none"/>
          <w:lang w:val="zh-CN"/>
        </w:rPr>
      </w:pPr>
      <w:r>
        <w:rPr>
          <w:color w:val="auto"/>
          <w:kern w:val="0"/>
          <w:szCs w:val="21"/>
          <w:highlight w:val="none"/>
          <w:lang w:val="zh-CN"/>
        </w:rPr>
        <w:t>一、各方一致决定，</w:t>
      </w:r>
      <w:r>
        <w:rPr>
          <w:color w:val="auto"/>
          <w:kern w:val="0"/>
          <w:szCs w:val="21"/>
          <w:highlight w:val="none"/>
          <w:u w:val="single"/>
        </w:rPr>
        <w:t>（某联合体成员名称）</w:t>
      </w:r>
      <w:r>
        <w:rPr>
          <w:color w:val="auto"/>
          <w:kern w:val="0"/>
          <w:szCs w:val="21"/>
          <w:highlight w:val="none"/>
        </w:rPr>
        <w:t>为联合体</w:t>
      </w:r>
      <w:r>
        <w:rPr>
          <w:color w:val="auto"/>
          <w:kern w:val="0"/>
          <w:szCs w:val="21"/>
          <w:highlight w:val="none"/>
          <w:lang w:val="zh-CN"/>
        </w:rPr>
        <w:t>牵头人</w:t>
      </w:r>
      <w:r>
        <w:rPr>
          <w:color w:val="auto"/>
          <w:szCs w:val="21"/>
          <w:highlight w:val="none"/>
        </w:rPr>
        <w:t>，代表所有联合体成员负责投标和合同实施阶段的主办、协调工作</w:t>
      </w:r>
      <w:r>
        <w:rPr>
          <w:color w:val="auto"/>
          <w:kern w:val="0"/>
          <w:szCs w:val="21"/>
          <w:highlight w:val="none"/>
          <w:lang w:val="zh-CN"/>
        </w:rPr>
        <w:t>。</w:t>
      </w:r>
    </w:p>
    <w:p>
      <w:pPr>
        <w:snapToGrid w:val="0"/>
        <w:spacing w:line="360" w:lineRule="auto"/>
        <w:ind w:firstLine="576"/>
        <w:rPr>
          <w:color w:val="auto"/>
          <w:kern w:val="0"/>
          <w:szCs w:val="21"/>
          <w:highlight w:val="none"/>
          <w:lang w:val="zh-CN"/>
        </w:rPr>
      </w:pPr>
      <w:r>
        <w:rPr>
          <w:color w:val="auto"/>
          <w:kern w:val="0"/>
          <w:szCs w:val="21"/>
          <w:highlight w:val="none"/>
          <w:lang w:val="zh-CN"/>
        </w:rPr>
        <w:t>二、</w:t>
      </w:r>
      <w:r>
        <w:rPr>
          <w:color w:val="auto"/>
          <w:szCs w:val="21"/>
          <w:highlight w:val="none"/>
        </w:rPr>
        <w:t>所有联合体成员各方签署授权书，授权书载明的</w:t>
      </w:r>
      <w:r>
        <w:rPr>
          <w:color w:val="auto"/>
          <w:kern w:val="0"/>
          <w:szCs w:val="21"/>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color w:val="auto"/>
          <w:kern w:val="0"/>
          <w:szCs w:val="21"/>
          <w:highlight w:val="none"/>
          <w:lang w:val="zh-CN"/>
        </w:rPr>
      </w:pPr>
      <w:r>
        <w:rPr>
          <w:color w:val="auto"/>
          <w:kern w:val="0"/>
          <w:szCs w:val="21"/>
          <w:highlight w:val="none"/>
          <w:lang w:val="zh-CN"/>
        </w:rPr>
        <w:t>三、本次联合投标中，分工如下：</w:t>
      </w:r>
      <w:r>
        <w:rPr>
          <w:color w:val="auto"/>
          <w:kern w:val="0"/>
          <w:szCs w:val="21"/>
          <w:highlight w:val="none"/>
          <w:u w:val="single"/>
        </w:rPr>
        <w:t>（联合体其中一方成员名称）</w:t>
      </w:r>
      <w:r>
        <w:rPr>
          <w:color w:val="auto"/>
          <w:kern w:val="0"/>
          <w:szCs w:val="21"/>
          <w:highlight w:val="none"/>
          <w:lang w:val="zh-CN"/>
        </w:rPr>
        <w:t>承担的工作和义务为：</w:t>
      </w:r>
      <w:r>
        <w:rPr>
          <w:rFonts w:hint="eastAsia"/>
          <w:color w:val="auto"/>
          <w:szCs w:val="21"/>
          <w:highlight w:val="none"/>
          <w:u w:val="single"/>
          <w:lang w:eastAsia="zh-CN"/>
        </w:rPr>
        <w:t xml:space="preserve">      </w:t>
      </w:r>
      <w:r>
        <w:rPr>
          <w:color w:val="auto"/>
          <w:szCs w:val="21"/>
          <w:highlight w:val="none"/>
          <w:u w:val="single"/>
        </w:rPr>
        <w:t xml:space="preserve"> </w:t>
      </w:r>
      <w:r>
        <w:rPr>
          <w:color w:val="auto"/>
          <w:kern w:val="0"/>
          <w:szCs w:val="21"/>
          <w:highlight w:val="none"/>
          <w:lang w:val="zh-CN"/>
        </w:rPr>
        <w:t>；</w:t>
      </w:r>
      <w:r>
        <w:rPr>
          <w:color w:val="auto"/>
          <w:kern w:val="0"/>
          <w:szCs w:val="21"/>
          <w:highlight w:val="none"/>
          <w:u w:val="single"/>
        </w:rPr>
        <w:t>（联合体其中一方成员名称）</w:t>
      </w:r>
      <w:r>
        <w:rPr>
          <w:color w:val="auto"/>
          <w:kern w:val="0"/>
          <w:szCs w:val="21"/>
          <w:highlight w:val="none"/>
          <w:lang w:val="zh-CN"/>
        </w:rPr>
        <w:t>承担的工作和义务为：</w:t>
      </w:r>
      <w:r>
        <w:rPr>
          <w:rFonts w:hint="eastAsia"/>
          <w:color w:val="auto"/>
          <w:szCs w:val="21"/>
          <w:highlight w:val="none"/>
          <w:u w:val="single"/>
          <w:lang w:eastAsia="zh-CN"/>
        </w:rPr>
        <w:t xml:space="preserve">      </w:t>
      </w:r>
      <w:r>
        <w:rPr>
          <w:color w:val="auto"/>
          <w:kern w:val="0"/>
          <w:szCs w:val="21"/>
          <w:highlight w:val="none"/>
          <w:lang w:val="zh-CN"/>
        </w:rPr>
        <w:t xml:space="preserve"> ；……。</w:t>
      </w:r>
    </w:p>
    <w:p>
      <w:pPr>
        <w:snapToGrid w:val="0"/>
        <w:spacing w:line="360" w:lineRule="auto"/>
        <w:ind w:firstLine="576"/>
        <w:rPr>
          <w:color w:val="auto"/>
          <w:kern w:val="0"/>
          <w:szCs w:val="21"/>
          <w:highlight w:val="none"/>
          <w:lang w:val="zh-CN"/>
        </w:rPr>
      </w:pPr>
      <w:r>
        <w:rPr>
          <w:color w:val="auto"/>
          <w:kern w:val="0"/>
          <w:szCs w:val="21"/>
          <w:highlight w:val="none"/>
          <w:lang w:val="zh-CN"/>
        </w:rPr>
        <w:t>四、</w:t>
      </w:r>
      <w:r>
        <w:rPr>
          <w:color w:val="auto"/>
          <w:szCs w:val="21"/>
          <w:highlight w:val="none"/>
        </w:rPr>
        <w:t>中小企业合同金额达到</w:t>
      </w:r>
      <w:r>
        <w:rPr>
          <w:rFonts w:hint="eastAsia"/>
          <w:color w:val="auto"/>
          <w:szCs w:val="21"/>
          <w:highlight w:val="none"/>
          <w:u w:val="single"/>
          <w:lang w:eastAsia="zh-CN"/>
        </w:rPr>
        <w:t xml:space="preserve">  </w:t>
      </w:r>
      <w:r>
        <w:rPr>
          <w:color w:val="auto"/>
          <w:szCs w:val="21"/>
          <w:highlight w:val="none"/>
        </w:rPr>
        <w:t>%，小微企业合同金额达到</w:t>
      </w:r>
      <w:r>
        <w:rPr>
          <w:rFonts w:hint="eastAsia"/>
          <w:color w:val="auto"/>
          <w:szCs w:val="21"/>
          <w:highlight w:val="none"/>
          <w:u w:val="single"/>
          <w:lang w:eastAsia="zh-CN"/>
        </w:rPr>
        <w:t xml:space="preserve">  </w:t>
      </w:r>
      <w:r>
        <w:rPr>
          <w:color w:val="auto"/>
          <w:szCs w:val="21"/>
          <w:highlight w:val="none"/>
        </w:rPr>
        <w:t>%</w:t>
      </w:r>
      <w:r>
        <w:rPr>
          <w:color w:val="auto"/>
          <w:kern w:val="0"/>
          <w:szCs w:val="21"/>
          <w:highlight w:val="none"/>
          <w:lang w:val="zh-CN"/>
        </w:rPr>
        <w:t>。</w:t>
      </w:r>
    </w:p>
    <w:p>
      <w:pPr>
        <w:snapToGrid w:val="0"/>
        <w:spacing w:line="360" w:lineRule="auto"/>
        <w:ind w:firstLine="576"/>
        <w:rPr>
          <w:color w:val="auto"/>
          <w:kern w:val="0"/>
          <w:szCs w:val="21"/>
          <w:highlight w:val="none"/>
          <w:lang w:val="zh-CN"/>
        </w:rPr>
      </w:pPr>
      <w:r>
        <w:rPr>
          <w:color w:val="auto"/>
          <w:kern w:val="0"/>
          <w:szCs w:val="21"/>
          <w:highlight w:val="none"/>
          <w:lang w:val="zh-CN"/>
        </w:rPr>
        <w:t>五、如果中标，</w:t>
      </w:r>
      <w:r>
        <w:rPr>
          <w:color w:val="auto"/>
          <w:szCs w:val="21"/>
          <w:highlight w:val="none"/>
        </w:rPr>
        <w:t>联合体各成员方共同与采购人签订合同，并就采购合同约定的事项对采购人承担连带责任。</w:t>
      </w:r>
    </w:p>
    <w:p>
      <w:pPr>
        <w:snapToGrid w:val="0"/>
        <w:spacing w:line="360" w:lineRule="auto"/>
        <w:ind w:firstLine="576"/>
        <w:rPr>
          <w:color w:val="auto"/>
          <w:kern w:val="0"/>
          <w:szCs w:val="21"/>
          <w:highlight w:val="none"/>
          <w:lang w:val="zh-CN"/>
        </w:rPr>
      </w:pPr>
      <w:r>
        <w:rPr>
          <w:color w:val="auto"/>
          <w:kern w:val="0"/>
          <w:szCs w:val="21"/>
          <w:highlight w:val="none"/>
          <w:lang w:val="zh-CN"/>
        </w:rPr>
        <w:t>六、有关本次联合投标的其他事宜：</w:t>
      </w:r>
    </w:p>
    <w:p>
      <w:pPr>
        <w:snapToGrid w:val="0"/>
        <w:spacing w:line="360" w:lineRule="auto"/>
        <w:ind w:firstLine="576"/>
        <w:rPr>
          <w:color w:val="auto"/>
          <w:kern w:val="0"/>
          <w:szCs w:val="21"/>
          <w:highlight w:val="none"/>
          <w:lang w:val="zh-CN"/>
        </w:rPr>
      </w:pPr>
      <w:r>
        <w:rPr>
          <w:color w:val="auto"/>
          <w:kern w:val="0"/>
          <w:szCs w:val="21"/>
          <w:highlight w:val="none"/>
          <w:lang w:val="zh-CN"/>
        </w:rPr>
        <w:t>1、联合体各方不再单独参加或者与其他供应商另外组成联合体参加同一合同项下的政府采购活动。</w:t>
      </w:r>
    </w:p>
    <w:p>
      <w:pPr>
        <w:snapToGrid w:val="0"/>
        <w:spacing w:line="360" w:lineRule="auto"/>
        <w:ind w:firstLine="576"/>
        <w:rPr>
          <w:color w:val="auto"/>
          <w:kern w:val="0"/>
          <w:szCs w:val="21"/>
          <w:highlight w:val="none"/>
          <w:lang w:val="zh-CN"/>
        </w:rPr>
      </w:pPr>
      <w:r>
        <w:rPr>
          <w:color w:val="auto"/>
          <w:kern w:val="0"/>
          <w:szCs w:val="21"/>
          <w:highlight w:val="none"/>
          <w:lang w:val="zh-CN"/>
        </w:rPr>
        <w:t>2、联合体中有同类资质的各方按照联合体分工承担相同工作的，按照资质等级较低的供应商确定资质等级。</w:t>
      </w:r>
    </w:p>
    <w:p>
      <w:pPr>
        <w:snapToGrid w:val="0"/>
        <w:spacing w:line="360" w:lineRule="auto"/>
        <w:ind w:firstLine="576"/>
        <w:rPr>
          <w:color w:val="auto"/>
          <w:kern w:val="0"/>
          <w:szCs w:val="21"/>
          <w:highlight w:val="none"/>
          <w:lang w:val="zh-CN"/>
        </w:rPr>
      </w:pPr>
      <w:r>
        <w:rPr>
          <w:color w:val="auto"/>
          <w:kern w:val="0"/>
          <w:szCs w:val="21"/>
          <w:highlight w:val="none"/>
          <w:lang w:val="zh-CN"/>
        </w:rPr>
        <w:t>3、本协议提交采购人、采购代理机构后，联合体各方不得以任何形式对上述内容进行修改或撤销。</w:t>
      </w:r>
    </w:p>
    <w:p>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pPr>
        <w:snapToGrid w:val="0"/>
        <w:spacing w:line="360" w:lineRule="auto"/>
        <w:ind w:firstLine="5040" w:firstLineChars="2400"/>
        <w:rPr>
          <w:color w:val="auto"/>
          <w:szCs w:val="21"/>
          <w:highlight w:val="none"/>
        </w:rPr>
      </w:pPr>
      <w:r>
        <w:rPr>
          <w:color w:val="auto"/>
          <w:kern w:val="0"/>
          <w:szCs w:val="21"/>
          <w:highlight w:val="none"/>
          <w:lang w:val="zh-CN"/>
        </w:rPr>
        <w:t>……</w:t>
      </w:r>
    </w:p>
    <w:p>
      <w:pPr>
        <w:pStyle w:val="2"/>
        <w:rPr>
          <w:rFonts w:ascii="Times New Roman" w:hAnsi="Times New Roman" w:eastAsia="宋体"/>
          <w:b w:val="0"/>
          <w:bCs/>
          <w:color w:val="auto"/>
          <w:sz w:val="21"/>
          <w:szCs w:val="21"/>
          <w:highlight w:val="none"/>
        </w:rPr>
      </w:pPr>
      <w:r>
        <w:rPr>
          <w:rFonts w:hint="eastAsia" w:ascii="Times New Roman" w:hAnsi="Times New Roman" w:eastAsia="宋体"/>
          <w:color w:val="auto"/>
          <w:kern w:val="0"/>
          <w:sz w:val="21"/>
          <w:szCs w:val="21"/>
          <w:highlight w:val="none"/>
          <w:lang w:val="zh-CN"/>
        </w:rPr>
        <w:t xml:space="preserve">                      </w:t>
      </w:r>
      <w:r>
        <w:rPr>
          <w:rFonts w:ascii="Times New Roman" w:hAnsi="Times New Roman" w:eastAsia="宋体"/>
          <w:b w:val="0"/>
          <w:bCs/>
          <w:color w:val="auto"/>
          <w:kern w:val="0"/>
          <w:sz w:val="21"/>
          <w:szCs w:val="21"/>
          <w:highlight w:val="none"/>
          <w:lang w:val="zh-CN"/>
        </w:rPr>
        <w:t xml:space="preserve">   日期：</w:t>
      </w:r>
      <w:r>
        <w:rPr>
          <w:rFonts w:hint="eastAsia" w:ascii="Times New Roman" w:hAnsi="Times New Roman" w:eastAsia="宋体"/>
          <w:b w:val="0"/>
          <w:bCs/>
          <w:color w:val="auto"/>
          <w:kern w:val="0"/>
          <w:sz w:val="21"/>
          <w:szCs w:val="21"/>
          <w:highlight w:val="none"/>
          <w:lang w:eastAsia="zh-CN"/>
        </w:rPr>
        <w:t xml:space="preserve">  </w:t>
      </w:r>
      <w:r>
        <w:rPr>
          <w:rFonts w:ascii="Times New Roman" w:hAnsi="Times New Roman" w:eastAsia="宋体"/>
          <w:b w:val="0"/>
          <w:bCs/>
          <w:color w:val="auto"/>
          <w:kern w:val="0"/>
          <w:sz w:val="21"/>
          <w:szCs w:val="21"/>
          <w:highlight w:val="none"/>
          <w:lang w:val="zh-CN"/>
        </w:rPr>
        <w:t>年  月   日</w:t>
      </w:r>
    </w:p>
    <w:p>
      <w:pPr>
        <w:pStyle w:val="192"/>
        <w:snapToGrid w:val="0"/>
        <w:spacing w:line="360" w:lineRule="auto"/>
        <w:ind w:firstLine="420"/>
        <w:rPr>
          <w:rFonts w:hint="eastAsia" w:ascii="Times New Roman" w:hAnsi="Times New Roman"/>
          <w:color w:val="auto"/>
          <w:highlight w:val="none"/>
        </w:rPr>
      </w:pPr>
    </w:p>
    <w:p>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ascii="Times New Roman" w:hAnsi="Times New Roman"/>
          <w:color w:val="auto"/>
          <w:kern w:val="0"/>
          <w:highlight w:val="none"/>
        </w:rPr>
        <w:t>商务技术文件封面</w:t>
      </w:r>
    </w:p>
    <w:p>
      <w:pPr>
        <w:tabs>
          <w:tab w:val="left" w:pos="2580"/>
          <w:tab w:val="left" w:pos="5940"/>
        </w:tabs>
        <w:autoSpaceDE w:val="0"/>
        <w:autoSpaceDN w:val="0"/>
        <w:adjustRightInd w:val="0"/>
        <w:snapToGrid w:val="0"/>
        <w:spacing w:line="300" w:lineRule="auto"/>
        <w:ind w:right="-20" w:firstLine="735" w:firstLineChars="350"/>
        <w:rPr>
          <w:color w:val="auto"/>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rFonts w:hint="eastAsia"/>
          <w:color w:val="auto"/>
          <w:kern w:val="0"/>
          <w:sz w:val="24"/>
          <w:highlight w:val="none"/>
          <w:u w:val="single"/>
          <w:lang w:eastAsia="zh-CN"/>
        </w:rPr>
        <w:t xml:space="preserve">            </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rFonts w:hint="eastAsia"/>
          <w:color w:val="auto"/>
          <w:kern w:val="0"/>
          <w:sz w:val="24"/>
          <w:highlight w:val="none"/>
          <w:u w:val="single"/>
          <w:lang w:eastAsia="zh-CN"/>
        </w:rPr>
        <w:t xml:space="preserve">            </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rFonts w:hint="eastAsia"/>
          <w:color w:val="auto"/>
          <w:kern w:val="0"/>
          <w:sz w:val="24"/>
          <w:highlight w:val="none"/>
          <w:u w:val="single"/>
          <w:lang w:eastAsia="zh-CN"/>
        </w:rPr>
        <w:t xml:space="preserve">      </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（商务技术文件）</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rFonts w:hint="eastAsia"/>
          <w:color w:val="auto"/>
          <w:kern w:val="0"/>
          <w:sz w:val="28"/>
          <w:highlight w:val="none"/>
          <w:u w:val="single"/>
          <w:lang w:eastAsia="zh-CN"/>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w:t>
      </w:r>
      <w:r>
        <w:rPr>
          <w:rFonts w:ascii="Times New Roman" w:hAnsi="Times New Roman"/>
          <w:color w:val="auto"/>
          <w:highlight w:val="none"/>
        </w:rPr>
        <w:t>）投标函；</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w:t>
      </w:r>
      <w:r>
        <w:rPr>
          <w:rFonts w:ascii="Times New Roman" w:hAnsi="Times New Roman"/>
          <w:color w:val="auto"/>
          <w:highlight w:val="none"/>
        </w:rPr>
        <w:t>）法定代表人资格证明书；</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）法定代表人授权委托书（法定代表人签署不需提供此书）；</w:t>
      </w:r>
    </w:p>
    <w:p>
      <w:pPr>
        <w:pStyle w:val="192"/>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法定代表人及授权代表身份证正反面复印件；</w:t>
      </w:r>
    </w:p>
    <w:p>
      <w:pPr>
        <w:pStyle w:val="192"/>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（4）分包意向协议（如有分包）；</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w:t>
      </w:r>
      <w:r>
        <w:rPr>
          <w:rFonts w:ascii="Times New Roman" w:hAnsi="Times New Roman"/>
          <w:color w:val="auto"/>
          <w:highlight w:val="none"/>
        </w:rPr>
        <w:t>中标服务费支付承诺书</w:t>
      </w:r>
      <w:r>
        <w:rPr>
          <w:rFonts w:hint="eastAsia" w:ascii="Times New Roman" w:hAnsi="Times New Roman"/>
          <w:color w:val="auto"/>
          <w:highlight w:val="none"/>
        </w:rPr>
        <w:t>；</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6</w:t>
      </w:r>
      <w:r>
        <w:rPr>
          <w:rFonts w:ascii="Times New Roman" w:hAnsi="Times New Roman"/>
          <w:color w:val="auto"/>
          <w:highlight w:val="none"/>
        </w:rPr>
        <w:t>）技术规格偏离表；</w:t>
      </w:r>
    </w:p>
    <w:p>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7</w:t>
      </w:r>
      <w:r>
        <w:rPr>
          <w:rFonts w:ascii="Times New Roman" w:hAnsi="Times New Roman"/>
          <w:color w:val="auto"/>
          <w:highlight w:val="none"/>
        </w:rPr>
        <w:t>）商务条款偏离表；</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（8）</w:t>
      </w:r>
      <w:r>
        <w:rPr>
          <w:rFonts w:hint="eastAsia"/>
          <w:color w:val="auto"/>
          <w:highlight w:val="none"/>
        </w:rPr>
        <w:t>证书：供应商具有有效的职业健康安全管理体系认证、质量管理体系认证证书的，提供证书复印件；</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（9）</w:t>
      </w:r>
      <w:r>
        <w:rPr>
          <w:rFonts w:hint="eastAsia"/>
          <w:color w:val="auto"/>
          <w:highlight w:val="none"/>
        </w:rPr>
        <w:t>业绩：供应商自2020年1月1日以来（以合同签订日期为准）具有年度保安服务业绩的，提供不同用户的合同复印件，合同中需体现服务期不少于12个月的内容；</w:t>
      </w:r>
    </w:p>
    <w:p>
      <w:pPr>
        <w:pStyle w:val="192"/>
        <w:snapToGrid w:val="0"/>
        <w:spacing w:line="360" w:lineRule="auto"/>
        <w:ind w:firstLine="420"/>
        <w:rPr>
          <w:rFonts w:hint="eastAsia"/>
          <w:color w:val="auto"/>
          <w:highlight w:val="none"/>
        </w:rPr>
      </w:pPr>
      <w:r>
        <w:rPr>
          <w:rFonts w:hint="eastAsia" w:ascii="Times New Roman" w:hAnsi="Times New Roman"/>
          <w:color w:val="auto"/>
          <w:highlight w:val="none"/>
        </w:rPr>
        <w:t>（10）设备装备投入方案</w:t>
      </w:r>
    </w:p>
    <w:p>
      <w:pPr>
        <w:pStyle w:val="192"/>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11</w:t>
      </w:r>
      <w:r>
        <w:rPr>
          <w:rFonts w:ascii="Times New Roman" w:hAnsi="Times New Roman"/>
          <w:color w:val="auto"/>
          <w:highlight w:val="none"/>
        </w:rPr>
        <w:t>）</w:t>
      </w:r>
      <w:r>
        <w:rPr>
          <w:rFonts w:hint="eastAsia"/>
          <w:color w:val="auto"/>
          <w:highlight w:val="none"/>
        </w:rPr>
        <w:t>重点、难点分析：供应商对项目现状、存在的问题和保安服务的难点、要点等问题进行调查剖析，提出克服难点和要点的措施和方案；</w:t>
      </w:r>
    </w:p>
    <w:p>
      <w:pPr>
        <w:pStyle w:val="192"/>
        <w:snapToGrid w:val="0"/>
        <w:spacing w:line="360" w:lineRule="auto"/>
        <w:ind w:firstLine="420"/>
        <w:rPr>
          <w:rFonts w:hint="eastAsia"/>
          <w:color w:val="auto"/>
          <w:highlight w:val="none"/>
        </w:rPr>
      </w:pPr>
      <w:r>
        <w:rPr>
          <w:rFonts w:hint="eastAsia"/>
          <w:color w:val="auto"/>
          <w:highlight w:val="none"/>
        </w:rPr>
        <w:t>（12）</w:t>
      </w:r>
      <w:r>
        <w:rPr>
          <w:rFonts w:hint="eastAsia"/>
          <w:color w:val="auto"/>
          <w:highlight w:val="none"/>
          <w:lang w:val="zh-TW"/>
        </w:rPr>
        <w:t>服务方案：</w:t>
      </w:r>
      <w:r>
        <w:rPr>
          <w:rFonts w:hint="eastAsia"/>
          <w:color w:val="auto"/>
          <w:highlight w:val="none"/>
        </w:rPr>
        <w:t>供应商针对本项目的服务范围涉及区域制定的总体服务方案；</w:t>
      </w:r>
    </w:p>
    <w:p>
      <w:pPr>
        <w:pStyle w:val="192"/>
        <w:snapToGrid w:val="0"/>
        <w:spacing w:line="360" w:lineRule="auto"/>
        <w:ind w:firstLine="420"/>
        <w:rPr>
          <w:rFonts w:hint="eastAsia"/>
          <w:color w:val="auto"/>
          <w:highlight w:val="none"/>
        </w:rPr>
      </w:pPr>
      <w:r>
        <w:rPr>
          <w:rFonts w:hint="eastAsia"/>
          <w:color w:val="auto"/>
          <w:highlight w:val="none"/>
        </w:rPr>
        <w:t>（13）服务过程中各种情况的服务方案；</w:t>
      </w:r>
    </w:p>
    <w:p>
      <w:pPr>
        <w:pStyle w:val="192"/>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14</w:t>
      </w:r>
      <w:r>
        <w:rPr>
          <w:rFonts w:ascii="Times New Roman" w:hAnsi="Times New Roman"/>
          <w:color w:val="auto"/>
          <w:highlight w:val="none"/>
        </w:rPr>
        <w:t>）</w:t>
      </w:r>
      <w:r>
        <w:rPr>
          <w:rFonts w:hint="eastAsia"/>
          <w:color w:val="auto"/>
          <w:highlight w:val="none"/>
        </w:rPr>
        <w:t>针对中标后工作的衔接、人员及装备的进场、与医院各项医务工作及医院业务流程相适应的服务运作流程等指定的方案；</w:t>
      </w:r>
    </w:p>
    <w:p>
      <w:pPr>
        <w:pStyle w:val="192"/>
        <w:snapToGrid w:val="0"/>
        <w:spacing w:line="360" w:lineRule="auto"/>
        <w:ind w:firstLine="420"/>
        <w:rPr>
          <w:rFonts w:hint="eastAsia"/>
          <w:color w:val="auto"/>
          <w:highlight w:val="none"/>
        </w:rPr>
      </w:pPr>
      <w:r>
        <w:rPr>
          <w:rFonts w:ascii="Times New Roman" w:hAnsi="Times New Roman"/>
          <w:color w:val="auto"/>
          <w:highlight w:val="none"/>
        </w:rPr>
        <w:t>（</w:t>
      </w:r>
      <w:r>
        <w:rPr>
          <w:rFonts w:hint="eastAsia" w:ascii="Times New Roman" w:hAnsi="Times New Roman"/>
          <w:color w:val="auto"/>
          <w:highlight w:val="none"/>
        </w:rPr>
        <w:t>15</w:t>
      </w:r>
      <w:r>
        <w:rPr>
          <w:rFonts w:ascii="Times New Roman" w:hAnsi="Times New Roman"/>
          <w:color w:val="auto"/>
          <w:highlight w:val="none"/>
        </w:rPr>
        <w:t>）</w:t>
      </w:r>
      <w:r>
        <w:rPr>
          <w:rFonts w:hint="eastAsia"/>
          <w:color w:val="auto"/>
          <w:highlight w:val="none"/>
        </w:rPr>
        <w:t>服务人员</w:t>
      </w:r>
    </w:p>
    <w:p>
      <w:pPr>
        <w:pStyle w:val="192"/>
        <w:snapToGrid w:val="0"/>
        <w:spacing w:line="360" w:lineRule="auto"/>
        <w:ind w:firstLine="420"/>
        <w:rPr>
          <w:rFonts w:hint="eastAsia"/>
          <w:color w:val="auto"/>
          <w:highlight w:val="none"/>
        </w:rPr>
      </w:pPr>
      <w:r>
        <w:rPr>
          <w:rFonts w:hint="eastAsia"/>
          <w:color w:val="auto"/>
          <w:highlight w:val="none"/>
        </w:rPr>
        <w:t>（16）应急方案及措施</w:t>
      </w:r>
    </w:p>
    <w:p>
      <w:pPr>
        <w:pStyle w:val="192"/>
        <w:snapToGrid w:val="0"/>
        <w:spacing w:line="360" w:lineRule="auto"/>
        <w:ind w:firstLine="420"/>
        <w:rPr>
          <w:rFonts w:hint="eastAsia"/>
          <w:color w:val="auto"/>
          <w:highlight w:val="none"/>
        </w:rPr>
      </w:pPr>
      <w:r>
        <w:rPr>
          <w:rFonts w:hint="eastAsia"/>
          <w:color w:val="auto"/>
          <w:highlight w:val="none"/>
        </w:rPr>
        <w:t>（17）保障措施</w:t>
      </w:r>
    </w:p>
    <w:p>
      <w:pPr>
        <w:pStyle w:val="192"/>
        <w:snapToGrid w:val="0"/>
        <w:spacing w:line="360" w:lineRule="auto"/>
        <w:ind w:firstLine="420"/>
        <w:rPr>
          <w:rFonts w:hint="eastAsia"/>
          <w:color w:val="auto"/>
          <w:highlight w:val="none"/>
        </w:rPr>
      </w:pPr>
      <w:r>
        <w:rPr>
          <w:rFonts w:hint="eastAsia"/>
          <w:color w:val="auto"/>
          <w:highlight w:val="none"/>
        </w:rPr>
        <w:t>供应商提供雇主责任险购买证明；</w:t>
      </w:r>
    </w:p>
    <w:p>
      <w:pPr>
        <w:pStyle w:val="192"/>
        <w:snapToGrid w:val="0"/>
        <w:spacing w:line="360" w:lineRule="auto"/>
        <w:ind w:firstLine="420"/>
        <w:rPr>
          <w:rFonts w:hint="eastAsia"/>
          <w:color w:val="auto"/>
          <w:highlight w:val="none"/>
        </w:rPr>
      </w:pPr>
      <w:r>
        <w:rPr>
          <w:rFonts w:hint="eastAsia"/>
          <w:color w:val="auto"/>
          <w:highlight w:val="none"/>
        </w:rPr>
        <w:t>供应商承诺中标后在服务过程中，因保安人员过失造成第三方人员人身伤亡或财产损失的，供应商负责处理及赔偿事宜的，提供承诺；</w:t>
      </w:r>
    </w:p>
    <w:p>
      <w:pPr>
        <w:pStyle w:val="192"/>
        <w:snapToGrid w:val="0"/>
        <w:spacing w:line="360" w:lineRule="auto"/>
        <w:ind w:firstLine="420"/>
        <w:rPr>
          <w:rFonts w:hint="eastAsia"/>
          <w:color w:val="auto"/>
          <w:highlight w:val="none"/>
        </w:rPr>
      </w:pPr>
      <w:r>
        <w:rPr>
          <w:rFonts w:hint="eastAsia"/>
          <w:color w:val="auto"/>
          <w:highlight w:val="none"/>
        </w:rPr>
        <w:t>对保安人员的劳动保障情况；</w:t>
      </w:r>
    </w:p>
    <w:p>
      <w:pPr>
        <w:pStyle w:val="192"/>
        <w:snapToGrid w:val="0"/>
        <w:spacing w:line="360" w:lineRule="auto"/>
        <w:ind w:firstLine="420"/>
        <w:rPr>
          <w:rFonts w:hint="eastAsia"/>
          <w:color w:val="auto"/>
          <w:highlight w:val="none"/>
        </w:rPr>
      </w:pPr>
      <w:r>
        <w:rPr>
          <w:rFonts w:hint="eastAsia"/>
          <w:color w:val="auto"/>
          <w:highlight w:val="none"/>
        </w:rPr>
        <w:t>承诺给保安人员的实发工资及各种福利待遇情况。</w:t>
      </w:r>
    </w:p>
    <w:p>
      <w:pPr>
        <w:pStyle w:val="192"/>
        <w:snapToGrid w:val="0"/>
        <w:spacing w:line="360" w:lineRule="auto"/>
        <w:ind w:firstLine="420"/>
        <w:rPr>
          <w:rFonts w:hint="eastAsia"/>
          <w:color w:val="auto"/>
          <w:highlight w:val="none"/>
        </w:rPr>
      </w:pPr>
      <w:r>
        <w:rPr>
          <w:rFonts w:hint="eastAsia"/>
          <w:color w:val="auto"/>
          <w:highlight w:val="none"/>
        </w:rPr>
        <w:t>（18）供应商提供雇主责任险购买证明；</w:t>
      </w:r>
    </w:p>
    <w:p>
      <w:pPr>
        <w:pStyle w:val="192"/>
        <w:snapToGrid w:val="0"/>
        <w:spacing w:line="360" w:lineRule="auto"/>
        <w:ind w:firstLine="420"/>
        <w:rPr>
          <w:color w:val="auto"/>
          <w:highlight w:val="none"/>
        </w:rPr>
      </w:pPr>
      <w:r>
        <w:rPr>
          <w:rFonts w:hint="eastAsia"/>
          <w:color w:val="auto"/>
          <w:highlight w:val="none"/>
        </w:rPr>
        <w:t>（19）</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r>
        <w:rPr>
          <w:rFonts w:hint="eastAsia" w:ascii="Times New Roman" w:hAnsi="Times New Roman"/>
          <w:color w:val="auto"/>
          <w:highlight w:val="none"/>
        </w:rPr>
        <w:t>。</w:t>
      </w:r>
    </w:p>
    <w:p>
      <w:pPr>
        <w:pStyle w:val="3"/>
        <w:ind w:firstLine="422"/>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w:t>
      </w:r>
      <w:r>
        <w:rPr>
          <w:rFonts w:ascii="Times New Roman" w:hAnsi="Times New Roman"/>
          <w:color w:val="auto"/>
          <w:highlight w:val="none"/>
        </w:rPr>
        <w:t>、投标函格式</w:t>
      </w:r>
    </w:p>
    <w:p>
      <w:pPr>
        <w:snapToGrid w:val="0"/>
        <w:spacing w:line="300" w:lineRule="auto"/>
        <w:jc w:val="center"/>
        <w:rPr>
          <w:b/>
          <w:bCs/>
          <w:color w:val="auto"/>
          <w:sz w:val="32"/>
          <w:szCs w:val="32"/>
          <w:highlight w:val="none"/>
        </w:rPr>
      </w:pPr>
      <w:r>
        <w:rPr>
          <w:b/>
          <w:bCs/>
          <w:color w:val="auto"/>
          <w:sz w:val="32"/>
          <w:szCs w:val="32"/>
          <w:highlight w:val="none"/>
        </w:rPr>
        <w:t>投标函</w:t>
      </w:r>
    </w:p>
    <w:p>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u w:val="single"/>
        </w:rPr>
        <w:t>（采购人单位名称）</w:t>
      </w:r>
      <w:r>
        <w:rPr>
          <w:rFonts w:ascii="Times New Roman" w:hAnsi="Times New Roman"/>
          <w:color w:val="auto"/>
          <w:highlight w:val="none"/>
        </w:rPr>
        <w:t>：</w:t>
      </w:r>
    </w:p>
    <w:p>
      <w:pPr>
        <w:pStyle w:val="40"/>
        <w:adjustRightInd w:val="0"/>
        <w:snapToGrid w:val="0"/>
        <w:spacing w:line="300" w:lineRule="auto"/>
        <w:rPr>
          <w:rFonts w:ascii="Times New Roman" w:hAnsi="Times New Roman"/>
          <w:color w:val="auto"/>
          <w:highlight w:val="none"/>
        </w:rPr>
      </w:pPr>
      <w:r>
        <w:rPr>
          <w:rFonts w:hint="eastAsia" w:ascii="Times New Roman" w:hAnsi="Times New Roman"/>
          <w:color w:val="auto"/>
          <w:highlight w:val="none"/>
          <w:u w:val="single"/>
        </w:rPr>
        <w:t>浙江国际招投标有限公司</w:t>
      </w:r>
      <w:r>
        <w:rPr>
          <w:rFonts w:ascii="Times New Roman" w:hAnsi="Times New Roman"/>
          <w:color w:val="auto"/>
          <w:highlight w:val="none"/>
        </w:rPr>
        <w:t>：</w:t>
      </w:r>
    </w:p>
    <w:p>
      <w:pPr>
        <w:pStyle w:val="40"/>
        <w:adjustRightInd w:val="0"/>
        <w:snapToGrid w:val="0"/>
        <w:spacing w:line="300" w:lineRule="auto"/>
        <w:ind w:firstLine="411" w:firstLineChars="196"/>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全称）参加贵方组织的（项目名称）（招标项目编号）招标的有关活动，并对（项目名称）进行投标。为此我方：</w:t>
      </w:r>
    </w:p>
    <w:p>
      <w:pPr>
        <w:adjustRightInd w:val="0"/>
        <w:snapToGrid w:val="0"/>
        <w:spacing w:line="300" w:lineRule="auto"/>
        <w:ind w:firstLine="420" w:firstLineChars="200"/>
        <w:rPr>
          <w:color w:val="auto"/>
          <w:szCs w:val="21"/>
          <w:highlight w:val="none"/>
        </w:rPr>
      </w:pPr>
      <w:r>
        <w:rPr>
          <w:color w:val="auto"/>
          <w:szCs w:val="21"/>
          <w:highlight w:val="none"/>
        </w:rPr>
        <w:t>1、承诺在</w:t>
      </w:r>
      <w:r>
        <w:rPr>
          <w:rFonts w:hint="eastAsia"/>
          <w:color w:val="auto"/>
          <w:szCs w:val="21"/>
          <w:highlight w:val="none"/>
        </w:rPr>
        <w:t>供应商</w:t>
      </w:r>
      <w:r>
        <w:rPr>
          <w:color w:val="auto"/>
          <w:kern w:val="44"/>
          <w:szCs w:val="21"/>
          <w:highlight w:val="none"/>
        </w:rPr>
        <w:t>须知</w:t>
      </w:r>
      <w:r>
        <w:rPr>
          <w:color w:val="auto"/>
          <w:szCs w:val="21"/>
          <w:highlight w:val="none"/>
        </w:rPr>
        <w:t>规定的投标截止日起遵守本投标文件中的承诺，且在投标有效期满之前均具有约束力。本投标文件的有效期为</w:t>
      </w:r>
      <w:r>
        <w:rPr>
          <w:color w:val="auto"/>
          <w:highlight w:val="none"/>
        </w:rPr>
        <w:t>自投标截止时间起</w:t>
      </w:r>
      <w:r>
        <w:rPr>
          <w:rFonts w:hint="eastAsia"/>
          <w:color w:val="auto"/>
          <w:highlight w:val="none"/>
          <w:u w:val="single"/>
          <w:lang w:eastAsia="zh-CN"/>
        </w:rPr>
        <w:t xml:space="preserve">  </w:t>
      </w:r>
      <w:r>
        <w:rPr>
          <w:color w:val="auto"/>
          <w:highlight w:val="none"/>
        </w:rPr>
        <w:t>天。</w:t>
      </w:r>
    </w:p>
    <w:p>
      <w:pPr>
        <w:adjustRightInd w:val="0"/>
        <w:snapToGrid w:val="0"/>
        <w:spacing w:line="300" w:lineRule="auto"/>
        <w:ind w:firstLine="420" w:firstLineChars="200"/>
        <w:rPr>
          <w:color w:val="auto"/>
          <w:szCs w:val="21"/>
          <w:highlight w:val="none"/>
        </w:rPr>
      </w:pPr>
      <w:r>
        <w:rPr>
          <w:color w:val="auto"/>
          <w:szCs w:val="21"/>
          <w:highlight w:val="none"/>
        </w:rPr>
        <w:t>2、承诺已经具备《中华人民共和国政府采购法》中规定的参加政府采购活动的</w:t>
      </w:r>
      <w:r>
        <w:rPr>
          <w:rFonts w:hint="eastAsia"/>
          <w:color w:val="auto"/>
          <w:szCs w:val="21"/>
          <w:highlight w:val="none"/>
        </w:rPr>
        <w:t>供应商</w:t>
      </w:r>
      <w:r>
        <w:rPr>
          <w:color w:val="auto"/>
          <w:szCs w:val="21"/>
          <w:highlight w:val="none"/>
        </w:rPr>
        <w:t>应当具备的条件及采购人规定的特定条件。</w:t>
      </w:r>
    </w:p>
    <w:p>
      <w:pPr>
        <w:adjustRightInd w:val="0"/>
        <w:snapToGrid w:val="0"/>
        <w:spacing w:line="300" w:lineRule="auto"/>
        <w:ind w:firstLine="420" w:firstLineChars="200"/>
        <w:rPr>
          <w:color w:val="auto"/>
          <w:szCs w:val="21"/>
          <w:highlight w:val="none"/>
        </w:rPr>
      </w:pPr>
      <w:r>
        <w:rPr>
          <w:color w:val="auto"/>
          <w:szCs w:val="21"/>
          <w:highlight w:val="none"/>
        </w:rPr>
        <w:t>3、已详细审核全部采购文件，包括采购文件补充（如果有）、参考资料及有关附件，确认无误。</w:t>
      </w:r>
    </w:p>
    <w:p>
      <w:pPr>
        <w:adjustRightInd w:val="0"/>
        <w:snapToGrid w:val="0"/>
        <w:spacing w:line="300" w:lineRule="auto"/>
        <w:ind w:firstLine="420" w:firstLineChars="200"/>
        <w:rPr>
          <w:color w:val="auto"/>
          <w:szCs w:val="21"/>
          <w:highlight w:val="none"/>
        </w:rPr>
      </w:pPr>
      <w:r>
        <w:rPr>
          <w:color w:val="auto"/>
          <w:szCs w:val="21"/>
          <w:highlight w:val="none"/>
        </w:rPr>
        <w:t>4、提供</w:t>
      </w:r>
      <w:r>
        <w:rPr>
          <w:rFonts w:hint="eastAsia"/>
          <w:color w:val="auto"/>
          <w:kern w:val="44"/>
          <w:szCs w:val="21"/>
          <w:highlight w:val="none"/>
        </w:rPr>
        <w:t>供应商</w:t>
      </w:r>
      <w:r>
        <w:rPr>
          <w:color w:val="auto"/>
          <w:kern w:val="44"/>
          <w:szCs w:val="21"/>
          <w:highlight w:val="none"/>
        </w:rPr>
        <w:t>须知</w:t>
      </w:r>
      <w:r>
        <w:rPr>
          <w:color w:val="auto"/>
          <w:szCs w:val="21"/>
          <w:highlight w:val="none"/>
        </w:rPr>
        <w:t>规定的全部投标文件。</w:t>
      </w:r>
    </w:p>
    <w:p>
      <w:pPr>
        <w:adjustRightInd w:val="0"/>
        <w:snapToGrid w:val="0"/>
        <w:spacing w:line="300" w:lineRule="auto"/>
        <w:ind w:firstLine="420" w:firstLineChars="200"/>
        <w:rPr>
          <w:color w:val="auto"/>
          <w:highlight w:val="none"/>
        </w:rPr>
      </w:pPr>
      <w:r>
        <w:rPr>
          <w:color w:val="auto"/>
          <w:szCs w:val="21"/>
          <w:highlight w:val="none"/>
        </w:rPr>
        <w:t>5、投标</w:t>
      </w:r>
      <w:r>
        <w:rPr>
          <w:color w:val="auto"/>
          <w:highlight w:val="none"/>
        </w:rPr>
        <w:t>报价详见《开标一览表》。</w:t>
      </w:r>
    </w:p>
    <w:p>
      <w:pPr>
        <w:adjustRightInd w:val="0"/>
        <w:snapToGrid w:val="0"/>
        <w:spacing w:line="300" w:lineRule="auto"/>
        <w:ind w:firstLine="420" w:firstLineChars="200"/>
        <w:rPr>
          <w:color w:val="auto"/>
          <w:szCs w:val="21"/>
          <w:highlight w:val="none"/>
        </w:rPr>
      </w:pPr>
      <w:r>
        <w:rPr>
          <w:color w:val="auto"/>
          <w:szCs w:val="21"/>
          <w:highlight w:val="none"/>
        </w:rPr>
        <w:t>6、保证遵守采购文件中的其他有关规定。</w:t>
      </w:r>
    </w:p>
    <w:p>
      <w:pPr>
        <w:adjustRightInd w:val="0"/>
        <w:snapToGrid w:val="0"/>
        <w:spacing w:line="300" w:lineRule="auto"/>
        <w:ind w:firstLine="420" w:firstLineChars="200"/>
        <w:rPr>
          <w:color w:val="auto"/>
          <w:szCs w:val="21"/>
          <w:highlight w:val="none"/>
        </w:rPr>
      </w:pPr>
      <w:r>
        <w:rPr>
          <w:color w:val="auto"/>
          <w:szCs w:val="21"/>
          <w:highlight w:val="none"/>
        </w:rPr>
        <w:t>7、完全理解不一定接受最低价中标。</w:t>
      </w:r>
    </w:p>
    <w:p>
      <w:pPr>
        <w:adjustRightInd w:val="0"/>
        <w:snapToGrid w:val="0"/>
        <w:spacing w:line="300" w:lineRule="auto"/>
        <w:ind w:firstLine="420" w:firstLineChars="200"/>
        <w:rPr>
          <w:color w:val="auto"/>
          <w:szCs w:val="21"/>
          <w:highlight w:val="none"/>
        </w:rPr>
      </w:pPr>
      <w:r>
        <w:rPr>
          <w:color w:val="auto"/>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00" w:lineRule="auto"/>
        <w:ind w:firstLine="420" w:firstLineChars="200"/>
        <w:rPr>
          <w:color w:val="auto"/>
          <w:szCs w:val="21"/>
          <w:highlight w:val="none"/>
        </w:rPr>
      </w:pPr>
      <w:r>
        <w:rPr>
          <w:color w:val="auto"/>
          <w:szCs w:val="21"/>
          <w:highlight w:val="none"/>
        </w:rPr>
        <w:t>9、保证忠实地执行双方所签订的合同，并承担合同规定的责任和义务。</w:t>
      </w:r>
    </w:p>
    <w:p>
      <w:pPr>
        <w:adjustRightInd w:val="0"/>
        <w:snapToGrid w:val="0"/>
        <w:spacing w:line="300" w:lineRule="auto"/>
        <w:ind w:firstLine="420" w:firstLineChars="200"/>
        <w:rPr>
          <w:color w:val="auto"/>
          <w:szCs w:val="21"/>
          <w:highlight w:val="none"/>
        </w:rPr>
      </w:pPr>
      <w:r>
        <w:rPr>
          <w:color w:val="auto"/>
          <w:szCs w:val="21"/>
          <w:highlight w:val="none"/>
        </w:rPr>
        <w:t>10、我方承诺不存在以下情况：</w:t>
      </w:r>
    </w:p>
    <w:p>
      <w:pPr>
        <w:adjustRightInd w:val="0"/>
        <w:snapToGrid w:val="0"/>
        <w:spacing w:line="300" w:lineRule="auto"/>
        <w:ind w:firstLine="420" w:firstLineChars="200"/>
        <w:rPr>
          <w:color w:val="auto"/>
          <w:szCs w:val="21"/>
          <w:highlight w:val="none"/>
        </w:rPr>
      </w:pPr>
      <w:r>
        <w:rPr>
          <w:color w:val="auto"/>
          <w:szCs w:val="21"/>
          <w:highlight w:val="none"/>
        </w:rPr>
        <w:t>a）提供虚假材料谋取中标、成交的；</w:t>
      </w:r>
    </w:p>
    <w:p>
      <w:pPr>
        <w:adjustRightInd w:val="0"/>
        <w:snapToGrid w:val="0"/>
        <w:spacing w:line="300" w:lineRule="auto"/>
        <w:ind w:firstLine="420" w:firstLineChars="200"/>
        <w:rPr>
          <w:color w:val="auto"/>
          <w:szCs w:val="21"/>
          <w:highlight w:val="none"/>
        </w:rPr>
      </w:pPr>
      <w:r>
        <w:rPr>
          <w:color w:val="auto"/>
          <w:szCs w:val="21"/>
          <w:highlight w:val="none"/>
        </w:rPr>
        <w:t>b）采取不正当手段诋毁、排挤其他供应商的；</w:t>
      </w:r>
    </w:p>
    <w:p>
      <w:pPr>
        <w:adjustRightInd w:val="0"/>
        <w:snapToGrid w:val="0"/>
        <w:spacing w:line="300" w:lineRule="auto"/>
        <w:ind w:firstLine="420" w:firstLineChars="200"/>
        <w:rPr>
          <w:color w:val="auto"/>
          <w:szCs w:val="21"/>
          <w:highlight w:val="none"/>
        </w:rPr>
      </w:pPr>
      <w:r>
        <w:rPr>
          <w:color w:val="auto"/>
          <w:szCs w:val="21"/>
          <w:highlight w:val="none"/>
        </w:rPr>
        <w:t>c）与采购人、其它供应商或者采购代理机构恶意串通的；</w:t>
      </w:r>
    </w:p>
    <w:p>
      <w:pPr>
        <w:adjustRightInd w:val="0"/>
        <w:snapToGrid w:val="0"/>
        <w:spacing w:line="300" w:lineRule="auto"/>
        <w:ind w:firstLine="420" w:firstLineChars="200"/>
        <w:rPr>
          <w:color w:val="auto"/>
          <w:szCs w:val="21"/>
          <w:highlight w:val="none"/>
        </w:rPr>
      </w:pPr>
      <w:r>
        <w:rPr>
          <w:color w:val="auto"/>
          <w:szCs w:val="21"/>
          <w:highlight w:val="none"/>
        </w:rPr>
        <w:t>d）向采购人、采购代理机构行贿或者提供其他不正当利益的；</w:t>
      </w:r>
    </w:p>
    <w:p>
      <w:pPr>
        <w:adjustRightInd w:val="0"/>
        <w:snapToGrid w:val="0"/>
        <w:spacing w:line="300" w:lineRule="auto"/>
        <w:ind w:firstLine="420" w:firstLineChars="200"/>
        <w:rPr>
          <w:color w:val="auto"/>
          <w:szCs w:val="21"/>
          <w:highlight w:val="none"/>
        </w:rPr>
      </w:pPr>
      <w:r>
        <w:rPr>
          <w:color w:val="auto"/>
          <w:szCs w:val="21"/>
          <w:highlight w:val="none"/>
        </w:rPr>
        <w:t>e）在招标采购过程中与采购人进行协商谈判的；</w:t>
      </w:r>
    </w:p>
    <w:p>
      <w:pPr>
        <w:adjustRightInd w:val="0"/>
        <w:snapToGrid w:val="0"/>
        <w:spacing w:line="300" w:lineRule="auto"/>
        <w:ind w:firstLine="420" w:firstLineChars="200"/>
        <w:rPr>
          <w:color w:val="auto"/>
          <w:szCs w:val="21"/>
          <w:highlight w:val="none"/>
        </w:rPr>
      </w:pPr>
      <w:r>
        <w:rPr>
          <w:color w:val="auto"/>
          <w:szCs w:val="21"/>
          <w:highlight w:val="none"/>
        </w:rPr>
        <w:t>f）拒绝有关部门监督检查或提供虚假情况的。</w:t>
      </w:r>
    </w:p>
    <w:p>
      <w:pPr>
        <w:pStyle w:val="40"/>
        <w:adjustRightInd w:val="0"/>
        <w:snapToGrid w:val="0"/>
        <w:spacing w:line="300" w:lineRule="auto"/>
        <w:ind w:firstLine="480"/>
        <w:rPr>
          <w:rFonts w:ascii="Times New Roman" w:hAnsi="Times New Roman"/>
          <w:color w:val="auto"/>
          <w:highlight w:val="none"/>
        </w:rPr>
      </w:pPr>
    </w:p>
    <w:p>
      <w:pPr>
        <w:pStyle w:val="40"/>
        <w:adjustRightInd w:val="0"/>
        <w:snapToGrid w:val="0"/>
        <w:spacing w:line="300" w:lineRule="auto"/>
        <w:ind w:firstLine="480"/>
        <w:rPr>
          <w:rFonts w:ascii="Times New Roman" w:hAnsi="Times New Roman"/>
          <w:color w:val="auto"/>
          <w:highlight w:val="none"/>
          <w:u w:val="singl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pPr>
        <w:pStyle w:val="40"/>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单位地址：</w:t>
      </w:r>
    </w:p>
    <w:p>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邮编：</w:t>
      </w:r>
    </w:p>
    <w:p>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电话：</w:t>
      </w:r>
    </w:p>
    <w:p>
      <w:pPr>
        <w:pStyle w:val="40"/>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传真：</w:t>
      </w:r>
    </w:p>
    <w:p>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2</w:t>
      </w:r>
      <w:r>
        <w:rPr>
          <w:rFonts w:ascii="Times New Roman" w:hAnsi="Times New Roman"/>
          <w:color w:val="auto"/>
          <w:highlight w:val="none"/>
        </w:rPr>
        <w:t>、法定代表人资格证明书</w:t>
      </w:r>
    </w:p>
    <w:p>
      <w:pPr>
        <w:snapToGrid w:val="0"/>
        <w:spacing w:line="300" w:lineRule="auto"/>
        <w:jc w:val="center"/>
        <w:rPr>
          <w:b/>
          <w:bCs/>
          <w:color w:val="auto"/>
          <w:sz w:val="32"/>
          <w:szCs w:val="32"/>
          <w:highlight w:val="none"/>
        </w:rPr>
      </w:pPr>
      <w:r>
        <w:rPr>
          <w:b/>
          <w:bCs/>
          <w:color w:val="auto"/>
          <w:sz w:val="32"/>
          <w:szCs w:val="32"/>
          <w:highlight w:val="none"/>
        </w:rPr>
        <w:t>法定代表人资格证明书</w:t>
      </w: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u w:val="single"/>
        </w:rPr>
      </w:pPr>
      <w:r>
        <w:rPr>
          <w:rFonts w:hint="eastAsia"/>
          <w:color w:val="auto"/>
          <w:szCs w:val="21"/>
          <w:highlight w:val="none"/>
        </w:rPr>
        <w:t>供应商</w:t>
      </w:r>
      <w:r>
        <w:rPr>
          <w:color w:val="auto"/>
          <w:szCs w:val="21"/>
          <w:highlight w:val="none"/>
        </w:rPr>
        <w:t>名称：</w:t>
      </w:r>
    </w:p>
    <w:p>
      <w:pPr>
        <w:adjustRightInd w:val="0"/>
        <w:snapToGrid w:val="0"/>
        <w:spacing w:line="360" w:lineRule="auto"/>
        <w:ind w:firstLine="420" w:firstLineChars="200"/>
        <w:rPr>
          <w:color w:val="auto"/>
          <w:szCs w:val="21"/>
          <w:highlight w:val="none"/>
          <w:u w:val="single"/>
        </w:rPr>
      </w:pPr>
      <w:r>
        <w:rPr>
          <w:color w:val="auto"/>
          <w:szCs w:val="21"/>
          <w:highlight w:val="none"/>
        </w:rPr>
        <w:t>法定地址：</w:t>
      </w:r>
    </w:p>
    <w:p>
      <w:pPr>
        <w:adjustRightInd w:val="0"/>
        <w:snapToGrid w:val="0"/>
        <w:spacing w:line="360" w:lineRule="auto"/>
        <w:ind w:firstLine="420" w:firstLineChars="200"/>
        <w:rPr>
          <w:color w:val="auto"/>
          <w:szCs w:val="21"/>
          <w:highlight w:val="none"/>
        </w:rPr>
      </w:pPr>
      <w:r>
        <w:rPr>
          <w:color w:val="auto"/>
          <w:szCs w:val="21"/>
          <w:highlight w:val="none"/>
        </w:rPr>
        <w:t>姓名：</w:t>
      </w:r>
    </w:p>
    <w:p>
      <w:pPr>
        <w:adjustRightInd w:val="0"/>
        <w:snapToGrid w:val="0"/>
        <w:spacing w:line="360" w:lineRule="auto"/>
        <w:ind w:firstLine="420" w:firstLineChars="200"/>
        <w:rPr>
          <w:color w:val="auto"/>
          <w:szCs w:val="21"/>
          <w:highlight w:val="none"/>
        </w:rPr>
      </w:pPr>
      <w:r>
        <w:rPr>
          <w:color w:val="auto"/>
          <w:szCs w:val="21"/>
          <w:highlight w:val="none"/>
        </w:rPr>
        <w:t>性别：</w:t>
      </w:r>
    </w:p>
    <w:p>
      <w:pPr>
        <w:adjustRightInd w:val="0"/>
        <w:snapToGrid w:val="0"/>
        <w:spacing w:line="360" w:lineRule="auto"/>
        <w:ind w:firstLine="420" w:firstLineChars="200"/>
        <w:rPr>
          <w:color w:val="auto"/>
          <w:szCs w:val="21"/>
          <w:highlight w:val="none"/>
        </w:rPr>
      </w:pPr>
      <w:r>
        <w:rPr>
          <w:color w:val="auto"/>
          <w:szCs w:val="21"/>
          <w:highlight w:val="none"/>
        </w:rPr>
        <w:t>年龄：</w:t>
      </w:r>
    </w:p>
    <w:p>
      <w:pPr>
        <w:adjustRightInd w:val="0"/>
        <w:snapToGrid w:val="0"/>
        <w:spacing w:line="360" w:lineRule="auto"/>
        <w:ind w:firstLine="420" w:firstLineChars="200"/>
        <w:rPr>
          <w:color w:val="auto"/>
          <w:szCs w:val="21"/>
          <w:highlight w:val="none"/>
          <w:u w:val="single"/>
        </w:rPr>
      </w:pPr>
      <w:r>
        <w:rPr>
          <w:color w:val="auto"/>
          <w:szCs w:val="21"/>
          <w:highlight w:val="none"/>
        </w:rPr>
        <w:t>职务：</w:t>
      </w:r>
    </w:p>
    <w:p>
      <w:pPr>
        <w:adjustRightInd w:val="0"/>
        <w:snapToGrid w:val="0"/>
        <w:spacing w:line="360" w:lineRule="auto"/>
        <w:ind w:firstLine="420" w:firstLineChars="200"/>
        <w:rPr>
          <w:color w:val="auto"/>
          <w:szCs w:val="21"/>
          <w:highlight w:val="none"/>
          <w:u w:val="single"/>
        </w:rPr>
      </w:pPr>
      <w:r>
        <w:rPr>
          <w:color w:val="auto"/>
          <w:szCs w:val="21"/>
          <w:highlight w:val="none"/>
        </w:rPr>
        <w:t>身份证号码：</w:t>
      </w:r>
    </w:p>
    <w:p>
      <w:pPr>
        <w:adjustRightInd w:val="0"/>
        <w:snapToGrid w:val="0"/>
        <w:spacing w:line="360" w:lineRule="auto"/>
        <w:ind w:firstLine="420" w:firstLineChars="200"/>
        <w:rPr>
          <w:color w:val="auto"/>
          <w:szCs w:val="21"/>
          <w:highlight w:val="none"/>
        </w:rPr>
      </w:pPr>
      <w:r>
        <w:rPr>
          <w:color w:val="auto"/>
          <w:szCs w:val="21"/>
          <w:highlight w:val="none"/>
        </w:rPr>
        <w:t>该同志系公司法定代表人。</w:t>
      </w:r>
    </w:p>
    <w:p>
      <w:pPr>
        <w:adjustRightInd w:val="0"/>
        <w:snapToGrid w:val="0"/>
        <w:spacing w:line="360" w:lineRule="auto"/>
        <w:ind w:firstLine="420" w:firstLineChars="200"/>
        <w:rPr>
          <w:color w:val="auto"/>
          <w:szCs w:val="21"/>
          <w:highlight w:val="none"/>
        </w:rPr>
      </w:pPr>
      <w:r>
        <w:rPr>
          <w:color w:val="auto"/>
          <w:szCs w:val="21"/>
          <w:highlight w:val="none"/>
        </w:rPr>
        <w:t>特此证明！</w:t>
      </w: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r>
        <w:rPr>
          <w:rFonts w:hint="eastAsia"/>
          <w:color w:val="auto"/>
          <w:szCs w:val="21"/>
          <w:highlight w:val="none"/>
        </w:rPr>
        <w:t>供应商</w:t>
      </w:r>
      <w:r>
        <w:rPr>
          <w:color w:val="auto"/>
          <w:szCs w:val="21"/>
          <w:highlight w:val="none"/>
        </w:rPr>
        <w:t>：（</w:t>
      </w:r>
      <w:r>
        <w:rPr>
          <w:rFonts w:hint="eastAsia"/>
          <w:color w:val="auto"/>
          <w:highlight w:val="none"/>
        </w:rPr>
        <w:t>盖单位公章或电子签章</w:t>
      </w:r>
      <w:r>
        <w:rPr>
          <w:color w:val="auto"/>
          <w:szCs w:val="21"/>
          <w:highlight w:val="none"/>
        </w:rPr>
        <w:t>）</w:t>
      </w: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r>
        <w:rPr>
          <w:color w:val="auto"/>
          <w:szCs w:val="21"/>
          <w:highlight w:val="none"/>
        </w:rPr>
        <w:t xml:space="preserve">日期： </w:t>
      </w:r>
      <w:r>
        <w:rPr>
          <w:rFonts w:hint="eastAsia"/>
          <w:color w:val="auto"/>
          <w:szCs w:val="21"/>
          <w:highlight w:val="none"/>
        </w:rPr>
        <w:t xml:space="preserve"> </w:t>
      </w:r>
      <w:r>
        <w:rPr>
          <w:color w:val="auto"/>
          <w:szCs w:val="21"/>
          <w:highlight w:val="none"/>
        </w:rPr>
        <w:t xml:space="preserve"> 年  月  日</w:t>
      </w:r>
    </w:p>
    <w:p>
      <w:pPr>
        <w:adjustRightInd w:val="0"/>
        <w:snapToGrid w:val="0"/>
        <w:spacing w:line="360" w:lineRule="auto"/>
        <w:ind w:firstLine="420" w:firstLineChars="200"/>
        <w:rPr>
          <w:color w:val="auto"/>
          <w:szCs w:val="21"/>
          <w:highlight w:val="none"/>
        </w:rPr>
      </w:pPr>
    </w:p>
    <w:p>
      <w:pPr>
        <w:spacing w:line="360" w:lineRule="auto"/>
        <w:rPr>
          <w:color w:val="auto"/>
          <w:szCs w:val="21"/>
          <w:highlight w:val="none"/>
        </w:rPr>
      </w:pPr>
    </w:p>
    <w:p>
      <w:pPr>
        <w:spacing w:line="360" w:lineRule="auto"/>
        <w:ind w:firstLine="420" w:firstLineChars="200"/>
        <w:rPr>
          <w:color w:val="auto"/>
          <w:szCs w:val="21"/>
          <w:highlight w:val="none"/>
        </w:rPr>
      </w:pPr>
      <w:r>
        <w:rPr>
          <w:color w:val="auto"/>
          <w:szCs w:val="21"/>
          <w:highlight w:val="none"/>
        </w:rPr>
        <w:t>附：</w:t>
      </w: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noWrap w:val="0"/>
            <w:vAlign w:val="top"/>
          </w:tcPr>
          <w:p>
            <w:pPr>
              <w:spacing w:line="360" w:lineRule="auto"/>
              <w:rPr>
                <w:color w:val="auto"/>
                <w:szCs w:val="21"/>
                <w:highlight w:val="none"/>
              </w:rPr>
            </w:pPr>
            <w:r>
              <w:rPr>
                <w:color w:val="auto"/>
                <w:szCs w:val="21"/>
                <w:highlight w:val="none"/>
              </w:rPr>
              <w:t>法定代表人身份证复印件</w:t>
            </w:r>
          </w:p>
          <w:p>
            <w:pPr>
              <w:spacing w:line="360" w:lineRule="auto"/>
              <w:rPr>
                <w:color w:val="auto"/>
                <w:szCs w:val="21"/>
                <w:highlight w:val="none"/>
              </w:rPr>
            </w:pPr>
          </w:p>
        </w:tc>
      </w:tr>
    </w:tbl>
    <w:p>
      <w:pPr>
        <w:adjustRightInd w:val="0"/>
        <w:snapToGrid w:val="0"/>
        <w:spacing w:line="360" w:lineRule="auto"/>
        <w:ind w:firstLine="420" w:firstLineChars="200"/>
        <w:rPr>
          <w:color w:val="auto"/>
          <w:szCs w:val="21"/>
          <w:highlight w:val="none"/>
        </w:rPr>
      </w:pPr>
    </w:p>
    <w:p>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3</w:t>
      </w:r>
      <w:r>
        <w:rPr>
          <w:rFonts w:ascii="Times New Roman" w:hAnsi="Times New Roman"/>
          <w:color w:val="auto"/>
          <w:highlight w:val="none"/>
        </w:rPr>
        <w:t>、法定代表人授权委托书</w:t>
      </w:r>
    </w:p>
    <w:p>
      <w:pPr>
        <w:snapToGrid w:val="0"/>
        <w:spacing w:line="300" w:lineRule="auto"/>
        <w:jc w:val="center"/>
        <w:rPr>
          <w:b/>
          <w:bCs/>
          <w:color w:val="auto"/>
          <w:sz w:val="32"/>
          <w:szCs w:val="32"/>
          <w:highlight w:val="none"/>
        </w:rPr>
      </w:pPr>
      <w:r>
        <w:rPr>
          <w:b/>
          <w:bCs/>
          <w:color w:val="auto"/>
          <w:sz w:val="32"/>
          <w:szCs w:val="32"/>
          <w:highlight w:val="none"/>
        </w:rPr>
        <w:t>法定代表人授权委托书</w:t>
      </w:r>
    </w:p>
    <w:p>
      <w:pPr>
        <w:snapToGrid w:val="0"/>
        <w:spacing w:line="300" w:lineRule="auto"/>
        <w:jc w:val="center"/>
        <w:rPr>
          <w:b/>
          <w:bCs/>
          <w:color w:val="auto"/>
          <w:sz w:val="32"/>
          <w:szCs w:val="32"/>
          <w:highlight w:val="none"/>
        </w:rPr>
      </w:pPr>
      <w:r>
        <w:rPr>
          <w:color w:val="auto"/>
          <w:highlight w:val="none"/>
        </w:rPr>
        <w:t>（法定代表人签署不需提供此书）</w:t>
      </w:r>
    </w:p>
    <w:p>
      <w:pPr>
        <w:spacing w:line="360" w:lineRule="auto"/>
        <w:rPr>
          <w:color w:val="auto"/>
          <w:szCs w:val="21"/>
          <w:highlight w:val="none"/>
        </w:rPr>
      </w:pPr>
    </w:p>
    <w:p>
      <w:pPr>
        <w:snapToGrid w:val="0"/>
        <w:spacing w:line="360" w:lineRule="auto"/>
        <w:rPr>
          <w:color w:val="auto"/>
          <w:szCs w:val="21"/>
          <w:highlight w:val="none"/>
        </w:rPr>
      </w:pPr>
      <w:r>
        <w:rPr>
          <w:bCs/>
          <w:color w:val="auto"/>
          <w:szCs w:val="21"/>
          <w:highlight w:val="none"/>
        </w:rPr>
        <w:t>致：</w:t>
      </w:r>
      <w:r>
        <w:rPr>
          <w:rFonts w:hint="eastAsia"/>
          <w:color w:val="auto"/>
          <w:szCs w:val="21"/>
          <w:highlight w:val="none"/>
          <w:u w:val="single"/>
          <w:lang w:eastAsia="zh-CN"/>
        </w:rPr>
        <w:t xml:space="preserve">  </w:t>
      </w:r>
      <w:r>
        <w:rPr>
          <w:color w:val="auto"/>
          <w:szCs w:val="21"/>
          <w:highlight w:val="none"/>
        </w:rPr>
        <w:t>（采购代理机构）：</w:t>
      </w:r>
    </w:p>
    <w:p>
      <w:pPr>
        <w:snapToGrid w:val="0"/>
        <w:spacing w:line="360" w:lineRule="auto"/>
        <w:rPr>
          <w:b/>
          <w:bCs/>
          <w:color w:val="auto"/>
          <w:szCs w:val="21"/>
          <w:highlight w:val="none"/>
        </w:rPr>
      </w:pPr>
    </w:p>
    <w:p>
      <w:pPr>
        <w:snapToGrid w:val="0"/>
        <w:spacing w:line="360" w:lineRule="auto"/>
        <w:ind w:firstLine="420" w:firstLineChars="200"/>
        <w:rPr>
          <w:color w:val="auto"/>
          <w:szCs w:val="21"/>
          <w:highlight w:val="none"/>
        </w:rPr>
      </w:pPr>
      <w:r>
        <w:rPr>
          <w:color w:val="auto"/>
          <w:szCs w:val="21"/>
          <w:highlight w:val="none"/>
        </w:rPr>
        <w:t>我</w:t>
      </w:r>
      <w:r>
        <w:rPr>
          <w:rFonts w:hint="eastAsia"/>
          <w:color w:val="auto"/>
          <w:szCs w:val="21"/>
          <w:highlight w:val="none"/>
          <w:u w:val="single"/>
          <w:lang w:eastAsia="zh-CN"/>
        </w:rPr>
        <w:t xml:space="preserve">  </w:t>
      </w:r>
      <w:r>
        <w:rPr>
          <w:color w:val="auto"/>
          <w:szCs w:val="21"/>
          <w:highlight w:val="none"/>
          <w:u w:val="single"/>
        </w:rPr>
        <w:t xml:space="preserve">  </w:t>
      </w:r>
      <w:r>
        <w:rPr>
          <w:color w:val="auto"/>
          <w:szCs w:val="21"/>
          <w:highlight w:val="none"/>
        </w:rPr>
        <w:t>_（姓名）系</w:t>
      </w:r>
      <w:r>
        <w:rPr>
          <w:rFonts w:hint="eastAsia"/>
          <w:color w:val="auto"/>
          <w:szCs w:val="21"/>
          <w:highlight w:val="none"/>
          <w:u w:val="single"/>
          <w:lang w:eastAsia="zh-CN"/>
        </w:rPr>
        <w:t xml:space="preserve">      </w:t>
      </w:r>
      <w:r>
        <w:rPr>
          <w:color w:val="auto"/>
          <w:szCs w:val="21"/>
          <w:highlight w:val="none"/>
          <w:u w:val="single"/>
        </w:rPr>
        <w:t xml:space="preserve"> _</w:t>
      </w:r>
      <w:r>
        <w:rPr>
          <w:color w:val="auto"/>
          <w:szCs w:val="21"/>
          <w:highlight w:val="none"/>
        </w:rPr>
        <w:t>_（</w:t>
      </w:r>
      <w:r>
        <w:rPr>
          <w:rFonts w:hint="eastAsia"/>
          <w:color w:val="auto"/>
          <w:szCs w:val="21"/>
          <w:highlight w:val="none"/>
        </w:rPr>
        <w:t>供应商</w:t>
      </w:r>
      <w:r>
        <w:rPr>
          <w:color w:val="auto"/>
          <w:szCs w:val="21"/>
          <w:highlight w:val="none"/>
        </w:rPr>
        <w:t>名称）的法定代表人，现授权委托本单位在职职工</w:t>
      </w:r>
      <w:r>
        <w:rPr>
          <w:rFonts w:hint="eastAsia"/>
          <w:color w:val="auto"/>
          <w:szCs w:val="21"/>
          <w:highlight w:val="none"/>
          <w:u w:val="single"/>
          <w:lang w:eastAsia="zh-CN"/>
        </w:rPr>
        <w:t xml:space="preserve">      </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（采购单位，项目名称）   </w:t>
      </w:r>
      <w:r>
        <w:rPr>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color w:val="auto"/>
          <w:szCs w:val="21"/>
          <w:highlight w:val="none"/>
        </w:rPr>
      </w:pPr>
      <w:r>
        <w:rPr>
          <w:color w:val="auto"/>
          <w:szCs w:val="21"/>
          <w:highlight w:val="none"/>
        </w:rPr>
        <w:t>我方对被授权人的签名事项负全部责任。</w:t>
      </w:r>
    </w:p>
    <w:p>
      <w:pPr>
        <w:snapToGrid w:val="0"/>
        <w:spacing w:line="360" w:lineRule="auto"/>
        <w:ind w:firstLine="420" w:firstLineChars="20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pPr>
        <w:snapToGrid w:val="0"/>
        <w:spacing w:line="360" w:lineRule="auto"/>
        <w:ind w:firstLine="420" w:firstLineChars="200"/>
        <w:rPr>
          <w:color w:val="auto"/>
          <w:szCs w:val="21"/>
          <w:highlight w:val="none"/>
        </w:rPr>
      </w:pPr>
      <w:r>
        <w:rPr>
          <w:color w:val="auto"/>
          <w:szCs w:val="21"/>
          <w:highlight w:val="none"/>
        </w:rPr>
        <w:t>被授权人无转委托权，特此委托。</w:t>
      </w:r>
    </w:p>
    <w:p>
      <w:pPr>
        <w:snapToGrid w:val="0"/>
        <w:spacing w:line="360" w:lineRule="auto"/>
        <w:rPr>
          <w:color w:val="auto"/>
          <w:szCs w:val="21"/>
          <w:highlight w:val="none"/>
        </w:rPr>
      </w:pPr>
    </w:p>
    <w:p>
      <w:pPr>
        <w:snapToGrid w:val="0"/>
        <w:spacing w:line="360" w:lineRule="auto"/>
        <w:rPr>
          <w:rFonts w:hint="eastAsia" w:eastAsia="宋体"/>
          <w:color w:val="auto"/>
          <w:szCs w:val="21"/>
          <w:highlight w:val="none"/>
          <w:lang w:eastAsia="zh-CN"/>
        </w:rPr>
      </w:pPr>
      <w:r>
        <w:rPr>
          <w:color w:val="auto"/>
          <w:szCs w:val="21"/>
          <w:highlight w:val="none"/>
        </w:rPr>
        <w:t>被授权人</w:t>
      </w:r>
      <w:r>
        <w:rPr>
          <w:rFonts w:hint="eastAsia"/>
          <w:color w:val="auto"/>
          <w:szCs w:val="21"/>
          <w:highlight w:val="none"/>
        </w:rPr>
        <w:t>姓名</w:t>
      </w:r>
      <w:r>
        <w:rPr>
          <w:color w:val="auto"/>
          <w:szCs w:val="21"/>
          <w:highlight w:val="none"/>
        </w:rPr>
        <w:t>：</w:t>
      </w:r>
      <w:r>
        <w:rPr>
          <w:rFonts w:hint="eastAsia"/>
          <w:color w:val="auto"/>
          <w:szCs w:val="21"/>
          <w:highlight w:val="none"/>
          <w:u w:val="single"/>
          <w:lang w:eastAsia="zh-CN"/>
        </w:rPr>
        <w:t xml:space="preserve">          </w:t>
      </w:r>
    </w:p>
    <w:p>
      <w:pPr>
        <w:snapToGrid w:val="0"/>
        <w:spacing w:line="360" w:lineRule="auto"/>
        <w:rPr>
          <w:rFonts w:hint="eastAsia" w:eastAsia="宋体"/>
          <w:color w:val="auto"/>
          <w:szCs w:val="21"/>
          <w:highlight w:val="none"/>
          <w:lang w:eastAsia="zh-CN"/>
        </w:rPr>
      </w:pPr>
      <w:r>
        <w:rPr>
          <w:color w:val="auto"/>
          <w:szCs w:val="21"/>
          <w:highlight w:val="none"/>
        </w:rPr>
        <w:t>职</w:t>
      </w:r>
      <w:r>
        <w:rPr>
          <w:rFonts w:hint="eastAsia"/>
          <w:color w:val="auto"/>
          <w:szCs w:val="21"/>
          <w:highlight w:val="none"/>
          <w:lang w:eastAsia="zh-CN"/>
        </w:rPr>
        <w:t xml:space="preserve">    </w:t>
      </w:r>
      <w:r>
        <w:rPr>
          <w:color w:val="auto"/>
          <w:szCs w:val="21"/>
          <w:highlight w:val="none"/>
        </w:rPr>
        <w:t>务：</w:t>
      </w:r>
      <w:r>
        <w:rPr>
          <w:rFonts w:hint="eastAsia"/>
          <w:color w:val="auto"/>
          <w:szCs w:val="21"/>
          <w:highlight w:val="none"/>
          <w:u w:val="single"/>
          <w:lang w:eastAsia="zh-CN"/>
        </w:rPr>
        <w:t xml:space="preserve">          </w:t>
      </w:r>
    </w:p>
    <w:p>
      <w:pPr>
        <w:snapToGrid w:val="0"/>
        <w:spacing w:line="360" w:lineRule="auto"/>
        <w:rPr>
          <w:color w:val="auto"/>
          <w:szCs w:val="21"/>
          <w:highlight w:val="none"/>
        </w:rPr>
      </w:pPr>
      <w:r>
        <w:rPr>
          <w:color w:val="auto"/>
          <w:szCs w:val="21"/>
          <w:highlight w:val="none"/>
        </w:rPr>
        <w:t>被授权人身份证号码：</w:t>
      </w:r>
      <w:r>
        <w:rPr>
          <w:rFonts w:hint="eastAsia"/>
          <w:color w:val="auto"/>
          <w:szCs w:val="21"/>
          <w:highlight w:val="none"/>
          <w:u w:val="single"/>
          <w:lang w:eastAsia="zh-CN"/>
        </w:rPr>
        <w:t xml:space="preserve">      </w:t>
      </w:r>
      <w:r>
        <w:rPr>
          <w:color w:val="auto"/>
          <w:szCs w:val="21"/>
          <w:highlight w:val="none"/>
          <w:u w:val="single"/>
        </w:rPr>
        <w:t xml:space="preserve">  </w:t>
      </w:r>
    </w:p>
    <w:p>
      <w:pPr>
        <w:snapToGrid w:val="0"/>
        <w:spacing w:line="360" w:lineRule="auto"/>
        <w:rPr>
          <w:color w:val="auto"/>
          <w:szCs w:val="21"/>
          <w:highlight w:val="none"/>
        </w:rPr>
      </w:pPr>
    </w:p>
    <w:p>
      <w:pPr>
        <w:snapToGrid w:val="0"/>
        <w:spacing w:line="360" w:lineRule="auto"/>
        <w:rPr>
          <w:color w:val="auto"/>
          <w:szCs w:val="21"/>
          <w:highlight w:val="none"/>
          <w:u w:val="single"/>
        </w:rPr>
      </w:pPr>
      <w:r>
        <w:rPr>
          <w:color w:val="auto"/>
          <w:szCs w:val="21"/>
          <w:highlight w:val="none"/>
        </w:rPr>
        <w:t>法定代表人</w:t>
      </w:r>
      <w:r>
        <w:rPr>
          <w:rFonts w:hint="eastAsia"/>
          <w:color w:val="auto"/>
          <w:szCs w:val="21"/>
          <w:highlight w:val="none"/>
        </w:rPr>
        <w:t>姓名</w:t>
      </w:r>
      <w:r>
        <w:rPr>
          <w:color w:val="auto"/>
          <w:szCs w:val="21"/>
          <w:highlight w:val="none"/>
        </w:rPr>
        <w:t>：</w:t>
      </w:r>
      <w:r>
        <w:rPr>
          <w:rFonts w:hint="eastAsia"/>
          <w:color w:val="auto"/>
          <w:szCs w:val="21"/>
          <w:highlight w:val="none"/>
          <w:u w:val="single"/>
          <w:lang w:eastAsia="zh-CN"/>
        </w:rPr>
        <w:t xml:space="preserve">        </w:t>
      </w:r>
      <w:r>
        <w:rPr>
          <w:color w:val="auto"/>
          <w:szCs w:val="21"/>
          <w:highlight w:val="none"/>
          <w:u w:val="single"/>
        </w:rPr>
        <w:t xml:space="preserve">  </w:t>
      </w:r>
    </w:p>
    <w:p>
      <w:pPr>
        <w:snapToGrid w:val="0"/>
        <w:spacing w:line="360" w:lineRule="auto"/>
        <w:rPr>
          <w:color w:val="auto"/>
          <w:szCs w:val="21"/>
          <w:highlight w:val="none"/>
          <w:u w:val="single"/>
        </w:rPr>
      </w:pPr>
      <w:r>
        <w:rPr>
          <w:color w:val="auto"/>
          <w:szCs w:val="21"/>
          <w:highlight w:val="none"/>
        </w:rPr>
        <w:t>职</w:t>
      </w:r>
      <w:r>
        <w:rPr>
          <w:rFonts w:hint="eastAsia"/>
          <w:color w:val="auto"/>
          <w:szCs w:val="21"/>
          <w:highlight w:val="none"/>
          <w:lang w:eastAsia="zh-CN"/>
        </w:rPr>
        <w:t xml:space="preserve">    </w:t>
      </w:r>
      <w:r>
        <w:rPr>
          <w:color w:val="auto"/>
          <w:szCs w:val="21"/>
          <w:highlight w:val="none"/>
        </w:rPr>
        <w:t xml:space="preserve">  务：</w:t>
      </w:r>
      <w:r>
        <w:rPr>
          <w:rFonts w:hint="eastAsia"/>
          <w:color w:val="auto"/>
          <w:szCs w:val="21"/>
          <w:highlight w:val="none"/>
          <w:u w:val="single"/>
          <w:lang w:eastAsia="zh-CN"/>
        </w:rPr>
        <w:t xml:space="preserve">        </w:t>
      </w:r>
      <w:r>
        <w:rPr>
          <w:color w:val="auto"/>
          <w:szCs w:val="21"/>
          <w:highlight w:val="none"/>
          <w:u w:val="single"/>
        </w:rPr>
        <w:t xml:space="preserve">  </w:t>
      </w:r>
    </w:p>
    <w:p>
      <w:pPr>
        <w:snapToGrid w:val="0"/>
        <w:spacing w:line="360" w:lineRule="auto"/>
        <w:rPr>
          <w:color w:val="auto"/>
          <w:szCs w:val="21"/>
          <w:highlight w:val="none"/>
          <w:u w:val="single"/>
        </w:rPr>
      </w:pPr>
      <w:r>
        <w:rPr>
          <w:color w:val="auto"/>
          <w:szCs w:val="21"/>
          <w:highlight w:val="none"/>
        </w:rPr>
        <w:t>身份证号码：</w:t>
      </w:r>
      <w:r>
        <w:rPr>
          <w:rFonts w:hint="eastAsia"/>
          <w:color w:val="auto"/>
          <w:szCs w:val="21"/>
          <w:highlight w:val="none"/>
          <w:u w:val="single"/>
          <w:lang w:eastAsia="zh-CN"/>
        </w:rPr>
        <w:t xml:space="preserve">          </w:t>
      </w:r>
      <w:r>
        <w:rPr>
          <w:color w:val="auto"/>
          <w:szCs w:val="21"/>
          <w:highlight w:val="none"/>
          <w:u w:val="single"/>
        </w:rPr>
        <w:t xml:space="preserve"> </w:t>
      </w:r>
    </w:p>
    <w:p>
      <w:pPr>
        <w:snapToGrid w:val="0"/>
        <w:spacing w:line="360" w:lineRule="auto"/>
        <w:rPr>
          <w:color w:val="auto"/>
          <w:szCs w:val="21"/>
          <w:highlight w:val="none"/>
          <w:u w:val="single"/>
        </w:rPr>
      </w:pPr>
    </w:p>
    <w:p>
      <w:pPr>
        <w:snapToGrid w:val="0"/>
        <w:spacing w:line="360" w:lineRule="auto"/>
        <w:rPr>
          <w:color w:val="auto"/>
          <w:szCs w:val="21"/>
          <w:highlight w:val="none"/>
          <w:u w:val="single"/>
        </w:rPr>
      </w:pPr>
      <w:r>
        <w:rPr>
          <w:rFonts w:hint="eastAsia"/>
          <w:color w:val="auto"/>
          <w:szCs w:val="21"/>
          <w:highlight w:val="none"/>
        </w:rPr>
        <w:t>供应商</w:t>
      </w:r>
      <w:r>
        <w:rPr>
          <w:color w:val="auto"/>
          <w:szCs w:val="21"/>
          <w:highlight w:val="none"/>
        </w:rPr>
        <w:t>：</w:t>
      </w:r>
      <w:r>
        <w:rPr>
          <w:rFonts w:hint="eastAsia"/>
          <w:color w:val="auto"/>
          <w:szCs w:val="21"/>
          <w:highlight w:val="none"/>
        </w:rPr>
        <w:t>（</w:t>
      </w:r>
      <w:r>
        <w:rPr>
          <w:rFonts w:hint="eastAsia"/>
          <w:color w:val="auto"/>
          <w:highlight w:val="none"/>
        </w:rPr>
        <w:t>盖单位公章或电子签章</w:t>
      </w:r>
      <w:r>
        <w:rPr>
          <w:rFonts w:hint="eastAsia"/>
          <w:color w:val="auto"/>
          <w:szCs w:val="21"/>
          <w:highlight w:val="none"/>
        </w:rPr>
        <w:t>）</w:t>
      </w:r>
    </w:p>
    <w:p>
      <w:pPr>
        <w:spacing w:line="360" w:lineRule="auto"/>
        <w:rPr>
          <w:color w:val="auto"/>
          <w:szCs w:val="21"/>
          <w:highlight w:val="none"/>
        </w:rPr>
      </w:pPr>
      <w:r>
        <w:rPr>
          <w:color w:val="auto"/>
          <w:szCs w:val="21"/>
          <w:highlight w:val="none"/>
        </w:rPr>
        <w:t>签署时间：   年</w:t>
      </w:r>
      <w:r>
        <w:rPr>
          <w:rFonts w:hint="eastAsia"/>
          <w:color w:val="auto"/>
          <w:szCs w:val="21"/>
          <w:highlight w:val="none"/>
          <w:lang w:eastAsia="zh-CN"/>
        </w:rPr>
        <w:t xml:space="preserve">  </w:t>
      </w:r>
      <w:r>
        <w:rPr>
          <w:color w:val="auto"/>
          <w:szCs w:val="21"/>
          <w:highlight w:val="none"/>
        </w:rPr>
        <w:t>月</w:t>
      </w:r>
      <w:r>
        <w:rPr>
          <w:rFonts w:hint="eastAsia"/>
          <w:color w:val="auto"/>
          <w:szCs w:val="21"/>
          <w:highlight w:val="none"/>
          <w:lang w:eastAsia="zh-CN"/>
        </w:rPr>
        <w:t xml:space="preserve">  </w:t>
      </w:r>
      <w:r>
        <w:rPr>
          <w:color w:val="auto"/>
          <w:szCs w:val="21"/>
          <w:highlight w:val="none"/>
        </w:rPr>
        <w:t>日</w:t>
      </w:r>
    </w:p>
    <w:p>
      <w:pPr>
        <w:spacing w:line="360" w:lineRule="auto"/>
        <w:rPr>
          <w:color w:val="auto"/>
          <w:szCs w:val="21"/>
          <w:highlight w:val="none"/>
        </w:rPr>
      </w:pPr>
    </w:p>
    <w:p>
      <w:pPr>
        <w:spacing w:line="360" w:lineRule="auto"/>
        <w:rPr>
          <w:color w:val="auto"/>
          <w:szCs w:val="21"/>
          <w:highlight w:val="none"/>
        </w:rPr>
      </w:pPr>
      <w:r>
        <w:rPr>
          <w:color w:val="auto"/>
          <w:szCs w:val="21"/>
          <w:highlight w:val="none"/>
        </w:rPr>
        <w:t>附：</w:t>
      </w:r>
    </w:p>
    <w:tbl>
      <w:tblPr>
        <w:tblStyle w:val="8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val="0"/>
            <w:vAlign w:val="top"/>
          </w:tcPr>
          <w:p>
            <w:pPr>
              <w:spacing w:line="360" w:lineRule="auto"/>
              <w:rPr>
                <w:color w:val="auto"/>
                <w:szCs w:val="21"/>
                <w:highlight w:val="none"/>
              </w:rPr>
            </w:pPr>
            <w:r>
              <w:rPr>
                <w:color w:val="auto"/>
                <w:szCs w:val="21"/>
                <w:highlight w:val="none"/>
              </w:rPr>
              <w:t>法定代表人身份证复印件</w:t>
            </w:r>
          </w:p>
          <w:p>
            <w:pPr>
              <w:spacing w:line="360" w:lineRule="auto"/>
              <w:rPr>
                <w:color w:val="auto"/>
                <w:szCs w:val="21"/>
                <w:highlight w:val="none"/>
              </w:rPr>
            </w:pPr>
          </w:p>
        </w:tc>
        <w:tc>
          <w:tcPr>
            <w:tcW w:w="2340" w:type="dxa"/>
            <w:tcBorders>
              <w:top w:val="nil"/>
              <w:bottom w:val="nil"/>
            </w:tcBorders>
            <w:noWrap w:val="0"/>
            <w:vAlign w:val="top"/>
          </w:tcPr>
          <w:p>
            <w:pPr>
              <w:widowControl/>
              <w:jc w:val="left"/>
              <w:rPr>
                <w:color w:val="auto"/>
                <w:szCs w:val="21"/>
                <w:highlight w:val="none"/>
              </w:rPr>
            </w:pPr>
          </w:p>
          <w:p>
            <w:pPr>
              <w:spacing w:line="360" w:lineRule="auto"/>
              <w:rPr>
                <w:color w:val="auto"/>
                <w:szCs w:val="21"/>
                <w:highlight w:val="none"/>
              </w:rPr>
            </w:pPr>
          </w:p>
        </w:tc>
        <w:tc>
          <w:tcPr>
            <w:tcW w:w="2700" w:type="dxa"/>
            <w:noWrap w:val="0"/>
            <w:vAlign w:val="top"/>
          </w:tcPr>
          <w:p>
            <w:pPr>
              <w:spacing w:line="360" w:lineRule="auto"/>
              <w:rPr>
                <w:color w:val="auto"/>
                <w:szCs w:val="21"/>
                <w:highlight w:val="none"/>
              </w:rPr>
            </w:pPr>
            <w:r>
              <w:rPr>
                <w:color w:val="auto"/>
                <w:szCs w:val="21"/>
                <w:highlight w:val="none"/>
              </w:rPr>
              <w:t>被授权人身份证复印件</w:t>
            </w:r>
          </w:p>
        </w:tc>
      </w:tr>
    </w:tbl>
    <w:p>
      <w:pPr>
        <w:widowControl/>
        <w:autoSpaceDE w:val="0"/>
        <w:autoSpaceDN w:val="0"/>
        <w:spacing w:line="360" w:lineRule="auto"/>
        <w:jc w:val="center"/>
        <w:textAlignment w:val="bottom"/>
        <w:rPr>
          <w:color w:val="auto"/>
          <w:szCs w:val="21"/>
          <w:highlight w:val="none"/>
        </w:rPr>
      </w:pPr>
    </w:p>
    <w:p>
      <w:pPr>
        <w:spacing w:line="360" w:lineRule="auto"/>
        <w:rPr>
          <w:color w:val="auto"/>
          <w:szCs w:val="21"/>
          <w:highlight w:val="none"/>
          <w:u w:val="single"/>
        </w:rPr>
      </w:pPr>
      <w:r>
        <w:rPr>
          <w:color w:val="auto"/>
          <w:highlight w:val="none"/>
        </w:rPr>
        <w:t>附：社保机构出具的投标截止日前6个月内授权代表的投标单位社保缴纳证明，任职不足6个月的可提供劳动合同证明文件</w:t>
      </w:r>
    </w:p>
    <w:p>
      <w:pPr>
        <w:pStyle w:val="192"/>
        <w:snapToGrid w:val="0"/>
        <w:spacing w:line="360" w:lineRule="auto"/>
        <w:ind w:firstLine="420"/>
        <w:rPr>
          <w:rFonts w:hint="eastAsia" w:ascii="Times New Roman" w:hAnsi="Times New Roman"/>
          <w:color w:val="auto"/>
          <w:highlight w:val="none"/>
        </w:rPr>
      </w:pPr>
      <w:r>
        <w:rPr>
          <w:rFonts w:ascii="Times New Roman" w:hAnsi="Times New Roman"/>
          <w:color w:val="auto"/>
          <w:szCs w:val="21"/>
          <w:highlight w:val="none"/>
        </w:rPr>
        <w:br w:type="page"/>
      </w:r>
      <w:r>
        <w:rPr>
          <w:rFonts w:hint="eastAsia" w:ascii="Times New Roman" w:hAnsi="Times New Roman"/>
          <w:color w:val="auto"/>
          <w:highlight w:val="none"/>
        </w:rPr>
        <w:t>4、分包意向协议（如有分包）</w:t>
      </w:r>
    </w:p>
    <w:p>
      <w:pPr>
        <w:rPr>
          <w:color w:val="auto"/>
          <w:highlight w:val="none"/>
        </w:rPr>
      </w:pPr>
    </w:p>
    <w:p>
      <w:pPr>
        <w:spacing w:line="360" w:lineRule="auto"/>
        <w:jc w:val="center"/>
        <w:rPr>
          <w:b/>
          <w:color w:val="auto"/>
          <w:sz w:val="32"/>
          <w:szCs w:val="32"/>
          <w:highlight w:val="none"/>
        </w:rPr>
      </w:pPr>
      <w:r>
        <w:rPr>
          <w:rFonts w:hAnsi="宋体"/>
          <w:b/>
          <w:color w:val="auto"/>
          <w:sz w:val="32"/>
          <w:szCs w:val="32"/>
          <w:highlight w:val="none"/>
        </w:rPr>
        <w:t>分包意向协议</w:t>
      </w:r>
    </w:p>
    <w:p>
      <w:pPr>
        <w:widowControl/>
        <w:spacing w:line="360" w:lineRule="auto"/>
        <w:ind w:firstLine="420" w:firstLineChars="200"/>
        <w:jc w:val="left"/>
        <w:rPr>
          <w:color w:val="auto"/>
          <w:szCs w:val="21"/>
          <w:highlight w:val="none"/>
        </w:rPr>
      </w:pPr>
    </w:p>
    <w:p>
      <w:pPr>
        <w:adjustRightInd w:val="0"/>
        <w:snapToGrid w:val="0"/>
        <w:spacing w:line="360" w:lineRule="auto"/>
        <w:ind w:firstLine="576"/>
        <w:rPr>
          <w:color w:val="auto"/>
          <w:kern w:val="0"/>
          <w:szCs w:val="21"/>
          <w:highlight w:val="none"/>
          <w:lang w:val="zh-CN"/>
        </w:rPr>
      </w:pPr>
      <w:r>
        <w:rPr>
          <w:color w:val="auto"/>
          <w:kern w:val="0"/>
          <w:szCs w:val="21"/>
          <w:highlight w:val="none"/>
          <w:u w:val="single"/>
        </w:rPr>
        <w:t>（供应商名称）</w:t>
      </w:r>
      <w:r>
        <w:rPr>
          <w:color w:val="auto"/>
          <w:kern w:val="0"/>
          <w:szCs w:val="21"/>
          <w:highlight w:val="none"/>
          <w:lang w:val="zh-CN"/>
        </w:rPr>
        <w:t>若成为</w:t>
      </w:r>
      <w:r>
        <w:rPr>
          <w:color w:val="auto"/>
          <w:szCs w:val="21"/>
          <w:highlight w:val="none"/>
        </w:rPr>
        <w:t>（项目名称）（采购编号：</w:t>
      </w:r>
      <w:r>
        <w:rPr>
          <w:rFonts w:hint="eastAsia"/>
          <w:color w:val="auto"/>
          <w:szCs w:val="21"/>
          <w:highlight w:val="none"/>
          <w:lang w:eastAsia="zh-CN"/>
        </w:rPr>
        <w:t xml:space="preserve">  </w:t>
      </w:r>
      <w:r>
        <w:rPr>
          <w:color w:val="auto"/>
          <w:szCs w:val="21"/>
          <w:highlight w:val="none"/>
        </w:rPr>
        <w:t>）</w:t>
      </w:r>
      <w:r>
        <w:rPr>
          <w:color w:val="auto"/>
          <w:kern w:val="0"/>
          <w:szCs w:val="21"/>
          <w:highlight w:val="none"/>
          <w:lang w:val="zh-CN"/>
        </w:rPr>
        <w:t>的中标供应商，将依法采取分包方式履行合同。</w:t>
      </w:r>
      <w:r>
        <w:rPr>
          <w:color w:val="auto"/>
          <w:kern w:val="0"/>
          <w:szCs w:val="21"/>
          <w:highlight w:val="none"/>
          <w:u w:val="single"/>
        </w:rPr>
        <w:t>（供应商名称）</w:t>
      </w:r>
      <w:r>
        <w:rPr>
          <w:color w:val="auto"/>
          <w:kern w:val="0"/>
          <w:szCs w:val="21"/>
          <w:highlight w:val="none"/>
        </w:rPr>
        <w:t>与</w:t>
      </w:r>
      <w:r>
        <w:rPr>
          <w:color w:val="auto"/>
          <w:kern w:val="0"/>
          <w:szCs w:val="21"/>
          <w:highlight w:val="none"/>
          <w:u w:val="single"/>
        </w:rPr>
        <w:t>（所有分包供应商名称）</w:t>
      </w:r>
      <w:r>
        <w:rPr>
          <w:color w:val="auto"/>
          <w:kern w:val="0"/>
          <w:szCs w:val="21"/>
          <w:highlight w:val="none"/>
        </w:rPr>
        <w:t>达成分包意向协议</w:t>
      </w:r>
      <w:r>
        <w:rPr>
          <w:color w:val="auto"/>
          <w:kern w:val="0"/>
          <w:szCs w:val="21"/>
          <w:highlight w:val="none"/>
          <w:lang w:val="zh-CN"/>
        </w:rPr>
        <w:t xml:space="preserve">。 </w:t>
      </w:r>
    </w:p>
    <w:p>
      <w:pPr>
        <w:adjustRightInd w:val="0"/>
        <w:snapToGrid w:val="0"/>
        <w:spacing w:line="360" w:lineRule="auto"/>
        <w:ind w:firstLine="576"/>
        <w:rPr>
          <w:color w:val="auto"/>
          <w:kern w:val="0"/>
          <w:szCs w:val="21"/>
          <w:highlight w:val="none"/>
          <w:lang w:val="zh-CN"/>
        </w:rPr>
      </w:pPr>
      <w:r>
        <w:rPr>
          <w:color w:val="auto"/>
          <w:kern w:val="0"/>
          <w:szCs w:val="21"/>
          <w:highlight w:val="none"/>
          <w:lang w:val="zh-CN"/>
        </w:rPr>
        <w:t>一、分包标的及数量</w:t>
      </w:r>
    </w:p>
    <w:p>
      <w:pPr>
        <w:adjustRightInd w:val="0"/>
        <w:snapToGrid w:val="0"/>
        <w:spacing w:line="360" w:lineRule="auto"/>
        <w:ind w:firstLine="576"/>
        <w:rPr>
          <w:color w:val="auto"/>
          <w:kern w:val="0"/>
          <w:szCs w:val="21"/>
          <w:highlight w:val="none"/>
          <w:lang w:val="zh-CN"/>
        </w:rPr>
      </w:pPr>
      <w:r>
        <w:rPr>
          <w:color w:val="auto"/>
          <w:kern w:val="0"/>
          <w:szCs w:val="21"/>
          <w:highlight w:val="none"/>
          <w:u w:val="single"/>
        </w:rPr>
        <w:t>（供应商名称）</w:t>
      </w:r>
      <w:r>
        <w:rPr>
          <w:color w:val="auto"/>
          <w:kern w:val="0"/>
          <w:szCs w:val="21"/>
          <w:highlight w:val="none"/>
          <w:lang w:val="zh-CN"/>
        </w:rPr>
        <w:t>将</w:t>
      </w:r>
      <w:r>
        <w:rPr>
          <w:color w:val="auto"/>
          <w:szCs w:val="21"/>
          <w:highlight w:val="none"/>
          <w:u w:val="single"/>
        </w:rPr>
        <w:t xml:space="preserve">   XX工作内容   </w:t>
      </w:r>
      <w:r>
        <w:rPr>
          <w:color w:val="auto"/>
          <w:szCs w:val="21"/>
          <w:highlight w:val="none"/>
        </w:rPr>
        <w:t>分包给</w:t>
      </w:r>
      <w:r>
        <w:rPr>
          <w:color w:val="auto"/>
          <w:kern w:val="0"/>
          <w:szCs w:val="21"/>
          <w:highlight w:val="none"/>
          <w:u w:val="single"/>
        </w:rPr>
        <w:t>（某分包供应商名称）</w:t>
      </w:r>
      <w:r>
        <w:rPr>
          <w:color w:val="auto"/>
          <w:kern w:val="0"/>
          <w:szCs w:val="21"/>
          <w:highlight w:val="none"/>
          <w:lang w:val="zh-CN"/>
        </w:rPr>
        <w:t>，</w:t>
      </w:r>
      <w:r>
        <w:rPr>
          <w:color w:val="auto"/>
          <w:kern w:val="0"/>
          <w:szCs w:val="21"/>
          <w:highlight w:val="none"/>
          <w:u w:val="single"/>
        </w:rPr>
        <w:t>（某分包供应商名称），</w:t>
      </w:r>
      <w:r>
        <w:rPr>
          <w:color w:val="auto"/>
          <w:kern w:val="0"/>
          <w:szCs w:val="21"/>
          <w:highlight w:val="none"/>
          <w:lang w:val="zh-CN"/>
        </w:rPr>
        <w:t>具备承</w:t>
      </w:r>
      <w:r>
        <w:rPr>
          <w:color w:val="auto"/>
          <w:kern w:val="0"/>
          <w:szCs w:val="21"/>
          <w:highlight w:val="none"/>
        </w:rPr>
        <w:t>担</w:t>
      </w:r>
      <w:r>
        <w:rPr>
          <w:color w:val="auto"/>
          <w:kern w:val="0"/>
          <w:szCs w:val="21"/>
          <w:highlight w:val="none"/>
          <w:u w:val="single"/>
          <w:lang w:val="zh-CN"/>
        </w:rPr>
        <w:t>XX工作内容</w:t>
      </w:r>
      <w:r>
        <w:rPr>
          <w:color w:val="auto"/>
          <w:kern w:val="0"/>
          <w:szCs w:val="21"/>
          <w:highlight w:val="none"/>
          <w:lang w:val="zh-CN"/>
        </w:rPr>
        <w:t>相应资质条件且不得再次分包；</w:t>
      </w:r>
    </w:p>
    <w:p>
      <w:pPr>
        <w:ind w:firstLine="630" w:firstLineChars="300"/>
        <w:rPr>
          <w:color w:val="auto"/>
          <w:szCs w:val="21"/>
          <w:highlight w:val="none"/>
        </w:rPr>
      </w:pPr>
      <w:r>
        <w:rPr>
          <w:color w:val="auto"/>
          <w:szCs w:val="21"/>
          <w:highlight w:val="none"/>
        </w:rPr>
        <w:t>……</w:t>
      </w:r>
    </w:p>
    <w:p>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二、分包工作履行期限、地点、方式</w:t>
      </w:r>
    </w:p>
    <w:p>
      <w:pPr>
        <w:adjustRightInd w:val="0"/>
        <w:snapToGrid w:val="0"/>
        <w:spacing w:line="440" w:lineRule="exact"/>
        <w:ind w:firstLine="576"/>
        <w:rPr>
          <w:color w:val="auto"/>
          <w:szCs w:val="21"/>
          <w:highlight w:val="none"/>
          <w:u w:val="single"/>
        </w:rPr>
      </w:pPr>
      <w:r>
        <w:rPr>
          <w:rFonts w:hint="eastAsia"/>
          <w:color w:val="auto"/>
          <w:szCs w:val="21"/>
          <w:highlight w:val="none"/>
          <w:u w:val="single"/>
          <w:lang w:eastAsia="zh-CN"/>
        </w:rPr>
        <w:t xml:space="preserve">                                        </w:t>
      </w:r>
      <w:r>
        <w:rPr>
          <w:color w:val="auto"/>
          <w:szCs w:val="21"/>
          <w:highlight w:val="none"/>
          <w:u w:val="single"/>
        </w:rPr>
        <w:t xml:space="preserve">  </w:t>
      </w:r>
    </w:p>
    <w:p>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三、质量</w:t>
      </w:r>
    </w:p>
    <w:p>
      <w:pPr>
        <w:adjustRightInd w:val="0"/>
        <w:snapToGrid w:val="0"/>
        <w:spacing w:line="440" w:lineRule="exact"/>
        <w:ind w:firstLine="576"/>
        <w:rPr>
          <w:color w:val="auto"/>
          <w:kern w:val="0"/>
          <w:szCs w:val="21"/>
          <w:highlight w:val="none"/>
          <w:lang w:val="zh-CN"/>
        </w:rPr>
      </w:pPr>
      <w:r>
        <w:rPr>
          <w:rFonts w:hint="eastAsia"/>
          <w:color w:val="auto"/>
          <w:szCs w:val="21"/>
          <w:highlight w:val="none"/>
          <w:u w:val="single"/>
          <w:lang w:eastAsia="zh-CN"/>
        </w:rPr>
        <w:t xml:space="preserve">                                          </w:t>
      </w:r>
      <w:r>
        <w:rPr>
          <w:color w:val="auto"/>
          <w:szCs w:val="21"/>
          <w:highlight w:val="none"/>
          <w:u w:val="single"/>
        </w:rPr>
        <w:t xml:space="preserve">   </w:t>
      </w:r>
    </w:p>
    <w:p>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四、价款或者报酬</w:t>
      </w:r>
    </w:p>
    <w:p>
      <w:pPr>
        <w:adjustRightInd w:val="0"/>
        <w:snapToGrid w:val="0"/>
        <w:spacing w:line="440" w:lineRule="exact"/>
        <w:ind w:left="573" w:leftChars="273"/>
        <w:rPr>
          <w:color w:val="auto"/>
          <w:kern w:val="0"/>
          <w:szCs w:val="21"/>
          <w:highlight w:val="none"/>
          <w:lang w:val="zh-CN"/>
        </w:rPr>
      </w:pPr>
      <w:r>
        <w:rPr>
          <w:rFonts w:hint="eastAsia"/>
          <w:color w:val="auto"/>
          <w:szCs w:val="21"/>
          <w:highlight w:val="none"/>
          <w:u w:val="single"/>
          <w:lang w:eastAsia="zh-CN"/>
        </w:rPr>
        <w:t xml:space="preserve">                                          </w:t>
      </w:r>
      <w:r>
        <w:rPr>
          <w:color w:val="auto"/>
          <w:szCs w:val="21"/>
          <w:highlight w:val="none"/>
          <w:u w:val="single"/>
        </w:rPr>
        <w:t xml:space="preserve"> </w:t>
      </w:r>
    </w:p>
    <w:p>
      <w:pPr>
        <w:adjustRightInd w:val="0"/>
        <w:snapToGrid w:val="0"/>
        <w:spacing w:line="440" w:lineRule="exact"/>
        <w:ind w:left="573" w:leftChars="273"/>
        <w:rPr>
          <w:color w:val="auto"/>
          <w:kern w:val="0"/>
          <w:szCs w:val="21"/>
          <w:highlight w:val="none"/>
          <w:lang w:val="zh-CN"/>
        </w:rPr>
      </w:pPr>
      <w:r>
        <w:rPr>
          <w:color w:val="auto"/>
          <w:kern w:val="0"/>
          <w:szCs w:val="21"/>
          <w:highlight w:val="none"/>
          <w:lang w:val="zh-CN"/>
        </w:rPr>
        <w:t>五、违约责任</w:t>
      </w:r>
    </w:p>
    <w:p>
      <w:pPr>
        <w:adjustRightInd w:val="0"/>
        <w:snapToGrid w:val="0"/>
        <w:spacing w:line="440" w:lineRule="exact"/>
        <w:ind w:firstLine="576"/>
        <w:rPr>
          <w:color w:val="auto"/>
          <w:kern w:val="0"/>
          <w:szCs w:val="21"/>
          <w:highlight w:val="none"/>
          <w:lang w:val="zh-CN"/>
        </w:rPr>
      </w:pPr>
      <w:r>
        <w:rPr>
          <w:rFonts w:hint="eastAsia"/>
          <w:color w:val="auto"/>
          <w:szCs w:val="21"/>
          <w:highlight w:val="none"/>
          <w:u w:val="single"/>
          <w:lang w:eastAsia="zh-CN"/>
        </w:rPr>
        <w:t xml:space="preserve">                                          </w:t>
      </w:r>
      <w:r>
        <w:rPr>
          <w:color w:val="auto"/>
          <w:szCs w:val="21"/>
          <w:highlight w:val="none"/>
          <w:u w:val="single"/>
        </w:rPr>
        <w:t xml:space="preserve"> </w:t>
      </w:r>
    </w:p>
    <w:p>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六、争议解决的办法</w:t>
      </w:r>
    </w:p>
    <w:p>
      <w:pPr>
        <w:adjustRightInd w:val="0"/>
        <w:snapToGrid w:val="0"/>
        <w:spacing w:line="440" w:lineRule="exact"/>
        <w:ind w:firstLine="576"/>
        <w:rPr>
          <w:color w:val="auto"/>
          <w:kern w:val="0"/>
          <w:szCs w:val="21"/>
          <w:highlight w:val="none"/>
          <w:lang w:val="zh-CN"/>
        </w:rPr>
      </w:pPr>
      <w:r>
        <w:rPr>
          <w:rFonts w:hint="eastAsia"/>
          <w:color w:val="auto"/>
          <w:szCs w:val="21"/>
          <w:highlight w:val="none"/>
          <w:u w:val="single"/>
          <w:lang w:eastAsia="zh-CN"/>
        </w:rPr>
        <w:t xml:space="preserve">                                        </w:t>
      </w:r>
      <w:r>
        <w:rPr>
          <w:color w:val="auto"/>
          <w:szCs w:val="21"/>
          <w:highlight w:val="none"/>
          <w:u w:val="single"/>
        </w:rPr>
        <w:t xml:space="preserve">  </w:t>
      </w:r>
    </w:p>
    <w:p>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七、其他</w:t>
      </w:r>
    </w:p>
    <w:p>
      <w:pPr>
        <w:adjustRightInd w:val="0"/>
        <w:snapToGrid w:val="0"/>
        <w:spacing w:line="440" w:lineRule="exact"/>
        <w:ind w:left="5128" w:leftChars="342" w:hanging="4410" w:hangingChars="2100"/>
        <w:jc w:val="left"/>
        <w:rPr>
          <w:color w:val="auto"/>
          <w:kern w:val="0"/>
          <w:szCs w:val="21"/>
          <w:highlight w:val="none"/>
          <w:lang w:val="zh-CN"/>
        </w:rPr>
      </w:pPr>
      <w:r>
        <w:rPr>
          <w:color w:val="auto"/>
          <w:szCs w:val="21"/>
          <w:highlight w:val="none"/>
        </w:rPr>
        <w:t>中小企业合同金额达到</w:t>
      </w:r>
      <w:r>
        <w:rPr>
          <w:color w:val="auto"/>
          <w:szCs w:val="21"/>
          <w:highlight w:val="none"/>
          <w:u w:val="single"/>
        </w:rPr>
        <w:t xml:space="preserve">   </w:t>
      </w:r>
      <w:r>
        <w:rPr>
          <w:color w:val="auto"/>
          <w:szCs w:val="21"/>
          <w:highlight w:val="none"/>
        </w:rPr>
        <w:t>%，小微企业合同金额达到</w:t>
      </w:r>
      <w:r>
        <w:rPr>
          <w:rFonts w:hint="eastAsia"/>
          <w:color w:val="auto"/>
          <w:szCs w:val="21"/>
          <w:highlight w:val="none"/>
          <w:u w:val="single"/>
          <w:lang w:eastAsia="zh-CN"/>
        </w:rPr>
        <w:t xml:space="preserve">  </w:t>
      </w:r>
      <w:r>
        <w:rPr>
          <w:color w:val="auto"/>
          <w:szCs w:val="21"/>
          <w:highlight w:val="none"/>
        </w:rPr>
        <w:t>%</w:t>
      </w:r>
      <w:r>
        <w:rPr>
          <w:color w:val="auto"/>
          <w:kern w:val="0"/>
          <w:szCs w:val="21"/>
          <w:highlight w:val="none"/>
          <w:lang w:val="zh-CN"/>
        </w:rPr>
        <w:t>。</w:t>
      </w:r>
    </w:p>
    <w:p>
      <w:pPr>
        <w:adjustRightInd w:val="0"/>
        <w:snapToGrid w:val="0"/>
        <w:spacing w:line="440" w:lineRule="exact"/>
        <w:ind w:left="5128" w:leftChars="342" w:hanging="4410" w:hangingChars="2100"/>
        <w:jc w:val="left"/>
        <w:rPr>
          <w:color w:val="auto"/>
          <w:kern w:val="0"/>
          <w:szCs w:val="21"/>
          <w:highlight w:val="none"/>
          <w:lang w:val="zh-CN"/>
        </w:rPr>
      </w:pPr>
    </w:p>
    <w:p>
      <w:pPr>
        <w:adjustRightInd w:val="0"/>
        <w:snapToGrid w:val="0"/>
        <w:spacing w:line="440" w:lineRule="exact"/>
        <w:ind w:left="5128" w:leftChars="342" w:hanging="4410" w:hangingChars="2100"/>
        <w:jc w:val="left"/>
        <w:rPr>
          <w:color w:val="auto"/>
          <w:kern w:val="0"/>
          <w:szCs w:val="21"/>
          <w:highlight w:val="none"/>
          <w:lang w:val="zh-CN"/>
        </w:rPr>
      </w:pPr>
      <w:r>
        <w:rPr>
          <w:color w:val="auto"/>
          <w:kern w:val="0"/>
          <w:szCs w:val="21"/>
          <w:highlight w:val="none"/>
          <w:lang w:val="zh-CN"/>
        </w:rPr>
        <w:t>供应商名称</w:t>
      </w:r>
      <w:r>
        <w:rPr>
          <w:color w:val="auto"/>
          <w:szCs w:val="21"/>
          <w:highlight w:val="none"/>
        </w:rPr>
        <w:t>（盖单位公章或电子签章）</w:t>
      </w:r>
      <w:r>
        <w:rPr>
          <w:color w:val="auto"/>
          <w:kern w:val="0"/>
          <w:szCs w:val="21"/>
          <w:highlight w:val="none"/>
          <w:lang w:val="zh-CN"/>
        </w:rPr>
        <w:t>：</w:t>
      </w:r>
    </w:p>
    <w:p>
      <w:pPr>
        <w:adjustRightInd w:val="0"/>
        <w:snapToGrid w:val="0"/>
        <w:spacing w:line="440" w:lineRule="exact"/>
        <w:ind w:left="5128" w:leftChars="342" w:hanging="4410" w:hangingChars="2100"/>
        <w:jc w:val="left"/>
        <w:rPr>
          <w:color w:val="auto"/>
          <w:kern w:val="0"/>
          <w:szCs w:val="21"/>
          <w:highlight w:val="none"/>
          <w:lang w:val="zh-CN"/>
        </w:rPr>
      </w:pPr>
      <w:r>
        <w:rPr>
          <w:color w:val="auto"/>
          <w:kern w:val="0"/>
          <w:szCs w:val="21"/>
          <w:highlight w:val="none"/>
          <w:lang w:val="zh-CN"/>
        </w:rPr>
        <w:t>分包供应商名称：</w:t>
      </w:r>
    </w:p>
    <w:p>
      <w:pPr>
        <w:adjustRightInd w:val="0"/>
        <w:snapToGrid w:val="0"/>
        <w:spacing w:line="440" w:lineRule="exact"/>
        <w:ind w:left="5128" w:leftChars="342" w:hanging="4410" w:hangingChars="2100"/>
        <w:jc w:val="left"/>
        <w:rPr>
          <w:color w:val="auto"/>
          <w:szCs w:val="21"/>
          <w:highlight w:val="none"/>
        </w:rPr>
      </w:pPr>
      <w:r>
        <w:rPr>
          <w:color w:val="auto"/>
          <w:kern w:val="0"/>
          <w:szCs w:val="21"/>
          <w:highlight w:val="none"/>
          <w:lang w:val="zh-CN"/>
        </w:rPr>
        <w:t>……</w:t>
      </w:r>
    </w:p>
    <w:p>
      <w:pPr>
        <w:spacing w:line="360" w:lineRule="auto"/>
        <w:ind w:firstLine="420" w:firstLineChars="200"/>
        <w:jc w:val="left"/>
        <w:rPr>
          <w:b/>
          <w:color w:val="auto"/>
          <w:szCs w:val="21"/>
          <w:highlight w:val="none"/>
        </w:rPr>
      </w:pPr>
      <w:r>
        <w:rPr>
          <w:color w:val="auto"/>
          <w:kern w:val="0"/>
          <w:szCs w:val="21"/>
          <w:highlight w:val="none"/>
          <w:lang w:val="zh-CN"/>
        </w:rPr>
        <w:t xml:space="preserve">  日期：  年  月   日</w:t>
      </w:r>
    </w:p>
    <w:p>
      <w:pPr>
        <w:ind w:firstLine="420" w:firstLineChars="200"/>
        <w:rPr>
          <w:color w:val="auto"/>
          <w:highlight w:val="none"/>
        </w:rPr>
      </w:pPr>
    </w:p>
    <w:p>
      <w:pPr>
        <w:rPr>
          <w:color w:val="auto"/>
          <w:highlight w:val="none"/>
        </w:rPr>
      </w:pPr>
      <w:r>
        <w:rPr>
          <w:color w:val="auto"/>
          <w:highlight w:val="none"/>
        </w:rPr>
        <w:br w:type="page"/>
      </w:r>
      <w:r>
        <w:rPr>
          <w:rFonts w:hint="eastAsia"/>
          <w:color w:val="auto"/>
          <w:highlight w:val="none"/>
          <w:lang w:eastAsia="zh-CN"/>
        </w:rPr>
        <w:t xml:space="preserve">  </w:t>
      </w:r>
      <w:r>
        <w:rPr>
          <w:rFonts w:hint="eastAsia"/>
          <w:b/>
          <w:bCs/>
          <w:color w:val="auto"/>
          <w:highlight w:val="none"/>
        </w:rPr>
        <w:t>5</w:t>
      </w:r>
      <w:r>
        <w:rPr>
          <w:b/>
          <w:bCs/>
          <w:color w:val="auto"/>
          <w:highlight w:val="none"/>
        </w:rPr>
        <w:t>、</w:t>
      </w:r>
      <w:r>
        <w:rPr>
          <w:b/>
          <w:bCs/>
          <w:color w:val="auto"/>
          <w:highlight w:val="none"/>
        </w:rPr>
        <w:tab/>
      </w:r>
      <w:r>
        <w:rPr>
          <w:b/>
          <w:bCs/>
          <w:color w:val="auto"/>
          <w:szCs w:val="21"/>
          <w:highlight w:val="none"/>
        </w:rPr>
        <w:t>中标</w:t>
      </w:r>
      <w:r>
        <w:rPr>
          <w:b/>
          <w:color w:val="auto"/>
          <w:szCs w:val="21"/>
          <w:highlight w:val="none"/>
        </w:rPr>
        <w:t>服务费支付承诺书</w:t>
      </w:r>
    </w:p>
    <w:p>
      <w:pPr>
        <w:rPr>
          <w:color w:val="auto"/>
          <w:highlight w:val="none"/>
        </w:rPr>
      </w:pPr>
    </w:p>
    <w:p>
      <w:pPr>
        <w:rPr>
          <w:color w:val="auto"/>
          <w:highlight w:val="none"/>
        </w:rPr>
      </w:pPr>
    </w:p>
    <w:p>
      <w:pPr>
        <w:pStyle w:val="3"/>
        <w:spacing w:line="360" w:lineRule="auto"/>
        <w:ind w:firstLine="174" w:firstLineChars="83"/>
        <w:rPr>
          <w:rFonts w:ascii="Times New Roman" w:hAnsi="Times New Roman"/>
          <w:b w:val="0"/>
          <w:color w:val="auto"/>
          <w:szCs w:val="21"/>
          <w:highlight w:val="none"/>
        </w:rPr>
      </w:pPr>
    </w:p>
    <w:p>
      <w:pPr>
        <w:rPr>
          <w:color w:val="auto"/>
          <w:szCs w:val="21"/>
          <w:highlight w:val="none"/>
        </w:rPr>
      </w:pPr>
    </w:p>
    <w:p>
      <w:pPr>
        <w:rPr>
          <w:color w:val="auto"/>
          <w:szCs w:val="21"/>
          <w:highlight w:val="none"/>
        </w:rPr>
      </w:pPr>
    </w:p>
    <w:p>
      <w:pPr>
        <w:jc w:val="center"/>
        <w:rPr>
          <w:b/>
          <w:color w:val="auto"/>
          <w:szCs w:val="21"/>
          <w:highlight w:val="none"/>
        </w:rPr>
      </w:pPr>
      <w:r>
        <w:rPr>
          <w:b/>
          <w:color w:val="auto"/>
          <w:szCs w:val="21"/>
          <w:highlight w:val="none"/>
        </w:rPr>
        <w:t>中标服务费支付承诺书</w:t>
      </w:r>
    </w:p>
    <w:p>
      <w:pPr>
        <w:spacing w:line="600" w:lineRule="auto"/>
        <w:jc w:val="center"/>
        <w:rPr>
          <w:b/>
          <w:color w:val="auto"/>
          <w:szCs w:val="21"/>
          <w:highlight w:val="none"/>
        </w:rPr>
      </w:pPr>
    </w:p>
    <w:p>
      <w:pPr>
        <w:pStyle w:val="3"/>
        <w:spacing w:line="600" w:lineRule="auto"/>
        <w:ind w:firstLine="411" w:firstLineChars="196"/>
        <w:rPr>
          <w:rFonts w:ascii="Times New Roman" w:hAnsi="Times New Roman"/>
          <w:b w:val="0"/>
          <w:color w:val="auto"/>
          <w:szCs w:val="21"/>
          <w:highlight w:val="none"/>
          <w:u w:val="single"/>
        </w:rPr>
      </w:pPr>
      <w:r>
        <w:rPr>
          <w:rFonts w:hint="eastAsia" w:ascii="Times New Roman" w:hAnsi="Times New Roman"/>
          <w:b w:val="0"/>
          <w:color w:val="auto"/>
          <w:szCs w:val="21"/>
          <w:highlight w:val="none"/>
          <w:u w:val="single"/>
        </w:rPr>
        <w:t>浙江国际招投标有限公司</w:t>
      </w:r>
      <w:r>
        <w:rPr>
          <w:rFonts w:ascii="Times New Roman" w:hAnsi="Times New Roman"/>
          <w:b w:val="0"/>
          <w:color w:val="auto"/>
          <w:szCs w:val="21"/>
          <w:highlight w:val="none"/>
          <w:u w:val="single"/>
        </w:rPr>
        <w:t>：</w:t>
      </w:r>
    </w:p>
    <w:p>
      <w:pPr>
        <w:pStyle w:val="3"/>
        <w:spacing w:line="600" w:lineRule="auto"/>
        <w:ind w:firstLine="420"/>
        <w:rPr>
          <w:rFonts w:ascii="Times New Roman" w:hAnsi="Times New Roman"/>
          <w:b w:val="0"/>
          <w:color w:val="auto"/>
          <w:szCs w:val="21"/>
          <w:highlight w:val="none"/>
        </w:rPr>
      </w:pPr>
    </w:p>
    <w:p>
      <w:pPr>
        <w:pStyle w:val="3"/>
        <w:spacing w:line="600" w:lineRule="auto"/>
        <w:ind w:firstLine="420"/>
        <w:rPr>
          <w:rFonts w:ascii="Times New Roman" w:hAnsi="Times New Roman"/>
          <w:b w:val="0"/>
          <w:color w:val="auto"/>
          <w:szCs w:val="21"/>
          <w:highlight w:val="none"/>
        </w:rPr>
      </w:pPr>
      <w:r>
        <w:rPr>
          <w:rFonts w:ascii="Times New Roman" w:hAnsi="Times New Roman"/>
          <w:b w:val="0"/>
          <w:color w:val="auto"/>
          <w:szCs w:val="21"/>
          <w:highlight w:val="none"/>
        </w:rPr>
        <w:t>本单位在此承诺：如在本项目中标，中标之日起5个工作日之内，向贵公司按采购文件约定支付中标服务费。</w:t>
      </w:r>
    </w:p>
    <w:p>
      <w:pPr>
        <w:rPr>
          <w:color w:val="auto"/>
          <w:szCs w:val="21"/>
          <w:highlight w:val="none"/>
        </w:rPr>
      </w:pPr>
    </w:p>
    <w:p>
      <w:pPr>
        <w:rPr>
          <w:color w:val="auto"/>
          <w:szCs w:val="21"/>
          <w:highlight w:val="none"/>
        </w:rPr>
      </w:pPr>
    </w:p>
    <w:p>
      <w:pPr>
        <w:rPr>
          <w:color w:val="auto"/>
          <w:szCs w:val="21"/>
          <w:highlight w:val="none"/>
        </w:rPr>
      </w:pPr>
    </w:p>
    <w:p>
      <w:pPr>
        <w:snapToGrid w:val="0"/>
        <w:spacing w:line="300" w:lineRule="auto"/>
        <w:jc w:val="right"/>
        <w:rPr>
          <w:color w:val="auto"/>
          <w:spacing w:val="20"/>
          <w:szCs w:val="21"/>
          <w:highlight w:val="none"/>
          <w:u w:val="single"/>
        </w:rPr>
      </w:pPr>
      <w:r>
        <w:rPr>
          <w:rFonts w:hint="eastAsia"/>
          <w:color w:val="auto"/>
          <w:szCs w:val="21"/>
          <w:highlight w:val="none"/>
        </w:rPr>
        <w:t>供应商</w:t>
      </w:r>
      <w:r>
        <w:rPr>
          <w:color w:val="auto"/>
          <w:szCs w:val="21"/>
          <w:highlight w:val="none"/>
        </w:rPr>
        <w:t>全称（</w:t>
      </w:r>
      <w:r>
        <w:rPr>
          <w:rFonts w:hint="eastAsia"/>
          <w:color w:val="auto"/>
          <w:szCs w:val="21"/>
          <w:highlight w:val="none"/>
        </w:rPr>
        <w:t>盖单位公章或电子签章</w:t>
      </w:r>
      <w:r>
        <w:rPr>
          <w:color w:val="auto"/>
          <w:szCs w:val="21"/>
          <w:highlight w:val="none"/>
        </w:rPr>
        <w:t>）：</w:t>
      </w:r>
    </w:p>
    <w:p>
      <w:pPr>
        <w:snapToGrid w:val="0"/>
        <w:spacing w:line="300" w:lineRule="auto"/>
        <w:jc w:val="right"/>
        <w:rPr>
          <w:color w:val="auto"/>
          <w:szCs w:val="21"/>
          <w:highlight w:val="none"/>
        </w:rPr>
      </w:pPr>
    </w:p>
    <w:p>
      <w:pPr>
        <w:ind w:right="375"/>
        <w:jc w:val="right"/>
        <w:rPr>
          <w:color w:val="auto"/>
          <w:spacing w:val="20"/>
          <w:szCs w:val="21"/>
          <w:highlight w:val="none"/>
        </w:rPr>
      </w:pPr>
    </w:p>
    <w:p>
      <w:pPr>
        <w:ind w:right="375"/>
        <w:jc w:val="right"/>
        <w:rPr>
          <w:color w:val="auto"/>
          <w:szCs w:val="21"/>
          <w:highlight w:val="none"/>
        </w:rPr>
      </w:pPr>
      <w:r>
        <w:rPr>
          <w:color w:val="auto"/>
          <w:spacing w:val="20"/>
          <w:szCs w:val="21"/>
          <w:highlight w:val="none"/>
        </w:rPr>
        <w:t xml:space="preserve">日期：  </w:t>
      </w:r>
      <w:r>
        <w:rPr>
          <w:color w:val="auto"/>
          <w:szCs w:val="21"/>
          <w:highlight w:val="none"/>
        </w:rPr>
        <w:t>年  月  日</w:t>
      </w:r>
    </w:p>
    <w:p>
      <w:pPr>
        <w:ind w:right="480"/>
        <w:rPr>
          <w:color w:val="auto"/>
          <w:szCs w:val="21"/>
          <w:highlight w:val="none"/>
        </w:rPr>
      </w:pPr>
    </w:p>
    <w:p>
      <w:pPr>
        <w:ind w:right="480"/>
        <w:rPr>
          <w:color w:val="auto"/>
          <w:szCs w:val="21"/>
          <w:highlight w:val="none"/>
        </w:rPr>
      </w:pPr>
    </w:p>
    <w:p>
      <w:pPr>
        <w:ind w:right="480"/>
        <w:rPr>
          <w:color w:val="auto"/>
          <w:szCs w:val="21"/>
          <w:highlight w:val="none"/>
        </w:rPr>
      </w:pPr>
    </w:p>
    <w:p>
      <w:pPr>
        <w:ind w:right="480"/>
        <w:rPr>
          <w:color w:val="auto"/>
          <w:szCs w:val="21"/>
          <w:highlight w:val="none"/>
        </w:rPr>
      </w:pPr>
    </w:p>
    <w:p>
      <w:pPr>
        <w:ind w:right="480"/>
        <w:rPr>
          <w:color w:val="auto"/>
          <w:szCs w:val="21"/>
          <w:highlight w:val="none"/>
        </w:rPr>
      </w:pPr>
    </w:p>
    <w:p>
      <w:pPr>
        <w:ind w:right="480"/>
        <w:rPr>
          <w:color w:val="auto"/>
          <w:szCs w:val="21"/>
          <w:highlight w:val="none"/>
        </w:rPr>
      </w:pPr>
    </w:p>
    <w:p>
      <w:pPr>
        <w:widowControl/>
        <w:snapToGrid w:val="0"/>
        <w:spacing w:line="360" w:lineRule="auto"/>
        <w:ind w:firstLine="420"/>
        <w:jc w:val="left"/>
        <w:rPr>
          <w:color w:val="auto"/>
          <w:szCs w:val="21"/>
          <w:highlight w:val="none"/>
        </w:rPr>
      </w:pPr>
      <w:r>
        <w:rPr>
          <w:rFonts w:hint="eastAsia"/>
          <w:color w:val="auto"/>
          <w:szCs w:val="21"/>
          <w:highlight w:val="none"/>
        </w:rPr>
        <w:t>浙江国际招投标有限公司</w:t>
      </w:r>
      <w:r>
        <w:rPr>
          <w:color w:val="auto"/>
          <w:szCs w:val="21"/>
          <w:highlight w:val="none"/>
        </w:rPr>
        <w:t>中标服务费收取账号</w:t>
      </w:r>
    </w:p>
    <w:p>
      <w:pPr>
        <w:widowControl/>
        <w:adjustRightInd w:val="0"/>
        <w:snapToGrid w:val="0"/>
        <w:spacing w:line="360" w:lineRule="auto"/>
        <w:ind w:firstLine="420" w:firstLineChars="200"/>
        <w:jc w:val="left"/>
        <w:rPr>
          <w:rFonts w:hint="eastAsia"/>
          <w:color w:val="auto"/>
          <w:kern w:val="0"/>
          <w:szCs w:val="21"/>
          <w:highlight w:val="none"/>
        </w:rPr>
      </w:pPr>
      <w:r>
        <w:rPr>
          <w:color w:val="auto"/>
          <w:kern w:val="0"/>
          <w:szCs w:val="21"/>
          <w:highlight w:val="none"/>
        </w:rPr>
        <w:t>收款单位（户名）：</w:t>
      </w:r>
      <w:r>
        <w:rPr>
          <w:rFonts w:hint="eastAsia"/>
          <w:color w:val="auto"/>
          <w:kern w:val="0"/>
          <w:szCs w:val="21"/>
          <w:highlight w:val="none"/>
        </w:rPr>
        <w:t>浙江国际招投标有限公司</w:t>
      </w:r>
    </w:p>
    <w:p>
      <w:pPr>
        <w:widowControl/>
        <w:adjustRightInd w:val="0"/>
        <w:snapToGrid w:val="0"/>
        <w:spacing w:line="360" w:lineRule="auto"/>
        <w:ind w:firstLine="420" w:firstLineChars="200"/>
        <w:jc w:val="left"/>
        <w:rPr>
          <w:color w:val="auto"/>
          <w:kern w:val="0"/>
          <w:szCs w:val="21"/>
          <w:highlight w:val="none"/>
        </w:rPr>
      </w:pPr>
      <w:r>
        <w:rPr>
          <w:color w:val="auto"/>
          <w:kern w:val="0"/>
          <w:szCs w:val="21"/>
          <w:highlight w:val="none"/>
        </w:rPr>
        <w:t>开户银行：中国工商银行杭州武林支行</w:t>
      </w:r>
    </w:p>
    <w:p>
      <w:pPr>
        <w:widowControl/>
        <w:adjustRightInd w:val="0"/>
        <w:snapToGrid w:val="0"/>
        <w:spacing w:line="360" w:lineRule="auto"/>
        <w:ind w:firstLine="420" w:firstLineChars="200"/>
        <w:jc w:val="left"/>
        <w:rPr>
          <w:color w:val="auto"/>
          <w:szCs w:val="21"/>
          <w:highlight w:val="none"/>
        </w:rPr>
      </w:pPr>
      <w:r>
        <w:rPr>
          <w:color w:val="auto"/>
          <w:kern w:val="0"/>
          <w:szCs w:val="21"/>
          <w:highlight w:val="none"/>
        </w:rPr>
        <w:t>银行账号：1202021209906782015</w:t>
      </w:r>
    </w:p>
    <w:p>
      <w:pPr>
        <w:pStyle w:val="3"/>
        <w:ind w:firstLine="422"/>
        <w:rPr>
          <w:rFonts w:ascii="Times New Roman" w:hAnsi="Times New Roman"/>
          <w:color w:val="auto"/>
          <w:highlight w:val="none"/>
        </w:rPr>
      </w:pPr>
      <w:r>
        <w:rPr>
          <w:color w:val="auto"/>
          <w:highlight w:val="none"/>
        </w:rPr>
        <w:br w:type="page"/>
      </w:r>
      <w:r>
        <w:rPr>
          <w:rFonts w:hint="eastAsia" w:ascii="Times New Roman" w:hAnsi="Times New Roman"/>
          <w:color w:val="auto"/>
          <w:highlight w:val="none"/>
        </w:rPr>
        <w:t>6</w:t>
      </w:r>
      <w:r>
        <w:rPr>
          <w:rFonts w:ascii="Times New Roman" w:hAnsi="Times New Roman"/>
          <w:color w:val="auto"/>
          <w:highlight w:val="none"/>
        </w:rPr>
        <w:t>、技术规格偏离表</w:t>
      </w:r>
    </w:p>
    <w:p>
      <w:pPr>
        <w:snapToGrid w:val="0"/>
        <w:spacing w:line="300" w:lineRule="auto"/>
        <w:jc w:val="center"/>
        <w:rPr>
          <w:b/>
          <w:bCs/>
          <w:color w:val="auto"/>
          <w:sz w:val="32"/>
          <w:szCs w:val="32"/>
          <w:highlight w:val="none"/>
        </w:rPr>
      </w:pPr>
      <w:r>
        <w:rPr>
          <w:b/>
          <w:bCs/>
          <w:color w:val="auto"/>
          <w:sz w:val="32"/>
          <w:szCs w:val="32"/>
          <w:highlight w:val="none"/>
        </w:rPr>
        <w:t>技术规格偏离表</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p>
      <w:pPr>
        <w:snapToGrid w:val="0"/>
        <w:spacing w:line="300" w:lineRule="auto"/>
        <w:rPr>
          <w:color w:val="auto"/>
          <w:highlight w:val="none"/>
        </w:rPr>
      </w:pPr>
    </w:p>
    <w:tbl>
      <w:tblPr>
        <w:tblStyle w:val="8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auto"/>
                <w:szCs w:val="21"/>
                <w:highlight w:val="none"/>
              </w:rPr>
            </w:pPr>
            <w:r>
              <w:rPr>
                <w:color w:val="auto"/>
                <w:szCs w:val="21"/>
                <w:highlight w:val="none"/>
              </w:rPr>
              <w:t>序号</w:t>
            </w:r>
          </w:p>
        </w:tc>
        <w:tc>
          <w:tcPr>
            <w:tcW w:w="2458" w:type="dxa"/>
            <w:noWrap w:val="0"/>
            <w:vAlign w:val="center"/>
          </w:tcPr>
          <w:p>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noWrap w:val="0"/>
            <w:vAlign w:val="center"/>
          </w:tcPr>
          <w:p>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noWrap w:val="0"/>
            <w:vAlign w:val="center"/>
          </w:tcPr>
          <w:p>
            <w:pPr>
              <w:spacing w:after="156"/>
              <w:jc w:val="center"/>
              <w:rPr>
                <w:color w:val="auto"/>
                <w:szCs w:val="21"/>
                <w:highlight w:val="none"/>
              </w:rPr>
            </w:pPr>
            <w:r>
              <w:rPr>
                <w:color w:val="auto"/>
                <w:szCs w:val="21"/>
                <w:highlight w:val="none"/>
              </w:rPr>
              <w:t>偏离情况</w:t>
            </w:r>
          </w:p>
        </w:tc>
        <w:tc>
          <w:tcPr>
            <w:tcW w:w="1432" w:type="dxa"/>
            <w:noWrap w:val="0"/>
            <w:vAlign w:val="center"/>
          </w:tcPr>
          <w:p>
            <w:pPr>
              <w:spacing w:after="156"/>
              <w:jc w:val="center"/>
              <w:rPr>
                <w:color w:val="auto"/>
                <w:szCs w:val="21"/>
                <w:highlight w:val="none"/>
              </w:rPr>
            </w:pPr>
            <w:r>
              <w:rPr>
                <w:color w:val="auto"/>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auto"/>
                <w:szCs w:val="21"/>
                <w:highlight w:val="none"/>
              </w:rPr>
            </w:pPr>
          </w:p>
        </w:tc>
        <w:tc>
          <w:tcPr>
            <w:tcW w:w="2458" w:type="dxa"/>
            <w:noWrap w:val="0"/>
            <w:vAlign w:val="center"/>
          </w:tcPr>
          <w:p>
            <w:pPr>
              <w:spacing w:after="156"/>
              <w:jc w:val="center"/>
              <w:rPr>
                <w:color w:val="auto"/>
                <w:szCs w:val="21"/>
                <w:highlight w:val="none"/>
              </w:rPr>
            </w:pPr>
          </w:p>
        </w:tc>
        <w:tc>
          <w:tcPr>
            <w:tcW w:w="2458" w:type="dxa"/>
            <w:noWrap w:val="0"/>
            <w:vAlign w:val="center"/>
          </w:tcPr>
          <w:p>
            <w:pPr>
              <w:spacing w:after="156"/>
              <w:jc w:val="center"/>
              <w:rPr>
                <w:color w:val="auto"/>
                <w:szCs w:val="21"/>
                <w:highlight w:val="none"/>
              </w:rPr>
            </w:pPr>
          </w:p>
        </w:tc>
        <w:tc>
          <w:tcPr>
            <w:tcW w:w="1432" w:type="dxa"/>
            <w:noWrap w:val="0"/>
            <w:vAlign w:val="center"/>
          </w:tcPr>
          <w:p>
            <w:pPr>
              <w:spacing w:after="156"/>
              <w:jc w:val="center"/>
              <w:rPr>
                <w:color w:val="auto"/>
                <w:szCs w:val="21"/>
                <w:highlight w:val="none"/>
              </w:rPr>
            </w:pPr>
          </w:p>
        </w:tc>
        <w:tc>
          <w:tcPr>
            <w:tcW w:w="1432" w:type="dxa"/>
            <w:noWrap w:val="0"/>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auto"/>
                <w:szCs w:val="21"/>
                <w:highlight w:val="none"/>
              </w:rPr>
            </w:pPr>
          </w:p>
        </w:tc>
        <w:tc>
          <w:tcPr>
            <w:tcW w:w="2458" w:type="dxa"/>
            <w:noWrap w:val="0"/>
            <w:vAlign w:val="center"/>
          </w:tcPr>
          <w:p>
            <w:pPr>
              <w:spacing w:after="156"/>
              <w:jc w:val="center"/>
              <w:rPr>
                <w:color w:val="auto"/>
                <w:szCs w:val="21"/>
                <w:highlight w:val="none"/>
              </w:rPr>
            </w:pPr>
          </w:p>
        </w:tc>
        <w:tc>
          <w:tcPr>
            <w:tcW w:w="2458" w:type="dxa"/>
            <w:noWrap w:val="0"/>
            <w:vAlign w:val="center"/>
          </w:tcPr>
          <w:p>
            <w:pPr>
              <w:spacing w:after="156"/>
              <w:jc w:val="center"/>
              <w:rPr>
                <w:color w:val="auto"/>
                <w:szCs w:val="21"/>
                <w:highlight w:val="none"/>
              </w:rPr>
            </w:pPr>
          </w:p>
        </w:tc>
        <w:tc>
          <w:tcPr>
            <w:tcW w:w="1432" w:type="dxa"/>
            <w:noWrap w:val="0"/>
            <w:vAlign w:val="center"/>
          </w:tcPr>
          <w:p>
            <w:pPr>
              <w:spacing w:after="156"/>
              <w:jc w:val="center"/>
              <w:rPr>
                <w:color w:val="auto"/>
                <w:szCs w:val="21"/>
                <w:highlight w:val="none"/>
              </w:rPr>
            </w:pPr>
          </w:p>
        </w:tc>
        <w:tc>
          <w:tcPr>
            <w:tcW w:w="1432" w:type="dxa"/>
            <w:noWrap w:val="0"/>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auto"/>
                <w:szCs w:val="21"/>
                <w:highlight w:val="none"/>
              </w:rPr>
            </w:pPr>
          </w:p>
        </w:tc>
        <w:tc>
          <w:tcPr>
            <w:tcW w:w="2458" w:type="dxa"/>
            <w:noWrap w:val="0"/>
            <w:vAlign w:val="center"/>
          </w:tcPr>
          <w:p>
            <w:pPr>
              <w:spacing w:after="156"/>
              <w:jc w:val="center"/>
              <w:rPr>
                <w:color w:val="auto"/>
                <w:szCs w:val="21"/>
                <w:highlight w:val="none"/>
              </w:rPr>
            </w:pPr>
          </w:p>
        </w:tc>
        <w:tc>
          <w:tcPr>
            <w:tcW w:w="2458" w:type="dxa"/>
            <w:noWrap w:val="0"/>
            <w:vAlign w:val="center"/>
          </w:tcPr>
          <w:p>
            <w:pPr>
              <w:spacing w:after="156"/>
              <w:jc w:val="center"/>
              <w:rPr>
                <w:color w:val="auto"/>
                <w:szCs w:val="21"/>
                <w:highlight w:val="none"/>
              </w:rPr>
            </w:pPr>
          </w:p>
        </w:tc>
        <w:tc>
          <w:tcPr>
            <w:tcW w:w="1432" w:type="dxa"/>
            <w:noWrap w:val="0"/>
            <w:vAlign w:val="center"/>
          </w:tcPr>
          <w:p>
            <w:pPr>
              <w:spacing w:after="156"/>
              <w:jc w:val="center"/>
              <w:rPr>
                <w:color w:val="auto"/>
                <w:szCs w:val="21"/>
                <w:highlight w:val="none"/>
              </w:rPr>
            </w:pPr>
          </w:p>
        </w:tc>
        <w:tc>
          <w:tcPr>
            <w:tcW w:w="1432" w:type="dxa"/>
            <w:noWrap w:val="0"/>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auto"/>
                <w:szCs w:val="21"/>
                <w:highlight w:val="none"/>
              </w:rPr>
            </w:pPr>
          </w:p>
        </w:tc>
        <w:tc>
          <w:tcPr>
            <w:tcW w:w="2458" w:type="dxa"/>
            <w:noWrap w:val="0"/>
            <w:vAlign w:val="center"/>
          </w:tcPr>
          <w:p>
            <w:pPr>
              <w:spacing w:after="156"/>
              <w:jc w:val="center"/>
              <w:rPr>
                <w:color w:val="auto"/>
                <w:szCs w:val="21"/>
                <w:highlight w:val="none"/>
              </w:rPr>
            </w:pPr>
          </w:p>
        </w:tc>
        <w:tc>
          <w:tcPr>
            <w:tcW w:w="2458" w:type="dxa"/>
            <w:noWrap w:val="0"/>
            <w:vAlign w:val="center"/>
          </w:tcPr>
          <w:p>
            <w:pPr>
              <w:spacing w:after="156"/>
              <w:jc w:val="center"/>
              <w:rPr>
                <w:color w:val="auto"/>
                <w:szCs w:val="21"/>
                <w:highlight w:val="none"/>
              </w:rPr>
            </w:pPr>
          </w:p>
        </w:tc>
        <w:tc>
          <w:tcPr>
            <w:tcW w:w="1432" w:type="dxa"/>
            <w:noWrap w:val="0"/>
            <w:vAlign w:val="center"/>
          </w:tcPr>
          <w:p>
            <w:pPr>
              <w:spacing w:after="156"/>
              <w:jc w:val="center"/>
              <w:rPr>
                <w:color w:val="auto"/>
                <w:szCs w:val="21"/>
                <w:highlight w:val="none"/>
              </w:rPr>
            </w:pPr>
          </w:p>
        </w:tc>
        <w:tc>
          <w:tcPr>
            <w:tcW w:w="1432" w:type="dxa"/>
            <w:noWrap w:val="0"/>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auto"/>
                <w:szCs w:val="21"/>
                <w:highlight w:val="none"/>
              </w:rPr>
            </w:pPr>
          </w:p>
        </w:tc>
        <w:tc>
          <w:tcPr>
            <w:tcW w:w="2458" w:type="dxa"/>
            <w:noWrap w:val="0"/>
            <w:vAlign w:val="center"/>
          </w:tcPr>
          <w:p>
            <w:pPr>
              <w:spacing w:after="156"/>
              <w:jc w:val="center"/>
              <w:rPr>
                <w:color w:val="auto"/>
                <w:szCs w:val="21"/>
                <w:highlight w:val="none"/>
              </w:rPr>
            </w:pPr>
          </w:p>
        </w:tc>
        <w:tc>
          <w:tcPr>
            <w:tcW w:w="2458" w:type="dxa"/>
            <w:noWrap w:val="0"/>
            <w:vAlign w:val="center"/>
          </w:tcPr>
          <w:p>
            <w:pPr>
              <w:spacing w:after="156"/>
              <w:jc w:val="center"/>
              <w:rPr>
                <w:color w:val="auto"/>
                <w:szCs w:val="21"/>
                <w:highlight w:val="none"/>
              </w:rPr>
            </w:pPr>
          </w:p>
        </w:tc>
        <w:tc>
          <w:tcPr>
            <w:tcW w:w="1432" w:type="dxa"/>
            <w:noWrap w:val="0"/>
            <w:vAlign w:val="center"/>
          </w:tcPr>
          <w:p>
            <w:pPr>
              <w:spacing w:after="156"/>
              <w:jc w:val="center"/>
              <w:rPr>
                <w:color w:val="auto"/>
                <w:szCs w:val="21"/>
                <w:highlight w:val="none"/>
              </w:rPr>
            </w:pPr>
          </w:p>
        </w:tc>
        <w:tc>
          <w:tcPr>
            <w:tcW w:w="1432" w:type="dxa"/>
            <w:noWrap w:val="0"/>
            <w:vAlign w:val="center"/>
          </w:tcPr>
          <w:p>
            <w:pPr>
              <w:spacing w:after="156"/>
              <w:jc w:val="center"/>
              <w:rPr>
                <w:color w:val="auto"/>
                <w:szCs w:val="21"/>
                <w:highlight w:val="none"/>
              </w:rPr>
            </w:pPr>
          </w:p>
        </w:tc>
      </w:tr>
    </w:tbl>
    <w:p>
      <w:pPr>
        <w:snapToGrid w:val="0"/>
        <w:spacing w:line="300" w:lineRule="auto"/>
        <w:rPr>
          <w:color w:val="auto"/>
          <w:highlight w:val="none"/>
        </w:rPr>
      </w:pPr>
    </w:p>
    <w:p>
      <w:pPr>
        <w:snapToGrid w:val="0"/>
        <w:spacing w:line="300" w:lineRule="auto"/>
        <w:rPr>
          <w:color w:val="auto"/>
          <w:highlight w:val="none"/>
        </w:rPr>
      </w:pPr>
    </w:p>
    <w:p>
      <w:pPr>
        <w:snapToGrid w:val="0"/>
        <w:spacing w:line="300" w:lineRule="auto"/>
        <w:rPr>
          <w:color w:val="auto"/>
          <w:highlight w:val="none"/>
          <w:u w:val="singl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00" w:lineRule="auto"/>
        <w:rPr>
          <w:color w:val="auto"/>
          <w:highlight w:val="none"/>
        </w:rPr>
      </w:pPr>
      <w:r>
        <w:rPr>
          <w:color w:val="auto"/>
          <w:spacing w:val="20"/>
          <w:highlight w:val="none"/>
        </w:rPr>
        <w:t xml:space="preserve">日期：  </w:t>
      </w:r>
      <w:r>
        <w:rPr>
          <w:color w:val="auto"/>
          <w:highlight w:val="none"/>
        </w:rPr>
        <w:t>年  月  日</w:t>
      </w:r>
    </w:p>
    <w:p>
      <w:pPr>
        <w:snapToGrid w:val="0"/>
        <w:spacing w:line="300" w:lineRule="auto"/>
        <w:rPr>
          <w:color w:val="auto"/>
          <w:highlight w:val="none"/>
        </w:rPr>
      </w:pPr>
    </w:p>
    <w:p>
      <w:pPr>
        <w:snapToGrid w:val="0"/>
        <w:spacing w:line="300" w:lineRule="auto"/>
        <w:rPr>
          <w:color w:val="auto"/>
          <w:highlight w:val="none"/>
        </w:rPr>
      </w:pPr>
      <w:r>
        <w:rPr>
          <w:color w:val="auto"/>
          <w:highlight w:val="none"/>
        </w:rPr>
        <w:t>注：</w:t>
      </w:r>
    </w:p>
    <w:p>
      <w:pPr>
        <w:snapToGrid w:val="0"/>
        <w:spacing w:line="300" w:lineRule="auto"/>
        <w:rPr>
          <w:color w:val="auto"/>
          <w:highlight w:val="none"/>
        </w:rPr>
      </w:pPr>
      <w:r>
        <w:rPr>
          <w:color w:val="auto"/>
          <w:highlight w:val="none"/>
        </w:rPr>
        <w:t>1、与第二章，采购内容及需求“</w:t>
      </w:r>
      <w:r>
        <w:rPr>
          <w:rFonts w:hint="eastAsia"/>
          <w:color w:val="auto"/>
          <w:highlight w:val="none"/>
        </w:rPr>
        <w:t>服务要求，其他要求</w:t>
      </w:r>
      <w:r>
        <w:rPr>
          <w:color w:val="auto"/>
          <w:highlight w:val="none"/>
        </w:rPr>
        <w:t>”逐条对应</w:t>
      </w:r>
    </w:p>
    <w:p>
      <w:pPr>
        <w:snapToGrid w:val="0"/>
        <w:spacing w:line="300" w:lineRule="auto"/>
        <w:rPr>
          <w:color w:val="auto"/>
          <w:highlight w:val="none"/>
        </w:rPr>
      </w:pPr>
      <w:r>
        <w:rPr>
          <w:color w:val="auto"/>
          <w:highlight w:val="none"/>
        </w:rPr>
        <w:t>2、“偏离情况”栏填写：“正偏离”或“负偏离”或“符合”</w:t>
      </w:r>
    </w:p>
    <w:p>
      <w:pPr>
        <w:snapToGrid w:val="0"/>
        <w:spacing w:line="300" w:lineRule="auto"/>
        <w:rPr>
          <w:color w:val="auto"/>
          <w:spacing w:val="20"/>
          <w:highlight w:val="none"/>
        </w:rPr>
      </w:pPr>
    </w:p>
    <w:p>
      <w:pPr>
        <w:pStyle w:val="3"/>
        <w:ind w:firstLine="502"/>
        <w:rPr>
          <w:rFonts w:ascii="Times New Roman" w:hAnsi="Times New Roman"/>
          <w:color w:val="auto"/>
          <w:highlight w:val="none"/>
        </w:rPr>
      </w:pPr>
      <w:r>
        <w:rPr>
          <w:rFonts w:ascii="Times New Roman" w:hAnsi="Times New Roman"/>
          <w:color w:val="auto"/>
          <w:spacing w:val="20"/>
          <w:highlight w:val="none"/>
        </w:rPr>
        <w:br w:type="page"/>
      </w:r>
      <w:r>
        <w:rPr>
          <w:rFonts w:hint="eastAsia" w:ascii="Times New Roman" w:hAnsi="Times New Roman"/>
          <w:color w:val="auto"/>
          <w:spacing w:val="20"/>
          <w:highlight w:val="none"/>
        </w:rPr>
        <w:t>7</w:t>
      </w:r>
      <w:r>
        <w:rPr>
          <w:rFonts w:ascii="Times New Roman" w:hAnsi="Times New Roman"/>
          <w:color w:val="auto"/>
          <w:highlight w:val="none"/>
        </w:rPr>
        <w:t>、商务条款偏离表</w:t>
      </w:r>
    </w:p>
    <w:p>
      <w:pPr>
        <w:snapToGrid w:val="0"/>
        <w:spacing w:line="300" w:lineRule="auto"/>
        <w:jc w:val="center"/>
        <w:rPr>
          <w:b/>
          <w:bCs/>
          <w:color w:val="auto"/>
          <w:sz w:val="32"/>
          <w:szCs w:val="32"/>
          <w:highlight w:val="none"/>
        </w:rPr>
      </w:pPr>
      <w:r>
        <w:rPr>
          <w:b/>
          <w:bCs/>
          <w:color w:val="auto"/>
          <w:sz w:val="32"/>
          <w:szCs w:val="32"/>
          <w:highlight w:val="none"/>
        </w:rPr>
        <w:t>商务条款偏离表</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p>
      <w:pPr>
        <w:snapToGrid w:val="0"/>
        <w:spacing w:line="300" w:lineRule="auto"/>
        <w:rPr>
          <w:color w:val="auto"/>
          <w:highlight w:val="none"/>
        </w:rPr>
      </w:pPr>
    </w:p>
    <w:tbl>
      <w:tblPr>
        <w:tblStyle w:val="8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auto"/>
                <w:szCs w:val="21"/>
                <w:highlight w:val="none"/>
              </w:rPr>
            </w:pPr>
            <w:r>
              <w:rPr>
                <w:color w:val="auto"/>
                <w:szCs w:val="21"/>
                <w:highlight w:val="none"/>
              </w:rPr>
              <w:t>序号</w:t>
            </w:r>
          </w:p>
        </w:tc>
        <w:tc>
          <w:tcPr>
            <w:tcW w:w="2458" w:type="dxa"/>
            <w:noWrap w:val="0"/>
            <w:vAlign w:val="center"/>
          </w:tcPr>
          <w:p>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noWrap w:val="0"/>
            <w:vAlign w:val="center"/>
          </w:tcPr>
          <w:p>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noWrap w:val="0"/>
            <w:vAlign w:val="center"/>
          </w:tcPr>
          <w:p>
            <w:pPr>
              <w:spacing w:after="156"/>
              <w:jc w:val="center"/>
              <w:rPr>
                <w:color w:val="auto"/>
                <w:szCs w:val="21"/>
                <w:highlight w:val="none"/>
              </w:rPr>
            </w:pPr>
            <w:r>
              <w:rPr>
                <w:color w:val="auto"/>
                <w:szCs w:val="21"/>
                <w:highlight w:val="none"/>
              </w:rPr>
              <w:t>偏离情况</w:t>
            </w:r>
          </w:p>
        </w:tc>
        <w:tc>
          <w:tcPr>
            <w:tcW w:w="1432" w:type="dxa"/>
            <w:noWrap w:val="0"/>
            <w:vAlign w:val="center"/>
          </w:tcPr>
          <w:p>
            <w:pPr>
              <w:spacing w:after="156"/>
              <w:jc w:val="center"/>
              <w:rPr>
                <w:color w:val="auto"/>
                <w:szCs w:val="21"/>
                <w:highlight w:val="none"/>
              </w:rPr>
            </w:pPr>
            <w:r>
              <w:rPr>
                <w:color w:val="auto"/>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auto"/>
                <w:szCs w:val="21"/>
                <w:highlight w:val="none"/>
              </w:rPr>
            </w:pPr>
          </w:p>
        </w:tc>
        <w:tc>
          <w:tcPr>
            <w:tcW w:w="2458" w:type="dxa"/>
            <w:noWrap w:val="0"/>
            <w:vAlign w:val="center"/>
          </w:tcPr>
          <w:p>
            <w:pPr>
              <w:spacing w:after="156"/>
              <w:jc w:val="center"/>
              <w:rPr>
                <w:color w:val="auto"/>
                <w:szCs w:val="21"/>
                <w:highlight w:val="none"/>
              </w:rPr>
            </w:pPr>
          </w:p>
        </w:tc>
        <w:tc>
          <w:tcPr>
            <w:tcW w:w="2458" w:type="dxa"/>
            <w:noWrap w:val="0"/>
            <w:vAlign w:val="center"/>
          </w:tcPr>
          <w:p>
            <w:pPr>
              <w:spacing w:after="156"/>
              <w:jc w:val="center"/>
              <w:rPr>
                <w:color w:val="auto"/>
                <w:szCs w:val="21"/>
                <w:highlight w:val="none"/>
              </w:rPr>
            </w:pPr>
          </w:p>
        </w:tc>
        <w:tc>
          <w:tcPr>
            <w:tcW w:w="1432" w:type="dxa"/>
            <w:noWrap w:val="0"/>
            <w:vAlign w:val="center"/>
          </w:tcPr>
          <w:p>
            <w:pPr>
              <w:spacing w:after="156"/>
              <w:jc w:val="center"/>
              <w:rPr>
                <w:color w:val="auto"/>
                <w:szCs w:val="21"/>
                <w:highlight w:val="none"/>
              </w:rPr>
            </w:pPr>
          </w:p>
        </w:tc>
        <w:tc>
          <w:tcPr>
            <w:tcW w:w="1432" w:type="dxa"/>
            <w:noWrap w:val="0"/>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auto"/>
                <w:szCs w:val="21"/>
                <w:highlight w:val="none"/>
              </w:rPr>
            </w:pPr>
          </w:p>
        </w:tc>
        <w:tc>
          <w:tcPr>
            <w:tcW w:w="2458" w:type="dxa"/>
            <w:noWrap w:val="0"/>
            <w:vAlign w:val="center"/>
          </w:tcPr>
          <w:p>
            <w:pPr>
              <w:spacing w:after="156"/>
              <w:jc w:val="center"/>
              <w:rPr>
                <w:color w:val="auto"/>
                <w:szCs w:val="21"/>
                <w:highlight w:val="none"/>
              </w:rPr>
            </w:pPr>
          </w:p>
        </w:tc>
        <w:tc>
          <w:tcPr>
            <w:tcW w:w="2458" w:type="dxa"/>
            <w:noWrap w:val="0"/>
            <w:vAlign w:val="center"/>
          </w:tcPr>
          <w:p>
            <w:pPr>
              <w:spacing w:after="156"/>
              <w:jc w:val="center"/>
              <w:rPr>
                <w:color w:val="auto"/>
                <w:szCs w:val="21"/>
                <w:highlight w:val="none"/>
              </w:rPr>
            </w:pPr>
          </w:p>
        </w:tc>
        <w:tc>
          <w:tcPr>
            <w:tcW w:w="1432" w:type="dxa"/>
            <w:noWrap w:val="0"/>
            <w:vAlign w:val="center"/>
          </w:tcPr>
          <w:p>
            <w:pPr>
              <w:spacing w:after="156"/>
              <w:jc w:val="center"/>
              <w:rPr>
                <w:color w:val="auto"/>
                <w:szCs w:val="21"/>
                <w:highlight w:val="none"/>
              </w:rPr>
            </w:pPr>
          </w:p>
        </w:tc>
        <w:tc>
          <w:tcPr>
            <w:tcW w:w="1432" w:type="dxa"/>
            <w:noWrap w:val="0"/>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auto"/>
                <w:szCs w:val="21"/>
                <w:highlight w:val="none"/>
              </w:rPr>
            </w:pPr>
          </w:p>
        </w:tc>
        <w:tc>
          <w:tcPr>
            <w:tcW w:w="2458" w:type="dxa"/>
            <w:noWrap w:val="0"/>
            <w:vAlign w:val="center"/>
          </w:tcPr>
          <w:p>
            <w:pPr>
              <w:spacing w:after="156"/>
              <w:jc w:val="center"/>
              <w:rPr>
                <w:color w:val="auto"/>
                <w:szCs w:val="21"/>
                <w:highlight w:val="none"/>
              </w:rPr>
            </w:pPr>
          </w:p>
        </w:tc>
        <w:tc>
          <w:tcPr>
            <w:tcW w:w="2458" w:type="dxa"/>
            <w:noWrap w:val="0"/>
            <w:vAlign w:val="center"/>
          </w:tcPr>
          <w:p>
            <w:pPr>
              <w:spacing w:after="156"/>
              <w:jc w:val="center"/>
              <w:rPr>
                <w:color w:val="auto"/>
                <w:szCs w:val="21"/>
                <w:highlight w:val="none"/>
              </w:rPr>
            </w:pPr>
          </w:p>
        </w:tc>
        <w:tc>
          <w:tcPr>
            <w:tcW w:w="1432" w:type="dxa"/>
            <w:noWrap w:val="0"/>
            <w:vAlign w:val="center"/>
          </w:tcPr>
          <w:p>
            <w:pPr>
              <w:spacing w:after="156"/>
              <w:jc w:val="center"/>
              <w:rPr>
                <w:color w:val="auto"/>
                <w:szCs w:val="21"/>
                <w:highlight w:val="none"/>
              </w:rPr>
            </w:pPr>
          </w:p>
        </w:tc>
        <w:tc>
          <w:tcPr>
            <w:tcW w:w="1432" w:type="dxa"/>
            <w:noWrap w:val="0"/>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auto"/>
                <w:szCs w:val="21"/>
                <w:highlight w:val="none"/>
              </w:rPr>
            </w:pPr>
          </w:p>
        </w:tc>
        <w:tc>
          <w:tcPr>
            <w:tcW w:w="2458" w:type="dxa"/>
            <w:noWrap w:val="0"/>
            <w:vAlign w:val="center"/>
          </w:tcPr>
          <w:p>
            <w:pPr>
              <w:spacing w:after="156"/>
              <w:jc w:val="center"/>
              <w:rPr>
                <w:color w:val="auto"/>
                <w:szCs w:val="21"/>
                <w:highlight w:val="none"/>
              </w:rPr>
            </w:pPr>
          </w:p>
        </w:tc>
        <w:tc>
          <w:tcPr>
            <w:tcW w:w="2458" w:type="dxa"/>
            <w:noWrap w:val="0"/>
            <w:vAlign w:val="center"/>
          </w:tcPr>
          <w:p>
            <w:pPr>
              <w:spacing w:after="156"/>
              <w:jc w:val="center"/>
              <w:rPr>
                <w:color w:val="auto"/>
                <w:szCs w:val="21"/>
                <w:highlight w:val="none"/>
              </w:rPr>
            </w:pPr>
          </w:p>
        </w:tc>
        <w:tc>
          <w:tcPr>
            <w:tcW w:w="1432" w:type="dxa"/>
            <w:noWrap w:val="0"/>
            <w:vAlign w:val="center"/>
          </w:tcPr>
          <w:p>
            <w:pPr>
              <w:spacing w:after="156"/>
              <w:jc w:val="center"/>
              <w:rPr>
                <w:color w:val="auto"/>
                <w:szCs w:val="21"/>
                <w:highlight w:val="none"/>
              </w:rPr>
            </w:pPr>
          </w:p>
        </w:tc>
        <w:tc>
          <w:tcPr>
            <w:tcW w:w="1432" w:type="dxa"/>
            <w:noWrap w:val="0"/>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auto"/>
                <w:szCs w:val="21"/>
                <w:highlight w:val="none"/>
              </w:rPr>
            </w:pPr>
          </w:p>
        </w:tc>
        <w:tc>
          <w:tcPr>
            <w:tcW w:w="2458" w:type="dxa"/>
            <w:noWrap w:val="0"/>
            <w:vAlign w:val="center"/>
          </w:tcPr>
          <w:p>
            <w:pPr>
              <w:spacing w:after="156"/>
              <w:jc w:val="center"/>
              <w:rPr>
                <w:color w:val="auto"/>
                <w:szCs w:val="21"/>
                <w:highlight w:val="none"/>
              </w:rPr>
            </w:pPr>
          </w:p>
        </w:tc>
        <w:tc>
          <w:tcPr>
            <w:tcW w:w="2458" w:type="dxa"/>
            <w:noWrap w:val="0"/>
            <w:vAlign w:val="center"/>
          </w:tcPr>
          <w:p>
            <w:pPr>
              <w:spacing w:after="156"/>
              <w:jc w:val="center"/>
              <w:rPr>
                <w:color w:val="auto"/>
                <w:szCs w:val="21"/>
                <w:highlight w:val="none"/>
              </w:rPr>
            </w:pPr>
          </w:p>
        </w:tc>
        <w:tc>
          <w:tcPr>
            <w:tcW w:w="1432" w:type="dxa"/>
            <w:noWrap w:val="0"/>
            <w:vAlign w:val="center"/>
          </w:tcPr>
          <w:p>
            <w:pPr>
              <w:spacing w:after="156"/>
              <w:jc w:val="center"/>
              <w:rPr>
                <w:color w:val="auto"/>
                <w:szCs w:val="21"/>
                <w:highlight w:val="none"/>
              </w:rPr>
            </w:pPr>
          </w:p>
        </w:tc>
        <w:tc>
          <w:tcPr>
            <w:tcW w:w="1432" w:type="dxa"/>
            <w:noWrap w:val="0"/>
            <w:vAlign w:val="center"/>
          </w:tcPr>
          <w:p>
            <w:pPr>
              <w:spacing w:after="156"/>
              <w:jc w:val="center"/>
              <w:rPr>
                <w:color w:val="auto"/>
                <w:szCs w:val="21"/>
                <w:highlight w:val="none"/>
              </w:rPr>
            </w:pPr>
          </w:p>
        </w:tc>
      </w:tr>
    </w:tbl>
    <w:p>
      <w:pPr>
        <w:snapToGrid w:val="0"/>
        <w:spacing w:line="300" w:lineRule="auto"/>
        <w:rPr>
          <w:color w:val="auto"/>
          <w:highlight w:val="none"/>
        </w:rPr>
      </w:pPr>
    </w:p>
    <w:p>
      <w:pPr>
        <w:snapToGrid w:val="0"/>
        <w:spacing w:line="300" w:lineRule="auto"/>
        <w:rPr>
          <w:color w:val="auto"/>
          <w:highlight w:val="none"/>
        </w:rPr>
      </w:pPr>
    </w:p>
    <w:p>
      <w:pPr>
        <w:snapToGrid w:val="0"/>
        <w:spacing w:line="300" w:lineRule="auto"/>
        <w:rPr>
          <w:color w:val="auto"/>
          <w:highlight w:val="none"/>
          <w:u w:val="singl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00" w:lineRule="auto"/>
        <w:rPr>
          <w:color w:val="auto"/>
          <w:highlight w:val="none"/>
        </w:rPr>
      </w:pPr>
      <w:r>
        <w:rPr>
          <w:color w:val="auto"/>
          <w:spacing w:val="20"/>
          <w:highlight w:val="none"/>
        </w:rPr>
        <w:t xml:space="preserve">日期：  </w:t>
      </w:r>
      <w:r>
        <w:rPr>
          <w:color w:val="auto"/>
          <w:highlight w:val="none"/>
        </w:rPr>
        <w:t>年  月  日</w:t>
      </w:r>
    </w:p>
    <w:p>
      <w:pPr>
        <w:snapToGrid w:val="0"/>
        <w:spacing w:line="300" w:lineRule="auto"/>
        <w:rPr>
          <w:color w:val="auto"/>
          <w:highlight w:val="none"/>
        </w:rPr>
      </w:pPr>
    </w:p>
    <w:p>
      <w:pPr>
        <w:snapToGrid w:val="0"/>
        <w:spacing w:line="300" w:lineRule="auto"/>
        <w:rPr>
          <w:color w:val="auto"/>
          <w:highlight w:val="none"/>
        </w:rPr>
      </w:pPr>
      <w:r>
        <w:rPr>
          <w:color w:val="auto"/>
          <w:highlight w:val="none"/>
        </w:rPr>
        <w:t>注：</w:t>
      </w:r>
    </w:p>
    <w:p>
      <w:pPr>
        <w:snapToGrid w:val="0"/>
        <w:spacing w:line="300" w:lineRule="auto"/>
        <w:rPr>
          <w:color w:val="auto"/>
          <w:highlight w:val="none"/>
        </w:rPr>
      </w:pPr>
      <w:r>
        <w:rPr>
          <w:color w:val="auto"/>
          <w:highlight w:val="none"/>
        </w:rPr>
        <w:t>1、与第二章，采购内容及需求“商务要求”逐条对应</w:t>
      </w:r>
    </w:p>
    <w:p>
      <w:pPr>
        <w:snapToGrid w:val="0"/>
        <w:spacing w:line="300" w:lineRule="auto"/>
        <w:rPr>
          <w:color w:val="auto"/>
          <w:highlight w:val="none"/>
        </w:rPr>
      </w:pPr>
      <w:r>
        <w:rPr>
          <w:color w:val="auto"/>
          <w:highlight w:val="none"/>
        </w:rPr>
        <w:t>2、“偏离情况”栏填写：“正偏离”或“负偏离”或“符合”</w:t>
      </w:r>
    </w:p>
    <w:p>
      <w:pPr>
        <w:snapToGrid w:val="0"/>
        <w:spacing w:line="300" w:lineRule="auto"/>
        <w:rPr>
          <w:color w:val="auto"/>
          <w:spacing w:val="20"/>
          <w:highlight w:val="none"/>
        </w:rPr>
      </w:pPr>
    </w:p>
    <w:p>
      <w:pPr>
        <w:pStyle w:val="192"/>
        <w:snapToGrid w:val="0"/>
        <w:spacing w:line="360" w:lineRule="auto"/>
        <w:ind w:firstLine="500"/>
        <w:rPr>
          <w:rFonts w:hint="eastAsia" w:ascii="Times New Roman" w:hAnsi="Times New Roman"/>
          <w:color w:val="auto"/>
          <w:highlight w:val="none"/>
        </w:rPr>
      </w:pPr>
      <w:r>
        <w:rPr>
          <w:rFonts w:ascii="Times New Roman" w:hAnsi="Times New Roman"/>
          <w:color w:val="auto"/>
          <w:spacing w:val="20"/>
          <w:highlight w:val="none"/>
        </w:rPr>
        <w:br w:type="page"/>
      </w:r>
      <w:r>
        <w:rPr>
          <w:rFonts w:hint="eastAsia" w:ascii="Times New Roman" w:hAnsi="Times New Roman"/>
          <w:color w:val="auto"/>
          <w:highlight w:val="none"/>
        </w:rPr>
        <w:t>（8）</w:t>
      </w:r>
      <w:r>
        <w:rPr>
          <w:rFonts w:hint="eastAsia"/>
          <w:color w:val="auto"/>
          <w:highlight w:val="none"/>
        </w:rPr>
        <w:t>证书：供应商具有有效的职业健康安全管理体系认证、环境管理体系认证证书、质量管理体系认证证书的，提供证书复印件；</w:t>
      </w:r>
    </w:p>
    <w:p>
      <w:pPr>
        <w:pStyle w:val="192"/>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（9）</w:t>
      </w:r>
      <w:r>
        <w:rPr>
          <w:rFonts w:hint="eastAsia"/>
          <w:color w:val="auto"/>
          <w:highlight w:val="none"/>
        </w:rPr>
        <w:t>业绩：供应商自2020年1月1日以来（以合同签订日期为准）具有年度保安服务业绩的，提供不同用户的合同复印件，合同中需体现服务期不少于12个月的内容；</w:t>
      </w:r>
    </w:p>
    <w:p>
      <w:pPr>
        <w:pStyle w:val="192"/>
        <w:snapToGrid w:val="0"/>
        <w:spacing w:line="360" w:lineRule="auto"/>
        <w:ind w:firstLine="420"/>
        <w:rPr>
          <w:rFonts w:hint="eastAsia"/>
          <w:color w:val="auto"/>
          <w:highlight w:val="none"/>
        </w:rPr>
      </w:pPr>
      <w:r>
        <w:rPr>
          <w:rFonts w:hint="eastAsia" w:ascii="Times New Roman" w:hAnsi="Times New Roman"/>
          <w:color w:val="auto"/>
          <w:highlight w:val="none"/>
        </w:rPr>
        <w:t>（10）设备装备投入方案</w:t>
      </w:r>
    </w:p>
    <w:p>
      <w:pPr>
        <w:pStyle w:val="192"/>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11</w:t>
      </w:r>
      <w:r>
        <w:rPr>
          <w:rFonts w:ascii="Times New Roman" w:hAnsi="Times New Roman"/>
          <w:color w:val="auto"/>
          <w:highlight w:val="none"/>
        </w:rPr>
        <w:t>）</w:t>
      </w:r>
      <w:r>
        <w:rPr>
          <w:rFonts w:hint="eastAsia"/>
          <w:color w:val="auto"/>
          <w:highlight w:val="none"/>
        </w:rPr>
        <w:t>重点、难点分析：供应商对项目现状、存在的问题和保安服务的难点、要点等问题进行调查剖析，提出克服难点和要点的措施和方案；</w:t>
      </w:r>
    </w:p>
    <w:p>
      <w:pPr>
        <w:pStyle w:val="192"/>
        <w:snapToGrid w:val="0"/>
        <w:spacing w:line="360" w:lineRule="auto"/>
        <w:ind w:firstLine="420"/>
        <w:rPr>
          <w:rFonts w:hint="eastAsia"/>
          <w:color w:val="auto"/>
          <w:highlight w:val="none"/>
        </w:rPr>
      </w:pPr>
      <w:r>
        <w:rPr>
          <w:rFonts w:hint="eastAsia"/>
          <w:color w:val="auto"/>
          <w:highlight w:val="none"/>
        </w:rPr>
        <w:t>（12）</w:t>
      </w:r>
      <w:r>
        <w:rPr>
          <w:rFonts w:hint="eastAsia"/>
          <w:color w:val="auto"/>
          <w:highlight w:val="none"/>
          <w:lang w:val="zh-TW"/>
        </w:rPr>
        <w:t>服务方案：</w:t>
      </w:r>
      <w:r>
        <w:rPr>
          <w:rFonts w:hint="eastAsia"/>
          <w:color w:val="auto"/>
          <w:highlight w:val="none"/>
        </w:rPr>
        <w:t>供应商针对本项目的服务范围涉及区域制定的总体服务方案；</w:t>
      </w:r>
    </w:p>
    <w:p>
      <w:pPr>
        <w:pStyle w:val="192"/>
        <w:snapToGrid w:val="0"/>
        <w:spacing w:line="360" w:lineRule="auto"/>
        <w:ind w:firstLine="420"/>
        <w:rPr>
          <w:rFonts w:hint="eastAsia"/>
          <w:color w:val="auto"/>
          <w:highlight w:val="none"/>
        </w:rPr>
      </w:pPr>
      <w:r>
        <w:rPr>
          <w:rFonts w:hint="eastAsia"/>
          <w:color w:val="auto"/>
          <w:highlight w:val="none"/>
        </w:rPr>
        <w:t>（13）服务过程中各种情况的服务方案；</w:t>
      </w:r>
    </w:p>
    <w:p>
      <w:pPr>
        <w:pStyle w:val="192"/>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14</w:t>
      </w:r>
      <w:r>
        <w:rPr>
          <w:rFonts w:ascii="Times New Roman" w:hAnsi="Times New Roman"/>
          <w:color w:val="auto"/>
          <w:highlight w:val="none"/>
        </w:rPr>
        <w:t>）</w:t>
      </w:r>
      <w:r>
        <w:rPr>
          <w:rFonts w:hint="eastAsia"/>
          <w:color w:val="auto"/>
          <w:highlight w:val="none"/>
        </w:rPr>
        <w:t>针对中标后工作的衔接、人员及装备的进场、与医院各项医务工作及医院业务流程相适应的服务运作流程等指定的方案；</w:t>
      </w:r>
    </w:p>
    <w:p>
      <w:pPr>
        <w:pStyle w:val="192"/>
        <w:snapToGrid w:val="0"/>
        <w:spacing w:line="360" w:lineRule="auto"/>
        <w:ind w:firstLine="420"/>
        <w:rPr>
          <w:rFonts w:hint="eastAsia"/>
          <w:color w:val="auto"/>
          <w:highlight w:val="none"/>
        </w:rPr>
      </w:pPr>
      <w:r>
        <w:rPr>
          <w:rFonts w:ascii="Times New Roman" w:hAnsi="Times New Roman"/>
          <w:color w:val="auto"/>
          <w:highlight w:val="none"/>
        </w:rPr>
        <w:t>（</w:t>
      </w:r>
      <w:r>
        <w:rPr>
          <w:rFonts w:hint="eastAsia" w:ascii="Times New Roman" w:hAnsi="Times New Roman"/>
          <w:color w:val="auto"/>
          <w:highlight w:val="none"/>
        </w:rPr>
        <w:t>15</w:t>
      </w:r>
      <w:r>
        <w:rPr>
          <w:rFonts w:ascii="Times New Roman" w:hAnsi="Times New Roman"/>
          <w:color w:val="auto"/>
          <w:highlight w:val="none"/>
        </w:rPr>
        <w:t>）</w:t>
      </w:r>
      <w:r>
        <w:rPr>
          <w:rFonts w:hint="eastAsia"/>
          <w:color w:val="auto"/>
          <w:highlight w:val="none"/>
        </w:rPr>
        <w:t>服务人员</w:t>
      </w:r>
    </w:p>
    <w:p>
      <w:pPr>
        <w:pStyle w:val="192"/>
        <w:snapToGrid w:val="0"/>
        <w:spacing w:line="360" w:lineRule="auto"/>
        <w:ind w:firstLine="420"/>
        <w:rPr>
          <w:rFonts w:hint="eastAsia"/>
          <w:color w:val="auto"/>
          <w:highlight w:val="none"/>
        </w:rPr>
      </w:pPr>
      <w:r>
        <w:rPr>
          <w:rFonts w:hint="eastAsia"/>
          <w:color w:val="auto"/>
          <w:highlight w:val="none"/>
        </w:rPr>
        <w:t>（16）应急方案及措施</w:t>
      </w:r>
    </w:p>
    <w:p>
      <w:pPr>
        <w:pStyle w:val="192"/>
        <w:snapToGrid w:val="0"/>
        <w:spacing w:line="360" w:lineRule="auto"/>
        <w:ind w:firstLine="420"/>
        <w:rPr>
          <w:rFonts w:hint="eastAsia"/>
          <w:color w:val="auto"/>
          <w:highlight w:val="none"/>
        </w:rPr>
      </w:pPr>
      <w:r>
        <w:rPr>
          <w:rFonts w:hint="eastAsia"/>
          <w:color w:val="auto"/>
          <w:highlight w:val="none"/>
        </w:rPr>
        <w:t>（17）保障措施</w:t>
      </w:r>
    </w:p>
    <w:p>
      <w:pPr>
        <w:pStyle w:val="192"/>
        <w:snapToGrid w:val="0"/>
        <w:spacing w:line="360" w:lineRule="auto"/>
        <w:ind w:firstLine="420"/>
        <w:rPr>
          <w:rFonts w:hint="eastAsia"/>
          <w:color w:val="auto"/>
          <w:highlight w:val="none"/>
        </w:rPr>
      </w:pPr>
      <w:r>
        <w:rPr>
          <w:rFonts w:hint="eastAsia"/>
          <w:color w:val="auto"/>
          <w:highlight w:val="none"/>
        </w:rPr>
        <w:t>供应商提供雇主责任险购买证明；</w:t>
      </w:r>
    </w:p>
    <w:p>
      <w:pPr>
        <w:pStyle w:val="192"/>
        <w:snapToGrid w:val="0"/>
        <w:spacing w:line="360" w:lineRule="auto"/>
        <w:ind w:firstLine="420"/>
        <w:rPr>
          <w:rFonts w:hint="eastAsia"/>
          <w:color w:val="auto"/>
          <w:highlight w:val="none"/>
        </w:rPr>
      </w:pPr>
      <w:r>
        <w:rPr>
          <w:rFonts w:hint="eastAsia"/>
          <w:color w:val="auto"/>
          <w:highlight w:val="none"/>
        </w:rPr>
        <w:t>供应商承诺中标后在服务过程中，因保安人员过失造成第三方人员人身伤亡或财产损失的，供应商负责处理及赔偿事宜的，提供承诺；</w:t>
      </w:r>
    </w:p>
    <w:p>
      <w:pPr>
        <w:pStyle w:val="192"/>
        <w:snapToGrid w:val="0"/>
        <w:spacing w:line="360" w:lineRule="auto"/>
        <w:ind w:firstLine="420"/>
        <w:rPr>
          <w:rFonts w:hint="eastAsia"/>
          <w:color w:val="auto"/>
          <w:highlight w:val="none"/>
        </w:rPr>
      </w:pPr>
      <w:r>
        <w:rPr>
          <w:rFonts w:hint="eastAsia"/>
          <w:color w:val="auto"/>
          <w:highlight w:val="none"/>
        </w:rPr>
        <w:t>对保安人员的劳动保障情况；</w:t>
      </w:r>
    </w:p>
    <w:p>
      <w:pPr>
        <w:pStyle w:val="192"/>
        <w:snapToGrid w:val="0"/>
        <w:spacing w:line="360" w:lineRule="auto"/>
        <w:ind w:firstLine="420"/>
        <w:rPr>
          <w:rFonts w:hint="eastAsia"/>
          <w:color w:val="auto"/>
          <w:highlight w:val="none"/>
        </w:rPr>
      </w:pPr>
      <w:r>
        <w:rPr>
          <w:rFonts w:hint="eastAsia"/>
          <w:color w:val="auto"/>
          <w:highlight w:val="none"/>
        </w:rPr>
        <w:t>承诺给保安人员的实发工资及各种福利待遇情况。</w:t>
      </w:r>
    </w:p>
    <w:p>
      <w:pPr>
        <w:pStyle w:val="192"/>
        <w:snapToGrid w:val="0"/>
        <w:spacing w:line="360" w:lineRule="auto"/>
        <w:ind w:firstLine="420"/>
        <w:rPr>
          <w:rFonts w:hint="eastAsia"/>
          <w:color w:val="auto"/>
          <w:highlight w:val="none"/>
        </w:rPr>
      </w:pPr>
      <w:r>
        <w:rPr>
          <w:rFonts w:hint="eastAsia"/>
          <w:color w:val="auto"/>
          <w:highlight w:val="none"/>
        </w:rPr>
        <w:t>（18）供应商提供雇主责任险购买证明；</w:t>
      </w:r>
    </w:p>
    <w:p>
      <w:pPr>
        <w:pStyle w:val="192"/>
        <w:snapToGrid w:val="0"/>
        <w:spacing w:line="360" w:lineRule="auto"/>
        <w:ind w:firstLine="420"/>
        <w:rPr>
          <w:color w:val="auto"/>
          <w:highlight w:val="none"/>
        </w:rPr>
      </w:pPr>
      <w:r>
        <w:rPr>
          <w:rFonts w:hint="eastAsia"/>
          <w:color w:val="auto"/>
          <w:highlight w:val="none"/>
        </w:rPr>
        <w:t>（19）</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r>
        <w:rPr>
          <w:rFonts w:hint="eastAsia" w:ascii="Times New Roman" w:hAnsi="Times New Roman"/>
          <w:color w:val="auto"/>
          <w:highlight w:val="none"/>
        </w:rPr>
        <w:t>。</w:t>
      </w:r>
    </w:p>
    <w:p>
      <w:pPr>
        <w:spacing w:line="360" w:lineRule="auto"/>
        <w:rPr>
          <w:color w:val="auto"/>
          <w:highlight w:val="none"/>
        </w:rPr>
      </w:pPr>
      <w:r>
        <w:rPr>
          <w:rFonts w:hint="eastAsia"/>
          <w:color w:val="auto"/>
          <w:highlight w:val="none"/>
        </w:rPr>
        <w:br w:type="page"/>
      </w:r>
      <w:r>
        <w:rPr>
          <w:rFonts w:hint="eastAsia"/>
          <w:color w:val="auto"/>
          <w:highlight w:val="none"/>
        </w:rPr>
        <w:t>附件1</w:t>
      </w:r>
    </w:p>
    <w:p>
      <w:pPr>
        <w:ind w:left="420"/>
        <w:rPr>
          <w:rFonts w:hint="eastAsia"/>
          <w:color w:val="auto"/>
          <w:highlight w:val="none"/>
        </w:rPr>
      </w:pPr>
    </w:p>
    <w:p>
      <w:pPr>
        <w:pStyle w:val="1321"/>
        <w:widowControl w:val="0"/>
        <w:snapToGrid w:val="0"/>
        <w:spacing w:line="500" w:lineRule="exact"/>
        <w:jc w:val="center"/>
        <w:rPr>
          <w:rFonts w:hAnsi="宋体" w:cs="方正小标宋简体"/>
          <w:b/>
          <w:color w:val="auto"/>
          <w:sz w:val="28"/>
          <w:szCs w:val="28"/>
          <w:highlight w:val="none"/>
        </w:rPr>
      </w:pPr>
      <w:r>
        <w:rPr>
          <w:rFonts w:hAnsi="宋体" w:cs="方正小标宋简体"/>
          <w:b/>
          <w:color w:val="auto"/>
          <w:sz w:val="28"/>
          <w:szCs w:val="28"/>
          <w:highlight w:val="none"/>
        </w:rPr>
        <w:t>政府采购活动现场确认声明书</w:t>
      </w:r>
    </w:p>
    <w:p>
      <w:pPr>
        <w:pStyle w:val="1321"/>
        <w:widowControl w:val="0"/>
        <w:adjustRightInd w:val="0"/>
        <w:snapToGrid w:val="0"/>
        <w:spacing w:line="360" w:lineRule="auto"/>
        <w:jc w:val="both"/>
        <w:rPr>
          <w:rFonts w:ascii="仿宋" w:hAnsi="仿宋"/>
          <w:color w:val="auto"/>
          <w:kern w:val="0"/>
          <w:szCs w:val="21"/>
          <w:highlight w:val="none"/>
          <w:u w:val="single"/>
        </w:rPr>
      </w:pPr>
    </w:p>
    <w:p>
      <w:pPr>
        <w:pStyle w:val="1321"/>
        <w:widowControl w:val="0"/>
        <w:adjustRightInd w:val="0"/>
        <w:snapToGrid w:val="0"/>
        <w:spacing w:line="360" w:lineRule="auto"/>
        <w:jc w:val="both"/>
        <w:rPr>
          <w:rFonts w:hint="default" w:ascii="仿宋" w:hAnsi="仿宋"/>
          <w:b/>
          <w:color w:val="auto"/>
          <w:szCs w:val="21"/>
          <w:highlight w:val="none"/>
        </w:rPr>
      </w:pPr>
      <w:r>
        <w:rPr>
          <w:rFonts w:ascii="仿宋" w:hAnsi="仿宋"/>
          <w:color w:val="auto"/>
          <w:kern w:val="0"/>
          <w:szCs w:val="21"/>
          <w:highlight w:val="none"/>
          <w:u w:val="single"/>
        </w:rPr>
        <w:t>浙江国际招投标有限公司</w:t>
      </w:r>
      <w:r>
        <w:rPr>
          <w:rFonts w:ascii="仿宋" w:hAnsi="仿宋"/>
          <w:color w:val="auto"/>
          <w:kern w:val="0"/>
          <w:szCs w:val="21"/>
          <w:highlight w:val="none"/>
        </w:rPr>
        <w:t>：</w:t>
      </w:r>
    </w:p>
    <w:p>
      <w:pPr>
        <w:pStyle w:val="1321"/>
        <w:widowControl w:val="0"/>
        <w:adjustRightInd w:val="0"/>
        <w:snapToGrid w:val="0"/>
        <w:spacing w:line="360" w:lineRule="auto"/>
        <w:ind w:firstLine="444" w:firstLineChars="200"/>
        <w:jc w:val="both"/>
        <w:rPr>
          <w:rFonts w:ascii="仿宋" w:hAnsi="仿宋"/>
          <w:color w:val="auto"/>
          <w:spacing w:val="6"/>
          <w:szCs w:val="21"/>
          <w:highlight w:val="none"/>
        </w:rPr>
      </w:pPr>
      <w:r>
        <w:rPr>
          <w:rFonts w:ascii="仿宋" w:hAnsi="仿宋"/>
          <w:color w:val="auto"/>
          <w:spacing w:val="6"/>
          <w:szCs w:val="21"/>
          <w:highlight w:val="none"/>
        </w:rPr>
        <w:t>本人经由</w:t>
      </w:r>
      <w:r>
        <w:rPr>
          <w:rFonts w:hint="eastAsia" w:ascii="仿宋" w:hAnsi="仿宋"/>
          <w:color w:val="auto"/>
          <w:spacing w:val="6"/>
          <w:szCs w:val="21"/>
          <w:highlight w:val="none"/>
          <w:u w:val="single"/>
          <w:lang w:eastAsia="zh-CN"/>
        </w:rPr>
        <w:t xml:space="preserve">      </w:t>
      </w:r>
      <w:r>
        <w:rPr>
          <w:rFonts w:ascii="仿宋" w:hAnsi="仿宋"/>
          <w:color w:val="auto"/>
          <w:spacing w:val="6"/>
          <w:szCs w:val="21"/>
          <w:highlight w:val="none"/>
          <w:u w:val="single"/>
        </w:rPr>
        <w:t xml:space="preserve">  （单位）</w:t>
      </w:r>
      <w:r>
        <w:rPr>
          <w:rFonts w:ascii="仿宋" w:hAnsi="仿宋"/>
          <w:color w:val="auto"/>
          <w:spacing w:val="6"/>
          <w:szCs w:val="21"/>
          <w:highlight w:val="none"/>
        </w:rPr>
        <w:t>负责人</w:t>
      </w:r>
      <w:r>
        <w:rPr>
          <w:rFonts w:hint="eastAsia" w:ascii="仿宋" w:hAnsi="仿宋"/>
          <w:color w:val="auto"/>
          <w:spacing w:val="6"/>
          <w:szCs w:val="21"/>
          <w:highlight w:val="none"/>
          <w:u w:val="single"/>
          <w:lang w:eastAsia="zh-CN"/>
        </w:rPr>
        <w:t xml:space="preserve">  </w:t>
      </w:r>
      <w:r>
        <w:rPr>
          <w:rFonts w:ascii="仿宋" w:hAnsi="仿宋"/>
          <w:color w:val="auto"/>
          <w:spacing w:val="6"/>
          <w:szCs w:val="21"/>
          <w:highlight w:val="none"/>
          <w:u w:val="single"/>
        </w:rPr>
        <w:t xml:space="preserve">  （姓名）</w:t>
      </w:r>
      <w:r>
        <w:rPr>
          <w:rFonts w:ascii="仿宋" w:hAnsi="仿宋"/>
          <w:color w:val="auto"/>
          <w:spacing w:val="6"/>
          <w:szCs w:val="21"/>
          <w:highlight w:val="none"/>
        </w:rPr>
        <w:t>合法授权参加</w:t>
      </w:r>
      <w:r>
        <w:rPr>
          <w:rFonts w:hint="eastAsia" w:ascii="仿宋" w:hAnsi="仿宋"/>
          <w:color w:val="auto"/>
          <w:spacing w:val="6"/>
          <w:szCs w:val="21"/>
          <w:highlight w:val="none"/>
          <w:u w:val="single"/>
          <w:lang w:eastAsia="zh-CN"/>
        </w:rPr>
        <w:t xml:space="preserve">    </w:t>
      </w:r>
      <w:r>
        <w:rPr>
          <w:rFonts w:ascii="仿宋" w:hAnsi="仿宋"/>
          <w:color w:val="auto"/>
          <w:spacing w:val="6"/>
          <w:szCs w:val="21"/>
          <w:highlight w:val="none"/>
          <w:u w:val="single"/>
        </w:rPr>
        <w:t xml:space="preserve">   </w:t>
      </w:r>
      <w:r>
        <w:rPr>
          <w:rFonts w:ascii="仿宋" w:hAnsi="仿宋"/>
          <w:color w:val="auto"/>
          <w:spacing w:val="6"/>
          <w:szCs w:val="21"/>
          <w:highlight w:val="none"/>
        </w:rPr>
        <w:t>项目</w:t>
      </w:r>
      <w:r>
        <w:rPr>
          <w:rFonts w:ascii="仿宋" w:hAnsi="仿宋"/>
          <w:color w:val="auto"/>
          <w:spacing w:val="6"/>
          <w:szCs w:val="21"/>
          <w:highlight w:val="none"/>
          <w:u w:val="single"/>
        </w:rPr>
        <w:t>（编号：</w:t>
      </w:r>
      <w:r>
        <w:rPr>
          <w:rFonts w:hint="eastAsia" w:ascii="仿宋" w:hAnsi="仿宋"/>
          <w:color w:val="auto"/>
          <w:spacing w:val="6"/>
          <w:szCs w:val="21"/>
          <w:highlight w:val="none"/>
          <w:u w:val="single"/>
          <w:lang w:eastAsia="zh-CN"/>
        </w:rPr>
        <w:t xml:space="preserve">  </w:t>
      </w:r>
      <w:r>
        <w:rPr>
          <w:rFonts w:ascii="仿宋" w:hAnsi="仿宋"/>
          <w:color w:val="auto"/>
          <w:spacing w:val="6"/>
          <w:szCs w:val="21"/>
          <w:highlight w:val="none"/>
          <w:u w:val="single"/>
        </w:rPr>
        <w:t>）</w:t>
      </w:r>
      <w:r>
        <w:rPr>
          <w:rFonts w:ascii="仿宋" w:hAnsi="仿宋"/>
          <w:color w:val="auto"/>
          <w:spacing w:val="6"/>
          <w:szCs w:val="21"/>
          <w:highlight w:val="none"/>
        </w:rPr>
        <w:t xml:space="preserve">政府采购活动，经与本单位法人代表（负责人）联系确认，现就有关公平竞争事项郑重声明如下： </w:t>
      </w:r>
    </w:p>
    <w:p>
      <w:pPr>
        <w:pStyle w:val="1322"/>
        <w:widowControl/>
        <w:numPr>
          <w:ilvl w:val="0"/>
          <w:numId w:val="12"/>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kern w:val="0"/>
          <w:szCs w:val="21"/>
          <w:highlight w:val="none"/>
        </w:rPr>
        <w:t xml:space="preserve">本单位与采购人之间 </w:t>
      </w:r>
      <w:r>
        <w:rPr>
          <w:rFonts w:ascii="宋体" w:hAnsi="宋体" w:cs="宋体"/>
          <w:color w:val="auto"/>
          <w:kern w:val="0"/>
          <w:szCs w:val="21"/>
          <w:highlight w:val="none"/>
        </w:rPr>
        <w:t>□</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w:t>
      </w:r>
      <w:r>
        <w:rPr>
          <w:rFonts w:ascii="仿宋" w:hAnsi="仿宋"/>
          <w:color w:val="auto"/>
          <w:kern w:val="0"/>
          <w:szCs w:val="21"/>
          <w:highlight w:val="none"/>
        </w:rPr>
        <w:t>存在下列利害关系</w:t>
      </w:r>
      <w:r>
        <w:rPr>
          <w:rFonts w:hint="eastAsia" w:ascii="仿宋" w:hAnsi="仿宋"/>
          <w:color w:val="auto"/>
          <w:kern w:val="0"/>
          <w:szCs w:val="21"/>
          <w:highlight w:val="none"/>
          <w:u w:val="single"/>
          <w:lang w:eastAsia="zh-CN"/>
        </w:rPr>
        <w:t xml:space="preserve">    </w:t>
      </w:r>
      <w:r>
        <w:rPr>
          <w:rFonts w:ascii="仿宋" w:hAnsi="仿宋"/>
          <w:color w:val="auto"/>
          <w:kern w:val="0"/>
          <w:szCs w:val="21"/>
          <w:highlight w:val="none"/>
          <w:u w:val="single"/>
        </w:rPr>
        <w:t xml:space="preserve">   </w:t>
      </w:r>
      <w:r>
        <w:rPr>
          <w:rFonts w:ascii="仿宋" w:hAnsi="仿宋"/>
          <w:color w:val="auto"/>
          <w:kern w:val="0"/>
          <w:szCs w:val="21"/>
          <w:highlight w:val="none"/>
        </w:rPr>
        <w:t>：</w:t>
      </w:r>
    </w:p>
    <w:p>
      <w:pPr>
        <w:pStyle w:val="1322"/>
        <w:widowControl/>
        <w:adjustRightInd w:val="0"/>
        <w:snapToGrid w:val="0"/>
        <w:spacing w:line="360" w:lineRule="auto"/>
        <w:ind w:firstLine="200"/>
        <w:rPr>
          <w:rFonts w:ascii="仿宋" w:hAnsi="仿宋"/>
          <w:color w:val="auto"/>
          <w:kern w:val="0"/>
          <w:szCs w:val="21"/>
          <w:highlight w:val="none"/>
        </w:rPr>
      </w:pPr>
      <w:r>
        <w:rPr>
          <w:rFonts w:ascii="仿宋" w:hAnsi="仿宋"/>
          <w:color w:val="auto"/>
          <w:kern w:val="0"/>
          <w:szCs w:val="21"/>
          <w:highlight w:val="none"/>
        </w:rPr>
        <w:t xml:space="preserve">  A.投资关系</w:t>
      </w:r>
      <w:r>
        <w:rPr>
          <w:rFonts w:hint="eastAsia" w:ascii="仿宋" w:hAnsi="仿宋"/>
          <w:color w:val="auto"/>
          <w:kern w:val="0"/>
          <w:szCs w:val="21"/>
          <w:highlight w:val="none"/>
          <w:lang w:eastAsia="zh-CN"/>
        </w:rPr>
        <w:t xml:space="preserve">  </w:t>
      </w:r>
      <w:r>
        <w:rPr>
          <w:rFonts w:ascii="仿宋" w:hAnsi="仿宋"/>
          <w:color w:val="auto"/>
          <w:kern w:val="0"/>
          <w:szCs w:val="21"/>
          <w:highlight w:val="none"/>
        </w:rPr>
        <w:t>B.行政隶属关系</w:t>
      </w:r>
      <w:r>
        <w:rPr>
          <w:rFonts w:hint="eastAsia" w:ascii="仿宋" w:hAnsi="仿宋"/>
          <w:color w:val="auto"/>
          <w:kern w:val="0"/>
          <w:szCs w:val="21"/>
          <w:highlight w:val="none"/>
          <w:lang w:eastAsia="zh-CN"/>
        </w:rPr>
        <w:t xml:space="preserve">  </w:t>
      </w:r>
      <w:r>
        <w:rPr>
          <w:rFonts w:ascii="仿宋" w:hAnsi="仿宋"/>
          <w:color w:val="auto"/>
          <w:kern w:val="0"/>
          <w:szCs w:val="21"/>
          <w:highlight w:val="none"/>
        </w:rPr>
        <w:t>C.业务指导关系</w:t>
      </w:r>
    </w:p>
    <w:p>
      <w:pPr>
        <w:pStyle w:val="1322"/>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kern w:val="0"/>
          <w:szCs w:val="21"/>
          <w:highlight w:val="none"/>
        </w:rPr>
        <w:t xml:space="preserve">  D.其他可能</w:t>
      </w:r>
      <w:r>
        <w:rPr>
          <w:rFonts w:ascii="仿宋" w:hAnsi="仿宋"/>
          <w:color w:val="auto"/>
          <w:szCs w:val="21"/>
          <w:highlight w:val="none"/>
        </w:rPr>
        <w:t>影响采购公正的</w:t>
      </w:r>
      <w:r>
        <w:rPr>
          <w:rFonts w:ascii="仿宋" w:hAnsi="仿宋"/>
          <w:color w:val="auto"/>
          <w:kern w:val="0"/>
          <w:szCs w:val="21"/>
          <w:highlight w:val="none"/>
        </w:rPr>
        <w:t>利害关系</w:t>
      </w:r>
      <w:r>
        <w:rPr>
          <w:rFonts w:ascii="仿宋" w:hAnsi="仿宋"/>
          <w:color w:val="auto"/>
          <w:kern w:val="0"/>
          <w:szCs w:val="21"/>
          <w:highlight w:val="none"/>
          <w:u w:val="single"/>
        </w:rPr>
        <w:t>（如有，请如实说明）</w:t>
      </w:r>
      <w:r>
        <w:rPr>
          <w:rFonts w:hint="eastAsia" w:ascii="仿宋" w:hAnsi="仿宋"/>
          <w:color w:val="auto"/>
          <w:kern w:val="0"/>
          <w:szCs w:val="21"/>
          <w:highlight w:val="none"/>
          <w:u w:val="single"/>
          <w:lang w:eastAsia="zh-CN"/>
        </w:rPr>
        <w:t xml:space="preserve">        </w:t>
      </w:r>
      <w:r>
        <w:rPr>
          <w:rFonts w:ascii="仿宋" w:hAnsi="仿宋"/>
          <w:color w:val="auto"/>
          <w:kern w:val="0"/>
          <w:szCs w:val="21"/>
          <w:highlight w:val="none"/>
          <w:u w:val="single"/>
        </w:rPr>
        <w:t xml:space="preserve"> </w:t>
      </w:r>
      <w:r>
        <w:rPr>
          <w:rFonts w:ascii="仿宋" w:hAnsi="仿宋"/>
          <w:color w:val="auto"/>
          <w:kern w:val="0"/>
          <w:szCs w:val="21"/>
          <w:highlight w:val="none"/>
        </w:rPr>
        <w:t>。</w:t>
      </w:r>
    </w:p>
    <w:p>
      <w:pPr>
        <w:pStyle w:val="1322"/>
        <w:widowControl/>
        <w:adjustRightInd w:val="0"/>
        <w:snapToGrid w:val="0"/>
        <w:spacing w:line="360" w:lineRule="auto"/>
        <w:ind w:firstLine="200"/>
        <w:rPr>
          <w:rFonts w:ascii="仿宋" w:hAnsi="仿宋"/>
          <w:color w:val="auto"/>
          <w:kern w:val="0"/>
          <w:szCs w:val="21"/>
          <w:highlight w:val="none"/>
        </w:rPr>
      </w:pPr>
      <w:r>
        <w:rPr>
          <w:rFonts w:ascii="仿宋" w:hAnsi="仿宋"/>
          <w:color w:val="auto"/>
          <w:spacing w:val="6"/>
          <w:szCs w:val="21"/>
          <w:highlight w:val="none"/>
        </w:rPr>
        <w:t xml:space="preserve">  二、</w:t>
      </w:r>
      <w:r>
        <w:rPr>
          <w:rFonts w:ascii="仿宋" w:hAnsi="仿宋"/>
          <w:color w:val="auto"/>
          <w:kern w:val="0"/>
          <w:szCs w:val="21"/>
          <w:highlight w:val="none"/>
        </w:rPr>
        <w:t xml:space="preserve">现已清楚知道参加本项目采购活动的其他所有供应商名称，本单位 </w:t>
      </w:r>
      <w:r>
        <w:rPr>
          <w:rFonts w:ascii="宋体" w:hAnsi="宋体" w:cs="宋体"/>
          <w:color w:val="auto"/>
          <w:kern w:val="0"/>
          <w:szCs w:val="21"/>
          <w:highlight w:val="none"/>
        </w:rPr>
        <w:t>□与其他所有供应商之间均</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□与</w:t>
      </w:r>
      <w:r>
        <w:rPr>
          <w:rFonts w:hint="eastAsia" w:ascii="宋体" w:hAnsi="宋体" w:cs="宋体"/>
          <w:color w:val="auto"/>
          <w:kern w:val="0"/>
          <w:szCs w:val="21"/>
          <w:highlight w:val="none"/>
          <w:u w:val="single"/>
          <w:lang w:eastAsia="zh-CN"/>
        </w:rPr>
        <w:t xml:space="preserve">    </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w:t>
      </w:r>
      <w:r>
        <w:rPr>
          <w:rFonts w:ascii="仿宋" w:hAnsi="仿宋"/>
          <w:color w:val="auto"/>
          <w:kern w:val="0"/>
          <w:szCs w:val="21"/>
          <w:highlight w:val="none"/>
        </w:rPr>
        <w:t>存在下列利害关系</w:t>
      </w:r>
      <w:r>
        <w:rPr>
          <w:rFonts w:hint="eastAsia" w:ascii="仿宋" w:hAnsi="仿宋"/>
          <w:color w:val="auto"/>
          <w:kern w:val="0"/>
          <w:szCs w:val="21"/>
          <w:highlight w:val="none"/>
          <w:u w:val="single"/>
          <w:lang w:eastAsia="zh-CN"/>
        </w:rPr>
        <w:t xml:space="preserve">    </w:t>
      </w:r>
      <w:r>
        <w:rPr>
          <w:rFonts w:ascii="仿宋" w:hAnsi="仿宋"/>
          <w:color w:val="auto"/>
          <w:kern w:val="0"/>
          <w:szCs w:val="21"/>
          <w:highlight w:val="none"/>
          <w:u w:val="single"/>
        </w:rPr>
        <w:t xml:space="preserve">  </w:t>
      </w:r>
      <w:r>
        <w:rPr>
          <w:rFonts w:ascii="仿宋" w:hAnsi="仿宋"/>
          <w:color w:val="auto"/>
          <w:kern w:val="0"/>
          <w:szCs w:val="21"/>
          <w:highlight w:val="none"/>
        </w:rPr>
        <w:t>：</w:t>
      </w:r>
    </w:p>
    <w:p>
      <w:pPr>
        <w:pStyle w:val="1321"/>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pPr>
        <w:pStyle w:val="1321"/>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B.法定代表人或负责人或实际控制人是夫妻关系</w:t>
      </w:r>
    </w:p>
    <w:p>
      <w:pPr>
        <w:pStyle w:val="1321"/>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C.法定代表人或负责人或实际控制人是直系血亲关系</w:t>
      </w:r>
    </w:p>
    <w:p>
      <w:pPr>
        <w:pStyle w:val="1321"/>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D.法定代表人或负责人或实际控制人存在三代以内旁系血亲关系</w:t>
      </w:r>
    </w:p>
    <w:p>
      <w:pPr>
        <w:pStyle w:val="1321"/>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pPr>
        <w:pStyle w:val="1321"/>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pPr>
        <w:pStyle w:val="1321"/>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pPr>
        <w:pStyle w:val="1321"/>
        <w:widowControl w:val="0"/>
        <w:adjustRightInd w:val="0"/>
        <w:snapToGrid w:val="0"/>
        <w:spacing w:line="360" w:lineRule="auto"/>
        <w:ind w:firstLine="200"/>
        <w:jc w:val="both"/>
        <w:rPr>
          <w:rFonts w:ascii="仿宋" w:hAnsi="仿宋"/>
          <w:color w:val="auto"/>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pPr>
        <w:pStyle w:val="1321"/>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hint="eastAsia" w:ascii="仿宋" w:hAnsi="仿宋"/>
          <w:color w:val="auto"/>
          <w:szCs w:val="21"/>
          <w:highlight w:val="none"/>
          <w:u w:val="single"/>
          <w:lang w:eastAsia="zh-CN"/>
        </w:rPr>
        <w:t xml:space="preserve">              </w:t>
      </w:r>
      <w:r>
        <w:rPr>
          <w:rFonts w:ascii="仿宋" w:hAnsi="仿宋"/>
          <w:color w:val="auto"/>
          <w:szCs w:val="21"/>
          <w:highlight w:val="none"/>
          <w:u w:val="single"/>
        </w:rPr>
        <w:t xml:space="preserve">  </w:t>
      </w:r>
      <w:r>
        <w:rPr>
          <w:rFonts w:ascii="仿宋" w:hAnsi="仿宋"/>
          <w:color w:val="auto"/>
          <w:kern w:val="0"/>
          <w:szCs w:val="21"/>
          <w:highlight w:val="none"/>
        </w:rPr>
        <w:t>。</w:t>
      </w:r>
    </w:p>
    <w:p>
      <w:pPr>
        <w:pStyle w:val="1322"/>
        <w:widowControl/>
        <w:numPr>
          <w:ilvl w:val="0"/>
          <w:numId w:val="13"/>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严格遵守政府采购法律法规和现场纪律。</w:t>
      </w:r>
    </w:p>
    <w:p>
      <w:pPr>
        <w:pStyle w:val="1322"/>
        <w:widowControl/>
        <w:numPr>
          <w:ilvl w:val="0"/>
          <w:numId w:val="13"/>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kern w:val="0"/>
          <w:szCs w:val="21"/>
          <w:highlight w:val="none"/>
        </w:rPr>
        <w:t>我发现</w:t>
      </w:r>
      <w:r>
        <w:rPr>
          <w:rFonts w:hint="eastAsia" w:ascii="仿宋" w:hAnsi="仿宋"/>
          <w:color w:val="auto"/>
          <w:kern w:val="0"/>
          <w:szCs w:val="21"/>
          <w:highlight w:val="none"/>
          <w:u w:val="single"/>
          <w:lang w:eastAsia="zh-CN"/>
        </w:rPr>
        <w:t xml:space="preserve">          </w:t>
      </w:r>
      <w:r>
        <w:rPr>
          <w:rFonts w:ascii="仿宋" w:hAnsi="仿宋"/>
          <w:color w:val="auto"/>
          <w:kern w:val="0"/>
          <w:szCs w:val="21"/>
          <w:highlight w:val="none"/>
        </w:rPr>
        <w:t>供应商之间存在或可能存在上述第二条第</w:t>
      </w:r>
      <w:r>
        <w:rPr>
          <w:rFonts w:hint="eastAsia" w:ascii="仿宋" w:hAnsi="仿宋"/>
          <w:color w:val="auto"/>
          <w:kern w:val="0"/>
          <w:szCs w:val="21"/>
          <w:highlight w:val="none"/>
          <w:u w:val="single"/>
          <w:lang w:eastAsia="zh-CN"/>
        </w:rPr>
        <w:t xml:space="preserve">    </w:t>
      </w:r>
      <w:r>
        <w:rPr>
          <w:rFonts w:ascii="仿宋" w:hAnsi="仿宋"/>
          <w:color w:val="auto"/>
          <w:kern w:val="0"/>
          <w:szCs w:val="21"/>
          <w:highlight w:val="none"/>
        </w:rPr>
        <w:t>项利害关系。</w:t>
      </w:r>
    </w:p>
    <w:p>
      <w:pPr>
        <w:pStyle w:val="1322"/>
        <w:widowControl/>
        <w:adjustRightInd w:val="0"/>
        <w:snapToGrid w:val="0"/>
        <w:spacing w:line="360" w:lineRule="auto"/>
        <w:rPr>
          <w:rFonts w:hint="default" w:ascii="仿宋" w:hAnsi="仿宋"/>
          <w:color w:val="auto"/>
          <w:kern w:val="0"/>
          <w:szCs w:val="21"/>
          <w:highlight w:val="none"/>
        </w:rPr>
      </w:pPr>
    </w:p>
    <w:p>
      <w:pPr>
        <w:pStyle w:val="1322"/>
        <w:widowControl/>
        <w:adjustRightInd w:val="0"/>
        <w:snapToGrid w:val="0"/>
        <w:spacing w:line="360" w:lineRule="auto"/>
        <w:rPr>
          <w:rFonts w:hint="default" w:ascii="仿宋" w:hAnsi="仿宋"/>
          <w:color w:val="auto"/>
          <w:kern w:val="0"/>
          <w:szCs w:val="21"/>
          <w:highlight w:val="none"/>
        </w:rPr>
      </w:pPr>
    </w:p>
    <w:p>
      <w:pPr>
        <w:pStyle w:val="1321"/>
        <w:widowControl w:val="0"/>
        <w:adjustRightInd w:val="0"/>
        <w:snapToGrid w:val="0"/>
        <w:spacing w:line="360" w:lineRule="auto"/>
        <w:ind w:firstLine="420" w:firstLineChars="200"/>
        <w:jc w:val="both"/>
        <w:rPr>
          <w:rFonts w:hint="default" w:ascii="仿宋" w:hAnsi="仿宋"/>
          <w:color w:val="auto"/>
          <w:szCs w:val="21"/>
          <w:highlight w:val="none"/>
        </w:rPr>
      </w:pPr>
      <w:r>
        <w:rPr>
          <w:rFonts w:hint="eastAsia" w:ascii="仿宋" w:hAnsi="仿宋"/>
          <w:color w:val="auto"/>
          <w:szCs w:val="21"/>
          <w:highlight w:val="none"/>
          <w:lang w:eastAsia="zh-CN"/>
        </w:rPr>
        <w:t xml:space="preserve">                        </w:t>
      </w:r>
      <w:r>
        <w:rPr>
          <w:rFonts w:ascii="仿宋" w:hAnsi="仿宋"/>
          <w:color w:val="auto"/>
          <w:szCs w:val="21"/>
          <w:highlight w:val="none"/>
        </w:rPr>
        <w:t>（供应商代表签名）</w:t>
      </w:r>
    </w:p>
    <w:p>
      <w:pPr>
        <w:adjustRightInd w:val="0"/>
        <w:snapToGrid w:val="0"/>
        <w:spacing w:line="360" w:lineRule="auto"/>
        <w:jc w:val="right"/>
        <w:rPr>
          <w:color w:val="auto"/>
          <w:highlight w:val="none"/>
        </w:rPr>
      </w:pPr>
      <w:r>
        <w:rPr>
          <w:rFonts w:hint="eastAsia"/>
          <w:color w:val="auto"/>
          <w:szCs w:val="21"/>
          <w:highlight w:val="none"/>
          <w:lang w:eastAsia="zh-CN"/>
        </w:rPr>
        <w:t xml:space="preserve">                  </w:t>
      </w:r>
      <w:r>
        <w:rPr>
          <w:rFonts w:hint="eastAsia"/>
          <w:color w:val="auto"/>
          <w:szCs w:val="21"/>
          <w:highlight w:val="none"/>
        </w:rPr>
        <w:t xml:space="preserve">   </w:t>
      </w:r>
      <w:r>
        <w:rPr>
          <w:color w:val="auto"/>
          <w:szCs w:val="21"/>
          <w:highlight w:val="none"/>
        </w:rPr>
        <w:t>年</w:t>
      </w:r>
      <w:r>
        <w:rPr>
          <w:rFonts w:hint="eastAsia"/>
          <w:color w:val="auto"/>
          <w:szCs w:val="21"/>
          <w:highlight w:val="none"/>
        </w:rPr>
        <w:t xml:space="preserve">  </w:t>
      </w:r>
      <w:r>
        <w:rPr>
          <w:color w:val="auto"/>
          <w:szCs w:val="21"/>
          <w:highlight w:val="none"/>
        </w:rPr>
        <w:t>月</w:t>
      </w:r>
      <w:r>
        <w:rPr>
          <w:rFonts w:hint="eastAsia"/>
          <w:color w:val="auto"/>
          <w:szCs w:val="21"/>
          <w:highlight w:val="none"/>
        </w:rPr>
        <w:t xml:space="preserve">  </w:t>
      </w:r>
      <w:r>
        <w:rPr>
          <w:color w:val="auto"/>
          <w:szCs w:val="21"/>
          <w:highlight w:val="none"/>
        </w:rPr>
        <w:t>日</w:t>
      </w:r>
    </w:p>
    <w:p>
      <w:pPr>
        <w:spacing w:line="360" w:lineRule="auto"/>
        <w:rPr>
          <w:color w:val="auto"/>
          <w:highlight w:val="none"/>
        </w:rPr>
      </w:pPr>
      <w:r>
        <w:rPr>
          <w:color w:val="auto"/>
          <w:highlight w:val="none"/>
        </w:rPr>
        <w:br w:type="page"/>
      </w:r>
      <w:r>
        <w:rPr>
          <w:rFonts w:hint="eastAsia"/>
          <w:color w:val="auto"/>
          <w:highlight w:val="none"/>
        </w:rPr>
        <w:t>附件2</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中标通知书接收函</w:t>
      </w:r>
    </w:p>
    <w:p>
      <w:pPr>
        <w:spacing w:line="360" w:lineRule="auto"/>
        <w:rPr>
          <w:rFonts w:hint="eastAsia"/>
          <w:color w:val="auto"/>
          <w:sz w:val="24"/>
          <w:highlight w:val="none"/>
        </w:rPr>
      </w:pPr>
    </w:p>
    <w:p>
      <w:pPr>
        <w:adjustRightInd w:val="0"/>
        <w:snapToGrid w:val="0"/>
        <w:spacing w:line="360" w:lineRule="auto"/>
        <w:ind w:firstLine="547" w:firstLineChars="228"/>
        <w:rPr>
          <w:rFonts w:hint="eastAsia" w:ascii="宋体" w:hAnsi="宋体" w:cs="宋体"/>
          <w:color w:val="auto"/>
          <w:sz w:val="24"/>
          <w:highlight w:val="none"/>
        </w:rPr>
      </w:pPr>
    </w:p>
    <w:p>
      <w:pPr>
        <w:spacing w:line="360" w:lineRule="auto"/>
        <w:ind w:firstLine="480" w:firstLineChars="200"/>
        <w:rPr>
          <w:color w:val="auto"/>
          <w:sz w:val="24"/>
          <w:highlight w:val="none"/>
          <w:u w:val="single"/>
        </w:rPr>
      </w:pPr>
      <w:r>
        <w:rPr>
          <w:rFonts w:hint="eastAsia"/>
          <w:color w:val="auto"/>
          <w:sz w:val="24"/>
          <w:highlight w:val="none"/>
        </w:rPr>
        <w:t>我公司接收本项目中标通知书的邮箱为：</w:t>
      </w:r>
      <w:r>
        <w:rPr>
          <w:rFonts w:hint="eastAsia"/>
          <w:color w:val="auto"/>
          <w:sz w:val="24"/>
          <w:highlight w:val="none"/>
          <w:u w:val="single"/>
          <w:lang w:eastAsia="zh-CN"/>
        </w:rPr>
        <w:t xml:space="preserve">                </w:t>
      </w:r>
      <w:r>
        <w:rPr>
          <w:rFonts w:hint="eastAsia"/>
          <w:color w:val="auto"/>
          <w:sz w:val="24"/>
          <w:highlight w:val="none"/>
          <w:u w:val="single"/>
        </w:rPr>
        <w:t xml:space="preserve"> </w:t>
      </w:r>
    </w:p>
    <w:p>
      <w:pPr>
        <w:spacing w:line="360" w:lineRule="auto"/>
        <w:rPr>
          <w:rFonts w:hint="eastAsia"/>
          <w:color w:val="auto"/>
          <w:sz w:val="24"/>
          <w:highlight w:val="none"/>
        </w:rPr>
      </w:pPr>
    </w:p>
    <w:p>
      <w:pPr>
        <w:snapToGrid w:val="0"/>
        <w:spacing w:line="360" w:lineRule="auto"/>
        <w:rPr>
          <w:color w:val="auto"/>
          <w:highlight w:val="none"/>
          <w:u w:val="single"/>
        </w:rPr>
      </w:pPr>
    </w:p>
    <w:p>
      <w:pPr>
        <w:snapToGrid w:val="0"/>
        <w:spacing w:line="360" w:lineRule="auto"/>
        <w:rPr>
          <w:color w:val="auto"/>
          <w:sz w:val="24"/>
          <w:highlight w:val="none"/>
        </w:rPr>
      </w:pPr>
      <w:r>
        <w:rPr>
          <w:rFonts w:hint="eastAsia"/>
          <w:color w:val="auto"/>
          <w:sz w:val="24"/>
          <w:highlight w:val="none"/>
        </w:rPr>
        <w:t>供应商</w:t>
      </w:r>
      <w:r>
        <w:rPr>
          <w:color w:val="auto"/>
          <w:sz w:val="24"/>
          <w:highlight w:val="none"/>
        </w:rPr>
        <w:t>全称（</w:t>
      </w:r>
      <w:r>
        <w:rPr>
          <w:rFonts w:hint="eastAsia"/>
          <w:color w:val="auto"/>
          <w:sz w:val="24"/>
          <w:highlight w:val="none"/>
        </w:rPr>
        <w:t>盖单位公章或电子签章</w:t>
      </w:r>
      <w:r>
        <w:rPr>
          <w:color w:val="auto"/>
          <w:sz w:val="24"/>
          <w:highlight w:val="none"/>
        </w:rPr>
        <w:t>）：</w:t>
      </w:r>
    </w:p>
    <w:p>
      <w:pPr>
        <w:snapToGrid w:val="0"/>
        <w:spacing w:line="360" w:lineRule="auto"/>
        <w:rPr>
          <w:color w:val="auto"/>
          <w:sz w:val="24"/>
          <w:highlight w:val="none"/>
        </w:rPr>
      </w:pPr>
      <w:r>
        <w:rPr>
          <w:color w:val="auto"/>
          <w:sz w:val="24"/>
          <w:highlight w:val="none"/>
        </w:rPr>
        <w:t>日期：  年  月  日</w:t>
      </w:r>
    </w:p>
    <w:p>
      <w:pPr>
        <w:snapToGrid w:val="0"/>
        <w:spacing w:line="360" w:lineRule="auto"/>
        <w:rPr>
          <w:rFonts w:hint="eastAsia"/>
          <w:color w:val="auto"/>
          <w:sz w:val="24"/>
          <w:highlight w:val="none"/>
        </w:rPr>
      </w:pPr>
    </w:p>
    <w:p>
      <w:pPr>
        <w:rPr>
          <w:rFonts w:hint="eastAsia"/>
          <w:color w:val="auto"/>
          <w:highlight w:val="none"/>
        </w:rPr>
      </w:pPr>
    </w:p>
    <w:p>
      <w:pPr>
        <w:snapToGrid w:val="0"/>
        <w:spacing w:line="360" w:lineRule="auto"/>
        <w:rPr>
          <w:rFonts w:hint="eastAsia"/>
          <w:color w:val="auto"/>
          <w:sz w:val="24"/>
          <w:highlight w:val="none"/>
        </w:rPr>
      </w:pPr>
      <w:r>
        <w:rPr>
          <w:rFonts w:hint="eastAsia"/>
          <w:color w:val="auto"/>
          <w:sz w:val="24"/>
          <w:highlight w:val="none"/>
        </w:rPr>
        <w:t>通讯地址：</w:t>
      </w:r>
    </w:p>
    <w:p>
      <w:pPr>
        <w:snapToGrid w:val="0"/>
        <w:spacing w:line="360" w:lineRule="auto"/>
        <w:rPr>
          <w:rFonts w:hint="eastAsia"/>
          <w:color w:val="auto"/>
          <w:sz w:val="24"/>
          <w:highlight w:val="none"/>
        </w:rPr>
      </w:pPr>
      <w:r>
        <w:rPr>
          <w:rFonts w:hint="eastAsia"/>
          <w:color w:val="auto"/>
          <w:sz w:val="24"/>
          <w:highlight w:val="none"/>
        </w:rPr>
        <w:t>联系人：</w:t>
      </w:r>
    </w:p>
    <w:p>
      <w:pPr>
        <w:snapToGrid w:val="0"/>
        <w:spacing w:line="360" w:lineRule="auto"/>
        <w:rPr>
          <w:rFonts w:hint="eastAsia"/>
          <w:color w:val="auto"/>
          <w:sz w:val="24"/>
          <w:highlight w:val="none"/>
        </w:rPr>
      </w:pPr>
      <w:r>
        <w:rPr>
          <w:rFonts w:hint="eastAsia"/>
          <w:color w:val="auto"/>
          <w:sz w:val="24"/>
          <w:highlight w:val="none"/>
        </w:rPr>
        <w:t>联系手机：</w:t>
      </w:r>
    </w:p>
    <w:p>
      <w:pPr>
        <w:rPr>
          <w:rFonts w:hint="eastAsia"/>
          <w:color w:val="auto"/>
          <w:highlight w:val="none"/>
        </w:rPr>
      </w:pPr>
    </w:p>
    <w:p>
      <w:pPr>
        <w:rPr>
          <w:rFonts w:hint="eastAsia"/>
          <w:color w:val="auto"/>
          <w:highlight w:val="none"/>
        </w:rPr>
      </w:pPr>
    </w:p>
    <w:p>
      <w:pPr>
        <w:rPr>
          <w:rFonts w:hint="eastAsia"/>
          <w:color w:val="auto"/>
          <w:highlight w:val="none"/>
        </w:rPr>
      </w:pPr>
    </w:p>
    <w:p>
      <w:pPr>
        <w:spacing w:line="240" w:lineRule="atLeast"/>
        <w:rPr>
          <w:rFonts w:ascii="宋体" w:hAnsi="宋体"/>
          <w:b/>
          <w:color w:val="auto"/>
          <w:highlight w:val="none"/>
        </w:rPr>
      </w:pPr>
      <w:r>
        <w:rPr>
          <w:rFonts w:ascii="宋体" w:hAnsi="宋体"/>
          <w:b/>
          <w:color w:val="auto"/>
          <w:highlight w:val="none"/>
        </w:rPr>
        <w:t>───────────────────────────────────────────</w:t>
      </w:r>
    </w:p>
    <w:p>
      <w:pPr>
        <w:spacing w:line="240" w:lineRule="atLeast"/>
        <w:jc w:val="center"/>
        <w:rPr>
          <w:rFonts w:ascii="宋体" w:hAnsi="宋体"/>
          <w:b/>
          <w:color w:val="auto"/>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说明</w:t>
      </w:r>
    </w:p>
    <w:p>
      <w:pPr>
        <w:pStyle w:val="708"/>
        <w:spacing w:line="360" w:lineRule="auto"/>
        <w:ind w:left="0" w:leftChars="0" w:firstLine="629" w:firstLineChars="0"/>
        <w:rPr>
          <w:rFonts w:hint="eastAsia" w:ascii="Times New Roman" w:hAnsi="Times New Roman"/>
          <w:b w:val="0"/>
          <w:bCs w:val="0"/>
          <w:color w:val="auto"/>
          <w:sz w:val="24"/>
          <w:szCs w:val="24"/>
          <w:highlight w:val="none"/>
        </w:rPr>
      </w:pPr>
    </w:p>
    <w:p>
      <w:pPr>
        <w:pStyle w:val="708"/>
        <w:spacing w:line="360" w:lineRule="auto"/>
        <w:ind w:left="0" w:leftChars="0" w:firstLine="480" w:firstLineChars="200"/>
        <w:rPr>
          <w:rFonts w:hint="eastAsia"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中标通知书扫描件会发送至投标人指定邮箱，投标人收到邮件即视为收到中标通知书，须在收到中标通知书之日起30日内与采购人签订合同。</w:t>
      </w:r>
    </w:p>
    <w:p>
      <w:pPr>
        <w:pStyle w:val="708"/>
        <w:ind w:left="0" w:leftChars="0" w:firstLine="480" w:firstLineChars="200"/>
        <w:rPr>
          <w:rFonts w:hint="eastAsia"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如需中标通知书原件，请联系招标代理机构项目负责人现场或邮寄获得。</w:t>
      </w:r>
    </w:p>
    <w:p>
      <w:pPr>
        <w:spacing w:line="360" w:lineRule="auto"/>
        <w:jc w:val="left"/>
        <w:rPr>
          <w:b/>
          <w:color w:val="auto"/>
          <w:spacing w:val="6"/>
          <w:szCs w:val="21"/>
          <w:highlight w:val="none"/>
        </w:rPr>
      </w:pPr>
      <w:r>
        <w:rPr>
          <w:rFonts w:hint="eastAsia"/>
          <w:color w:val="auto"/>
          <w:sz w:val="24"/>
          <w:highlight w:val="none"/>
        </w:rPr>
        <w:br w:type="page"/>
      </w:r>
      <w:r>
        <w:rPr>
          <w:b/>
          <w:color w:val="auto"/>
          <w:spacing w:val="6"/>
          <w:szCs w:val="21"/>
          <w:highlight w:val="none"/>
        </w:rPr>
        <w:t>附件3：质疑函范本及制作说明</w:t>
      </w:r>
    </w:p>
    <w:p>
      <w:pPr>
        <w:spacing w:line="360" w:lineRule="auto"/>
        <w:jc w:val="center"/>
        <w:rPr>
          <w:b/>
          <w:color w:val="auto"/>
          <w:spacing w:val="6"/>
          <w:szCs w:val="21"/>
          <w:highlight w:val="none"/>
        </w:rPr>
      </w:pPr>
      <w:r>
        <w:rPr>
          <w:b/>
          <w:color w:val="auto"/>
          <w:spacing w:val="6"/>
          <w:szCs w:val="21"/>
          <w:highlight w:val="none"/>
        </w:rPr>
        <w:t>质疑函范本</w:t>
      </w:r>
    </w:p>
    <w:p>
      <w:pPr>
        <w:snapToGrid w:val="0"/>
        <w:spacing w:before="240" w:beforeLines="100" w:line="360" w:lineRule="auto"/>
        <w:rPr>
          <w:bCs/>
          <w:color w:val="auto"/>
          <w:szCs w:val="21"/>
          <w:highlight w:val="none"/>
        </w:rPr>
      </w:pPr>
      <w:r>
        <w:rPr>
          <w:bCs/>
          <w:color w:val="auto"/>
          <w:szCs w:val="21"/>
          <w:highlight w:val="none"/>
        </w:rPr>
        <w:t>一、质疑供应商基本信息</w:t>
      </w:r>
    </w:p>
    <w:p>
      <w:pPr>
        <w:snapToGrid w:val="0"/>
        <w:spacing w:line="360" w:lineRule="auto"/>
        <w:rPr>
          <w:rFonts w:hint="eastAsia" w:eastAsia="宋体"/>
          <w:color w:val="auto"/>
          <w:szCs w:val="21"/>
          <w:highlight w:val="none"/>
          <w:u w:val="dotted"/>
          <w:lang w:eastAsia="zh-CN"/>
        </w:rPr>
      </w:pPr>
      <w:r>
        <w:rPr>
          <w:color w:val="auto"/>
          <w:szCs w:val="21"/>
          <w:highlight w:val="none"/>
        </w:rPr>
        <w:t>质疑供应商：</w:t>
      </w:r>
      <w:r>
        <w:rPr>
          <w:rFonts w:hint="eastAsia"/>
          <w:color w:val="auto"/>
          <w:szCs w:val="21"/>
          <w:highlight w:val="none"/>
          <w:u w:val="dotted"/>
          <w:lang w:eastAsia="zh-CN"/>
        </w:rPr>
        <w:t xml:space="preserve">                    </w:t>
      </w:r>
    </w:p>
    <w:p>
      <w:pPr>
        <w:snapToGrid w:val="0"/>
        <w:spacing w:line="360" w:lineRule="auto"/>
        <w:rPr>
          <w:color w:val="auto"/>
          <w:szCs w:val="21"/>
          <w:highlight w:val="none"/>
        </w:rPr>
      </w:pPr>
      <w:r>
        <w:rPr>
          <w:color w:val="auto"/>
          <w:szCs w:val="21"/>
          <w:highlight w:val="none"/>
        </w:rPr>
        <w:t>地址：</w:t>
      </w:r>
      <w:r>
        <w:rPr>
          <w:rFonts w:hint="eastAsia"/>
          <w:color w:val="auto"/>
          <w:szCs w:val="21"/>
          <w:highlight w:val="none"/>
          <w:u w:val="dotted"/>
          <w:lang w:eastAsia="zh-CN"/>
        </w:rPr>
        <w:t xml:space="preserve">            </w:t>
      </w:r>
      <w:r>
        <w:rPr>
          <w:color w:val="auto"/>
          <w:szCs w:val="21"/>
          <w:highlight w:val="none"/>
          <w:u w:val="dotted"/>
        </w:rPr>
        <w:t xml:space="preserve">  </w:t>
      </w:r>
      <w:r>
        <w:rPr>
          <w:color w:val="auto"/>
          <w:szCs w:val="21"/>
          <w:highlight w:val="none"/>
        </w:rPr>
        <w:t>邮编：</w:t>
      </w:r>
      <w:r>
        <w:rPr>
          <w:rFonts w:hint="eastAsia"/>
          <w:color w:val="auto"/>
          <w:szCs w:val="21"/>
          <w:highlight w:val="none"/>
          <w:u w:val="dotted"/>
          <w:lang w:eastAsia="zh-CN"/>
        </w:rPr>
        <w:t xml:space="preserve">                        </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联系人：</w:t>
      </w:r>
      <w:r>
        <w:rPr>
          <w:rFonts w:hint="eastAsia"/>
          <w:color w:val="auto"/>
          <w:szCs w:val="21"/>
          <w:highlight w:val="none"/>
          <w:u w:val="dotted"/>
          <w:lang w:eastAsia="zh-CN"/>
        </w:rPr>
        <w:t xml:space="preserve">          </w:t>
      </w:r>
      <w:r>
        <w:rPr>
          <w:color w:val="auto"/>
          <w:szCs w:val="21"/>
          <w:highlight w:val="none"/>
          <w:u w:val="dotted"/>
        </w:rPr>
        <w:t xml:space="preserve">  </w:t>
      </w:r>
      <w:r>
        <w:rPr>
          <w:color w:val="auto"/>
          <w:szCs w:val="21"/>
          <w:highlight w:val="none"/>
        </w:rPr>
        <w:t>联系电话：</w:t>
      </w:r>
      <w:r>
        <w:rPr>
          <w:rFonts w:hint="eastAsia"/>
          <w:color w:val="auto"/>
          <w:szCs w:val="21"/>
          <w:highlight w:val="none"/>
          <w:u w:val="dotted"/>
          <w:lang w:eastAsia="zh-CN"/>
        </w:rPr>
        <w:t xml:space="preserve">              </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授权代表：</w:t>
      </w:r>
      <w:r>
        <w:rPr>
          <w:rFonts w:hint="eastAsia"/>
          <w:color w:val="auto"/>
          <w:szCs w:val="21"/>
          <w:highlight w:val="none"/>
          <w:u w:val="dotted"/>
          <w:lang w:eastAsia="zh-CN"/>
        </w:rPr>
        <w:t xml:space="preserve">                    </w:t>
      </w:r>
      <w:r>
        <w:rPr>
          <w:color w:val="auto"/>
          <w:szCs w:val="21"/>
          <w:highlight w:val="none"/>
          <w:u w:val="dotted"/>
        </w:rPr>
        <w:t xml:space="preserve">  </w:t>
      </w:r>
    </w:p>
    <w:p>
      <w:pPr>
        <w:snapToGrid w:val="0"/>
        <w:spacing w:line="360" w:lineRule="auto"/>
        <w:rPr>
          <w:rFonts w:hint="eastAsia" w:eastAsia="宋体"/>
          <w:color w:val="auto"/>
          <w:szCs w:val="21"/>
          <w:highlight w:val="none"/>
          <w:lang w:eastAsia="zh-CN"/>
        </w:rPr>
      </w:pPr>
      <w:r>
        <w:rPr>
          <w:color w:val="auto"/>
          <w:szCs w:val="21"/>
          <w:highlight w:val="none"/>
        </w:rPr>
        <w:t>联系电话：</w:t>
      </w:r>
      <w:r>
        <w:rPr>
          <w:rFonts w:hint="eastAsia"/>
          <w:color w:val="auto"/>
          <w:szCs w:val="21"/>
          <w:highlight w:val="none"/>
          <w:u w:val="dotted"/>
          <w:lang w:eastAsia="zh-CN"/>
        </w:rPr>
        <w:t xml:space="preserve">                      </w:t>
      </w:r>
    </w:p>
    <w:p>
      <w:pPr>
        <w:snapToGrid w:val="0"/>
        <w:spacing w:line="360" w:lineRule="auto"/>
        <w:rPr>
          <w:rFonts w:hint="eastAsia" w:eastAsia="宋体"/>
          <w:color w:val="auto"/>
          <w:szCs w:val="21"/>
          <w:highlight w:val="none"/>
          <w:lang w:eastAsia="zh-CN"/>
        </w:rPr>
      </w:pPr>
      <w:r>
        <w:rPr>
          <w:color w:val="auto"/>
          <w:szCs w:val="21"/>
          <w:highlight w:val="none"/>
        </w:rPr>
        <w:t>地址：</w:t>
      </w:r>
      <w:r>
        <w:rPr>
          <w:rFonts w:hint="eastAsia"/>
          <w:color w:val="auto"/>
          <w:szCs w:val="21"/>
          <w:highlight w:val="none"/>
          <w:lang w:eastAsia="zh-CN"/>
        </w:rPr>
        <w:t xml:space="preserve">  </w:t>
      </w:r>
      <w:r>
        <w:rPr>
          <w:rFonts w:hint="eastAsia"/>
          <w:color w:val="auto"/>
          <w:szCs w:val="21"/>
          <w:highlight w:val="none"/>
          <w:u w:val="dotted"/>
          <w:lang w:eastAsia="zh-CN"/>
        </w:rPr>
        <w:t xml:space="preserve">          </w:t>
      </w:r>
      <w:r>
        <w:rPr>
          <w:color w:val="auto"/>
          <w:szCs w:val="21"/>
          <w:highlight w:val="none"/>
          <w:u w:val="dotted"/>
        </w:rPr>
        <w:t xml:space="preserve"> </w:t>
      </w:r>
      <w:r>
        <w:rPr>
          <w:color w:val="auto"/>
          <w:szCs w:val="21"/>
          <w:highlight w:val="none"/>
        </w:rPr>
        <w:t>邮编：</w:t>
      </w:r>
      <w:r>
        <w:rPr>
          <w:rFonts w:hint="eastAsia"/>
          <w:color w:val="auto"/>
          <w:szCs w:val="21"/>
          <w:highlight w:val="none"/>
          <w:u w:val="dotted"/>
          <w:lang w:eastAsia="zh-CN"/>
        </w:rPr>
        <w:t xml:space="preserve">                        </w:t>
      </w:r>
    </w:p>
    <w:p>
      <w:pPr>
        <w:snapToGrid w:val="0"/>
        <w:spacing w:line="360" w:lineRule="auto"/>
        <w:rPr>
          <w:bCs/>
          <w:color w:val="auto"/>
          <w:szCs w:val="21"/>
          <w:highlight w:val="none"/>
        </w:rPr>
      </w:pPr>
      <w:r>
        <w:rPr>
          <w:bCs/>
          <w:color w:val="auto"/>
          <w:szCs w:val="21"/>
          <w:highlight w:val="none"/>
        </w:rPr>
        <w:t>二、质疑项目基本情况</w:t>
      </w:r>
    </w:p>
    <w:p>
      <w:pPr>
        <w:snapToGrid w:val="0"/>
        <w:spacing w:line="360" w:lineRule="auto"/>
        <w:rPr>
          <w:color w:val="auto"/>
          <w:szCs w:val="21"/>
          <w:highlight w:val="none"/>
        </w:rPr>
      </w:pPr>
      <w:r>
        <w:rPr>
          <w:color w:val="auto"/>
          <w:szCs w:val="21"/>
          <w:highlight w:val="none"/>
        </w:rPr>
        <w:t>质疑项目的名称：</w:t>
      </w:r>
      <w:r>
        <w:rPr>
          <w:rFonts w:hint="eastAsia"/>
          <w:color w:val="auto"/>
          <w:szCs w:val="21"/>
          <w:highlight w:val="none"/>
          <w:u w:val="dotted"/>
          <w:lang w:eastAsia="zh-CN"/>
        </w:rPr>
        <w:t xml:space="preserve">                  </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质疑项目的编号：</w:t>
      </w:r>
      <w:r>
        <w:rPr>
          <w:rFonts w:hint="eastAsia"/>
          <w:color w:val="auto"/>
          <w:szCs w:val="21"/>
          <w:highlight w:val="none"/>
          <w:u w:val="dotted"/>
          <w:lang w:eastAsia="zh-CN"/>
        </w:rPr>
        <w:t xml:space="preserve">      </w:t>
      </w:r>
      <w:r>
        <w:rPr>
          <w:color w:val="auto"/>
          <w:szCs w:val="21"/>
          <w:highlight w:val="none"/>
          <w:u w:val="dotted"/>
        </w:rPr>
        <w:t xml:space="preserve">   </w:t>
      </w:r>
      <w:r>
        <w:rPr>
          <w:color w:val="auto"/>
          <w:szCs w:val="21"/>
          <w:highlight w:val="none"/>
        </w:rPr>
        <w:t>包号：</w:t>
      </w:r>
      <w:r>
        <w:rPr>
          <w:rFonts w:hint="eastAsia"/>
          <w:color w:val="auto"/>
          <w:szCs w:val="21"/>
          <w:highlight w:val="none"/>
          <w:u w:val="dotted"/>
          <w:lang w:eastAsia="zh-CN"/>
        </w:rPr>
        <w:t xml:space="preserve">        </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采购人名称：</w:t>
      </w:r>
      <w:r>
        <w:rPr>
          <w:rFonts w:hint="eastAsia"/>
          <w:color w:val="auto"/>
          <w:szCs w:val="21"/>
          <w:highlight w:val="none"/>
          <w:u w:val="dotted"/>
          <w:lang w:eastAsia="zh-CN"/>
        </w:rPr>
        <w:t xml:space="preserve">                    </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采购文件获取日期：</w:t>
      </w:r>
      <w:r>
        <w:rPr>
          <w:rFonts w:hint="eastAsia"/>
          <w:color w:val="auto"/>
          <w:szCs w:val="21"/>
          <w:highlight w:val="none"/>
          <w:u w:val="dotted"/>
          <w:lang w:eastAsia="zh-CN"/>
        </w:rPr>
        <w:t xml:space="preserve">                    </w:t>
      </w:r>
      <w:r>
        <w:rPr>
          <w:color w:val="auto"/>
          <w:szCs w:val="21"/>
          <w:highlight w:val="none"/>
          <w:u w:val="dotted"/>
        </w:rPr>
        <w:t xml:space="preserve">   </w:t>
      </w:r>
    </w:p>
    <w:p>
      <w:pPr>
        <w:snapToGrid w:val="0"/>
        <w:spacing w:line="360" w:lineRule="auto"/>
        <w:rPr>
          <w:bCs/>
          <w:color w:val="auto"/>
          <w:szCs w:val="21"/>
          <w:highlight w:val="none"/>
        </w:rPr>
      </w:pPr>
      <w:r>
        <w:rPr>
          <w:bCs/>
          <w:color w:val="auto"/>
          <w:szCs w:val="21"/>
          <w:highlight w:val="none"/>
        </w:rPr>
        <w:t>三、质疑事项具体内容</w:t>
      </w:r>
    </w:p>
    <w:p>
      <w:pPr>
        <w:snapToGrid w:val="0"/>
        <w:spacing w:line="360" w:lineRule="auto"/>
        <w:rPr>
          <w:color w:val="auto"/>
          <w:szCs w:val="21"/>
          <w:highlight w:val="none"/>
          <w:u w:val="dotted"/>
        </w:rPr>
      </w:pPr>
      <w:r>
        <w:rPr>
          <w:color w:val="auto"/>
          <w:szCs w:val="21"/>
          <w:highlight w:val="none"/>
        </w:rPr>
        <w:t>质疑事项1：</w:t>
      </w:r>
      <w:r>
        <w:rPr>
          <w:rFonts w:hint="eastAsia"/>
          <w:color w:val="auto"/>
          <w:szCs w:val="21"/>
          <w:highlight w:val="none"/>
          <w:u w:val="dotted"/>
          <w:lang w:eastAsia="zh-CN"/>
        </w:rPr>
        <w:t xml:space="preserve">                    </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事实依据：</w:t>
      </w:r>
      <w:r>
        <w:rPr>
          <w:rFonts w:hint="eastAsia"/>
          <w:color w:val="auto"/>
          <w:szCs w:val="21"/>
          <w:highlight w:val="none"/>
          <w:u w:val="dotted"/>
          <w:lang w:eastAsia="zh-CN"/>
        </w:rPr>
        <w:t xml:space="preserve">                    </w:t>
      </w:r>
      <w:r>
        <w:rPr>
          <w:color w:val="auto"/>
          <w:szCs w:val="21"/>
          <w:highlight w:val="none"/>
          <w:u w:val="dotted"/>
        </w:rPr>
        <w:t xml:space="preserve">  </w:t>
      </w:r>
    </w:p>
    <w:p>
      <w:pPr>
        <w:snapToGrid w:val="0"/>
        <w:spacing w:line="360" w:lineRule="auto"/>
        <w:rPr>
          <w:color w:val="auto"/>
          <w:szCs w:val="21"/>
          <w:highlight w:val="none"/>
        </w:rPr>
      </w:pPr>
      <w:r>
        <w:rPr>
          <w:rFonts w:hint="eastAsia"/>
          <w:color w:val="auto"/>
          <w:szCs w:val="21"/>
          <w:highlight w:val="none"/>
          <w:u w:val="dotted"/>
          <w:lang w:eastAsia="zh-CN"/>
        </w:rPr>
        <w:t xml:space="preserve">                          </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法律依据：</w:t>
      </w:r>
      <w:r>
        <w:rPr>
          <w:rFonts w:hint="eastAsia"/>
          <w:color w:val="auto"/>
          <w:szCs w:val="21"/>
          <w:highlight w:val="none"/>
          <w:u w:val="dotted"/>
          <w:lang w:eastAsia="zh-CN"/>
        </w:rPr>
        <w:t xml:space="preserve">                    </w:t>
      </w:r>
      <w:r>
        <w:rPr>
          <w:color w:val="auto"/>
          <w:szCs w:val="21"/>
          <w:highlight w:val="none"/>
          <w:u w:val="dotted"/>
        </w:rPr>
        <w:t xml:space="preserve">  </w:t>
      </w:r>
    </w:p>
    <w:p>
      <w:pPr>
        <w:snapToGrid w:val="0"/>
        <w:spacing w:line="360" w:lineRule="auto"/>
        <w:rPr>
          <w:color w:val="auto"/>
          <w:szCs w:val="21"/>
          <w:highlight w:val="none"/>
          <w:u w:val="dotted"/>
        </w:rPr>
      </w:pPr>
      <w:r>
        <w:rPr>
          <w:rFonts w:hint="eastAsia"/>
          <w:color w:val="auto"/>
          <w:szCs w:val="21"/>
          <w:highlight w:val="none"/>
          <w:u w:val="dotted"/>
          <w:lang w:eastAsia="zh-CN"/>
        </w:rPr>
        <w:t xml:space="preserve">                          </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质疑事项2</w:t>
      </w:r>
    </w:p>
    <w:p>
      <w:pPr>
        <w:snapToGrid w:val="0"/>
        <w:spacing w:line="360" w:lineRule="auto"/>
        <w:rPr>
          <w:color w:val="auto"/>
          <w:szCs w:val="21"/>
          <w:highlight w:val="none"/>
        </w:rPr>
      </w:pPr>
      <w:r>
        <w:rPr>
          <w:color w:val="auto"/>
          <w:szCs w:val="21"/>
          <w:highlight w:val="none"/>
        </w:rPr>
        <w:t>……</w:t>
      </w:r>
    </w:p>
    <w:p>
      <w:pPr>
        <w:snapToGrid w:val="0"/>
        <w:spacing w:line="360" w:lineRule="auto"/>
        <w:rPr>
          <w:bCs/>
          <w:color w:val="auto"/>
          <w:szCs w:val="21"/>
          <w:highlight w:val="none"/>
        </w:rPr>
      </w:pPr>
      <w:r>
        <w:rPr>
          <w:bCs/>
          <w:color w:val="auto"/>
          <w:szCs w:val="21"/>
          <w:highlight w:val="none"/>
        </w:rPr>
        <w:t>四、与质疑事项相关的质疑请求</w:t>
      </w:r>
    </w:p>
    <w:p>
      <w:pPr>
        <w:snapToGrid w:val="0"/>
        <w:spacing w:line="360" w:lineRule="auto"/>
        <w:rPr>
          <w:color w:val="auto"/>
          <w:szCs w:val="21"/>
          <w:highlight w:val="none"/>
          <w:u w:val="dotted"/>
        </w:rPr>
      </w:pPr>
      <w:r>
        <w:rPr>
          <w:color w:val="auto"/>
          <w:szCs w:val="21"/>
          <w:highlight w:val="none"/>
        </w:rPr>
        <w:t>请求：</w:t>
      </w:r>
      <w:r>
        <w:rPr>
          <w:rFonts w:hint="eastAsia"/>
          <w:color w:val="auto"/>
          <w:szCs w:val="21"/>
          <w:highlight w:val="none"/>
          <w:u w:val="dotted"/>
          <w:lang w:eastAsia="zh-CN"/>
        </w:rPr>
        <w:t xml:space="preserve">                      </w:t>
      </w:r>
      <w:r>
        <w:rPr>
          <w:color w:val="auto"/>
          <w:szCs w:val="21"/>
          <w:highlight w:val="none"/>
          <w:u w:val="dotted"/>
        </w:rPr>
        <w:t xml:space="preserve">   </w:t>
      </w:r>
    </w:p>
    <w:p>
      <w:pPr>
        <w:spacing w:line="360" w:lineRule="auto"/>
        <w:rPr>
          <w:color w:val="auto"/>
          <w:szCs w:val="21"/>
          <w:highlight w:val="none"/>
        </w:rPr>
      </w:pPr>
      <w:r>
        <w:rPr>
          <w:color w:val="auto"/>
          <w:szCs w:val="21"/>
          <w:highlight w:val="none"/>
        </w:rPr>
        <w:t>签字(签章)：</w:t>
      </w:r>
      <w:r>
        <w:rPr>
          <w:rFonts w:hint="eastAsia"/>
          <w:color w:val="auto"/>
          <w:szCs w:val="21"/>
          <w:highlight w:val="none"/>
          <w:lang w:eastAsia="zh-CN"/>
        </w:rPr>
        <w:t xml:space="preserve">        </w:t>
      </w:r>
      <w:r>
        <w:rPr>
          <w:color w:val="auto"/>
          <w:szCs w:val="21"/>
          <w:highlight w:val="none"/>
        </w:rPr>
        <w:t xml:space="preserve">   公章：</w:t>
      </w:r>
      <w:r>
        <w:rPr>
          <w:rFonts w:hint="eastAsia"/>
          <w:color w:val="auto"/>
          <w:szCs w:val="21"/>
          <w:highlight w:val="none"/>
          <w:lang w:eastAsia="zh-CN"/>
        </w:rPr>
        <w:t xml:space="preserve">          </w:t>
      </w:r>
      <w:r>
        <w:rPr>
          <w:color w:val="auto"/>
          <w:szCs w:val="21"/>
          <w:highlight w:val="none"/>
        </w:rPr>
        <w:t xml:space="preserve">  </w:t>
      </w:r>
    </w:p>
    <w:p>
      <w:pPr>
        <w:spacing w:line="360" w:lineRule="auto"/>
        <w:rPr>
          <w:rFonts w:hint="eastAsia" w:eastAsia="宋体"/>
          <w:color w:val="auto"/>
          <w:szCs w:val="21"/>
          <w:highlight w:val="none"/>
          <w:lang w:eastAsia="zh-CN"/>
        </w:rPr>
      </w:pPr>
      <w:r>
        <w:rPr>
          <w:color w:val="auto"/>
          <w:szCs w:val="21"/>
          <w:highlight w:val="none"/>
        </w:rPr>
        <w:t>日期：</w:t>
      </w:r>
      <w:r>
        <w:rPr>
          <w:rFonts w:hint="eastAsia"/>
          <w:color w:val="auto"/>
          <w:szCs w:val="21"/>
          <w:highlight w:val="none"/>
          <w:lang w:eastAsia="zh-CN"/>
        </w:rPr>
        <w:t xml:space="preserve">  </w:t>
      </w:r>
    </w:p>
    <w:p>
      <w:pPr>
        <w:spacing w:line="360" w:lineRule="auto"/>
        <w:rPr>
          <w:b/>
          <w:color w:val="auto"/>
          <w:szCs w:val="21"/>
          <w:highlight w:val="none"/>
        </w:rPr>
      </w:pPr>
    </w:p>
    <w:p>
      <w:pPr>
        <w:spacing w:line="360" w:lineRule="auto"/>
        <w:rPr>
          <w:b/>
          <w:color w:val="auto"/>
          <w:szCs w:val="21"/>
          <w:highlight w:val="none"/>
        </w:rPr>
      </w:pPr>
    </w:p>
    <w:p>
      <w:pPr>
        <w:spacing w:line="360" w:lineRule="auto"/>
        <w:rPr>
          <w:b/>
          <w:color w:val="auto"/>
          <w:szCs w:val="21"/>
          <w:highlight w:val="none"/>
        </w:rPr>
      </w:pPr>
      <w:r>
        <w:rPr>
          <w:b/>
          <w:color w:val="auto"/>
          <w:szCs w:val="21"/>
          <w:highlight w:val="none"/>
        </w:rPr>
        <w:t>质疑函制作说明：</w:t>
      </w:r>
    </w:p>
    <w:p>
      <w:pPr>
        <w:widowControl/>
        <w:spacing w:line="360" w:lineRule="auto"/>
        <w:ind w:firstLine="420" w:firstLineChars="200"/>
        <w:jc w:val="left"/>
        <w:rPr>
          <w:color w:val="auto"/>
          <w:szCs w:val="21"/>
          <w:highlight w:val="none"/>
        </w:rPr>
      </w:pPr>
      <w:r>
        <w:rPr>
          <w:color w:val="auto"/>
          <w:szCs w:val="21"/>
          <w:highlight w:val="none"/>
        </w:rPr>
        <w:t>1.供应商提出质疑时，应提交质疑函和必要的证明材料。</w:t>
      </w:r>
    </w:p>
    <w:p>
      <w:pPr>
        <w:widowControl/>
        <w:spacing w:line="360" w:lineRule="auto"/>
        <w:ind w:firstLine="420" w:firstLineChars="200"/>
        <w:jc w:val="left"/>
        <w:rPr>
          <w:color w:val="auto"/>
          <w:szCs w:val="21"/>
          <w:highlight w:val="none"/>
        </w:rPr>
      </w:pPr>
      <w:r>
        <w:rPr>
          <w:color w:val="auto"/>
          <w:szCs w:val="21"/>
          <w:highlight w:val="none"/>
        </w:rPr>
        <w:t>2.质疑供应商若委托代理人进行质疑的，质疑函应按要求列明“授权代表”的有关内容，并在附件中提交由质疑</w:t>
      </w:r>
      <w:r>
        <w:rPr>
          <w:color w:val="auto"/>
          <w:kern w:val="0"/>
          <w:szCs w:val="21"/>
          <w:highlight w:val="none"/>
        </w:rPr>
        <w:t>供应商签署的授权委托书。授权委托书应载明代理人的姓名或者名称、代理事项、具体权限、期限和相关事项。</w:t>
      </w:r>
    </w:p>
    <w:p>
      <w:pPr>
        <w:widowControl/>
        <w:spacing w:line="360" w:lineRule="auto"/>
        <w:ind w:firstLine="420" w:firstLineChars="200"/>
        <w:jc w:val="left"/>
        <w:rPr>
          <w:color w:val="auto"/>
          <w:szCs w:val="21"/>
          <w:highlight w:val="none"/>
        </w:rPr>
      </w:pPr>
      <w:r>
        <w:rPr>
          <w:color w:val="auto"/>
          <w:szCs w:val="21"/>
          <w:highlight w:val="none"/>
        </w:rPr>
        <w:t>3.质疑供应商若对项目的某一分包进行质疑，质疑函中应列明具体分包号。</w:t>
      </w:r>
    </w:p>
    <w:p>
      <w:pPr>
        <w:widowControl/>
        <w:spacing w:line="360" w:lineRule="auto"/>
        <w:ind w:firstLine="420" w:firstLineChars="200"/>
        <w:jc w:val="left"/>
        <w:rPr>
          <w:color w:val="auto"/>
          <w:szCs w:val="21"/>
          <w:highlight w:val="none"/>
        </w:rPr>
      </w:pPr>
      <w:r>
        <w:rPr>
          <w:color w:val="auto"/>
          <w:szCs w:val="21"/>
          <w:highlight w:val="none"/>
        </w:rPr>
        <w:t>4.质疑函的质疑事项应具体、明确，并有必要的事实依据和法律依据。</w:t>
      </w:r>
    </w:p>
    <w:p>
      <w:pPr>
        <w:widowControl/>
        <w:spacing w:line="360" w:lineRule="auto"/>
        <w:ind w:firstLine="420" w:firstLineChars="200"/>
        <w:jc w:val="left"/>
        <w:rPr>
          <w:color w:val="auto"/>
          <w:szCs w:val="21"/>
          <w:highlight w:val="none"/>
        </w:rPr>
      </w:pPr>
      <w:r>
        <w:rPr>
          <w:color w:val="auto"/>
          <w:szCs w:val="21"/>
          <w:highlight w:val="none"/>
        </w:rPr>
        <w:t>5.质疑函的质疑请求应与质疑事项相关。</w:t>
      </w:r>
    </w:p>
    <w:p>
      <w:pPr>
        <w:widowControl/>
        <w:spacing w:line="360" w:lineRule="auto"/>
        <w:ind w:firstLine="420" w:firstLineChars="200"/>
        <w:jc w:val="left"/>
        <w:rPr>
          <w:color w:val="auto"/>
          <w:szCs w:val="21"/>
          <w:highlight w:val="none"/>
        </w:rPr>
      </w:pPr>
      <w:r>
        <w:rPr>
          <w:color w:val="auto"/>
          <w:szCs w:val="21"/>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jc w:val="left"/>
        <w:rPr>
          <w:b/>
          <w:color w:val="auto"/>
          <w:spacing w:val="6"/>
          <w:szCs w:val="21"/>
          <w:highlight w:val="none"/>
        </w:rPr>
      </w:pPr>
      <w:r>
        <w:rPr>
          <w:b/>
          <w:color w:val="auto"/>
          <w:spacing w:val="6"/>
          <w:szCs w:val="21"/>
          <w:highlight w:val="none"/>
        </w:rPr>
        <w:br w:type="page"/>
      </w:r>
      <w:r>
        <w:rPr>
          <w:b/>
          <w:color w:val="auto"/>
          <w:spacing w:val="6"/>
          <w:szCs w:val="21"/>
          <w:highlight w:val="none"/>
        </w:rPr>
        <w:t>附件4：投诉书范本及制作说明</w:t>
      </w:r>
    </w:p>
    <w:p>
      <w:pPr>
        <w:spacing w:line="360" w:lineRule="auto"/>
        <w:jc w:val="center"/>
        <w:rPr>
          <w:b/>
          <w:color w:val="auto"/>
          <w:szCs w:val="21"/>
          <w:highlight w:val="none"/>
        </w:rPr>
      </w:pPr>
    </w:p>
    <w:p>
      <w:pPr>
        <w:spacing w:line="360" w:lineRule="auto"/>
        <w:jc w:val="center"/>
        <w:rPr>
          <w:b/>
          <w:color w:val="auto"/>
          <w:spacing w:val="6"/>
          <w:szCs w:val="21"/>
          <w:highlight w:val="none"/>
        </w:rPr>
      </w:pPr>
      <w:r>
        <w:rPr>
          <w:b/>
          <w:color w:val="auto"/>
          <w:spacing w:val="6"/>
          <w:szCs w:val="21"/>
          <w:highlight w:val="none"/>
        </w:rPr>
        <w:t>投诉书范本</w:t>
      </w:r>
    </w:p>
    <w:p>
      <w:pPr>
        <w:spacing w:line="360" w:lineRule="auto"/>
        <w:rPr>
          <w:color w:val="auto"/>
          <w:szCs w:val="21"/>
          <w:highlight w:val="none"/>
        </w:rPr>
      </w:pPr>
      <w:r>
        <w:rPr>
          <w:color w:val="auto"/>
          <w:szCs w:val="21"/>
          <w:highlight w:val="none"/>
        </w:rPr>
        <w:t>一、投诉相关主体基本情况</w:t>
      </w:r>
    </w:p>
    <w:p>
      <w:pPr>
        <w:spacing w:line="360" w:lineRule="auto"/>
        <w:rPr>
          <w:color w:val="auto"/>
          <w:szCs w:val="21"/>
          <w:highlight w:val="none"/>
          <w:u w:val="dotted"/>
        </w:rPr>
      </w:pPr>
      <w:r>
        <w:rPr>
          <w:color w:val="auto"/>
          <w:szCs w:val="21"/>
          <w:highlight w:val="none"/>
        </w:rPr>
        <w:t>投诉人：</w:t>
      </w:r>
      <w:r>
        <w:rPr>
          <w:rFonts w:hint="eastAsia"/>
          <w:color w:val="auto"/>
          <w:szCs w:val="21"/>
          <w:highlight w:val="none"/>
          <w:u w:val="dotted"/>
          <w:lang w:eastAsia="zh-CN"/>
        </w:rPr>
        <w:t xml:space="preserve">                      </w:t>
      </w:r>
      <w:r>
        <w:rPr>
          <w:color w:val="auto"/>
          <w:szCs w:val="21"/>
          <w:highlight w:val="none"/>
          <w:u w:val="dotted"/>
        </w:rPr>
        <w:t xml:space="preserve">   </w:t>
      </w:r>
    </w:p>
    <w:p>
      <w:pPr>
        <w:spacing w:line="360" w:lineRule="auto"/>
        <w:rPr>
          <w:rFonts w:hint="eastAsia" w:eastAsia="宋体"/>
          <w:color w:val="auto"/>
          <w:szCs w:val="21"/>
          <w:highlight w:val="none"/>
          <w:u w:val="single"/>
          <w:lang w:eastAsia="zh-CN"/>
        </w:rPr>
      </w:pPr>
      <w:r>
        <w:rPr>
          <w:color w:val="auto"/>
          <w:szCs w:val="21"/>
          <w:highlight w:val="none"/>
        </w:rPr>
        <w:t>地</w:t>
      </w:r>
      <w:r>
        <w:rPr>
          <w:rFonts w:hint="eastAsia"/>
          <w:color w:val="auto"/>
          <w:szCs w:val="21"/>
          <w:highlight w:val="none"/>
          <w:lang w:eastAsia="zh-CN"/>
        </w:rPr>
        <w:t xml:space="preserve">  </w:t>
      </w:r>
      <w:r>
        <w:rPr>
          <w:color w:val="auto"/>
          <w:szCs w:val="21"/>
          <w:highlight w:val="none"/>
        </w:rPr>
        <w:t xml:space="preserve"> 址：</w:t>
      </w:r>
      <w:r>
        <w:rPr>
          <w:rFonts w:hint="eastAsia"/>
          <w:color w:val="auto"/>
          <w:szCs w:val="21"/>
          <w:highlight w:val="none"/>
          <w:u w:val="dotted"/>
          <w:lang w:eastAsia="zh-CN"/>
        </w:rPr>
        <w:t xml:space="preserve">              </w:t>
      </w:r>
      <w:r>
        <w:rPr>
          <w:color w:val="auto"/>
          <w:szCs w:val="21"/>
          <w:highlight w:val="none"/>
          <w:u w:val="dotted"/>
        </w:rPr>
        <w:t xml:space="preserve"> </w:t>
      </w:r>
      <w:r>
        <w:rPr>
          <w:color w:val="auto"/>
          <w:szCs w:val="21"/>
          <w:highlight w:val="none"/>
        </w:rPr>
        <w:t>邮编：</w:t>
      </w:r>
      <w:r>
        <w:rPr>
          <w:rFonts w:hint="eastAsia"/>
          <w:color w:val="auto"/>
          <w:szCs w:val="21"/>
          <w:highlight w:val="none"/>
          <w:u w:val="dotted"/>
          <w:lang w:eastAsia="zh-CN"/>
        </w:rPr>
        <w:t xml:space="preserve">      </w:t>
      </w:r>
    </w:p>
    <w:p>
      <w:pPr>
        <w:tabs>
          <w:tab w:val="left" w:pos="6510"/>
        </w:tabs>
        <w:spacing w:line="360" w:lineRule="auto"/>
        <w:jc w:val="left"/>
        <w:rPr>
          <w:color w:val="auto"/>
          <w:szCs w:val="21"/>
          <w:highlight w:val="none"/>
        </w:rPr>
      </w:pPr>
      <w:r>
        <w:rPr>
          <w:color w:val="auto"/>
          <w:szCs w:val="21"/>
          <w:highlight w:val="none"/>
        </w:rPr>
        <w:t>法定代表人/主要负责人：</w:t>
      </w:r>
      <w:r>
        <w:rPr>
          <w:rFonts w:hint="eastAsia"/>
          <w:color w:val="auto"/>
          <w:szCs w:val="21"/>
          <w:highlight w:val="none"/>
          <w:u w:val="dotted"/>
          <w:lang w:eastAsia="zh-CN"/>
        </w:rPr>
        <w:t xml:space="preserve">                  </w:t>
      </w:r>
      <w:r>
        <w:rPr>
          <w:color w:val="auto"/>
          <w:szCs w:val="21"/>
          <w:highlight w:val="none"/>
        </w:rPr>
        <w:t xml:space="preserve"> </w:t>
      </w:r>
    </w:p>
    <w:p>
      <w:pPr>
        <w:tabs>
          <w:tab w:val="left" w:pos="6510"/>
        </w:tabs>
        <w:spacing w:line="360" w:lineRule="auto"/>
        <w:rPr>
          <w:color w:val="auto"/>
          <w:szCs w:val="21"/>
          <w:highlight w:val="none"/>
          <w:u w:val="dotted"/>
        </w:rPr>
      </w:pPr>
      <w:r>
        <w:rPr>
          <w:color w:val="auto"/>
          <w:szCs w:val="21"/>
          <w:highlight w:val="none"/>
        </w:rPr>
        <w:t>联系电话：</w:t>
      </w:r>
      <w:r>
        <w:rPr>
          <w:rFonts w:hint="eastAsia"/>
          <w:color w:val="auto"/>
          <w:szCs w:val="21"/>
          <w:highlight w:val="none"/>
          <w:u w:val="dotted"/>
          <w:lang w:eastAsia="zh-CN"/>
        </w:rPr>
        <w:t xml:space="preserve">                      </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授权代表：</w:t>
      </w:r>
      <w:r>
        <w:rPr>
          <w:rFonts w:hint="eastAsia"/>
          <w:color w:val="auto"/>
          <w:szCs w:val="21"/>
          <w:highlight w:val="none"/>
          <w:u w:val="dotted"/>
          <w:lang w:eastAsia="zh-CN"/>
        </w:rPr>
        <w:t xml:space="preserve">      </w:t>
      </w:r>
      <w:r>
        <w:rPr>
          <w:color w:val="auto"/>
          <w:szCs w:val="21"/>
          <w:highlight w:val="none"/>
          <w:u w:val="dotted"/>
        </w:rPr>
        <w:t xml:space="preserve"> </w:t>
      </w:r>
      <w:r>
        <w:rPr>
          <w:color w:val="auto"/>
          <w:szCs w:val="21"/>
          <w:highlight w:val="none"/>
        </w:rPr>
        <w:t>联系电话</w:t>
      </w:r>
      <w:r>
        <w:rPr>
          <w:color w:val="auto"/>
          <w:szCs w:val="21"/>
          <w:highlight w:val="none"/>
          <w:u w:val="dotted"/>
        </w:rPr>
        <w:t>：</w:t>
      </w:r>
      <w:r>
        <w:rPr>
          <w:rFonts w:hint="eastAsia"/>
          <w:color w:val="auto"/>
          <w:szCs w:val="21"/>
          <w:highlight w:val="none"/>
          <w:u w:val="dotted"/>
          <w:lang w:eastAsia="zh-CN"/>
        </w:rPr>
        <w:t xml:space="preserve">        </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地</w:t>
      </w:r>
      <w:r>
        <w:rPr>
          <w:rFonts w:hint="eastAsia"/>
          <w:color w:val="auto"/>
          <w:szCs w:val="21"/>
          <w:highlight w:val="none"/>
          <w:lang w:eastAsia="zh-CN"/>
        </w:rPr>
        <w:t xml:space="preserve">  </w:t>
      </w:r>
      <w:r>
        <w:rPr>
          <w:color w:val="auto"/>
          <w:szCs w:val="21"/>
          <w:highlight w:val="none"/>
        </w:rPr>
        <w:t xml:space="preserve"> 址：</w:t>
      </w:r>
      <w:r>
        <w:rPr>
          <w:rFonts w:hint="eastAsia"/>
          <w:color w:val="auto"/>
          <w:szCs w:val="21"/>
          <w:highlight w:val="none"/>
          <w:u w:val="dotted"/>
          <w:lang w:eastAsia="zh-CN"/>
        </w:rPr>
        <w:t xml:space="preserve">              </w:t>
      </w:r>
      <w:r>
        <w:rPr>
          <w:color w:val="auto"/>
          <w:szCs w:val="21"/>
          <w:highlight w:val="none"/>
          <w:u w:val="dotted"/>
        </w:rPr>
        <w:t xml:space="preserve"> </w:t>
      </w:r>
      <w:r>
        <w:rPr>
          <w:color w:val="auto"/>
          <w:szCs w:val="21"/>
          <w:highlight w:val="none"/>
        </w:rPr>
        <w:t>邮编：</w:t>
      </w:r>
      <w:r>
        <w:rPr>
          <w:rFonts w:hint="eastAsia"/>
          <w:color w:val="auto"/>
          <w:szCs w:val="21"/>
          <w:highlight w:val="none"/>
          <w:u w:val="dotted"/>
          <w:lang w:eastAsia="zh-CN"/>
        </w:rPr>
        <w:t xml:space="preserve">              </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被投诉人1：</w:t>
      </w:r>
      <w:r>
        <w:rPr>
          <w:rFonts w:hint="eastAsia"/>
          <w:color w:val="auto"/>
          <w:szCs w:val="21"/>
          <w:highlight w:val="none"/>
          <w:u w:val="dotted"/>
          <w:lang w:eastAsia="zh-CN"/>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地</w:t>
      </w:r>
      <w:r>
        <w:rPr>
          <w:rFonts w:hint="eastAsia"/>
          <w:color w:val="auto"/>
          <w:szCs w:val="21"/>
          <w:highlight w:val="none"/>
          <w:lang w:eastAsia="zh-CN"/>
        </w:rPr>
        <w:t xml:space="preserve">  </w:t>
      </w:r>
      <w:r>
        <w:rPr>
          <w:color w:val="auto"/>
          <w:szCs w:val="21"/>
          <w:highlight w:val="none"/>
        </w:rPr>
        <w:t xml:space="preserve"> 址：</w:t>
      </w:r>
      <w:r>
        <w:rPr>
          <w:rFonts w:hint="eastAsia"/>
          <w:color w:val="auto"/>
          <w:szCs w:val="21"/>
          <w:highlight w:val="none"/>
          <w:u w:val="dotted"/>
          <w:lang w:eastAsia="zh-CN"/>
        </w:rPr>
        <w:t xml:space="preserve">              </w:t>
      </w:r>
      <w:r>
        <w:rPr>
          <w:color w:val="auto"/>
          <w:szCs w:val="21"/>
          <w:highlight w:val="none"/>
          <w:u w:val="dotted"/>
        </w:rPr>
        <w:t xml:space="preserve"> </w:t>
      </w:r>
      <w:r>
        <w:rPr>
          <w:color w:val="auto"/>
          <w:szCs w:val="21"/>
          <w:highlight w:val="none"/>
        </w:rPr>
        <w:t>邮编：</w:t>
      </w:r>
      <w:r>
        <w:rPr>
          <w:rFonts w:hint="eastAsia"/>
          <w:color w:val="auto"/>
          <w:szCs w:val="21"/>
          <w:highlight w:val="none"/>
          <w:u w:val="dotted"/>
          <w:lang w:eastAsia="zh-CN"/>
        </w:rPr>
        <w:t xml:space="preserve">    </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联系人：</w:t>
      </w:r>
      <w:r>
        <w:rPr>
          <w:rFonts w:hint="eastAsia"/>
          <w:color w:val="auto"/>
          <w:szCs w:val="21"/>
          <w:highlight w:val="none"/>
          <w:u w:val="dotted"/>
          <w:lang w:eastAsia="zh-CN"/>
        </w:rPr>
        <w:t xml:space="preserve">      </w:t>
      </w:r>
      <w:r>
        <w:rPr>
          <w:color w:val="auto"/>
          <w:szCs w:val="21"/>
          <w:highlight w:val="none"/>
          <w:u w:val="dotted"/>
        </w:rPr>
        <w:t xml:space="preserve">   </w:t>
      </w:r>
      <w:r>
        <w:rPr>
          <w:color w:val="auto"/>
          <w:szCs w:val="21"/>
          <w:highlight w:val="none"/>
        </w:rPr>
        <w:t>联系电话：</w:t>
      </w:r>
      <w:r>
        <w:rPr>
          <w:rFonts w:hint="eastAsia"/>
          <w:color w:val="auto"/>
          <w:szCs w:val="21"/>
          <w:highlight w:val="none"/>
          <w:u w:val="dotted"/>
          <w:lang w:eastAsia="zh-CN"/>
        </w:rPr>
        <w:t xml:space="preserve">          </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rPr>
      </w:pPr>
      <w:r>
        <w:rPr>
          <w:color w:val="auto"/>
          <w:szCs w:val="21"/>
          <w:highlight w:val="none"/>
        </w:rPr>
        <w:t>被投诉人2</w:t>
      </w:r>
    </w:p>
    <w:p>
      <w:pPr>
        <w:spacing w:line="360" w:lineRule="auto"/>
        <w:rPr>
          <w:color w:val="auto"/>
          <w:szCs w:val="21"/>
          <w:highlight w:val="none"/>
          <w:u w:val="dotted"/>
        </w:rPr>
      </w:pPr>
      <w:r>
        <w:rPr>
          <w:color w:val="auto"/>
          <w:szCs w:val="21"/>
          <w:highlight w:val="none"/>
        </w:rPr>
        <w:t>……</w:t>
      </w:r>
    </w:p>
    <w:p>
      <w:pPr>
        <w:spacing w:line="360" w:lineRule="auto"/>
        <w:rPr>
          <w:color w:val="auto"/>
          <w:szCs w:val="21"/>
          <w:highlight w:val="none"/>
          <w:u w:val="single"/>
        </w:rPr>
      </w:pPr>
      <w:r>
        <w:rPr>
          <w:color w:val="auto"/>
          <w:szCs w:val="21"/>
          <w:highlight w:val="none"/>
        </w:rPr>
        <w:t>相关供应商：</w:t>
      </w:r>
      <w:r>
        <w:rPr>
          <w:rFonts w:hint="eastAsia"/>
          <w:color w:val="auto"/>
          <w:szCs w:val="21"/>
          <w:highlight w:val="none"/>
          <w:u w:val="dotted"/>
          <w:lang w:eastAsia="zh-CN"/>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地</w:t>
      </w:r>
      <w:r>
        <w:rPr>
          <w:rFonts w:hint="eastAsia"/>
          <w:color w:val="auto"/>
          <w:szCs w:val="21"/>
          <w:highlight w:val="none"/>
          <w:lang w:eastAsia="zh-CN"/>
        </w:rPr>
        <w:t xml:space="preserve">  </w:t>
      </w:r>
      <w:r>
        <w:rPr>
          <w:color w:val="auto"/>
          <w:szCs w:val="21"/>
          <w:highlight w:val="none"/>
        </w:rPr>
        <w:t xml:space="preserve"> 址：</w:t>
      </w:r>
      <w:r>
        <w:rPr>
          <w:rFonts w:hint="eastAsia"/>
          <w:color w:val="auto"/>
          <w:szCs w:val="21"/>
          <w:highlight w:val="none"/>
          <w:u w:val="dotted"/>
          <w:lang w:eastAsia="zh-CN"/>
        </w:rPr>
        <w:t xml:space="preserve">              </w:t>
      </w:r>
      <w:r>
        <w:rPr>
          <w:color w:val="auto"/>
          <w:szCs w:val="21"/>
          <w:highlight w:val="none"/>
          <w:u w:val="dotted"/>
        </w:rPr>
        <w:t xml:space="preserve"> </w:t>
      </w:r>
      <w:r>
        <w:rPr>
          <w:color w:val="auto"/>
          <w:szCs w:val="21"/>
          <w:highlight w:val="none"/>
        </w:rPr>
        <w:t>邮编：</w:t>
      </w:r>
      <w:r>
        <w:rPr>
          <w:rFonts w:hint="eastAsia"/>
          <w:color w:val="auto"/>
          <w:szCs w:val="21"/>
          <w:highlight w:val="none"/>
          <w:u w:val="dotted"/>
          <w:lang w:eastAsia="zh-CN"/>
        </w:rPr>
        <w:t xml:space="preserve">    </w:t>
      </w:r>
      <w:r>
        <w:rPr>
          <w:color w:val="auto"/>
          <w:szCs w:val="21"/>
          <w:highlight w:val="none"/>
          <w:u w:val="dotted"/>
        </w:rPr>
        <w:t xml:space="preserve">  </w:t>
      </w:r>
      <w:r>
        <w:rPr>
          <w:color w:val="auto"/>
          <w:szCs w:val="21"/>
          <w:highlight w:val="none"/>
          <w:u w:val="single"/>
        </w:rPr>
        <w:t xml:space="preserve"> </w:t>
      </w:r>
    </w:p>
    <w:p>
      <w:pPr>
        <w:spacing w:line="360" w:lineRule="auto"/>
        <w:rPr>
          <w:rFonts w:hint="eastAsia" w:eastAsia="宋体"/>
          <w:color w:val="auto"/>
          <w:szCs w:val="21"/>
          <w:highlight w:val="none"/>
          <w:u w:val="single"/>
          <w:lang w:eastAsia="zh-CN"/>
        </w:rPr>
      </w:pPr>
      <w:r>
        <w:rPr>
          <w:color w:val="auto"/>
          <w:szCs w:val="21"/>
          <w:highlight w:val="none"/>
        </w:rPr>
        <w:t>联系人：</w:t>
      </w:r>
      <w:r>
        <w:rPr>
          <w:rFonts w:hint="eastAsia"/>
          <w:color w:val="auto"/>
          <w:szCs w:val="21"/>
          <w:highlight w:val="none"/>
          <w:u w:val="dotted"/>
          <w:lang w:eastAsia="zh-CN"/>
        </w:rPr>
        <w:t xml:space="preserve">      </w:t>
      </w:r>
      <w:r>
        <w:rPr>
          <w:color w:val="auto"/>
          <w:szCs w:val="21"/>
          <w:highlight w:val="none"/>
          <w:u w:val="dotted"/>
        </w:rPr>
        <w:t xml:space="preserve">   </w:t>
      </w:r>
      <w:r>
        <w:rPr>
          <w:color w:val="auto"/>
          <w:szCs w:val="21"/>
          <w:highlight w:val="none"/>
        </w:rPr>
        <w:t>联系电话：</w:t>
      </w:r>
      <w:r>
        <w:rPr>
          <w:rFonts w:hint="eastAsia"/>
          <w:color w:val="auto"/>
          <w:szCs w:val="21"/>
          <w:highlight w:val="none"/>
          <w:u w:val="dotted"/>
          <w:lang w:eastAsia="zh-CN"/>
        </w:rPr>
        <w:t xml:space="preserve">            </w:t>
      </w:r>
      <w:r>
        <w:rPr>
          <w:rFonts w:hint="eastAsia"/>
          <w:color w:val="auto"/>
          <w:szCs w:val="21"/>
          <w:highlight w:val="none"/>
          <w:u w:val="single"/>
          <w:lang w:eastAsia="zh-CN"/>
        </w:rPr>
        <w:t xml:space="preserve">  </w:t>
      </w:r>
    </w:p>
    <w:p>
      <w:pPr>
        <w:spacing w:line="360" w:lineRule="auto"/>
        <w:rPr>
          <w:color w:val="auto"/>
          <w:szCs w:val="21"/>
          <w:highlight w:val="none"/>
        </w:rPr>
      </w:pPr>
      <w:r>
        <w:rPr>
          <w:color w:val="auto"/>
          <w:szCs w:val="21"/>
          <w:highlight w:val="none"/>
        </w:rPr>
        <w:t>二、投诉项目基本情况</w:t>
      </w:r>
    </w:p>
    <w:p>
      <w:pPr>
        <w:spacing w:line="360" w:lineRule="auto"/>
        <w:rPr>
          <w:rFonts w:hint="eastAsia" w:eastAsia="宋体"/>
          <w:color w:val="auto"/>
          <w:szCs w:val="21"/>
          <w:highlight w:val="none"/>
          <w:u w:val="dotted"/>
          <w:lang w:eastAsia="zh-CN"/>
        </w:rPr>
      </w:pPr>
      <w:r>
        <w:rPr>
          <w:color w:val="auto"/>
          <w:szCs w:val="21"/>
          <w:highlight w:val="none"/>
        </w:rPr>
        <w:t>采购</w:t>
      </w:r>
      <w:r>
        <w:rPr>
          <w:color w:val="auto"/>
          <w:kern w:val="0"/>
          <w:szCs w:val="21"/>
          <w:highlight w:val="none"/>
          <w:lang w:val="zh-CN"/>
        </w:rPr>
        <w:t>项目名称</w:t>
      </w:r>
      <w:r>
        <w:rPr>
          <w:color w:val="auto"/>
          <w:szCs w:val="21"/>
          <w:highlight w:val="none"/>
        </w:rPr>
        <w:t>：</w:t>
      </w:r>
      <w:r>
        <w:rPr>
          <w:rFonts w:hint="eastAsia"/>
          <w:color w:val="auto"/>
          <w:szCs w:val="21"/>
          <w:highlight w:val="none"/>
          <w:u w:val="dotted"/>
          <w:lang w:eastAsia="zh-CN"/>
        </w:rPr>
        <w:t xml:space="preserve">                    </w:t>
      </w:r>
    </w:p>
    <w:p>
      <w:pPr>
        <w:spacing w:line="360" w:lineRule="auto"/>
        <w:rPr>
          <w:color w:val="auto"/>
          <w:szCs w:val="21"/>
          <w:highlight w:val="none"/>
          <w:u w:val="single"/>
        </w:rPr>
      </w:pPr>
      <w:r>
        <w:rPr>
          <w:color w:val="auto"/>
          <w:szCs w:val="21"/>
          <w:highlight w:val="none"/>
        </w:rPr>
        <w:t>采购项目编号：</w:t>
      </w:r>
      <w:r>
        <w:rPr>
          <w:rFonts w:hint="eastAsia"/>
          <w:color w:val="auto"/>
          <w:szCs w:val="21"/>
          <w:highlight w:val="none"/>
          <w:u w:val="dotted"/>
          <w:lang w:eastAsia="zh-CN"/>
        </w:rPr>
        <w:t xml:space="preserve">        </w:t>
      </w:r>
      <w:r>
        <w:rPr>
          <w:color w:val="auto"/>
          <w:szCs w:val="21"/>
          <w:highlight w:val="none"/>
          <w:u w:val="dotted"/>
        </w:rPr>
        <w:t xml:space="preserve"> </w:t>
      </w:r>
      <w:r>
        <w:rPr>
          <w:color w:val="auto"/>
          <w:szCs w:val="21"/>
          <w:highlight w:val="none"/>
        </w:rPr>
        <w:t>包号：</w:t>
      </w:r>
      <w:r>
        <w:rPr>
          <w:rFonts w:hint="eastAsia"/>
          <w:color w:val="auto"/>
          <w:szCs w:val="21"/>
          <w:highlight w:val="none"/>
          <w:u w:val="dotted"/>
          <w:lang w:eastAsia="zh-CN"/>
        </w:rPr>
        <w:t xml:space="preserve">      </w:t>
      </w:r>
      <w:r>
        <w:rPr>
          <w:color w:val="auto"/>
          <w:szCs w:val="21"/>
          <w:highlight w:val="none"/>
          <w:u w:val="dotted"/>
        </w:rPr>
        <w:t xml:space="preserve">  </w:t>
      </w:r>
    </w:p>
    <w:p>
      <w:pPr>
        <w:spacing w:line="360" w:lineRule="auto"/>
        <w:rPr>
          <w:color w:val="auto"/>
          <w:szCs w:val="21"/>
          <w:highlight w:val="none"/>
        </w:rPr>
      </w:pPr>
      <w:r>
        <w:rPr>
          <w:color w:val="auto"/>
          <w:szCs w:val="21"/>
          <w:highlight w:val="none"/>
        </w:rPr>
        <w:t>采购人名称：</w:t>
      </w:r>
      <w:r>
        <w:rPr>
          <w:rFonts w:hint="eastAsia"/>
          <w:color w:val="auto"/>
          <w:szCs w:val="21"/>
          <w:highlight w:val="none"/>
          <w:u w:val="dotted"/>
          <w:lang w:eastAsia="zh-CN"/>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代理机构名称：</w:t>
      </w:r>
      <w:r>
        <w:rPr>
          <w:rFonts w:hint="eastAsia"/>
          <w:color w:val="auto"/>
          <w:szCs w:val="21"/>
          <w:highlight w:val="none"/>
          <w:u w:val="dotted"/>
          <w:lang w:eastAsia="zh-CN"/>
        </w:rPr>
        <w:t xml:space="preserve">                    </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采购文件公告：</w:t>
      </w:r>
      <w:r>
        <w:rPr>
          <w:color w:val="auto"/>
          <w:szCs w:val="21"/>
          <w:highlight w:val="none"/>
          <w:u w:val="dotted"/>
        </w:rPr>
        <w:t xml:space="preserve">是/否 </w:t>
      </w:r>
      <w:r>
        <w:rPr>
          <w:color w:val="auto"/>
          <w:szCs w:val="21"/>
          <w:highlight w:val="none"/>
        </w:rPr>
        <w:t>公告期限：</w:t>
      </w:r>
      <w:r>
        <w:rPr>
          <w:rFonts w:hint="eastAsia"/>
          <w:color w:val="auto"/>
          <w:szCs w:val="21"/>
          <w:highlight w:val="none"/>
          <w:u w:val="dotted"/>
          <w:lang w:eastAsia="zh-CN"/>
        </w:rPr>
        <w:t xml:space="preserve">                </w:t>
      </w:r>
      <w:r>
        <w:rPr>
          <w:color w:val="auto"/>
          <w:szCs w:val="21"/>
          <w:highlight w:val="none"/>
          <w:u w:val="dotted"/>
        </w:rPr>
        <w:t xml:space="preserve"> </w:t>
      </w:r>
    </w:p>
    <w:p>
      <w:pPr>
        <w:spacing w:line="360" w:lineRule="auto"/>
        <w:rPr>
          <w:rFonts w:hint="eastAsia" w:eastAsia="宋体"/>
          <w:color w:val="auto"/>
          <w:szCs w:val="21"/>
          <w:highlight w:val="none"/>
          <w:u w:val="single"/>
          <w:lang w:eastAsia="zh-CN"/>
        </w:rPr>
      </w:pPr>
      <w:r>
        <w:rPr>
          <w:color w:val="auto"/>
          <w:szCs w:val="21"/>
          <w:highlight w:val="none"/>
        </w:rPr>
        <w:t>采购结果公告：</w:t>
      </w:r>
      <w:r>
        <w:rPr>
          <w:color w:val="auto"/>
          <w:szCs w:val="21"/>
          <w:highlight w:val="none"/>
          <w:u w:val="dotted"/>
        </w:rPr>
        <w:t xml:space="preserve">是/否 </w:t>
      </w:r>
      <w:r>
        <w:rPr>
          <w:color w:val="auto"/>
          <w:szCs w:val="21"/>
          <w:highlight w:val="none"/>
        </w:rPr>
        <w:t>公告期限：</w:t>
      </w:r>
      <w:r>
        <w:rPr>
          <w:rFonts w:hint="eastAsia"/>
          <w:color w:val="auto"/>
          <w:szCs w:val="21"/>
          <w:highlight w:val="none"/>
          <w:u w:val="dotted"/>
          <w:lang w:eastAsia="zh-CN"/>
        </w:rPr>
        <w:t xml:space="preserve">            </w:t>
      </w:r>
    </w:p>
    <w:p>
      <w:pPr>
        <w:spacing w:line="360" w:lineRule="auto"/>
        <w:rPr>
          <w:color w:val="auto"/>
          <w:szCs w:val="21"/>
          <w:highlight w:val="none"/>
        </w:rPr>
      </w:pPr>
      <w:r>
        <w:rPr>
          <w:color w:val="auto"/>
          <w:szCs w:val="21"/>
          <w:highlight w:val="none"/>
        </w:rPr>
        <w:t>三、质疑基本情况</w:t>
      </w:r>
    </w:p>
    <w:p>
      <w:pPr>
        <w:spacing w:line="360" w:lineRule="auto"/>
        <w:ind w:firstLine="420" w:firstLineChars="200"/>
        <w:rPr>
          <w:rFonts w:hint="eastAsia" w:eastAsia="宋体"/>
          <w:color w:val="auto"/>
          <w:szCs w:val="21"/>
          <w:highlight w:val="none"/>
          <w:u w:val="dotted"/>
          <w:lang w:eastAsia="zh-CN"/>
        </w:rPr>
      </w:pPr>
      <w:r>
        <w:rPr>
          <w:color w:val="auto"/>
          <w:szCs w:val="21"/>
          <w:highlight w:val="none"/>
        </w:rPr>
        <w:t>投诉人于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日,向</w:t>
      </w:r>
      <w:r>
        <w:rPr>
          <w:rFonts w:hint="eastAsia"/>
          <w:color w:val="auto"/>
          <w:szCs w:val="21"/>
          <w:highlight w:val="none"/>
          <w:u w:val="dotted"/>
          <w:lang w:eastAsia="zh-CN"/>
        </w:rPr>
        <w:t xml:space="preserve">        </w:t>
      </w:r>
      <w:r>
        <w:rPr>
          <w:color w:val="auto"/>
          <w:szCs w:val="21"/>
          <w:highlight w:val="none"/>
          <w:u w:val="dotted"/>
        </w:rPr>
        <w:t xml:space="preserve">   </w:t>
      </w:r>
      <w:r>
        <w:rPr>
          <w:color w:val="auto"/>
          <w:szCs w:val="21"/>
          <w:highlight w:val="none"/>
        </w:rPr>
        <w:t>提出质疑，质疑事项为：</w:t>
      </w:r>
      <w:r>
        <w:rPr>
          <w:rFonts w:hint="eastAsia"/>
          <w:color w:val="auto"/>
          <w:szCs w:val="21"/>
          <w:highlight w:val="none"/>
          <w:u w:val="dotted"/>
          <w:lang w:eastAsia="zh-CN"/>
        </w:rPr>
        <w:t xml:space="preserve">                </w:t>
      </w:r>
    </w:p>
    <w:p>
      <w:pPr>
        <w:spacing w:line="360" w:lineRule="auto"/>
        <w:rPr>
          <w:color w:val="auto"/>
          <w:szCs w:val="21"/>
          <w:highlight w:val="none"/>
          <w:u w:val="dotted"/>
        </w:rPr>
      </w:pPr>
      <w:r>
        <w:rPr>
          <w:rFonts w:hint="eastAsia"/>
          <w:color w:val="auto"/>
          <w:szCs w:val="21"/>
          <w:highlight w:val="none"/>
          <w:u w:val="dotted"/>
          <w:lang w:eastAsia="zh-CN"/>
        </w:rPr>
        <w:t xml:space="preserve">                          </w:t>
      </w:r>
      <w:r>
        <w:rPr>
          <w:color w:val="auto"/>
          <w:szCs w:val="21"/>
          <w:highlight w:val="none"/>
          <w:u w:val="dotted"/>
        </w:rPr>
        <w:t xml:space="preserve"> </w:t>
      </w:r>
      <w:r>
        <w:rPr>
          <w:color w:val="auto"/>
          <w:szCs w:val="21"/>
          <w:highlight w:val="none"/>
        </w:rPr>
        <w:t xml:space="preserve">  </w:t>
      </w:r>
    </w:p>
    <w:p>
      <w:pPr>
        <w:spacing w:line="360" w:lineRule="auto"/>
        <w:ind w:firstLine="315" w:firstLineChars="150"/>
        <w:rPr>
          <w:color w:val="auto"/>
          <w:szCs w:val="21"/>
          <w:highlight w:val="none"/>
        </w:rPr>
      </w:pPr>
      <w:r>
        <w:rPr>
          <w:color w:val="auto"/>
          <w:szCs w:val="21"/>
          <w:highlight w:val="none"/>
          <w:u w:val="dotted"/>
        </w:rPr>
        <w:t>采购人/代理机构</w:t>
      </w:r>
      <w:r>
        <w:rPr>
          <w:color w:val="auto"/>
          <w:szCs w:val="21"/>
          <w:highlight w:val="none"/>
        </w:rPr>
        <w:t>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日,就质疑事项作出了答复/没有在法定期限内作出答复。</w:t>
      </w:r>
    </w:p>
    <w:p>
      <w:pPr>
        <w:spacing w:line="360" w:lineRule="auto"/>
        <w:rPr>
          <w:color w:val="auto"/>
          <w:szCs w:val="21"/>
          <w:highlight w:val="none"/>
        </w:rPr>
      </w:pPr>
      <w:r>
        <w:rPr>
          <w:color w:val="auto"/>
          <w:szCs w:val="21"/>
          <w:highlight w:val="none"/>
        </w:rPr>
        <w:t>四、投诉事项具体内容</w:t>
      </w:r>
    </w:p>
    <w:p>
      <w:pPr>
        <w:spacing w:line="360" w:lineRule="auto"/>
        <w:rPr>
          <w:color w:val="auto"/>
          <w:szCs w:val="21"/>
          <w:highlight w:val="none"/>
          <w:u w:val="single"/>
        </w:rPr>
      </w:pPr>
      <w:r>
        <w:rPr>
          <w:color w:val="auto"/>
          <w:szCs w:val="21"/>
          <w:highlight w:val="none"/>
        </w:rPr>
        <w:t>投诉事项 1：</w:t>
      </w:r>
      <w:r>
        <w:rPr>
          <w:rFonts w:hint="eastAsia"/>
          <w:color w:val="auto"/>
          <w:szCs w:val="21"/>
          <w:highlight w:val="none"/>
          <w:u w:val="dotted"/>
          <w:lang w:eastAsia="zh-CN"/>
        </w:rPr>
        <w:t xml:space="preserve">                  </w:t>
      </w:r>
      <w:r>
        <w:rPr>
          <w:color w:val="auto"/>
          <w:szCs w:val="21"/>
          <w:highlight w:val="none"/>
          <w:u w:val="dotted"/>
        </w:rPr>
        <w:t xml:space="preserve">   </w:t>
      </w:r>
    </w:p>
    <w:p>
      <w:pPr>
        <w:spacing w:line="360" w:lineRule="auto"/>
        <w:rPr>
          <w:color w:val="auto"/>
          <w:szCs w:val="21"/>
          <w:highlight w:val="none"/>
        </w:rPr>
      </w:pPr>
      <w:r>
        <w:rPr>
          <w:color w:val="auto"/>
          <w:szCs w:val="21"/>
          <w:highlight w:val="none"/>
        </w:rPr>
        <w:t>事实依据：</w:t>
      </w:r>
      <w:r>
        <w:rPr>
          <w:rFonts w:hint="eastAsia"/>
          <w:color w:val="auto"/>
          <w:szCs w:val="21"/>
          <w:highlight w:val="none"/>
          <w:u w:val="dotted"/>
          <w:lang w:eastAsia="zh-CN"/>
        </w:rPr>
        <w:t xml:space="preserve">                    </w:t>
      </w:r>
      <w:r>
        <w:rPr>
          <w:color w:val="auto"/>
          <w:szCs w:val="21"/>
          <w:highlight w:val="none"/>
          <w:u w:val="dotted"/>
        </w:rPr>
        <w:t xml:space="preserve"> </w:t>
      </w:r>
    </w:p>
    <w:p>
      <w:pPr>
        <w:spacing w:line="360" w:lineRule="auto"/>
        <w:rPr>
          <w:color w:val="auto"/>
          <w:szCs w:val="21"/>
          <w:highlight w:val="none"/>
          <w:u w:val="dotted"/>
        </w:rPr>
      </w:pPr>
      <w:r>
        <w:rPr>
          <w:rFonts w:hint="eastAsia"/>
          <w:color w:val="auto"/>
          <w:szCs w:val="21"/>
          <w:highlight w:val="none"/>
          <w:u w:val="dotted"/>
          <w:lang w:eastAsia="zh-CN"/>
        </w:rPr>
        <w:t xml:space="preserve">                          </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法律依据：</w:t>
      </w:r>
      <w:r>
        <w:rPr>
          <w:rFonts w:hint="eastAsia"/>
          <w:color w:val="auto"/>
          <w:szCs w:val="21"/>
          <w:highlight w:val="none"/>
          <w:u w:val="dotted"/>
          <w:lang w:eastAsia="zh-CN"/>
        </w:rPr>
        <w:t xml:space="preserve">                    </w:t>
      </w:r>
      <w:r>
        <w:rPr>
          <w:color w:val="auto"/>
          <w:szCs w:val="21"/>
          <w:highlight w:val="none"/>
          <w:u w:val="dotted"/>
        </w:rPr>
        <w:t xml:space="preserve">  </w:t>
      </w:r>
    </w:p>
    <w:p>
      <w:pPr>
        <w:spacing w:line="360" w:lineRule="auto"/>
        <w:rPr>
          <w:color w:val="auto"/>
          <w:szCs w:val="21"/>
          <w:highlight w:val="none"/>
          <w:u w:val="dotted"/>
        </w:rPr>
      </w:pPr>
      <w:r>
        <w:rPr>
          <w:rFonts w:hint="eastAsia"/>
          <w:color w:val="auto"/>
          <w:szCs w:val="21"/>
          <w:highlight w:val="none"/>
          <w:u w:val="dotted"/>
          <w:lang w:eastAsia="zh-CN"/>
        </w:rPr>
        <w:t xml:space="preserve">                          </w:t>
      </w:r>
      <w:r>
        <w:rPr>
          <w:color w:val="auto"/>
          <w:szCs w:val="21"/>
          <w:highlight w:val="none"/>
          <w:u w:val="dotted"/>
        </w:rPr>
        <w:t xml:space="preserve">  </w:t>
      </w:r>
    </w:p>
    <w:p>
      <w:pPr>
        <w:spacing w:line="360" w:lineRule="auto"/>
        <w:rPr>
          <w:color w:val="auto"/>
          <w:szCs w:val="21"/>
          <w:highlight w:val="none"/>
        </w:rPr>
      </w:pPr>
      <w:r>
        <w:rPr>
          <w:color w:val="auto"/>
          <w:szCs w:val="21"/>
          <w:highlight w:val="none"/>
        </w:rPr>
        <w:t>投诉事项2</w:t>
      </w:r>
    </w:p>
    <w:p>
      <w:pPr>
        <w:spacing w:line="360" w:lineRule="auto"/>
        <w:rPr>
          <w:color w:val="auto"/>
          <w:szCs w:val="21"/>
          <w:highlight w:val="none"/>
          <w:u w:val="dotted"/>
        </w:rPr>
      </w:pPr>
      <w:r>
        <w:rPr>
          <w:color w:val="auto"/>
          <w:szCs w:val="21"/>
          <w:highlight w:val="none"/>
        </w:rPr>
        <w:t>……</w:t>
      </w:r>
    </w:p>
    <w:p>
      <w:pPr>
        <w:spacing w:line="360" w:lineRule="auto"/>
        <w:rPr>
          <w:color w:val="auto"/>
          <w:szCs w:val="21"/>
          <w:highlight w:val="none"/>
        </w:rPr>
      </w:pPr>
      <w:r>
        <w:rPr>
          <w:color w:val="auto"/>
          <w:szCs w:val="21"/>
          <w:highlight w:val="none"/>
        </w:rPr>
        <w:t>五、与投诉事项相关的投诉请求</w:t>
      </w:r>
    </w:p>
    <w:p>
      <w:pPr>
        <w:spacing w:line="360" w:lineRule="auto"/>
        <w:rPr>
          <w:color w:val="auto"/>
          <w:szCs w:val="21"/>
          <w:highlight w:val="none"/>
        </w:rPr>
      </w:pPr>
      <w:r>
        <w:rPr>
          <w:color w:val="auto"/>
          <w:szCs w:val="21"/>
          <w:highlight w:val="none"/>
        </w:rPr>
        <w:t>请求：</w:t>
      </w:r>
      <w:r>
        <w:rPr>
          <w:rFonts w:hint="eastAsia"/>
          <w:color w:val="auto"/>
          <w:szCs w:val="21"/>
          <w:highlight w:val="none"/>
          <w:u w:val="dotted"/>
          <w:lang w:eastAsia="zh-CN"/>
        </w:rPr>
        <w:t xml:space="preserve">                      </w:t>
      </w:r>
      <w:r>
        <w:rPr>
          <w:color w:val="auto"/>
          <w:szCs w:val="21"/>
          <w:highlight w:val="none"/>
          <w:u w:val="dotted"/>
        </w:rPr>
        <w:t xml:space="preserve">  </w:t>
      </w:r>
      <w:r>
        <w:rPr>
          <w:color w:val="auto"/>
          <w:szCs w:val="21"/>
          <w:highlight w:val="none"/>
        </w:rPr>
        <w:t xml:space="preserve"> </w:t>
      </w:r>
    </w:p>
    <w:p>
      <w:pPr>
        <w:spacing w:line="360" w:lineRule="auto"/>
        <w:rPr>
          <w:rFonts w:hint="eastAsia" w:eastAsia="宋体"/>
          <w:color w:val="auto"/>
          <w:szCs w:val="21"/>
          <w:highlight w:val="none"/>
          <w:u w:val="single"/>
          <w:lang w:eastAsia="zh-CN"/>
        </w:rPr>
      </w:pPr>
      <w:r>
        <w:rPr>
          <w:rFonts w:hint="eastAsia"/>
          <w:color w:val="auto"/>
          <w:szCs w:val="21"/>
          <w:highlight w:val="none"/>
          <w:lang w:eastAsia="zh-CN"/>
        </w:rPr>
        <w:t xml:space="preserve">                                                  </w:t>
      </w:r>
    </w:p>
    <w:p>
      <w:pPr>
        <w:spacing w:line="360" w:lineRule="auto"/>
        <w:rPr>
          <w:color w:val="auto"/>
          <w:szCs w:val="21"/>
          <w:highlight w:val="none"/>
        </w:rPr>
      </w:pPr>
      <w:r>
        <w:rPr>
          <w:color w:val="auto"/>
          <w:szCs w:val="21"/>
          <w:highlight w:val="none"/>
        </w:rPr>
        <w:t>签字(签章)：</w:t>
      </w:r>
      <w:r>
        <w:rPr>
          <w:rFonts w:hint="eastAsia"/>
          <w:color w:val="auto"/>
          <w:szCs w:val="21"/>
          <w:highlight w:val="none"/>
          <w:lang w:eastAsia="zh-CN"/>
        </w:rPr>
        <w:t xml:space="preserve">        </w:t>
      </w:r>
      <w:r>
        <w:rPr>
          <w:color w:val="auto"/>
          <w:szCs w:val="21"/>
          <w:highlight w:val="none"/>
        </w:rPr>
        <w:t xml:space="preserve">   公章：</w:t>
      </w:r>
      <w:r>
        <w:rPr>
          <w:rFonts w:hint="eastAsia"/>
          <w:color w:val="auto"/>
          <w:szCs w:val="21"/>
          <w:highlight w:val="none"/>
          <w:lang w:eastAsia="zh-CN"/>
        </w:rPr>
        <w:t xml:space="preserve">          </w:t>
      </w:r>
      <w:r>
        <w:rPr>
          <w:color w:val="auto"/>
          <w:szCs w:val="21"/>
          <w:highlight w:val="none"/>
        </w:rPr>
        <w:t xml:space="preserve">  </w:t>
      </w:r>
    </w:p>
    <w:p>
      <w:pPr>
        <w:spacing w:line="360" w:lineRule="auto"/>
        <w:rPr>
          <w:rFonts w:hint="eastAsia" w:eastAsia="宋体"/>
          <w:color w:val="auto"/>
          <w:szCs w:val="21"/>
          <w:highlight w:val="none"/>
          <w:lang w:eastAsia="zh-CN"/>
        </w:rPr>
      </w:pPr>
      <w:r>
        <w:rPr>
          <w:color w:val="auto"/>
          <w:szCs w:val="21"/>
          <w:highlight w:val="none"/>
        </w:rPr>
        <w:t>日期：</w:t>
      </w:r>
      <w:r>
        <w:rPr>
          <w:rFonts w:hint="eastAsia"/>
          <w:color w:val="auto"/>
          <w:szCs w:val="21"/>
          <w:highlight w:val="none"/>
          <w:lang w:eastAsia="zh-CN"/>
        </w:rPr>
        <w:t xml:space="preserve">  </w:t>
      </w:r>
    </w:p>
    <w:p>
      <w:pPr>
        <w:spacing w:line="360" w:lineRule="auto"/>
        <w:rPr>
          <w:b/>
          <w:color w:val="auto"/>
          <w:szCs w:val="21"/>
          <w:highlight w:val="none"/>
        </w:rPr>
      </w:pPr>
    </w:p>
    <w:p>
      <w:pPr>
        <w:spacing w:line="360" w:lineRule="auto"/>
        <w:rPr>
          <w:b/>
          <w:color w:val="auto"/>
          <w:szCs w:val="21"/>
          <w:highlight w:val="none"/>
        </w:rPr>
      </w:pPr>
    </w:p>
    <w:p>
      <w:pPr>
        <w:spacing w:line="360" w:lineRule="auto"/>
        <w:rPr>
          <w:b/>
          <w:color w:val="auto"/>
          <w:szCs w:val="21"/>
          <w:highlight w:val="none"/>
        </w:rPr>
      </w:pPr>
      <w:r>
        <w:rPr>
          <w:b/>
          <w:color w:val="auto"/>
          <w:szCs w:val="21"/>
          <w:highlight w:val="none"/>
        </w:rPr>
        <w:t>投诉书制作说明：</w:t>
      </w:r>
    </w:p>
    <w:p>
      <w:pPr>
        <w:widowControl/>
        <w:spacing w:line="360" w:lineRule="auto"/>
        <w:ind w:firstLine="420" w:firstLineChars="200"/>
        <w:rPr>
          <w:color w:val="auto"/>
          <w:kern w:val="0"/>
          <w:szCs w:val="21"/>
          <w:highlight w:val="none"/>
        </w:rPr>
      </w:pPr>
      <w:r>
        <w:rPr>
          <w:color w:val="auto"/>
          <w:szCs w:val="21"/>
          <w:highlight w:val="none"/>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color w:val="auto"/>
          <w:kern w:val="0"/>
          <w:szCs w:val="21"/>
          <w:highlight w:val="none"/>
        </w:rPr>
      </w:pPr>
      <w:r>
        <w:rPr>
          <w:color w:val="auto"/>
          <w:szCs w:val="21"/>
          <w:highlight w:val="none"/>
        </w:rPr>
        <w:t>2.投诉人若委托代理人进行投诉的，投诉书应按照要求列明“授权代表”的有关内容，并在附件中提交由</w:t>
      </w:r>
      <w:r>
        <w:rPr>
          <w:color w:val="auto"/>
          <w:kern w:val="0"/>
          <w:szCs w:val="21"/>
          <w:highlight w:val="none"/>
        </w:rPr>
        <w:t>投诉人签署的授权委托书。授权委托书应当载明代理人的姓名或者名称、代理事项、具体权限、期限和相关事项。</w:t>
      </w:r>
    </w:p>
    <w:p>
      <w:pPr>
        <w:widowControl/>
        <w:spacing w:line="360" w:lineRule="auto"/>
        <w:ind w:firstLine="420" w:firstLineChars="200"/>
        <w:jc w:val="left"/>
        <w:rPr>
          <w:color w:val="auto"/>
          <w:szCs w:val="21"/>
          <w:highlight w:val="none"/>
        </w:rPr>
      </w:pPr>
      <w:r>
        <w:rPr>
          <w:color w:val="auto"/>
          <w:szCs w:val="21"/>
          <w:highlight w:val="none"/>
        </w:rPr>
        <w:t>3.投诉人若对项目的某一分包进行投诉，投诉书应列明具体分包号。</w:t>
      </w:r>
    </w:p>
    <w:p>
      <w:pPr>
        <w:widowControl/>
        <w:spacing w:line="360" w:lineRule="auto"/>
        <w:ind w:firstLine="420" w:firstLineChars="200"/>
        <w:jc w:val="left"/>
        <w:rPr>
          <w:color w:val="auto"/>
          <w:szCs w:val="21"/>
          <w:highlight w:val="none"/>
        </w:rPr>
      </w:pPr>
      <w:r>
        <w:rPr>
          <w:color w:val="auto"/>
          <w:szCs w:val="21"/>
          <w:highlight w:val="none"/>
        </w:rPr>
        <w:t>4.投诉书应简要列明质疑事项，质疑函、质疑答复等作为附件材料提供。</w:t>
      </w:r>
    </w:p>
    <w:p>
      <w:pPr>
        <w:widowControl/>
        <w:spacing w:line="360" w:lineRule="auto"/>
        <w:ind w:firstLine="420" w:firstLineChars="200"/>
        <w:jc w:val="left"/>
        <w:rPr>
          <w:color w:val="auto"/>
          <w:szCs w:val="21"/>
          <w:highlight w:val="none"/>
        </w:rPr>
      </w:pPr>
      <w:r>
        <w:rPr>
          <w:color w:val="auto"/>
          <w:szCs w:val="21"/>
          <w:highlight w:val="none"/>
        </w:rPr>
        <w:t>5.投诉书的投诉事项应具体、明确，并有必要的事实依据和法律依据。</w:t>
      </w:r>
    </w:p>
    <w:p>
      <w:pPr>
        <w:widowControl/>
        <w:spacing w:line="360" w:lineRule="auto"/>
        <w:ind w:firstLine="420" w:firstLineChars="200"/>
        <w:jc w:val="left"/>
        <w:rPr>
          <w:color w:val="auto"/>
          <w:szCs w:val="21"/>
          <w:highlight w:val="none"/>
        </w:rPr>
      </w:pPr>
      <w:r>
        <w:rPr>
          <w:color w:val="auto"/>
          <w:szCs w:val="21"/>
          <w:highlight w:val="none"/>
        </w:rPr>
        <w:t>6.投诉书的投诉请求应与投诉事项相关。</w:t>
      </w:r>
    </w:p>
    <w:p>
      <w:pPr>
        <w:widowControl/>
        <w:spacing w:line="360" w:lineRule="auto"/>
        <w:ind w:firstLine="420" w:firstLineChars="200"/>
        <w:jc w:val="left"/>
        <w:rPr>
          <w:color w:val="auto"/>
          <w:kern w:val="0"/>
          <w:szCs w:val="21"/>
          <w:highlight w:val="none"/>
        </w:rPr>
      </w:pPr>
      <w:r>
        <w:rPr>
          <w:color w:val="auto"/>
          <w:szCs w:val="21"/>
          <w:highlight w:val="none"/>
        </w:rPr>
        <w:t>7.投诉人为自然人的，投诉书应当由本人签字；投诉人为法人或者其他组织的，投诉书应当由法定代表人、主要负责人，或者其授权代表签字或者盖章，并加盖公章。</w:t>
      </w:r>
    </w:p>
    <w:p>
      <w:pPr>
        <w:pStyle w:val="708"/>
        <w:ind w:left="0" w:leftChars="0" w:firstLine="422" w:firstLineChars="200"/>
        <w:rPr>
          <w:rFonts w:ascii="Times New Roman" w:hAnsi="Times New Roman"/>
          <w:color w:val="auto"/>
          <w:highlight w:val="none"/>
        </w:rPr>
      </w:pPr>
    </w:p>
    <w:p>
      <w:pPr>
        <w:rPr>
          <w:color w:val="auto"/>
          <w:highlight w:val="none"/>
        </w:rPr>
      </w:pPr>
    </w:p>
    <w:sectPr>
      <w:pgSz w:w="11906" w:h="16838"/>
      <w:pgMar w:top="1247" w:right="1247" w:bottom="1247" w:left="1474"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DFKai-SB">
    <w:altName w:val="Microsoft JhengHei Light"/>
    <w:panose1 w:val="03000509000000000000"/>
    <w:charset w:val="88"/>
    <w:family w:val="script"/>
    <w:pitch w:val="default"/>
    <w:sig w:usb0="00000003" w:usb1="082E0000" w:usb2="00000016" w:usb3="00000000" w:csb0="00100001" w:csb1="00000000"/>
  </w:font>
  <w:font w:name="PMingLiU">
    <w:altName w:val="PMingLiU-ExtB"/>
    <w:panose1 w:val="02020500000000000000"/>
    <w:charset w:val="88"/>
    <w:family w:val="auto"/>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宋体..璂..">
    <w:altName w:val="宋体"/>
    <w:panose1 w:val="00000000000000000000"/>
    <w:charset w:val="86"/>
    <w:family w:val="roman"/>
    <w:pitch w:val="default"/>
    <w:sig w:usb0="00000001" w:usb1="080E0000" w:usb2="00000010" w:usb3="00000000" w:csb0="00040000" w:csb1="00000000"/>
  </w:font>
  <w:font w:name="Arail">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sө">
    <w:altName w:val="Times New Roman"/>
    <w:panose1 w:val="00000000000000000000"/>
    <w:charset w:val="00"/>
    <w:family w:val="roman"/>
    <w:pitch w:val="default"/>
    <w:sig w:usb0="00000000" w:usb1="00000000" w:usb2="00000000" w:usb3="00000000" w:csb0="00040001" w:csb1="00000000"/>
  </w:font>
  <w:font w:name="IOBAEE+TimesNewRoman,Bold">
    <w:altName w:val="宋体"/>
    <w:panose1 w:val="00000000000000000000"/>
    <w:charset w:val="86"/>
    <w:family w:val="roman"/>
    <w:pitch w:val="default"/>
    <w:sig w:usb0="00000001" w:usb1="080E0000" w:usb2="00000010" w:usb3="00000000" w:csb0="00040000" w:csb1="00000000"/>
  </w:font>
  <w:font w:name="Microsoft Sans Serif">
    <w:panose1 w:val="020B0604020202020204"/>
    <w:charset w:val="00"/>
    <w:family w:val="swiss"/>
    <w:pitch w:val="default"/>
    <w:sig w:usb0="E5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Futura Lt">
    <w:altName w:val="Arial"/>
    <w:panose1 w:val="00000000000000000000"/>
    <w:charset w:val="00"/>
    <w:family w:val="swiss"/>
    <w:pitch w:val="default"/>
    <w:sig w:usb0="A00002AF" w:usb1="5000204A" w:usb2="00000000" w:usb3="00000000" w:csb0="0000009F" w:csb1="00000000"/>
  </w:font>
  <w:font w:name="Futura Bk">
    <w:altName w:val="Segoe Print"/>
    <w:panose1 w:val="00000000000000000000"/>
    <w:charset w:val="00"/>
    <w:family w:val="swiss"/>
    <w:pitch w:val="default"/>
    <w:sig w:usb0="00000000" w:usb1="00000000" w:usb2="00000000" w:usb3="00000000" w:csb0="00000011" w:csb1="00000000"/>
  </w:font>
  <w:font w:name="MS Mincho">
    <w:altName w:val="MS UI Gothic"/>
    <w:panose1 w:val="02020609040205080304"/>
    <w:charset w:val="80"/>
    <w:family w:val="modern"/>
    <w:pitch w:val="default"/>
    <w:sig w:usb0="E00002FF" w:usb1="6AC7FDFB" w:usb2="00000012" w:usb3="00000000" w:csb0="4002009F" w:csb1="DFD7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3"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E0002EFF" w:usb1="C000785B" w:usb2="00000009" w:usb3="00000000" w:csb0="000001FF" w:csb1="00000000"/>
  </w:font>
  <w:font w:name="font-weight : 400">
    <w:altName w:val="宋体"/>
    <w:panose1 w:val="00000000000000000000"/>
    <w:charset w:val="00"/>
    <w:family w:val="auto"/>
    <w:pitch w:val="default"/>
    <w:sig w:usb0="00000000" w:usb1="00000000" w:usb2="00000000" w:usb3="00000000" w:csb0="00040001" w:csb1="00000000"/>
  </w:font>
  <w:font w:name="Batang">
    <w:altName w:val="Malgun Gothic"/>
    <w:panose1 w:val="02030600000101010101"/>
    <w:charset w:val="81"/>
    <w:family w:val="auto"/>
    <w:pitch w:val="default"/>
    <w:sig w:usb0="B00002AF" w:usb1="69D77CFB" w:usb2="00000030" w:usb3="00000000" w:csb0="4008009F" w:csb1="DFD70000"/>
  </w:font>
  <w:font w:name="Arial Unicode MS">
    <w:altName w:val="宋体"/>
    <w:panose1 w:val="020B0604020202020204"/>
    <w:charset w:val="86"/>
    <w:family w:val="swiss"/>
    <w:pitch w:val="default"/>
    <w:sig w:usb0="FFFFFFFF" w:usb1="E9FFFFFF" w:usb2="0000003F" w:usb3="00000000" w:csb0="603F01FF" w:csb1="FFFF0000"/>
  </w:font>
  <w:font w:name="Futura-Heavy">
    <w:altName w:val="Arial"/>
    <w:panose1 w:val="00000000000000000000"/>
    <w:charset w:val="00"/>
    <w:family w:val="swiss"/>
    <w:pitch w:val="default"/>
    <w:sig w:usb0="00000003"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MetaBook-Roman">
    <w:altName w:val="Arial"/>
    <w:panose1 w:val="00000000000000000000"/>
    <w:charset w:val="00"/>
    <w:family w:val="swiss"/>
    <w:pitch w:val="default"/>
    <w:sig w:usb0="00000003" w:usb1="00000000" w:usb2="00000000" w:usb3="00000000" w:csb0="0000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华文彩云">
    <w:panose1 w:val="02010800040101010101"/>
    <w:charset w:val="86"/>
    <w:family w:val="auto"/>
    <w:pitch w:val="default"/>
    <w:sig w:usb0="00000001" w:usb1="080F0000" w:usb2="00000000" w:usb3="00000000" w:csb0="00040000" w:csb1="00000000"/>
  </w:font>
  <w:font w:name="Swis721 BlkOul BT">
    <w:altName w:val="Gabriola"/>
    <w:panose1 w:val="04020905030B03040203"/>
    <w:charset w:val="00"/>
    <w:family w:val="decorative"/>
    <w:pitch w:val="default"/>
    <w:sig w:usb0="00000087" w:usb1="00000000" w:usb2="00000000" w:usb3="00000000" w:csb0="0000001B" w:csb1="00000000"/>
  </w:font>
  <w:font w:name="IOAPJP+TimesNewRoman">
    <w:altName w:val="宋体"/>
    <w:panose1 w:val="00000000000000000000"/>
    <w:charset w:val="86"/>
    <w:family w:val="roman"/>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Book">
    <w:altName w:val="Arial"/>
    <w:panose1 w:val="00000000000000000000"/>
    <w:charset w:val="00"/>
    <w:family w:val="swiss"/>
    <w:pitch w:val="default"/>
    <w:sig w:usb0="00000003"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文鼎PL细上海宋Uni">
    <w:altName w:val="宋体"/>
    <w:panose1 w:val="00000000000000000000"/>
    <w:charset w:val="80"/>
    <w:family w:val="moder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40001" w:csb1="00000000"/>
  </w:font>
  <w:font w:name="Sim Sun">
    <w:altName w:val="宋体"/>
    <w:panose1 w:val="00000000000000000000"/>
    <w:charset w:val="86"/>
    <w:family w:val="swiss"/>
    <w:pitch w:val="default"/>
    <w:sig w:usb0="00000001" w:usb1="080E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New Century Schlbk">
    <w:altName w:val="Times New Roman"/>
    <w:panose1 w:val="00000000000000000000"/>
    <w:charset w:val="00"/>
    <w:family w:val="auto"/>
    <w:pitch w:val="default"/>
    <w:sig w:usb0="03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Microsoft JhengHei Light">
    <w:panose1 w:val="020B0304030504040204"/>
    <w:charset w:val="88"/>
    <w:family w:val="auto"/>
    <w:pitch w:val="default"/>
    <w:sig w:usb0="8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1"/>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OL9q8swBAACdAwAADgAAAGRycy9lMm9Eb2MueG1srVNNrtMwEN4jcQfL e+q04qeKmj6BqoeQECA9OIDr2I0l/8njNukF4Aas2LDnXD0HYyfpg8fmLdg445nxN/N9M9ncDNaQ k4ygvWvoclFRIp3wrXaHhn75fPtsTQkk7lpuvJMNPUugN9unTzZ9qOXKd960MhIEcVD3oaFdSqFm DEQnLYeFD9JhUPloecJrPLA28h7RrWGrqnrJeh/bEL2QAOjdjUE6IcbHAHqltJA7L45WujSiRml4 QkrQ6QB0W7pVSor0USmQiZiGItNUTiyC9j6fbLvh9SHy0GkxtcAf08IDTpZrh0WvUDueODlG/Q+U 1SJ68CothLdsJFIUQRbL6oE2dx0PsnBBqSFcRYf/Bys+nD5FotuGvnpOieMWJ375/u3y49fl51ey rFYvskR9gBoz7wLmpuGNH3BxZj+gMzMfVLT5i5wIxlHg81VgOSQi8qP1ar2uMCQwNl8Qn90/DxHS W+ktyUZDI06wCMtP7yGNqXNKrub8rTamTNG4vxyImT0s9z72mK007IeJ0N63Z+TT4/Ab6nDXKTHv HGqb92Q24mzsZ+MYoj50ZZFyPQivjwmbKL3lCiPsVBinVthNG5bX4s97ybr/q7a/AV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4v2ryzAEAAJ0DAAAOAAAAAAAAAAEAIAAAAB4BAABkcnMvZTJv RG9jLnhtbFBLBQYAAAAABgAGAFkBAABcBQAAAAA= ">
              <v:fill on="f" focussize="0,0"/>
              <v:stroke on="f"/>
              <v:imagedata o:title=""/>
              <o:lock v:ext="edit" aspectratio="f"/>
              <v:textbox inset="0mm,0mm,0mm,0mm" style="mso-fit-shape-to-text:t;">
                <w:txbxContent>
                  <w:p>
                    <w:pPr>
                      <w:pStyle w:val="5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framePr w:wrap="around" w:vAnchor="text" w:hAnchor="margin" w:xAlign="center" w:y="1"/>
      <w:rPr>
        <w:rStyle w:val="85"/>
      </w:rPr>
    </w:pPr>
    <w:r>
      <w:fldChar w:fldCharType="begin"/>
    </w:r>
    <w:r>
      <w:rPr>
        <w:rStyle w:val="85"/>
      </w:rPr>
      <w:instrText xml:space="preserve">PAGE  </w:instrText>
    </w:r>
    <w:r>
      <w:fldChar w:fldCharType="end"/>
    </w:r>
  </w:p>
  <w:p>
    <w:pPr>
      <w:pStyle w:val="5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1"/>
                          </w:pPr>
                          <w:r>
                            <w:fldChar w:fldCharType="begin"/>
                          </w:r>
                          <w:r>
                            <w:instrText xml:space="preserve"> PAGE  \* MERGEFORMAT </w:instrText>
                          </w:r>
                          <w:r>
                            <w:fldChar w:fldCharType="separate"/>
                          </w:r>
                          <w:r>
                            <w:rPr>
                              <w:lang/>
                            </w:rPr>
                            <w:t>1</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8DhXcssBAACdAwAADgAAAGRycy9lMm9Eb2MueG1srVPNjtMwEL4j8Q6W 79RpJZYqaroCVYuQECAtPIDr2I0l/8njNukLwBtw4sKd5+pzMHaSLiyXPXBxxjPjb+b7ZrK5Hawh JxlBe9fQ5aKiRDrhW+0ODf3y+e7FmhJI3LXceCcbepZAb7fPn236UMuV77xpZSQI4qDuQ0O7lELN GIhOWg4LH6TDoPLR8oTXeGBt5D2iW8NWVXXDeh/bEL2QAOjdjUE6IcanAHqltJA7L45WujSiRml4 QkrQ6QB0W7pVSor0USmQiZiGItNUTiyC9j6fbLvh9SHy0GkxtcCf0sIjTpZrh0WvUDueODlG/Q+U 1SJ68CothLdsJFIUQRbL6pE29x0PsnBBqSFcRYf/Bys+nD5FotuGvnpJieMWJ375/u3y49fl51ey rFY3WaI+QI2Z9wFz0/DGD7g4sx/QmZkPKtr8RU4E4yjw+SqwHBIR+dF6tV5XGBIYmy+Izx6ehwjp rfSWZKOhESdYhOWn95DG1DklV3P+ThtTpmjcXw7EzB6Wex97zFYa9sNEaO/bM/LpcfgNdbjrlJh3 DrXNezIbcTb2s3EMUR+6ski5HoTXx4RNlN5yhRF2KoxTK+ymDctr8ee9ZD38Vdvf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PA4V3LLAQAAnQMAAA4AAAAAAAAAAQAgAAAAHgEAAGRycy9lMm9E b2MueG1sUEsFBgAAAAAGAAYAWQEAAFsFAAAAAA== ">
              <v:fill on="f" focussize="0,0"/>
              <v:stroke on="f"/>
              <v:imagedata o:title=""/>
              <o:lock v:ext="edit" aspectratio="f"/>
              <v:textbox inset="0mm,0mm,0mm,0mm" style="mso-fit-shape-to-text:t;">
                <w:txbxContent>
                  <w:p>
                    <w:pPr>
                      <w:pStyle w:val="51"/>
                    </w:pPr>
                    <w:r>
                      <w:fldChar w:fldCharType="begin"/>
                    </w:r>
                    <w:r>
                      <w:instrText xml:space="preserve"> PAGE  \* MERGEFORMAT </w:instrText>
                    </w:r>
                    <w:r>
                      <w:fldChar w:fldCharType="separate"/>
                    </w:r>
                    <w:r>
                      <w:rPr>
                        <w:lang/>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1"/>
                          </w:pPr>
                          <w:r>
                            <w:fldChar w:fldCharType="begin"/>
                          </w:r>
                          <w:r>
                            <w:instrText xml:space="preserve"> PAGE  \* MERGEFORMAT </w:instrText>
                          </w:r>
                          <w:r>
                            <w:fldChar w:fldCharType="separate"/>
                          </w:r>
                          <w:r>
                            <w:rPr>
                              <w:lang/>
                            </w:rPr>
                            <w:t>56</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7aItRMsBAACdAwAADgAAAGRycy9lMm9Eb2MueG1srVPNjtMwEL4j8Q6W 79RpD7tV1HQFqhYhIUBaeADXsRtL/pPHbdIXgDfgxIU7z9XnYOwkXVgue+DijGfG38z3zWRzN1hD TjKC9q6hy0VFiXTCt9odGvrl8/2rNSWQuGu58U429CyB3m1fvtj0oZYr33nTykgQxEHdh4Z2KYWa MRCdtBwWPkiHQeWj5Qmv8cDayHtEt4atquqG9T62IXohAdC7G4N0QozPAfRKaSF3XhytdGlEjdLw hJSg0wHotnSrlBTpo1IgEzENRaapnFgE7X0+2XbD60PkodNiaoE/p4UnnCzXDoteoXY8cXKM+h8o q0X04FVaCG/ZSKQogiyW1RNtHjoeZOGCUkO4ig7/D1Z8OH2KRLcNvb2hxHGLE798/3b58evy8ytZ VqvbLFEfoMbMh4C5aXjjB1yc2Q/ozMwHFW3+IieCcRT4fBVYDomI/Gi9Wq8rDAmMzRfEZ4/PQ4T0 VnpLstHQiBMswvLTe0hj6pySqzl/r40pUzTuLwdiZg/LvY89ZisN+2EitPftGfn0OPyGOtx1Ssw7 h9rmPZmNOBv72TiGqA9dWaRcD8LrY8ImSm+5wgg7FcapFXbThuW1+PNesh7/qu1v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O2iLUTLAQAAnQMAAA4AAAAAAAAAAQAgAAAAHgEAAGRycy9lMm9E b2MueG1sUEsFBgAAAAAGAAYAWQEAAFsFAAAAAA== ">
              <v:fill on="f" focussize="0,0"/>
              <v:stroke on="f"/>
              <v:imagedata o:title=""/>
              <o:lock v:ext="edit" aspectratio="f"/>
              <v:textbox inset="0mm,0mm,0mm,0mm" style="mso-fit-shape-to-text:t;">
                <w:txbxContent>
                  <w:p>
                    <w:pPr>
                      <w:pStyle w:val="51"/>
                    </w:pPr>
                    <w:r>
                      <w:fldChar w:fldCharType="begin"/>
                    </w:r>
                    <w:r>
                      <w:instrText xml:space="preserve"> PAGE  \* MERGEFORMAT </w:instrText>
                    </w:r>
                    <w:r>
                      <w:fldChar w:fldCharType="separate"/>
                    </w:r>
                    <w:r>
                      <w:rPr>
                        <w:lang/>
                      </w:rP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1"/>
                          </w:pPr>
                          <w:r>
                            <w:fldChar w:fldCharType="begin"/>
                          </w:r>
                          <w:r>
                            <w:instrText xml:space="preserve"> PAGE  \* MERGEFORMAT </w:instrText>
                          </w:r>
                          <w:r>
                            <w:fldChar w:fldCharType="separate"/>
                          </w:r>
                          <w:r>
                            <w:rPr>
                              <w:lang/>
                            </w:rPr>
                            <w:t>46</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KRnHc8wBAACdAwAADgAAAGRycy9lMm9Eb2MueG1srVNLbtswEN0XyB0I 7mPKXiSCYDloYaQIULQF0h6ApiiLAH/g0JZ8gfYGXXXTfc/lc3RISU6abrLohhrODN/MezNa3w1G k6MMoJyt6XJRUCKtcI2y+5p+/XJ/XVICkduGa2dlTU8S6N3m6s2695Vcuc7pRgaCIBaq3te0i9FX jIHopOGwcF5aDLYuGB7xGvasCbxHdKPZqihuWO9C44MTEgC92zFIJ8TwGkDXtkrIrRMHI20cUYPU PCIl6JQHusndtq0U8VPbgoxE1xSZxnxiEbR36WSbNa/2gftOiakF/poWXnAyXFkseoHa8sjJIah/ oIwSwYFr40I4w0YiWRFksSxeaPPYcS8zF5Qa/EV0+H+w4uPxcyCqqentLSWWG5z4+cf388/f51/f yLJYlUmi3kOFmY8ec+Pwzg24OLMf0JmYD20w6YucCMZR4NNFYDlEItKjclWWBYYExuYL4rOn5z5A fC+dIcmoacAJZmH58QPEMXVOSdWsu1da5ylq+5cDMZOHpd7HHpMVh90wEdq55oR8ehx+TS3uOiX6 waK2aU9mI8zGbjYOPqh9lxcp1QP/9hCxidxbqjDCToVxapndtGFpLZ7fc9bTX7X5A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pGcdzzAEAAJ0DAAAOAAAAAAAAAAEAIAAAAB4BAABkcnMvZTJv RG9jLnhtbFBLBQYAAAAABgAGAFkBAABcBQAAAAA= ">
              <v:fill on="f" focussize="0,0"/>
              <v:stroke on="f"/>
              <v:imagedata o:title=""/>
              <o:lock v:ext="edit" aspectratio="f"/>
              <v:textbox inset="0mm,0mm,0mm,0mm" style="mso-fit-shape-to-text:t;">
                <w:txbxContent>
                  <w:p>
                    <w:pPr>
                      <w:pStyle w:val="51"/>
                    </w:pPr>
                    <w:r>
                      <w:fldChar w:fldCharType="begin"/>
                    </w:r>
                    <w:r>
                      <w:instrText xml:space="preserve"> PAGE  \* MERGEFORMAT </w:instrText>
                    </w:r>
                    <w:r>
                      <w:fldChar w:fldCharType="separate"/>
                    </w:r>
                    <w:r>
                      <w:rPr>
                        <w:lang/>
                      </w:rP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B677B"/>
    <w:multiLevelType w:val="singleLevel"/>
    <w:tmpl w:val="ABFB677B"/>
    <w:lvl w:ilvl="0" w:tentative="0">
      <w:start w:val="1"/>
      <w:numFmt w:val="decimal"/>
      <w:lvlText w:val="%1."/>
      <w:lvlJc w:val="left"/>
      <w:pPr>
        <w:ind w:left="425" w:hanging="425"/>
      </w:pPr>
      <w:rPr>
        <w:rFonts w:hint="default"/>
      </w:rPr>
    </w:lvl>
  </w:abstractNum>
  <w:abstractNum w:abstractNumId="1">
    <w:nsid w:val="CBC0DC41"/>
    <w:multiLevelType w:val="singleLevel"/>
    <w:tmpl w:val="CBC0DC41"/>
    <w:lvl w:ilvl="0" w:tentative="0">
      <w:start w:val="1"/>
      <w:numFmt w:val="decimal"/>
      <w:lvlText w:val="%1."/>
      <w:lvlJc w:val="left"/>
      <w:pPr>
        <w:tabs>
          <w:tab w:val="left" w:pos="312"/>
        </w:tabs>
      </w:pPr>
    </w:lvl>
  </w:abstractNum>
  <w:abstractNum w:abstractNumId="2">
    <w:nsid w:val="D1BD420C"/>
    <w:multiLevelType w:val="singleLevel"/>
    <w:tmpl w:val="D1BD420C"/>
    <w:lvl w:ilvl="0" w:tentative="0">
      <w:start w:val="1"/>
      <w:numFmt w:val="decimal"/>
      <w:suff w:val="nothing"/>
      <w:lvlText w:val="（%1）"/>
      <w:lvlJc w:val="left"/>
    </w:lvl>
  </w:abstractNum>
  <w:abstractNum w:abstractNumId="3">
    <w:nsid w:val="E2B6E772"/>
    <w:multiLevelType w:val="singleLevel"/>
    <w:tmpl w:val="E2B6E772"/>
    <w:lvl w:ilvl="0" w:tentative="0">
      <w:start w:val="4"/>
      <w:numFmt w:val="decimal"/>
      <w:suff w:val="nothing"/>
      <w:lvlText w:val="（%1）"/>
      <w:lvlJc w:val="left"/>
    </w:lvl>
  </w:abstractNum>
  <w:abstractNum w:abstractNumId="4">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5">
    <w:nsid w:val="FD8902AC"/>
    <w:multiLevelType w:val="singleLevel"/>
    <w:tmpl w:val="FD8902AC"/>
    <w:lvl w:ilvl="0" w:tentative="0">
      <w:start w:val="1"/>
      <w:numFmt w:val="lowerLetter"/>
      <w:lvlText w:val="%1."/>
      <w:lvlJc w:val="left"/>
      <w:pPr>
        <w:ind w:left="425" w:hanging="425"/>
      </w:pPr>
      <w:rPr>
        <w:rFonts w:hint="default"/>
      </w:rPr>
    </w:lvl>
  </w:abstractNum>
  <w:abstractNum w:abstractNumId="6">
    <w:nsid w:val="FE58290E"/>
    <w:multiLevelType w:val="singleLevel"/>
    <w:tmpl w:val="FE58290E"/>
    <w:lvl w:ilvl="0" w:tentative="0">
      <w:start w:val="3"/>
      <w:numFmt w:val="decimal"/>
      <w:suff w:val="nothing"/>
      <w:lvlText w:val="（%1）"/>
      <w:lvlJc w:val="left"/>
    </w:lvl>
  </w:abstractNum>
  <w:abstractNum w:abstractNumId="7">
    <w:nsid w:val="22C175C2"/>
    <w:multiLevelType w:val="singleLevel"/>
    <w:tmpl w:val="22C175C2"/>
    <w:lvl w:ilvl="0" w:tentative="0">
      <w:start w:val="1"/>
      <w:numFmt w:val="decimal"/>
      <w:suff w:val="nothing"/>
      <w:lvlText w:val="%1．"/>
      <w:lvlJc w:val="left"/>
    </w:lvl>
  </w:abstractNum>
  <w:abstractNum w:abstractNumId="8">
    <w:nsid w:val="2D80B4E1"/>
    <w:multiLevelType w:val="singleLevel"/>
    <w:tmpl w:val="2D80B4E1"/>
    <w:lvl w:ilvl="0" w:tentative="0">
      <w:start w:val="1"/>
      <w:numFmt w:val="decimal"/>
      <w:lvlText w:val="%1."/>
      <w:lvlJc w:val="left"/>
      <w:pPr>
        <w:ind w:left="425" w:hanging="425"/>
      </w:pPr>
      <w:rPr>
        <w:rFonts w:hint="default"/>
      </w:rPr>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abstractNum w:abstractNumId="11">
    <w:nsid w:val="5AC9CB58"/>
    <w:multiLevelType w:val="singleLevel"/>
    <w:tmpl w:val="5AC9CB58"/>
    <w:lvl w:ilvl="0" w:tentative="0">
      <w:start w:val="1"/>
      <w:numFmt w:val="decimal"/>
      <w:suff w:val="nothing"/>
      <w:lvlText w:val="%1、"/>
      <w:lvlJc w:val="left"/>
    </w:lvl>
  </w:abstractNum>
  <w:abstractNum w:abstractNumId="12">
    <w:nsid w:val="658F58DD"/>
    <w:multiLevelType w:val="multilevel"/>
    <w:tmpl w:val="658F58DD"/>
    <w:lvl w:ilvl="0" w:tentative="0">
      <w:start w:val="1"/>
      <w:numFmt w:val="japaneseCounting"/>
      <w:lvlText w:val="第%1条"/>
      <w:lvlJc w:val="left"/>
      <w:pPr>
        <w:tabs>
          <w:tab w:val="left" w:pos="1680"/>
        </w:tabs>
        <w:ind w:left="1680" w:hanging="960"/>
      </w:pPr>
      <w:rPr>
        <w:rFonts w:hint="default" w:ascii="黑体" w:eastAsia="黑体"/>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3"/>
  </w:num>
  <w:num w:numId="2">
    <w:abstractNumId w:val="6"/>
  </w:num>
  <w:num w:numId="3">
    <w:abstractNumId w:val="0"/>
  </w:num>
  <w:num w:numId="4">
    <w:abstractNumId w:val="8"/>
  </w:num>
  <w:num w:numId="5">
    <w:abstractNumId w:val="2"/>
  </w:num>
  <w:num w:numId="6">
    <w:abstractNumId w:val="7"/>
  </w:num>
  <w:num w:numId="7">
    <w:abstractNumId w:val="11"/>
  </w:num>
  <w:num w:numId="8">
    <w:abstractNumId w:val="12"/>
  </w:num>
  <w:num w:numId="9">
    <w:abstractNumId w:val="5"/>
  </w:num>
  <w:num w:numId="10">
    <w:abstractNumId w:val="4"/>
  </w:num>
  <w:num w:numId="11">
    <w:abstractNumId w:val="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ZGMyOGJkZDcyNWU3ZmQxN2UxZDdlMmY5NTU2NDMifQ=="/>
  </w:docVars>
  <w:rsids>
    <w:rsidRoot w:val="0065469A"/>
    <w:rsid w:val="000003A6"/>
    <w:rsid w:val="00003C80"/>
    <w:rsid w:val="00011CE6"/>
    <w:rsid w:val="00012D53"/>
    <w:rsid w:val="00015363"/>
    <w:rsid w:val="0001667D"/>
    <w:rsid w:val="00022860"/>
    <w:rsid w:val="000236D6"/>
    <w:rsid w:val="00024153"/>
    <w:rsid w:val="000258AE"/>
    <w:rsid w:val="00041262"/>
    <w:rsid w:val="00041F76"/>
    <w:rsid w:val="000451C1"/>
    <w:rsid w:val="00047DC5"/>
    <w:rsid w:val="00057057"/>
    <w:rsid w:val="000571AC"/>
    <w:rsid w:val="0006224D"/>
    <w:rsid w:val="000700CD"/>
    <w:rsid w:val="0007028C"/>
    <w:rsid w:val="0007588F"/>
    <w:rsid w:val="000811F2"/>
    <w:rsid w:val="00082F7B"/>
    <w:rsid w:val="00082FC6"/>
    <w:rsid w:val="0008785F"/>
    <w:rsid w:val="00091075"/>
    <w:rsid w:val="000934FF"/>
    <w:rsid w:val="00094AA3"/>
    <w:rsid w:val="000978FD"/>
    <w:rsid w:val="00097FF4"/>
    <w:rsid w:val="000A1304"/>
    <w:rsid w:val="000A1923"/>
    <w:rsid w:val="000A1DE9"/>
    <w:rsid w:val="000A3A91"/>
    <w:rsid w:val="000A7563"/>
    <w:rsid w:val="000B04D8"/>
    <w:rsid w:val="000B0C1E"/>
    <w:rsid w:val="000B1DDC"/>
    <w:rsid w:val="000B3744"/>
    <w:rsid w:val="000B405E"/>
    <w:rsid w:val="000C1526"/>
    <w:rsid w:val="000C3E6F"/>
    <w:rsid w:val="000C5101"/>
    <w:rsid w:val="000C53C1"/>
    <w:rsid w:val="000C645C"/>
    <w:rsid w:val="000C7999"/>
    <w:rsid w:val="000D07E7"/>
    <w:rsid w:val="000D1550"/>
    <w:rsid w:val="000D27C3"/>
    <w:rsid w:val="000D2867"/>
    <w:rsid w:val="000D2D5E"/>
    <w:rsid w:val="000D328C"/>
    <w:rsid w:val="000D4F6A"/>
    <w:rsid w:val="000D7AF8"/>
    <w:rsid w:val="000E11AD"/>
    <w:rsid w:val="000E1376"/>
    <w:rsid w:val="000E42DB"/>
    <w:rsid w:val="000E52D2"/>
    <w:rsid w:val="000E5632"/>
    <w:rsid w:val="000E5E3A"/>
    <w:rsid w:val="000F3D71"/>
    <w:rsid w:val="000F3FDD"/>
    <w:rsid w:val="000F5BA1"/>
    <w:rsid w:val="000F65C3"/>
    <w:rsid w:val="000F6890"/>
    <w:rsid w:val="001059D6"/>
    <w:rsid w:val="00107A47"/>
    <w:rsid w:val="00116BD3"/>
    <w:rsid w:val="00117177"/>
    <w:rsid w:val="00117DF7"/>
    <w:rsid w:val="0012085D"/>
    <w:rsid w:val="00120931"/>
    <w:rsid w:val="0012107B"/>
    <w:rsid w:val="001216B7"/>
    <w:rsid w:val="00124371"/>
    <w:rsid w:val="001267DB"/>
    <w:rsid w:val="001367AD"/>
    <w:rsid w:val="00140B1D"/>
    <w:rsid w:val="00141C30"/>
    <w:rsid w:val="00152981"/>
    <w:rsid w:val="00155A3B"/>
    <w:rsid w:val="00156402"/>
    <w:rsid w:val="00166476"/>
    <w:rsid w:val="0018397B"/>
    <w:rsid w:val="00185FF3"/>
    <w:rsid w:val="001869AB"/>
    <w:rsid w:val="00191BEB"/>
    <w:rsid w:val="0019211C"/>
    <w:rsid w:val="00192E9E"/>
    <w:rsid w:val="001945C1"/>
    <w:rsid w:val="001977E2"/>
    <w:rsid w:val="001A078B"/>
    <w:rsid w:val="001A178C"/>
    <w:rsid w:val="001A25CE"/>
    <w:rsid w:val="001A4620"/>
    <w:rsid w:val="001A518E"/>
    <w:rsid w:val="001A5973"/>
    <w:rsid w:val="001A5C40"/>
    <w:rsid w:val="001A6EDA"/>
    <w:rsid w:val="001B1BAD"/>
    <w:rsid w:val="001B2EF5"/>
    <w:rsid w:val="001B4962"/>
    <w:rsid w:val="001B5ECC"/>
    <w:rsid w:val="001C6D51"/>
    <w:rsid w:val="001D183F"/>
    <w:rsid w:val="001D1BB9"/>
    <w:rsid w:val="001D47A9"/>
    <w:rsid w:val="001D5815"/>
    <w:rsid w:val="001D63F3"/>
    <w:rsid w:val="001D6D3D"/>
    <w:rsid w:val="001D79DA"/>
    <w:rsid w:val="001E03F4"/>
    <w:rsid w:val="001E07B3"/>
    <w:rsid w:val="001E5A7C"/>
    <w:rsid w:val="001E5FEE"/>
    <w:rsid w:val="001E6298"/>
    <w:rsid w:val="001E7D7A"/>
    <w:rsid w:val="001F0BC8"/>
    <w:rsid w:val="001F1C1B"/>
    <w:rsid w:val="001F4D1F"/>
    <w:rsid w:val="001F75DC"/>
    <w:rsid w:val="00200C3F"/>
    <w:rsid w:val="0020100E"/>
    <w:rsid w:val="002016CB"/>
    <w:rsid w:val="00202736"/>
    <w:rsid w:val="00202760"/>
    <w:rsid w:val="00204D5D"/>
    <w:rsid w:val="00206865"/>
    <w:rsid w:val="00211C35"/>
    <w:rsid w:val="00213D0A"/>
    <w:rsid w:val="00217388"/>
    <w:rsid w:val="0021792F"/>
    <w:rsid w:val="0022602A"/>
    <w:rsid w:val="00227C49"/>
    <w:rsid w:val="00231D74"/>
    <w:rsid w:val="002328A1"/>
    <w:rsid w:val="00232A78"/>
    <w:rsid w:val="00233569"/>
    <w:rsid w:val="00234291"/>
    <w:rsid w:val="00234E0C"/>
    <w:rsid w:val="002374F6"/>
    <w:rsid w:val="00245BF5"/>
    <w:rsid w:val="002500C3"/>
    <w:rsid w:val="00252C6C"/>
    <w:rsid w:val="002545E3"/>
    <w:rsid w:val="002550C6"/>
    <w:rsid w:val="0025631A"/>
    <w:rsid w:val="00256523"/>
    <w:rsid w:val="00260797"/>
    <w:rsid w:val="00264572"/>
    <w:rsid w:val="002719BA"/>
    <w:rsid w:val="00272EE4"/>
    <w:rsid w:val="00274912"/>
    <w:rsid w:val="0027531A"/>
    <w:rsid w:val="00277272"/>
    <w:rsid w:val="00280583"/>
    <w:rsid w:val="00282DA5"/>
    <w:rsid w:val="00285910"/>
    <w:rsid w:val="00285D68"/>
    <w:rsid w:val="002954D3"/>
    <w:rsid w:val="002971D3"/>
    <w:rsid w:val="002A0C0A"/>
    <w:rsid w:val="002A337E"/>
    <w:rsid w:val="002A725B"/>
    <w:rsid w:val="002B33AC"/>
    <w:rsid w:val="002B506F"/>
    <w:rsid w:val="002B5753"/>
    <w:rsid w:val="002C0B2F"/>
    <w:rsid w:val="002C3C7C"/>
    <w:rsid w:val="002D0208"/>
    <w:rsid w:val="002D5407"/>
    <w:rsid w:val="002D6352"/>
    <w:rsid w:val="002E019B"/>
    <w:rsid w:val="002E3BB3"/>
    <w:rsid w:val="002E5D0F"/>
    <w:rsid w:val="002E62BB"/>
    <w:rsid w:val="002F560C"/>
    <w:rsid w:val="002F6D59"/>
    <w:rsid w:val="003079A5"/>
    <w:rsid w:val="00313C1F"/>
    <w:rsid w:val="00317787"/>
    <w:rsid w:val="00324EA3"/>
    <w:rsid w:val="00326F1D"/>
    <w:rsid w:val="00330CFF"/>
    <w:rsid w:val="0033238A"/>
    <w:rsid w:val="003349FD"/>
    <w:rsid w:val="00337133"/>
    <w:rsid w:val="00342201"/>
    <w:rsid w:val="003430A6"/>
    <w:rsid w:val="00353618"/>
    <w:rsid w:val="003544D9"/>
    <w:rsid w:val="00354DBE"/>
    <w:rsid w:val="003553C4"/>
    <w:rsid w:val="00355673"/>
    <w:rsid w:val="00362D50"/>
    <w:rsid w:val="0036335A"/>
    <w:rsid w:val="0036645E"/>
    <w:rsid w:val="00371A58"/>
    <w:rsid w:val="00381131"/>
    <w:rsid w:val="00385A91"/>
    <w:rsid w:val="003872F4"/>
    <w:rsid w:val="00390FC6"/>
    <w:rsid w:val="003910AA"/>
    <w:rsid w:val="003A0AEB"/>
    <w:rsid w:val="003A2D88"/>
    <w:rsid w:val="003A5026"/>
    <w:rsid w:val="003A5971"/>
    <w:rsid w:val="003B6C69"/>
    <w:rsid w:val="003B7092"/>
    <w:rsid w:val="003B71FA"/>
    <w:rsid w:val="003B783B"/>
    <w:rsid w:val="003B7A93"/>
    <w:rsid w:val="003C4A58"/>
    <w:rsid w:val="003C5654"/>
    <w:rsid w:val="003C7CE2"/>
    <w:rsid w:val="003D6F50"/>
    <w:rsid w:val="003E316E"/>
    <w:rsid w:val="003F16EC"/>
    <w:rsid w:val="003F7769"/>
    <w:rsid w:val="00401C4B"/>
    <w:rsid w:val="00410E8F"/>
    <w:rsid w:val="00414236"/>
    <w:rsid w:val="004170D0"/>
    <w:rsid w:val="00421CF3"/>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60123"/>
    <w:rsid w:val="00466D44"/>
    <w:rsid w:val="00466DE7"/>
    <w:rsid w:val="00473873"/>
    <w:rsid w:val="00474379"/>
    <w:rsid w:val="0047451D"/>
    <w:rsid w:val="00475FA1"/>
    <w:rsid w:val="00477B5C"/>
    <w:rsid w:val="00484519"/>
    <w:rsid w:val="00485119"/>
    <w:rsid w:val="004879D1"/>
    <w:rsid w:val="004913ED"/>
    <w:rsid w:val="004A195A"/>
    <w:rsid w:val="004A600D"/>
    <w:rsid w:val="004A627F"/>
    <w:rsid w:val="004A7058"/>
    <w:rsid w:val="004B168E"/>
    <w:rsid w:val="004B218E"/>
    <w:rsid w:val="004B5A97"/>
    <w:rsid w:val="004D609C"/>
    <w:rsid w:val="004D7C13"/>
    <w:rsid w:val="004E0B2D"/>
    <w:rsid w:val="004E0CA1"/>
    <w:rsid w:val="004E34C4"/>
    <w:rsid w:val="004F029E"/>
    <w:rsid w:val="004F76F8"/>
    <w:rsid w:val="00501940"/>
    <w:rsid w:val="00502C16"/>
    <w:rsid w:val="00503AFF"/>
    <w:rsid w:val="00505153"/>
    <w:rsid w:val="00506724"/>
    <w:rsid w:val="00507985"/>
    <w:rsid w:val="005108B6"/>
    <w:rsid w:val="00511088"/>
    <w:rsid w:val="0051364A"/>
    <w:rsid w:val="0051379A"/>
    <w:rsid w:val="00513AFB"/>
    <w:rsid w:val="00515D6D"/>
    <w:rsid w:val="0052081A"/>
    <w:rsid w:val="00520E4A"/>
    <w:rsid w:val="0052179B"/>
    <w:rsid w:val="00521EED"/>
    <w:rsid w:val="00524C35"/>
    <w:rsid w:val="005269D3"/>
    <w:rsid w:val="00530101"/>
    <w:rsid w:val="00540F97"/>
    <w:rsid w:val="00541806"/>
    <w:rsid w:val="00547595"/>
    <w:rsid w:val="005516A8"/>
    <w:rsid w:val="00561BA3"/>
    <w:rsid w:val="005656E4"/>
    <w:rsid w:val="00572045"/>
    <w:rsid w:val="00577629"/>
    <w:rsid w:val="00577C21"/>
    <w:rsid w:val="0058035F"/>
    <w:rsid w:val="00581F8D"/>
    <w:rsid w:val="00584764"/>
    <w:rsid w:val="005A2F2B"/>
    <w:rsid w:val="005A45DD"/>
    <w:rsid w:val="005B3646"/>
    <w:rsid w:val="005B4416"/>
    <w:rsid w:val="005B5A16"/>
    <w:rsid w:val="005B6E3E"/>
    <w:rsid w:val="005C148F"/>
    <w:rsid w:val="005C335A"/>
    <w:rsid w:val="005C4AD3"/>
    <w:rsid w:val="005C5344"/>
    <w:rsid w:val="005C6C46"/>
    <w:rsid w:val="005C715A"/>
    <w:rsid w:val="005D0903"/>
    <w:rsid w:val="005D164E"/>
    <w:rsid w:val="005E4EC5"/>
    <w:rsid w:val="005E6558"/>
    <w:rsid w:val="005F6F20"/>
    <w:rsid w:val="005F738E"/>
    <w:rsid w:val="00600B60"/>
    <w:rsid w:val="00601F10"/>
    <w:rsid w:val="00602468"/>
    <w:rsid w:val="00607973"/>
    <w:rsid w:val="00611135"/>
    <w:rsid w:val="0061321F"/>
    <w:rsid w:val="00613421"/>
    <w:rsid w:val="00614F4E"/>
    <w:rsid w:val="00627C85"/>
    <w:rsid w:val="00630D42"/>
    <w:rsid w:val="006315D2"/>
    <w:rsid w:val="006319C6"/>
    <w:rsid w:val="00636D3D"/>
    <w:rsid w:val="00640934"/>
    <w:rsid w:val="00647324"/>
    <w:rsid w:val="00652933"/>
    <w:rsid w:val="006535DA"/>
    <w:rsid w:val="0065469A"/>
    <w:rsid w:val="0066016E"/>
    <w:rsid w:val="00663D0B"/>
    <w:rsid w:val="00666FFB"/>
    <w:rsid w:val="00670A96"/>
    <w:rsid w:val="00672B8B"/>
    <w:rsid w:val="00675098"/>
    <w:rsid w:val="00676B3A"/>
    <w:rsid w:val="00677F9C"/>
    <w:rsid w:val="00680646"/>
    <w:rsid w:val="00681124"/>
    <w:rsid w:val="00681985"/>
    <w:rsid w:val="0068423A"/>
    <w:rsid w:val="006849CC"/>
    <w:rsid w:val="00684BE6"/>
    <w:rsid w:val="00692A32"/>
    <w:rsid w:val="00697452"/>
    <w:rsid w:val="0069776B"/>
    <w:rsid w:val="006A12AF"/>
    <w:rsid w:val="006A135F"/>
    <w:rsid w:val="006A4A1C"/>
    <w:rsid w:val="006A65FC"/>
    <w:rsid w:val="006A7C4B"/>
    <w:rsid w:val="006B5084"/>
    <w:rsid w:val="006B5489"/>
    <w:rsid w:val="006B5F4B"/>
    <w:rsid w:val="006B67F8"/>
    <w:rsid w:val="006B6D83"/>
    <w:rsid w:val="006C01E7"/>
    <w:rsid w:val="006C1570"/>
    <w:rsid w:val="006C40BE"/>
    <w:rsid w:val="006D0292"/>
    <w:rsid w:val="006D6C3F"/>
    <w:rsid w:val="006E07AE"/>
    <w:rsid w:val="006E699D"/>
    <w:rsid w:val="006E6AC8"/>
    <w:rsid w:val="006E6B8D"/>
    <w:rsid w:val="006F3368"/>
    <w:rsid w:val="006F482B"/>
    <w:rsid w:val="006F7372"/>
    <w:rsid w:val="00705036"/>
    <w:rsid w:val="007252A1"/>
    <w:rsid w:val="00726F6C"/>
    <w:rsid w:val="0073041A"/>
    <w:rsid w:val="00736ACE"/>
    <w:rsid w:val="00743012"/>
    <w:rsid w:val="00745207"/>
    <w:rsid w:val="00745FA4"/>
    <w:rsid w:val="00746894"/>
    <w:rsid w:val="00750C61"/>
    <w:rsid w:val="0075205C"/>
    <w:rsid w:val="0075333A"/>
    <w:rsid w:val="0075463B"/>
    <w:rsid w:val="007606AD"/>
    <w:rsid w:val="00762A2D"/>
    <w:rsid w:val="0076351A"/>
    <w:rsid w:val="00763DF2"/>
    <w:rsid w:val="00771985"/>
    <w:rsid w:val="00773321"/>
    <w:rsid w:val="00774D23"/>
    <w:rsid w:val="00774F17"/>
    <w:rsid w:val="007769FB"/>
    <w:rsid w:val="007777D4"/>
    <w:rsid w:val="007816D4"/>
    <w:rsid w:val="007843B6"/>
    <w:rsid w:val="007911B5"/>
    <w:rsid w:val="00792689"/>
    <w:rsid w:val="007949C5"/>
    <w:rsid w:val="007A0118"/>
    <w:rsid w:val="007A289A"/>
    <w:rsid w:val="007B611D"/>
    <w:rsid w:val="007B6515"/>
    <w:rsid w:val="007C432C"/>
    <w:rsid w:val="007C636E"/>
    <w:rsid w:val="007D0A09"/>
    <w:rsid w:val="007D18B9"/>
    <w:rsid w:val="007D6B69"/>
    <w:rsid w:val="007D6C5E"/>
    <w:rsid w:val="007D7380"/>
    <w:rsid w:val="007E019A"/>
    <w:rsid w:val="007E081C"/>
    <w:rsid w:val="007E11FE"/>
    <w:rsid w:val="007E22D3"/>
    <w:rsid w:val="007E4B55"/>
    <w:rsid w:val="007E5902"/>
    <w:rsid w:val="007F1B9A"/>
    <w:rsid w:val="0081101E"/>
    <w:rsid w:val="00813590"/>
    <w:rsid w:val="008137CF"/>
    <w:rsid w:val="00813D43"/>
    <w:rsid w:val="00813E99"/>
    <w:rsid w:val="008147FD"/>
    <w:rsid w:val="0081566C"/>
    <w:rsid w:val="0081572A"/>
    <w:rsid w:val="00822334"/>
    <w:rsid w:val="00823D2A"/>
    <w:rsid w:val="00825DF3"/>
    <w:rsid w:val="008276E6"/>
    <w:rsid w:val="008319A0"/>
    <w:rsid w:val="00833006"/>
    <w:rsid w:val="00835349"/>
    <w:rsid w:val="00840350"/>
    <w:rsid w:val="0084058A"/>
    <w:rsid w:val="00842BA6"/>
    <w:rsid w:val="00845B44"/>
    <w:rsid w:val="008475EF"/>
    <w:rsid w:val="0085151B"/>
    <w:rsid w:val="008526E1"/>
    <w:rsid w:val="008531F6"/>
    <w:rsid w:val="00855D6E"/>
    <w:rsid w:val="00861971"/>
    <w:rsid w:val="00861DD2"/>
    <w:rsid w:val="00862FEC"/>
    <w:rsid w:val="00866D7C"/>
    <w:rsid w:val="008702D6"/>
    <w:rsid w:val="00872F10"/>
    <w:rsid w:val="008763F6"/>
    <w:rsid w:val="00876CAD"/>
    <w:rsid w:val="008774ED"/>
    <w:rsid w:val="00881906"/>
    <w:rsid w:val="00881AC1"/>
    <w:rsid w:val="00886AD7"/>
    <w:rsid w:val="00891405"/>
    <w:rsid w:val="00891672"/>
    <w:rsid w:val="00894FF8"/>
    <w:rsid w:val="008A016B"/>
    <w:rsid w:val="008A0A4E"/>
    <w:rsid w:val="008A7330"/>
    <w:rsid w:val="008A733E"/>
    <w:rsid w:val="008B0A24"/>
    <w:rsid w:val="008B3517"/>
    <w:rsid w:val="008C638B"/>
    <w:rsid w:val="008C68F6"/>
    <w:rsid w:val="008D1891"/>
    <w:rsid w:val="008D213F"/>
    <w:rsid w:val="008D49C9"/>
    <w:rsid w:val="008E0B32"/>
    <w:rsid w:val="008E279E"/>
    <w:rsid w:val="008E2FFC"/>
    <w:rsid w:val="008E7670"/>
    <w:rsid w:val="008F31F4"/>
    <w:rsid w:val="008F3CEB"/>
    <w:rsid w:val="008F6AAE"/>
    <w:rsid w:val="00902362"/>
    <w:rsid w:val="009103D0"/>
    <w:rsid w:val="00910EE2"/>
    <w:rsid w:val="00911A08"/>
    <w:rsid w:val="00915911"/>
    <w:rsid w:val="00915F40"/>
    <w:rsid w:val="009212CD"/>
    <w:rsid w:val="00927FE7"/>
    <w:rsid w:val="009300BF"/>
    <w:rsid w:val="0093247A"/>
    <w:rsid w:val="009335F2"/>
    <w:rsid w:val="009378FB"/>
    <w:rsid w:val="00941032"/>
    <w:rsid w:val="00942AA5"/>
    <w:rsid w:val="00943834"/>
    <w:rsid w:val="00943D3C"/>
    <w:rsid w:val="00945B8F"/>
    <w:rsid w:val="009510F1"/>
    <w:rsid w:val="00953C0B"/>
    <w:rsid w:val="009544FD"/>
    <w:rsid w:val="00957543"/>
    <w:rsid w:val="00961F16"/>
    <w:rsid w:val="009625F7"/>
    <w:rsid w:val="00964394"/>
    <w:rsid w:val="00966D9C"/>
    <w:rsid w:val="009676B3"/>
    <w:rsid w:val="009700C5"/>
    <w:rsid w:val="00974580"/>
    <w:rsid w:val="0097568C"/>
    <w:rsid w:val="00976A77"/>
    <w:rsid w:val="00985892"/>
    <w:rsid w:val="00985ECE"/>
    <w:rsid w:val="00987B1B"/>
    <w:rsid w:val="0099259A"/>
    <w:rsid w:val="009959E7"/>
    <w:rsid w:val="00996EB8"/>
    <w:rsid w:val="009A19E3"/>
    <w:rsid w:val="009A2B1E"/>
    <w:rsid w:val="009A3EC5"/>
    <w:rsid w:val="009A78DB"/>
    <w:rsid w:val="009A7FDE"/>
    <w:rsid w:val="009B36ED"/>
    <w:rsid w:val="009B4EAA"/>
    <w:rsid w:val="009B5F2C"/>
    <w:rsid w:val="009B70D7"/>
    <w:rsid w:val="009C0CA6"/>
    <w:rsid w:val="009C10FA"/>
    <w:rsid w:val="009C509D"/>
    <w:rsid w:val="009C5DB6"/>
    <w:rsid w:val="009D2E94"/>
    <w:rsid w:val="009D6DFA"/>
    <w:rsid w:val="009E108D"/>
    <w:rsid w:val="009E6425"/>
    <w:rsid w:val="009E7042"/>
    <w:rsid w:val="009E7D0E"/>
    <w:rsid w:val="009F120A"/>
    <w:rsid w:val="009F3048"/>
    <w:rsid w:val="009F3D4E"/>
    <w:rsid w:val="009F46A3"/>
    <w:rsid w:val="009F6937"/>
    <w:rsid w:val="009F7816"/>
    <w:rsid w:val="00A00634"/>
    <w:rsid w:val="00A0082C"/>
    <w:rsid w:val="00A04805"/>
    <w:rsid w:val="00A0548A"/>
    <w:rsid w:val="00A06097"/>
    <w:rsid w:val="00A23BB3"/>
    <w:rsid w:val="00A24CDA"/>
    <w:rsid w:val="00A274A9"/>
    <w:rsid w:val="00A30907"/>
    <w:rsid w:val="00A3156F"/>
    <w:rsid w:val="00A37D70"/>
    <w:rsid w:val="00A407A0"/>
    <w:rsid w:val="00A41FB5"/>
    <w:rsid w:val="00A42CC8"/>
    <w:rsid w:val="00A4403B"/>
    <w:rsid w:val="00A46829"/>
    <w:rsid w:val="00A46E36"/>
    <w:rsid w:val="00A47F17"/>
    <w:rsid w:val="00A53A16"/>
    <w:rsid w:val="00A53FED"/>
    <w:rsid w:val="00A54E04"/>
    <w:rsid w:val="00A6168A"/>
    <w:rsid w:val="00A62E2E"/>
    <w:rsid w:val="00A67690"/>
    <w:rsid w:val="00A67A46"/>
    <w:rsid w:val="00A765C2"/>
    <w:rsid w:val="00A76C9A"/>
    <w:rsid w:val="00A81132"/>
    <w:rsid w:val="00A84185"/>
    <w:rsid w:val="00A90C87"/>
    <w:rsid w:val="00A947D9"/>
    <w:rsid w:val="00A95C5D"/>
    <w:rsid w:val="00AA0D0F"/>
    <w:rsid w:val="00AA1C6C"/>
    <w:rsid w:val="00AA304C"/>
    <w:rsid w:val="00AB048A"/>
    <w:rsid w:val="00AB4191"/>
    <w:rsid w:val="00AB7024"/>
    <w:rsid w:val="00AB75CA"/>
    <w:rsid w:val="00AB77BC"/>
    <w:rsid w:val="00AC7EA0"/>
    <w:rsid w:val="00AD14F2"/>
    <w:rsid w:val="00AD29D7"/>
    <w:rsid w:val="00AD4207"/>
    <w:rsid w:val="00AD730E"/>
    <w:rsid w:val="00AD7575"/>
    <w:rsid w:val="00AE075D"/>
    <w:rsid w:val="00AE3EA6"/>
    <w:rsid w:val="00AE4FE9"/>
    <w:rsid w:val="00AF40D4"/>
    <w:rsid w:val="00B0062E"/>
    <w:rsid w:val="00B07FB4"/>
    <w:rsid w:val="00B11212"/>
    <w:rsid w:val="00B25688"/>
    <w:rsid w:val="00B316F0"/>
    <w:rsid w:val="00B3392B"/>
    <w:rsid w:val="00B33B08"/>
    <w:rsid w:val="00B349BE"/>
    <w:rsid w:val="00B4107F"/>
    <w:rsid w:val="00B44B02"/>
    <w:rsid w:val="00B47237"/>
    <w:rsid w:val="00B51120"/>
    <w:rsid w:val="00B54CD7"/>
    <w:rsid w:val="00B550C9"/>
    <w:rsid w:val="00B55588"/>
    <w:rsid w:val="00B579A0"/>
    <w:rsid w:val="00B60867"/>
    <w:rsid w:val="00B66C0B"/>
    <w:rsid w:val="00B67771"/>
    <w:rsid w:val="00B70E82"/>
    <w:rsid w:val="00B71304"/>
    <w:rsid w:val="00B77FF7"/>
    <w:rsid w:val="00B83F87"/>
    <w:rsid w:val="00B85626"/>
    <w:rsid w:val="00B85EEF"/>
    <w:rsid w:val="00B91EC3"/>
    <w:rsid w:val="00BA294D"/>
    <w:rsid w:val="00BA2F36"/>
    <w:rsid w:val="00BA74BB"/>
    <w:rsid w:val="00BB2FA0"/>
    <w:rsid w:val="00BB5F26"/>
    <w:rsid w:val="00BB76D5"/>
    <w:rsid w:val="00BC12D7"/>
    <w:rsid w:val="00BC22AA"/>
    <w:rsid w:val="00BC3040"/>
    <w:rsid w:val="00BC31B6"/>
    <w:rsid w:val="00BC4753"/>
    <w:rsid w:val="00BD03A0"/>
    <w:rsid w:val="00BD3281"/>
    <w:rsid w:val="00BD4E73"/>
    <w:rsid w:val="00BD596F"/>
    <w:rsid w:val="00BD68F1"/>
    <w:rsid w:val="00BD73EB"/>
    <w:rsid w:val="00BD781F"/>
    <w:rsid w:val="00BE39A2"/>
    <w:rsid w:val="00BF21B9"/>
    <w:rsid w:val="00BF51B8"/>
    <w:rsid w:val="00C020E1"/>
    <w:rsid w:val="00C050E8"/>
    <w:rsid w:val="00C05FE4"/>
    <w:rsid w:val="00C102F6"/>
    <w:rsid w:val="00C124AA"/>
    <w:rsid w:val="00C13452"/>
    <w:rsid w:val="00C15626"/>
    <w:rsid w:val="00C16D71"/>
    <w:rsid w:val="00C21107"/>
    <w:rsid w:val="00C24D41"/>
    <w:rsid w:val="00C24E9A"/>
    <w:rsid w:val="00C30995"/>
    <w:rsid w:val="00C335E7"/>
    <w:rsid w:val="00C3371B"/>
    <w:rsid w:val="00C34E95"/>
    <w:rsid w:val="00C352B8"/>
    <w:rsid w:val="00C37644"/>
    <w:rsid w:val="00C43E70"/>
    <w:rsid w:val="00C46C9D"/>
    <w:rsid w:val="00C514CA"/>
    <w:rsid w:val="00C55A60"/>
    <w:rsid w:val="00C603A1"/>
    <w:rsid w:val="00C62E05"/>
    <w:rsid w:val="00C62EE7"/>
    <w:rsid w:val="00C6307F"/>
    <w:rsid w:val="00C70BD0"/>
    <w:rsid w:val="00C73E71"/>
    <w:rsid w:val="00C7513A"/>
    <w:rsid w:val="00C77CA4"/>
    <w:rsid w:val="00C83759"/>
    <w:rsid w:val="00C84CDC"/>
    <w:rsid w:val="00C854D7"/>
    <w:rsid w:val="00C86AD0"/>
    <w:rsid w:val="00C87800"/>
    <w:rsid w:val="00C903F1"/>
    <w:rsid w:val="00C951F1"/>
    <w:rsid w:val="00C97D64"/>
    <w:rsid w:val="00CA249D"/>
    <w:rsid w:val="00CA334E"/>
    <w:rsid w:val="00CA6C76"/>
    <w:rsid w:val="00CA7C91"/>
    <w:rsid w:val="00CB4073"/>
    <w:rsid w:val="00CC0F80"/>
    <w:rsid w:val="00CC3506"/>
    <w:rsid w:val="00CC4589"/>
    <w:rsid w:val="00CC6CFB"/>
    <w:rsid w:val="00CD0E8C"/>
    <w:rsid w:val="00CD4279"/>
    <w:rsid w:val="00CE20E1"/>
    <w:rsid w:val="00CE3A18"/>
    <w:rsid w:val="00CE42A2"/>
    <w:rsid w:val="00CE64FD"/>
    <w:rsid w:val="00CE73DF"/>
    <w:rsid w:val="00CE770C"/>
    <w:rsid w:val="00D008C9"/>
    <w:rsid w:val="00D03021"/>
    <w:rsid w:val="00D03060"/>
    <w:rsid w:val="00D074BD"/>
    <w:rsid w:val="00D103A2"/>
    <w:rsid w:val="00D16689"/>
    <w:rsid w:val="00D174CE"/>
    <w:rsid w:val="00D20EF5"/>
    <w:rsid w:val="00D26B2E"/>
    <w:rsid w:val="00D302C7"/>
    <w:rsid w:val="00D31B80"/>
    <w:rsid w:val="00D370CB"/>
    <w:rsid w:val="00D40B6E"/>
    <w:rsid w:val="00D52C2F"/>
    <w:rsid w:val="00D5325C"/>
    <w:rsid w:val="00D566BF"/>
    <w:rsid w:val="00D61117"/>
    <w:rsid w:val="00D63AB7"/>
    <w:rsid w:val="00D63FC5"/>
    <w:rsid w:val="00D716B5"/>
    <w:rsid w:val="00D71925"/>
    <w:rsid w:val="00D7229A"/>
    <w:rsid w:val="00D74825"/>
    <w:rsid w:val="00D84031"/>
    <w:rsid w:val="00D86703"/>
    <w:rsid w:val="00D94A50"/>
    <w:rsid w:val="00DA1320"/>
    <w:rsid w:val="00DA2C11"/>
    <w:rsid w:val="00DA5044"/>
    <w:rsid w:val="00DA598A"/>
    <w:rsid w:val="00DB0EFF"/>
    <w:rsid w:val="00DB3B81"/>
    <w:rsid w:val="00DB52D6"/>
    <w:rsid w:val="00DB60FB"/>
    <w:rsid w:val="00DB77E3"/>
    <w:rsid w:val="00DC310B"/>
    <w:rsid w:val="00DC3C98"/>
    <w:rsid w:val="00DC5032"/>
    <w:rsid w:val="00DD0DE7"/>
    <w:rsid w:val="00DE0733"/>
    <w:rsid w:val="00DE5E52"/>
    <w:rsid w:val="00DE69A1"/>
    <w:rsid w:val="00DE7F3E"/>
    <w:rsid w:val="00DF048A"/>
    <w:rsid w:val="00DF256D"/>
    <w:rsid w:val="00DF61CC"/>
    <w:rsid w:val="00E0460B"/>
    <w:rsid w:val="00E06875"/>
    <w:rsid w:val="00E10944"/>
    <w:rsid w:val="00E10CB6"/>
    <w:rsid w:val="00E15C40"/>
    <w:rsid w:val="00E24D63"/>
    <w:rsid w:val="00E266E1"/>
    <w:rsid w:val="00E3001C"/>
    <w:rsid w:val="00E463FC"/>
    <w:rsid w:val="00E53473"/>
    <w:rsid w:val="00E57B5C"/>
    <w:rsid w:val="00E65180"/>
    <w:rsid w:val="00E66FAE"/>
    <w:rsid w:val="00E72182"/>
    <w:rsid w:val="00E73A5F"/>
    <w:rsid w:val="00E740A6"/>
    <w:rsid w:val="00E74628"/>
    <w:rsid w:val="00E751D7"/>
    <w:rsid w:val="00E76968"/>
    <w:rsid w:val="00E847A0"/>
    <w:rsid w:val="00E93143"/>
    <w:rsid w:val="00E93E9B"/>
    <w:rsid w:val="00E951C5"/>
    <w:rsid w:val="00E96629"/>
    <w:rsid w:val="00E968C4"/>
    <w:rsid w:val="00EA02D0"/>
    <w:rsid w:val="00EA04C4"/>
    <w:rsid w:val="00EA57C1"/>
    <w:rsid w:val="00EB0A8F"/>
    <w:rsid w:val="00EB7937"/>
    <w:rsid w:val="00EC033F"/>
    <w:rsid w:val="00EC05F1"/>
    <w:rsid w:val="00EC2A01"/>
    <w:rsid w:val="00EC30DB"/>
    <w:rsid w:val="00ED07D6"/>
    <w:rsid w:val="00ED2DF7"/>
    <w:rsid w:val="00ED39C0"/>
    <w:rsid w:val="00ED4649"/>
    <w:rsid w:val="00ED5151"/>
    <w:rsid w:val="00EE2634"/>
    <w:rsid w:val="00EE7D0E"/>
    <w:rsid w:val="00EF2D23"/>
    <w:rsid w:val="00EF49E3"/>
    <w:rsid w:val="00EF6D72"/>
    <w:rsid w:val="00EF7890"/>
    <w:rsid w:val="00F07697"/>
    <w:rsid w:val="00F127A9"/>
    <w:rsid w:val="00F16BD2"/>
    <w:rsid w:val="00F21786"/>
    <w:rsid w:val="00F226B1"/>
    <w:rsid w:val="00F2471E"/>
    <w:rsid w:val="00F352DA"/>
    <w:rsid w:val="00F422C2"/>
    <w:rsid w:val="00F452A7"/>
    <w:rsid w:val="00F526E8"/>
    <w:rsid w:val="00F52EF7"/>
    <w:rsid w:val="00F54E04"/>
    <w:rsid w:val="00F56A32"/>
    <w:rsid w:val="00F6150A"/>
    <w:rsid w:val="00F62C17"/>
    <w:rsid w:val="00F635B6"/>
    <w:rsid w:val="00F675B2"/>
    <w:rsid w:val="00F7163C"/>
    <w:rsid w:val="00F73BC7"/>
    <w:rsid w:val="00F76944"/>
    <w:rsid w:val="00F77231"/>
    <w:rsid w:val="00F81233"/>
    <w:rsid w:val="00F82607"/>
    <w:rsid w:val="00F84637"/>
    <w:rsid w:val="00F84DA6"/>
    <w:rsid w:val="00F86CEB"/>
    <w:rsid w:val="00F9461D"/>
    <w:rsid w:val="00FA0D45"/>
    <w:rsid w:val="00FA1DD4"/>
    <w:rsid w:val="00FA717C"/>
    <w:rsid w:val="00FA7DEC"/>
    <w:rsid w:val="00FC5E21"/>
    <w:rsid w:val="00FD2088"/>
    <w:rsid w:val="00FD3071"/>
    <w:rsid w:val="00FD3AE2"/>
    <w:rsid w:val="00FE3582"/>
    <w:rsid w:val="00FE6E5D"/>
    <w:rsid w:val="00FF38E8"/>
    <w:rsid w:val="00FF792C"/>
    <w:rsid w:val="01334FB6"/>
    <w:rsid w:val="014F4CF1"/>
    <w:rsid w:val="01626E41"/>
    <w:rsid w:val="019611CC"/>
    <w:rsid w:val="01E57458"/>
    <w:rsid w:val="024B577C"/>
    <w:rsid w:val="025021B0"/>
    <w:rsid w:val="02701D4F"/>
    <w:rsid w:val="027D4BD3"/>
    <w:rsid w:val="027F54D2"/>
    <w:rsid w:val="02E551B1"/>
    <w:rsid w:val="036B1671"/>
    <w:rsid w:val="038650C3"/>
    <w:rsid w:val="03B065CF"/>
    <w:rsid w:val="042C703E"/>
    <w:rsid w:val="046A64C1"/>
    <w:rsid w:val="04D44D2B"/>
    <w:rsid w:val="05102AB7"/>
    <w:rsid w:val="059A6A00"/>
    <w:rsid w:val="066E1BC1"/>
    <w:rsid w:val="06B04863"/>
    <w:rsid w:val="06C66263"/>
    <w:rsid w:val="06E81CB3"/>
    <w:rsid w:val="0709430D"/>
    <w:rsid w:val="07174E15"/>
    <w:rsid w:val="074327A4"/>
    <w:rsid w:val="07480532"/>
    <w:rsid w:val="076647E0"/>
    <w:rsid w:val="07924143"/>
    <w:rsid w:val="07AA45D1"/>
    <w:rsid w:val="081B0A49"/>
    <w:rsid w:val="08DB6AEA"/>
    <w:rsid w:val="08F12EFD"/>
    <w:rsid w:val="0936334E"/>
    <w:rsid w:val="09483F2F"/>
    <w:rsid w:val="097A7B9C"/>
    <w:rsid w:val="098212A7"/>
    <w:rsid w:val="098F0DC8"/>
    <w:rsid w:val="09DB0564"/>
    <w:rsid w:val="09E33CBB"/>
    <w:rsid w:val="0A3F5346"/>
    <w:rsid w:val="0A582796"/>
    <w:rsid w:val="0A8F3EBD"/>
    <w:rsid w:val="0AB71BC3"/>
    <w:rsid w:val="0B005796"/>
    <w:rsid w:val="0B1E411A"/>
    <w:rsid w:val="0B571229"/>
    <w:rsid w:val="0B64718D"/>
    <w:rsid w:val="0B7427DE"/>
    <w:rsid w:val="0C8A134F"/>
    <w:rsid w:val="0C99082D"/>
    <w:rsid w:val="0D827064"/>
    <w:rsid w:val="0DA56EB4"/>
    <w:rsid w:val="0DBB6155"/>
    <w:rsid w:val="0DF54279"/>
    <w:rsid w:val="0DFD662E"/>
    <w:rsid w:val="0E2D1C4A"/>
    <w:rsid w:val="0EBF6208"/>
    <w:rsid w:val="0EC54764"/>
    <w:rsid w:val="0F0536B9"/>
    <w:rsid w:val="0F533C6F"/>
    <w:rsid w:val="0F747958"/>
    <w:rsid w:val="0FF33F05"/>
    <w:rsid w:val="0FF859FC"/>
    <w:rsid w:val="10005238"/>
    <w:rsid w:val="10205710"/>
    <w:rsid w:val="108F4FB1"/>
    <w:rsid w:val="10A219FE"/>
    <w:rsid w:val="10E213DC"/>
    <w:rsid w:val="10F74567"/>
    <w:rsid w:val="11897EDE"/>
    <w:rsid w:val="11CB5E3D"/>
    <w:rsid w:val="12470F94"/>
    <w:rsid w:val="124A2716"/>
    <w:rsid w:val="124D62BC"/>
    <w:rsid w:val="129414E0"/>
    <w:rsid w:val="129A5E14"/>
    <w:rsid w:val="12A34B2A"/>
    <w:rsid w:val="12D42571"/>
    <w:rsid w:val="13290BB4"/>
    <w:rsid w:val="13FA2BF5"/>
    <w:rsid w:val="14006B5D"/>
    <w:rsid w:val="149070D4"/>
    <w:rsid w:val="14D07BFC"/>
    <w:rsid w:val="14D16BB3"/>
    <w:rsid w:val="15AD564A"/>
    <w:rsid w:val="15D307BD"/>
    <w:rsid w:val="164C3BAB"/>
    <w:rsid w:val="1665032C"/>
    <w:rsid w:val="167E6870"/>
    <w:rsid w:val="169D2FFB"/>
    <w:rsid w:val="16B80022"/>
    <w:rsid w:val="16E37952"/>
    <w:rsid w:val="171D66D9"/>
    <w:rsid w:val="177F55E5"/>
    <w:rsid w:val="178D2752"/>
    <w:rsid w:val="178F4BF9"/>
    <w:rsid w:val="17B13632"/>
    <w:rsid w:val="17D3661F"/>
    <w:rsid w:val="17D36975"/>
    <w:rsid w:val="1803292B"/>
    <w:rsid w:val="181A4065"/>
    <w:rsid w:val="18433C79"/>
    <w:rsid w:val="188B0A95"/>
    <w:rsid w:val="189A44B4"/>
    <w:rsid w:val="18C20594"/>
    <w:rsid w:val="192F0878"/>
    <w:rsid w:val="196A224C"/>
    <w:rsid w:val="199D5859"/>
    <w:rsid w:val="199F72D4"/>
    <w:rsid w:val="19C203BC"/>
    <w:rsid w:val="19E25516"/>
    <w:rsid w:val="1A3062CC"/>
    <w:rsid w:val="1A610A02"/>
    <w:rsid w:val="1A6151E2"/>
    <w:rsid w:val="1A942330"/>
    <w:rsid w:val="1ACC119E"/>
    <w:rsid w:val="1AFE4788"/>
    <w:rsid w:val="1B064E2C"/>
    <w:rsid w:val="1B332719"/>
    <w:rsid w:val="1B9D2FF6"/>
    <w:rsid w:val="1BB2268A"/>
    <w:rsid w:val="1C494E2D"/>
    <w:rsid w:val="1C6F45A1"/>
    <w:rsid w:val="1CC25291"/>
    <w:rsid w:val="1D210C02"/>
    <w:rsid w:val="1D651D8E"/>
    <w:rsid w:val="1DC53AC0"/>
    <w:rsid w:val="1DC53D86"/>
    <w:rsid w:val="1E211C5F"/>
    <w:rsid w:val="1EB176E0"/>
    <w:rsid w:val="1F0B523E"/>
    <w:rsid w:val="1F17023D"/>
    <w:rsid w:val="1F170B91"/>
    <w:rsid w:val="1F412CB0"/>
    <w:rsid w:val="1F43427D"/>
    <w:rsid w:val="1F4A7ECF"/>
    <w:rsid w:val="1FD326EC"/>
    <w:rsid w:val="201A57EC"/>
    <w:rsid w:val="202178A0"/>
    <w:rsid w:val="20323A70"/>
    <w:rsid w:val="20595DE6"/>
    <w:rsid w:val="20EB17F6"/>
    <w:rsid w:val="2160387B"/>
    <w:rsid w:val="21814068"/>
    <w:rsid w:val="21A5011E"/>
    <w:rsid w:val="21C66EB3"/>
    <w:rsid w:val="220A2A9C"/>
    <w:rsid w:val="22471176"/>
    <w:rsid w:val="22597EF7"/>
    <w:rsid w:val="22791B01"/>
    <w:rsid w:val="22B932C2"/>
    <w:rsid w:val="22D37274"/>
    <w:rsid w:val="22F20284"/>
    <w:rsid w:val="230E7C34"/>
    <w:rsid w:val="23146F5C"/>
    <w:rsid w:val="233D697C"/>
    <w:rsid w:val="23445D0F"/>
    <w:rsid w:val="23723E79"/>
    <w:rsid w:val="24105C15"/>
    <w:rsid w:val="242D4E41"/>
    <w:rsid w:val="243E62FB"/>
    <w:rsid w:val="246F22A9"/>
    <w:rsid w:val="247F3DCD"/>
    <w:rsid w:val="262E7CAB"/>
    <w:rsid w:val="26390C2D"/>
    <w:rsid w:val="268D59AD"/>
    <w:rsid w:val="26D8257F"/>
    <w:rsid w:val="276D259D"/>
    <w:rsid w:val="27CF6884"/>
    <w:rsid w:val="27E96E49"/>
    <w:rsid w:val="283273C5"/>
    <w:rsid w:val="28BA5491"/>
    <w:rsid w:val="28E22C2D"/>
    <w:rsid w:val="292702AA"/>
    <w:rsid w:val="29387FBC"/>
    <w:rsid w:val="295D70D9"/>
    <w:rsid w:val="29B261EE"/>
    <w:rsid w:val="29E55AD6"/>
    <w:rsid w:val="29F4148B"/>
    <w:rsid w:val="2AB37291"/>
    <w:rsid w:val="2AB62B05"/>
    <w:rsid w:val="2AD3351F"/>
    <w:rsid w:val="2B543FE8"/>
    <w:rsid w:val="2B7670A3"/>
    <w:rsid w:val="2BAB2946"/>
    <w:rsid w:val="2BAC615C"/>
    <w:rsid w:val="2C4B52C5"/>
    <w:rsid w:val="2C917FFA"/>
    <w:rsid w:val="2C9F40EC"/>
    <w:rsid w:val="2D0B028D"/>
    <w:rsid w:val="2D400DD0"/>
    <w:rsid w:val="2DA11E8F"/>
    <w:rsid w:val="2DDE64D3"/>
    <w:rsid w:val="2DF1231F"/>
    <w:rsid w:val="2DF3280D"/>
    <w:rsid w:val="2E041B65"/>
    <w:rsid w:val="2E065595"/>
    <w:rsid w:val="2E11316D"/>
    <w:rsid w:val="2E3503AF"/>
    <w:rsid w:val="2EFE3960"/>
    <w:rsid w:val="2F2C584A"/>
    <w:rsid w:val="2F5F051D"/>
    <w:rsid w:val="301C4B03"/>
    <w:rsid w:val="305C2F7D"/>
    <w:rsid w:val="30640398"/>
    <w:rsid w:val="308B5E1C"/>
    <w:rsid w:val="30D31646"/>
    <w:rsid w:val="314D37F5"/>
    <w:rsid w:val="32067705"/>
    <w:rsid w:val="323F58AE"/>
    <w:rsid w:val="32A92715"/>
    <w:rsid w:val="33A91C3C"/>
    <w:rsid w:val="33B658A8"/>
    <w:rsid w:val="33DA4CA7"/>
    <w:rsid w:val="3417273F"/>
    <w:rsid w:val="346D1A3E"/>
    <w:rsid w:val="349B24EF"/>
    <w:rsid w:val="34AC53F9"/>
    <w:rsid w:val="34C207E6"/>
    <w:rsid w:val="3566198E"/>
    <w:rsid w:val="368C06DC"/>
    <w:rsid w:val="368D569B"/>
    <w:rsid w:val="36B43069"/>
    <w:rsid w:val="36C64AEF"/>
    <w:rsid w:val="36F0462C"/>
    <w:rsid w:val="3722036D"/>
    <w:rsid w:val="376004E6"/>
    <w:rsid w:val="37777590"/>
    <w:rsid w:val="38016A9C"/>
    <w:rsid w:val="386F1ED9"/>
    <w:rsid w:val="38D70119"/>
    <w:rsid w:val="38D92525"/>
    <w:rsid w:val="391600CF"/>
    <w:rsid w:val="39797C10"/>
    <w:rsid w:val="39B134BA"/>
    <w:rsid w:val="39B23B55"/>
    <w:rsid w:val="3A454AAB"/>
    <w:rsid w:val="3A6A405B"/>
    <w:rsid w:val="3A9C399E"/>
    <w:rsid w:val="3AEC6902"/>
    <w:rsid w:val="3B21771E"/>
    <w:rsid w:val="3B310402"/>
    <w:rsid w:val="3B32226E"/>
    <w:rsid w:val="3B416603"/>
    <w:rsid w:val="3B5C1708"/>
    <w:rsid w:val="3B6C0D61"/>
    <w:rsid w:val="3B763A7F"/>
    <w:rsid w:val="3C0826F4"/>
    <w:rsid w:val="3C3A7BDE"/>
    <w:rsid w:val="3C6A0F3E"/>
    <w:rsid w:val="3D0910C3"/>
    <w:rsid w:val="3D280270"/>
    <w:rsid w:val="3D645268"/>
    <w:rsid w:val="3DA61A48"/>
    <w:rsid w:val="3DDE6BC4"/>
    <w:rsid w:val="3DF7705C"/>
    <w:rsid w:val="3E4B7A1D"/>
    <w:rsid w:val="3EC5323B"/>
    <w:rsid w:val="3EEF3931"/>
    <w:rsid w:val="3F771F82"/>
    <w:rsid w:val="3FC06C64"/>
    <w:rsid w:val="40081B56"/>
    <w:rsid w:val="400A4834"/>
    <w:rsid w:val="40A1518E"/>
    <w:rsid w:val="40C21A43"/>
    <w:rsid w:val="40F41AF4"/>
    <w:rsid w:val="41372A17"/>
    <w:rsid w:val="418040B9"/>
    <w:rsid w:val="41B6305A"/>
    <w:rsid w:val="42145BD1"/>
    <w:rsid w:val="42421985"/>
    <w:rsid w:val="42925CEB"/>
    <w:rsid w:val="429D4825"/>
    <w:rsid w:val="42C00723"/>
    <w:rsid w:val="437275AD"/>
    <w:rsid w:val="43B02F88"/>
    <w:rsid w:val="43FA058C"/>
    <w:rsid w:val="441324B3"/>
    <w:rsid w:val="44706CB8"/>
    <w:rsid w:val="447A63F1"/>
    <w:rsid w:val="44CE3C0B"/>
    <w:rsid w:val="44D01489"/>
    <w:rsid w:val="4542069B"/>
    <w:rsid w:val="4568402F"/>
    <w:rsid w:val="45782F5F"/>
    <w:rsid w:val="4580427C"/>
    <w:rsid w:val="458D79E9"/>
    <w:rsid w:val="4598360B"/>
    <w:rsid w:val="45A81636"/>
    <w:rsid w:val="45B63EBF"/>
    <w:rsid w:val="45F501AC"/>
    <w:rsid w:val="4616667A"/>
    <w:rsid w:val="46BB00AD"/>
    <w:rsid w:val="46E91893"/>
    <w:rsid w:val="470E2BF1"/>
    <w:rsid w:val="472D7CF0"/>
    <w:rsid w:val="47556AEA"/>
    <w:rsid w:val="48441E5C"/>
    <w:rsid w:val="48A779AB"/>
    <w:rsid w:val="48B93B9B"/>
    <w:rsid w:val="490C0EAD"/>
    <w:rsid w:val="4919240C"/>
    <w:rsid w:val="493807D9"/>
    <w:rsid w:val="49A757C1"/>
    <w:rsid w:val="49F8118A"/>
    <w:rsid w:val="4A2607DD"/>
    <w:rsid w:val="4A37573B"/>
    <w:rsid w:val="4A5D4911"/>
    <w:rsid w:val="4ACD594D"/>
    <w:rsid w:val="4BC17AB6"/>
    <w:rsid w:val="4BC34DF5"/>
    <w:rsid w:val="4BD9235C"/>
    <w:rsid w:val="4C081969"/>
    <w:rsid w:val="4C5603C6"/>
    <w:rsid w:val="4CFD5677"/>
    <w:rsid w:val="4DDA28BA"/>
    <w:rsid w:val="4E377211"/>
    <w:rsid w:val="4E3844BD"/>
    <w:rsid w:val="4E8934AF"/>
    <w:rsid w:val="4EB83F04"/>
    <w:rsid w:val="4F8F3A41"/>
    <w:rsid w:val="4FC32DBB"/>
    <w:rsid w:val="50310CCE"/>
    <w:rsid w:val="50736CC9"/>
    <w:rsid w:val="50EB5F33"/>
    <w:rsid w:val="514379B7"/>
    <w:rsid w:val="51494E7A"/>
    <w:rsid w:val="518A3785"/>
    <w:rsid w:val="51986D55"/>
    <w:rsid w:val="520768B1"/>
    <w:rsid w:val="5299079A"/>
    <w:rsid w:val="52DB5CCA"/>
    <w:rsid w:val="52DF2079"/>
    <w:rsid w:val="52E8017F"/>
    <w:rsid w:val="538878F6"/>
    <w:rsid w:val="53D446F2"/>
    <w:rsid w:val="53D651EE"/>
    <w:rsid w:val="5446623B"/>
    <w:rsid w:val="54D173E9"/>
    <w:rsid w:val="54E83D10"/>
    <w:rsid w:val="55447784"/>
    <w:rsid w:val="55AF5D23"/>
    <w:rsid w:val="55C65606"/>
    <w:rsid w:val="56151579"/>
    <w:rsid w:val="561612F7"/>
    <w:rsid w:val="569B776C"/>
    <w:rsid w:val="56FA6BBD"/>
    <w:rsid w:val="570C114E"/>
    <w:rsid w:val="57636E58"/>
    <w:rsid w:val="57646851"/>
    <w:rsid w:val="577371ED"/>
    <w:rsid w:val="57C042C9"/>
    <w:rsid w:val="57F45321"/>
    <w:rsid w:val="581030F7"/>
    <w:rsid w:val="586F4FB1"/>
    <w:rsid w:val="58D31AE6"/>
    <w:rsid w:val="58D9595A"/>
    <w:rsid w:val="58E93781"/>
    <w:rsid w:val="598B63C8"/>
    <w:rsid w:val="59993FB7"/>
    <w:rsid w:val="59C821CB"/>
    <w:rsid w:val="59D77175"/>
    <w:rsid w:val="5A034DE3"/>
    <w:rsid w:val="5A244436"/>
    <w:rsid w:val="5A6C6043"/>
    <w:rsid w:val="5A83065D"/>
    <w:rsid w:val="5A8D1F72"/>
    <w:rsid w:val="5AAF1CD4"/>
    <w:rsid w:val="5B0F67EC"/>
    <w:rsid w:val="5B254C44"/>
    <w:rsid w:val="5B9C2F9E"/>
    <w:rsid w:val="5BA05FCF"/>
    <w:rsid w:val="5C0A2FC3"/>
    <w:rsid w:val="5D026AB5"/>
    <w:rsid w:val="5D207771"/>
    <w:rsid w:val="5D440FA8"/>
    <w:rsid w:val="5D5B51F7"/>
    <w:rsid w:val="5E2704E9"/>
    <w:rsid w:val="5E2B7C9F"/>
    <w:rsid w:val="5FB47823"/>
    <w:rsid w:val="609C19C2"/>
    <w:rsid w:val="60A41BAB"/>
    <w:rsid w:val="60AA76D6"/>
    <w:rsid w:val="60DD1575"/>
    <w:rsid w:val="60DD333C"/>
    <w:rsid w:val="61291B23"/>
    <w:rsid w:val="612E13D6"/>
    <w:rsid w:val="616F187C"/>
    <w:rsid w:val="61736900"/>
    <w:rsid w:val="61FB02A1"/>
    <w:rsid w:val="620C1FE5"/>
    <w:rsid w:val="62910A00"/>
    <w:rsid w:val="62B74308"/>
    <w:rsid w:val="62DE2DEB"/>
    <w:rsid w:val="63024F4B"/>
    <w:rsid w:val="646C75AA"/>
    <w:rsid w:val="64905406"/>
    <w:rsid w:val="64F54301"/>
    <w:rsid w:val="654426E0"/>
    <w:rsid w:val="65DA72BA"/>
    <w:rsid w:val="65E96281"/>
    <w:rsid w:val="660B1BF1"/>
    <w:rsid w:val="6650196B"/>
    <w:rsid w:val="66EE573D"/>
    <w:rsid w:val="67045E89"/>
    <w:rsid w:val="67232C21"/>
    <w:rsid w:val="673D4559"/>
    <w:rsid w:val="674F2404"/>
    <w:rsid w:val="67C96E71"/>
    <w:rsid w:val="683B1DD1"/>
    <w:rsid w:val="68956DE4"/>
    <w:rsid w:val="68AD5289"/>
    <w:rsid w:val="68B31F75"/>
    <w:rsid w:val="68CF576B"/>
    <w:rsid w:val="69056559"/>
    <w:rsid w:val="69174FF4"/>
    <w:rsid w:val="69564750"/>
    <w:rsid w:val="696279DD"/>
    <w:rsid w:val="696D4C7B"/>
    <w:rsid w:val="6998274D"/>
    <w:rsid w:val="69B11670"/>
    <w:rsid w:val="69E4513F"/>
    <w:rsid w:val="6A0C2394"/>
    <w:rsid w:val="6A282F05"/>
    <w:rsid w:val="6A9040D6"/>
    <w:rsid w:val="6B347DAA"/>
    <w:rsid w:val="6B733D98"/>
    <w:rsid w:val="6B796189"/>
    <w:rsid w:val="6BB63811"/>
    <w:rsid w:val="6BE22CEF"/>
    <w:rsid w:val="6C197F0F"/>
    <w:rsid w:val="6C2E4645"/>
    <w:rsid w:val="6D067661"/>
    <w:rsid w:val="6DD853F1"/>
    <w:rsid w:val="6DDF5F56"/>
    <w:rsid w:val="6E8D7F0D"/>
    <w:rsid w:val="6E955D30"/>
    <w:rsid w:val="6ECA20EF"/>
    <w:rsid w:val="6EDB736C"/>
    <w:rsid w:val="6EE60B30"/>
    <w:rsid w:val="6F033087"/>
    <w:rsid w:val="6F430DD8"/>
    <w:rsid w:val="70290C42"/>
    <w:rsid w:val="70D92BBC"/>
    <w:rsid w:val="70E9754F"/>
    <w:rsid w:val="711D657E"/>
    <w:rsid w:val="71355C6E"/>
    <w:rsid w:val="71391D05"/>
    <w:rsid w:val="715B0686"/>
    <w:rsid w:val="716A6647"/>
    <w:rsid w:val="726355CD"/>
    <w:rsid w:val="72D22CA0"/>
    <w:rsid w:val="737B4E77"/>
    <w:rsid w:val="738A5E3D"/>
    <w:rsid w:val="73A1050E"/>
    <w:rsid w:val="73B976BC"/>
    <w:rsid w:val="73D4453E"/>
    <w:rsid w:val="73F43D49"/>
    <w:rsid w:val="744236CC"/>
    <w:rsid w:val="74522394"/>
    <w:rsid w:val="74931296"/>
    <w:rsid w:val="74EE6D18"/>
    <w:rsid w:val="750D0EDD"/>
    <w:rsid w:val="75297606"/>
    <w:rsid w:val="75382BF6"/>
    <w:rsid w:val="758F6E36"/>
    <w:rsid w:val="75B756BF"/>
    <w:rsid w:val="76095450"/>
    <w:rsid w:val="767911EF"/>
    <w:rsid w:val="76915D93"/>
    <w:rsid w:val="76FE3826"/>
    <w:rsid w:val="774D4713"/>
    <w:rsid w:val="776C3589"/>
    <w:rsid w:val="77902F97"/>
    <w:rsid w:val="77C3206A"/>
    <w:rsid w:val="783111B7"/>
    <w:rsid w:val="785E32E8"/>
    <w:rsid w:val="78622EF5"/>
    <w:rsid w:val="78F53717"/>
    <w:rsid w:val="790A1333"/>
    <w:rsid w:val="7939625A"/>
    <w:rsid w:val="794B0E38"/>
    <w:rsid w:val="79634E0A"/>
    <w:rsid w:val="79914096"/>
    <w:rsid w:val="799F46BE"/>
    <w:rsid w:val="79C63EBA"/>
    <w:rsid w:val="79C9115F"/>
    <w:rsid w:val="7A26111A"/>
    <w:rsid w:val="7A411120"/>
    <w:rsid w:val="7A5F71A8"/>
    <w:rsid w:val="7ACC7359"/>
    <w:rsid w:val="7ACD57BB"/>
    <w:rsid w:val="7ACF72D4"/>
    <w:rsid w:val="7B275B17"/>
    <w:rsid w:val="7B5B404E"/>
    <w:rsid w:val="7BAB7E53"/>
    <w:rsid w:val="7BB028B5"/>
    <w:rsid w:val="7BDE0AE9"/>
    <w:rsid w:val="7BFF2458"/>
    <w:rsid w:val="7C2C288D"/>
    <w:rsid w:val="7C3518F1"/>
    <w:rsid w:val="7C3E46E5"/>
    <w:rsid w:val="7C456CF7"/>
    <w:rsid w:val="7C655F7C"/>
    <w:rsid w:val="7CA2236D"/>
    <w:rsid w:val="7CC0228C"/>
    <w:rsid w:val="7D29590B"/>
    <w:rsid w:val="7D6572F5"/>
    <w:rsid w:val="7D7963E5"/>
    <w:rsid w:val="7D7E776D"/>
    <w:rsid w:val="7DC3133B"/>
    <w:rsid w:val="7E1A15E1"/>
    <w:rsid w:val="7EB55A72"/>
    <w:rsid w:val="7F166E48"/>
    <w:rsid w:val="7F231B4A"/>
    <w:rsid w:val="7F380DA1"/>
    <w:rsid w:val="7F860D9E"/>
    <w:rsid w:val="7F9D0C10"/>
    <w:rsid w:val="7F9E55F2"/>
    <w:rsid w:val="7FB07C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iPriority="0" w:name="List Continue 3"/>
    <w:lsdException w:uiPriority="0" w:name="List Continue 4"/>
    <w:lsdException w:unhideWhenUsed="0" w:uiPriority="0" w:semiHidden="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1"/>
    <w:basedOn w:val="1"/>
    <w:next w:val="1"/>
    <w:link w:val="97"/>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link w:val="98"/>
    <w:qFormat/>
    <w:uiPriority w:val="0"/>
    <w:pPr>
      <w:keepNext/>
      <w:keepLines/>
      <w:snapToGrid w:val="0"/>
      <w:spacing w:line="300" w:lineRule="auto"/>
      <w:ind w:firstLine="200" w:firstLineChars="200"/>
      <w:outlineLvl w:val="1"/>
    </w:pPr>
    <w:rPr>
      <w:rFonts w:ascii="Arial" w:hAnsi="Arial"/>
      <w:b/>
      <w:bCs/>
      <w:szCs w:val="32"/>
    </w:rPr>
  </w:style>
  <w:style w:type="paragraph" w:styleId="4">
    <w:name w:val="heading 3"/>
    <w:basedOn w:val="1"/>
    <w:next w:val="1"/>
    <w:link w:val="99"/>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5">
    <w:name w:val="heading 4"/>
    <w:basedOn w:val="1"/>
    <w:next w:val="1"/>
    <w:link w:val="100"/>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6">
    <w:name w:val="heading 5"/>
    <w:basedOn w:val="1"/>
    <w:next w:val="1"/>
    <w:link w:val="101"/>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7">
    <w:name w:val="heading 6"/>
    <w:basedOn w:val="1"/>
    <w:next w:val="1"/>
    <w:link w:val="102"/>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8">
    <w:name w:val="heading 7"/>
    <w:basedOn w:val="1"/>
    <w:next w:val="1"/>
    <w:link w:val="103"/>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9">
    <w:name w:val="heading 8"/>
    <w:basedOn w:val="1"/>
    <w:next w:val="1"/>
    <w:link w:val="104"/>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0">
    <w:name w:val="heading 9"/>
    <w:basedOn w:val="1"/>
    <w:next w:val="1"/>
    <w:link w:val="105"/>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unhideWhenUsed/>
    <w:uiPriority w:val="1"/>
  </w:style>
  <w:style w:type="table" w:default="1" w:styleId="80">
    <w:name w:val="Normal Table"/>
    <w:unhideWhenUsed/>
    <w:qFormat/>
    <w:uiPriority w:val="99"/>
    <w:tblPr>
      <w:tblStyle w:val="80"/>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toc 7"/>
    <w:basedOn w:val="1"/>
    <w:next w:val="1"/>
    <w:qFormat/>
    <w:uiPriority w:val="0"/>
    <w:pPr>
      <w:ind w:left="1260"/>
      <w:jc w:val="left"/>
    </w:pPr>
    <w:rPr>
      <w:sz w:val="18"/>
      <w:szCs w:val="18"/>
    </w:rPr>
  </w:style>
  <w:style w:type="paragraph" w:styleId="13">
    <w:name w:val="List Number 2"/>
    <w:basedOn w:val="1"/>
    <w:next w:val="14"/>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4">
    <w:name w:val="List Continue 2"/>
    <w:basedOn w:val="1"/>
    <w:uiPriority w:val="0"/>
    <w:pPr>
      <w:spacing w:after="120" w:line="360" w:lineRule="auto"/>
      <w:ind w:left="840" w:leftChars="400" w:firstLine="420"/>
    </w:pPr>
    <w:rPr>
      <w:rFonts w:ascii="宋体" w:hAnsi="宋体"/>
    </w:rPr>
  </w:style>
  <w:style w:type="paragraph" w:styleId="15">
    <w:name w:val="table of authorities"/>
    <w:basedOn w:val="16"/>
    <w:uiPriority w:val="0"/>
    <w:pPr>
      <w:jc w:val="center"/>
    </w:pPr>
    <w:rPr>
      <w:b/>
      <w:bCs/>
      <w:sz w:val="40"/>
      <w:szCs w:val="32"/>
    </w:rPr>
  </w:style>
  <w:style w:type="paragraph" w:customStyle="1" w:styleId="16">
    <w:name w:val="Heading"/>
    <w:basedOn w:val="1"/>
    <w:next w:val="17"/>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7">
    <w:name w:val="Body Text"/>
    <w:basedOn w:val="1"/>
    <w:link w:val="106"/>
    <w:qFormat/>
    <w:uiPriority w:val="0"/>
    <w:pPr>
      <w:adjustRightInd w:val="0"/>
      <w:spacing w:line="315" w:lineRule="atLeast"/>
      <w:jc w:val="left"/>
      <w:textAlignment w:val="baseline"/>
    </w:pPr>
    <w:rPr>
      <w:rFonts w:ascii="仿宋_GB2312" w:eastAsia="仿宋_GB2312"/>
      <w:kern w:val="0"/>
      <w:sz w:val="28"/>
      <w:szCs w:val="20"/>
    </w:rPr>
  </w:style>
  <w:style w:type="paragraph" w:styleId="18">
    <w:name w:val="Note Heading"/>
    <w:basedOn w:val="1"/>
    <w:next w:val="1"/>
    <w:link w:val="107"/>
    <w:uiPriority w:val="0"/>
    <w:pPr>
      <w:tabs>
        <w:tab w:val="left" w:pos="840"/>
      </w:tabs>
      <w:spacing w:line="360" w:lineRule="auto"/>
      <w:jc w:val="center"/>
    </w:pPr>
    <w:rPr>
      <w:rFonts w:ascii="宋体" w:hAnsi="宋体"/>
    </w:rPr>
  </w:style>
  <w:style w:type="paragraph" w:styleId="19">
    <w:name w:val="index 8"/>
    <w:basedOn w:val="1"/>
    <w:next w:val="1"/>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0">
    <w:name w:val="List Number"/>
    <w:basedOn w:val="1"/>
    <w:uiPriority w:val="0"/>
    <w:pPr>
      <w:tabs>
        <w:tab w:val="left" w:pos="425"/>
      </w:tabs>
      <w:spacing w:line="300" w:lineRule="auto"/>
      <w:ind w:left="425" w:hanging="425"/>
    </w:pPr>
    <w:rPr>
      <w:rFonts w:ascii="宋体" w:hAnsi="宋体"/>
      <w:b/>
      <w:bCs/>
      <w:sz w:val="24"/>
    </w:rPr>
  </w:style>
  <w:style w:type="paragraph" w:styleId="21">
    <w:name w:val="Normal Indent"/>
    <w:basedOn w:val="1"/>
    <w:link w:val="108"/>
    <w:qFormat/>
    <w:uiPriority w:val="0"/>
    <w:pPr>
      <w:ind w:firstLine="420" w:firstLineChars="200"/>
    </w:pPr>
  </w:style>
  <w:style w:type="paragraph" w:styleId="22">
    <w:name w:val="caption"/>
    <w:basedOn w:val="1"/>
    <w:next w:val="1"/>
    <w:link w:val="109"/>
    <w:qFormat/>
    <w:uiPriority w:val="0"/>
    <w:pPr>
      <w:spacing w:before="152" w:after="160" w:line="360" w:lineRule="auto"/>
      <w:ind w:firstLine="420"/>
    </w:pPr>
    <w:rPr>
      <w:rFonts w:ascii="Arial" w:hAnsi="Arial" w:eastAsia="黑体"/>
      <w:kern w:val="0"/>
      <w:sz w:val="20"/>
      <w:szCs w:val="20"/>
    </w:rPr>
  </w:style>
  <w:style w:type="paragraph" w:styleId="23">
    <w:name w:val="index 5"/>
    <w:basedOn w:val="1"/>
    <w:next w:val="1"/>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4">
    <w:name w:val="List Bullet"/>
    <w:basedOn w:val="1"/>
    <w:uiPriority w:val="0"/>
    <w:pPr>
      <w:tabs>
        <w:tab w:val="left" w:pos="400"/>
      </w:tabs>
      <w:spacing w:line="360" w:lineRule="auto"/>
      <w:ind w:left="420" w:leftChars="200" w:firstLine="420"/>
    </w:pPr>
    <w:rPr>
      <w:rFonts w:ascii="Arial" w:hAnsi="Arial"/>
      <w:szCs w:val="21"/>
    </w:rPr>
  </w:style>
  <w:style w:type="paragraph" w:styleId="25">
    <w:name w:val="envelope address"/>
    <w:basedOn w:val="1"/>
    <w:uiPriority w:val="0"/>
    <w:pPr>
      <w:autoSpaceDN w:val="0"/>
      <w:adjustRightInd w:val="0"/>
      <w:spacing w:after="60"/>
      <w:jc w:val="left"/>
    </w:pPr>
    <w:rPr>
      <w:rFonts w:ascii="Arial" w:hAnsi="Arial" w:eastAsia="PMingLiU"/>
      <w:kern w:val="0"/>
      <w:sz w:val="20"/>
      <w:szCs w:val="20"/>
      <w:lang w:val="en-GB" w:eastAsia="zh-TW"/>
    </w:rPr>
  </w:style>
  <w:style w:type="paragraph" w:styleId="26">
    <w:name w:val="Document Map"/>
    <w:basedOn w:val="1"/>
    <w:link w:val="110"/>
    <w:qFormat/>
    <w:uiPriority w:val="99"/>
    <w:pPr>
      <w:shd w:val="clear" w:color="auto" w:fill="000080"/>
    </w:pPr>
  </w:style>
  <w:style w:type="paragraph" w:styleId="27">
    <w:name w:val="annotation text"/>
    <w:basedOn w:val="1"/>
    <w:link w:val="111"/>
    <w:qFormat/>
    <w:uiPriority w:val="0"/>
    <w:pPr>
      <w:jc w:val="left"/>
    </w:pPr>
    <w:rPr>
      <w:szCs w:val="20"/>
    </w:rPr>
  </w:style>
  <w:style w:type="paragraph" w:styleId="28">
    <w:name w:val="index 6"/>
    <w:basedOn w:val="1"/>
    <w:next w:val="1"/>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29">
    <w:name w:val="Salutation"/>
    <w:basedOn w:val="1"/>
    <w:next w:val="1"/>
    <w:link w:val="112"/>
    <w:uiPriority w:val="0"/>
    <w:pPr>
      <w:spacing w:line="360" w:lineRule="auto"/>
      <w:ind w:firstLine="420"/>
    </w:pPr>
    <w:rPr>
      <w:kern w:val="0"/>
      <w:sz w:val="24"/>
    </w:rPr>
  </w:style>
  <w:style w:type="paragraph" w:styleId="30">
    <w:name w:val="Body Text 3"/>
    <w:basedOn w:val="1"/>
    <w:link w:val="113"/>
    <w:qFormat/>
    <w:uiPriority w:val="0"/>
    <w:pPr>
      <w:spacing w:line="440" w:lineRule="atLeast"/>
      <w:jc w:val="center"/>
    </w:pPr>
    <w:rPr>
      <w:rFonts w:ascii="楷体_GB2312" w:eastAsia="楷体_GB2312"/>
      <w:b/>
      <w:color w:val="000000"/>
      <w:sz w:val="30"/>
    </w:rPr>
  </w:style>
  <w:style w:type="paragraph" w:styleId="31">
    <w:name w:val="List Bullet 3"/>
    <w:basedOn w:val="1"/>
    <w:unhideWhenUsed/>
    <w:qFormat/>
    <w:uiPriority w:val="99"/>
    <w:pPr>
      <w:tabs>
        <w:tab w:val="left" w:pos="1200"/>
      </w:tabs>
      <w:ind w:left="900" w:hanging="420"/>
      <w:contextualSpacing/>
    </w:pPr>
    <w:rPr>
      <w:szCs w:val="22"/>
    </w:rPr>
  </w:style>
  <w:style w:type="paragraph" w:styleId="32">
    <w:name w:val="Body Text Indent"/>
    <w:basedOn w:val="1"/>
    <w:link w:val="114"/>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3">
    <w:name w:val="List Number 3"/>
    <w:basedOn w:val="1"/>
    <w:uiPriority w:val="0"/>
    <w:pPr>
      <w:tabs>
        <w:tab w:val="left" w:pos="1200"/>
      </w:tabs>
      <w:spacing w:line="360" w:lineRule="auto"/>
    </w:pPr>
    <w:rPr>
      <w:rFonts w:ascii="宋体" w:hAnsi="宋体"/>
      <w:sz w:val="24"/>
    </w:rPr>
  </w:style>
  <w:style w:type="paragraph" w:styleId="34">
    <w:name w:val="List 2"/>
    <w:basedOn w:val="1"/>
    <w:qFormat/>
    <w:uiPriority w:val="0"/>
    <w:pPr>
      <w:ind w:left="100" w:leftChars="200" w:hanging="200" w:hangingChars="200"/>
    </w:pPr>
  </w:style>
  <w:style w:type="paragraph" w:styleId="35">
    <w:name w:val="Block Text"/>
    <w:basedOn w:val="1"/>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6">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7">
    <w:name w:val="index 4"/>
    <w:basedOn w:val="1"/>
    <w:next w:val="1"/>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38">
    <w:name w:val="toc 5"/>
    <w:basedOn w:val="1"/>
    <w:next w:val="1"/>
    <w:qFormat/>
    <w:uiPriority w:val="0"/>
    <w:pPr>
      <w:ind w:left="840"/>
      <w:jc w:val="left"/>
    </w:pPr>
    <w:rPr>
      <w:sz w:val="18"/>
      <w:szCs w:val="18"/>
    </w:rPr>
  </w:style>
  <w:style w:type="paragraph" w:styleId="39">
    <w:name w:val="toc 3"/>
    <w:basedOn w:val="1"/>
    <w:next w:val="1"/>
    <w:qFormat/>
    <w:uiPriority w:val="0"/>
    <w:pPr>
      <w:ind w:left="420"/>
      <w:jc w:val="left"/>
    </w:pPr>
    <w:rPr>
      <w:i/>
      <w:iCs/>
      <w:sz w:val="20"/>
      <w:szCs w:val="20"/>
    </w:rPr>
  </w:style>
  <w:style w:type="paragraph" w:styleId="40">
    <w:name w:val="Plain Text"/>
    <w:basedOn w:val="1"/>
    <w:link w:val="115"/>
    <w:qFormat/>
    <w:uiPriority w:val="0"/>
    <w:rPr>
      <w:rFonts w:ascii="宋体" w:hAnsi="Courier New"/>
      <w:szCs w:val="20"/>
    </w:rPr>
  </w:style>
  <w:style w:type="paragraph" w:styleId="41">
    <w:name w:val="List Bullet 5"/>
    <w:basedOn w:val="1"/>
    <w:next w:val="42"/>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2">
    <w:name w:val="List Continue 5"/>
    <w:basedOn w:val="1"/>
    <w:uiPriority w:val="0"/>
    <w:pPr>
      <w:spacing w:after="120" w:line="360" w:lineRule="auto"/>
      <w:ind w:left="2100" w:leftChars="1000" w:firstLine="420"/>
    </w:pPr>
    <w:rPr>
      <w:rFonts w:ascii="宋体" w:hAnsi="宋体"/>
    </w:rPr>
  </w:style>
  <w:style w:type="paragraph" w:styleId="43">
    <w:name w:val="List Number 4"/>
    <w:basedOn w:val="1"/>
    <w:uiPriority w:val="0"/>
    <w:pPr>
      <w:tabs>
        <w:tab w:val="left" w:pos="1620"/>
      </w:tabs>
      <w:spacing w:line="360" w:lineRule="auto"/>
    </w:pPr>
    <w:rPr>
      <w:rFonts w:ascii="宋体" w:hAnsi="宋体"/>
      <w:sz w:val="24"/>
    </w:rPr>
  </w:style>
  <w:style w:type="paragraph" w:styleId="44">
    <w:name w:val="toc 8"/>
    <w:basedOn w:val="1"/>
    <w:next w:val="1"/>
    <w:qFormat/>
    <w:uiPriority w:val="0"/>
    <w:pPr>
      <w:ind w:left="1470"/>
      <w:jc w:val="left"/>
    </w:pPr>
    <w:rPr>
      <w:sz w:val="18"/>
      <w:szCs w:val="18"/>
    </w:rPr>
  </w:style>
  <w:style w:type="paragraph" w:styleId="45">
    <w:name w:val="index 3"/>
    <w:basedOn w:val="46"/>
    <w:uiPriority w:val="0"/>
    <w:pPr>
      <w:ind w:left="566"/>
    </w:pPr>
  </w:style>
  <w:style w:type="paragraph" w:customStyle="1" w:styleId="46">
    <w:name w:val="Index"/>
    <w:basedOn w:val="1"/>
    <w:uiPriority w:val="0"/>
    <w:pPr>
      <w:autoSpaceDN w:val="0"/>
      <w:adjustRightInd w:val="0"/>
      <w:jc w:val="left"/>
    </w:pPr>
    <w:rPr>
      <w:rFonts w:ascii="Arial" w:hAnsi="Arial" w:eastAsia="PMingLiU" w:cs="Tahoma"/>
      <w:kern w:val="0"/>
      <w:sz w:val="20"/>
      <w:szCs w:val="20"/>
      <w:lang w:val="en-GB" w:eastAsia="zh-TW"/>
    </w:rPr>
  </w:style>
  <w:style w:type="paragraph" w:styleId="47">
    <w:name w:val="Date"/>
    <w:basedOn w:val="1"/>
    <w:next w:val="1"/>
    <w:link w:val="116"/>
    <w:qFormat/>
    <w:uiPriority w:val="0"/>
    <w:pPr>
      <w:ind w:left="100" w:leftChars="2500"/>
    </w:pPr>
    <w:rPr>
      <w:color w:val="000000"/>
      <w:sz w:val="24"/>
    </w:rPr>
  </w:style>
  <w:style w:type="paragraph" w:styleId="48">
    <w:name w:val="Body Text Indent 2"/>
    <w:basedOn w:val="1"/>
    <w:link w:val="117"/>
    <w:qFormat/>
    <w:uiPriority w:val="99"/>
    <w:pPr>
      <w:widowControl/>
      <w:spacing w:line="480" w:lineRule="atLeast"/>
      <w:ind w:firstLine="480"/>
    </w:pPr>
    <w:rPr>
      <w:rFonts w:ascii="宋体"/>
      <w:kern w:val="0"/>
      <w:sz w:val="24"/>
      <w:szCs w:val="20"/>
    </w:rPr>
  </w:style>
  <w:style w:type="paragraph" w:styleId="49">
    <w:name w:val="endnote text"/>
    <w:basedOn w:val="1"/>
    <w:link w:val="118"/>
    <w:uiPriority w:val="0"/>
    <w:pPr>
      <w:autoSpaceDN w:val="0"/>
      <w:adjustRightInd w:val="0"/>
      <w:ind w:left="283" w:hanging="283"/>
      <w:jc w:val="left"/>
    </w:pPr>
    <w:rPr>
      <w:rFonts w:ascii="Arial" w:hAnsi="Arial" w:eastAsia="PMingLiU"/>
      <w:kern w:val="0"/>
      <w:sz w:val="20"/>
      <w:szCs w:val="20"/>
      <w:lang w:val="en-GB" w:eastAsia="zh-TW"/>
    </w:rPr>
  </w:style>
  <w:style w:type="paragraph" w:styleId="50">
    <w:name w:val="Balloon Text"/>
    <w:basedOn w:val="1"/>
    <w:link w:val="119"/>
    <w:qFormat/>
    <w:uiPriority w:val="99"/>
    <w:rPr>
      <w:sz w:val="18"/>
      <w:szCs w:val="18"/>
    </w:rPr>
  </w:style>
  <w:style w:type="paragraph" w:styleId="51">
    <w:name w:val="footer"/>
    <w:basedOn w:val="1"/>
    <w:link w:val="120"/>
    <w:qFormat/>
    <w:uiPriority w:val="99"/>
    <w:pPr>
      <w:pBdr>
        <w:top w:val="single" w:color="auto" w:sz="4" w:space="1"/>
      </w:pBdr>
      <w:tabs>
        <w:tab w:val="center" w:pos="4153"/>
        <w:tab w:val="right" w:pos="8306"/>
      </w:tabs>
      <w:snapToGrid w:val="0"/>
      <w:jc w:val="left"/>
    </w:pPr>
    <w:rPr>
      <w:sz w:val="18"/>
      <w:szCs w:val="18"/>
    </w:rPr>
  </w:style>
  <w:style w:type="paragraph" w:styleId="52">
    <w:name w:val="envelope return"/>
    <w:basedOn w:val="1"/>
    <w:uiPriority w:val="0"/>
    <w:pPr>
      <w:autoSpaceDN w:val="0"/>
      <w:adjustRightInd w:val="0"/>
      <w:spacing w:after="60"/>
      <w:jc w:val="left"/>
    </w:pPr>
    <w:rPr>
      <w:rFonts w:ascii="Arial" w:hAnsi="Arial" w:eastAsia="PMingLiU"/>
      <w:kern w:val="0"/>
      <w:sz w:val="20"/>
      <w:szCs w:val="20"/>
      <w:lang w:val="en-GB" w:eastAsia="zh-TW"/>
    </w:rPr>
  </w:style>
  <w:style w:type="paragraph" w:styleId="53">
    <w:name w:val="header"/>
    <w:basedOn w:val="1"/>
    <w:link w:val="121"/>
    <w:qFormat/>
    <w:uiPriority w:val="99"/>
    <w:pPr>
      <w:pBdr>
        <w:bottom w:val="single" w:color="auto" w:sz="6" w:space="1"/>
      </w:pBdr>
      <w:tabs>
        <w:tab w:val="center" w:pos="4153"/>
        <w:tab w:val="right" w:pos="8306"/>
      </w:tabs>
      <w:snapToGrid w:val="0"/>
      <w:jc w:val="center"/>
    </w:pPr>
    <w:rPr>
      <w:sz w:val="18"/>
      <w:szCs w:val="18"/>
    </w:rPr>
  </w:style>
  <w:style w:type="paragraph" w:styleId="54">
    <w:name w:val="Signature"/>
    <w:basedOn w:val="1"/>
    <w:link w:val="122"/>
    <w:uiPriority w:val="0"/>
    <w:pPr>
      <w:autoSpaceDN w:val="0"/>
      <w:adjustRightInd w:val="0"/>
      <w:jc w:val="left"/>
    </w:pPr>
    <w:rPr>
      <w:rFonts w:ascii="Arial" w:hAnsi="Arial" w:eastAsia="PMingLiU"/>
      <w:kern w:val="0"/>
      <w:sz w:val="20"/>
      <w:szCs w:val="20"/>
      <w:lang w:val="en-GB" w:eastAsia="zh-TW"/>
    </w:rPr>
  </w:style>
  <w:style w:type="paragraph" w:styleId="55">
    <w:name w:val="toc 1"/>
    <w:basedOn w:val="1"/>
    <w:next w:val="1"/>
    <w:qFormat/>
    <w:uiPriority w:val="39"/>
    <w:pPr>
      <w:tabs>
        <w:tab w:val="right" w:leader="dot" w:pos="9403"/>
      </w:tabs>
      <w:snapToGrid w:val="0"/>
      <w:spacing w:line="360" w:lineRule="auto"/>
    </w:pPr>
    <w:rPr>
      <w:rFonts w:ascii="Arial" w:hAnsi="Arial"/>
      <w:b/>
      <w:bCs/>
      <w:caps/>
    </w:rPr>
  </w:style>
  <w:style w:type="paragraph" w:styleId="56">
    <w:name w:val="toc 4"/>
    <w:basedOn w:val="1"/>
    <w:next w:val="1"/>
    <w:qFormat/>
    <w:uiPriority w:val="0"/>
    <w:pPr>
      <w:ind w:left="630"/>
      <w:jc w:val="left"/>
    </w:pPr>
    <w:rPr>
      <w:sz w:val="18"/>
      <w:szCs w:val="18"/>
    </w:rPr>
  </w:style>
  <w:style w:type="paragraph" w:styleId="57">
    <w:name w:val="index heading"/>
    <w:basedOn w:val="16"/>
    <w:uiPriority w:val="0"/>
    <w:rPr>
      <w:b/>
      <w:bCs/>
      <w:sz w:val="32"/>
      <w:szCs w:val="32"/>
    </w:rPr>
  </w:style>
  <w:style w:type="paragraph" w:styleId="58">
    <w:name w:val="Subtitle"/>
    <w:basedOn w:val="1"/>
    <w:next w:val="1"/>
    <w:link w:val="123"/>
    <w:qFormat/>
    <w:uiPriority w:val="0"/>
    <w:pPr>
      <w:spacing w:before="240" w:after="60" w:line="312" w:lineRule="auto"/>
      <w:jc w:val="center"/>
      <w:outlineLvl w:val="1"/>
    </w:pPr>
    <w:rPr>
      <w:rFonts w:ascii="Cambria" w:hAnsi="Cambria"/>
      <w:b/>
      <w:bCs/>
      <w:kern w:val="28"/>
      <w:sz w:val="32"/>
      <w:szCs w:val="32"/>
    </w:rPr>
  </w:style>
  <w:style w:type="paragraph" w:styleId="59">
    <w:name w:val="List Number 5"/>
    <w:basedOn w:val="1"/>
    <w:uiPriority w:val="0"/>
    <w:pPr>
      <w:tabs>
        <w:tab w:val="left" w:pos="2040"/>
      </w:tabs>
      <w:spacing w:line="360" w:lineRule="auto"/>
    </w:pPr>
    <w:rPr>
      <w:rFonts w:ascii="宋体" w:hAnsi="宋体"/>
      <w:sz w:val="24"/>
    </w:rPr>
  </w:style>
  <w:style w:type="paragraph" w:styleId="60">
    <w:name w:val="List"/>
    <w:basedOn w:val="1"/>
    <w:qFormat/>
    <w:uiPriority w:val="0"/>
    <w:pPr>
      <w:ind w:left="200" w:hanging="200" w:hangingChars="200"/>
    </w:pPr>
  </w:style>
  <w:style w:type="paragraph" w:styleId="61">
    <w:name w:val="footnote text"/>
    <w:basedOn w:val="1"/>
    <w:link w:val="124"/>
    <w:uiPriority w:val="0"/>
    <w:pPr>
      <w:widowControl/>
      <w:spacing w:line="360" w:lineRule="auto"/>
      <w:ind w:firstLine="420"/>
      <w:jc w:val="left"/>
    </w:pPr>
    <w:rPr>
      <w:rFonts w:ascii="Arial" w:hAnsi="Arial"/>
      <w:kern w:val="0"/>
      <w:sz w:val="20"/>
      <w:szCs w:val="20"/>
      <w:lang w:eastAsia="en-US"/>
    </w:rPr>
  </w:style>
  <w:style w:type="paragraph" w:styleId="62">
    <w:name w:val="toc 6"/>
    <w:basedOn w:val="1"/>
    <w:next w:val="1"/>
    <w:qFormat/>
    <w:uiPriority w:val="0"/>
    <w:pPr>
      <w:ind w:left="1050"/>
      <w:jc w:val="left"/>
    </w:pPr>
    <w:rPr>
      <w:sz w:val="18"/>
      <w:szCs w:val="18"/>
    </w:rPr>
  </w:style>
  <w:style w:type="paragraph" w:styleId="63">
    <w:name w:val="List 5"/>
    <w:basedOn w:val="1"/>
    <w:qFormat/>
    <w:uiPriority w:val="0"/>
    <w:pPr>
      <w:ind w:left="100" w:leftChars="800" w:hanging="200" w:hangingChars="200"/>
    </w:pPr>
    <w:rPr>
      <w:szCs w:val="20"/>
    </w:rPr>
  </w:style>
  <w:style w:type="paragraph" w:styleId="64">
    <w:name w:val="Body Text Indent 3"/>
    <w:basedOn w:val="1"/>
    <w:link w:val="125"/>
    <w:qFormat/>
    <w:uiPriority w:val="99"/>
    <w:pPr>
      <w:autoSpaceDE w:val="0"/>
      <w:autoSpaceDN w:val="0"/>
      <w:spacing w:line="400" w:lineRule="atLeast"/>
      <w:ind w:firstLine="443" w:firstLineChars="200"/>
      <w:textAlignment w:val="bottom"/>
    </w:pPr>
    <w:rPr>
      <w:rFonts w:eastAsia="黑体"/>
      <w:color w:val="000000"/>
      <w:sz w:val="24"/>
    </w:rPr>
  </w:style>
  <w:style w:type="paragraph" w:styleId="65">
    <w:name w:val="index 7"/>
    <w:basedOn w:val="1"/>
    <w:next w:val="1"/>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6">
    <w:name w:val="index 9"/>
    <w:basedOn w:val="1"/>
    <w:next w:val="1"/>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67">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68">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69">
    <w:name w:val="toc 9"/>
    <w:basedOn w:val="1"/>
    <w:next w:val="1"/>
    <w:qFormat/>
    <w:uiPriority w:val="0"/>
    <w:pPr>
      <w:ind w:left="1680"/>
      <w:jc w:val="left"/>
    </w:pPr>
    <w:rPr>
      <w:sz w:val="18"/>
      <w:szCs w:val="18"/>
    </w:rPr>
  </w:style>
  <w:style w:type="paragraph" w:styleId="70">
    <w:name w:val="Body Text 2"/>
    <w:basedOn w:val="1"/>
    <w:link w:val="126"/>
    <w:qFormat/>
    <w:uiPriority w:val="0"/>
    <w:rPr>
      <w:b/>
      <w:bCs/>
      <w:color w:val="000000"/>
      <w:sz w:val="28"/>
    </w:rPr>
  </w:style>
  <w:style w:type="paragraph" w:styleId="71">
    <w:name w:val="List 4"/>
    <w:basedOn w:val="1"/>
    <w:qFormat/>
    <w:uiPriority w:val="0"/>
    <w:pPr>
      <w:ind w:left="100" w:leftChars="600" w:hanging="200" w:hangingChars="200"/>
    </w:pPr>
    <w:rPr>
      <w:szCs w:val="20"/>
    </w:rPr>
  </w:style>
  <w:style w:type="paragraph" w:styleId="72">
    <w:name w:val="HTML Preformatted"/>
    <w:basedOn w:val="1"/>
    <w:link w:val="1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3">
    <w:name w:val="Normal (Web)"/>
    <w:basedOn w:val="1"/>
    <w:link w:val="128"/>
    <w:qFormat/>
    <w:uiPriority w:val="0"/>
    <w:pPr>
      <w:widowControl/>
      <w:spacing w:before="100" w:beforeAutospacing="1" w:after="100" w:afterAutospacing="1"/>
      <w:jc w:val="left"/>
    </w:pPr>
    <w:rPr>
      <w:rFonts w:ascii="宋体" w:hAnsi="宋体"/>
      <w:kern w:val="0"/>
      <w:sz w:val="24"/>
    </w:rPr>
  </w:style>
  <w:style w:type="paragraph" w:styleId="74">
    <w:name w:val="index 1"/>
    <w:basedOn w:val="1"/>
    <w:next w:val="1"/>
    <w:qFormat/>
    <w:uiPriority w:val="0"/>
    <w:pPr>
      <w:widowControl/>
      <w:spacing w:line="360" w:lineRule="auto"/>
      <w:jc w:val="center"/>
    </w:pPr>
    <w:rPr>
      <w:rFonts w:ascii="Arial" w:hAnsi="Arial" w:cs="Arial"/>
      <w:kern w:val="0"/>
      <w:sz w:val="24"/>
    </w:rPr>
  </w:style>
  <w:style w:type="paragraph" w:styleId="75">
    <w:name w:val="index 2"/>
    <w:basedOn w:val="46"/>
    <w:uiPriority w:val="0"/>
    <w:pPr>
      <w:ind w:left="283"/>
    </w:pPr>
  </w:style>
  <w:style w:type="paragraph" w:styleId="76">
    <w:name w:val="Title"/>
    <w:basedOn w:val="1"/>
    <w:link w:val="129"/>
    <w:qFormat/>
    <w:uiPriority w:val="0"/>
    <w:pPr>
      <w:jc w:val="center"/>
    </w:pPr>
    <w:rPr>
      <w:sz w:val="30"/>
    </w:rPr>
  </w:style>
  <w:style w:type="paragraph" w:styleId="77">
    <w:name w:val="annotation subject"/>
    <w:basedOn w:val="27"/>
    <w:next w:val="27"/>
    <w:link w:val="130"/>
    <w:qFormat/>
    <w:uiPriority w:val="0"/>
    <w:rPr>
      <w:b/>
      <w:bCs/>
    </w:rPr>
  </w:style>
  <w:style w:type="paragraph" w:styleId="78">
    <w:name w:val="Body Text First Indent"/>
    <w:basedOn w:val="17"/>
    <w:link w:val="131"/>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79">
    <w:name w:val="Body Text First Indent 2"/>
    <w:basedOn w:val="32"/>
    <w:link w:val="132"/>
    <w:unhideWhenUsed/>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table" w:styleId="81">
    <w:name w:val="Table Grid"/>
    <w:basedOn w:val="80"/>
    <w:qFormat/>
    <w:uiPriority w:val="0"/>
    <w:pPr>
      <w:widowControl w:val="0"/>
      <w:jc w:val="both"/>
    </w:pPr>
    <w:tblPr>
      <w:tblStyle w:val="8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Elegant"/>
    <w:basedOn w:val="80"/>
    <w:qFormat/>
    <w:uiPriority w:val="0"/>
    <w:pPr>
      <w:widowControl w:val="0"/>
      <w:jc w:val="both"/>
    </w:pPr>
    <w:tblPr>
      <w:tblStyle w:val="80"/>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80"/>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qFormat/>
    <w:uiPriority w:val="0"/>
    <w:rPr>
      <w:color w:val="800080"/>
      <w:u w:val="singl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qFormat/>
    <w:uiPriority w:val="99"/>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qFormat/>
    <w:uiPriority w:val="0"/>
    <w:rPr>
      <w:sz w:val="21"/>
      <w:szCs w:val="21"/>
    </w:rPr>
  </w:style>
  <w:style w:type="character" w:styleId="93">
    <w:name w:val="HTML Cite"/>
    <w:qFormat/>
    <w:uiPriority w:val="0"/>
  </w:style>
  <w:style w:type="character" w:styleId="94">
    <w:name w:val="footnote reference"/>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character" w:customStyle="1" w:styleId="97">
    <w:name w:val="标题 1 Char"/>
    <w:link w:val="2"/>
    <w:qFormat/>
    <w:uiPriority w:val="0"/>
    <w:rPr>
      <w:rFonts w:ascii="Arial" w:hAnsi="Arial" w:eastAsia="华文中宋"/>
      <w:b/>
      <w:color w:val="000000"/>
      <w:kern w:val="2"/>
      <w:sz w:val="32"/>
      <w:szCs w:val="24"/>
    </w:rPr>
  </w:style>
  <w:style w:type="character" w:customStyle="1" w:styleId="98">
    <w:name w:val="标题 2 Char"/>
    <w:link w:val="3"/>
    <w:qFormat/>
    <w:uiPriority w:val="0"/>
    <w:rPr>
      <w:rFonts w:ascii="Arial" w:hAnsi="Arial"/>
      <w:b/>
      <w:bCs/>
      <w:kern w:val="2"/>
      <w:sz w:val="21"/>
      <w:szCs w:val="32"/>
    </w:rPr>
  </w:style>
  <w:style w:type="character" w:customStyle="1" w:styleId="99">
    <w:name w:val="标题 3 Char"/>
    <w:link w:val="4"/>
    <w:qFormat/>
    <w:uiPriority w:val="9"/>
    <w:rPr>
      <w:rFonts w:ascii="Arial" w:hAnsi="Arial"/>
      <w:b/>
      <w:kern w:val="2"/>
      <w:sz w:val="21"/>
    </w:rPr>
  </w:style>
  <w:style w:type="character" w:customStyle="1" w:styleId="100">
    <w:name w:val="标题 4 Char"/>
    <w:link w:val="5"/>
    <w:qFormat/>
    <w:uiPriority w:val="9"/>
    <w:rPr>
      <w:rFonts w:ascii="Arial" w:hAnsi="Arial"/>
      <w:sz w:val="21"/>
      <w:szCs w:val="24"/>
    </w:rPr>
  </w:style>
  <w:style w:type="character" w:customStyle="1" w:styleId="101">
    <w:name w:val="标题 5 Char"/>
    <w:link w:val="6"/>
    <w:qFormat/>
    <w:uiPriority w:val="0"/>
    <w:rPr>
      <w:rFonts w:ascii="宋体" w:hAnsi="宋体"/>
      <w:b/>
      <w:bCs/>
      <w:kern w:val="2"/>
      <w:sz w:val="28"/>
      <w:szCs w:val="24"/>
    </w:rPr>
  </w:style>
  <w:style w:type="character" w:customStyle="1" w:styleId="102">
    <w:name w:val="标题 6 Char1"/>
    <w:link w:val="7"/>
    <w:uiPriority w:val="0"/>
    <w:rPr>
      <w:rFonts w:ascii="Arial" w:hAnsi="Arial"/>
      <w:b/>
      <w:bCs/>
      <w:kern w:val="2"/>
      <w:sz w:val="24"/>
      <w:szCs w:val="24"/>
    </w:rPr>
  </w:style>
  <w:style w:type="character" w:customStyle="1" w:styleId="103">
    <w:name w:val="标题 7 Char1"/>
    <w:link w:val="8"/>
    <w:uiPriority w:val="0"/>
    <w:rPr>
      <w:rFonts w:ascii="宋体" w:hAnsi="宋体"/>
      <w:b/>
      <w:bCs/>
      <w:kern w:val="2"/>
      <w:sz w:val="21"/>
      <w:szCs w:val="24"/>
    </w:rPr>
  </w:style>
  <w:style w:type="character" w:customStyle="1" w:styleId="104">
    <w:name w:val="标题 8 Char"/>
    <w:link w:val="9"/>
    <w:qFormat/>
    <w:uiPriority w:val="0"/>
    <w:rPr>
      <w:rFonts w:ascii="Arial" w:hAnsi="Arial" w:eastAsia="黑体"/>
      <w:kern w:val="2"/>
      <w:sz w:val="24"/>
      <w:szCs w:val="24"/>
    </w:rPr>
  </w:style>
  <w:style w:type="character" w:customStyle="1" w:styleId="105">
    <w:name w:val="标题 9 Char"/>
    <w:link w:val="10"/>
    <w:qFormat/>
    <w:uiPriority w:val="0"/>
    <w:rPr>
      <w:rFonts w:ascii="Arial" w:hAnsi="Arial" w:eastAsia="黑体"/>
      <w:kern w:val="2"/>
      <w:sz w:val="21"/>
      <w:szCs w:val="21"/>
    </w:rPr>
  </w:style>
  <w:style w:type="character" w:customStyle="1" w:styleId="106">
    <w:name w:val="正文文本 Char"/>
    <w:link w:val="17"/>
    <w:uiPriority w:val="0"/>
    <w:rPr>
      <w:rFonts w:ascii="仿宋_GB2312" w:eastAsia="仿宋_GB2312"/>
      <w:sz w:val="28"/>
    </w:rPr>
  </w:style>
  <w:style w:type="character" w:customStyle="1" w:styleId="107">
    <w:name w:val="注释标题 Char"/>
    <w:link w:val="18"/>
    <w:uiPriority w:val="0"/>
    <w:rPr>
      <w:rFonts w:ascii="宋体" w:hAnsi="宋体"/>
      <w:kern w:val="2"/>
      <w:sz w:val="21"/>
      <w:szCs w:val="24"/>
    </w:rPr>
  </w:style>
  <w:style w:type="character" w:customStyle="1" w:styleId="108">
    <w:name w:val="正文缩进 Char"/>
    <w:link w:val="21"/>
    <w:qFormat/>
    <w:uiPriority w:val="0"/>
    <w:rPr>
      <w:rFonts w:eastAsia="宋体"/>
      <w:kern w:val="2"/>
      <w:sz w:val="21"/>
      <w:szCs w:val="24"/>
      <w:lang w:val="en-US" w:eastAsia="zh-CN" w:bidi="ar-SA"/>
    </w:rPr>
  </w:style>
  <w:style w:type="character" w:customStyle="1" w:styleId="109">
    <w:name w:val="题注 Char"/>
    <w:link w:val="22"/>
    <w:qFormat/>
    <w:uiPriority w:val="0"/>
    <w:rPr>
      <w:rFonts w:ascii="Arial" w:hAnsi="Arial" w:eastAsia="黑体" w:cs="Arial"/>
    </w:rPr>
  </w:style>
  <w:style w:type="character" w:customStyle="1" w:styleId="110">
    <w:name w:val="文档结构图 Char"/>
    <w:link w:val="26"/>
    <w:qFormat/>
    <w:uiPriority w:val="99"/>
    <w:rPr>
      <w:kern w:val="2"/>
      <w:sz w:val="21"/>
      <w:szCs w:val="24"/>
      <w:shd w:val="clear" w:color="auto" w:fill="000080"/>
    </w:rPr>
  </w:style>
  <w:style w:type="character" w:customStyle="1" w:styleId="111">
    <w:name w:val="批注文字 Char"/>
    <w:link w:val="27"/>
    <w:qFormat/>
    <w:uiPriority w:val="0"/>
    <w:rPr>
      <w:kern w:val="2"/>
      <w:sz w:val="21"/>
    </w:rPr>
  </w:style>
  <w:style w:type="character" w:customStyle="1" w:styleId="112">
    <w:name w:val="称呼 Char"/>
    <w:link w:val="29"/>
    <w:uiPriority w:val="0"/>
    <w:rPr>
      <w:sz w:val="24"/>
      <w:szCs w:val="24"/>
    </w:rPr>
  </w:style>
  <w:style w:type="character" w:customStyle="1" w:styleId="113">
    <w:name w:val="正文文本 3 Char"/>
    <w:link w:val="30"/>
    <w:uiPriority w:val="0"/>
    <w:rPr>
      <w:rFonts w:ascii="楷体_GB2312" w:eastAsia="楷体_GB2312"/>
      <w:b/>
      <w:color w:val="000000"/>
      <w:kern w:val="2"/>
      <w:sz w:val="30"/>
      <w:szCs w:val="24"/>
    </w:rPr>
  </w:style>
  <w:style w:type="character" w:customStyle="1" w:styleId="114">
    <w:name w:val="正文文本缩进 Char2"/>
    <w:link w:val="32"/>
    <w:uiPriority w:val="0"/>
    <w:rPr>
      <w:rFonts w:ascii="宋体"/>
      <w:sz w:val="24"/>
    </w:rPr>
  </w:style>
  <w:style w:type="character" w:customStyle="1" w:styleId="115">
    <w:name w:val="纯文本 Char"/>
    <w:link w:val="40"/>
    <w:qFormat/>
    <w:uiPriority w:val="0"/>
    <w:rPr>
      <w:rFonts w:ascii="宋体" w:hAnsi="Courier New" w:eastAsia="宋体"/>
      <w:kern w:val="2"/>
      <w:sz w:val="21"/>
      <w:lang w:val="en-US" w:eastAsia="zh-CN" w:bidi="ar-SA"/>
    </w:rPr>
  </w:style>
  <w:style w:type="character" w:customStyle="1" w:styleId="116">
    <w:name w:val="日期 Char"/>
    <w:link w:val="47"/>
    <w:qFormat/>
    <w:uiPriority w:val="0"/>
    <w:rPr>
      <w:color w:val="000000"/>
      <w:kern w:val="2"/>
      <w:sz w:val="24"/>
      <w:szCs w:val="24"/>
    </w:rPr>
  </w:style>
  <w:style w:type="character" w:customStyle="1" w:styleId="117">
    <w:name w:val="正文文本缩进 2 Char"/>
    <w:link w:val="48"/>
    <w:qFormat/>
    <w:uiPriority w:val="99"/>
    <w:rPr>
      <w:rFonts w:ascii="宋体"/>
      <w:sz w:val="24"/>
    </w:rPr>
  </w:style>
  <w:style w:type="character" w:customStyle="1" w:styleId="118">
    <w:name w:val="尾注文本 Char"/>
    <w:link w:val="49"/>
    <w:uiPriority w:val="0"/>
    <w:rPr>
      <w:rFonts w:ascii="Arial" w:hAnsi="Arial" w:eastAsia="PMingLiU"/>
      <w:lang w:val="en-GB" w:eastAsia="zh-TW"/>
    </w:rPr>
  </w:style>
  <w:style w:type="character" w:customStyle="1" w:styleId="119">
    <w:name w:val="批注框文本 Char"/>
    <w:link w:val="50"/>
    <w:qFormat/>
    <w:uiPriority w:val="99"/>
    <w:rPr>
      <w:kern w:val="2"/>
      <w:sz w:val="18"/>
      <w:szCs w:val="18"/>
    </w:rPr>
  </w:style>
  <w:style w:type="character" w:customStyle="1" w:styleId="120">
    <w:name w:val="页脚 Char"/>
    <w:link w:val="51"/>
    <w:qFormat/>
    <w:uiPriority w:val="99"/>
    <w:rPr>
      <w:rFonts w:eastAsia="宋体"/>
      <w:kern w:val="2"/>
      <w:sz w:val="18"/>
      <w:szCs w:val="18"/>
      <w:lang w:val="en-US" w:eastAsia="zh-CN" w:bidi="ar-SA"/>
    </w:rPr>
  </w:style>
  <w:style w:type="character" w:customStyle="1" w:styleId="121">
    <w:name w:val="页眉 Char"/>
    <w:link w:val="53"/>
    <w:qFormat/>
    <w:uiPriority w:val="99"/>
    <w:rPr>
      <w:rFonts w:eastAsia="宋体"/>
      <w:kern w:val="2"/>
      <w:sz w:val="18"/>
      <w:szCs w:val="18"/>
      <w:lang w:val="en-US" w:eastAsia="zh-CN" w:bidi="ar-SA"/>
    </w:rPr>
  </w:style>
  <w:style w:type="character" w:customStyle="1" w:styleId="122">
    <w:name w:val="签名 Char"/>
    <w:link w:val="54"/>
    <w:uiPriority w:val="0"/>
    <w:rPr>
      <w:rFonts w:ascii="Arial" w:hAnsi="Arial" w:eastAsia="PMingLiU"/>
      <w:lang w:val="en-GB" w:eastAsia="zh-TW"/>
    </w:rPr>
  </w:style>
  <w:style w:type="character" w:customStyle="1" w:styleId="123">
    <w:name w:val="副标题 Char"/>
    <w:link w:val="58"/>
    <w:qFormat/>
    <w:uiPriority w:val="0"/>
    <w:rPr>
      <w:rFonts w:ascii="Cambria" w:hAnsi="Cambria" w:eastAsia="宋体"/>
      <w:b/>
      <w:bCs/>
      <w:kern w:val="28"/>
      <w:sz w:val="32"/>
      <w:szCs w:val="32"/>
      <w:lang w:val="en-US" w:eastAsia="zh-CN" w:bidi="ar-SA"/>
    </w:rPr>
  </w:style>
  <w:style w:type="character" w:customStyle="1" w:styleId="124">
    <w:name w:val="脚注文本 Char"/>
    <w:link w:val="61"/>
    <w:uiPriority w:val="0"/>
    <w:rPr>
      <w:rFonts w:ascii="Arial" w:hAnsi="Arial"/>
      <w:lang w:eastAsia="en-US"/>
    </w:rPr>
  </w:style>
  <w:style w:type="character" w:customStyle="1" w:styleId="125">
    <w:name w:val="正文文本缩进 3 Char"/>
    <w:link w:val="64"/>
    <w:locked/>
    <w:uiPriority w:val="99"/>
    <w:rPr>
      <w:rFonts w:eastAsia="黑体"/>
      <w:color w:val="000000"/>
      <w:kern w:val="2"/>
      <w:sz w:val="24"/>
      <w:szCs w:val="24"/>
    </w:rPr>
  </w:style>
  <w:style w:type="character" w:customStyle="1" w:styleId="126">
    <w:name w:val="正文文本 2 Char"/>
    <w:link w:val="70"/>
    <w:qFormat/>
    <w:uiPriority w:val="0"/>
    <w:rPr>
      <w:b/>
      <w:bCs/>
      <w:color w:val="000000"/>
      <w:kern w:val="2"/>
      <w:sz w:val="28"/>
      <w:szCs w:val="24"/>
    </w:rPr>
  </w:style>
  <w:style w:type="character" w:customStyle="1" w:styleId="127">
    <w:name w:val="HTML 预设格式 Char"/>
    <w:link w:val="72"/>
    <w:qFormat/>
    <w:uiPriority w:val="0"/>
    <w:rPr>
      <w:rFonts w:ascii="宋体" w:hAnsi="宋体" w:cs="宋体"/>
      <w:sz w:val="24"/>
      <w:szCs w:val="24"/>
    </w:rPr>
  </w:style>
  <w:style w:type="character" w:customStyle="1" w:styleId="128">
    <w:name w:val="普通(网站) Char"/>
    <w:link w:val="73"/>
    <w:uiPriority w:val="0"/>
    <w:rPr>
      <w:rFonts w:ascii="宋体" w:hAnsi="宋体"/>
      <w:sz w:val="24"/>
      <w:szCs w:val="24"/>
    </w:rPr>
  </w:style>
  <w:style w:type="character" w:customStyle="1" w:styleId="129">
    <w:name w:val="标题 Char2"/>
    <w:link w:val="76"/>
    <w:uiPriority w:val="0"/>
    <w:rPr>
      <w:kern w:val="2"/>
      <w:sz w:val="30"/>
      <w:szCs w:val="24"/>
    </w:rPr>
  </w:style>
  <w:style w:type="character" w:customStyle="1" w:styleId="130">
    <w:name w:val="批注主题 Char"/>
    <w:link w:val="77"/>
    <w:qFormat/>
    <w:uiPriority w:val="0"/>
    <w:rPr>
      <w:b/>
      <w:bCs/>
      <w:kern w:val="2"/>
      <w:sz w:val="21"/>
    </w:rPr>
  </w:style>
  <w:style w:type="character" w:customStyle="1" w:styleId="131">
    <w:name w:val="正文首行缩进 Char"/>
    <w:link w:val="78"/>
    <w:qFormat/>
    <w:uiPriority w:val="0"/>
    <w:rPr>
      <w:kern w:val="2"/>
      <w:sz w:val="21"/>
    </w:rPr>
  </w:style>
  <w:style w:type="character" w:customStyle="1" w:styleId="132">
    <w:name w:val="正文首行缩进 2 Char"/>
    <w:link w:val="79"/>
    <w:uiPriority w:val="0"/>
    <w:rPr>
      <w:rFonts w:ascii="Calibri" w:hAnsi="Calibri"/>
      <w:kern w:val="2"/>
      <w:sz w:val="21"/>
      <w:szCs w:val="22"/>
    </w:rPr>
  </w:style>
  <w:style w:type="character" w:customStyle="1" w:styleId="133">
    <w:name w:val="样式5 Char"/>
    <w:link w:val="134"/>
    <w:uiPriority w:val="0"/>
    <w:rPr>
      <w:rFonts w:ascii="宋体" w:hAnsi="宋体"/>
      <w:kern w:val="2"/>
      <w:sz w:val="24"/>
      <w:szCs w:val="24"/>
    </w:rPr>
  </w:style>
  <w:style w:type="paragraph" w:customStyle="1" w:styleId="134">
    <w:name w:val="样式5"/>
    <w:basedOn w:val="1"/>
    <w:link w:val="133"/>
    <w:qFormat/>
    <w:uiPriority w:val="0"/>
    <w:pPr>
      <w:spacing w:line="360" w:lineRule="auto"/>
      <w:ind w:firstLine="480" w:firstLineChars="200"/>
    </w:pPr>
    <w:rPr>
      <w:rFonts w:ascii="宋体" w:hAnsi="宋体"/>
      <w:sz w:val="24"/>
    </w:rPr>
  </w:style>
  <w:style w:type="character" w:customStyle="1" w:styleId="135">
    <w:name w:val="字元 字元10"/>
    <w:locked/>
    <w:uiPriority w:val="0"/>
    <w:rPr>
      <w:rFonts w:ascii="Tahoma" w:hAnsi="Tahoma" w:cs="Tahoma"/>
      <w:sz w:val="16"/>
      <w:szCs w:val="16"/>
    </w:rPr>
  </w:style>
  <w:style w:type="character" w:customStyle="1" w:styleId="136">
    <w:name w:val="font61"/>
    <w:qFormat/>
    <w:uiPriority w:val="0"/>
    <w:rPr>
      <w:rFonts w:hint="default" w:ascii="Times New Roman" w:hAnsi="Times New Roman" w:cs="Times New Roman"/>
      <w:color w:val="000000"/>
      <w:sz w:val="24"/>
      <w:szCs w:val="24"/>
      <w:u w:val="none"/>
    </w:rPr>
  </w:style>
  <w:style w:type="character" w:customStyle="1" w:styleId="137">
    <w:name w:val="WW8Num17z0"/>
    <w:uiPriority w:val="0"/>
    <w:rPr>
      <w:rFonts w:ascii="Symbol" w:hAnsi="Symbol"/>
      <w:lang w:val="en-GB"/>
    </w:rPr>
  </w:style>
  <w:style w:type="character" w:customStyle="1" w:styleId="138">
    <w:name w:val="正文首行缩进 2 Char2"/>
    <w:uiPriority w:val="0"/>
    <w:rPr>
      <w:rFonts w:ascii="宋体"/>
      <w:sz w:val="24"/>
    </w:rPr>
  </w:style>
  <w:style w:type="character" w:customStyle="1" w:styleId="139">
    <w:name w:val="Default Char"/>
    <w:link w:val="140"/>
    <w:uiPriority w:val="0"/>
    <w:rPr>
      <w:rFonts w:ascii="宋体..璂.." w:eastAsia="宋体..璂.." w:cs="宋体..璂.."/>
      <w:color w:val="000000"/>
      <w:sz w:val="24"/>
      <w:szCs w:val="24"/>
      <w:lang w:val="en-US" w:eastAsia="zh-CN" w:bidi="ar-SA"/>
    </w:rPr>
  </w:style>
  <w:style w:type="paragraph" w:customStyle="1" w:styleId="140">
    <w:name w:val="Default"/>
    <w:link w:val="139"/>
    <w:qFormat/>
    <w:uiPriority w:val="0"/>
    <w:pPr>
      <w:widowControl w:val="0"/>
      <w:autoSpaceDE w:val="0"/>
      <w:autoSpaceDN w:val="0"/>
      <w:adjustRightInd w:val="0"/>
    </w:pPr>
    <w:rPr>
      <w:rFonts w:ascii="宋体..璂.." w:eastAsia="宋体..璂.." w:cs="宋体..璂.."/>
      <w:color w:val="000000"/>
      <w:sz w:val="24"/>
      <w:szCs w:val="24"/>
      <w:lang w:val="en-US" w:eastAsia="zh-CN" w:bidi="ar-SA"/>
    </w:rPr>
  </w:style>
  <w:style w:type="character" w:customStyle="1" w:styleId="141">
    <w:name w:val="正文2 Char Char"/>
    <w:link w:val="142"/>
    <w:qFormat/>
    <w:uiPriority w:val="0"/>
    <w:rPr>
      <w:rFonts w:ascii="宋体" w:hAnsi="宋体"/>
      <w:kern w:val="2"/>
      <w:sz w:val="24"/>
    </w:rPr>
  </w:style>
  <w:style w:type="paragraph" w:customStyle="1" w:styleId="142">
    <w:name w:val="正文2"/>
    <w:basedOn w:val="1"/>
    <w:link w:val="141"/>
    <w:qFormat/>
    <w:uiPriority w:val="0"/>
    <w:pPr>
      <w:spacing w:before="156" w:line="360" w:lineRule="auto"/>
      <w:ind w:firstLine="510" w:firstLineChars="200"/>
    </w:pPr>
    <w:rPr>
      <w:rFonts w:ascii="宋体" w:hAnsi="宋体"/>
      <w:sz w:val="24"/>
      <w:szCs w:val="20"/>
    </w:rPr>
  </w:style>
  <w:style w:type="character" w:customStyle="1" w:styleId="143">
    <w:name w:val="atitle2"/>
    <w:uiPriority w:val="0"/>
  </w:style>
  <w:style w:type="character" w:customStyle="1" w:styleId="144">
    <w:name w:val="User Entry"/>
    <w:uiPriority w:val="0"/>
    <w:rPr>
      <w:rFonts w:ascii="Courier New" w:hAnsi="Courier New"/>
      <w:lang w:val="en-GB"/>
    </w:rPr>
  </w:style>
  <w:style w:type="character" w:customStyle="1" w:styleId="145">
    <w:name w:val="bds_nopic1"/>
    <w:qFormat/>
    <w:uiPriority w:val="0"/>
  </w:style>
  <w:style w:type="character" w:customStyle="1" w:styleId="146">
    <w:name w:val="tw4winJump"/>
    <w:uiPriority w:val="0"/>
    <w:rPr>
      <w:rFonts w:ascii="Courier New" w:hAnsi="Courier New" w:cs="Courier New"/>
      <w:color w:val="008080"/>
      <w:lang w:val="en-US" w:eastAsia="zh-CN"/>
    </w:rPr>
  </w:style>
  <w:style w:type="character" w:customStyle="1" w:styleId="147">
    <w:name w:val="字元 字元12"/>
    <w:locked/>
    <w:uiPriority w:val="0"/>
    <w:rPr>
      <w:rFonts w:cs="Times New Roman"/>
    </w:rPr>
  </w:style>
  <w:style w:type="character" w:customStyle="1" w:styleId="148">
    <w:name w:val="彩色列表 - 强调文字颜色 1 Char"/>
    <w:qFormat/>
    <w:uiPriority w:val="0"/>
    <w:rPr>
      <w:rFonts w:ascii="Times New Roman" w:hAnsi="Times New Roman" w:eastAsia="宋体" w:cs="Times New Roman"/>
      <w:szCs w:val="24"/>
    </w:rPr>
  </w:style>
  <w:style w:type="character" w:customStyle="1" w:styleId="149">
    <w:name w:val="short_text"/>
    <w:uiPriority w:val="0"/>
  </w:style>
  <w:style w:type="character" w:customStyle="1" w:styleId="150">
    <w:name w:val="列出段落 Char"/>
    <w:aliases w:val="图表 Char,列出段落11 Char,List Char"/>
    <w:link w:val="151"/>
    <w:qFormat/>
    <w:uiPriority w:val="34"/>
    <w:rPr>
      <w:rFonts w:eastAsia="宋体"/>
      <w:kern w:val="2"/>
      <w:sz w:val="21"/>
      <w:szCs w:val="24"/>
      <w:lang w:val="en-US" w:eastAsia="zh-CN" w:bidi="ar-SA"/>
    </w:rPr>
  </w:style>
  <w:style w:type="paragraph" w:customStyle="1" w:styleId="151">
    <w:name w:val="列出段落1"/>
    <w:basedOn w:val="1"/>
    <w:link w:val="150"/>
    <w:qFormat/>
    <w:uiPriority w:val="34"/>
    <w:pPr>
      <w:ind w:firstLine="420" w:firstLineChars="200"/>
    </w:pPr>
  </w:style>
  <w:style w:type="character" w:customStyle="1" w:styleId="152">
    <w:name w:val="正文首行缩进 Char Char Char Char Char Char"/>
    <w:qFormat/>
    <w:uiPriority w:val="0"/>
    <w:rPr>
      <w:rFonts w:ascii="宋体" w:hAnsi="宋体" w:eastAsia="宋体"/>
      <w:sz w:val="24"/>
      <w:lang w:val="en-US" w:eastAsia="zh-CN" w:bidi="ar-SA"/>
    </w:rPr>
  </w:style>
  <w:style w:type="character" w:customStyle="1" w:styleId="153">
    <w:name w:val="tw4winError"/>
    <w:uiPriority w:val="0"/>
    <w:rPr>
      <w:rFonts w:ascii="Courier New" w:hAnsi="Courier New" w:cs="Courier New"/>
      <w:color w:val="00FF00"/>
      <w:sz w:val="40"/>
      <w:szCs w:val="40"/>
    </w:rPr>
  </w:style>
  <w:style w:type="character" w:customStyle="1" w:styleId="154">
    <w:name w:val="bold"/>
    <w:uiPriority w:val="0"/>
  </w:style>
  <w:style w:type="character" w:customStyle="1" w:styleId="155">
    <w:name w:val="样式2 Char"/>
    <w:link w:val="156"/>
    <w:qFormat/>
    <w:uiPriority w:val="0"/>
    <w:rPr>
      <w:rFonts w:ascii="宋体" w:hAnsi="宋体"/>
      <w:kern w:val="2"/>
      <w:sz w:val="21"/>
      <w:szCs w:val="24"/>
    </w:rPr>
  </w:style>
  <w:style w:type="paragraph" w:customStyle="1" w:styleId="156">
    <w:name w:val="样式2"/>
    <w:basedOn w:val="1"/>
    <w:next w:val="6"/>
    <w:link w:val="155"/>
    <w:qFormat/>
    <w:uiPriority w:val="0"/>
    <w:pPr>
      <w:spacing w:line="360" w:lineRule="auto"/>
      <w:ind w:firstLine="420"/>
    </w:pPr>
    <w:rPr>
      <w:rFonts w:ascii="宋体" w:hAnsi="宋体"/>
    </w:rPr>
  </w:style>
  <w:style w:type="character" w:customStyle="1" w:styleId="157">
    <w:name w:val="bds_more4"/>
    <w:uiPriority w:val="0"/>
  </w:style>
  <w:style w:type="character" w:customStyle="1" w:styleId="158">
    <w:name w:val="Endnote Symbol"/>
    <w:uiPriority w:val="0"/>
    <w:rPr>
      <w:lang w:val="en-GB"/>
    </w:rPr>
  </w:style>
  <w:style w:type="character" w:customStyle="1" w:styleId="159">
    <w:name w:val="Figure Description Char"/>
    <w:link w:val="160"/>
    <w:uiPriority w:val="0"/>
    <w:rPr>
      <w:rFonts w:ascii="Arial" w:hAnsi="Arial" w:eastAsia="黑体"/>
      <w:sz w:val="18"/>
      <w:szCs w:val="18"/>
      <w:lang w:val="en-US" w:eastAsia="zh-CN" w:bidi="ar-SA"/>
    </w:rPr>
  </w:style>
  <w:style w:type="paragraph" w:customStyle="1" w:styleId="160">
    <w:name w:val="Figure Description"/>
    <w:next w:val="1"/>
    <w:link w:val="159"/>
    <w:uiPriority w:val="0"/>
    <w:pPr>
      <w:adjustRightInd w:val="0"/>
      <w:snapToGrid w:val="0"/>
      <w:spacing w:before="80" w:after="320"/>
      <w:jc w:val="center"/>
    </w:pPr>
    <w:rPr>
      <w:rFonts w:ascii="Arial" w:hAnsi="Arial" w:eastAsia="黑体"/>
      <w:sz w:val="18"/>
      <w:szCs w:val="18"/>
      <w:lang w:val="en-US" w:eastAsia="zh-CN" w:bidi="ar-SA"/>
    </w:rPr>
  </w:style>
  <w:style w:type="character" w:customStyle="1" w:styleId="161">
    <w:name w:val="纯文本 Char2"/>
    <w:qFormat/>
    <w:uiPriority w:val="0"/>
    <w:rPr>
      <w:rFonts w:ascii="宋体" w:hAnsi="Courier New" w:eastAsia="宋体"/>
      <w:kern w:val="2"/>
      <w:sz w:val="21"/>
    </w:rPr>
  </w:style>
  <w:style w:type="character" w:customStyle="1" w:styleId="162">
    <w:name w:val="grame"/>
    <w:uiPriority w:val="0"/>
  </w:style>
  <w:style w:type="character" w:customStyle="1" w:styleId="163">
    <w:name w:val="Caption Char"/>
    <w:aliases w:val="Legend Char"/>
    <w:locked/>
    <w:uiPriority w:val="0"/>
    <w:rPr>
      <w:rFonts w:ascii="Arial" w:hAnsi="Arial" w:eastAsia="黑体"/>
      <w:kern w:val="0"/>
      <w:sz w:val="20"/>
    </w:rPr>
  </w:style>
  <w:style w:type="character" w:customStyle="1" w:styleId="164">
    <w:name w:val="small1"/>
    <w:uiPriority w:val="0"/>
    <w:rPr>
      <w:sz w:val="22"/>
      <w:szCs w:val="22"/>
    </w:rPr>
  </w:style>
  <w:style w:type="character" w:customStyle="1" w:styleId="165">
    <w:name w:val="普通文字 Char1"/>
    <w:aliases w:val="普通文字 Char Char Char1,普通文字 Char Char3,纯文本 Char Char1,纯文本 Char Char Char Char,正 文 1 Char Char,纯文本 Char Char Char Char Char Char Char Char Char Char Char Char Char Char,正 文 1 Char,纯文本 Char Char Char,普通文字 Char Char Char Char1,小 Char,普通文字1 Char"/>
    <w:qFormat/>
    <w:uiPriority w:val="0"/>
    <w:rPr>
      <w:rFonts w:ascii="宋体" w:hAnsi="Courier New" w:eastAsia="宋体"/>
      <w:kern w:val="2"/>
      <w:sz w:val="21"/>
      <w:lang w:val="en-US" w:eastAsia="zh-CN"/>
    </w:rPr>
  </w:style>
  <w:style w:type="character" w:customStyle="1" w:styleId="166">
    <w:name w:val="sidecatalog-index2"/>
    <w:uiPriority w:val="0"/>
    <w:rPr>
      <w:rFonts w:ascii="Arail" w:hAnsi="Arail" w:eastAsia="Arail" w:cs="Arail"/>
      <w:color w:val="999999"/>
      <w:sz w:val="21"/>
      <w:szCs w:val="21"/>
    </w:rPr>
  </w:style>
  <w:style w:type="character" w:customStyle="1" w:styleId="167">
    <w:name w:val="bold2"/>
    <w:uiPriority w:val="0"/>
    <w:rPr>
      <w:b/>
      <w:bCs/>
    </w:rPr>
  </w:style>
  <w:style w:type="character" w:customStyle="1" w:styleId="168">
    <w:name w:val="章标题 Char"/>
    <w:uiPriority w:val="0"/>
    <w:rPr>
      <w:rFonts w:ascii="黑体" w:eastAsia="黑体"/>
      <w:sz w:val="21"/>
      <w:lang w:val="en-US" w:eastAsia="zh-CN" w:bidi="ar-SA"/>
    </w:rPr>
  </w:style>
  <w:style w:type="character" w:customStyle="1" w:styleId="169">
    <w:name w:val="标题3 Char"/>
    <w:link w:val="170"/>
    <w:uiPriority w:val="0"/>
    <w:rPr>
      <w:rFonts w:ascii="Arial" w:hAnsi="Arial"/>
      <w:b/>
      <w:sz w:val="21"/>
      <w:szCs w:val="24"/>
    </w:rPr>
  </w:style>
  <w:style w:type="paragraph" w:customStyle="1" w:styleId="170">
    <w:name w:val="标题3"/>
    <w:basedOn w:val="1"/>
    <w:link w:val="169"/>
    <w:qFormat/>
    <w:uiPriority w:val="0"/>
    <w:pPr>
      <w:adjustRightInd w:val="0"/>
      <w:snapToGrid w:val="0"/>
      <w:spacing w:line="300" w:lineRule="auto"/>
      <w:ind w:firstLine="200" w:firstLineChars="200"/>
    </w:pPr>
    <w:rPr>
      <w:rFonts w:ascii="Arial" w:hAnsi="Arial"/>
      <w:b/>
      <w:kern w:val="0"/>
    </w:rPr>
  </w:style>
  <w:style w:type="character" w:customStyle="1" w:styleId="171">
    <w:name w:val="MOT-Text-1 Char"/>
    <w:link w:val="172"/>
    <w:uiPriority w:val="0"/>
    <w:rPr>
      <w:sz w:val="22"/>
      <w:szCs w:val="24"/>
    </w:rPr>
  </w:style>
  <w:style w:type="paragraph" w:customStyle="1" w:styleId="172">
    <w:name w:val="MOT-Text-1"/>
    <w:basedOn w:val="1"/>
    <w:link w:val="171"/>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173">
    <w:name w:val="bds_more2"/>
    <w:qFormat/>
    <w:uiPriority w:val="0"/>
  </w:style>
  <w:style w:type="character" w:customStyle="1" w:styleId="174">
    <w:name w:val="text"/>
    <w:uiPriority w:val="0"/>
  </w:style>
  <w:style w:type="character" w:customStyle="1" w:styleId="175">
    <w:name w:val="Footnote Symbol"/>
    <w:uiPriority w:val="0"/>
    <w:rPr>
      <w:lang w:val="en-GB"/>
    </w:rPr>
  </w:style>
  <w:style w:type="character" w:customStyle="1" w:styleId="176">
    <w:name w:val="ZJGIS图表 Char"/>
    <w:link w:val="177"/>
    <w:qFormat/>
    <w:locked/>
    <w:uiPriority w:val="99"/>
    <w:rPr>
      <w:rFonts w:eastAsia="黑体"/>
      <w:color w:val="000000"/>
      <w:sz w:val="24"/>
    </w:rPr>
  </w:style>
  <w:style w:type="paragraph" w:customStyle="1" w:styleId="177">
    <w:name w:val="ZJGIS图表"/>
    <w:basedOn w:val="1"/>
    <w:link w:val="176"/>
    <w:qFormat/>
    <w:uiPriority w:val="99"/>
    <w:pPr>
      <w:jc w:val="center"/>
    </w:pPr>
    <w:rPr>
      <w:rFonts w:eastAsia="黑体"/>
      <w:color w:val="000000"/>
      <w:kern w:val="0"/>
      <w:sz w:val="24"/>
      <w:szCs w:val="20"/>
    </w:rPr>
  </w:style>
  <w:style w:type="character" w:customStyle="1" w:styleId="178">
    <w:name w:val="Char Char8"/>
    <w:uiPriority w:val="0"/>
    <w:rPr>
      <w:kern w:val="2"/>
      <w:sz w:val="18"/>
      <w:szCs w:val="18"/>
    </w:rPr>
  </w:style>
  <w:style w:type="character" w:customStyle="1" w:styleId="179">
    <w:name w:val="sidecatalog-dot1"/>
    <w:qFormat/>
    <w:uiPriority w:val="0"/>
  </w:style>
  <w:style w:type="character" w:customStyle="1" w:styleId="180">
    <w:name w:val="morelink-item"/>
    <w:uiPriority w:val="0"/>
  </w:style>
  <w:style w:type="character" w:customStyle="1" w:styleId="181">
    <w:name w:val="字元 字元19"/>
    <w:locked/>
    <w:uiPriority w:val="0"/>
    <w:rPr>
      <w:rFonts w:eastAsia="Times New Roman" w:cs="Times New Roman"/>
      <w:b/>
      <w:bCs/>
      <w:sz w:val="28"/>
      <w:szCs w:val="28"/>
    </w:rPr>
  </w:style>
  <w:style w:type="character" w:customStyle="1" w:styleId="182">
    <w:name w:val="标题 6 Char"/>
    <w:aliases w:val="PIM 6 Char1,h6 Char1,Third Subheading Char1,DO NOT USE_h6 Char1,H6 Char1,Bullet (Single Lines) Char1,L6 Char1,BOD 4 Char1,L1 Heading 6 Char1,l6 Char1,hsm Char1,submodule heading Char1,h61 Char1,heading 61 Char1,Legal Level 1. Char1,第五层条 Char1"/>
    <w:qFormat/>
    <w:uiPriority w:val="0"/>
    <w:rPr>
      <w:rFonts w:ascii="Cambria" w:hAnsi="Cambria" w:eastAsia="宋体" w:cs="Times New Roman"/>
      <w:b/>
      <w:bCs/>
      <w:kern w:val="2"/>
      <w:sz w:val="24"/>
      <w:szCs w:val="24"/>
    </w:rPr>
  </w:style>
  <w:style w:type="character" w:customStyle="1" w:styleId="183">
    <w:name w:val="正文文本缩进 Char1"/>
    <w:uiPriority w:val="99"/>
    <w:rPr>
      <w:rFonts w:ascii="Times New Roman" w:hAnsi="Times New Roman" w:eastAsia="PMingLiU" w:cs="Times New Roman"/>
      <w:snapToGrid w:val="0"/>
      <w:kern w:val="0"/>
      <w:sz w:val="20"/>
      <w:szCs w:val="20"/>
      <w:lang w:val="en-GB" w:eastAsia="zh-TW"/>
    </w:rPr>
  </w:style>
  <w:style w:type="character" w:customStyle="1" w:styleId="184">
    <w:name w:val="字元 字元20"/>
    <w:locked/>
    <w:uiPriority w:val="0"/>
    <w:rPr>
      <w:rFonts w:ascii="Cambria" w:hAnsi="Cambria" w:eastAsia="Times New Roman" w:cs="Times New Roman"/>
      <w:b/>
      <w:bCs/>
      <w:sz w:val="26"/>
      <w:szCs w:val="26"/>
    </w:rPr>
  </w:style>
  <w:style w:type="character" w:customStyle="1" w:styleId="185">
    <w:name w:val="正文文本 Char1"/>
    <w:uiPriority w:val="0"/>
    <w:rPr>
      <w:rFonts w:eastAsia="??"/>
      <w:kern w:val="2"/>
      <w:sz w:val="24"/>
      <w:szCs w:val="28"/>
    </w:rPr>
  </w:style>
  <w:style w:type="character" w:customStyle="1" w:styleId="186">
    <w:name w:val="text_121"/>
    <w:uiPriority w:val="0"/>
    <w:rPr>
      <w:rFonts w:hint="default" w:ascii="sө" w:hAnsi="sө"/>
      <w:color w:val="000000"/>
      <w:sz w:val="15"/>
      <w:szCs w:val="15"/>
    </w:rPr>
  </w:style>
  <w:style w:type="character" w:customStyle="1" w:styleId="187">
    <w:name w:val="WW8Num22z0"/>
    <w:uiPriority w:val="0"/>
    <w:rPr>
      <w:rFonts w:ascii="Symbol" w:hAnsi="Symbol"/>
      <w:lang w:val="en-GB"/>
    </w:rPr>
  </w:style>
  <w:style w:type="character" w:customStyle="1" w:styleId="188">
    <w:name w:val="WW8Num16z2"/>
    <w:uiPriority w:val="0"/>
    <w:rPr>
      <w:rFonts w:ascii="Wingdings" w:hAnsi="Wingdings"/>
      <w:lang w:val="en-GB"/>
    </w:rPr>
  </w:style>
  <w:style w:type="character" w:customStyle="1" w:styleId="189">
    <w:name w:val="SANGFOR_6_正文 Char"/>
    <w:link w:val="190"/>
    <w:qFormat/>
    <w:uiPriority w:val="0"/>
    <w:rPr>
      <w:szCs w:val="24"/>
    </w:rPr>
  </w:style>
  <w:style w:type="paragraph" w:customStyle="1" w:styleId="190">
    <w:name w:val="SANGFOR_6_正文"/>
    <w:basedOn w:val="1"/>
    <w:link w:val="189"/>
    <w:qFormat/>
    <w:uiPriority w:val="0"/>
    <w:pPr>
      <w:spacing w:line="360" w:lineRule="auto"/>
      <w:ind w:firstLine="420"/>
    </w:pPr>
    <w:rPr>
      <w:kern w:val="0"/>
      <w:sz w:val="20"/>
    </w:rPr>
  </w:style>
  <w:style w:type="character" w:customStyle="1" w:styleId="191">
    <w:name w:val="样式1 Char Char"/>
    <w:link w:val="192"/>
    <w:qFormat/>
    <w:uiPriority w:val="0"/>
    <w:rPr>
      <w:rFonts w:ascii="Arial" w:hAnsi="Arial" w:eastAsia="宋体"/>
      <w:kern w:val="2"/>
      <w:sz w:val="21"/>
      <w:szCs w:val="24"/>
      <w:lang w:val="en-US" w:eastAsia="zh-CN" w:bidi="ar-SA"/>
    </w:rPr>
  </w:style>
  <w:style w:type="paragraph" w:customStyle="1" w:styleId="192">
    <w:name w:val="样式1"/>
    <w:basedOn w:val="1"/>
    <w:link w:val="191"/>
    <w:qFormat/>
    <w:uiPriority w:val="0"/>
    <w:pPr>
      <w:spacing w:line="360" w:lineRule="exact"/>
      <w:ind w:firstLine="200" w:firstLineChars="200"/>
    </w:pPr>
    <w:rPr>
      <w:rFonts w:ascii="Arial" w:hAnsi="Arial"/>
    </w:rPr>
  </w:style>
  <w:style w:type="character" w:customStyle="1" w:styleId="193">
    <w:name w:val="字元 字元5"/>
    <w:locked/>
    <w:uiPriority w:val="0"/>
    <w:rPr>
      <w:rFonts w:ascii="Arial" w:hAnsi="Arial" w:eastAsia="Times New Roman" w:cs="Times New Roman"/>
      <w:lang w:val="en-GB"/>
    </w:rPr>
  </w:style>
  <w:style w:type="character" w:customStyle="1" w:styleId="194">
    <w:name w:val="WW8Num12z0"/>
    <w:uiPriority w:val="0"/>
    <w:rPr>
      <w:rFonts w:ascii="Symbol" w:hAnsi="Symbol"/>
      <w:lang w:val="en-GB"/>
    </w:rPr>
  </w:style>
  <w:style w:type="character" w:customStyle="1" w:styleId="195">
    <w:name w:val="表格文本 Char"/>
    <w:link w:val="196"/>
    <w:uiPriority w:val="0"/>
    <w:rPr>
      <w:rFonts w:ascii="Arial" w:hAnsi="Arial"/>
      <w:sz w:val="24"/>
      <w:szCs w:val="21"/>
      <w:lang w:val="en-US" w:eastAsia="zh-CN"/>
    </w:rPr>
  </w:style>
  <w:style w:type="paragraph" w:customStyle="1" w:styleId="196">
    <w:name w:val="表格文本"/>
    <w:basedOn w:val="1"/>
    <w:link w:val="195"/>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character" w:customStyle="1" w:styleId="197">
    <w:name w:val="displayitem"/>
    <w:uiPriority w:val="0"/>
  </w:style>
  <w:style w:type="character" w:customStyle="1" w:styleId="198">
    <w:name w:val="二级样式 Char"/>
    <w:link w:val="199"/>
    <w:uiPriority w:val="0"/>
    <w:rPr>
      <w:rFonts w:ascii="黑体" w:hAnsi="Wingdings" w:eastAsia="黑体" w:cs="IOBAEE+TimesNewRoman,Bold"/>
      <w:b/>
      <w:color w:val="000000"/>
      <w:sz w:val="24"/>
      <w:szCs w:val="24"/>
    </w:rPr>
  </w:style>
  <w:style w:type="paragraph" w:customStyle="1" w:styleId="199">
    <w:name w:val="二级样式"/>
    <w:basedOn w:val="1"/>
    <w:link w:val="198"/>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character" w:customStyle="1" w:styleId="200">
    <w:name w:val="Char Char20"/>
    <w:uiPriority w:val="0"/>
    <w:rPr>
      <w:kern w:val="2"/>
      <w:sz w:val="18"/>
      <w:szCs w:val="18"/>
    </w:rPr>
  </w:style>
  <w:style w:type="character" w:customStyle="1" w:styleId="201">
    <w:name w:val="polysemyred"/>
    <w:uiPriority w:val="0"/>
    <w:rPr>
      <w:color w:val="FF6666"/>
      <w:sz w:val="18"/>
      <w:szCs w:val="18"/>
    </w:rPr>
  </w:style>
  <w:style w:type="character" w:customStyle="1" w:styleId="202">
    <w:name w:val="‧ N character bold new"/>
    <w:uiPriority w:val="0"/>
    <w:rPr>
      <w:rFonts w:ascii="Times New Roman" w:hAnsi="Times New Roman" w:cs="Tahoma"/>
      <w:b/>
      <w:sz w:val="20"/>
      <w:lang w:val="en-GB"/>
    </w:rPr>
  </w:style>
  <w:style w:type="character" w:customStyle="1" w:styleId="203">
    <w:name w:val="apple-converted-space"/>
    <w:qFormat/>
    <w:uiPriority w:val="0"/>
  </w:style>
  <w:style w:type="character" w:customStyle="1" w:styleId="204">
    <w:name w:val="内容文本 Char"/>
    <w:qFormat/>
    <w:uiPriority w:val="0"/>
    <w:rPr>
      <w:rFonts w:ascii="宋体" w:hAnsi="宋体"/>
      <w:sz w:val="24"/>
      <w:szCs w:val="24"/>
      <w:lang w:eastAsia="en-US" w:bidi="en-US"/>
    </w:rPr>
  </w:style>
  <w:style w:type="character" w:customStyle="1" w:styleId="205">
    <w:name w:val="blithe3 Char1 Char"/>
    <w:link w:val="206"/>
    <w:uiPriority w:val="0"/>
    <w:rPr>
      <w:rFonts w:ascii="宋体" w:hAnsi="宋体"/>
      <w:b/>
      <w:bCs/>
      <w:color w:val="000000"/>
      <w:sz w:val="28"/>
      <w:szCs w:val="36"/>
    </w:rPr>
  </w:style>
  <w:style w:type="paragraph" w:customStyle="1" w:styleId="206">
    <w:name w:val="blithe3 Char1"/>
    <w:basedOn w:val="207"/>
    <w:next w:val="1"/>
    <w:link w:val="205"/>
    <w:uiPriority w:val="0"/>
    <w:pPr>
      <w:tabs>
        <w:tab w:val="left" w:pos="360"/>
        <w:tab w:val="left" w:pos="1260"/>
        <w:tab w:val="left" w:pos="2520"/>
      </w:tabs>
      <w:ind w:left="0" w:firstLine="0"/>
      <w:outlineLvl w:val="2"/>
    </w:pPr>
    <w:rPr>
      <w:sz w:val="28"/>
    </w:rPr>
  </w:style>
  <w:style w:type="paragraph" w:customStyle="1" w:styleId="207">
    <w:name w:val="blithe2"/>
    <w:basedOn w:val="17"/>
    <w:next w:val="79"/>
    <w:link w:val="208"/>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character" w:customStyle="1" w:styleId="208">
    <w:name w:val="blithe2 Char1"/>
    <w:link w:val="207"/>
    <w:uiPriority w:val="0"/>
    <w:rPr>
      <w:rFonts w:ascii="宋体" w:hAnsi="宋体"/>
      <w:b/>
      <w:bCs/>
      <w:color w:val="000000"/>
      <w:sz w:val="36"/>
      <w:szCs w:val="36"/>
    </w:rPr>
  </w:style>
  <w:style w:type="character" w:customStyle="1" w:styleId="209">
    <w:name w:val="子系统 Char"/>
    <w:aliases w:val="子系统1 Char,子系统2 Char,子系统3 Char,子系统4 Char,子系统11 Char,子系统21 Char,子系统31 Char,子系统5 Char,子系统12 Char,子系统22 Char,子系统32 Char,子系统6 Char,子系统13 Char,子系统23 Char,子系统33 Char,子系统7 Char,子系统14 Char,子系统24 Char,子系统34 Char,子系统8 Char,子系统15 Char,子系统25 Char,子系统35 Char"/>
    <w:uiPriority w:val="0"/>
    <w:rPr>
      <w:rFonts w:ascii="宋体" w:hAnsi="宋体" w:eastAsia="宋体" w:cs="Microsoft Sans Serif"/>
      <w:b/>
      <w:bCs/>
      <w:color w:val="FF0000"/>
      <w:sz w:val="28"/>
      <w:szCs w:val="28"/>
      <w:lang w:val="en-US" w:eastAsia="en-US" w:bidi="ar-SA"/>
    </w:rPr>
  </w:style>
  <w:style w:type="character" w:customStyle="1" w:styleId="210">
    <w:name w:val="sidecatalog-index1"/>
    <w:qFormat/>
    <w:uiPriority w:val="0"/>
    <w:rPr>
      <w:rFonts w:ascii="Arial" w:hAnsi="Arial" w:cs="Arial"/>
      <w:b/>
      <w:color w:val="999999"/>
      <w:sz w:val="21"/>
      <w:szCs w:val="21"/>
    </w:rPr>
  </w:style>
  <w:style w:type="character" w:customStyle="1" w:styleId="211">
    <w:name w:val="Footer-Even Char Char"/>
    <w:uiPriority w:val="0"/>
    <w:rPr>
      <w:rFonts w:eastAsia="宋体"/>
      <w:kern w:val="2"/>
      <w:sz w:val="18"/>
      <w:szCs w:val="18"/>
      <w:lang w:val="en-US" w:eastAsia="zh-CN" w:bidi="ar-SA"/>
    </w:rPr>
  </w:style>
  <w:style w:type="character" w:customStyle="1" w:styleId="212">
    <w:name w:val="强调1"/>
    <w:uiPriority w:val="0"/>
    <w:rPr>
      <w:rFonts w:ascii="Verdana" w:hAnsi="Verdana" w:eastAsia="宋体"/>
      <w:b/>
      <w:bCs/>
      <w:lang w:val="en-US" w:eastAsia="en-US" w:bidi="ar-SA"/>
    </w:rPr>
  </w:style>
  <w:style w:type="character" w:customStyle="1" w:styleId="213">
    <w:name w:val="15"/>
    <w:qFormat/>
    <w:uiPriority w:val="0"/>
    <w:rPr>
      <w:rFonts w:hint="default" w:ascii="Calibri" w:hAnsi="Calibri" w:cs="Calibri"/>
      <w:sz w:val="20"/>
      <w:szCs w:val="20"/>
    </w:rPr>
  </w:style>
  <w:style w:type="character" w:customStyle="1" w:styleId="214">
    <w:name w:val="字元 字元22"/>
    <w:locked/>
    <w:uiPriority w:val="0"/>
    <w:rPr>
      <w:rFonts w:ascii="Cambria" w:hAnsi="Cambria" w:eastAsia="Times New Roman" w:cs="Times New Roman"/>
      <w:b/>
      <w:bCs/>
      <w:color w:val="365F91"/>
      <w:sz w:val="28"/>
      <w:szCs w:val="28"/>
    </w:rPr>
  </w:style>
  <w:style w:type="character" w:customStyle="1" w:styleId="215">
    <w:name w:val="字元 字元1"/>
    <w:locked/>
    <w:uiPriority w:val="0"/>
    <w:rPr>
      <w:rFonts w:ascii="Arial" w:hAnsi="Arial" w:eastAsia="Times New Roman" w:cs="Times New Roman"/>
      <w:b/>
      <w:bCs/>
      <w:lang w:val="en-GB"/>
    </w:rPr>
  </w:style>
  <w:style w:type="character" w:customStyle="1" w:styleId="216">
    <w:name w:val="字元 字元18"/>
    <w:locked/>
    <w:uiPriority w:val="0"/>
    <w:rPr>
      <w:rFonts w:ascii="Times New Roman" w:hAnsi="Times New Roman" w:eastAsia="Times New Roman" w:cs="Times New Roman"/>
      <w:b/>
      <w:lang w:val="en-GB"/>
    </w:rPr>
  </w:style>
  <w:style w:type="character" w:customStyle="1" w:styleId="217">
    <w:name w:val="tw4winExternal"/>
    <w:uiPriority w:val="0"/>
    <w:rPr>
      <w:rFonts w:ascii="Courier New" w:hAnsi="Courier New" w:cs="Courier New"/>
      <w:color w:val="808080"/>
      <w:lang w:val="en-US" w:eastAsia="zh-CN"/>
    </w:rPr>
  </w:style>
  <w:style w:type="character" w:customStyle="1" w:styleId="218">
    <w:name w:val="themebody1"/>
    <w:uiPriority w:val="0"/>
    <w:rPr>
      <w:color w:val="FFFFFF"/>
    </w:rPr>
  </w:style>
  <w:style w:type="character" w:customStyle="1" w:styleId="219">
    <w:name w:val="表格 Char Char"/>
    <w:link w:val="220"/>
    <w:qFormat/>
    <w:uiPriority w:val="0"/>
    <w:rPr>
      <w:rFonts w:ascii="宋体" w:hAnsi="宋体"/>
    </w:rPr>
  </w:style>
  <w:style w:type="paragraph" w:customStyle="1" w:styleId="220">
    <w:name w:val="表格"/>
    <w:basedOn w:val="221"/>
    <w:next w:val="1"/>
    <w:link w:val="219"/>
    <w:qFormat/>
    <w:uiPriority w:val="0"/>
    <w:pPr>
      <w:snapToGrid w:val="0"/>
      <w:spacing w:line="360" w:lineRule="auto"/>
      <w:ind w:firstLine="42" w:firstLineChars="21"/>
    </w:pPr>
    <w:rPr>
      <w:bCs w:val="0"/>
      <w:szCs w:val="20"/>
      <w:lang w:bidi="ar-SA"/>
    </w:rPr>
  </w:style>
  <w:style w:type="paragraph" w:customStyle="1" w:styleId="221">
    <w:name w:val="表头"/>
    <w:basedOn w:val="222"/>
    <w:uiPriority w:val="0"/>
    <w:pPr>
      <w:widowControl/>
      <w:spacing w:line="320" w:lineRule="exact"/>
      <w:ind w:firstLine="420"/>
    </w:pPr>
    <w:rPr>
      <w:rFonts w:ascii="宋体" w:hAnsi="宋体"/>
      <w:bCs/>
      <w:kern w:val="0"/>
      <w:sz w:val="20"/>
      <w:szCs w:val="18"/>
    </w:rPr>
  </w:style>
  <w:style w:type="paragraph" w:customStyle="1" w:styleId="222">
    <w:name w:val="No Spacing"/>
    <w:basedOn w:val="1"/>
    <w:uiPriority w:val="0"/>
    <w:pPr>
      <w:widowControl/>
      <w:jc w:val="left"/>
    </w:pPr>
    <w:rPr>
      <w:rFonts w:ascii="Calibri" w:hAnsi="Calibri"/>
      <w:kern w:val="0"/>
      <w:sz w:val="20"/>
      <w:lang w:eastAsia="en-US" w:bidi="en-US"/>
    </w:rPr>
  </w:style>
  <w:style w:type="character" w:customStyle="1" w:styleId="223">
    <w:name w:val="Char Char7"/>
    <w:uiPriority w:val="0"/>
    <w:rPr>
      <w:kern w:val="2"/>
      <w:sz w:val="18"/>
      <w:szCs w:val="18"/>
    </w:rPr>
  </w:style>
  <w:style w:type="character" w:customStyle="1" w:styleId="224">
    <w:name w:val="图形布置 Char"/>
    <w:link w:val="225"/>
    <w:uiPriority w:val="0"/>
    <w:rPr>
      <w:rFonts w:hAnsi="宋体" w:cs="宋体"/>
      <w:sz w:val="24"/>
    </w:rPr>
  </w:style>
  <w:style w:type="paragraph" w:customStyle="1" w:styleId="225">
    <w:name w:val="图形布置"/>
    <w:basedOn w:val="1"/>
    <w:link w:val="224"/>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character" w:customStyle="1" w:styleId="226">
    <w:name w:val="Clear Character Fonts"/>
    <w:locked/>
    <w:uiPriority w:val="0"/>
    <w:rPr>
      <w:rFonts w:ascii="Times New Roman" w:hAnsi="Times New Roman"/>
      <w:sz w:val="20"/>
      <w:lang w:val="en-GB"/>
    </w:rPr>
  </w:style>
  <w:style w:type="character" w:customStyle="1" w:styleId="227">
    <w:name w:val="WW8Num14z1"/>
    <w:uiPriority w:val="0"/>
    <w:rPr>
      <w:rFonts w:ascii="Courier New" w:hAnsi="Courier New"/>
      <w:lang w:val="en-GB"/>
    </w:rPr>
  </w:style>
  <w:style w:type="character" w:customStyle="1" w:styleId="228">
    <w:name w:val="样式 首行缩进:  2.25 字符 Char"/>
    <w:link w:val="229"/>
    <w:uiPriority w:val="0"/>
    <w:rPr>
      <w:rFonts w:ascii="Arial" w:hAnsi="Arial" w:cs="宋体"/>
      <w:sz w:val="24"/>
    </w:rPr>
  </w:style>
  <w:style w:type="paragraph" w:customStyle="1" w:styleId="229">
    <w:name w:val="样式 首行缩进:  2.25 字符"/>
    <w:basedOn w:val="1"/>
    <w:link w:val="228"/>
    <w:uiPriority w:val="0"/>
    <w:pPr>
      <w:spacing w:line="360" w:lineRule="auto"/>
      <w:ind w:firstLine="542" w:firstLineChars="225"/>
    </w:pPr>
    <w:rPr>
      <w:rFonts w:ascii="Arial" w:hAnsi="Arial"/>
      <w:kern w:val="0"/>
      <w:sz w:val="24"/>
      <w:szCs w:val="20"/>
    </w:rPr>
  </w:style>
  <w:style w:type="character" w:customStyle="1" w:styleId="230">
    <w:name w:val="No Spacing Char"/>
    <w:locked/>
    <w:uiPriority w:val="0"/>
    <w:rPr>
      <w:rFonts w:eastAsia="Times New Roman" w:cs="Times New Roman"/>
      <w:sz w:val="22"/>
      <w:szCs w:val="22"/>
      <w:lang w:val="en-US" w:bidi="ar-SA"/>
    </w:rPr>
  </w:style>
  <w:style w:type="character" w:customStyle="1" w:styleId="231">
    <w:name w:val="Variable"/>
    <w:uiPriority w:val="0"/>
    <w:rPr>
      <w:i/>
      <w:lang w:val="en-GB"/>
    </w:rPr>
  </w:style>
  <w:style w:type="character" w:customStyle="1" w:styleId="232">
    <w:name w:val="WW8Num19z0"/>
    <w:uiPriority w:val="0"/>
    <w:rPr>
      <w:rFonts w:ascii="Symbol" w:hAnsi="Symbol"/>
      <w:lang w:val="en-GB"/>
    </w:rPr>
  </w:style>
  <w:style w:type="character" w:customStyle="1" w:styleId="233">
    <w:name w:val="杭州技术规格书 Char"/>
    <w:link w:val="234"/>
    <w:uiPriority w:val="0"/>
    <w:rPr>
      <w:rFonts w:ascii="Tahoma" w:hAnsi="Tahoma"/>
      <w:sz w:val="24"/>
    </w:rPr>
  </w:style>
  <w:style w:type="paragraph" w:customStyle="1" w:styleId="234">
    <w:name w:val="杭州技术规格书"/>
    <w:basedOn w:val="1"/>
    <w:link w:val="233"/>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character" w:customStyle="1" w:styleId="235">
    <w:name w:val="Teletype"/>
    <w:uiPriority w:val="0"/>
    <w:rPr>
      <w:rFonts w:ascii="Courier New" w:hAnsi="Courier New"/>
      <w:lang w:val="en-GB"/>
    </w:rPr>
  </w:style>
  <w:style w:type="character" w:customStyle="1" w:styleId="236">
    <w:name w:val="My正文 Char"/>
    <w:link w:val="237"/>
    <w:uiPriority w:val="0"/>
    <w:rPr>
      <w:rFonts w:ascii="Arial" w:hAnsi="Arial"/>
      <w:sz w:val="24"/>
    </w:rPr>
  </w:style>
  <w:style w:type="paragraph" w:customStyle="1" w:styleId="237">
    <w:name w:val="My正文"/>
    <w:basedOn w:val="1"/>
    <w:link w:val="236"/>
    <w:uiPriority w:val="0"/>
    <w:pPr>
      <w:adjustRightInd w:val="0"/>
      <w:spacing w:before="120" w:line="360" w:lineRule="auto"/>
      <w:ind w:firstLine="567"/>
      <w:textAlignment w:val="baseline"/>
    </w:pPr>
    <w:rPr>
      <w:rFonts w:ascii="Arial" w:hAnsi="Arial"/>
      <w:kern w:val="0"/>
      <w:sz w:val="24"/>
      <w:szCs w:val="20"/>
    </w:rPr>
  </w:style>
  <w:style w:type="character" w:customStyle="1" w:styleId="238">
    <w:name w:val="图案编号 Char"/>
    <w:link w:val="239"/>
    <w:uiPriority w:val="0"/>
    <w:rPr>
      <w:rFonts w:ascii="Arial" w:hAnsi="Arial"/>
      <w:kern w:val="2"/>
      <w:sz w:val="21"/>
      <w:szCs w:val="24"/>
    </w:rPr>
  </w:style>
  <w:style w:type="paragraph" w:customStyle="1" w:styleId="239">
    <w:name w:val="图案编号"/>
    <w:basedOn w:val="1"/>
    <w:link w:val="238"/>
    <w:uiPriority w:val="0"/>
    <w:pPr>
      <w:tabs>
        <w:tab w:val="left" w:pos="1050"/>
      </w:tabs>
      <w:ind w:left="1050" w:hanging="420"/>
      <w:jc w:val="center"/>
      <w:textAlignment w:val="center"/>
    </w:pPr>
    <w:rPr>
      <w:rFonts w:ascii="Arial" w:hAnsi="Arial"/>
    </w:rPr>
  </w:style>
  <w:style w:type="character" w:customStyle="1" w:styleId="240">
    <w:name w:val="21 Char"/>
    <w:aliases w:val="22 Char,23 Char,24 Char,25 Char,211 Char,221 Char,231 Char,26 Char,212 Char,222 Char,232 Char,27 Char,213 Char,223 Char,233 Char,28 Char,214 Char,224 Char,234 Char,241 Char,251 Char,2111 Char,2211 Char,2311 Char,261 Char,2121 Char,2221 Char"/>
    <w:uiPriority w:val="0"/>
    <w:rPr>
      <w:rFonts w:ascii="Arial" w:hAnsi="Arial" w:eastAsia="黑体"/>
      <w:b/>
      <w:kern w:val="2"/>
      <w:sz w:val="21"/>
      <w:lang w:val="en-US" w:eastAsia="zh-CN" w:bidi="ar-SA"/>
    </w:rPr>
  </w:style>
  <w:style w:type="character" w:customStyle="1" w:styleId="241">
    <w:name w:val="font81"/>
    <w:qFormat/>
    <w:uiPriority w:val="0"/>
    <w:rPr>
      <w:rFonts w:hint="eastAsia" w:ascii="宋体" w:hAnsi="宋体" w:eastAsia="宋体" w:cs="宋体"/>
      <w:color w:val="FF0000"/>
      <w:sz w:val="18"/>
      <w:szCs w:val="18"/>
      <w:u w:val="none"/>
    </w:rPr>
  </w:style>
  <w:style w:type="character" w:customStyle="1" w:styleId="242">
    <w:name w:val="正文首行缩进两字 Char"/>
    <w:link w:val="243"/>
    <w:uiPriority w:val="0"/>
    <w:rPr>
      <w:rFonts w:ascii="宋体" w:hAnsi="宋体" w:cs="Arial"/>
      <w:color w:val="000000"/>
      <w:kern w:val="2"/>
      <w:sz w:val="24"/>
      <w:szCs w:val="24"/>
      <w:lang w:val="en-US" w:eastAsia="zh-CN" w:bidi="ar-SA"/>
    </w:rPr>
  </w:style>
  <w:style w:type="paragraph" w:customStyle="1" w:styleId="243">
    <w:name w:val="正文首行缩进两字"/>
    <w:link w:val="242"/>
    <w:uiPriority w:val="0"/>
    <w:pPr>
      <w:tabs>
        <w:tab w:val="left" w:pos="545"/>
      </w:tabs>
      <w:spacing w:afterLines="50" w:line="360" w:lineRule="auto"/>
    </w:pPr>
    <w:rPr>
      <w:rFonts w:ascii="宋体" w:hAnsi="宋体" w:cs="Arial"/>
      <w:color w:val="000000"/>
      <w:kern w:val="2"/>
      <w:sz w:val="24"/>
      <w:szCs w:val="24"/>
      <w:lang w:val="en-US" w:eastAsia="zh-CN" w:bidi="ar-SA"/>
    </w:rPr>
  </w:style>
  <w:style w:type="character" w:customStyle="1" w:styleId="244">
    <w:name w:val="哈哈正文 Char"/>
    <w:link w:val="245"/>
    <w:uiPriority w:val="0"/>
    <w:rPr>
      <w:rFonts w:ascii="宋体" w:hAnsi="宋体" w:cs="宋体"/>
      <w:sz w:val="24"/>
    </w:rPr>
  </w:style>
  <w:style w:type="paragraph" w:customStyle="1" w:styleId="245">
    <w:name w:val="哈哈正文"/>
    <w:basedOn w:val="1"/>
    <w:link w:val="244"/>
    <w:uiPriority w:val="0"/>
    <w:pPr>
      <w:spacing w:line="360" w:lineRule="auto"/>
      <w:ind w:firstLine="200" w:firstLineChars="200"/>
    </w:pPr>
    <w:rPr>
      <w:rFonts w:ascii="宋体" w:hAnsi="宋体"/>
      <w:kern w:val="0"/>
      <w:sz w:val="24"/>
      <w:szCs w:val="20"/>
    </w:rPr>
  </w:style>
  <w:style w:type="character" w:customStyle="1" w:styleId="246">
    <w:name w:val="项目标题 Char"/>
    <w:link w:val="247"/>
    <w:uiPriority w:val="0"/>
    <w:rPr>
      <w:rFonts w:ascii="Arial" w:hAnsi="Arial"/>
      <w:b/>
      <w:bCs/>
      <w:sz w:val="28"/>
      <w:szCs w:val="28"/>
    </w:rPr>
  </w:style>
  <w:style w:type="paragraph" w:customStyle="1" w:styleId="247">
    <w:name w:val="项目标题"/>
    <w:basedOn w:val="1"/>
    <w:link w:val="246"/>
    <w:uiPriority w:val="0"/>
    <w:pPr>
      <w:keepNext/>
      <w:keepLines/>
      <w:tabs>
        <w:tab w:val="left" w:pos="360"/>
      </w:tabs>
      <w:spacing w:before="280" w:after="290" w:line="377" w:lineRule="auto"/>
      <w:ind w:firstLine="420"/>
      <w:outlineLvl w:val="3"/>
    </w:pPr>
    <w:rPr>
      <w:rFonts w:ascii="Arial" w:hAnsi="Arial"/>
      <w:b/>
      <w:bCs/>
      <w:kern w:val="0"/>
      <w:sz w:val="28"/>
      <w:szCs w:val="28"/>
    </w:rPr>
  </w:style>
  <w:style w:type="character" w:customStyle="1" w:styleId="248">
    <w:name w:val="font111"/>
    <w:qFormat/>
    <w:uiPriority w:val="0"/>
    <w:rPr>
      <w:rFonts w:ascii="Arial" w:hAnsi="Arial" w:cs="Arial"/>
      <w:color w:val="333333"/>
      <w:sz w:val="18"/>
      <w:szCs w:val="18"/>
      <w:u w:val="none"/>
    </w:rPr>
  </w:style>
  <w:style w:type="character" w:customStyle="1" w:styleId="249">
    <w:name w:val="Table Text Char Char2"/>
    <w:uiPriority w:val="0"/>
    <w:rPr>
      <w:rFonts w:ascii="Arial" w:hAnsi="Arial" w:eastAsia="宋体"/>
      <w:sz w:val="18"/>
      <w:lang w:val="en-US" w:eastAsia="zh-CN" w:bidi="ar-SA"/>
    </w:rPr>
  </w:style>
  <w:style w:type="character" w:customStyle="1" w:styleId="250">
    <w:name w:val="*Body Text Char"/>
    <w:uiPriority w:val="0"/>
    <w:rPr>
      <w:rFonts w:ascii="Arial" w:hAnsi="Arial"/>
      <w:color w:val="000000"/>
      <w:lang w:val="en-US" w:eastAsia="en-US" w:bidi="ar-SA"/>
    </w:rPr>
  </w:style>
  <w:style w:type="character" w:customStyle="1" w:styleId="251">
    <w:name w:val="WW8Num20z0"/>
    <w:uiPriority w:val="0"/>
    <w:rPr>
      <w:rFonts w:ascii="Symbol" w:hAnsi="Symbol"/>
      <w:lang w:val="en-GB"/>
    </w:rPr>
  </w:style>
  <w:style w:type="character" w:customStyle="1" w:styleId="252">
    <w:name w:val="‧ N character emphasis new"/>
    <w:uiPriority w:val="0"/>
    <w:rPr>
      <w:rFonts w:ascii="Times New Roman" w:hAnsi="Times New Roman" w:cs="Tahoma"/>
      <w:i/>
      <w:sz w:val="20"/>
      <w:lang w:val="en-GB"/>
    </w:rPr>
  </w:style>
  <w:style w:type="character" w:customStyle="1" w:styleId="253">
    <w:name w:val="字元 字元15"/>
    <w:locked/>
    <w:uiPriority w:val="0"/>
    <w:rPr>
      <w:rFonts w:ascii="Times New Roman" w:hAnsi="Times New Roman" w:eastAsia="Times New Roman" w:cs="Times New Roman"/>
      <w:b/>
      <w:u w:val="single"/>
      <w:lang w:val="en-GB"/>
    </w:rPr>
  </w:style>
  <w:style w:type="character" w:customStyle="1" w:styleId="254">
    <w:name w:val="px14"/>
    <w:uiPriority w:val="0"/>
  </w:style>
  <w:style w:type="character" w:customStyle="1" w:styleId="255">
    <w:name w:val="bule1"/>
    <w:uiPriority w:val="0"/>
    <w:rPr>
      <w:sz w:val="18"/>
      <w:szCs w:val="18"/>
    </w:rPr>
  </w:style>
  <w:style w:type="character" w:customStyle="1" w:styleId="256">
    <w:name w:val="文档正文 Char"/>
    <w:uiPriority w:val="0"/>
    <w:rPr>
      <w:rFonts w:ascii="Arial Narrow" w:hAnsi="Arial Narrow" w:eastAsia="宋体"/>
      <w:sz w:val="24"/>
      <w:szCs w:val="24"/>
      <w:lang w:val="en-US" w:eastAsia="zh-CN" w:bidi="ar-SA"/>
    </w:rPr>
  </w:style>
  <w:style w:type="character" w:customStyle="1" w:styleId="257">
    <w:name w:val="lemmatitleh1"/>
    <w:qFormat/>
    <w:uiPriority w:val="0"/>
  </w:style>
  <w:style w:type="character" w:customStyle="1" w:styleId="258">
    <w:name w:val="Numbering Symbols"/>
    <w:uiPriority w:val="0"/>
    <w:rPr>
      <w:lang w:val="en-GB"/>
    </w:rPr>
  </w:style>
  <w:style w:type="character" w:customStyle="1" w:styleId="259">
    <w:name w:val="Visited Internet Link"/>
    <w:uiPriority w:val="0"/>
    <w:rPr>
      <w:color w:val="800000"/>
      <w:u w:val="single"/>
      <w:lang w:val="en-GB"/>
    </w:rPr>
  </w:style>
  <w:style w:type="character" w:customStyle="1" w:styleId="260">
    <w:name w:val="Vertical Numbering Symbols"/>
    <w:uiPriority w:val="0"/>
    <w:rPr>
      <w:lang w:val="en-GB"/>
      <w:eastAsianLayout w:id="1" w:combine="1"/>
    </w:rPr>
  </w:style>
  <w:style w:type="character" w:customStyle="1" w:styleId="261">
    <w:name w:val="字元 字元7"/>
    <w:locked/>
    <w:uiPriority w:val="0"/>
    <w:rPr>
      <w:rFonts w:ascii="Arial" w:hAnsi="Arial" w:eastAsia="Times New Roman" w:cs="Times New Roman"/>
      <w:lang w:val="en-GB"/>
    </w:rPr>
  </w:style>
  <w:style w:type="character" w:customStyle="1" w:styleId="262">
    <w:name w:val="WW8Num12z1"/>
    <w:uiPriority w:val="0"/>
    <w:rPr>
      <w:rFonts w:ascii="Courier New" w:hAnsi="Courier New"/>
      <w:lang w:val="en-GB"/>
    </w:rPr>
  </w:style>
  <w:style w:type="character" w:customStyle="1" w:styleId="263">
    <w:name w:val="bds_nopic"/>
    <w:qFormat/>
    <w:uiPriority w:val="0"/>
  </w:style>
  <w:style w:type="character" w:customStyle="1" w:styleId="264">
    <w:name w:val="para1"/>
    <w:uiPriority w:val="0"/>
    <w:rPr>
      <w:rFonts w:hint="default" w:ascii="Arial" w:hAnsi="Arial" w:cs="Arial"/>
      <w:sz w:val="18"/>
      <w:szCs w:val="18"/>
    </w:rPr>
  </w:style>
  <w:style w:type="character" w:customStyle="1" w:styleId="265">
    <w:name w:val="tw4winMark"/>
    <w:uiPriority w:val="0"/>
    <w:rPr>
      <w:rFonts w:ascii="Courier New" w:hAnsi="Courier New" w:cs="Courier New"/>
      <w:vanish/>
      <w:color w:val="800080"/>
      <w:sz w:val="24"/>
      <w:szCs w:val="24"/>
      <w:vertAlign w:val="subscript"/>
    </w:rPr>
  </w:style>
  <w:style w:type="character" w:customStyle="1" w:styleId="266">
    <w:name w:val="标题 1 Char1"/>
    <w:aliases w:val="H1 Char1,heading 1 Char1,Heading 1 (NN) Char1,标题 1 1 Char1,卷标题 Char1,合同标题 Char1,featurehead Char1,Title1 Char1,LN Char1,H11 Char1,H12 Char1,H13 Char1,H14 Char1,H15 Char1,H16 Char1,H17 Char1,H111 Char1,H121 Char1,H131 Char1,H141 Char1,H19 Char"/>
    <w:uiPriority w:val="0"/>
    <w:rPr>
      <w:rFonts w:ascii="宋体" w:hAnsi="宋体"/>
      <w:b/>
      <w:bCs/>
      <w:kern w:val="44"/>
      <w:sz w:val="44"/>
      <w:szCs w:val="44"/>
    </w:rPr>
  </w:style>
  <w:style w:type="character" w:customStyle="1" w:styleId="267">
    <w:name w:val="h Char1"/>
    <w:aliases w:val="ho Char1,header odd Char1,Ò³Ã¼ Char1,Cover Page Char1,page-header Char1,ph Char1,页眉1 Char1,Header bold Char1,he Char1,first Char1,heading one Char1,headerU Char1"/>
    <w:uiPriority w:val="0"/>
    <w:rPr>
      <w:rFonts w:ascii="Calibri" w:hAnsi="Calibri" w:eastAsia="宋体" w:cs="Times New Roman"/>
      <w:sz w:val="18"/>
      <w:szCs w:val="18"/>
    </w:rPr>
  </w:style>
  <w:style w:type="character" w:customStyle="1" w:styleId="268">
    <w:name w:val="left4"/>
    <w:uiPriority w:val="0"/>
    <w:rPr>
      <w:b/>
      <w:bCs/>
      <w:color w:val="3D3B3C"/>
      <w:sz w:val="28"/>
      <w:szCs w:val="28"/>
    </w:rPr>
  </w:style>
  <w:style w:type="character" w:customStyle="1" w:styleId="269">
    <w:name w:val="WW8Num11z2"/>
    <w:uiPriority w:val="0"/>
    <w:rPr>
      <w:rFonts w:ascii="Wingdings" w:hAnsi="Wingdings"/>
      <w:lang w:val="en-GB"/>
    </w:rPr>
  </w:style>
  <w:style w:type="character" w:customStyle="1" w:styleId="270">
    <w:name w:val="*Heading 5 Char"/>
    <w:link w:val="271"/>
    <w:uiPriority w:val="0"/>
    <w:rPr>
      <w:rFonts w:ascii="Verdana" w:hAnsi="Verdana"/>
      <w:i/>
      <w:szCs w:val="24"/>
      <w:lang w:val="en-US" w:eastAsia="en-US" w:bidi="ar-SA"/>
    </w:rPr>
  </w:style>
  <w:style w:type="paragraph" w:customStyle="1" w:styleId="271">
    <w:name w:val="*Heading 5"/>
    <w:next w:val="272"/>
    <w:link w:val="270"/>
    <w:uiPriority w:val="0"/>
    <w:pPr>
      <w:keepNext/>
      <w:keepLines/>
      <w:spacing w:line="360" w:lineRule="auto"/>
      <w:outlineLvl w:val="5"/>
    </w:pPr>
    <w:rPr>
      <w:rFonts w:ascii="Verdana" w:hAnsi="Verdana"/>
      <w:i/>
      <w:szCs w:val="24"/>
      <w:lang w:val="en-US" w:eastAsia="en-US" w:bidi="ar-SA"/>
    </w:rPr>
  </w:style>
  <w:style w:type="paragraph" w:customStyle="1" w:styleId="272">
    <w:name w:val="*Body Text"/>
    <w:link w:val="273"/>
    <w:uiPriority w:val="0"/>
    <w:pPr>
      <w:spacing w:line="360" w:lineRule="auto"/>
    </w:pPr>
    <w:rPr>
      <w:rFonts w:ascii="Futura Lt" w:hAnsi="Futura Lt"/>
      <w:sz w:val="21"/>
      <w:lang w:val="en-US" w:eastAsia="en-US" w:bidi="ar-SA"/>
    </w:rPr>
  </w:style>
  <w:style w:type="character" w:customStyle="1" w:styleId="273">
    <w:name w:val="*Body Text Char1"/>
    <w:link w:val="272"/>
    <w:uiPriority w:val="0"/>
    <w:rPr>
      <w:rFonts w:ascii="Futura Lt" w:hAnsi="Futura Lt"/>
      <w:sz w:val="21"/>
      <w:lang w:val="en-US" w:eastAsia="en-US" w:bidi="ar-SA"/>
    </w:rPr>
  </w:style>
  <w:style w:type="character" w:customStyle="1" w:styleId="274">
    <w:name w:val="zi_101"/>
    <w:uiPriority w:val="0"/>
    <w:rPr>
      <w:rFonts w:hint="default" w:ascii="Verdana" w:hAnsi="Verdana"/>
      <w:color w:val="C90000"/>
      <w:sz w:val="18"/>
    </w:rPr>
  </w:style>
  <w:style w:type="character" w:customStyle="1" w:styleId="275">
    <w:name w:val="标准段落 Char"/>
    <w:link w:val="276"/>
    <w:locked/>
    <w:uiPriority w:val="0"/>
    <w:rPr>
      <w:sz w:val="24"/>
      <w:szCs w:val="24"/>
      <w:lang w:val="en-US" w:eastAsia="zh-CN"/>
    </w:rPr>
  </w:style>
  <w:style w:type="paragraph" w:customStyle="1" w:styleId="276">
    <w:name w:val="标准段落"/>
    <w:basedOn w:val="1"/>
    <w:link w:val="275"/>
    <w:uiPriority w:val="0"/>
    <w:pPr>
      <w:autoSpaceDN w:val="0"/>
      <w:spacing w:line="360" w:lineRule="auto"/>
      <w:ind w:firstLine="480" w:firstLineChars="200"/>
    </w:pPr>
    <w:rPr>
      <w:kern w:val="0"/>
      <w:sz w:val="24"/>
    </w:rPr>
  </w:style>
  <w:style w:type="character" w:customStyle="1" w:styleId="277">
    <w:name w:val="emphasizedtitle1"/>
    <w:uiPriority w:val="0"/>
    <w:rPr>
      <w:rFonts w:hint="default" w:ascii="Arial" w:hAnsi="Arial" w:cs="Arial"/>
      <w:b/>
      <w:bCs/>
      <w:sz w:val="30"/>
      <w:szCs w:val="30"/>
    </w:rPr>
  </w:style>
  <w:style w:type="character" w:customStyle="1" w:styleId="278">
    <w:name w:val="style31"/>
    <w:uiPriority w:val="0"/>
    <w:rPr>
      <w:rFonts w:hint="default" w:ascii="Verdana" w:hAnsi="Verdana"/>
      <w:color w:val="979797"/>
      <w:sz w:val="15"/>
      <w:szCs w:val="15"/>
    </w:rPr>
  </w:style>
  <w:style w:type="character" w:customStyle="1" w:styleId="279">
    <w:name w:val="bds_more"/>
    <w:qFormat/>
    <w:uiPriority w:val="0"/>
  </w:style>
  <w:style w:type="character" w:customStyle="1" w:styleId="280">
    <w:name w:val="WW8Num14z2"/>
    <w:uiPriority w:val="0"/>
    <w:rPr>
      <w:rFonts w:ascii="Wingdings" w:hAnsi="Wingdings"/>
      <w:lang w:val="en-GB"/>
    </w:rPr>
  </w:style>
  <w:style w:type="character" w:customStyle="1" w:styleId="281">
    <w:name w:val="标题2zj Char"/>
    <w:link w:val="282"/>
    <w:uiPriority w:val="0"/>
    <w:rPr>
      <w:rFonts w:ascii="Arial" w:hAnsi="Arial"/>
      <w:b/>
      <w:sz w:val="36"/>
      <w:szCs w:val="32"/>
      <w:lang w:val="en-US" w:eastAsia="zh-CN"/>
    </w:rPr>
  </w:style>
  <w:style w:type="paragraph" w:customStyle="1" w:styleId="282">
    <w:name w:val="标题2zj"/>
    <w:basedOn w:val="3"/>
    <w:link w:val="281"/>
    <w:uiPriority w:val="0"/>
    <w:pPr>
      <w:tabs>
        <w:tab w:val="left" w:pos="284"/>
      </w:tabs>
      <w:snapToGrid/>
      <w:spacing w:before="40" w:after="40" w:line="415" w:lineRule="auto"/>
      <w:ind w:left="420" w:right="100" w:rightChars="100" w:firstLine="0" w:firstLineChars="0"/>
    </w:pPr>
    <w:rPr>
      <w:bCs w:val="0"/>
      <w:kern w:val="0"/>
      <w:sz w:val="36"/>
    </w:rPr>
  </w:style>
  <w:style w:type="character" w:customStyle="1" w:styleId="283">
    <w:name w:val="字元 字元16"/>
    <w:locked/>
    <w:uiPriority w:val="0"/>
    <w:rPr>
      <w:rFonts w:ascii="Times New Roman" w:hAnsi="Times New Roman" w:eastAsia="Times New Roman" w:cs="Times New Roman"/>
      <w:b/>
      <w:lang w:val="en-GB"/>
    </w:rPr>
  </w:style>
  <w:style w:type="character" w:customStyle="1" w:styleId="284">
    <w:name w:val="样式 首行缩进:  2 字符 Char"/>
    <w:link w:val="285"/>
    <w:uiPriority w:val="0"/>
    <w:rPr>
      <w:rFonts w:ascii="宋体" w:hAnsi="宋体"/>
      <w:bCs/>
      <w:color w:val="000000"/>
      <w:sz w:val="24"/>
      <w:szCs w:val="24"/>
    </w:rPr>
  </w:style>
  <w:style w:type="paragraph" w:customStyle="1" w:styleId="285">
    <w:name w:val="样式 首行缩进:  2 字符"/>
    <w:basedOn w:val="1"/>
    <w:link w:val="284"/>
    <w:uiPriority w:val="0"/>
    <w:pPr>
      <w:widowControl/>
      <w:tabs>
        <w:tab w:val="left" w:pos="420"/>
      </w:tabs>
      <w:spacing w:line="360" w:lineRule="auto"/>
    </w:pPr>
    <w:rPr>
      <w:rFonts w:ascii="宋体" w:hAnsi="宋体"/>
      <w:bCs/>
      <w:color w:val="000000"/>
      <w:kern w:val="0"/>
      <w:sz w:val="24"/>
    </w:rPr>
  </w:style>
  <w:style w:type="character" w:customStyle="1" w:styleId="286">
    <w:name w:val="样式 正文首行缩进 + 加粗 Char"/>
    <w:link w:val="287"/>
    <w:uiPriority w:val="0"/>
    <w:rPr>
      <w:b/>
      <w:bCs/>
      <w:szCs w:val="24"/>
    </w:rPr>
  </w:style>
  <w:style w:type="paragraph" w:customStyle="1" w:styleId="287">
    <w:name w:val="样式 正文首行缩进 + 加粗"/>
    <w:basedOn w:val="78"/>
    <w:link w:val="286"/>
    <w:uiPriority w:val="0"/>
    <w:pPr>
      <w:spacing w:before="100" w:beforeAutospacing="1" w:after="100" w:afterAutospacing="1" w:line="360" w:lineRule="auto"/>
      <w:ind w:firstLine="200" w:firstLineChars="200"/>
    </w:pPr>
    <w:rPr>
      <w:b/>
      <w:bCs/>
      <w:kern w:val="0"/>
      <w:sz w:val="20"/>
      <w:szCs w:val="24"/>
    </w:rPr>
  </w:style>
  <w:style w:type="character" w:customStyle="1" w:styleId="288">
    <w:name w:val="表格题注 Char"/>
    <w:link w:val="289"/>
    <w:uiPriority w:val="0"/>
    <w:rPr>
      <w:rFonts w:hAnsi="宋体"/>
      <w:spacing w:val="10"/>
      <w:szCs w:val="24"/>
    </w:rPr>
  </w:style>
  <w:style w:type="paragraph" w:customStyle="1" w:styleId="289">
    <w:name w:val="表格题注"/>
    <w:basedOn w:val="1"/>
    <w:link w:val="288"/>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character" w:customStyle="1" w:styleId="290">
    <w:name w:val="polysemyexp"/>
    <w:qFormat/>
    <w:uiPriority w:val="0"/>
    <w:rPr>
      <w:color w:val="AAAAAA"/>
      <w:sz w:val="18"/>
      <w:szCs w:val="18"/>
    </w:rPr>
  </w:style>
  <w:style w:type="character" w:customStyle="1" w:styleId="291">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bidi="ar-SA"/>
    </w:rPr>
  </w:style>
  <w:style w:type="character" w:customStyle="1" w:styleId="292">
    <w:name w:val="font01"/>
    <w:qFormat/>
    <w:uiPriority w:val="0"/>
    <w:rPr>
      <w:rFonts w:hint="eastAsia" w:ascii="宋体" w:hAnsi="宋体" w:eastAsia="宋体" w:cs="宋体"/>
      <w:color w:val="000000"/>
      <w:sz w:val="22"/>
      <w:szCs w:val="22"/>
      <w:u w:val="none"/>
    </w:rPr>
  </w:style>
  <w:style w:type="character" w:customStyle="1" w:styleId="293">
    <w:name w:val="中等深浅网格 1 - 强调文字颜色 2 Char"/>
    <w:link w:val="294"/>
    <w:qFormat/>
    <w:locked/>
    <w:uiPriority w:val="99"/>
    <w:rPr>
      <w:rFonts w:ascii="Calibri" w:hAnsi="Calibri"/>
    </w:rPr>
  </w:style>
  <w:style w:type="paragraph" w:customStyle="1" w:styleId="294">
    <w:name w:val="中等深浅网格 1 - 强调文字颜色 21"/>
    <w:basedOn w:val="1"/>
    <w:link w:val="293"/>
    <w:qFormat/>
    <w:uiPriority w:val="99"/>
    <w:pPr>
      <w:ind w:firstLine="420" w:firstLineChars="200"/>
    </w:pPr>
    <w:rPr>
      <w:rFonts w:ascii="Calibri" w:hAnsi="Calibri"/>
      <w:kern w:val="0"/>
      <w:sz w:val="20"/>
      <w:szCs w:val="20"/>
    </w:rPr>
  </w:style>
  <w:style w:type="character" w:customStyle="1" w:styleId="295">
    <w:name w:val="正文非缩进 Char"/>
    <w:qFormat/>
    <w:uiPriority w:val="0"/>
    <w:rPr>
      <w:rFonts w:ascii="??" w:eastAsia="??"/>
      <w:snapToGrid w:val="0"/>
      <w:color w:val="000000"/>
      <w:kern w:val="28"/>
      <w:sz w:val="28"/>
      <w:lang w:val="en-US" w:eastAsia="zh-CN" w:bidi="ar-SA"/>
    </w:rPr>
  </w:style>
  <w:style w:type="character" w:customStyle="1" w:styleId="296">
    <w:name w:val="MOT-Text-1 Char Char Char"/>
    <w:link w:val="297"/>
    <w:uiPriority w:val="0"/>
    <w:rPr>
      <w:sz w:val="22"/>
      <w:szCs w:val="24"/>
    </w:rPr>
  </w:style>
  <w:style w:type="paragraph" w:customStyle="1" w:styleId="297">
    <w:name w:val="MOT-Text-1 Char Char"/>
    <w:basedOn w:val="1"/>
    <w:link w:val="296"/>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298">
    <w:name w:val="font51"/>
    <w:uiPriority w:val="0"/>
    <w:rPr>
      <w:rFonts w:hint="eastAsia" w:ascii="宋体" w:hAnsi="宋体" w:eastAsia="宋体" w:cs="宋体"/>
      <w:color w:val="FF0000"/>
      <w:sz w:val="20"/>
      <w:szCs w:val="20"/>
      <w:u w:val="none"/>
    </w:rPr>
  </w:style>
  <w:style w:type="character" w:customStyle="1" w:styleId="299">
    <w:name w:val="Anchor (A)"/>
    <w:uiPriority w:val="0"/>
    <w:rPr>
      <w:color w:val="0000FF"/>
      <w:u w:val="single"/>
    </w:rPr>
  </w:style>
  <w:style w:type="character" w:customStyle="1" w:styleId="300">
    <w:name w:val="style10"/>
    <w:qFormat/>
    <w:uiPriority w:val="0"/>
  </w:style>
  <w:style w:type="character" w:customStyle="1" w:styleId="301">
    <w:name w:val="apple-style-span"/>
    <w:qFormat/>
    <w:uiPriority w:val="0"/>
  </w:style>
  <w:style w:type="character" w:customStyle="1" w:styleId="302">
    <w:name w:val="正文加粗 Char1"/>
    <w:link w:val="303"/>
    <w:uiPriority w:val="0"/>
    <w:rPr>
      <w:rFonts w:ascii="Arial" w:hAnsi="Arial"/>
      <w:b/>
      <w:sz w:val="24"/>
    </w:rPr>
  </w:style>
  <w:style w:type="paragraph" w:customStyle="1" w:styleId="303">
    <w:name w:val="正文加粗"/>
    <w:basedOn w:val="1"/>
    <w:link w:val="302"/>
    <w:uiPriority w:val="0"/>
    <w:pPr>
      <w:widowControl/>
      <w:spacing w:line="360" w:lineRule="auto"/>
      <w:ind w:firstLine="200" w:firstLineChars="200"/>
      <w:jc w:val="left"/>
    </w:pPr>
    <w:rPr>
      <w:rFonts w:ascii="Arial" w:hAnsi="Arial"/>
      <w:b/>
      <w:kern w:val="0"/>
      <w:sz w:val="24"/>
      <w:szCs w:val="20"/>
    </w:rPr>
  </w:style>
  <w:style w:type="character" w:customStyle="1" w:styleId="304">
    <w:name w:val="AP_Body Char Char1"/>
    <w:locked/>
    <w:uiPriority w:val="0"/>
    <w:rPr>
      <w:rFonts w:ascii="Futura Bk" w:hAnsi="Futura Bk" w:eastAsia="MS Mincho" w:cs="Futura Bk"/>
      <w:color w:val="000000"/>
      <w:sz w:val="17"/>
      <w:szCs w:val="17"/>
      <w:lang w:val="en-US"/>
    </w:rPr>
  </w:style>
  <w:style w:type="character" w:customStyle="1" w:styleId="305">
    <w:name w:val="样式 题注 + (西文) Times New Roman (中文) 宋体 五号 Char"/>
    <w:link w:val="306"/>
    <w:uiPriority w:val="0"/>
    <w:rPr>
      <w:rFonts w:cs="Arial"/>
      <w:b/>
      <w:sz w:val="18"/>
    </w:rPr>
  </w:style>
  <w:style w:type="paragraph" w:customStyle="1" w:styleId="306">
    <w:name w:val="样式 题注 + (西文) Times New Roman (中文) 宋体 五号"/>
    <w:basedOn w:val="22"/>
    <w:link w:val="305"/>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character" w:customStyle="1" w:styleId="307">
    <w:name w:val="标准正文格式 Char"/>
    <w:link w:val="308"/>
    <w:uiPriority w:val="0"/>
    <w:rPr>
      <w:rFonts w:ascii="宋体" w:eastAsia="仿宋_GB2312"/>
      <w:color w:val="000000"/>
      <w:sz w:val="32"/>
    </w:rPr>
  </w:style>
  <w:style w:type="paragraph" w:customStyle="1" w:styleId="308">
    <w:name w:val="标准正文格式"/>
    <w:basedOn w:val="1"/>
    <w:link w:val="307"/>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character" w:customStyle="1" w:styleId="309">
    <w:name w:val="*Bullet #1 Double Char"/>
    <w:link w:val="310"/>
    <w:uiPriority w:val="0"/>
    <w:rPr>
      <w:rFonts w:ascii="Arial" w:hAnsi="Arial"/>
      <w:color w:val="000000"/>
      <w:sz w:val="21"/>
      <w:lang w:eastAsia="en-US"/>
    </w:rPr>
  </w:style>
  <w:style w:type="paragraph" w:customStyle="1" w:styleId="310">
    <w:name w:val="*Bullet #1 Double"/>
    <w:basedOn w:val="1"/>
    <w:link w:val="309"/>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character" w:customStyle="1" w:styleId="311">
    <w:name w:val="style4"/>
    <w:uiPriority w:val="0"/>
  </w:style>
  <w:style w:type="character" w:customStyle="1" w:styleId="312">
    <w:name w:val="codeintext Char"/>
    <w:uiPriority w:val="0"/>
    <w:rPr>
      <w:rFonts w:ascii="Courier New" w:hAnsi="Courier New"/>
      <w:sz w:val="18"/>
      <w:lang w:val="en-US" w:eastAsia="en-US" w:bidi="ar-SA"/>
    </w:rPr>
  </w:style>
  <w:style w:type="character" w:customStyle="1" w:styleId="313">
    <w:name w:val="style3"/>
    <w:uiPriority w:val="0"/>
  </w:style>
  <w:style w:type="character" w:customStyle="1" w:styleId="314">
    <w:name w:val="WW8Num18z1"/>
    <w:uiPriority w:val="0"/>
    <w:rPr>
      <w:rFonts w:ascii="Courier New" w:hAnsi="Courier New"/>
      <w:lang w:val="en-GB"/>
    </w:rPr>
  </w:style>
  <w:style w:type="character" w:customStyle="1" w:styleId="315">
    <w:name w:val="样式 样式 样式 正文首行缩进 + 首行缩进:  1 字符 + 首行缩进:  2 字符 + 首行缩进:  2 字符 Char"/>
    <w:link w:val="316"/>
    <w:uiPriority w:val="0"/>
    <w:rPr>
      <w:sz w:val="24"/>
    </w:rPr>
  </w:style>
  <w:style w:type="paragraph" w:customStyle="1" w:styleId="316">
    <w:name w:val="样式 样式 样式 正文首行缩进 + 首行缩进:  1 字符 + 首行缩进:  2 字符 + 首行缩进:  2 字符"/>
    <w:basedOn w:val="1"/>
    <w:link w:val="315"/>
    <w:uiPriority w:val="0"/>
    <w:pPr>
      <w:tabs>
        <w:tab w:val="left" w:pos="390"/>
      </w:tabs>
      <w:spacing w:after="120" w:line="360" w:lineRule="auto"/>
      <w:ind w:firstLine="425" w:firstLineChars="177"/>
      <w:jc w:val="left"/>
    </w:pPr>
    <w:rPr>
      <w:kern w:val="0"/>
      <w:sz w:val="24"/>
      <w:szCs w:val="20"/>
    </w:rPr>
  </w:style>
  <w:style w:type="character" w:customStyle="1" w:styleId="317">
    <w:name w:val="称呼 Char2"/>
    <w:uiPriority w:val="0"/>
    <w:rPr>
      <w:kern w:val="2"/>
      <w:sz w:val="21"/>
      <w:szCs w:val="24"/>
    </w:rPr>
  </w:style>
  <w:style w:type="character" w:customStyle="1" w:styleId="318">
    <w:name w:val="*Heading 3 Char"/>
    <w:link w:val="319"/>
    <w:uiPriority w:val="0"/>
    <w:rPr>
      <w:rFonts w:ascii="Verdana" w:hAnsi="Verdana"/>
      <w:b/>
      <w:sz w:val="24"/>
      <w:szCs w:val="24"/>
      <w:lang w:val="en-US" w:eastAsia="en-US" w:bidi="ar-SA"/>
    </w:rPr>
  </w:style>
  <w:style w:type="paragraph" w:customStyle="1" w:styleId="319">
    <w:name w:val="*Heading 3"/>
    <w:next w:val="272"/>
    <w:link w:val="318"/>
    <w:uiPriority w:val="0"/>
    <w:pPr>
      <w:keepNext/>
      <w:keepLines/>
      <w:spacing w:before="120" w:after="120" w:line="360" w:lineRule="auto"/>
      <w:ind w:left="240" w:leftChars="100" w:right="100" w:rightChars="100"/>
      <w:outlineLvl w:val="3"/>
    </w:pPr>
    <w:rPr>
      <w:rFonts w:ascii="Verdana" w:hAnsi="Verdana"/>
      <w:b/>
      <w:sz w:val="24"/>
      <w:szCs w:val="24"/>
      <w:lang w:val="en-US" w:eastAsia="en-US" w:bidi="ar-SA"/>
    </w:rPr>
  </w:style>
  <w:style w:type="character" w:customStyle="1" w:styleId="320">
    <w:name w:val="表格编号 Char"/>
    <w:link w:val="321"/>
    <w:uiPriority w:val="0"/>
    <w:rPr>
      <w:rFonts w:ascii="Arial" w:hAnsi="Arial"/>
      <w:szCs w:val="24"/>
    </w:rPr>
  </w:style>
  <w:style w:type="paragraph" w:customStyle="1" w:styleId="321">
    <w:name w:val="表格编号"/>
    <w:basedOn w:val="239"/>
    <w:next w:val="1"/>
    <w:link w:val="320"/>
    <w:uiPriority w:val="0"/>
    <w:pPr>
      <w:tabs>
        <w:tab w:val="left" w:pos="0"/>
      </w:tabs>
      <w:ind w:left="0" w:firstLine="0"/>
    </w:pPr>
    <w:rPr>
      <w:kern w:val="0"/>
      <w:sz w:val="20"/>
    </w:rPr>
  </w:style>
  <w:style w:type="character" w:customStyle="1" w:styleId="322">
    <w:name w:val="正文缩进 Char1"/>
    <w:aliases w:val="表正文 Char1,正文非缩进 Char1,特点 Char1,body text Char,鋘drad Char,???änd Char,Body Text(ch) Char,正文（首行缩进两字） Char Char Char,正文（首行缩进两字） Char Char1,正文非缩进 Char Char,段1 Char,正文缩进 Char Char,缩进 Char,ALT+Z Char,bt Char,?y????×? Char,?y???? Char, Char,水上软件 Ch"/>
    <w:uiPriority w:val="0"/>
    <w:rPr>
      <w:rFonts w:ascii="Times New Roman" w:hAnsi="Times New Roman"/>
      <w:kern w:val="2"/>
      <w:sz w:val="21"/>
      <w:szCs w:val="24"/>
    </w:rPr>
  </w:style>
  <w:style w:type="character" w:customStyle="1" w:styleId="323">
    <w:name w:val="字元 字元6"/>
    <w:locked/>
    <w:uiPriority w:val="0"/>
    <w:rPr>
      <w:rFonts w:ascii="Arial" w:hAnsi="Arial" w:eastAsia="Times New Roman" w:cs="Times New Roman"/>
      <w:lang w:val="en-GB"/>
    </w:rPr>
  </w:style>
  <w:style w:type="character" w:customStyle="1" w:styleId="324">
    <w:name w:val="1正文 Char"/>
    <w:link w:val="325"/>
    <w:uiPriority w:val="0"/>
    <w:rPr>
      <w:rFonts w:ascii="宋体" w:hAnsi="宋体"/>
      <w:kern w:val="2"/>
      <w:sz w:val="28"/>
      <w:szCs w:val="28"/>
    </w:rPr>
  </w:style>
  <w:style w:type="paragraph" w:customStyle="1" w:styleId="325">
    <w:name w:val="1正文"/>
    <w:basedOn w:val="1"/>
    <w:link w:val="324"/>
    <w:uiPriority w:val="0"/>
    <w:pPr>
      <w:snapToGrid w:val="0"/>
      <w:spacing w:line="360" w:lineRule="auto"/>
      <w:ind w:firstLine="560" w:firstLineChars="200"/>
    </w:pPr>
    <w:rPr>
      <w:rFonts w:ascii="宋体" w:hAnsi="宋体"/>
      <w:sz w:val="28"/>
      <w:szCs w:val="28"/>
    </w:rPr>
  </w:style>
  <w:style w:type="character" w:customStyle="1" w:styleId="326">
    <w:name w:val="Line numbering"/>
    <w:uiPriority w:val="0"/>
    <w:rPr>
      <w:lang w:val="en-GB"/>
    </w:rPr>
  </w:style>
  <w:style w:type="character" w:customStyle="1" w:styleId="327">
    <w:name w:val="tw4winPopup"/>
    <w:uiPriority w:val="0"/>
    <w:rPr>
      <w:rFonts w:ascii="Courier New" w:hAnsi="Courier New" w:cs="Courier New"/>
      <w:color w:val="008000"/>
      <w:lang w:val="en-US" w:eastAsia="zh-CN"/>
    </w:rPr>
  </w:style>
  <w:style w:type="character" w:customStyle="1" w:styleId="328">
    <w:name w:val="正文不缩进 Char1"/>
    <w:qFormat/>
    <w:uiPriority w:val="0"/>
    <w:rPr>
      <w:rFonts w:eastAsia="宋体"/>
      <w:sz w:val="24"/>
      <w:szCs w:val="24"/>
      <w:lang w:val="en-US" w:eastAsia="zh-CN" w:bidi="ar-SA"/>
    </w:rPr>
  </w:style>
  <w:style w:type="character" w:customStyle="1" w:styleId="329">
    <w:name w:val="Strong Emphasis"/>
    <w:locked/>
    <w:uiPriority w:val="0"/>
    <w:rPr>
      <w:b/>
      <w:lang w:val="en-GB"/>
    </w:rPr>
  </w:style>
  <w:style w:type="character" w:customStyle="1" w:styleId="330">
    <w:name w:val="图形题注 Char"/>
    <w:link w:val="331"/>
    <w:uiPriority w:val="0"/>
    <w:rPr>
      <w:rFonts w:hAnsi="宋体"/>
      <w:spacing w:val="10"/>
      <w:sz w:val="24"/>
      <w:szCs w:val="24"/>
    </w:rPr>
  </w:style>
  <w:style w:type="paragraph" w:customStyle="1" w:styleId="331">
    <w:name w:val="图形题注"/>
    <w:basedOn w:val="1"/>
    <w:next w:val="1"/>
    <w:link w:val="330"/>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character" w:styleId="332">
    <w:name w:val=""/>
    <w:qFormat/>
    <w:uiPriority w:val="21"/>
    <w:rPr>
      <w:b/>
      <w:bCs/>
      <w:i/>
      <w:iCs/>
      <w:color w:val="4F81BD"/>
    </w:rPr>
  </w:style>
  <w:style w:type="character" w:customStyle="1" w:styleId="333">
    <w:name w:val="*Body Text Char Char Char Char"/>
    <w:link w:val="334"/>
    <w:uiPriority w:val="0"/>
    <w:rPr>
      <w:rFonts w:ascii="Arial" w:hAnsi="Arial"/>
      <w:color w:val="000000"/>
      <w:kern w:val="2"/>
      <w:sz w:val="21"/>
      <w:szCs w:val="22"/>
      <w:lang w:val="en-US" w:eastAsia="en-US" w:bidi="ar-SA"/>
    </w:rPr>
  </w:style>
  <w:style w:type="paragraph" w:customStyle="1" w:styleId="334">
    <w:name w:val="*Body Text Char Char Char"/>
    <w:link w:val="333"/>
    <w:uiPriority w:val="0"/>
    <w:pPr>
      <w:spacing w:after="220" w:line="220" w:lineRule="atLeast"/>
    </w:pPr>
    <w:rPr>
      <w:rFonts w:ascii="Arial" w:hAnsi="Arial"/>
      <w:color w:val="000000"/>
      <w:kern w:val="2"/>
      <w:sz w:val="21"/>
      <w:szCs w:val="22"/>
      <w:lang w:val="en-US" w:eastAsia="en-US" w:bidi="ar-SA"/>
    </w:rPr>
  </w:style>
  <w:style w:type="character" w:customStyle="1" w:styleId="335">
    <w:name w:val="样式 标准段落 + 首行缩进:  2 字符 Char"/>
    <w:link w:val="336"/>
    <w:uiPriority w:val="0"/>
    <w:rPr>
      <w:rFonts w:ascii="宋体" w:hAnsi="宋体"/>
      <w:sz w:val="24"/>
    </w:rPr>
  </w:style>
  <w:style w:type="paragraph" w:customStyle="1" w:styleId="336">
    <w:name w:val="样式 标准段落 + 首行缩进:  2 字符"/>
    <w:basedOn w:val="1"/>
    <w:link w:val="335"/>
    <w:uiPriority w:val="0"/>
    <w:pPr>
      <w:tabs>
        <w:tab w:val="left" w:pos="820"/>
      </w:tabs>
      <w:autoSpaceDN w:val="0"/>
      <w:spacing w:line="360" w:lineRule="auto"/>
      <w:ind w:firstLine="480" w:firstLineChars="200"/>
      <w:textAlignment w:val="baseline"/>
    </w:pPr>
    <w:rPr>
      <w:rFonts w:ascii="宋体" w:hAnsi="宋体"/>
      <w:kern w:val="0"/>
      <w:sz w:val="24"/>
      <w:szCs w:val="20"/>
    </w:rPr>
  </w:style>
  <w:style w:type="character" w:customStyle="1" w:styleId="337">
    <w:name w:val="WW8Num11z1"/>
    <w:uiPriority w:val="0"/>
    <w:rPr>
      <w:rFonts w:ascii="Courier New" w:hAnsi="Courier New"/>
      <w:lang w:val="en-GB"/>
    </w:rPr>
  </w:style>
  <w:style w:type="character" w:customStyle="1" w:styleId="338">
    <w:name w:val="WW-Default Paragraph Font"/>
    <w:uiPriority w:val="0"/>
    <w:rPr>
      <w:lang w:val="en-GB"/>
    </w:rPr>
  </w:style>
  <w:style w:type="character" w:customStyle="1" w:styleId="339">
    <w:name w:val="字元 字元8"/>
    <w:locked/>
    <w:uiPriority w:val="0"/>
    <w:rPr>
      <w:rFonts w:ascii="Times New Roman" w:hAnsi="Times New Roman" w:eastAsia="Times New Roman" w:cs="Times New Roman"/>
      <w:lang w:val="en-GB"/>
    </w:rPr>
  </w:style>
  <w:style w:type="character" w:customStyle="1" w:styleId="340">
    <w:name w:val="首行缩进 Char"/>
    <w:link w:val="341"/>
    <w:qFormat/>
    <w:uiPriority w:val="0"/>
    <w:rPr>
      <w:rFonts w:ascii="Arial" w:hAnsi="Arial"/>
      <w:sz w:val="21"/>
    </w:rPr>
  </w:style>
  <w:style w:type="paragraph" w:customStyle="1" w:styleId="341">
    <w:name w:val="首行缩进"/>
    <w:basedOn w:val="1"/>
    <w:link w:val="340"/>
    <w:qFormat/>
    <w:uiPriority w:val="0"/>
    <w:pPr>
      <w:widowControl/>
      <w:tabs>
        <w:tab w:val="left" w:pos="822"/>
      </w:tabs>
      <w:snapToGrid w:val="0"/>
      <w:spacing w:before="40" w:after="40" w:line="300" w:lineRule="atLeast"/>
      <w:ind w:left="2940" w:hanging="420"/>
    </w:pPr>
    <w:rPr>
      <w:rFonts w:ascii="Arial" w:hAnsi="Arial"/>
      <w:kern w:val="0"/>
      <w:szCs w:val="20"/>
    </w:rPr>
  </w:style>
  <w:style w:type="character" w:customStyle="1" w:styleId="342">
    <w:name w:val="titlepurple1"/>
    <w:uiPriority w:val="0"/>
    <w:rPr>
      <w:b/>
      <w:bCs/>
      <w:color w:val="845A92"/>
      <w:sz w:val="37"/>
      <w:szCs w:val="37"/>
    </w:rPr>
  </w:style>
  <w:style w:type="character" w:customStyle="1" w:styleId="343">
    <w:name w:val="样式 标书应答 + 首行缩进:  1 字符1 Char"/>
    <w:link w:val="344"/>
    <w:uiPriority w:val="0"/>
    <w:rPr>
      <w:rFonts w:ascii="Arial" w:hAnsi="Arial"/>
      <w:b/>
      <w:bCs/>
      <w:i/>
      <w:iCs/>
      <w:sz w:val="24"/>
      <w:szCs w:val="24"/>
      <w:em w:val="dot"/>
    </w:rPr>
  </w:style>
  <w:style w:type="paragraph" w:customStyle="1" w:styleId="344">
    <w:name w:val="样式 标书应答 + 首行缩进:  1 字符1"/>
    <w:basedOn w:val="1"/>
    <w:link w:val="343"/>
    <w:uiPriority w:val="0"/>
    <w:pPr>
      <w:tabs>
        <w:tab w:val="left" w:pos="390"/>
      </w:tabs>
      <w:spacing w:after="120"/>
      <w:ind w:firstLine="211" w:firstLineChars="177"/>
      <w:jc w:val="left"/>
    </w:pPr>
    <w:rPr>
      <w:rFonts w:ascii="Arial" w:hAnsi="Arial"/>
      <w:b/>
      <w:bCs/>
      <w:i/>
      <w:iCs/>
      <w:kern w:val="0"/>
      <w:sz w:val="24"/>
      <w:em w:val="dot"/>
    </w:rPr>
  </w:style>
  <w:style w:type="character" w:customStyle="1" w:styleId="345">
    <w:name w:val="Char Char Char"/>
    <w:link w:val="346"/>
    <w:qFormat/>
    <w:uiPriority w:val="0"/>
    <w:rPr>
      <w:rFonts w:ascii="宋体" w:hAnsi="宋体" w:eastAsia="宋体"/>
      <w:b/>
      <w:kern w:val="2"/>
      <w:sz w:val="21"/>
      <w:szCs w:val="21"/>
      <w:lang w:val="en-US" w:eastAsia="zh-CN" w:bidi="ar-SA"/>
    </w:rPr>
  </w:style>
  <w:style w:type="paragraph" w:customStyle="1" w:styleId="346">
    <w:name w:val="Char3"/>
    <w:basedOn w:val="53"/>
    <w:next w:val="53"/>
    <w:link w:val="345"/>
    <w:qFormat/>
    <w:uiPriority w:val="0"/>
    <w:pPr>
      <w:snapToGrid/>
      <w:jc w:val="right"/>
    </w:pPr>
    <w:rPr>
      <w:rFonts w:ascii="宋体" w:hAnsi="宋体"/>
      <w:b/>
      <w:sz w:val="21"/>
      <w:szCs w:val="21"/>
    </w:rPr>
  </w:style>
  <w:style w:type="character" w:customStyle="1" w:styleId="347">
    <w:name w:val="font121"/>
    <w:qFormat/>
    <w:uiPriority w:val="0"/>
    <w:rPr>
      <w:rFonts w:hint="eastAsia" w:ascii="宋体" w:hAnsi="宋体" w:eastAsia="宋体" w:cs="宋体"/>
      <w:color w:val="000000"/>
      <w:sz w:val="20"/>
      <w:szCs w:val="20"/>
      <w:u w:val="none"/>
    </w:rPr>
  </w:style>
  <w:style w:type="character" w:customStyle="1" w:styleId="348">
    <w:name w:val="普通文字 Char Char2"/>
    <w:aliases w:val="普通文字1 Char2,普通文字2 Char1,普通文字3 Char1,普通文字4 Char1,普通文字5 Char1,普通文字6 Char1,普通文字11 Char1,普通文字21 Char1,普通文字31 Char1,普通文字41 Char1,普通文字7 Char1,正 文 1 Char2,普通文字 Char Char Char Char2,纯文本 Char1,普通文字 Char2,纯文本 Char Char Char1,纯文本 Char Char2"/>
    <w:qFormat/>
    <w:uiPriority w:val="0"/>
    <w:rPr>
      <w:rFonts w:ascii="宋体" w:hAnsi="Courier New" w:eastAsia="宋体"/>
      <w:kern w:val="2"/>
      <w:sz w:val="21"/>
      <w:lang w:val="en-US" w:eastAsia="zh-CN" w:bidi="ar-SA"/>
    </w:rPr>
  </w:style>
  <w:style w:type="character" w:customStyle="1" w:styleId="349">
    <w:name w:val="附录 Char Char"/>
    <w:link w:val="350"/>
    <w:qFormat/>
    <w:uiPriority w:val="0"/>
    <w:rPr>
      <w:rFonts w:ascii="楷体_GB2312" w:hAnsi="华文细黑" w:eastAsia="方正姚体"/>
      <w:kern w:val="2"/>
      <w:sz w:val="30"/>
      <w:szCs w:val="24"/>
    </w:rPr>
  </w:style>
  <w:style w:type="paragraph" w:customStyle="1" w:styleId="350">
    <w:name w:val="附录"/>
    <w:basedOn w:val="1"/>
    <w:next w:val="1"/>
    <w:link w:val="349"/>
    <w:qFormat/>
    <w:uiPriority w:val="0"/>
    <w:pPr>
      <w:jc w:val="left"/>
      <w:outlineLvl w:val="1"/>
    </w:pPr>
    <w:rPr>
      <w:rFonts w:ascii="楷体_GB2312" w:hAnsi="华文细黑" w:eastAsia="方正姚体"/>
      <w:sz w:val="30"/>
    </w:rPr>
  </w:style>
  <w:style w:type="character" w:customStyle="1" w:styleId="351">
    <w:name w:val="字元 字元21"/>
    <w:locked/>
    <w:uiPriority w:val="0"/>
    <w:rPr>
      <w:rFonts w:ascii="Cambria" w:hAnsi="Cambria" w:eastAsia="Times New Roman" w:cs="Times New Roman"/>
      <w:b/>
      <w:bCs/>
      <w:color w:val="4F81BD"/>
      <w:sz w:val="26"/>
      <w:szCs w:val="26"/>
    </w:rPr>
  </w:style>
  <w:style w:type="character" w:customStyle="1" w:styleId="352">
    <w:name w:val="列表框2 Char"/>
    <w:uiPriority w:val="0"/>
    <w:rPr>
      <w:rFonts w:ascii="楷体_GB2312" w:hAnsi="宋体" w:cs="宋体"/>
      <w:color w:val="000000"/>
      <w:spacing w:val="10"/>
      <w:sz w:val="24"/>
      <w:szCs w:val="24"/>
    </w:rPr>
  </w:style>
  <w:style w:type="character" w:customStyle="1" w:styleId="353">
    <w:name w:val="标题 Char1"/>
    <w:uiPriority w:val="0"/>
    <w:rPr>
      <w:rFonts w:ascii="Cambria" w:hAnsi="Cambria" w:cs="Times New Roman"/>
      <w:b/>
      <w:bCs/>
      <w:kern w:val="2"/>
      <w:sz w:val="32"/>
      <w:szCs w:val="32"/>
    </w:rPr>
  </w:style>
  <w:style w:type="character" w:customStyle="1" w:styleId="354">
    <w:name w:val="ZK_列表项目符号 Char"/>
    <w:link w:val="355"/>
    <w:uiPriority w:val="0"/>
    <w:rPr>
      <w:kern w:val="2"/>
      <w:sz w:val="24"/>
    </w:rPr>
  </w:style>
  <w:style w:type="paragraph" w:customStyle="1" w:styleId="355">
    <w:name w:val="ZK_列表项目符号"/>
    <w:basedOn w:val="1"/>
    <w:next w:val="1"/>
    <w:link w:val="354"/>
    <w:uiPriority w:val="0"/>
    <w:pPr>
      <w:tabs>
        <w:tab w:val="left" w:pos="390"/>
        <w:tab w:val="left" w:pos="907"/>
      </w:tabs>
      <w:spacing w:line="300" w:lineRule="auto"/>
      <w:ind w:left="2040" w:firstLine="177" w:firstLineChars="177"/>
    </w:pPr>
    <w:rPr>
      <w:sz w:val="24"/>
      <w:szCs w:val="20"/>
    </w:rPr>
  </w:style>
  <w:style w:type="character" w:customStyle="1" w:styleId="356">
    <w:name w:val="公文正文 Char"/>
    <w:link w:val="357"/>
    <w:uiPriority w:val="0"/>
    <w:rPr>
      <w:rFonts w:ascii="??_GB2312" w:hAnsi="??_GB2312" w:eastAsia="??_GB2312"/>
      <w:kern w:val="2"/>
      <w:sz w:val="24"/>
      <w:szCs w:val="24"/>
    </w:rPr>
  </w:style>
  <w:style w:type="paragraph" w:customStyle="1" w:styleId="357">
    <w:name w:val="公文正文"/>
    <w:basedOn w:val="1"/>
    <w:link w:val="356"/>
    <w:qFormat/>
    <w:uiPriority w:val="0"/>
    <w:pPr>
      <w:spacing w:before="156" w:line="360" w:lineRule="auto"/>
      <w:ind w:firstLine="200" w:firstLineChars="200"/>
    </w:pPr>
    <w:rPr>
      <w:rFonts w:ascii="??_GB2312" w:hAnsi="??_GB2312" w:eastAsia="??_GB2312"/>
      <w:sz w:val="24"/>
    </w:rPr>
  </w:style>
  <w:style w:type="character" w:customStyle="1" w:styleId="358">
    <w:name w:val="正文文本缩进 Char"/>
    <w:aliases w:val="PI Char,HD正文1 Char,正文小标题 Char,正文文字首行缩进 Char,正文文字3 Char,正文顶格 Char"/>
    <w:uiPriority w:val="0"/>
    <w:rPr>
      <w:rFonts w:ascii="Calibri" w:hAnsi="Calibri" w:eastAsia="宋体" w:cs="Times New Roman"/>
    </w:rPr>
  </w:style>
  <w:style w:type="character" w:customStyle="1" w:styleId="359">
    <w:name w:val="正文2 Char"/>
    <w:qFormat/>
    <w:locked/>
    <w:uiPriority w:val="0"/>
    <w:rPr>
      <w:rFonts w:eastAsia="宋体"/>
      <w:kern w:val="2"/>
      <w:sz w:val="24"/>
      <w:lang w:val="en-US" w:eastAsia="zh-CN" w:bidi="ar-SA"/>
    </w:rPr>
  </w:style>
  <w:style w:type="character" w:customStyle="1" w:styleId="360">
    <w:name w:val="字元 字元9"/>
    <w:locked/>
    <w:uiPriority w:val="0"/>
    <w:rPr>
      <w:rFonts w:ascii="Arial" w:hAnsi="Arial" w:eastAsia="Times New Roman" w:cs="Times New Roman"/>
      <w:color w:val="000000"/>
      <w:sz w:val="24"/>
      <w:szCs w:val="24"/>
    </w:rPr>
  </w:style>
  <w:style w:type="character" w:customStyle="1" w:styleId="361">
    <w:name w:val="font31"/>
    <w:qFormat/>
    <w:uiPriority w:val="0"/>
    <w:rPr>
      <w:rFonts w:hint="eastAsia" w:ascii="宋体" w:hAnsi="宋体" w:eastAsia="宋体" w:cs="宋体"/>
      <w:color w:val="000000"/>
      <w:sz w:val="20"/>
      <w:szCs w:val="20"/>
      <w:u w:val="none"/>
    </w:rPr>
  </w:style>
  <w:style w:type="character" w:customStyle="1" w:styleId="362">
    <w:name w:val="标题 2 Char1"/>
    <w:aliases w:val="H2 Char,HD2 Char,PIM2 Char,Heading 2 Hidden Char,Heading 2 CCBS Char,heading 2 Char,Titre3 Char,sect 1.2 Char,H21 Char,sect 1.21 Char,H22 Char,sect 1.22 Char,H211 Char,sect 1.211 Char,H23 Char,sect 1.23 Char,H212 Char,sect 1.212 Char,h2 Char"/>
    <w:uiPriority w:val="0"/>
    <w:rPr>
      <w:rFonts w:ascii="Arial" w:hAnsi="Arial" w:eastAsia="黑体" w:cs="Times New Roman"/>
      <w:b/>
      <w:bCs/>
      <w:sz w:val="32"/>
      <w:szCs w:val="32"/>
    </w:rPr>
  </w:style>
  <w:style w:type="character" w:customStyle="1" w:styleId="363">
    <w:name w:val="WW8Num10z0"/>
    <w:uiPriority w:val="0"/>
    <w:rPr>
      <w:rFonts w:ascii="Symbol" w:hAnsi="Symbol"/>
      <w:lang w:val="en-GB"/>
    </w:rPr>
  </w:style>
  <w:style w:type="character" w:customStyle="1" w:styleId="364">
    <w:name w:val="bds_more3"/>
    <w:qFormat/>
    <w:uiPriority w:val="0"/>
    <w:rPr>
      <w:rFonts w:hint="eastAsia" w:ascii="宋体" w:hAnsi="宋体" w:eastAsia="宋体" w:cs="宋体"/>
    </w:rPr>
  </w:style>
  <w:style w:type="character" w:customStyle="1" w:styleId="365">
    <w:name w:val="内容文本 Char Char"/>
    <w:link w:val="366"/>
    <w:uiPriority w:val="0"/>
    <w:rPr>
      <w:color w:val="000000"/>
      <w:spacing w:val="10"/>
      <w:sz w:val="24"/>
      <w:szCs w:val="24"/>
    </w:rPr>
  </w:style>
  <w:style w:type="paragraph" w:customStyle="1" w:styleId="366">
    <w:name w:val="内容文本"/>
    <w:basedOn w:val="1"/>
    <w:link w:val="365"/>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character" w:customStyle="1" w:styleId="367">
    <w:name w:val="unnamed51"/>
    <w:qFormat/>
    <w:uiPriority w:val="0"/>
    <w:rPr>
      <w:sz w:val="22"/>
      <w:szCs w:val="22"/>
    </w:rPr>
  </w:style>
  <w:style w:type="character" w:customStyle="1" w:styleId="368">
    <w:name w:val="bookmark-item uuid-1588129097073 code-23007 addword single-line-text-input-box-cls readonly"/>
    <w:qFormat/>
    <w:uiPriority w:val="0"/>
  </w:style>
  <w:style w:type="character" w:customStyle="1" w:styleId="369">
    <w:name w:val="op_dq01_title"/>
    <w:uiPriority w:val="0"/>
  </w:style>
  <w:style w:type="character" w:customStyle="1" w:styleId="370">
    <w:name w:val="*Bullet #1 Single Char"/>
    <w:link w:val="371"/>
    <w:uiPriority w:val="0"/>
    <w:rPr>
      <w:rFonts w:ascii="Arial" w:hAnsi="Arial"/>
      <w:color w:val="000000"/>
      <w:lang w:eastAsia="en-US"/>
    </w:rPr>
  </w:style>
  <w:style w:type="paragraph" w:customStyle="1" w:styleId="371">
    <w:name w:val="*Bullet #1 Single"/>
    <w:basedOn w:val="272"/>
    <w:link w:val="370"/>
    <w:uiPriority w:val="0"/>
    <w:pPr>
      <w:tabs>
        <w:tab w:val="left" w:pos="1080"/>
      </w:tabs>
      <w:ind w:left="950" w:hanging="230"/>
    </w:pPr>
    <w:rPr>
      <w:rFonts w:ascii="Arial" w:hAnsi="Arial"/>
      <w:color w:val="000000"/>
      <w:sz w:val="20"/>
    </w:rPr>
  </w:style>
  <w:style w:type="character" w:customStyle="1" w:styleId="372">
    <w:name w:val="Table Text Char1"/>
    <w:link w:val="373"/>
    <w:uiPriority w:val="0"/>
    <w:rPr>
      <w:rFonts w:ascii="Arial" w:hAnsi="Arial" w:cs="Arial"/>
      <w:sz w:val="18"/>
      <w:szCs w:val="18"/>
      <w:lang w:val="en-US" w:eastAsia="zh-CN" w:bidi="ar-SA"/>
    </w:rPr>
  </w:style>
  <w:style w:type="paragraph" w:customStyle="1" w:styleId="373">
    <w:name w:val="Table Text"/>
    <w:link w:val="372"/>
    <w:uiPriority w:val="0"/>
    <w:pPr>
      <w:snapToGrid w:val="0"/>
      <w:spacing w:before="80" w:after="80"/>
    </w:pPr>
    <w:rPr>
      <w:rFonts w:ascii="Arial" w:hAnsi="Arial" w:cs="Arial"/>
      <w:sz w:val="18"/>
      <w:szCs w:val="18"/>
      <w:lang w:val="en-US" w:eastAsia="zh-CN" w:bidi="ar-SA"/>
    </w:rPr>
  </w:style>
  <w:style w:type="character" w:customStyle="1" w:styleId="374">
    <w:name w:val="样式1 Char Char Char"/>
    <w:qFormat/>
    <w:uiPriority w:val="0"/>
    <w:rPr>
      <w:rFonts w:ascii="Arial" w:hAnsi="Arial" w:eastAsia="宋体"/>
      <w:kern w:val="2"/>
      <w:sz w:val="21"/>
      <w:szCs w:val="24"/>
      <w:lang w:val="en-US" w:eastAsia="zh-CN" w:bidi="ar-SA"/>
    </w:rPr>
  </w:style>
  <w:style w:type="character" w:customStyle="1" w:styleId="375">
    <w:name w:val="text_edit1"/>
    <w:uiPriority w:val="0"/>
    <w:rPr>
      <w:color w:val="3366CC"/>
      <w:sz w:val="18"/>
      <w:szCs w:val="18"/>
    </w:rPr>
  </w:style>
  <w:style w:type="character" w:customStyle="1" w:styleId="376">
    <w:name w:val="plus"/>
    <w:qFormat/>
    <w:uiPriority w:val="0"/>
    <w:rPr>
      <w:b/>
      <w:vanish/>
      <w:color w:val="1F8DEF"/>
      <w:sz w:val="24"/>
      <w:szCs w:val="24"/>
    </w:rPr>
  </w:style>
  <w:style w:type="character" w:customStyle="1" w:styleId="377">
    <w:name w:val="字元 字元17"/>
    <w:locked/>
    <w:uiPriority w:val="0"/>
    <w:rPr>
      <w:rFonts w:ascii="Times New Roman" w:hAnsi="Times New Roman" w:eastAsia="Times New Roman" w:cs="Times New Roman"/>
      <w:b/>
      <w:sz w:val="24"/>
      <w:lang w:val="en-GB"/>
    </w:rPr>
  </w:style>
  <w:style w:type="character" w:customStyle="1" w:styleId="378">
    <w:name w:val="标题三 Char Char"/>
    <w:link w:val="379"/>
    <w:uiPriority w:val="0"/>
    <w:rPr>
      <w:rFonts w:ascii="宋体"/>
      <w:b/>
      <w:bCs/>
      <w:sz w:val="28"/>
    </w:rPr>
  </w:style>
  <w:style w:type="paragraph" w:customStyle="1" w:styleId="379">
    <w:name w:val="标题三"/>
    <w:basedOn w:val="4"/>
    <w:link w:val="378"/>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character" w:customStyle="1" w:styleId="380">
    <w:name w:val="fonts11"/>
    <w:qFormat/>
    <w:uiPriority w:val="0"/>
    <w:rPr>
      <w:sz w:val="18"/>
      <w:szCs w:val="18"/>
    </w:rPr>
  </w:style>
  <w:style w:type="character" w:customStyle="1" w:styleId="381">
    <w:name w:val="*Heading 4 Char"/>
    <w:link w:val="382"/>
    <w:uiPriority w:val="0"/>
    <w:rPr>
      <w:rFonts w:ascii="Arial" w:hAnsi="宋体"/>
      <w:snapToGrid w:val="0"/>
      <w:color w:val="00637A"/>
      <w:sz w:val="28"/>
      <w:szCs w:val="28"/>
      <w:lang w:val="en-US" w:eastAsia="zh-CN" w:bidi="ar-SA"/>
    </w:rPr>
  </w:style>
  <w:style w:type="paragraph" w:customStyle="1" w:styleId="382">
    <w:name w:val="*Heading 4"/>
    <w:next w:val="1"/>
    <w:link w:val="381"/>
    <w:uiPriority w:val="0"/>
    <w:pPr>
      <w:keepNext/>
      <w:keepLines/>
      <w:tabs>
        <w:tab w:val="left" w:pos="851"/>
        <w:tab w:val="left" w:pos="1134"/>
      </w:tabs>
      <w:spacing w:before="240" w:after="120"/>
    </w:pPr>
    <w:rPr>
      <w:rFonts w:ascii="Arial" w:hAnsi="宋体"/>
      <w:snapToGrid w:val="0"/>
      <w:color w:val="00637A"/>
      <w:sz w:val="28"/>
      <w:szCs w:val="28"/>
      <w:lang w:val="en-US" w:eastAsia="zh-CN" w:bidi="ar-SA"/>
    </w:rPr>
  </w:style>
  <w:style w:type="character" w:customStyle="1" w:styleId="383">
    <w:name w:val="WW8Num14z0"/>
    <w:uiPriority w:val="0"/>
    <w:rPr>
      <w:rFonts w:ascii="Symbol" w:hAnsi="Symbol"/>
      <w:lang w:val="en-GB"/>
    </w:rPr>
  </w:style>
  <w:style w:type="character" w:customStyle="1" w:styleId="384">
    <w:name w:val="WW8Num22z2"/>
    <w:locked/>
    <w:uiPriority w:val="0"/>
    <w:rPr>
      <w:rFonts w:ascii="Wingdings" w:hAnsi="Wingdings"/>
      <w:lang w:val="en-GB"/>
    </w:rPr>
  </w:style>
  <w:style w:type="character" w:customStyle="1" w:styleId="385">
    <w:name w:val="Bullet Symbols"/>
    <w:uiPriority w:val="0"/>
    <w:rPr>
      <w:rFonts w:ascii="Times New Roman" w:hAnsi="Times New Roman"/>
      <w:sz w:val="18"/>
      <w:lang w:val="en-GB"/>
    </w:rPr>
  </w:style>
  <w:style w:type="character" w:customStyle="1" w:styleId="386">
    <w:name w:val="副标题 Char1"/>
    <w:qFormat/>
    <w:uiPriority w:val="11"/>
    <w:rPr>
      <w:rFonts w:ascii="Cambria" w:hAnsi="Cambria" w:cs="Times New Roman"/>
      <w:b/>
      <w:bCs/>
      <w:kern w:val="28"/>
      <w:sz w:val="32"/>
      <w:szCs w:val="32"/>
    </w:rPr>
  </w:style>
  <w:style w:type="character" w:customStyle="1" w:styleId="387">
    <w:name w:val="tw4winInternal"/>
    <w:uiPriority w:val="0"/>
    <w:rPr>
      <w:rFonts w:ascii="Courier New" w:hAnsi="Courier New" w:cs="Courier New"/>
      <w:color w:val="FF0000"/>
      <w:lang w:val="en-US" w:eastAsia="zh-CN"/>
    </w:rPr>
  </w:style>
  <w:style w:type="character" w:customStyle="1" w:styleId="388">
    <w:name w:val="Char Char3"/>
    <w:qFormat/>
    <w:uiPriority w:val="0"/>
    <w:rPr>
      <w:rFonts w:ascii="Arial" w:hAnsi="Arial" w:eastAsia="宋体"/>
      <w:b/>
      <w:bCs/>
      <w:kern w:val="2"/>
      <w:sz w:val="21"/>
      <w:szCs w:val="32"/>
      <w:lang w:val="en-US" w:eastAsia="zh-CN" w:bidi="ar-SA"/>
    </w:rPr>
  </w:style>
  <w:style w:type="character" w:customStyle="1" w:styleId="389">
    <w:name w:val="smallbold1"/>
    <w:uiPriority w:val="0"/>
    <w:rPr>
      <w:b/>
      <w:bCs/>
      <w:sz w:val="22"/>
      <w:szCs w:val="22"/>
    </w:rPr>
  </w:style>
  <w:style w:type="character" w:customStyle="1" w:styleId="390">
    <w:name w:val="txt"/>
    <w:uiPriority w:val="0"/>
  </w:style>
  <w:style w:type="character" w:customStyle="1" w:styleId="391">
    <w:name w:val="访问过的超链接11"/>
    <w:qFormat/>
    <w:uiPriority w:val="0"/>
    <w:rPr>
      <w:color w:val="800080"/>
      <w:u w:val="single"/>
    </w:rPr>
  </w:style>
  <w:style w:type="character" w:customStyle="1" w:styleId="392">
    <w:name w:val="zbggmain style9"/>
    <w:qFormat/>
    <w:uiPriority w:val="0"/>
  </w:style>
  <w:style w:type="character" w:customStyle="1" w:styleId="393">
    <w:name w:val="atitle3"/>
    <w:uiPriority w:val="0"/>
  </w:style>
  <w:style w:type="character" w:customStyle="1" w:styleId="394">
    <w:name w:val="正常文本 Char Char"/>
    <w:link w:val="395"/>
    <w:uiPriority w:val="0"/>
    <w:rPr>
      <w:rFonts w:ascii="Arial" w:hAnsi="Arial" w:cs="宋体"/>
      <w:spacing w:val="10"/>
      <w:sz w:val="24"/>
    </w:rPr>
  </w:style>
  <w:style w:type="paragraph" w:customStyle="1" w:styleId="395">
    <w:name w:val="正常文本"/>
    <w:basedOn w:val="1"/>
    <w:link w:val="394"/>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character" w:customStyle="1" w:styleId="396">
    <w:name w:val="WW8Num19z2"/>
    <w:uiPriority w:val="0"/>
    <w:rPr>
      <w:rFonts w:ascii="Wingdings" w:hAnsi="Wingdings"/>
      <w:lang w:val="en-GB"/>
    </w:rPr>
  </w:style>
  <w:style w:type="character" w:customStyle="1" w:styleId="397">
    <w:name w:val="style8"/>
    <w:qFormat/>
    <w:uiPriority w:val="0"/>
  </w:style>
  <w:style w:type="character" w:customStyle="1" w:styleId="398">
    <w:name w:val="Internet link"/>
    <w:uiPriority w:val="0"/>
    <w:rPr>
      <w:color w:val="000080"/>
      <w:u w:val="single"/>
      <w:lang w:val="en-GB"/>
    </w:rPr>
  </w:style>
  <w:style w:type="character" w:customStyle="1" w:styleId="399">
    <w:name w:val="WW8Num22z1"/>
    <w:uiPriority w:val="0"/>
    <w:rPr>
      <w:rFonts w:ascii="Courier New" w:hAnsi="Courier New"/>
      <w:lang w:val="en-GB"/>
    </w:rPr>
  </w:style>
  <w:style w:type="character" w:customStyle="1" w:styleId="400">
    <w:name w:val="css1"/>
    <w:uiPriority w:val="0"/>
  </w:style>
  <w:style w:type="character" w:customStyle="1" w:styleId="401">
    <w:name w:val="font41"/>
    <w:qFormat/>
    <w:uiPriority w:val="0"/>
    <w:rPr>
      <w:rFonts w:hint="eastAsia" w:ascii="宋体" w:hAnsi="宋体" w:eastAsia="宋体" w:cs="宋体"/>
      <w:b/>
      <w:color w:val="FF0000"/>
      <w:sz w:val="20"/>
      <w:szCs w:val="20"/>
      <w:u w:val="none"/>
    </w:rPr>
  </w:style>
  <w:style w:type="character" w:customStyle="1" w:styleId="402">
    <w:name w:val="应答文本 Char Char"/>
    <w:link w:val="403"/>
    <w:uiPriority w:val="0"/>
    <w:rPr>
      <w:rFonts w:hAnsi="宋体"/>
      <w:spacing w:val="10"/>
      <w:szCs w:val="21"/>
    </w:rPr>
  </w:style>
  <w:style w:type="paragraph" w:customStyle="1" w:styleId="403">
    <w:name w:val="应答文本"/>
    <w:basedOn w:val="1"/>
    <w:link w:val="402"/>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character" w:customStyle="1" w:styleId="404">
    <w:name w:val="WW8Num19z1"/>
    <w:uiPriority w:val="0"/>
    <w:rPr>
      <w:rFonts w:ascii="Courier New" w:hAnsi="Courier New"/>
      <w:lang w:val="en-GB"/>
    </w:rPr>
  </w:style>
  <w:style w:type="character" w:customStyle="1" w:styleId="405">
    <w:name w:val="样式 标题 + 二号 Char"/>
    <w:link w:val="406"/>
    <w:uiPriority w:val="0"/>
    <w:rPr>
      <w:b/>
      <w:color w:val="000000"/>
      <w:kern w:val="44"/>
      <w:sz w:val="44"/>
      <w:szCs w:val="24"/>
    </w:rPr>
  </w:style>
  <w:style w:type="paragraph" w:customStyle="1" w:styleId="406">
    <w:name w:val="样式 标题 + 二号"/>
    <w:basedOn w:val="2"/>
    <w:next w:val="3"/>
    <w:link w:val="405"/>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character" w:customStyle="1" w:styleId="407">
    <w:name w:val="尾注文本 Char2"/>
    <w:uiPriority w:val="0"/>
    <w:rPr>
      <w:kern w:val="2"/>
      <w:sz w:val="21"/>
      <w:szCs w:val="24"/>
    </w:rPr>
  </w:style>
  <w:style w:type="character" w:customStyle="1" w:styleId="408">
    <w:name w:val="tw4winTerm"/>
    <w:uiPriority w:val="0"/>
    <w:rPr>
      <w:color w:val="0000FF"/>
    </w:rPr>
  </w:style>
  <w:style w:type="character" w:styleId="409">
    <w:name w:val=""/>
    <w:qFormat/>
    <w:uiPriority w:val="33"/>
    <w:rPr>
      <w:b/>
      <w:bCs/>
      <w:smallCaps/>
      <w:spacing w:val="5"/>
    </w:rPr>
  </w:style>
  <w:style w:type="character" w:customStyle="1" w:styleId="410">
    <w:name w:val="列表框1 Char Char"/>
    <w:link w:val="411"/>
    <w:uiPriority w:val="0"/>
    <w:rPr>
      <w:spacing w:val="10"/>
      <w:sz w:val="24"/>
      <w:szCs w:val="24"/>
    </w:rPr>
  </w:style>
  <w:style w:type="paragraph" w:customStyle="1" w:styleId="411">
    <w:name w:val="列表框1"/>
    <w:basedOn w:val="366"/>
    <w:next w:val="366"/>
    <w:link w:val="410"/>
    <w:uiPriority w:val="0"/>
    <w:pPr>
      <w:tabs>
        <w:tab w:val="left" w:pos="1701"/>
        <w:tab w:val="left" w:pos="8585"/>
      </w:tabs>
      <w:ind w:left="1133" w:leftChars="472" w:firstLine="138" w:firstLineChars="53"/>
    </w:pPr>
    <w:rPr>
      <w:color w:val="auto"/>
    </w:rPr>
  </w:style>
  <w:style w:type="character" w:customStyle="1" w:styleId="412">
    <w:name w:val="WW8Num16z0"/>
    <w:uiPriority w:val="0"/>
    <w:rPr>
      <w:rFonts w:ascii="Symbol" w:hAnsi="Symbol"/>
      <w:lang w:val="en-GB"/>
    </w:rPr>
  </w:style>
  <w:style w:type="character" w:customStyle="1" w:styleId="413">
    <w:name w:val="WW8Num13z1"/>
    <w:uiPriority w:val="0"/>
    <w:rPr>
      <w:rFonts w:ascii="Courier New" w:hAnsi="Courier New"/>
      <w:lang w:val="en-GB"/>
    </w:rPr>
  </w:style>
  <w:style w:type="character" w:customStyle="1" w:styleId="414">
    <w:name w:val="ZK_正文缩进 Char"/>
    <w:link w:val="415"/>
    <w:uiPriority w:val="0"/>
    <w:rPr>
      <w:sz w:val="24"/>
    </w:rPr>
  </w:style>
  <w:style w:type="paragraph" w:customStyle="1" w:styleId="415">
    <w:name w:val="ZK_正文缩进"/>
    <w:basedOn w:val="1"/>
    <w:link w:val="414"/>
    <w:uiPriority w:val="0"/>
    <w:pPr>
      <w:tabs>
        <w:tab w:val="left" w:pos="390"/>
      </w:tabs>
      <w:spacing w:line="300" w:lineRule="auto"/>
      <w:ind w:firstLine="200" w:firstLineChars="177"/>
    </w:pPr>
    <w:rPr>
      <w:kern w:val="0"/>
      <w:sz w:val="24"/>
      <w:szCs w:val="20"/>
    </w:rPr>
  </w:style>
  <w:style w:type="character" w:customStyle="1" w:styleId="416">
    <w:name w:val="style7"/>
    <w:uiPriority w:val="0"/>
  </w:style>
  <w:style w:type="character" w:customStyle="1" w:styleId="417">
    <w:name w:val="WW8Num6z0"/>
    <w:uiPriority w:val="0"/>
    <w:rPr>
      <w:rFonts w:ascii="Symbol" w:hAnsi="Symbol"/>
      <w:lang w:val="en-GB"/>
    </w:rPr>
  </w:style>
  <w:style w:type="character" w:customStyle="1" w:styleId="418">
    <w:name w:val="WW8Num16z1"/>
    <w:uiPriority w:val="0"/>
    <w:rPr>
      <w:rFonts w:ascii="Courier New" w:hAnsi="Courier New"/>
      <w:lang w:val="en-GB"/>
    </w:rPr>
  </w:style>
  <w:style w:type="character" w:customStyle="1" w:styleId="419">
    <w:name w:val="页眉 Char1"/>
    <w:uiPriority w:val="99"/>
    <w:rPr>
      <w:rFonts w:ascii="Times New Roman" w:hAnsi="Times New Roman" w:eastAsia="宋体" w:cs="Times New Roman"/>
      <w:sz w:val="18"/>
      <w:szCs w:val="18"/>
    </w:rPr>
  </w:style>
  <w:style w:type="character" w:customStyle="1" w:styleId="420">
    <w:name w:val="DO_NOT_TRANSLATE"/>
    <w:uiPriority w:val="0"/>
    <w:rPr>
      <w:rFonts w:ascii="Courier New" w:hAnsi="Courier New" w:cs="Courier New"/>
      <w:color w:val="800000"/>
      <w:lang w:val="en-US" w:eastAsia="zh-CN"/>
    </w:rPr>
  </w:style>
  <w:style w:type="character" w:customStyle="1" w:styleId="421">
    <w:name w:val="Item List in Table Char Char"/>
    <w:link w:val="422"/>
    <w:uiPriority w:val="0"/>
    <w:rPr>
      <w:rFonts w:ascii="Arial" w:hAnsi="Arial"/>
      <w:sz w:val="18"/>
      <w:szCs w:val="18"/>
      <w:lang w:val="en-US" w:eastAsia="zh-CN" w:bidi="ar-SA"/>
    </w:rPr>
  </w:style>
  <w:style w:type="paragraph" w:customStyle="1" w:styleId="422">
    <w:name w:val="Item List in Table"/>
    <w:link w:val="421"/>
    <w:qFormat/>
    <w:uiPriority w:val="0"/>
    <w:pPr>
      <w:tabs>
        <w:tab w:val="left" w:pos="840"/>
      </w:tabs>
      <w:spacing w:before="40" w:after="40"/>
      <w:ind w:left="360" w:hanging="360"/>
      <w:jc w:val="both"/>
    </w:pPr>
    <w:rPr>
      <w:rFonts w:ascii="Arial" w:hAnsi="Arial"/>
      <w:sz w:val="18"/>
      <w:szCs w:val="18"/>
      <w:lang w:val="en-US" w:eastAsia="zh-CN" w:bidi="ar-SA"/>
    </w:rPr>
  </w:style>
  <w:style w:type="character" w:customStyle="1" w:styleId="423">
    <w:name w:val="正文1 Char"/>
    <w:link w:val="424"/>
    <w:uiPriority w:val="0"/>
    <w:rPr>
      <w:rFonts w:ascii="Book Antiqua" w:hAnsi="Book Antiqua"/>
      <w:sz w:val="24"/>
      <w:szCs w:val="24"/>
    </w:rPr>
  </w:style>
  <w:style w:type="paragraph" w:customStyle="1" w:styleId="424">
    <w:name w:val="正文1"/>
    <w:basedOn w:val="1"/>
    <w:link w:val="423"/>
    <w:uiPriority w:val="0"/>
    <w:pPr>
      <w:widowControl/>
      <w:spacing w:before="120" w:after="120" w:line="360" w:lineRule="auto"/>
      <w:ind w:firstLine="500"/>
    </w:pPr>
    <w:rPr>
      <w:rFonts w:ascii="Book Antiqua" w:hAnsi="Book Antiqua"/>
      <w:kern w:val="0"/>
      <w:sz w:val="24"/>
    </w:rPr>
  </w:style>
  <w:style w:type="character" w:customStyle="1" w:styleId="425">
    <w:name w:val="签名 Char2"/>
    <w:uiPriority w:val="0"/>
    <w:rPr>
      <w:kern w:val="2"/>
      <w:sz w:val="21"/>
      <w:szCs w:val="24"/>
    </w:rPr>
  </w:style>
  <w:style w:type="character" w:customStyle="1" w:styleId="426">
    <w:name w:val="WW8Num13z2"/>
    <w:uiPriority w:val="0"/>
    <w:rPr>
      <w:rFonts w:ascii="Wingdings" w:hAnsi="Wingdings"/>
      <w:lang w:val="en-GB"/>
    </w:rPr>
  </w:style>
  <w:style w:type="character" w:customStyle="1" w:styleId="427">
    <w:name w:val="脚注文本 Char2"/>
    <w:uiPriority w:val="0"/>
    <w:rPr>
      <w:kern w:val="2"/>
      <w:sz w:val="18"/>
      <w:szCs w:val="18"/>
    </w:rPr>
  </w:style>
  <w:style w:type="character" w:customStyle="1" w:styleId="428">
    <w:name w:val="font91"/>
    <w:qFormat/>
    <w:uiPriority w:val="0"/>
    <w:rPr>
      <w:rFonts w:hint="eastAsia" w:ascii="宋体" w:hAnsi="宋体" w:eastAsia="宋体" w:cs="宋体"/>
      <w:color w:val="FF0000"/>
      <w:sz w:val="20"/>
      <w:szCs w:val="20"/>
      <w:u w:val="none"/>
    </w:rPr>
  </w:style>
  <w:style w:type="character" w:customStyle="1" w:styleId="429">
    <w:name w:val="字元 字元3"/>
    <w:locked/>
    <w:uiPriority w:val="0"/>
    <w:rPr>
      <w:rFonts w:ascii="Arial" w:hAnsi="Arial" w:eastAsia="Times New Roman" w:cs="Tahoma"/>
      <w:iCs/>
      <w:sz w:val="28"/>
      <w:szCs w:val="28"/>
      <w:lang w:val="en-GB"/>
    </w:rPr>
  </w:style>
  <w:style w:type="character" w:customStyle="1" w:styleId="430">
    <w:name w:val="style11"/>
    <w:uiPriority w:val="0"/>
  </w:style>
  <w:style w:type="character" w:customStyle="1" w:styleId="431">
    <w:name w:val="字元 字元4"/>
    <w:locked/>
    <w:uiPriority w:val="0"/>
    <w:rPr>
      <w:rFonts w:ascii="Arial" w:hAnsi="Arial" w:eastAsia="Times New Roman" w:cs="Times New Roman"/>
      <w:lang w:val="en-GB"/>
    </w:rPr>
  </w:style>
  <w:style w:type="character" w:customStyle="1" w:styleId="432">
    <w:name w:val="headline-content2"/>
    <w:uiPriority w:val="0"/>
  </w:style>
  <w:style w:type="character" w:customStyle="1" w:styleId="433">
    <w:name w:val="Figure Char"/>
    <w:link w:val="434"/>
    <w:uiPriority w:val="0"/>
    <w:rPr>
      <w:rFonts w:ascii="Arial" w:hAnsi="Arial" w:cs="Arial"/>
      <w:szCs w:val="21"/>
    </w:rPr>
  </w:style>
  <w:style w:type="paragraph" w:customStyle="1" w:styleId="434">
    <w:name w:val="Figure"/>
    <w:basedOn w:val="1"/>
    <w:next w:val="160"/>
    <w:link w:val="433"/>
    <w:uiPriority w:val="0"/>
    <w:pPr>
      <w:keepNext/>
      <w:widowControl/>
      <w:snapToGrid w:val="0"/>
      <w:spacing w:before="80" w:after="80" w:line="300" w:lineRule="auto"/>
      <w:ind w:firstLine="420"/>
      <w:jc w:val="center"/>
    </w:pPr>
    <w:rPr>
      <w:rFonts w:ascii="Arial" w:hAnsi="Arial"/>
      <w:kern w:val="0"/>
      <w:sz w:val="20"/>
      <w:szCs w:val="21"/>
    </w:rPr>
  </w:style>
  <w:style w:type="character" w:customStyle="1" w:styleId="435">
    <w:name w:val="sort"/>
    <w:qFormat/>
    <w:uiPriority w:val="0"/>
    <w:rPr>
      <w:color w:val="FFFFFF"/>
      <w:bdr w:val="single" w:color="auto" w:sz="24" w:space="0"/>
    </w:rPr>
  </w:style>
  <w:style w:type="character" w:customStyle="1" w:styleId="436">
    <w:name w:val="字元 字元14"/>
    <w:locked/>
    <w:uiPriority w:val="0"/>
    <w:rPr>
      <w:rFonts w:ascii="Times New Roman" w:hAnsi="Times New Roman" w:eastAsia="Times New Roman" w:cs="Times New Roman"/>
      <w:b/>
      <w:i/>
      <w:lang w:val="en-GB"/>
    </w:rPr>
  </w:style>
  <w:style w:type="character" w:customStyle="1" w:styleId="437">
    <w:name w:val="标题4 Char"/>
    <w:link w:val="438"/>
    <w:uiPriority w:val="0"/>
    <w:rPr>
      <w:rFonts w:ascii="Arial" w:hAnsi="Arial"/>
      <w:b/>
      <w:bCs/>
      <w:sz w:val="24"/>
      <w:szCs w:val="28"/>
    </w:rPr>
  </w:style>
  <w:style w:type="paragraph" w:customStyle="1" w:styleId="438">
    <w:name w:val="标题4"/>
    <w:basedOn w:val="5"/>
    <w:link w:val="437"/>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character" w:customStyle="1" w:styleId="439">
    <w:name w:val="WW8Num21z1"/>
    <w:uiPriority w:val="0"/>
    <w:rPr>
      <w:rFonts w:ascii="Courier New" w:hAnsi="Courier New"/>
      <w:lang w:val="en-GB"/>
    </w:rPr>
  </w:style>
  <w:style w:type="character" w:customStyle="1" w:styleId="440">
    <w:name w:val="WW8Num15z0"/>
    <w:uiPriority w:val="0"/>
    <w:rPr>
      <w:rFonts w:ascii="Symbol" w:hAnsi="Symbol"/>
      <w:lang w:val="en-GB"/>
    </w:rPr>
  </w:style>
  <w:style w:type="character" w:customStyle="1" w:styleId="441">
    <w:name w:val="WW8Num8z0"/>
    <w:uiPriority w:val="0"/>
    <w:rPr>
      <w:rFonts w:ascii="Symbol" w:hAnsi="Symbol"/>
      <w:lang w:val="en-GB"/>
    </w:rPr>
  </w:style>
  <w:style w:type="character" w:customStyle="1" w:styleId="442">
    <w:name w:val="HP Sender Char"/>
    <w:link w:val="443"/>
    <w:uiPriority w:val="0"/>
    <w:rPr>
      <w:rFonts w:ascii="Arial" w:hAnsi="Arial" w:eastAsia="Times"/>
      <w:b/>
      <w:sz w:val="16"/>
      <w:szCs w:val="16"/>
      <w:lang w:val="en-US" w:eastAsia="en-US" w:bidi="ar-SA"/>
    </w:rPr>
  </w:style>
  <w:style w:type="paragraph" w:customStyle="1" w:styleId="443">
    <w:name w:val="HP Sender"/>
    <w:next w:val="1"/>
    <w:link w:val="442"/>
    <w:uiPriority w:val="0"/>
    <w:pPr>
      <w:spacing w:before="100" w:beforeAutospacing="1" w:after="100" w:afterAutospacing="1"/>
    </w:pPr>
    <w:rPr>
      <w:rFonts w:ascii="Arial" w:hAnsi="Arial" w:eastAsia="Times"/>
      <w:b/>
      <w:sz w:val="16"/>
      <w:szCs w:val="16"/>
      <w:lang w:val="en-US" w:eastAsia="en-US" w:bidi="ar-SA"/>
    </w:rPr>
  </w:style>
  <w:style w:type="character" w:customStyle="1" w:styleId="444">
    <w:name w:val="WW8Num5z0"/>
    <w:uiPriority w:val="0"/>
    <w:rPr>
      <w:rFonts w:ascii="Symbol" w:hAnsi="Symbol"/>
      <w:lang w:val="en-GB"/>
    </w:rPr>
  </w:style>
  <w:style w:type="character" w:customStyle="1" w:styleId="445">
    <w:name w:val="style6"/>
    <w:uiPriority w:val="0"/>
  </w:style>
  <w:style w:type="character" w:customStyle="1" w:styleId="446">
    <w:name w:val="图 Char"/>
    <w:link w:val="447"/>
    <w:uiPriority w:val="0"/>
    <w:rPr>
      <w:szCs w:val="21"/>
    </w:rPr>
  </w:style>
  <w:style w:type="paragraph" w:customStyle="1" w:styleId="447">
    <w:name w:val="图"/>
    <w:basedOn w:val="1"/>
    <w:next w:val="1"/>
    <w:link w:val="446"/>
    <w:uiPriority w:val="0"/>
    <w:pPr>
      <w:spacing w:line="360" w:lineRule="auto"/>
      <w:ind w:firstLine="420"/>
      <w:jc w:val="center"/>
    </w:pPr>
    <w:rPr>
      <w:kern w:val="0"/>
      <w:sz w:val="20"/>
      <w:szCs w:val="21"/>
    </w:rPr>
  </w:style>
  <w:style w:type="character" w:customStyle="1" w:styleId="448">
    <w:name w:val="标准正文 Char"/>
    <w:link w:val="449"/>
    <w:uiPriority w:val="0"/>
    <w:rPr>
      <w:sz w:val="24"/>
      <w:szCs w:val="24"/>
    </w:rPr>
  </w:style>
  <w:style w:type="paragraph" w:customStyle="1" w:styleId="449">
    <w:name w:val="标准正文"/>
    <w:basedOn w:val="1"/>
    <w:link w:val="448"/>
    <w:qFormat/>
    <w:uiPriority w:val="0"/>
    <w:pPr>
      <w:spacing w:line="360" w:lineRule="auto"/>
      <w:ind w:firstLine="200" w:firstLineChars="200"/>
    </w:pPr>
    <w:rPr>
      <w:kern w:val="0"/>
      <w:sz w:val="24"/>
    </w:rPr>
  </w:style>
  <w:style w:type="character" w:customStyle="1" w:styleId="450">
    <w:name w:val="font101"/>
    <w:qFormat/>
    <w:uiPriority w:val="0"/>
    <w:rPr>
      <w:rFonts w:ascii="Arial" w:hAnsi="Arial" w:cs="Arial"/>
      <w:color w:val="333333"/>
      <w:sz w:val="18"/>
      <w:szCs w:val="18"/>
      <w:u w:val="none"/>
    </w:rPr>
  </w:style>
  <w:style w:type="character" w:customStyle="1" w:styleId="451">
    <w:name w:val="Table Text Char"/>
    <w:uiPriority w:val="0"/>
    <w:rPr>
      <w:rFonts w:ascii="Arial" w:hAnsi="Arial"/>
      <w:sz w:val="18"/>
      <w:lang w:val="en-US" w:eastAsia="en-US" w:bidi="ar-SA"/>
    </w:rPr>
  </w:style>
  <w:style w:type="character" w:customStyle="1" w:styleId="452">
    <w:name w:val="不用8 Char Char"/>
    <w:uiPriority w:val="0"/>
    <w:rPr>
      <w:rFonts w:ascii="Microsoft Sans Serif" w:hAnsi="Microsoft Sans Serif" w:eastAsia="宋体" w:cs="Microsoft Sans Serif"/>
      <w:i/>
      <w:iCs/>
      <w:kern w:val="0"/>
      <w:sz w:val="24"/>
      <w:szCs w:val="24"/>
    </w:rPr>
  </w:style>
  <w:style w:type="character" w:customStyle="1" w:styleId="453">
    <w:name w:val="标题 7 Char"/>
    <w:aliases w:val="不用 Char1,PIM 7 Char1,L7 Char1,letter list Char1,L1 Heading 7 Char1,（1） Char1,st Char1,正文七级标题 Char1,项标题(1) Char1,H TIMES1 Char1,Legal Level 1.1. Char1,1.1.1.1.1.1.1标题 7 Char1,标题7 Char1,表名 Char1,标题 76 Char1,sdf Char1,Alt+7 Char1,H7 Char1,◎ Char"/>
    <w:qFormat/>
    <w:uiPriority w:val="0"/>
    <w:rPr>
      <w:b/>
      <w:bCs/>
      <w:kern w:val="2"/>
      <w:sz w:val="24"/>
      <w:szCs w:val="24"/>
    </w:rPr>
  </w:style>
  <w:style w:type="character" w:customStyle="1" w:styleId="454">
    <w:name w:val="访问过的超链接1"/>
    <w:qFormat/>
    <w:uiPriority w:val="99"/>
    <w:rPr>
      <w:color w:val="800080"/>
      <w:u w:val="single"/>
    </w:rPr>
  </w:style>
  <w:style w:type="character" w:customStyle="1" w:styleId="455">
    <w:name w:val="标题四 Char Char"/>
    <w:uiPriority w:val="0"/>
    <w:rPr>
      <w:rFonts w:eastAsia="宋体"/>
      <w:kern w:val="2"/>
      <w:sz w:val="24"/>
      <w:lang w:val="en-US" w:eastAsia="zh-CN" w:bidi="ar-SA"/>
    </w:rPr>
  </w:style>
  <w:style w:type="character" w:customStyle="1" w:styleId="456">
    <w:name w:val="WW8Num13z0"/>
    <w:uiPriority w:val="0"/>
    <w:rPr>
      <w:rFonts w:ascii="Symbol" w:hAnsi="Symbol"/>
      <w:lang w:val="en-GB"/>
    </w:rPr>
  </w:style>
  <w:style w:type="character" w:customStyle="1" w:styleId="457">
    <w:name w:val="bold1"/>
    <w:uiPriority w:val="0"/>
    <w:rPr>
      <w:b/>
      <w:bCs/>
    </w:rPr>
  </w:style>
  <w:style w:type="character" w:customStyle="1" w:styleId="458">
    <w:name w:val="样式1 Char"/>
    <w:qFormat/>
    <w:uiPriority w:val="0"/>
    <w:rPr>
      <w:rFonts w:ascii="Arial" w:hAnsi="Arial" w:eastAsia="宋体"/>
      <w:kern w:val="2"/>
      <w:sz w:val="21"/>
      <w:szCs w:val="24"/>
      <w:lang w:val="en-US" w:eastAsia="zh-CN" w:bidi="ar-SA"/>
    </w:rPr>
  </w:style>
  <w:style w:type="character" w:customStyle="1" w:styleId="459">
    <w:name w:val="大汉方案正文 Char1"/>
    <w:link w:val="460"/>
    <w:qFormat/>
    <w:uiPriority w:val="0"/>
    <w:rPr>
      <w:rFonts w:ascii="Arial" w:hAnsi="Arial"/>
      <w:kern w:val="2"/>
      <w:sz w:val="24"/>
      <w:szCs w:val="24"/>
    </w:rPr>
  </w:style>
  <w:style w:type="paragraph" w:customStyle="1" w:styleId="460">
    <w:name w:val="大汉方案正文"/>
    <w:basedOn w:val="1"/>
    <w:link w:val="459"/>
    <w:uiPriority w:val="0"/>
    <w:pPr>
      <w:spacing w:line="360" w:lineRule="auto"/>
      <w:ind w:firstLine="200" w:firstLineChars="200"/>
    </w:pPr>
    <w:rPr>
      <w:rFonts w:ascii="Arial" w:hAnsi="Arial"/>
      <w:sz w:val="24"/>
    </w:rPr>
  </w:style>
  <w:style w:type="character" w:customStyle="1" w:styleId="461">
    <w:name w:val="正文（首行缩进2字符） Char"/>
    <w:link w:val="462"/>
    <w:uiPriority w:val="0"/>
    <w:rPr>
      <w:sz w:val="24"/>
      <w:szCs w:val="24"/>
    </w:rPr>
  </w:style>
  <w:style w:type="paragraph" w:customStyle="1" w:styleId="462">
    <w:name w:val="正文（首行缩进2字符）"/>
    <w:basedOn w:val="1"/>
    <w:link w:val="461"/>
    <w:uiPriority w:val="0"/>
    <w:pPr>
      <w:spacing w:line="360" w:lineRule="auto"/>
      <w:ind w:firstLine="200" w:firstLineChars="200"/>
    </w:pPr>
    <w:rPr>
      <w:kern w:val="0"/>
      <w:sz w:val="24"/>
    </w:rPr>
  </w:style>
  <w:style w:type="character" w:customStyle="1" w:styleId="463">
    <w:name w:val="应答标题 Char"/>
    <w:uiPriority w:val="0"/>
    <w:rPr>
      <w:rFonts w:ascii="黑体" w:hAnsi="Arial" w:eastAsia="黑体" w:cs="宋体"/>
      <w:b/>
      <w:spacing w:val="10"/>
      <w:sz w:val="24"/>
      <w:szCs w:val="24"/>
      <w:u w:val="single"/>
      <w:lang w:val="en-US" w:eastAsia="zh-CN" w:bidi="ar-SA"/>
    </w:rPr>
  </w:style>
  <w:style w:type="character" w:customStyle="1" w:styleId="464">
    <w:name w:val="NormalTable Char"/>
    <w:link w:val="465"/>
    <w:uiPriority w:val="0"/>
    <w:rPr>
      <w:rFonts w:ascii="Arial" w:hAnsi="Arial" w:eastAsia="MS Mincho"/>
      <w:lang w:val="en-AU" w:eastAsia="en-US"/>
    </w:rPr>
  </w:style>
  <w:style w:type="paragraph" w:customStyle="1" w:styleId="465">
    <w:name w:val="NormalTable"/>
    <w:basedOn w:val="1"/>
    <w:link w:val="464"/>
    <w:uiPriority w:val="0"/>
    <w:pPr>
      <w:widowControl/>
      <w:jc w:val="left"/>
    </w:pPr>
    <w:rPr>
      <w:rFonts w:ascii="Arial" w:hAnsi="Arial" w:eastAsia="MS Mincho"/>
      <w:kern w:val="0"/>
      <w:sz w:val="20"/>
      <w:szCs w:val="20"/>
      <w:lang w:val="en-AU" w:eastAsia="en-US"/>
    </w:rPr>
  </w:style>
  <w:style w:type="character" w:customStyle="1" w:styleId="466">
    <w:name w:val="sort1"/>
    <w:uiPriority w:val="0"/>
  </w:style>
  <w:style w:type="character" w:customStyle="1" w:styleId="467">
    <w:name w:val="font21"/>
    <w:qFormat/>
    <w:uiPriority w:val="0"/>
    <w:rPr>
      <w:rFonts w:hint="default" w:ascii="font-weight : 400" w:hAnsi="font-weight : 400" w:eastAsia="font-weight : 400" w:cs="font-weight : 400"/>
      <w:color w:val="000000"/>
      <w:sz w:val="22"/>
      <w:szCs w:val="22"/>
      <w:u w:val="none"/>
    </w:rPr>
  </w:style>
  <w:style w:type="character" w:customStyle="1" w:styleId="468">
    <w:name w:val="WW8Num18z2"/>
    <w:uiPriority w:val="0"/>
    <w:rPr>
      <w:rFonts w:ascii="Wingdings" w:hAnsi="Wingdings"/>
      <w:lang w:val="en-GB"/>
    </w:rPr>
  </w:style>
  <w:style w:type="character" w:customStyle="1" w:styleId="469">
    <w:name w:val="listitem1"/>
    <w:uiPriority w:val="0"/>
    <w:rPr>
      <w:sz w:val="22"/>
      <w:szCs w:val="22"/>
    </w:rPr>
  </w:style>
  <w:style w:type="character" w:customStyle="1" w:styleId="470">
    <w:name w:val="hps"/>
    <w:uiPriority w:val="0"/>
  </w:style>
  <w:style w:type="character" w:customStyle="1" w:styleId="471">
    <w:name w:val="字元 字元11"/>
    <w:locked/>
    <w:uiPriority w:val="0"/>
    <w:rPr>
      <w:rFonts w:ascii="Cambria" w:hAnsi="Cambria" w:eastAsia="Times New Roman" w:cs="Times New Roman"/>
      <w:color w:val="17365D"/>
      <w:spacing w:val="5"/>
      <w:kern w:val="28"/>
      <w:sz w:val="52"/>
      <w:szCs w:val="52"/>
    </w:rPr>
  </w:style>
  <w:style w:type="character" w:customStyle="1" w:styleId="472">
    <w:name w:val="bds_nopic2"/>
    <w:qFormat/>
    <w:uiPriority w:val="0"/>
  </w:style>
  <w:style w:type="character" w:customStyle="1" w:styleId="473">
    <w:name w:val="字元 字元2"/>
    <w:locked/>
    <w:uiPriority w:val="0"/>
    <w:rPr>
      <w:rFonts w:ascii="Arial" w:hAnsi="Arial" w:eastAsia="Times New Roman" w:cs="Times New Roman"/>
      <w:lang w:val="en-GB"/>
    </w:rPr>
  </w:style>
  <w:style w:type="character" w:customStyle="1" w:styleId="474">
    <w:name w:val="bds_more1"/>
    <w:qFormat/>
    <w:uiPriority w:val="0"/>
  </w:style>
  <w:style w:type="character" w:customStyle="1" w:styleId="475">
    <w:name w:val="列表框2 Char Char"/>
    <w:link w:val="476"/>
    <w:uiPriority w:val="0"/>
    <w:rPr>
      <w:spacing w:val="10"/>
      <w:sz w:val="24"/>
      <w:szCs w:val="24"/>
    </w:rPr>
  </w:style>
  <w:style w:type="paragraph" w:customStyle="1" w:styleId="476">
    <w:name w:val="列表框2"/>
    <w:basedOn w:val="411"/>
    <w:link w:val="475"/>
    <w:uiPriority w:val="0"/>
    <w:pPr>
      <w:tabs>
        <w:tab w:val="left" w:pos="1890"/>
      </w:tabs>
      <w:ind w:left="900" w:hanging="420"/>
    </w:pPr>
  </w:style>
  <w:style w:type="character" w:customStyle="1" w:styleId="477">
    <w:name w:val="sidecatalog-dot"/>
    <w:qFormat/>
    <w:uiPriority w:val="0"/>
  </w:style>
  <w:style w:type="character" w:customStyle="1" w:styleId="478">
    <w:name w:val="WW8Num12z2"/>
    <w:uiPriority w:val="0"/>
    <w:rPr>
      <w:rFonts w:ascii="Wingdings" w:hAnsi="Wingdings"/>
      <w:lang w:val="en-GB"/>
    </w:rPr>
  </w:style>
  <w:style w:type="character" w:customStyle="1" w:styleId="479">
    <w:name w:val="WW8Num7z0"/>
    <w:uiPriority w:val="0"/>
    <w:rPr>
      <w:rFonts w:ascii="Symbol" w:hAnsi="Symbol"/>
      <w:lang w:val="en-GB"/>
    </w:rPr>
  </w:style>
  <w:style w:type="character" w:customStyle="1" w:styleId="480">
    <w:name w:val="表头样式 Char"/>
    <w:link w:val="481"/>
    <w:uiPriority w:val="0"/>
    <w:rPr>
      <w:rFonts w:hAnsi="宋体" w:cs="宋体"/>
      <w:color w:val="000000"/>
      <w:sz w:val="24"/>
    </w:rPr>
  </w:style>
  <w:style w:type="paragraph" w:customStyle="1" w:styleId="481">
    <w:name w:val="表头样式"/>
    <w:basedOn w:val="1"/>
    <w:next w:val="1"/>
    <w:link w:val="480"/>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character" w:customStyle="1" w:styleId="482">
    <w:name w:val="‧ N character plain text new"/>
    <w:uiPriority w:val="0"/>
    <w:rPr>
      <w:rFonts w:ascii="Times New Roman" w:hAnsi="Times New Roman" w:cs="Tahoma"/>
      <w:sz w:val="20"/>
      <w:lang w:val="en-GB"/>
    </w:rPr>
  </w:style>
  <w:style w:type="character" w:customStyle="1" w:styleId="483">
    <w:name w:val="WW8Num21z0"/>
    <w:uiPriority w:val="0"/>
    <w:rPr>
      <w:rFonts w:ascii="Symbol" w:hAnsi="Symbol"/>
      <w:lang w:val="en-GB"/>
    </w:rPr>
  </w:style>
  <w:style w:type="character" w:customStyle="1" w:styleId="484">
    <w:name w:val="标题 Char"/>
    <w:qFormat/>
    <w:uiPriority w:val="0"/>
    <w:rPr>
      <w:rFonts w:ascii="Arial" w:hAnsi="Arial" w:cs="Arial"/>
      <w:b/>
      <w:bCs/>
      <w:kern w:val="1"/>
      <w:sz w:val="32"/>
      <w:szCs w:val="32"/>
      <w:lang w:eastAsia="ar-SA"/>
    </w:rPr>
  </w:style>
  <w:style w:type="character" w:customStyle="1" w:styleId="485">
    <w:name w:val="注释标题 Char2"/>
    <w:uiPriority w:val="0"/>
    <w:rPr>
      <w:kern w:val="2"/>
      <w:sz w:val="21"/>
      <w:szCs w:val="24"/>
    </w:rPr>
  </w:style>
  <w:style w:type="character" w:customStyle="1" w:styleId="486">
    <w:name w:val="‧ N command line new"/>
    <w:uiPriority w:val="0"/>
    <w:rPr>
      <w:rFonts w:ascii="Times New Roman" w:hAnsi="Times New Roman" w:cs="Tahoma"/>
      <w:sz w:val="20"/>
      <w:lang w:val="en-GB"/>
    </w:rPr>
  </w:style>
  <w:style w:type="character" w:customStyle="1" w:styleId="487">
    <w:name w:val="大汉方案正文 Char Char Char"/>
    <w:link w:val="488"/>
    <w:qFormat/>
    <w:uiPriority w:val="0"/>
    <w:rPr>
      <w:rFonts w:ascii="Arial" w:hAnsi="Arial"/>
      <w:kern w:val="2"/>
      <w:sz w:val="24"/>
      <w:szCs w:val="24"/>
    </w:rPr>
  </w:style>
  <w:style w:type="paragraph" w:customStyle="1" w:styleId="488">
    <w:name w:val="大汉方案正文 Char"/>
    <w:basedOn w:val="1"/>
    <w:link w:val="487"/>
    <w:uiPriority w:val="0"/>
    <w:pPr>
      <w:spacing w:line="360" w:lineRule="auto"/>
      <w:ind w:firstLine="200" w:firstLineChars="200"/>
    </w:pPr>
    <w:rPr>
      <w:rFonts w:ascii="Arial" w:hAnsi="Arial"/>
      <w:sz w:val="24"/>
    </w:rPr>
  </w:style>
  <w:style w:type="character" w:customStyle="1" w:styleId="489">
    <w:name w:val="fontstyle01"/>
    <w:uiPriority w:val="0"/>
    <w:rPr>
      <w:rFonts w:hint="eastAsia" w:ascii="宋体" w:hAnsi="宋体" w:eastAsia="宋体"/>
      <w:color w:val="000000"/>
      <w:sz w:val="22"/>
      <w:szCs w:val="22"/>
    </w:rPr>
  </w:style>
  <w:style w:type="character" w:customStyle="1" w:styleId="490">
    <w:name w:val="desc"/>
    <w:uiPriority w:val="0"/>
    <w:rPr>
      <w:color w:val="000000"/>
      <w:sz w:val="18"/>
      <w:szCs w:val="18"/>
    </w:rPr>
  </w:style>
  <w:style w:type="character" w:customStyle="1" w:styleId="491">
    <w:name w:val="字元 字元13"/>
    <w:locked/>
    <w:uiPriority w:val="0"/>
    <w:rPr>
      <w:rFonts w:cs="Times New Roman"/>
    </w:rPr>
  </w:style>
  <w:style w:type="character" w:customStyle="1" w:styleId="492">
    <w:name w:val="WW8Num21z2"/>
    <w:uiPriority w:val="0"/>
    <w:rPr>
      <w:rFonts w:ascii="Wingdings" w:hAnsi="Wingdings"/>
      <w:lang w:val="en-GB"/>
    </w:rPr>
  </w:style>
  <w:style w:type="character" w:customStyle="1" w:styleId="493">
    <w:name w:val="WW8Num18z0"/>
    <w:uiPriority w:val="0"/>
    <w:rPr>
      <w:rFonts w:ascii="Symbol" w:hAnsi="Symbol"/>
      <w:lang w:val="en-GB"/>
    </w:rPr>
  </w:style>
  <w:style w:type="character" w:customStyle="1" w:styleId="494">
    <w:name w:val="WW8Num11z0"/>
    <w:uiPriority w:val="0"/>
    <w:rPr>
      <w:rFonts w:ascii="Symbol" w:hAnsi="Symbol"/>
      <w:lang w:val="en-GB"/>
    </w:rPr>
  </w:style>
  <w:style w:type="paragraph" w:customStyle="1" w:styleId="495">
    <w:name w:val="xl16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496">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497">
    <w:name w:val="~Number Double"/>
    <w:basedOn w:val="498"/>
    <w:uiPriority w:val="0"/>
    <w:pPr>
      <w:tabs>
        <w:tab w:val="left" w:pos="360"/>
      </w:tabs>
      <w:spacing w:after="220"/>
    </w:pPr>
  </w:style>
  <w:style w:type="paragraph" w:customStyle="1" w:styleId="498">
    <w:name w:val="~Number"/>
    <w:basedOn w:val="499"/>
    <w:uiPriority w:val="0"/>
    <w:pPr>
      <w:tabs>
        <w:tab w:val="left" w:pos="360"/>
      </w:tabs>
      <w:spacing w:after="0"/>
      <w:ind w:left="360" w:hanging="360"/>
    </w:pPr>
  </w:style>
  <w:style w:type="paragraph" w:customStyle="1" w:styleId="499">
    <w:name w:val="~Body Text"/>
    <w:basedOn w:val="272"/>
    <w:uiPriority w:val="0"/>
    <w:pPr>
      <w:spacing w:after="220" w:line="220" w:lineRule="atLeast"/>
    </w:pPr>
    <w:rPr>
      <w:color w:val="00637A"/>
    </w:rPr>
  </w:style>
  <w:style w:type="paragraph" w:customStyle="1" w:styleId="500">
    <w:name w:val="*SOW 2"/>
    <w:basedOn w:val="501"/>
    <w:next w:val="272"/>
    <w:uiPriority w:val="0"/>
    <w:pPr>
      <w:tabs>
        <w:tab w:val="left" w:pos="1440"/>
      </w:tabs>
      <w:outlineLvl w:val="2"/>
    </w:pPr>
  </w:style>
  <w:style w:type="paragraph" w:customStyle="1" w:styleId="501">
    <w:name w:val="*SOW 1"/>
    <w:next w:val="272"/>
    <w:uiPriority w:val="0"/>
    <w:pPr>
      <w:keepNext/>
      <w:keepLines/>
      <w:tabs>
        <w:tab w:val="left" w:pos="1440"/>
      </w:tabs>
      <w:spacing w:after="200" w:line="220" w:lineRule="atLeast"/>
      <w:ind w:left="1440" w:hanging="1440"/>
      <w:outlineLvl w:val="1"/>
    </w:pPr>
    <w:rPr>
      <w:rFonts w:ascii="Arial" w:hAnsi="Arial"/>
      <w:color w:val="000000"/>
      <w:szCs w:val="24"/>
      <w:lang w:val="en-US" w:eastAsia="en-US" w:bidi="ar-SA"/>
    </w:rPr>
  </w:style>
  <w:style w:type="paragraph" w:customStyle="1" w:styleId="502">
    <w:name w:val="xl62"/>
    <w:basedOn w:val="1"/>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03">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504">
    <w:name w:val="*Quotation Attribute"/>
    <w:basedOn w:val="272"/>
    <w:next w:val="272"/>
    <w:uiPriority w:val="0"/>
    <w:pPr>
      <w:tabs>
        <w:tab w:val="left" w:pos="360"/>
      </w:tabs>
      <w:ind w:left="840" w:right="720" w:hanging="420"/>
    </w:pPr>
    <w:rPr>
      <w:sz w:val="20"/>
    </w:rPr>
  </w:style>
  <w:style w:type="paragraph" w:customStyle="1" w:styleId="505">
    <w:name w:val="xl384"/>
    <w:basedOn w:val="1"/>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506">
    <w:name w:val="xl16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07">
    <w:name w:val="附录标识"/>
    <w:basedOn w:val="1"/>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508">
    <w:name w:val="Heading2"/>
    <w:basedOn w:val="3"/>
    <w:next w:val="1"/>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509">
    <w:name w:val="xl45"/>
    <w:basedOn w:val="1"/>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10">
    <w:name w:val="_Style 4"/>
    <w:basedOn w:val="1"/>
    <w:qFormat/>
    <w:uiPriority w:val="34"/>
    <w:pPr>
      <w:ind w:firstLine="420" w:firstLineChars="200"/>
    </w:pPr>
    <w:rPr>
      <w:szCs w:val="22"/>
    </w:rPr>
  </w:style>
  <w:style w:type="paragraph" w:customStyle="1" w:styleId="511">
    <w:name w:val="xl143"/>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12">
    <w:name w:val="a14"/>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13">
    <w:name w:val="xl29"/>
    <w:basedOn w:val="1"/>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14">
    <w:name w:val="bullets"/>
    <w:basedOn w:val="17"/>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515">
    <w:name w:val="xl229"/>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16">
    <w:name w:val="正文 New New"/>
    <w:qFormat/>
    <w:uiPriority w:val="0"/>
    <w:pPr>
      <w:spacing w:after="200" w:line="276" w:lineRule="auto"/>
    </w:pPr>
    <w:rPr>
      <w:rFonts w:ascii="Calibri" w:hAnsi="Calibri" w:cs="黑体"/>
      <w:sz w:val="22"/>
      <w:szCs w:val="22"/>
      <w:lang w:val="en-US" w:eastAsia="en-US" w:bidi="ar-SA"/>
    </w:rPr>
  </w:style>
  <w:style w:type="paragraph" w:customStyle="1" w:styleId="517">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518">
    <w:name w:val="文件编号"/>
    <w:basedOn w:val="519"/>
    <w:uiPriority w:val="0"/>
    <w:pPr>
      <w:tabs>
        <w:tab w:val="left" w:pos="0"/>
        <w:tab w:val="left" w:pos="390"/>
      </w:tabs>
    </w:pPr>
    <w:rPr>
      <w:rFonts w:hAnsi="Batang"/>
      <w:u w:val="none"/>
    </w:rPr>
  </w:style>
  <w:style w:type="paragraph" w:customStyle="1" w:styleId="519">
    <w:name w:val="说明文字"/>
    <w:basedOn w:val="1"/>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520">
    <w:name w:val="容量"/>
    <w:basedOn w:val="1"/>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521">
    <w:name w:val="paragraph1"/>
    <w:basedOn w:val="1"/>
    <w:uiPriority w:val="0"/>
    <w:pPr>
      <w:spacing w:afterLines="30" w:line="360" w:lineRule="auto"/>
      <w:ind w:firstLine="480" w:firstLineChars="200"/>
    </w:pPr>
    <w:rPr>
      <w:rFonts w:ascii="宋体" w:hAnsi="宋体"/>
      <w:sz w:val="24"/>
    </w:rPr>
  </w:style>
  <w:style w:type="paragraph" w:customStyle="1" w:styleId="522">
    <w:name w:val="免责声明"/>
    <w:basedOn w:val="1"/>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523">
    <w:name w:val="xl37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4">
    <w:name w:val="xl379"/>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25">
    <w:name w:val="xl357"/>
    <w:basedOn w:val="1"/>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526">
    <w:name w:val="xl358"/>
    <w:basedOn w:val="1"/>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527">
    <w:name w:val="xl131"/>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28">
    <w:name w:val="xl133"/>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29">
    <w:name w:val="样式 正文文本 + 段前: 0.5 行 首行缩进:  2 字符"/>
    <w:basedOn w:val="17"/>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530">
    <w:name w:val="项目符号1"/>
    <w:basedOn w:val="1"/>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531">
    <w:name w:val="标准正文11"/>
    <w:basedOn w:val="1"/>
    <w:uiPriority w:val="0"/>
    <w:pPr>
      <w:spacing w:line="360" w:lineRule="auto"/>
      <w:ind w:firstLine="480" w:firstLineChars="200"/>
    </w:pPr>
    <w:rPr>
      <w:rFonts w:ascii="宋体" w:hAnsi="宋体"/>
      <w:sz w:val="24"/>
    </w:rPr>
  </w:style>
  <w:style w:type="paragraph" w:customStyle="1" w:styleId="532">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533">
    <w:name w:val="样式 题注 + 首行缩进:  2 字符"/>
    <w:basedOn w:val="22"/>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534">
    <w:name w:val="表格文字"/>
    <w:basedOn w:val="1"/>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535">
    <w:name w:val="文本框"/>
    <w:basedOn w:val="1"/>
    <w:uiPriority w:val="0"/>
    <w:pPr>
      <w:spacing w:afterLines="50" w:line="360" w:lineRule="auto"/>
      <w:ind w:firstLine="420"/>
    </w:pPr>
    <w:rPr>
      <w:rFonts w:ascii="宋体" w:hAnsi="宋体"/>
      <w:sz w:val="18"/>
    </w:rPr>
  </w:style>
  <w:style w:type="paragraph" w:customStyle="1" w:styleId="536">
    <w:name w:val="样式6"/>
    <w:basedOn w:val="5"/>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537">
    <w:name w:val="*Table/Graphics Caption"/>
    <w:basedOn w:val="272"/>
    <w:next w:val="272"/>
    <w:uiPriority w:val="0"/>
    <w:pPr>
      <w:spacing w:after="120"/>
    </w:pPr>
    <w:rPr>
      <w:sz w:val="18"/>
      <w:szCs w:val="18"/>
    </w:rPr>
  </w:style>
  <w:style w:type="paragraph" w:customStyle="1" w:styleId="538">
    <w:name w:val="5级"/>
    <w:basedOn w:val="6"/>
    <w:next w:val="1"/>
    <w:qFormat/>
    <w:uiPriority w:val="0"/>
    <w:pPr>
      <w:tabs>
        <w:tab w:val="left" w:pos="840"/>
        <w:tab w:val="left" w:pos="2520"/>
      </w:tabs>
      <w:spacing w:beforeLines="50"/>
      <w:ind w:left="840"/>
    </w:pPr>
    <w:rPr>
      <w:rFonts w:ascii="Calibri" w:hAnsi="Calibri" w:eastAsia="黑体"/>
    </w:rPr>
  </w:style>
  <w:style w:type="paragraph" w:customStyle="1" w:styleId="539">
    <w:name w:val="*Info Text"/>
    <w:uiPriority w:val="0"/>
    <w:rPr>
      <w:rFonts w:ascii="Arial" w:hAnsi="Arial"/>
      <w:sz w:val="18"/>
      <w:lang w:val="en-US" w:eastAsia="en-US" w:bidi="ar-SA"/>
    </w:rPr>
  </w:style>
  <w:style w:type="paragraph" w:customStyle="1" w:styleId="540">
    <w:name w:val="正文－恩普"/>
    <w:basedOn w:val="21"/>
    <w:qFormat/>
    <w:uiPriority w:val="0"/>
    <w:pPr>
      <w:widowControl/>
      <w:spacing w:afterLines="50" w:line="360" w:lineRule="auto"/>
      <w:ind w:firstLine="480"/>
      <w:jc w:val="left"/>
    </w:pPr>
    <w:rPr>
      <w:kern w:val="0"/>
      <w:sz w:val="24"/>
      <w:szCs w:val="20"/>
    </w:rPr>
  </w:style>
  <w:style w:type="paragraph" w:customStyle="1" w:styleId="541">
    <w:name w:val="ymtext"/>
    <w:basedOn w:val="1"/>
    <w:uiPriority w:val="0"/>
    <w:pPr>
      <w:widowControl/>
      <w:spacing w:line="400" w:lineRule="atLeast"/>
      <w:ind w:firstLine="446"/>
      <w:jc w:val="left"/>
    </w:pPr>
    <w:rPr>
      <w:rFonts w:ascii="宋体" w:hAnsi="宋体"/>
      <w:kern w:val="0"/>
      <w:sz w:val="22"/>
      <w:szCs w:val="20"/>
    </w:rPr>
  </w:style>
  <w:style w:type="paragraph" w:customStyle="1" w:styleId="542">
    <w:name w:val="SANGFOR_3_标题3"/>
    <w:basedOn w:val="4"/>
    <w:next w:val="190"/>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543">
    <w:name w:val="章标题HZ"/>
    <w:basedOn w:val="2"/>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544">
    <w:name w:val="附图标题"/>
    <w:basedOn w:val="22"/>
    <w:next w:val="21"/>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545">
    <w:name w:val="xl15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6">
    <w:name w:val="xl215"/>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7">
    <w:name w:val="xl220"/>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8">
    <w:name w:val="•Body Text"/>
    <w:basedOn w:val="1"/>
    <w:uiPriority w:val="0"/>
    <w:pPr>
      <w:suppressAutoHyphens/>
      <w:spacing w:after="120" w:line="320" w:lineRule="exact"/>
    </w:pPr>
    <w:rPr>
      <w:rFonts w:ascii="Arial" w:hAnsi="Arial"/>
      <w:kern w:val="1"/>
      <w:sz w:val="18"/>
      <w:lang w:eastAsia="ar-SA"/>
    </w:rPr>
  </w:style>
  <w:style w:type="paragraph" w:customStyle="1" w:styleId="549">
    <w:name w:val="列出段落11"/>
    <w:basedOn w:val="1"/>
    <w:qFormat/>
    <w:uiPriority w:val="34"/>
    <w:pPr>
      <w:ind w:firstLine="420" w:firstLineChars="200"/>
    </w:pPr>
    <w:rPr>
      <w:szCs w:val="22"/>
    </w:rPr>
  </w:style>
  <w:style w:type="paragraph" w:customStyle="1" w:styleId="550">
    <w:name w:val="Drawing"/>
    <w:basedOn w:val="22"/>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551">
    <w:name w:val="‧ N caption-table"/>
    <w:basedOn w:val="552"/>
    <w:next w:val="553"/>
    <w:uiPriority w:val="0"/>
  </w:style>
  <w:style w:type="paragraph" w:customStyle="1" w:styleId="552">
    <w:name w:val="‧ N base"/>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553">
    <w:name w:val="‧ N body"/>
    <w:basedOn w:val="1"/>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554">
    <w:name w:val="SANGFOR_4_标题4"/>
    <w:basedOn w:val="5"/>
    <w:next w:val="190"/>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555">
    <w:name w:val="xl1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56">
    <w:name w:val="Char3 Char Char Char"/>
    <w:basedOn w:val="1"/>
    <w:uiPriority w:val="0"/>
    <w:pPr>
      <w:widowControl/>
      <w:spacing w:after="160" w:line="240" w:lineRule="exact"/>
      <w:ind w:firstLine="420"/>
      <w:jc w:val="left"/>
    </w:pPr>
    <w:rPr>
      <w:rFonts w:ascii="Verdana" w:hAnsi="Verdana"/>
      <w:kern w:val="0"/>
      <w:sz w:val="20"/>
      <w:szCs w:val="20"/>
      <w:lang w:eastAsia="en-US"/>
    </w:rPr>
  </w:style>
  <w:style w:type="paragraph" w:customStyle="1" w:styleId="557">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58">
    <w:name w:val="默认段落字体 Para Char Char Char Char Char Char Char Char Char1 Char Char Char Char"/>
    <w:basedOn w:val="1"/>
    <w:uiPriority w:val="0"/>
    <w:pPr>
      <w:spacing w:line="360" w:lineRule="auto"/>
      <w:ind w:firstLine="420"/>
    </w:pPr>
    <w:rPr>
      <w:rFonts w:ascii="Tahoma" w:hAnsi="Tahoma"/>
      <w:sz w:val="24"/>
      <w:szCs w:val="20"/>
    </w:rPr>
  </w:style>
  <w:style w:type="paragraph" w:customStyle="1" w:styleId="559">
    <w:name w:val="列出段落4"/>
    <w:basedOn w:val="1"/>
    <w:qFormat/>
    <w:uiPriority w:val="99"/>
    <w:pPr>
      <w:ind w:firstLine="420" w:firstLineChars="200"/>
    </w:pPr>
    <w:rPr>
      <w:szCs w:val="22"/>
    </w:rPr>
  </w:style>
  <w:style w:type="paragraph" w:customStyle="1" w:styleId="560">
    <w:name w:val="*Heading 1"/>
    <w:basedOn w:val="272"/>
    <w:next w:val="272"/>
    <w:uiPriority w:val="0"/>
    <w:pPr>
      <w:keepNext/>
      <w:keepLines/>
      <w:spacing w:before="240" w:after="120"/>
      <w:outlineLvl w:val="1"/>
    </w:pPr>
    <w:rPr>
      <w:rFonts w:ascii="Verdana" w:hAnsi="Verdana"/>
      <w:b/>
      <w:sz w:val="36"/>
      <w:szCs w:val="32"/>
    </w:rPr>
  </w:style>
  <w:style w:type="paragraph" w:customStyle="1" w:styleId="561">
    <w:name w:val="样式 标题 + 两端对齐"/>
    <w:basedOn w:val="76"/>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562">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563">
    <w:name w:val="GP正文(首行缩进)"/>
    <w:basedOn w:val="1"/>
    <w:qFormat/>
    <w:uiPriority w:val="0"/>
    <w:pPr>
      <w:spacing w:line="400" w:lineRule="exact"/>
      <w:ind w:firstLine="480" w:firstLineChars="200"/>
      <w:jc w:val="left"/>
    </w:pPr>
    <w:rPr>
      <w:sz w:val="24"/>
    </w:rPr>
  </w:style>
  <w:style w:type="paragraph" w:customStyle="1" w:styleId="564">
    <w:name w:val="*Notice Heading"/>
    <w:basedOn w:val="560"/>
    <w:next w:val="565"/>
    <w:uiPriority w:val="0"/>
    <w:pPr>
      <w:spacing w:after="240" w:line="240" w:lineRule="auto"/>
      <w:outlineLvl w:val="0"/>
    </w:pPr>
    <w:rPr>
      <w:b w:val="0"/>
      <w:color w:val="00637A"/>
      <w:szCs w:val="36"/>
    </w:rPr>
  </w:style>
  <w:style w:type="paragraph" w:customStyle="1" w:styleId="565">
    <w:name w:val="*Confidentiality Notice"/>
    <w:basedOn w:val="272"/>
    <w:uiPriority w:val="0"/>
    <w:pPr>
      <w:spacing w:after="200" w:line="220" w:lineRule="atLeast"/>
    </w:pPr>
    <w:rPr>
      <w:sz w:val="18"/>
    </w:rPr>
  </w:style>
  <w:style w:type="paragraph" w:customStyle="1" w:styleId="566">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567">
    <w:name w:val="NW正文"/>
    <w:basedOn w:val="568"/>
    <w:next w:val="373"/>
    <w:uiPriority w:val="0"/>
    <w:pPr>
      <w:spacing w:before="120"/>
      <w:ind w:left="420" w:firstLine="425"/>
    </w:pPr>
    <w:rPr>
      <w:rFonts w:ascii="Arial" w:hAnsi="Arial"/>
      <w:kern w:val="0"/>
    </w:rPr>
  </w:style>
  <w:style w:type="paragraph" w:customStyle="1" w:styleId="568">
    <w:name w:val="Char Char Char Char Char Char"/>
    <w:basedOn w:val="1"/>
    <w:uiPriority w:val="0"/>
    <w:pPr>
      <w:spacing w:line="360" w:lineRule="auto"/>
      <w:ind w:firstLine="420"/>
    </w:pPr>
    <w:rPr>
      <w:rFonts w:ascii="Tahoma" w:hAnsi="Tahoma"/>
      <w:sz w:val="24"/>
      <w:szCs w:val="20"/>
    </w:rPr>
  </w:style>
  <w:style w:type="paragraph" w:customStyle="1" w:styleId="569">
    <w:name w:val="‧ N cover prepared name"/>
    <w:basedOn w:val="552"/>
    <w:uiPriority w:val="0"/>
  </w:style>
  <w:style w:type="paragraph" w:customStyle="1" w:styleId="570">
    <w:name w:val="列表3"/>
    <w:basedOn w:val="1"/>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571">
    <w:name w:val="content -1"/>
    <w:basedOn w:val="1"/>
    <w:uiPriority w:val="0"/>
    <w:pPr>
      <w:spacing w:beforeLines="50" w:line="400" w:lineRule="exact"/>
      <w:ind w:firstLine="420"/>
      <w:jc w:val="left"/>
    </w:pPr>
    <w:rPr>
      <w:rFonts w:ascii="宋体" w:hAnsi="宋体" w:eastAsia="PMingLiU"/>
      <w:spacing w:val="20"/>
      <w:sz w:val="22"/>
      <w:lang w:eastAsia="zh-TW"/>
    </w:rPr>
  </w:style>
  <w:style w:type="paragraph" w:customStyle="1" w:styleId="572">
    <w:name w:val="Object index heading"/>
    <w:basedOn w:val="16"/>
    <w:uiPriority w:val="0"/>
  </w:style>
  <w:style w:type="paragraph" w:customStyle="1" w:styleId="573">
    <w:name w:val="3级"/>
    <w:basedOn w:val="4"/>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574">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75">
    <w:name w:val="列表项目符号2"/>
    <w:basedOn w:val="1"/>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576">
    <w:name w:val="para13"/>
    <w:basedOn w:val="1"/>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577">
    <w:name w:val="xl86"/>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78">
    <w:name w:val="‧ N table-8 body indent"/>
    <w:basedOn w:val="579"/>
    <w:uiPriority w:val="0"/>
    <w:pPr>
      <w:spacing w:before="85" w:after="45"/>
      <w:ind w:left="720"/>
    </w:pPr>
    <w:rPr>
      <w:sz w:val="16"/>
    </w:rPr>
  </w:style>
  <w:style w:type="paragraph" w:customStyle="1" w:styleId="579">
    <w:name w:val="‧ N table-8 body"/>
    <w:basedOn w:val="552"/>
    <w:uiPriority w:val="0"/>
  </w:style>
  <w:style w:type="paragraph" w:customStyle="1" w:styleId="580">
    <w:name w:val="*Full Page"/>
    <w:basedOn w:val="1"/>
    <w:uiPriority w:val="0"/>
    <w:pPr>
      <w:widowControl/>
      <w:spacing w:after="280" w:line="220" w:lineRule="atLeast"/>
      <w:ind w:firstLine="420"/>
      <w:jc w:val="left"/>
    </w:pPr>
    <w:rPr>
      <w:rFonts w:ascii="Arial" w:hAnsi="Arial"/>
      <w:kern w:val="0"/>
      <w:sz w:val="20"/>
      <w:szCs w:val="20"/>
    </w:rPr>
  </w:style>
  <w:style w:type="paragraph" w:customStyle="1" w:styleId="581">
    <w:name w:val="‧ N head 3"/>
    <w:basedOn w:val="552"/>
    <w:next w:val="553"/>
    <w:uiPriority w:val="0"/>
  </w:style>
  <w:style w:type="paragraph" w:customStyle="1" w:styleId="582">
    <w:name w:val="‧ N bullet"/>
    <w:basedOn w:val="552"/>
    <w:uiPriority w:val="0"/>
  </w:style>
  <w:style w:type="paragraph" w:customStyle="1" w:styleId="583">
    <w:name w:val="~Table/Graphics Caption"/>
    <w:basedOn w:val="537"/>
    <w:next w:val="499"/>
    <w:uiPriority w:val="0"/>
    <w:rPr>
      <w:color w:val="00637A"/>
    </w:rPr>
  </w:style>
  <w:style w:type="paragraph" w:customStyle="1" w:styleId="584">
    <w:name w:val="样式 只在字下加下划线 首行缩进:  2 字符"/>
    <w:basedOn w:val="1"/>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585">
    <w:name w:val="自用 + 首行缩进"/>
    <w:basedOn w:val="1"/>
    <w:uiPriority w:val="0"/>
    <w:pPr>
      <w:spacing w:before="120" w:after="120" w:line="360" w:lineRule="auto"/>
      <w:ind w:firstLine="200" w:firstLineChars="200"/>
    </w:pPr>
    <w:rPr>
      <w:rFonts w:ascii="宋体" w:hAnsi="宋体" w:cs="宋体"/>
      <w:szCs w:val="20"/>
    </w:rPr>
  </w:style>
  <w:style w:type="paragraph" w:customStyle="1" w:styleId="586">
    <w:name w:val="~Heading 1"/>
    <w:next w:val="499"/>
    <w:uiPriority w:val="0"/>
    <w:pPr>
      <w:keepNext/>
      <w:keepLines/>
      <w:tabs>
        <w:tab w:val="left" w:pos="840"/>
      </w:tabs>
      <w:spacing w:before="240" w:after="120" w:line="220" w:lineRule="atLeast"/>
      <w:outlineLvl w:val="1"/>
    </w:pPr>
    <w:rPr>
      <w:rFonts w:ascii="Arial" w:hAnsi="Arial"/>
      <w:b/>
      <w:color w:val="00637A"/>
      <w:sz w:val="32"/>
      <w:szCs w:val="32"/>
      <w:lang w:val="en-US" w:eastAsia="en-US" w:bidi="ar-SA"/>
    </w:rPr>
  </w:style>
  <w:style w:type="paragraph" w:customStyle="1" w:styleId="587">
    <w:name w:val="正文 New New New New New New New New New New New New New New New New New New New New New New New New New"/>
    <w:qFormat/>
    <w:uiPriority w:val="0"/>
    <w:pPr>
      <w:spacing w:after="200" w:line="276" w:lineRule="auto"/>
    </w:pPr>
    <w:rPr>
      <w:rFonts w:ascii="Calibri" w:hAnsi="Calibri" w:cs="黑体"/>
      <w:sz w:val="22"/>
      <w:szCs w:val="22"/>
      <w:lang w:val="en-US" w:eastAsia="en-US" w:bidi="ar-SA"/>
    </w:rPr>
  </w:style>
  <w:style w:type="paragraph" w:customStyle="1" w:styleId="588">
    <w:name w:val="表格标题1"/>
    <w:basedOn w:val="1"/>
    <w:uiPriority w:val="0"/>
    <w:pPr>
      <w:spacing w:line="400" w:lineRule="exact"/>
      <w:ind w:firstLine="200" w:firstLineChars="200"/>
      <w:jc w:val="center"/>
    </w:pPr>
    <w:rPr>
      <w:rFonts w:ascii="Arial" w:hAnsi="Arial" w:cs="宋体"/>
      <w:b/>
      <w:bCs/>
      <w:szCs w:val="21"/>
    </w:rPr>
  </w:style>
  <w:style w:type="paragraph" w:customStyle="1" w:styleId="589">
    <w:name w:val="Contents 10"/>
    <w:basedOn w:val="46"/>
    <w:uiPriority w:val="0"/>
    <w:pPr>
      <w:tabs>
        <w:tab w:val="right" w:leader="dot" w:pos="9746"/>
      </w:tabs>
      <w:ind w:left="2547"/>
    </w:pPr>
  </w:style>
  <w:style w:type="paragraph" w:customStyle="1" w:styleId="590">
    <w:name w:val="xl225"/>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91">
    <w:name w:val="*Table of Contents"/>
    <w:basedOn w:val="565"/>
    <w:next w:val="272"/>
    <w:uiPriority w:val="0"/>
    <w:pPr>
      <w:spacing w:before="240" w:after="240" w:line="240" w:lineRule="auto"/>
    </w:pPr>
    <w:rPr>
      <w:color w:val="00637A"/>
      <w:sz w:val="36"/>
      <w:szCs w:val="36"/>
    </w:rPr>
  </w:style>
  <w:style w:type="paragraph" w:customStyle="1" w:styleId="592">
    <w:name w:val="xl114"/>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93">
    <w:name w:val="xl328"/>
    <w:basedOn w:val="1"/>
    <w:uiPriority w:val="0"/>
    <w:pPr>
      <w:widowControl/>
      <w:spacing w:before="100" w:beforeAutospacing="1" w:after="100" w:afterAutospacing="1"/>
      <w:jc w:val="center"/>
    </w:pPr>
    <w:rPr>
      <w:rFonts w:ascii="宋体" w:hAnsi="宋体" w:cs="宋体"/>
      <w:kern w:val="0"/>
      <w:sz w:val="24"/>
    </w:rPr>
  </w:style>
  <w:style w:type="paragraph" w:customStyle="1" w:styleId="594">
    <w:name w:val="_HP Table Body 8 pt"/>
    <w:basedOn w:val="140"/>
    <w:next w:val="140"/>
    <w:uiPriority w:val="0"/>
    <w:pPr>
      <w:spacing w:before="80" w:after="80"/>
    </w:pPr>
    <w:rPr>
      <w:rFonts w:ascii="Futura-Heavy" w:hAnsi="Futura-Heavy" w:eastAsia="宋体" w:cs="Times New Roman"/>
      <w:color w:val="auto"/>
    </w:rPr>
  </w:style>
  <w:style w:type="paragraph" w:customStyle="1" w:styleId="595">
    <w:name w:val="xl130"/>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96">
    <w:name w:val="User Index 9"/>
    <w:basedOn w:val="46"/>
    <w:uiPriority w:val="0"/>
    <w:pPr>
      <w:tabs>
        <w:tab w:val="right" w:leader="dot" w:pos="9746"/>
      </w:tabs>
      <w:ind w:left="2264"/>
    </w:pPr>
  </w:style>
  <w:style w:type="paragraph" w:customStyle="1" w:styleId="597">
    <w:name w:val="列出段落2"/>
    <w:basedOn w:val="1"/>
    <w:qFormat/>
    <w:uiPriority w:val="34"/>
    <w:pPr>
      <w:spacing w:line="360" w:lineRule="auto"/>
      <w:ind w:left="720" w:firstLine="420"/>
      <w:contextualSpacing/>
    </w:pPr>
    <w:rPr>
      <w:kern w:val="0"/>
      <w:sz w:val="20"/>
    </w:rPr>
  </w:style>
  <w:style w:type="paragraph" w:customStyle="1" w:styleId="598">
    <w:name w:val="xl213"/>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9">
    <w:name w:val="User Index 1"/>
    <w:basedOn w:val="46"/>
    <w:uiPriority w:val="0"/>
    <w:pPr>
      <w:tabs>
        <w:tab w:val="right" w:leader="dot" w:pos="10466"/>
      </w:tabs>
      <w:ind w:left="720" w:right="1009"/>
    </w:pPr>
    <w:rPr>
      <w:rFonts w:ascii="Times New Roman" w:hAnsi="Times New Roman"/>
      <w:b/>
    </w:rPr>
  </w:style>
  <w:style w:type="paragraph" w:customStyle="1" w:styleId="600">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01">
    <w:name w:val="xl239"/>
    <w:basedOn w:val="1"/>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02">
    <w:name w:val="‧ N cover title"/>
    <w:basedOn w:val="552"/>
    <w:uiPriority w:val="0"/>
  </w:style>
  <w:style w:type="paragraph" w:customStyle="1" w:styleId="603">
    <w:name w:val="xl210"/>
    <w:basedOn w:val="1"/>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4">
    <w:name w:val="‧ N table-10 head left"/>
    <w:basedOn w:val="552"/>
    <w:next w:val="605"/>
    <w:uiPriority w:val="0"/>
  </w:style>
  <w:style w:type="paragraph" w:customStyle="1" w:styleId="605">
    <w:name w:val="‧ N table-10 body"/>
    <w:basedOn w:val="1"/>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606">
    <w:name w:val="样式 题注"/>
    <w:basedOn w:val="22"/>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607">
    <w:name w:val="xl15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08">
    <w:name w:val="1111"/>
    <w:basedOn w:val="2"/>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609">
    <w:name w:val="内文正文"/>
    <w:basedOn w:val="40"/>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610">
    <w:name w:val="xl3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11">
    <w:name w:val="xl224"/>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12">
    <w:name w:val="xl123"/>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3">
    <w:name w:val="列表1"/>
    <w:basedOn w:val="1"/>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614">
    <w:name w:val="xl190"/>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15">
    <w:name w:val="TOC 标题2"/>
    <w:basedOn w:val="2"/>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616">
    <w:name w:val="Body"/>
    <w:basedOn w:val="1"/>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617">
    <w:name w:val="xl339"/>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18">
    <w:name w:val="User Index 4"/>
    <w:basedOn w:val="46"/>
    <w:uiPriority w:val="0"/>
    <w:pPr>
      <w:tabs>
        <w:tab w:val="right" w:leader="dot" w:pos="9746"/>
      </w:tabs>
      <w:ind w:left="849"/>
    </w:pPr>
  </w:style>
  <w:style w:type="paragraph" w:customStyle="1" w:styleId="619">
    <w:name w:val="xl121"/>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20">
    <w:name w:val="正文11"/>
    <w:basedOn w:val="1"/>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621">
    <w:name w:val="样式17"/>
    <w:basedOn w:val="1"/>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622">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23">
    <w:name w:val="parahead1"/>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624">
    <w:name w:val="blithe5"/>
    <w:basedOn w:val="625"/>
    <w:next w:val="1"/>
    <w:uiPriority w:val="0"/>
    <w:pPr>
      <w:tabs>
        <w:tab w:val="left" w:pos="360"/>
        <w:tab w:val="left" w:pos="1260"/>
        <w:tab w:val="left" w:pos="1785"/>
        <w:tab w:val="left" w:pos="2160"/>
        <w:tab w:val="left" w:pos="2520"/>
      </w:tabs>
      <w:ind w:left="2520"/>
      <w:outlineLvl w:val="4"/>
    </w:pPr>
    <w:rPr>
      <w:sz w:val="24"/>
    </w:rPr>
  </w:style>
  <w:style w:type="paragraph" w:customStyle="1" w:styleId="625">
    <w:name w:val="blithe4"/>
    <w:basedOn w:val="206"/>
    <w:next w:val="1"/>
    <w:uiPriority w:val="0"/>
    <w:pPr>
      <w:tabs>
        <w:tab w:val="left" w:pos="2160"/>
      </w:tabs>
      <w:ind w:left="2100" w:hanging="420"/>
      <w:outlineLvl w:val="3"/>
    </w:pPr>
    <w:rPr>
      <w:b w:val="0"/>
      <w:kern w:val="20"/>
    </w:rPr>
  </w:style>
  <w:style w:type="paragraph" w:customStyle="1" w:styleId="626">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27">
    <w:name w:val="Preformatted Text"/>
    <w:basedOn w:val="1"/>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628">
    <w:name w:val="标准标题4"/>
    <w:basedOn w:val="1"/>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629">
    <w:name w:val="xl385"/>
    <w:basedOn w:val="1"/>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30">
    <w:name w:val="af17cgridlangnp1033langf"/>
    <w:uiPriority w:val="0"/>
    <w:pPr>
      <w:widowControl w:val="0"/>
      <w:autoSpaceDE w:val="0"/>
      <w:autoSpaceDN w:val="0"/>
      <w:adjustRightInd w:val="0"/>
      <w:spacing w:before="156" w:line="360" w:lineRule="atLeast"/>
      <w:ind w:left="567" w:firstLine="510"/>
      <w:jc w:val="both"/>
    </w:pPr>
    <w:rPr>
      <w:rFonts w:eastAsia="??"/>
      <w:sz w:val="24"/>
      <w:szCs w:val="28"/>
      <w:lang w:val="en-US" w:eastAsia="zh-CN" w:bidi="ar-SA"/>
    </w:rPr>
  </w:style>
  <w:style w:type="paragraph" w:customStyle="1" w:styleId="631">
    <w:name w:val="xl32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32">
    <w:name w:val="xl205"/>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33">
    <w:name w:val="样式8"/>
    <w:basedOn w:val="156"/>
    <w:qFormat/>
    <w:uiPriority w:val="0"/>
    <w:pPr>
      <w:keepNext/>
      <w:keepLines/>
      <w:tabs>
        <w:tab w:val="left" w:pos="567"/>
      </w:tabs>
      <w:spacing w:before="260" w:after="260"/>
      <w:ind w:left="567" w:hanging="567"/>
      <w:outlineLvl w:val="1"/>
    </w:pPr>
    <w:rPr>
      <w:b/>
      <w:bCs/>
      <w:sz w:val="32"/>
      <w:szCs w:val="32"/>
    </w:rPr>
  </w:style>
  <w:style w:type="paragraph" w:customStyle="1" w:styleId="634">
    <w:name w:val="样式12"/>
    <w:basedOn w:val="156"/>
    <w:uiPriority w:val="0"/>
    <w:pPr>
      <w:keepNext/>
      <w:keepLines/>
      <w:tabs>
        <w:tab w:val="left" w:pos="567"/>
      </w:tabs>
      <w:spacing w:before="260" w:after="260"/>
      <w:ind w:left="567" w:hanging="567"/>
      <w:outlineLvl w:val="1"/>
    </w:pPr>
    <w:rPr>
      <w:b/>
      <w:bCs/>
      <w:kern w:val="0"/>
      <w:sz w:val="32"/>
      <w:szCs w:val="32"/>
    </w:rPr>
  </w:style>
  <w:style w:type="paragraph" w:customStyle="1" w:styleId="635">
    <w:name w:val="xl33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36">
    <w:name w:val="标题11"/>
    <w:basedOn w:val="3"/>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637">
    <w:name w:val="xl1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38">
    <w:name w:val="p17"/>
    <w:basedOn w:val="1"/>
    <w:qFormat/>
    <w:uiPriority w:val="0"/>
    <w:pPr>
      <w:widowControl/>
      <w:spacing w:line="360" w:lineRule="auto"/>
      <w:ind w:firstLine="420"/>
      <w:jc w:val="left"/>
    </w:pPr>
    <w:rPr>
      <w:kern w:val="0"/>
      <w:sz w:val="24"/>
    </w:rPr>
  </w:style>
  <w:style w:type="paragraph" w:customStyle="1" w:styleId="639">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640">
    <w:name w:val="HP Entity Detail"/>
    <w:uiPriority w:val="0"/>
    <w:pPr>
      <w:ind w:left="-1080" w:right="-720"/>
    </w:pPr>
    <w:rPr>
      <w:rFonts w:ascii="Arial" w:hAnsi="Arial"/>
      <w:b/>
      <w:sz w:val="14"/>
      <w:szCs w:val="14"/>
      <w:lang w:val="en-US" w:eastAsia="en-US" w:bidi="ar-SA"/>
    </w:rPr>
  </w:style>
  <w:style w:type="paragraph" w:customStyle="1" w:styleId="641">
    <w:name w:val="Pa0"/>
    <w:basedOn w:val="140"/>
    <w:next w:val="140"/>
    <w:uiPriority w:val="0"/>
    <w:pPr>
      <w:spacing w:line="241" w:lineRule="atLeast"/>
    </w:pPr>
    <w:rPr>
      <w:rFonts w:cs="Times New Roman"/>
      <w:color w:val="auto"/>
    </w:rPr>
  </w:style>
  <w:style w:type="paragraph" w:customStyle="1" w:styleId="642">
    <w:name w:val="临时副标题"/>
    <w:basedOn w:val="1"/>
    <w:next w:val="1"/>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643">
    <w:name w:val="*Logo Cover"/>
    <w:basedOn w:val="644"/>
    <w:uiPriority w:val="0"/>
    <w:pPr>
      <w:ind w:right="360"/>
      <w:jc w:val="right"/>
    </w:pPr>
  </w:style>
  <w:style w:type="paragraph" w:customStyle="1" w:styleId="644">
    <w:name w:val="*Table Text"/>
    <w:uiPriority w:val="0"/>
    <w:pPr>
      <w:spacing w:line="240" w:lineRule="atLeast"/>
    </w:pPr>
    <w:rPr>
      <w:rFonts w:ascii="Arial" w:hAnsi="Arial"/>
      <w:sz w:val="18"/>
      <w:szCs w:val="24"/>
      <w:lang w:val="en-US" w:eastAsia="en-US" w:bidi="ar-SA"/>
    </w:rPr>
  </w:style>
  <w:style w:type="paragraph" w:customStyle="1" w:styleId="645">
    <w:name w:val="xl55"/>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646">
    <w:name w:val="Item List"/>
    <w:uiPriority w:val="0"/>
    <w:pPr>
      <w:tabs>
        <w:tab w:val="left" w:pos="3780"/>
      </w:tabs>
      <w:spacing w:line="300" w:lineRule="auto"/>
      <w:ind w:left="3780" w:hanging="420"/>
      <w:jc w:val="both"/>
    </w:pPr>
    <w:rPr>
      <w:rFonts w:ascii="Arial" w:hAnsi="Arial" w:cs="Arial"/>
      <w:sz w:val="21"/>
      <w:szCs w:val="21"/>
      <w:lang w:val="en-US" w:eastAsia="zh-CN" w:bidi="ar-SA"/>
    </w:rPr>
  </w:style>
  <w:style w:type="paragraph" w:customStyle="1" w:styleId="647">
    <w:name w:val="Paragraph"/>
    <w:basedOn w:val="1"/>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648">
    <w:name w:val="xl18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49">
    <w:name w:val="xl119"/>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50">
    <w:name w:val="说明"/>
    <w:basedOn w:val="2"/>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651">
    <w:name w:val="一级标题"/>
    <w:basedOn w:val="1"/>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652">
    <w:name w:val="xl126"/>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53">
    <w:name w:val="新增"/>
    <w:basedOn w:val="5"/>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654">
    <w:name w:val="Table Bullet"/>
    <w:basedOn w:val="1"/>
    <w:uiPriority w:val="0"/>
    <w:pPr>
      <w:widowControl/>
      <w:spacing w:beforeLines="50" w:line="360" w:lineRule="auto"/>
      <w:ind w:firstLine="420"/>
      <w:jc w:val="left"/>
    </w:pPr>
    <w:rPr>
      <w:rFonts w:ascii="宋体" w:hAnsi="宋体"/>
      <w:color w:val="000000"/>
      <w:kern w:val="0"/>
      <w:sz w:val="23"/>
      <w:szCs w:val="20"/>
    </w:rPr>
  </w:style>
  <w:style w:type="paragraph" w:customStyle="1" w:styleId="655">
    <w:name w:val="Char2"/>
    <w:basedOn w:val="1"/>
    <w:qFormat/>
    <w:uiPriority w:val="0"/>
    <w:rPr>
      <w:rFonts w:ascii="仿宋_GB2312" w:eastAsia="仿宋_GB2312"/>
      <w:b/>
      <w:sz w:val="32"/>
      <w:szCs w:val="32"/>
    </w:rPr>
  </w:style>
  <w:style w:type="paragraph" w:customStyle="1" w:styleId="656">
    <w:name w:val="SANGFOR_2_标题2"/>
    <w:basedOn w:val="3"/>
    <w:next w:val="190"/>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657">
    <w:name w:val="泰雷兹"/>
    <w:basedOn w:val="5"/>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658">
    <w:name w:val="xl33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59">
    <w:name w:val="List Indent"/>
    <w:basedOn w:val="17"/>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660">
    <w:name w:val="~Heading 5"/>
    <w:next w:val="499"/>
    <w:uiPriority w:val="0"/>
    <w:pPr>
      <w:keepNext/>
      <w:keepLines/>
      <w:spacing w:before="240" w:after="120"/>
      <w:outlineLvl w:val="5"/>
    </w:pPr>
    <w:rPr>
      <w:rFonts w:ascii="Arial" w:hAnsi="Arial"/>
      <w:i/>
      <w:color w:val="00637A"/>
      <w:sz w:val="24"/>
      <w:szCs w:val="24"/>
      <w:lang w:val="en-US" w:eastAsia="en-US" w:bidi="ar-SA"/>
    </w:rPr>
  </w:style>
  <w:style w:type="paragraph" w:customStyle="1" w:styleId="661">
    <w:name w:val="a1"/>
    <w:basedOn w:val="1"/>
    <w:uiPriority w:val="0"/>
    <w:pPr>
      <w:widowControl/>
      <w:spacing w:before="100" w:beforeAutospacing="1" w:after="100" w:afterAutospacing="1"/>
      <w:jc w:val="left"/>
    </w:pPr>
    <w:rPr>
      <w:rFonts w:ascii="宋体" w:hAnsi="宋体" w:cs="宋体"/>
      <w:kern w:val="0"/>
      <w:sz w:val="24"/>
    </w:rPr>
  </w:style>
  <w:style w:type="paragraph" w:customStyle="1" w:styleId="662">
    <w:name w:val="*Section Title"/>
    <w:next w:val="272"/>
    <w:uiPriority w:val="0"/>
    <w:pPr>
      <w:pageBreakBefore/>
      <w:spacing w:before="240" w:after="240"/>
      <w:outlineLvl w:val="0"/>
    </w:pPr>
    <w:rPr>
      <w:rFonts w:ascii="Arial" w:hAnsi="Arial"/>
      <w:color w:val="00637A"/>
      <w:sz w:val="36"/>
      <w:szCs w:val="36"/>
      <w:lang w:val="en-US" w:eastAsia="en-US" w:bidi="ar-SA"/>
    </w:rPr>
  </w:style>
  <w:style w:type="paragraph" w:customStyle="1" w:styleId="663">
    <w:name w:val="正文 New New New New New New New New New New New New New"/>
    <w:qFormat/>
    <w:uiPriority w:val="0"/>
    <w:pPr>
      <w:spacing w:after="200" w:line="276" w:lineRule="auto"/>
    </w:pPr>
    <w:rPr>
      <w:rFonts w:ascii="Calibri" w:hAnsi="Calibri" w:cs="黑体"/>
      <w:sz w:val="22"/>
      <w:szCs w:val="22"/>
      <w:lang w:val="en-US" w:eastAsia="en-US" w:bidi="ar-SA"/>
    </w:rPr>
  </w:style>
  <w:style w:type="paragraph" w:customStyle="1" w:styleId="664">
    <w:name w:val="应答标题a"/>
    <w:basedOn w:val="366"/>
    <w:uiPriority w:val="0"/>
    <w:pPr>
      <w:tabs>
        <w:tab w:val="left" w:pos="540"/>
      </w:tabs>
      <w:ind w:firstLine="522"/>
    </w:pPr>
    <w:rPr>
      <w:rFonts w:ascii="黑体" w:hAnsi="黑体" w:eastAsia="黑体"/>
      <w:b/>
      <w:bCs/>
      <w:color w:val="auto"/>
      <w:kern w:val="2"/>
      <w:u w:val="single"/>
    </w:rPr>
  </w:style>
  <w:style w:type="paragraph" w:customStyle="1" w:styleId="665">
    <w:name w:val="样式 标题二 + 居中"/>
    <w:basedOn w:val="666"/>
    <w:qFormat/>
    <w:uiPriority w:val="0"/>
    <w:pPr>
      <w:jc w:val="center"/>
    </w:pPr>
    <w:rPr>
      <w:rFonts w:cs="宋体"/>
      <w:b w:val="0"/>
      <w:szCs w:val="20"/>
    </w:rPr>
  </w:style>
  <w:style w:type="paragraph" w:customStyle="1" w:styleId="666">
    <w:name w:val="标题二"/>
    <w:basedOn w:val="3"/>
    <w:next w:val="1"/>
    <w:qFormat/>
    <w:uiPriority w:val="0"/>
    <w:pPr>
      <w:snapToGrid/>
      <w:spacing w:before="120" w:line="415" w:lineRule="auto"/>
      <w:ind w:firstLine="0" w:firstLineChars="0"/>
    </w:pPr>
    <w:rPr>
      <w:rFonts w:ascii="黑体" w:hAnsi="华文细黑" w:eastAsia="黑体"/>
      <w:sz w:val="24"/>
    </w:rPr>
  </w:style>
  <w:style w:type="paragraph" w:customStyle="1" w:styleId="667">
    <w:name w:val="xl32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68">
    <w:name w:val="SANGFOR_8_表格文字"/>
    <w:basedOn w:val="1"/>
    <w:uiPriority w:val="0"/>
    <w:pPr>
      <w:tabs>
        <w:tab w:val="left" w:pos="390"/>
      </w:tabs>
      <w:snapToGrid w:val="0"/>
      <w:ind w:firstLine="425" w:firstLineChars="177"/>
      <w:jc w:val="left"/>
    </w:pPr>
    <w:rPr>
      <w:szCs w:val="21"/>
    </w:rPr>
  </w:style>
  <w:style w:type="paragraph" w:customStyle="1" w:styleId="669">
    <w:name w:val="HeadingSub"/>
    <w:uiPriority w:val="0"/>
    <w:pPr>
      <w:tabs>
        <w:tab w:val="left" w:pos="993"/>
        <w:tab w:val="left" w:pos="1440"/>
      </w:tabs>
      <w:ind w:left="993" w:right="48" w:hanging="567"/>
    </w:pPr>
    <w:rPr>
      <w:rFonts w:ascii="MetaBook-Roman" w:hAnsi="MetaBook-Roman" w:cs="Arial"/>
      <w:b/>
      <w:sz w:val="24"/>
      <w:u w:val="single"/>
      <w:lang w:val="en-US" w:eastAsia="en-US" w:bidi="ar-SA"/>
    </w:rPr>
  </w:style>
  <w:style w:type="paragraph" w:customStyle="1" w:styleId="670">
    <w:name w:val="总1"/>
    <w:basedOn w:val="1"/>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671">
    <w:name w:val="arial122"/>
    <w:basedOn w:val="1"/>
    <w:uiPriority w:val="0"/>
    <w:pPr>
      <w:widowControl/>
      <w:spacing w:line="300" w:lineRule="atLeast"/>
      <w:ind w:firstLine="420"/>
      <w:jc w:val="left"/>
    </w:pPr>
    <w:rPr>
      <w:rFonts w:ascii="宋体" w:hAnsi="宋体" w:cs="宋体"/>
      <w:kern w:val="0"/>
      <w:sz w:val="18"/>
      <w:szCs w:val="18"/>
    </w:rPr>
  </w:style>
  <w:style w:type="paragraph" w:customStyle="1" w:styleId="672">
    <w:name w:val="文章标题"/>
    <w:next w:val="1"/>
    <w:uiPriority w:val="0"/>
    <w:pPr>
      <w:spacing w:beforeLines="200" w:afterLines="100"/>
      <w:jc w:val="center"/>
    </w:pPr>
    <w:rPr>
      <w:rFonts w:ascii="Arial" w:hAnsi="Arial" w:eastAsia="黑体" w:cs="宋体"/>
      <w:bCs/>
      <w:kern w:val="2"/>
      <w:sz w:val="52"/>
      <w:lang w:val="en-US" w:eastAsia="zh-CN" w:bidi="ar-SA"/>
    </w:rPr>
  </w:style>
  <w:style w:type="paragraph" w:customStyle="1" w:styleId="673">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674">
    <w:name w:val="GP公文标题1"/>
    <w:basedOn w:val="563"/>
    <w:next w:val="563"/>
    <w:qFormat/>
    <w:uiPriority w:val="0"/>
    <w:pPr>
      <w:jc w:val="both"/>
    </w:pPr>
    <w:rPr>
      <w:rFonts w:ascii="宋体"/>
    </w:rPr>
  </w:style>
  <w:style w:type="paragraph" w:customStyle="1" w:styleId="675">
    <w:name w:val="‧ N bullet 2"/>
    <w:basedOn w:val="552"/>
    <w:uiPriority w:val="0"/>
  </w:style>
  <w:style w:type="paragraph" w:customStyle="1" w:styleId="676">
    <w:name w:val="blessing"/>
    <w:basedOn w:val="17"/>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677">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678">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679">
    <w:name w:val="List Bullet1"/>
    <w:basedOn w:val="1"/>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680">
    <w:name w:val="安安首行缩进"/>
    <w:basedOn w:val="1"/>
    <w:uiPriority w:val="0"/>
    <w:pPr>
      <w:spacing w:beforeLines="50" w:afterLines="50" w:line="360" w:lineRule="auto"/>
      <w:ind w:firstLine="200" w:firstLineChars="200"/>
    </w:pPr>
    <w:rPr>
      <w:rFonts w:ascii="宋体" w:hAnsi="宋体"/>
      <w:sz w:val="24"/>
    </w:rPr>
  </w:style>
  <w:style w:type="paragraph" w:customStyle="1" w:styleId="681">
    <w:name w:val="中铁-标题四"/>
    <w:basedOn w:val="682"/>
    <w:qFormat/>
    <w:uiPriority w:val="0"/>
    <w:pPr>
      <w:outlineLvl w:val="3"/>
    </w:pPr>
    <w:rPr>
      <w:sz w:val="30"/>
    </w:rPr>
  </w:style>
  <w:style w:type="paragraph" w:customStyle="1" w:styleId="682">
    <w:name w:val="中铁-标题三"/>
    <w:basedOn w:val="683"/>
    <w:qFormat/>
    <w:uiPriority w:val="0"/>
    <w:pPr>
      <w:outlineLvl w:val="2"/>
    </w:pPr>
    <w:rPr>
      <w:sz w:val="32"/>
    </w:rPr>
  </w:style>
  <w:style w:type="paragraph" w:customStyle="1" w:styleId="683">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684">
    <w:name w:val="User Index 7"/>
    <w:basedOn w:val="46"/>
    <w:uiPriority w:val="0"/>
    <w:pPr>
      <w:tabs>
        <w:tab w:val="right" w:leader="dot" w:pos="9746"/>
      </w:tabs>
      <w:ind w:left="1698"/>
    </w:pPr>
  </w:style>
  <w:style w:type="paragraph" w:customStyle="1" w:styleId="685">
    <w:name w:val="*Table Text 2 Bullet #1"/>
    <w:basedOn w:val="686"/>
    <w:uiPriority w:val="0"/>
    <w:pPr>
      <w:tabs>
        <w:tab w:val="left" w:pos="144"/>
        <w:tab w:val="left" w:pos="3240"/>
      </w:tabs>
      <w:ind w:left="144" w:hanging="144"/>
    </w:pPr>
  </w:style>
  <w:style w:type="paragraph" w:customStyle="1" w:styleId="686">
    <w:name w:val="*Table Text 2"/>
    <w:basedOn w:val="644"/>
    <w:uiPriority w:val="0"/>
    <w:pPr>
      <w:spacing w:line="220" w:lineRule="atLeast"/>
    </w:pPr>
    <w:rPr>
      <w:color w:val="000000"/>
      <w:sz w:val="20"/>
      <w:szCs w:val="20"/>
    </w:rPr>
  </w:style>
  <w:style w:type="paragraph" w:customStyle="1" w:styleId="687">
    <w:name w:val="*Bullet #2 Subtext Single"/>
    <w:basedOn w:val="688"/>
    <w:uiPriority w:val="0"/>
    <w:pPr>
      <w:tabs>
        <w:tab w:val="left" w:pos="360"/>
        <w:tab w:val="left" w:pos="425"/>
        <w:tab w:val="left" w:pos="840"/>
        <w:tab w:val="left" w:pos="900"/>
        <w:tab w:val="left" w:pos="1080"/>
        <w:tab w:val="left" w:pos="1440"/>
      </w:tabs>
      <w:spacing w:after="0"/>
      <w:ind w:left="720" w:firstLine="0"/>
    </w:pPr>
  </w:style>
  <w:style w:type="paragraph" w:customStyle="1" w:styleId="688">
    <w:name w:val="*Bullet #2 Double"/>
    <w:basedOn w:val="689"/>
    <w:uiPriority w:val="0"/>
    <w:pPr>
      <w:tabs>
        <w:tab w:val="left" w:pos="360"/>
        <w:tab w:val="left" w:pos="425"/>
        <w:tab w:val="left" w:pos="840"/>
        <w:tab w:val="left" w:pos="900"/>
        <w:tab w:val="left" w:pos="1080"/>
        <w:tab w:val="left" w:pos="1440"/>
      </w:tabs>
      <w:spacing w:after="220"/>
      <w:ind w:left="1440"/>
    </w:pPr>
  </w:style>
  <w:style w:type="paragraph" w:customStyle="1" w:styleId="689">
    <w:name w:val="*Bullet #2 Single"/>
    <w:basedOn w:val="371"/>
    <w:uiPriority w:val="0"/>
    <w:pPr>
      <w:tabs>
        <w:tab w:val="left" w:pos="360"/>
        <w:tab w:val="left" w:pos="840"/>
        <w:tab w:val="left" w:pos="900"/>
      </w:tabs>
      <w:ind w:left="840" w:hanging="420"/>
    </w:pPr>
  </w:style>
  <w:style w:type="paragraph" w:customStyle="1" w:styleId="690">
    <w:name w:val="xl33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91">
    <w:name w:val="xl53"/>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2">
    <w:name w:val="xl380"/>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93">
    <w:name w:val="xl47"/>
    <w:basedOn w:val="1"/>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4">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5">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96">
    <w:name w:val="font1"/>
    <w:basedOn w:val="1"/>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697">
    <w:name w:val="3305051"/>
    <w:basedOn w:val="1"/>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698">
    <w:name w:val="IN Feature"/>
    <w:basedOn w:val="1"/>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699">
    <w:name w:val="标准正文1"/>
    <w:basedOn w:val="1"/>
    <w:uiPriority w:val="0"/>
    <w:pPr>
      <w:spacing w:line="360" w:lineRule="auto"/>
      <w:ind w:firstLine="480" w:firstLineChars="200"/>
    </w:pPr>
    <w:rPr>
      <w:rFonts w:ascii="宋体" w:hAnsi="宋体"/>
      <w:sz w:val="24"/>
    </w:rPr>
  </w:style>
  <w:style w:type="paragraph" w:customStyle="1" w:styleId="700">
    <w:name w:val="*Table Text 3"/>
    <w:basedOn w:val="644"/>
    <w:uiPriority w:val="0"/>
    <w:rPr>
      <w:sz w:val="14"/>
      <w:szCs w:val="14"/>
    </w:rPr>
  </w:style>
  <w:style w:type="paragraph" w:customStyle="1" w:styleId="701">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702">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03">
    <w:name w:val="‧ N head 5"/>
    <w:basedOn w:val="552"/>
    <w:next w:val="704"/>
    <w:uiPriority w:val="0"/>
  </w:style>
  <w:style w:type="paragraph" w:customStyle="1" w:styleId="704">
    <w:name w:val="‧ N body indented"/>
    <w:basedOn w:val="552"/>
    <w:uiPriority w:val="0"/>
  </w:style>
  <w:style w:type="paragraph" w:customStyle="1" w:styleId="705">
    <w:name w:val="bullet正文2"/>
    <w:basedOn w:val="1"/>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706">
    <w:name w:val="落款样式"/>
    <w:basedOn w:val="1"/>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707">
    <w:name w:val="DAS列表一"/>
    <w:basedOn w:val="708"/>
    <w:uiPriority w:val="0"/>
    <w:pPr>
      <w:tabs>
        <w:tab w:val="left" w:pos="840"/>
        <w:tab w:val="left" w:pos="1200"/>
      </w:tabs>
      <w:spacing w:line="360" w:lineRule="auto"/>
      <w:ind w:left="-58" w:leftChars="-58" w:firstLine="0" w:firstLineChars="0"/>
    </w:pPr>
    <w:rPr>
      <w:b w:val="0"/>
      <w:bCs w:val="0"/>
    </w:rPr>
  </w:style>
  <w:style w:type="paragraph" w:customStyle="1" w:styleId="708">
    <w:name w:val="DAS正文"/>
    <w:basedOn w:val="1"/>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709">
    <w:name w:val="Char Char Char Char Char Char Char Char"/>
    <w:basedOn w:val="1"/>
    <w:uiPriority w:val="0"/>
    <w:pPr>
      <w:spacing w:line="360" w:lineRule="auto"/>
    </w:pPr>
    <w:rPr>
      <w:rFonts w:ascii="宋体" w:hAnsi="宋体"/>
    </w:rPr>
  </w:style>
  <w:style w:type="paragraph" w:customStyle="1" w:styleId="710">
    <w:name w:val="xl106"/>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11">
    <w:name w:val="Default Paragraph Font Para Char"/>
    <w:basedOn w:val="1"/>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712">
    <w:name w:val="xl56"/>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13">
    <w:name w:val="xl1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714">
    <w:name w:val="indent flush"/>
    <w:basedOn w:val="1"/>
    <w:next w:val="1"/>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715">
    <w:name w:val="~Bullet #1 Subtext"/>
    <w:basedOn w:val="716"/>
    <w:uiPriority w:val="0"/>
    <w:pPr>
      <w:tabs>
        <w:tab w:val="left" w:pos="900"/>
      </w:tabs>
      <w:ind w:left="360" w:firstLine="0"/>
    </w:pPr>
  </w:style>
  <w:style w:type="paragraph" w:customStyle="1" w:styleId="716">
    <w:name w:val="~Bullet #1 Single"/>
    <w:basedOn w:val="499"/>
    <w:uiPriority w:val="0"/>
    <w:pPr>
      <w:tabs>
        <w:tab w:val="left" w:pos="900"/>
      </w:tabs>
      <w:spacing w:after="0"/>
      <w:ind w:left="900" w:hanging="420"/>
    </w:pPr>
  </w:style>
  <w:style w:type="paragraph" w:customStyle="1" w:styleId="717">
    <w:name w:val="‧ N table-10 body center"/>
    <w:basedOn w:val="552"/>
    <w:uiPriority w:val="0"/>
  </w:style>
  <w:style w:type="paragraph" w:customStyle="1" w:styleId="718">
    <w:name w:val="Object index 1"/>
    <w:basedOn w:val="46"/>
    <w:uiPriority w:val="0"/>
    <w:pPr>
      <w:tabs>
        <w:tab w:val="right" w:leader="dot" w:pos="9746"/>
      </w:tabs>
    </w:pPr>
  </w:style>
  <w:style w:type="paragraph" w:customStyle="1" w:styleId="719">
    <w:name w:val="xl32"/>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20">
    <w:name w:val="*Bullet #2 Subtext Double"/>
    <w:basedOn w:val="687"/>
    <w:uiPriority w:val="0"/>
    <w:pPr>
      <w:spacing w:after="220"/>
    </w:pPr>
  </w:style>
  <w:style w:type="paragraph" w:customStyle="1" w:styleId="721">
    <w:name w:val="普通文字"/>
    <w:basedOn w:val="1"/>
    <w:qFormat/>
    <w:uiPriority w:val="0"/>
    <w:pPr>
      <w:widowControl/>
      <w:spacing w:line="351" w:lineRule="atLeast"/>
      <w:ind w:firstLine="419"/>
      <w:textAlignment w:val="baseline"/>
    </w:pPr>
    <w:rPr>
      <w:rFonts w:ascii="宋体"/>
      <w:color w:val="000000"/>
      <w:kern w:val="0"/>
      <w:szCs w:val="20"/>
      <w:u w:val="none" w:color="000000"/>
    </w:rPr>
  </w:style>
  <w:style w:type="paragraph" w:customStyle="1" w:styleId="722">
    <w:name w:val="xl12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3">
    <w:name w:val="样式 正文缩进 + 首行缩进:  2 字符"/>
    <w:basedOn w:val="21"/>
    <w:uiPriority w:val="0"/>
    <w:pPr>
      <w:spacing w:line="360" w:lineRule="auto"/>
      <w:ind w:firstLine="200"/>
    </w:pPr>
    <w:rPr>
      <w:rFonts w:cs="宋体"/>
      <w:kern w:val="0"/>
      <w:sz w:val="24"/>
      <w:szCs w:val="20"/>
    </w:rPr>
  </w:style>
  <w:style w:type="paragraph" w:customStyle="1" w:styleId="724">
    <w:name w:val="样式胡"/>
    <w:basedOn w:val="1"/>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725">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726">
    <w:name w:val="xl48"/>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27">
    <w:name w:val="xl238"/>
    <w:basedOn w:val="1"/>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28">
    <w:name w:val="目录标题"/>
    <w:basedOn w:val="1"/>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729">
    <w:name w:val="blithe1"/>
    <w:basedOn w:val="17"/>
    <w:next w:val="79"/>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730">
    <w:name w:val="*Bullet #1 Subtext Single"/>
    <w:basedOn w:val="310"/>
    <w:uiPriority w:val="0"/>
    <w:pPr>
      <w:spacing w:after="0"/>
      <w:ind w:firstLine="0"/>
    </w:pPr>
  </w:style>
  <w:style w:type="paragraph" w:customStyle="1" w:styleId="731">
    <w:name w:val="User Index 8"/>
    <w:basedOn w:val="46"/>
    <w:uiPriority w:val="0"/>
    <w:pPr>
      <w:tabs>
        <w:tab w:val="right" w:leader="dot" w:pos="9746"/>
      </w:tabs>
      <w:ind w:left="1981"/>
    </w:pPr>
  </w:style>
  <w:style w:type="paragraph" w:customStyle="1" w:styleId="732">
    <w:name w:val="User Index 2"/>
    <w:basedOn w:val="46"/>
    <w:uiPriority w:val="0"/>
    <w:pPr>
      <w:tabs>
        <w:tab w:val="right" w:leader="dot" w:pos="9746"/>
      </w:tabs>
      <w:ind w:left="283"/>
    </w:pPr>
  </w:style>
  <w:style w:type="paragraph" w:customStyle="1" w:styleId="733">
    <w:name w:val="‧ N computer syntax"/>
    <w:basedOn w:val="552"/>
    <w:next w:val="553"/>
    <w:uiPriority w:val="0"/>
  </w:style>
  <w:style w:type="paragraph" w:customStyle="1" w:styleId="734">
    <w:name w:val="xl17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735">
    <w:name w:val="xl120"/>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36">
    <w:name w:val="样式 正文（首行缩进2字符） + 首行缩进:  2 字符1"/>
    <w:basedOn w:val="462"/>
    <w:uiPriority w:val="0"/>
    <w:pPr>
      <w:spacing w:beforeLines="50" w:afterLines="50" w:line="420" w:lineRule="exact"/>
    </w:pPr>
    <w:rPr>
      <w:rFonts w:cs="宋体"/>
      <w:szCs w:val="20"/>
    </w:rPr>
  </w:style>
  <w:style w:type="paragraph" w:customStyle="1" w:styleId="737">
    <w:name w:val="网格型1"/>
    <w:qFormat/>
    <w:uiPriority w:val="0"/>
    <w:rPr>
      <w:rFonts w:ascii="Cambria" w:hAnsi="Cambria" w:eastAsia="ヒラギノ角ゴ Pro W3"/>
      <w:color w:val="000000"/>
      <w:sz w:val="24"/>
      <w:szCs w:val="24"/>
      <w:lang w:val="en-US" w:eastAsia="zh-CN" w:bidi="ar-SA"/>
    </w:rPr>
  </w:style>
  <w:style w:type="paragraph" w:customStyle="1" w:styleId="738">
    <w:name w:val="xl371"/>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39">
    <w:name w:val="Char Char Char Char Char Char Char Char Char Char Char1 Char"/>
    <w:basedOn w:val="1"/>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740">
    <w:name w:val="xl59"/>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41">
    <w:name w:val="xl17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42">
    <w:name w:val="Bulleted Text 2"/>
    <w:basedOn w:val="1"/>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743">
    <w:name w:val="xl35"/>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4">
    <w:name w:val="List 1 End"/>
    <w:basedOn w:val="60"/>
    <w:uiPriority w:val="0"/>
    <w:pPr>
      <w:widowControl/>
      <w:spacing w:after="240"/>
      <w:ind w:left="0" w:firstLine="0" w:firstLineChars="0"/>
      <w:jc w:val="left"/>
    </w:pPr>
    <w:rPr>
      <w:rFonts w:eastAsia="PMingLiU"/>
      <w:kern w:val="0"/>
      <w:sz w:val="20"/>
      <w:szCs w:val="20"/>
      <w:lang w:eastAsia="zh-TW"/>
    </w:rPr>
  </w:style>
  <w:style w:type="paragraph" w:customStyle="1" w:styleId="745">
    <w:name w:val="SANGFOR_5_标题5"/>
    <w:basedOn w:val="6"/>
    <w:next w:val="190"/>
    <w:uiPriority w:val="0"/>
    <w:pPr>
      <w:tabs>
        <w:tab w:val="left" w:pos="567"/>
      </w:tabs>
      <w:spacing w:beforeLines="50" w:afterLines="50" w:line="360" w:lineRule="auto"/>
      <w:ind w:left="425" w:hanging="425"/>
    </w:pPr>
    <w:rPr>
      <w:sz w:val="21"/>
      <w:szCs w:val="21"/>
    </w:rPr>
  </w:style>
  <w:style w:type="paragraph" w:customStyle="1" w:styleId="746">
    <w:name w:val="‧ N cover document type"/>
    <w:basedOn w:val="1"/>
    <w:uiPriority w:val="0"/>
    <w:pPr>
      <w:autoSpaceDN w:val="0"/>
      <w:adjustRightInd w:val="0"/>
      <w:spacing w:before="113"/>
      <w:jc w:val="right"/>
    </w:pPr>
    <w:rPr>
      <w:rFonts w:ascii="Arial" w:hAnsi="Arial" w:eastAsia="PMingLiU" w:cs="Tahoma"/>
      <w:kern w:val="0"/>
      <w:sz w:val="36"/>
      <w:lang w:val="en-GB" w:eastAsia="zh-TW"/>
    </w:rPr>
  </w:style>
  <w:style w:type="paragraph" w:customStyle="1" w:styleId="747">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748">
    <w:name w:val="User Index Heading"/>
    <w:basedOn w:val="16"/>
    <w:uiPriority w:val="0"/>
  </w:style>
  <w:style w:type="paragraph" w:customStyle="1" w:styleId="749">
    <w:name w:val="‧ N Page Header"/>
    <w:basedOn w:val="53"/>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750">
    <w:name w:val="中等深浅网格 21"/>
    <w:qFormat/>
    <w:uiPriority w:val="0"/>
    <w:pPr>
      <w:widowControl w:val="0"/>
      <w:jc w:val="both"/>
    </w:pPr>
    <w:rPr>
      <w:kern w:val="2"/>
      <w:sz w:val="21"/>
      <w:szCs w:val="24"/>
      <w:lang w:val="en-US" w:eastAsia="zh-CN" w:bidi="ar-SA"/>
    </w:rPr>
  </w:style>
  <w:style w:type="paragraph" w:customStyle="1" w:styleId="751">
    <w:name w:val="文件标题"/>
    <w:basedOn w:val="1"/>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752">
    <w:name w:val="正文内"/>
    <w:basedOn w:val="1"/>
    <w:qFormat/>
    <w:uiPriority w:val="0"/>
    <w:pPr>
      <w:spacing w:line="400" w:lineRule="exact"/>
      <w:ind w:firstLine="200" w:firstLineChars="200"/>
    </w:pPr>
    <w:rPr>
      <w:rFonts w:ascii="??" w:hAnsi="??" w:eastAsia="??" w:cs="宋体"/>
      <w:szCs w:val="28"/>
    </w:rPr>
  </w:style>
  <w:style w:type="paragraph" w:customStyle="1" w:styleId="753">
    <w:name w:val="*Cover Text 1"/>
    <w:basedOn w:val="686"/>
    <w:uiPriority w:val="0"/>
    <w:pPr>
      <w:spacing w:line="280" w:lineRule="atLeast"/>
    </w:pPr>
    <w:rPr>
      <w:color w:val="00637A"/>
      <w:sz w:val="44"/>
      <w:szCs w:val="44"/>
    </w:rPr>
  </w:style>
  <w:style w:type="paragraph" w:customStyle="1" w:styleId="754">
    <w:name w:val="Char Char"/>
    <w:basedOn w:val="1"/>
    <w:uiPriority w:val="0"/>
    <w:pPr>
      <w:widowControl/>
      <w:spacing w:after="160" w:line="240" w:lineRule="exact"/>
      <w:ind w:firstLine="420"/>
      <w:jc w:val="left"/>
    </w:pPr>
    <w:rPr>
      <w:rFonts w:ascii="Verdana" w:hAnsi="Verdana"/>
      <w:kern w:val="0"/>
      <w:sz w:val="20"/>
      <w:szCs w:val="20"/>
      <w:lang w:eastAsia="en-US"/>
    </w:rPr>
  </w:style>
  <w:style w:type="paragraph" w:customStyle="1" w:styleId="755">
    <w:name w:val="‧ N head 2"/>
    <w:basedOn w:val="552"/>
    <w:next w:val="553"/>
    <w:uiPriority w:val="0"/>
  </w:style>
  <w:style w:type="paragraph" w:customStyle="1" w:styleId="756">
    <w:name w:val="HP_BasicText"/>
    <w:uiPriority w:val="0"/>
    <w:pPr>
      <w:tabs>
        <w:tab w:val="left" w:pos="1440"/>
      </w:tabs>
      <w:ind w:left="2880"/>
    </w:pPr>
    <w:rPr>
      <w:rFonts w:ascii="Arial" w:hAnsi="Arial"/>
      <w:sz w:val="18"/>
      <w:szCs w:val="18"/>
      <w:lang w:val="en-US" w:eastAsia="en-US" w:bidi="ar-SA"/>
    </w:rPr>
  </w:style>
  <w:style w:type="paragraph" w:customStyle="1" w:styleId="757">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758">
    <w:name w:val="xl217"/>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59">
    <w:name w:val="*Table Heading 1"/>
    <w:basedOn w:val="644"/>
    <w:uiPriority w:val="0"/>
    <w:pPr>
      <w:shd w:val="clear" w:color="auto" w:fill="007D9A"/>
      <w:jc w:val="center"/>
    </w:pPr>
    <w:rPr>
      <w:b/>
      <w:color w:val="FFFFFF"/>
      <w:sz w:val="20"/>
      <w:szCs w:val="20"/>
    </w:rPr>
  </w:style>
  <w:style w:type="paragraph" w:customStyle="1" w:styleId="760">
    <w:name w:val="~Bullet #1 Double"/>
    <w:basedOn w:val="716"/>
    <w:uiPriority w:val="0"/>
    <w:pPr>
      <w:tabs>
        <w:tab w:val="left" w:pos="1080"/>
        <w:tab w:val="left" w:pos="1140"/>
        <w:tab w:val="clear" w:pos="900"/>
      </w:tabs>
      <w:spacing w:after="220"/>
      <w:ind w:left="360" w:hanging="360"/>
    </w:pPr>
  </w:style>
  <w:style w:type="paragraph" w:customStyle="1" w:styleId="761">
    <w:name w:val="样式－正文文字标记2"/>
    <w:basedOn w:val="1"/>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762">
    <w:name w:val="Default1"/>
    <w:basedOn w:val="1"/>
    <w:next w:val="1"/>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763">
    <w:name w:val="‧ N cover prepared for"/>
    <w:basedOn w:val="552"/>
    <w:uiPriority w:val="0"/>
  </w:style>
  <w:style w:type="paragraph" w:customStyle="1" w:styleId="764">
    <w:name w:val="Header right"/>
    <w:basedOn w:val="1"/>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765">
    <w:name w:val="Top Line"/>
    <w:basedOn w:val="1"/>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766">
    <w:name w:val="_Style 40"/>
    <w:basedOn w:val="1"/>
    <w:qFormat/>
    <w:uiPriority w:val="0"/>
    <w:rPr>
      <w:rFonts w:eastAsia="??"/>
      <w:szCs w:val="28"/>
    </w:rPr>
  </w:style>
  <w:style w:type="paragraph" w:customStyle="1" w:styleId="767">
    <w:name w:val="p15"/>
    <w:basedOn w:val="1"/>
    <w:qFormat/>
    <w:uiPriority w:val="0"/>
    <w:pPr>
      <w:widowControl/>
      <w:spacing w:line="360" w:lineRule="auto"/>
      <w:ind w:firstLine="420"/>
      <w:jc w:val="left"/>
    </w:pPr>
    <w:rPr>
      <w:kern w:val="0"/>
      <w:sz w:val="24"/>
    </w:rPr>
  </w:style>
  <w:style w:type="paragraph" w:customStyle="1" w:styleId="768">
    <w:name w:val="xl112"/>
    <w:basedOn w:val="1"/>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69">
    <w:name w:val="xl145"/>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770">
    <w:name w:val="figure"/>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71">
    <w:name w:val="User Index 6"/>
    <w:basedOn w:val="46"/>
    <w:uiPriority w:val="0"/>
    <w:pPr>
      <w:tabs>
        <w:tab w:val="right" w:leader="dot" w:pos="9746"/>
      </w:tabs>
      <w:ind w:left="1415"/>
    </w:pPr>
  </w:style>
  <w:style w:type="paragraph" w:customStyle="1" w:styleId="772">
    <w:name w:val="xl3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73">
    <w:name w:val="HP Recipient Data"/>
    <w:uiPriority w:val="0"/>
    <w:pPr>
      <w:tabs>
        <w:tab w:val="left" w:pos="2880"/>
      </w:tabs>
      <w:spacing w:after="20"/>
      <w:ind w:left="72"/>
    </w:pPr>
    <w:rPr>
      <w:rFonts w:ascii="Arial" w:hAnsi="Arial" w:eastAsia="Times" w:cs="Arial"/>
      <w:sz w:val="18"/>
      <w:szCs w:val="18"/>
      <w:lang w:val="en-US" w:eastAsia="en-US" w:bidi="ar-SA"/>
    </w:rPr>
  </w:style>
  <w:style w:type="paragraph" w:customStyle="1" w:styleId="774">
    <w:name w:val="xl36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75">
    <w:name w:val="Pa2"/>
    <w:basedOn w:val="140"/>
    <w:next w:val="140"/>
    <w:uiPriority w:val="0"/>
    <w:pPr>
      <w:spacing w:line="241" w:lineRule="atLeast"/>
    </w:pPr>
    <w:rPr>
      <w:rFonts w:cs="Times New Roman"/>
      <w:color w:val="auto"/>
    </w:rPr>
  </w:style>
  <w:style w:type="paragraph" w:customStyle="1" w:styleId="776">
    <w:name w:val="~Manual # Heading 5"/>
    <w:next w:val="499"/>
    <w:uiPriority w:val="0"/>
    <w:pPr>
      <w:keepNext/>
      <w:keepLines/>
      <w:tabs>
        <w:tab w:val="left" w:pos="1440"/>
      </w:tabs>
      <w:spacing w:before="240" w:after="120"/>
      <w:ind w:left="1440" w:hanging="1440"/>
      <w:outlineLvl w:val="5"/>
    </w:pPr>
    <w:rPr>
      <w:rFonts w:ascii="Arial" w:hAnsi="Arial"/>
      <w:i/>
      <w:color w:val="00637A"/>
      <w:sz w:val="24"/>
      <w:szCs w:val="24"/>
      <w:lang w:val="en-US" w:eastAsia="en-US" w:bidi="ar-SA"/>
    </w:rPr>
  </w:style>
  <w:style w:type="paragraph" w:customStyle="1" w:styleId="777">
    <w:name w:val="xl15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78">
    <w:name w:val="List 1 Start"/>
    <w:basedOn w:val="60"/>
    <w:uiPriority w:val="0"/>
    <w:pPr>
      <w:widowControl/>
      <w:spacing w:before="240"/>
      <w:ind w:left="0" w:firstLine="0" w:firstLineChars="0"/>
      <w:jc w:val="left"/>
    </w:pPr>
    <w:rPr>
      <w:rFonts w:eastAsia="PMingLiU"/>
      <w:kern w:val="0"/>
      <w:sz w:val="20"/>
      <w:szCs w:val="20"/>
      <w:lang w:eastAsia="zh-TW"/>
    </w:rPr>
  </w:style>
  <w:style w:type="paragraph" w:customStyle="1" w:styleId="779">
    <w:name w:val="技术标题2"/>
    <w:basedOn w:val="780"/>
    <w:uiPriority w:val="0"/>
    <w:pPr>
      <w:tabs>
        <w:tab w:val="left" w:pos="0"/>
        <w:tab w:val="left" w:pos="390"/>
        <w:tab w:val="left" w:pos="432"/>
        <w:tab w:val="left" w:pos="567"/>
        <w:tab w:val="left" w:pos="993"/>
        <w:tab w:val="left" w:pos="1440"/>
      </w:tabs>
      <w:spacing w:beforeLines="150" w:line="240" w:lineRule="auto"/>
      <w:ind w:left="567" w:hanging="567" w:firstLineChars="177"/>
    </w:pPr>
    <w:rPr>
      <w:sz w:val="28"/>
    </w:rPr>
  </w:style>
  <w:style w:type="paragraph" w:customStyle="1" w:styleId="780">
    <w:name w:val="技术标题1"/>
    <w:basedOn w:val="5"/>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781">
    <w:name w:val="xl196"/>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styleId="782">
    <w:name w:val=""/>
    <w:basedOn w:val="2"/>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783">
    <w:name w:val="Table"/>
    <w:basedOn w:val="22"/>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784">
    <w:name w:val="技术报告正文"/>
    <w:basedOn w:val="1"/>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785">
    <w:name w:val="‧ N table-8 body center"/>
    <w:basedOn w:val="579"/>
    <w:uiPriority w:val="0"/>
    <w:pPr>
      <w:spacing w:before="85" w:after="45"/>
      <w:jc w:val="center"/>
    </w:pPr>
    <w:rPr>
      <w:sz w:val="16"/>
    </w:rPr>
  </w:style>
  <w:style w:type="paragraph" w:customStyle="1" w:styleId="786">
    <w:name w:val="xl44"/>
    <w:basedOn w:val="1"/>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87">
    <w:name w:val="封面第一行"/>
    <w:basedOn w:val="1"/>
    <w:uiPriority w:val="0"/>
    <w:pPr>
      <w:spacing w:line="360" w:lineRule="auto"/>
      <w:jc w:val="center"/>
    </w:pPr>
    <w:rPr>
      <w:rFonts w:ascii="黑体" w:hAnsi="宋体" w:eastAsia="黑体" w:cs="宋体"/>
      <w:sz w:val="56"/>
      <w:szCs w:val="20"/>
    </w:rPr>
  </w:style>
  <w:style w:type="paragraph" w:customStyle="1" w:styleId="788">
    <w:name w:val="~Bullet Subnumber"/>
    <w:basedOn w:val="715"/>
    <w:uiPriority w:val="0"/>
    <w:pPr>
      <w:tabs>
        <w:tab w:val="left" w:pos="720"/>
      </w:tabs>
      <w:ind w:left="720" w:hanging="360"/>
    </w:pPr>
  </w:style>
  <w:style w:type="paragraph" w:customStyle="1" w:styleId="789">
    <w:name w:val="中铁-标题五"/>
    <w:basedOn w:val="681"/>
    <w:qFormat/>
    <w:uiPriority w:val="0"/>
    <w:pPr>
      <w:outlineLvl w:val="4"/>
    </w:pPr>
    <w:rPr>
      <w:sz w:val="28"/>
    </w:rPr>
  </w:style>
  <w:style w:type="paragraph" w:customStyle="1" w:styleId="790">
    <w:name w:val="xl237"/>
    <w:basedOn w:val="1"/>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91">
    <w:name w:val="xl19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92">
    <w:name w:val="*Heading 2"/>
    <w:next w:val="1"/>
    <w:uiPriority w:val="0"/>
    <w:pPr>
      <w:keepNext/>
      <w:keepLines/>
      <w:spacing w:before="120" w:after="120" w:line="360" w:lineRule="auto"/>
      <w:ind w:left="240" w:leftChars="100" w:right="100" w:rightChars="100"/>
      <w:outlineLvl w:val="2"/>
    </w:pPr>
    <w:rPr>
      <w:rFonts w:ascii="Verdana" w:hAnsi="Verdana"/>
      <w:b/>
      <w:sz w:val="32"/>
      <w:szCs w:val="32"/>
      <w:lang w:val="en-US" w:eastAsia="en-US" w:bidi="ar-SA"/>
    </w:rPr>
  </w:style>
  <w:style w:type="paragraph" w:customStyle="1" w:styleId="793">
    <w:name w:val="xl233"/>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94">
    <w:name w:val="_HP Sidebar text"/>
    <w:basedOn w:val="140"/>
    <w:next w:val="140"/>
    <w:uiPriority w:val="0"/>
    <w:pPr>
      <w:spacing w:after="360"/>
    </w:pPr>
    <w:rPr>
      <w:rFonts w:ascii="Futura-Heavy" w:hAnsi="Futura-Heavy" w:eastAsia="宋体" w:cs="Times New Roman"/>
      <w:color w:val="auto"/>
    </w:rPr>
  </w:style>
  <w:style w:type="paragraph" w:customStyle="1" w:styleId="795">
    <w:name w:val="章节项目"/>
    <w:basedOn w:val="424"/>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796">
    <w:name w:val="Numbering 5 Start"/>
    <w:basedOn w:val="60"/>
    <w:uiPriority w:val="0"/>
    <w:pPr>
      <w:widowControl/>
      <w:spacing w:before="240"/>
      <w:ind w:left="1417" w:firstLine="0" w:firstLineChars="0"/>
      <w:jc w:val="left"/>
    </w:pPr>
    <w:rPr>
      <w:rFonts w:eastAsia="PMingLiU"/>
      <w:kern w:val="0"/>
      <w:sz w:val="20"/>
      <w:szCs w:val="20"/>
      <w:lang w:eastAsia="zh-TW"/>
    </w:rPr>
  </w:style>
  <w:style w:type="paragraph" w:customStyle="1" w:styleId="797">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798">
    <w:name w:val="xl33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799">
    <w:name w:val="*Bullet #1 Subtext Double"/>
    <w:basedOn w:val="730"/>
    <w:uiPriority w:val="0"/>
    <w:pPr>
      <w:tabs>
        <w:tab w:val="left" w:pos="425"/>
      </w:tabs>
      <w:spacing w:after="220"/>
    </w:pPr>
  </w:style>
  <w:style w:type="paragraph" w:customStyle="1" w:styleId="800">
    <w:name w:val="‧ N body indented 2"/>
    <w:basedOn w:val="552"/>
    <w:uiPriority w:val="0"/>
  </w:style>
  <w:style w:type="paragraph" w:customStyle="1" w:styleId="801">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802">
    <w:name w:val="正文文本1"/>
    <w:uiPriority w:val="0"/>
    <w:pPr>
      <w:spacing w:line="360" w:lineRule="atLeast"/>
      <w:ind w:firstLine="446"/>
    </w:pPr>
    <w:rPr>
      <w:rFonts w:ascii="楷体" w:eastAsia="楷体"/>
      <w:snapToGrid w:val="0"/>
      <w:color w:val="000000"/>
      <w:sz w:val="21"/>
      <w:lang w:val="en-US" w:eastAsia="zh-CN" w:bidi="ar-SA"/>
    </w:rPr>
  </w:style>
  <w:style w:type="paragraph" w:customStyle="1" w:styleId="803">
    <w:name w:val="*Bullet Subnumber"/>
    <w:basedOn w:val="788"/>
    <w:uiPriority w:val="0"/>
    <w:rPr>
      <w:color w:val="auto"/>
    </w:rPr>
  </w:style>
  <w:style w:type="paragraph" w:customStyle="1" w:styleId="804">
    <w:name w:val="_Style 61"/>
    <w:basedOn w:val="1"/>
    <w:qFormat/>
    <w:uiPriority w:val="0"/>
    <w:rPr>
      <w:rFonts w:ascii="仿宋_GB2312" w:eastAsia="仿宋_GB2312"/>
      <w:b/>
      <w:sz w:val="32"/>
      <w:szCs w:val="32"/>
    </w:rPr>
  </w:style>
  <w:style w:type="paragraph" w:customStyle="1" w:styleId="805">
    <w:name w:val="xl1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6">
    <w:name w:val="~Manual # Heading 4"/>
    <w:next w:val="499"/>
    <w:uiPriority w:val="0"/>
    <w:pPr>
      <w:keepNext/>
      <w:keepLines/>
      <w:tabs>
        <w:tab w:val="left" w:pos="1440"/>
      </w:tabs>
      <w:spacing w:before="240" w:after="120"/>
      <w:ind w:left="1440" w:hanging="1440"/>
      <w:outlineLvl w:val="4"/>
    </w:pPr>
    <w:rPr>
      <w:rFonts w:ascii="Arial" w:hAnsi="Arial"/>
      <w:color w:val="00637A"/>
      <w:sz w:val="24"/>
      <w:szCs w:val="24"/>
      <w:lang w:val="en-US" w:eastAsia="en-US" w:bidi="ar-SA"/>
    </w:rPr>
  </w:style>
  <w:style w:type="paragraph" w:customStyle="1" w:styleId="807">
    <w:name w:val="标准书脚_奇数页"/>
    <w:uiPriority w:val="0"/>
    <w:pPr>
      <w:spacing w:before="120"/>
      <w:jc w:val="right"/>
    </w:pPr>
    <w:rPr>
      <w:sz w:val="18"/>
      <w:lang w:val="en-US" w:eastAsia="zh-CN" w:bidi="ar-SA"/>
    </w:rPr>
  </w:style>
  <w:style w:type="paragraph" w:customStyle="1" w:styleId="808">
    <w:name w:val="xl19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09">
    <w:name w:val="xl347"/>
    <w:basedOn w:val="1"/>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810">
    <w:name w:val="编号正文"/>
    <w:basedOn w:val="1"/>
    <w:uiPriority w:val="0"/>
    <w:pPr>
      <w:tabs>
        <w:tab w:val="left" w:pos="590"/>
      </w:tabs>
      <w:spacing w:line="360" w:lineRule="auto"/>
      <w:ind w:left="454"/>
    </w:pPr>
    <w:rPr>
      <w:rFonts w:ascii="宋体" w:hAnsi="宋体"/>
    </w:rPr>
  </w:style>
  <w:style w:type="paragraph" w:customStyle="1" w:styleId="811">
    <w:name w:val="xl15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12">
    <w:name w:val="默认段落字体 Para Char Char Char Char Char Char"/>
    <w:basedOn w:val="1"/>
    <w:uiPriority w:val="0"/>
    <w:pPr>
      <w:tabs>
        <w:tab w:val="left" w:pos="481"/>
      </w:tabs>
      <w:spacing w:line="360" w:lineRule="auto"/>
    </w:pPr>
    <w:rPr>
      <w:rFonts w:ascii="Tahoma" w:hAnsi="Tahoma"/>
      <w:sz w:val="24"/>
      <w:szCs w:val="20"/>
    </w:rPr>
  </w:style>
  <w:style w:type="paragraph" w:customStyle="1" w:styleId="813">
    <w:name w:val="xl142"/>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14">
    <w:name w:val="~Alt Number"/>
    <w:basedOn w:val="498"/>
    <w:uiPriority w:val="0"/>
    <w:pPr>
      <w:tabs>
        <w:tab w:val="left" w:pos="1440"/>
        <w:tab w:val="clear" w:pos="360"/>
      </w:tabs>
      <w:ind w:left="1440" w:hanging="1440"/>
    </w:pPr>
  </w:style>
  <w:style w:type="paragraph" w:customStyle="1" w:styleId="815">
    <w:name w:val="样式 表头样式 + 段后: 23.4 磅"/>
    <w:basedOn w:val="481"/>
    <w:uiPriority w:val="0"/>
  </w:style>
  <w:style w:type="paragraph" w:customStyle="1" w:styleId="816">
    <w:name w:val="xl212"/>
    <w:basedOn w:val="1"/>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17">
    <w:name w:val="xl33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18">
    <w:name w:val="a0"/>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19">
    <w:name w:val="yxy标题3"/>
    <w:basedOn w:val="1"/>
    <w:next w:val="1"/>
    <w:qFormat/>
    <w:uiPriority w:val="0"/>
    <w:pPr>
      <w:keepNext/>
      <w:spacing w:line="360" w:lineRule="auto"/>
      <w:ind w:firstLine="200" w:firstLineChars="200"/>
      <w:outlineLvl w:val="2"/>
    </w:pPr>
    <w:rPr>
      <w:b/>
      <w:sz w:val="28"/>
      <w:szCs w:val="20"/>
    </w:rPr>
  </w:style>
  <w:style w:type="paragraph" w:customStyle="1" w:styleId="820">
    <w:name w:val="#"/>
    <w:basedOn w:val="1"/>
    <w:uiPriority w:val="0"/>
    <w:pPr>
      <w:tabs>
        <w:tab w:val="left" w:pos="1022"/>
      </w:tabs>
      <w:spacing w:line="360" w:lineRule="auto"/>
      <w:ind w:firstLine="420"/>
    </w:pPr>
    <w:rPr>
      <w:rFonts w:ascii="宋体" w:hAnsi="宋体"/>
      <w:sz w:val="24"/>
    </w:rPr>
  </w:style>
  <w:style w:type="paragraph" w:customStyle="1" w:styleId="821">
    <w:name w:val="*Manual # Heading 5"/>
    <w:next w:val="272"/>
    <w:uiPriority w:val="0"/>
    <w:pPr>
      <w:keepNext/>
      <w:keepLines/>
      <w:tabs>
        <w:tab w:val="left" w:pos="1440"/>
      </w:tabs>
      <w:spacing w:before="240" w:after="120"/>
      <w:ind w:left="1440" w:hanging="1440"/>
      <w:outlineLvl w:val="5"/>
    </w:pPr>
    <w:rPr>
      <w:rFonts w:ascii="Arial" w:hAnsi="Arial"/>
      <w:i/>
      <w:sz w:val="24"/>
      <w:szCs w:val="24"/>
      <w:lang w:val="en-US" w:eastAsia="en-US" w:bidi="ar-SA"/>
    </w:rPr>
  </w:style>
  <w:style w:type="paragraph" w:customStyle="1" w:styleId="822">
    <w:name w:val="xl209"/>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23">
    <w:name w:val="_HP Body text_last 10 pt"/>
    <w:basedOn w:val="140"/>
    <w:next w:val="140"/>
    <w:uiPriority w:val="0"/>
    <w:pPr>
      <w:spacing w:after="240"/>
    </w:pPr>
    <w:rPr>
      <w:rFonts w:ascii="Futura-Book" w:hAnsi="Futura-Book" w:eastAsia="宋体" w:cs="Times New Roman"/>
      <w:color w:val="auto"/>
    </w:rPr>
  </w:style>
  <w:style w:type="paragraph" w:customStyle="1" w:styleId="824">
    <w:name w:val="‧ N table-8 body indent 2"/>
    <w:basedOn w:val="579"/>
    <w:uiPriority w:val="0"/>
    <w:pPr>
      <w:spacing w:before="85" w:after="45"/>
      <w:ind w:left="1083"/>
    </w:pPr>
    <w:rPr>
      <w:sz w:val="16"/>
    </w:rPr>
  </w:style>
  <w:style w:type="paragraph" w:customStyle="1" w:styleId="825">
    <w:name w:val="xl16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26">
    <w:name w:val="‧ N caption-figure"/>
    <w:basedOn w:val="552"/>
    <w:next w:val="553"/>
    <w:uiPriority w:val="0"/>
  </w:style>
  <w:style w:type="paragraph" w:customStyle="1" w:styleId="827">
    <w:name w:val="*Bullet #3 Double"/>
    <w:basedOn w:val="828"/>
    <w:uiPriority w:val="0"/>
    <w:pPr>
      <w:tabs>
        <w:tab w:val="left" w:pos="284"/>
        <w:tab w:val="left" w:pos="360"/>
        <w:tab w:val="left" w:pos="481"/>
        <w:tab w:val="left" w:pos="600"/>
        <w:tab w:val="left" w:pos="780"/>
        <w:tab w:val="left" w:pos="840"/>
        <w:tab w:val="left" w:pos="900"/>
        <w:tab w:val="left" w:pos="1200"/>
        <w:tab w:val="left" w:pos="1620"/>
      </w:tabs>
      <w:spacing w:after="220"/>
    </w:pPr>
  </w:style>
  <w:style w:type="paragraph" w:customStyle="1" w:styleId="828">
    <w:name w:val="*Bullet #3 Single"/>
    <w:basedOn w:val="689"/>
    <w:uiPriority w:val="0"/>
    <w:pPr>
      <w:tabs>
        <w:tab w:val="left" w:pos="284"/>
        <w:tab w:val="left" w:pos="780"/>
        <w:tab w:val="left" w:pos="1200"/>
        <w:tab w:val="clear" w:pos="1080"/>
      </w:tabs>
      <w:ind w:left="1080" w:hanging="360"/>
    </w:pPr>
  </w:style>
  <w:style w:type="paragraph" w:customStyle="1" w:styleId="829">
    <w:name w:val="xl18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30">
    <w:name w:val="xl191"/>
    <w:basedOn w:val="1"/>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31">
    <w:name w:val="~Manual # Heading 1"/>
    <w:next w:val="499"/>
    <w:uiPriority w:val="0"/>
    <w:pPr>
      <w:keepNext/>
      <w:keepLines/>
      <w:tabs>
        <w:tab w:val="left" w:pos="1440"/>
      </w:tabs>
      <w:spacing w:before="240" w:after="120"/>
      <w:ind w:left="1440" w:hanging="1440"/>
      <w:outlineLvl w:val="1"/>
    </w:pPr>
    <w:rPr>
      <w:rFonts w:ascii="Arial" w:hAnsi="Arial"/>
      <w:b/>
      <w:color w:val="00637A"/>
      <w:sz w:val="32"/>
      <w:szCs w:val="32"/>
      <w:lang w:val="en-US" w:eastAsia="en-US" w:bidi="ar-SA"/>
    </w:rPr>
  </w:style>
  <w:style w:type="paragraph" w:customStyle="1" w:styleId="832">
    <w:name w:val="xl182"/>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33">
    <w:name w:val="xl199"/>
    <w:basedOn w:val="1"/>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34">
    <w:name w:val="Table index 1"/>
    <w:basedOn w:val="46"/>
    <w:uiPriority w:val="0"/>
    <w:pPr>
      <w:tabs>
        <w:tab w:val="right" w:leader="dot" w:pos="9746"/>
      </w:tabs>
    </w:pPr>
  </w:style>
  <w:style w:type="paragraph" w:customStyle="1" w:styleId="835">
    <w:name w:val="xl200"/>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36">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837">
    <w:name w:val="xl173"/>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38">
    <w:name w:val="*Proprietary Notice"/>
    <w:uiPriority w:val="0"/>
    <w:pPr>
      <w:spacing w:line="200" w:lineRule="exact"/>
    </w:pPr>
    <w:rPr>
      <w:rFonts w:ascii="Arial" w:hAnsi="Arial"/>
      <w:color w:val="00637A"/>
      <w:sz w:val="16"/>
      <w:szCs w:val="16"/>
      <w:lang w:val="en-US" w:eastAsia="en-US" w:bidi="ar-SA"/>
    </w:rPr>
  </w:style>
  <w:style w:type="paragraph" w:customStyle="1" w:styleId="839">
    <w:name w:val="技术方案正文样式"/>
    <w:basedOn w:val="1"/>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840">
    <w:name w:val="样式 样式 正文（首行缩进2字符） + 首行缩进:  2 字符1 + (西文) Tahoma (中文) 新宋体 首行缩进: ..."/>
    <w:basedOn w:val="736"/>
    <w:uiPriority w:val="0"/>
    <w:pPr>
      <w:spacing w:before="156" w:after="156"/>
      <w:ind w:firstLine="496"/>
    </w:pPr>
    <w:rPr>
      <w:rFonts w:eastAsia="新宋体"/>
      <w:spacing w:val="4"/>
      <w:szCs w:val="24"/>
    </w:rPr>
  </w:style>
  <w:style w:type="paragraph" w:customStyle="1" w:styleId="841">
    <w:name w:val="~List Number"/>
    <w:basedOn w:val="842"/>
    <w:uiPriority w:val="0"/>
    <w:pPr>
      <w:tabs>
        <w:tab w:val="left" w:pos="360"/>
        <w:tab w:val="left" w:pos="936"/>
        <w:tab w:val="left" w:pos="1620"/>
      </w:tabs>
      <w:ind w:left="360" w:hanging="360"/>
    </w:pPr>
    <w:rPr>
      <w:color w:val="00637A"/>
    </w:rPr>
  </w:style>
  <w:style w:type="paragraph" w:customStyle="1" w:styleId="842">
    <w:name w:val="*List Numbers (Auto)"/>
    <w:basedOn w:val="272"/>
    <w:uiPriority w:val="0"/>
    <w:pPr>
      <w:tabs>
        <w:tab w:val="left" w:pos="1620"/>
      </w:tabs>
      <w:ind w:left="1620" w:hanging="420"/>
    </w:pPr>
    <w:rPr>
      <w:sz w:val="20"/>
    </w:rPr>
  </w:style>
  <w:style w:type="paragraph" w:customStyle="1" w:styleId="843">
    <w:name w:val="xl374"/>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4">
    <w:name w:val="para12"/>
    <w:basedOn w:val="1"/>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845">
    <w:name w:val="样式 目录 2 + 左侧:  1 字符"/>
    <w:basedOn w:val="68"/>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846">
    <w:name w:val="标准书脚_偶数页"/>
    <w:uiPriority w:val="0"/>
    <w:pPr>
      <w:spacing w:before="120"/>
    </w:pPr>
    <w:rPr>
      <w:sz w:val="18"/>
      <w:lang w:val="en-US" w:eastAsia="zh-CN" w:bidi="ar-SA"/>
    </w:rPr>
  </w:style>
  <w:style w:type="paragraph" w:customStyle="1" w:styleId="847">
    <w:name w:val="xl40"/>
    <w:basedOn w:val="1"/>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48">
    <w:name w:val="xl219"/>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849">
    <w:name w:val="List Paragraph"/>
    <w:basedOn w:val="1"/>
    <w:qFormat/>
    <w:uiPriority w:val="34"/>
    <w:pPr>
      <w:ind w:firstLine="420" w:firstLineChars="200"/>
    </w:pPr>
  </w:style>
  <w:style w:type="paragraph" w:customStyle="1" w:styleId="850">
    <w:name w:val="~Heading 4"/>
    <w:next w:val="499"/>
    <w:uiPriority w:val="0"/>
    <w:pPr>
      <w:keepNext/>
      <w:keepLines/>
      <w:spacing w:before="240" w:after="120"/>
      <w:outlineLvl w:val="4"/>
    </w:pPr>
    <w:rPr>
      <w:rFonts w:ascii="Arial" w:hAnsi="Arial"/>
      <w:color w:val="00637A"/>
      <w:sz w:val="24"/>
      <w:szCs w:val="24"/>
      <w:lang w:val="en-US" w:eastAsia="en-US" w:bidi="ar-SA"/>
    </w:rPr>
  </w:style>
  <w:style w:type="paragraph" w:customStyle="1" w:styleId="851">
    <w:name w:val="xl141"/>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52">
    <w:name w:val="~Manual # Heading 2"/>
    <w:next w:val="499"/>
    <w:uiPriority w:val="0"/>
    <w:pPr>
      <w:keepNext/>
      <w:keepLines/>
      <w:tabs>
        <w:tab w:val="left" w:pos="1440"/>
      </w:tabs>
      <w:spacing w:before="240" w:after="120"/>
      <w:ind w:left="1440" w:hanging="1440"/>
      <w:outlineLvl w:val="2"/>
    </w:pPr>
    <w:rPr>
      <w:rFonts w:ascii="Arial" w:hAnsi="Arial"/>
      <w:color w:val="00637A"/>
      <w:sz w:val="32"/>
      <w:szCs w:val="32"/>
      <w:lang w:val="en-US" w:eastAsia="en-US" w:bidi="ar-SA"/>
    </w:rPr>
  </w:style>
  <w:style w:type="paragraph" w:customStyle="1" w:styleId="853">
    <w:name w:val="样式7"/>
    <w:basedOn w:val="192"/>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854">
    <w:name w:val="Normal Doc"/>
    <w:basedOn w:val="1"/>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855">
    <w:name w:val="~Bullet #2 Single"/>
    <w:basedOn w:val="689"/>
    <w:uiPriority w:val="0"/>
    <w:pPr>
      <w:tabs>
        <w:tab w:val="left" w:pos="1800"/>
      </w:tabs>
      <w:ind w:left="0" w:firstLine="0"/>
    </w:pPr>
    <w:rPr>
      <w:color w:val="00637A"/>
    </w:rPr>
  </w:style>
  <w:style w:type="paragraph" w:customStyle="1" w:styleId="856">
    <w:name w:val="1"/>
    <w:basedOn w:val="1"/>
    <w:next w:val="64"/>
    <w:qFormat/>
    <w:uiPriority w:val="0"/>
    <w:pPr>
      <w:widowControl/>
      <w:snapToGrid w:val="0"/>
      <w:spacing w:line="440" w:lineRule="atLeast"/>
      <w:ind w:firstLine="480"/>
    </w:pPr>
    <w:rPr>
      <w:kern w:val="0"/>
      <w:sz w:val="24"/>
      <w:szCs w:val="20"/>
    </w:rPr>
  </w:style>
  <w:style w:type="paragraph" w:customStyle="1" w:styleId="857">
    <w:name w:val="xl61"/>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58">
    <w:name w:val="样式 章标题HZ + 段前: 0.5 行 段后: 0.5 行"/>
    <w:basedOn w:val="543"/>
    <w:uiPriority w:val="0"/>
    <w:pPr>
      <w:pageBreakBefore/>
      <w:tabs>
        <w:tab w:val="left" w:pos="0"/>
      </w:tabs>
      <w:spacing w:beforeLines="0" w:afterLines="0" w:line="480" w:lineRule="auto"/>
      <w:ind w:firstLine="1256"/>
      <w:outlineLvl w:val="0"/>
    </w:pPr>
    <w:rPr>
      <w:bCs/>
    </w:rPr>
  </w:style>
  <w:style w:type="paragraph" w:customStyle="1" w:styleId="859">
    <w:name w:val="xl356"/>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60">
    <w:name w:val="xl216"/>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1">
    <w:name w:val="*Numbers"/>
    <w:basedOn w:val="842"/>
    <w:uiPriority w:val="0"/>
    <w:pPr>
      <w:tabs>
        <w:tab w:val="left" w:pos="360"/>
      </w:tabs>
      <w:ind w:left="360" w:hanging="360"/>
    </w:pPr>
  </w:style>
  <w:style w:type="paragraph" w:customStyle="1" w:styleId="862">
    <w:name w:val="xl211"/>
    <w:basedOn w:val="1"/>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3">
    <w:name w:val="xl201"/>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64">
    <w:name w:val="*Body Text Bold"/>
    <w:basedOn w:val="272"/>
    <w:next w:val="272"/>
    <w:uiPriority w:val="0"/>
    <w:pPr>
      <w:tabs>
        <w:tab w:val="left" w:pos="360"/>
      </w:tabs>
    </w:pPr>
    <w:rPr>
      <w:b/>
      <w:sz w:val="20"/>
    </w:rPr>
  </w:style>
  <w:style w:type="paragraph" w:customStyle="1" w:styleId="865">
    <w:name w:val="纯文本1"/>
    <w:basedOn w:val="1"/>
    <w:qFormat/>
    <w:uiPriority w:val="0"/>
    <w:pPr>
      <w:widowControl/>
      <w:jc w:val="left"/>
    </w:pPr>
    <w:rPr>
      <w:rFonts w:hint="eastAsia" w:ascii="宋体" w:hAnsi="Courier New"/>
      <w:szCs w:val="20"/>
    </w:rPr>
  </w:style>
  <w:style w:type="paragraph" w:customStyle="1" w:styleId="866">
    <w:name w:val="Table Contents"/>
    <w:basedOn w:val="1"/>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867">
    <w:name w:val="xl136"/>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68">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869">
    <w:name w:val="*Quotation"/>
    <w:basedOn w:val="272"/>
    <w:next w:val="504"/>
    <w:uiPriority w:val="0"/>
    <w:pPr>
      <w:tabs>
        <w:tab w:val="left" w:pos="284"/>
      </w:tabs>
      <w:spacing w:after="200" w:line="220" w:lineRule="atLeast"/>
      <w:ind w:left="720" w:right="720"/>
    </w:pPr>
    <w:rPr>
      <w:i/>
      <w:sz w:val="20"/>
    </w:rPr>
  </w:style>
  <w:style w:type="paragraph" w:customStyle="1" w:styleId="870">
    <w:name w:val="xl1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71">
    <w:name w:val="表格内容"/>
    <w:basedOn w:val="1"/>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872">
    <w:name w:val="‧ N table-10 body right"/>
    <w:basedOn w:val="552"/>
    <w:uiPriority w:val="0"/>
  </w:style>
  <w:style w:type="paragraph" w:customStyle="1" w:styleId="873">
    <w:name w:val="xl109"/>
    <w:basedOn w:val="1"/>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74">
    <w:name w:val="xl111"/>
    <w:basedOn w:val="1"/>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75">
    <w:name w:val="xl231"/>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76">
    <w:name w:val="顺序编号1"/>
    <w:basedOn w:val="1"/>
    <w:uiPriority w:val="0"/>
    <w:pPr>
      <w:spacing w:afterLines="50" w:line="360" w:lineRule="auto"/>
      <w:ind w:firstLine="420"/>
    </w:pPr>
    <w:rPr>
      <w:rFonts w:ascii="宋体" w:hAnsi="宋体"/>
    </w:rPr>
  </w:style>
  <w:style w:type="paragraph" w:customStyle="1" w:styleId="877">
    <w:name w:val="Char Char7 Char Char Char Char"/>
    <w:basedOn w:val="1"/>
    <w:uiPriority w:val="0"/>
    <w:rPr>
      <w:rFonts w:ascii="仿宋_GB2312" w:hAnsi="Calibri" w:eastAsia="仿宋_GB2312" w:cs="Calibri"/>
      <w:b/>
      <w:sz w:val="32"/>
      <w:szCs w:val="32"/>
    </w:rPr>
  </w:style>
  <w:style w:type="paragraph" w:customStyle="1" w:styleId="878">
    <w:name w:val="样式 目录 2 + 左侧:  1 字符 右侧:  0.47 字符"/>
    <w:basedOn w:val="68"/>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879">
    <w:name w:val="xl135"/>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80">
    <w:name w:val="xl139"/>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81">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82">
    <w:name w:val="xl204"/>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83">
    <w:name w:val="列出段落3"/>
    <w:basedOn w:val="1"/>
    <w:qFormat/>
    <w:uiPriority w:val="34"/>
    <w:pPr>
      <w:ind w:firstLine="200" w:firstLineChars="200"/>
    </w:pPr>
    <w:rPr>
      <w:rFonts w:ascii="Calibri" w:hAnsi="Calibri"/>
      <w:szCs w:val="22"/>
    </w:rPr>
  </w:style>
  <w:style w:type="paragraph" w:customStyle="1" w:styleId="884">
    <w:name w:val="xl13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85">
    <w:name w:val="xl33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6">
    <w:name w:val="word"/>
    <w:basedOn w:val="1"/>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887">
    <w:name w:val="xl144"/>
    <w:basedOn w:val="1"/>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88">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889">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0">
    <w:name w:val="Table Heading"/>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891">
    <w:name w:val="Char Char7 Char Char Char Char Char Char"/>
    <w:basedOn w:val="1"/>
    <w:qFormat/>
    <w:uiPriority w:val="0"/>
    <w:rPr>
      <w:rFonts w:ascii="仿宋_GB2312" w:hAnsi="Calibri" w:eastAsia="仿宋_GB2312" w:cs="Calibri"/>
      <w:b/>
      <w:sz w:val="32"/>
      <w:szCs w:val="32"/>
    </w:rPr>
  </w:style>
  <w:style w:type="paragraph" w:customStyle="1" w:styleId="892">
    <w:name w:val="规范正文"/>
    <w:basedOn w:val="1"/>
    <w:uiPriority w:val="0"/>
    <w:pPr>
      <w:snapToGrid w:val="0"/>
      <w:spacing w:line="360" w:lineRule="auto"/>
      <w:ind w:firstLine="200" w:firstLineChars="200"/>
      <w:textAlignment w:val="baseline"/>
    </w:pPr>
    <w:rPr>
      <w:rFonts w:ascii="宋体" w:hAnsi="宋体"/>
      <w:kern w:val="0"/>
      <w:sz w:val="24"/>
      <w:szCs w:val="20"/>
    </w:rPr>
  </w:style>
  <w:style w:type="paragraph" w:customStyle="1" w:styleId="893">
    <w:name w:val="xl127"/>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94">
    <w:name w:val="xl373"/>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95">
    <w:name w:val="Frame contents"/>
    <w:basedOn w:val="17"/>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896">
    <w:name w:val="~Manual # Heading 3"/>
    <w:next w:val="499"/>
    <w:uiPriority w:val="0"/>
    <w:pPr>
      <w:keepNext/>
      <w:keepLines/>
      <w:tabs>
        <w:tab w:val="left" w:pos="1440"/>
      </w:tabs>
      <w:spacing w:before="240" w:after="120"/>
      <w:ind w:left="1440" w:hanging="1440"/>
      <w:outlineLvl w:val="3"/>
    </w:pPr>
    <w:rPr>
      <w:rFonts w:ascii="Arial" w:hAnsi="Arial"/>
      <w:b/>
      <w:color w:val="00637A"/>
      <w:sz w:val="24"/>
      <w:szCs w:val="24"/>
      <w:lang w:val="en-US" w:eastAsia="en-US" w:bidi="ar-SA"/>
    </w:rPr>
  </w:style>
  <w:style w:type="paragraph" w:customStyle="1" w:styleId="897">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98">
    <w:name w:val="xl37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99">
    <w:name w:val="_HP Sidebar Head"/>
    <w:basedOn w:val="140"/>
    <w:next w:val="140"/>
    <w:uiPriority w:val="0"/>
    <w:pPr>
      <w:spacing w:before="240"/>
    </w:pPr>
    <w:rPr>
      <w:rFonts w:ascii="Futura-Heavy" w:hAnsi="Futura-Heavy" w:eastAsia="宋体" w:cs="Times New Roman"/>
      <w:color w:val="auto"/>
    </w:rPr>
  </w:style>
  <w:style w:type="paragraph" w:customStyle="1" w:styleId="900">
    <w:name w:val="xl3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01">
    <w:name w:val="样式 居中"/>
    <w:basedOn w:val="1"/>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902">
    <w:name w:val="*Table Heading 2"/>
    <w:basedOn w:val="759"/>
    <w:uiPriority w:val="0"/>
    <w:pPr>
      <w:shd w:val="clear" w:color="auto" w:fill="A8A8A8"/>
    </w:pPr>
    <w:rPr>
      <w:sz w:val="18"/>
      <w:szCs w:val="18"/>
    </w:rPr>
  </w:style>
  <w:style w:type="paragraph" w:customStyle="1" w:styleId="903">
    <w:name w:val="列项——（一级）"/>
    <w:uiPriority w:val="0"/>
    <w:pPr>
      <w:widowControl w:val="0"/>
      <w:tabs>
        <w:tab w:val="left" w:pos="854"/>
      </w:tabs>
      <w:ind w:left="840" w:leftChars="200" w:hanging="420" w:hangingChars="200"/>
      <w:jc w:val="both"/>
    </w:pPr>
    <w:rPr>
      <w:rFonts w:ascii="宋体"/>
      <w:sz w:val="21"/>
      <w:lang w:val="en-US" w:eastAsia="zh-CN" w:bidi="ar-SA"/>
    </w:rPr>
  </w:style>
  <w:style w:type="paragraph" w:customStyle="1" w:styleId="904">
    <w:name w:val="*Manual # Heading 4"/>
    <w:next w:val="272"/>
    <w:uiPriority w:val="0"/>
    <w:pPr>
      <w:keepNext/>
      <w:keepLines/>
      <w:tabs>
        <w:tab w:val="left" w:pos="1440"/>
      </w:tabs>
      <w:spacing w:before="240" w:after="120"/>
      <w:ind w:left="1440" w:hanging="1440"/>
      <w:outlineLvl w:val="4"/>
    </w:pPr>
    <w:rPr>
      <w:rFonts w:ascii="Arial" w:hAnsi="Arial"/>
      <w:sz w:val="24"/>
      <w:szCs w:val="24"/>
      <w:lang w:val="en-US" w:eastAsia="en-US" w:bidi="ar-SA"/>
    </w:rPr>
  </w:style>
  <w:style w:type="paragraph" w:customStyle="1" w:styleId="905">
    <w:name w:val="4444"/>
    <w:basedOn w:val="5"/>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906">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7">
    <w:name w:val="样式11"/>
    <w:basedOn w:val="134"/>
    <w:uiPriority w:val="0"/>
    <w:rPr>
      <w:rFonts w:ascii="Times New Roman"/>
    </w:rPr>
  </w:style>
  <w:style w:type="paragraph" w:customStyle="1" w:styleId="908">
    <w:name w:val="样式 正文文本缩进 + 左  0 字符"/>
    <w:basedOn w:val="32"/>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909">
    <w:name w:val="xl222"/>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10">
    <w:name w:val="样式 标题 2子系统子系统1子系统2子系统3子系统4子系统11子系统21子系统31子系统5子系统12子系统..."/>
    <w:basedOn w:val="3"/>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911">
    <w:name w:val="~Bullet #2 Subtext"/>
    <w:basedOn w:val="855"/>
    <w:uiPriority w:val="0"/>
    <w:pPr>
      <w:tabs>
        <w:tab w:val="left" w:pos="425"/>
        <w:tab w:val="clear" w:pos="360"/>
      </w:tabs>
      <w:ind w:left="720"/>
    </w:pPr>
  </w:style>
  <w:style w:type="paragraph" w:customStyle="1" w:styleId="912">
    <w:name w:val="xl3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13">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914">
    <w:name w:val="‧ N cover small text box"/>
    <w:basedOn w:val="552"/>
    <w:uiPriority w:val="0"/>
  </w:style>
  <w:style w:type="paragraph" w:customStyle="1" w:styleId="915">
    <w:name w:val="xl150"/>
    <w:basedOn w:val="1"/>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916">
    <w:name w:val="xl101"/>
    <w:basedOn w:val="1"/>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7">
    <w:name w:val="技术标题4"/>
    <w:basedOn w:val="1"/>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918">
    <w:name w:val="*Numbers Bold"/>
    <w:basedOn w:val="861"/>
    <w:uiPriority w:val="0"/>
    <w:rPr>
      <w:b/>
    </w:rPr>
  </w:style>
  <w:style w:type="paragraph" w:customStyle="1" w:styleId="919">
    <w:name w:val="Proposals body"/>
    <w:basedOn w:val="1"/>
    <w:next w:val="1"/>
    <w:uiPriority w:val="0"/>
    <w:pPr>
      <w:widowControl/>
      <w:spacing w:line="360" w:lineRule="auto"/>
      <w:jc w:val="left"/>
    </w:pPr>
    <w:rPr>
      <w:rFonts w:ascii="宋体"/>
      <w:snapToGrid w:val="0"/>
      <w:color w:val="000000"/>
      <w:kern w:val="0"/>
      <w:sz w:val="24"/>
      <w:szCs w:val="20"/>
    </w:rPr>
  </w:style>
  <w:style w:type="paragraph" w:customStyle="1" w:styleId="920">
    <w:name w:val="xl41"/>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21">
    <w:name w:val="样式 首行缩进:  2 字符5"/>
    <w:basedOn w:val="1"/>
    <w:uiPriority w:val="0"/>
    <w:pPr>
      <w:spacing w:before="120" w:line="360" w:lineRule="auto"/>
      <w:ind w:firstLine="480" w:firstLineChars="200"/>
    </w:pPr>
    <w:rPr>
      <w:rFonts w:ascii="宋体" w:hAnsi="宋体" w:cs="宋体"/>
      <w:sz w:val="24"/>
      <w:szCs w:val="20"/>
    </w:rPr>
  </w:style>
  <w:style w:type="paragraph" w:customStyle="1" w:styleId="922">
    <w:name w:val="样式9"/>
    <w:basedOn w:val="923"/>
    <w:uiPriority w:val="0"/>
    <w:pPr>
      <w:keepNext/>
      <w:keepLines/>
      <w:tabs>
        <w:tab w:val="left" w:pos="851"/>
      </w:tabs>
      <w:spacing w:before="260" w:after="260"/>
      <w:ind w:left="851" w:hanging="709"/>
      <w:outlineLvl w:val="2"/>
    </w:pPr>
    <w:rPr>
      <w:b/>
      <w:bCs/>
      <w:sz w:val="30"/>
      <w:szCs w:val="30"/>
    </w:rPr>
  </w:style>
  <w:style w:type="paragraph" w:customStyle="1" w:styleId="923">
    <w:name w:val="样式3"/>
    <w:basedOn w:val="1"/>
    <w:next w:val="7"/>
    <w:qFormat/>
    <w:uiPriority w:val="0"/>
    <w:pPr>
      <w:spacing w:line="360" w:lineRule="auto"/>
      <w:ind w:firstLine="420"/>
    </w:pPr>
    <w:rPr>
      <w:rFonts w:ascii="宋体" w:hAnsi="宋体"/>
    </w:rPr>
  </w:style>
  <w:style w:type="paragraph" w:customStyle="1" w:styleId="924">
    <w:name w:val="xl115"/>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25">
    <w:name w:val="xl58"/>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26">
    <w:name w:val="Char Char Char Char Char Char Char Char Char Char Char Char Char Char Char Char"/>
    <w:basedOn w:val="1"/>
    <w:uiPriority w:val="0"/>
    <w:pPr>
      <w:spacing w:line="360" w:lineRule="auto"/>
      <w:ind w:firstLine="420"/>
    </w:pPr>
    <w:rPr>
      <w:rFonts w:ascii="Tahoma" w:hAnsi="Tahoma"/>
      <w:sz w:val="24"/>
      <w:szCs w:val="20"/>
    </w:rPr>
  </w:style>
  <w:style w:type="paragraph" w:customStyle="1" w:styleId="927">
    <w:name w:val="xl49"/>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28">
    <w:name w:val="User Index 5"/>
    <w:basedOn w:val="46"/>
    <w:uiPriority w:val="0"/>
    <w:pPr>
      <w:tabs>
        <w:tab w:val="right" w:leader="dot" w:pos="9746"/>
      </w:tabs>
      <w:ind w:left="1132"/>
    </w:pPr>
  </w:style>
  <w:style w:type="paragraph" w:customStyle="1" w:styleId="929">
    <w:name w:val="*Numbers Double"/>
    <w:basedOn w:val="861"/>
    <w:uiPriority w:val="0"/>
    <w:pPr>
      <w:spacing w:after="220"/>
    </w:pPr>
  </w:style>
  <w:style w:type="paragraph" w:customStyle="1" w:styleId="930">
    <w:name w:val="2级"/>
    <w:basedOn w:val="3"/>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931">
    <w:name w:val="样式 标题 2标题 2 Char Char Char Char Char Char Char Char Char Char C...1"/>
    <w:basedOn w:val="3"/>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932">
    <w:name w:val="xl207"/>
    <w:basedOn w:val="1"/>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33">
    <w:name w:val="xl35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34">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35">
    <w:name w:val="正文段"/>
    <w:basedOn w:val="1"/>
    <w:qFormat/>
    <w:uiPriority w:val="0"/>
    <w:pPr>
      <w:spacing w:after="240" w:line="240" w:lineRule="atLeast"/>
      <w:ind w:firstLine="454"/>
    </w:pPr>
    <w:rPr>
      <w:rFonts w:ascii="楷体" w:hAnsi="宋体"/>
      <w:sz w:val="24"/>
      <w:szCs w:val="20"/>
    </w:rPr>
  </w:style>
  <w:style w:type="paragraph" w:customStyle="1" w:styleId="936">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37">
    <w:name w:val="xl33"/>
    <w:basedOn w:val="1"/>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38">
    <w:name w:val="font17"/>
    <w:basedOn w:val="1"/>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939">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40">
    <w:name w:val="表格内容左对齐"/>
    <w:basedOn w:val="1"/>
    <w:uiPriority w:val="0"/>
    <w:pPr>
      <w:widowControl/>
      <w:spacing w:line="360" w:lineRule="auto"/>
      <w:ind w:firstLine="420"/>
    </w:pPr>
    <w:rPr>
      <w:rFonts w:ascii="宋体" w:hAnsi="宋体" w:cs="宋体"/>
      <w:bCs/>
      <w:color w:val="FF0000"/>
      <w:kern w:val="44"/>
      <w:szCs w:val="21"/>
    </w:rPr>
  </w:style>
  <w:style w:type="paragraph" w:customStyle="1" w:styleId="941">
    <w:name w:val="List 2 Cont."/>
    <w:basedOn w:val="60"/>
    <w:uiPriority w:val="0"/>
    <w:pPr>
      <w:widowControl/>
      <w:ind w:left="567" w:firstLine="0" w:firstLineChars="0"/>
      <w:jc w:val="left"/>
    </w:pPr>
    <w:rPr>
      <w:rFonts w:eastAsia="PMingLiU"/>
      <w:kern w:val="0"/>
      <w:sz w:val="20"/>
      <w:szCs w:val="20"/>
      <w:lang w:eastAsia="zh-TW"/>
    </w:rPr>
  </w:style>
  <w:style w:type="paragraph" w:styleId="942">
    <w:name w:val="No Spacing"/>
    <w:qFormat/>
    <w:uiPriority w:val="0"/>
    <w:pPr>
      <w:widowControl w:val="0"/>
      <w:jc w:val="both"/>
    </w:pPr>
    <w:rPr>
      <w:kern w:val="2"/>
      <w:sz w:val="21"/>
      <w:szCs w:val="24"/>
      <w:lang w:val="en-US" w:eastAsia="zh-CN" w:bidi="ar-SA"/>
    </w:rPr>
  </w:style>
  <w:style w:type="paragraph" w:customStyle="1" w:styleId="943">
    <w:name w:val="xl227"/>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944">
    <w:name w:val="Char Char Char Char1"/>
    <w:basedOn w:val="1"/>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945">
    <w:name w:val="xl94"/>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46">
    <w:name w:val="Char Char1"/>
    <w:basedOn w:val="1"/>
    <w:uiPriority w:val="0"/>
    <w:pPr>
      <w:spacing w:line="360" w:lineRule="auto"/>
      <w:ind w:firstLine="420"/>
    </w:pPr>
    <w:rPr>
      <w:rFonts w:ascii="Arial" w:hAnsi="Arial" w:cs="Arial"/>
    </w:rPr>
  </w:style>
  <w:style w:type="paragraph" w:customStyle="1" w:styleId="947">
    <w:name w:val="xl124"/>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48">
    <w:name w:val="标题四"/>
    <w:basedOn w:val="5"/>
    <w:next w:val="1"/>
    <w:uiPriority w:val="0"/>
    <w:pPr>
      <w:keepNext/>
      <w:keepLines/>
      <w:widowControl w:val="0"/>
      <w:tabs>
        <w:tab w:val="left" w:pos="993"/>
      </w:tabs>
      <w:spacing w:before="160" w:after="170" w:line="376" w:lineRule="auto"/>
      <w:ind w:right="100" w:rightChars="100"/>
    </w:pPr>
    <w:rPr>
      <w:bCs/>
      <w:szCs w:val="28"/>
    </w:rPr>
  </w:style>
  <w:style w:type="paragraph" w:customStyle="1" w:styleId="949">
    <w:name w:val="*SOW 4"/>
    <w:basedOn w:val="501"/>
    <w:next w:val="272"/>
    <w:uiPriority w:val="0"/>
    <w:pPr>
      <w:outlineLvl w:val="4"/>
    </w:pPr>
  </w:style>
  <w:style w:type="paragraph" w:customStyle="1" w:styleId="950">
    <w:name w:val="newtext"/>
    <w:basedOn w:val="1"/>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951">
    <w:name w:val="xl232"/>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52">
    <w:name w:val="xl134"/>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53">
    <w:name w:val="listparagraph"/>
    <w:basedOn w:val="1"/>
    <w:uiPriority w:val="0"/>
    <w:pPr>
      <w:widowControl/>
      <w:spacing w:before="100" w:beforeAutospacing="1" w:after="100" w:afterAutospacing="1"/>
      <w:jc w:val="left"/>
    </w:pPr>
    <w:rPr>
      <w:rFonts w:ascii="宋体" w:hAnsi="宋体" w:cs="宋体"/>
      <w:kern w:val="0"/>
      <w:sz w:val="24"/>
    </w:rPr>
  </w:style>
  <w:style w:type="paragraph" w:customStyle="1" w:styleId="954">
    <w:name w:val="xl332"/>
    <w:basedOn w:val="1"/>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955">
    <w:name w:val="Default Text"/>
    <w:basedOn w:val="1"/>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956">
    <w:name w:val="~Table Text"/>
    <w:basedOn w:val="644"/>
    <w:uiPriority w:val="0"/>
    <w:rPr>
      <w:color w:val="00637A"/>
      <w:szCs w:val="18"/>
    </w:rPr>
  </w:style>
  <w:style w:type="paragraph" w:customStyle="1" w:styleId="957">
    <w:name w:val="Normal Cenered"/>
    <w:basedOn w:val="1"/>
    <w:uiPriority w:val="0"/>
    <w:pPr>
      <w:widowControl/>
      <w:tabs>
        <w:tab w:val="left" w:pos="6660"/>
      </w:tabs>
      <w:spacing w:before="120" w:after="120" w:line="288" w:lineRule="auto"/>
      <w:ind w:firstLine="420"/>
      <w:jc w:val="center"/>
    </w:pPr>
    <w:rPr>
      <w:rFonts w:ascii="宋体" w:hAnsi="宋体"/>
      <w:kern w:val="0"/>
    </w:rPr>
  </w:style>
  <w:style w:type="paragraph" w:customStyle="1" w:styleId="958">
    <w:name w:val="*Response"/>
    <w:basedOn w:val="272"/>
    <w:next w:val="272"/>
    <w:uiPriority w:val="0"/>
    <w:pPr>
      <w:ind w:left="1440" w:hanging="1440"/>
    </w:pPr>
    <w:rPr>
      <w:sz w:val="20"/>
    </w:rPr>
  </w:style>
  <w:style w:type="paragraph" w:customStyle="1" w:styleId="959">
    <w:name w:val="正文(首行缩进)"/>
    <w:basedOn w:val="1"/>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960">
    <w:name w:val="•Subtitle"/>
    <w:basedOn w:val="1"/>
    <w:uiPriority w:val="0"/>
    <w:pPr>
      <w:suppressAutoHyphens/>
    </w:pPr>
    <w:rPr>
      <w:rFonts w:ascii="Arial" w:hAnsi="Arial"/>
      <w:kern w:val="1"/>
      <w:lang w:eastAsia="ar-SA"/>
    </w:rPr>
  </w:style>
  <w:style w:type="paragraph" w:customStyle="1" w:styleId="961">
    <w:name w:val="xl202"/>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62">
    <w:name w:val="xl369"/>
    <w:basedOn w:val="1"/>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963">
    <w:name w:val="技标2"/>
    <w:basedOn w:val="4"/>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964">
    <w:name w:val="表格1"/>
    <w:uiPriority w:val="0"/>
    <w:pPr>
      <w:keepNext/>
      <w:jc w:val="center"/>
    </w:pPr>
    <w:rPr>
      <w:rFonts w:ascii="宋体"/>
      <w:snapToGrid w:val="0"/>
      <w:spacing w:val="6"/>
      <w:w w:val="95"/>
      <w:sz w:val="24"/>
      <w:lang w:val="en-US" w:eastAsia="zh-CN" w:bidi="ar-SA"/>
    </w:rPr>
  </w:style>
  <w:style w:type="paragraph" w:customStyle="1" w:styleId="965">
    <w:name w:val="xl46"/>
    <w:basedOn w:val="1"/>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66">
    <w:name w:val="xl19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67">
    <w:name w:val="IN Step"/>
    <w:basedOn w:val="1"/>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968">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969">
    <w:name w:val="*Manual # Heading 1"/>
    <w:next w:val="272"/>
    <w:uiPriority w:val="0"/>
    <w:pPr>
      <w:keepNext/>
      <w:keepLines/>
      <w:tabs>
        <w:tab w:val="left" w:pos="1440"/>
      </w:tabs>
      <w:spacing w:before="240" w:after="120"/>
      <w:ind w:left="1440" w:hanging="1440"/>
      <w:outlineLvl w:val="1"/>
    </w:pPr>
    <w:rPr>
      <w:rFonts w:ascii="Arial" w:hAnsi="Arial"/>
      <w:b/>
      <w:sz w:val="32"/>
      <w:szCs w:val="32"/>
      <w:lang w:val="en-US" w:eastAsia="en-US" w:bidi="ar-SA"/>
    </w:rPr>
  </w:style>
  <w:style w:type="paragraph" w:customStyle="1" w:styleId="970">
    <w:name w:val="HP Recipient Data CustomerName"/>
    <w:basedOn w:val="773"/>
    <w:uiPriority w:val="0"/>
  </w:style>
  <w:style w:type="paragraph" w:customStyle="1" w:styleId="971">
    <w:name w:val="Heading 10"/>
    <w:basedOn w:val="16"/>
    <w:next w:val="17"/>
    <w:uiPriority w:val="0"/>
  </w:style>
  <w:style w:type="paragraph" w:customStyle="1" w:styleId="972">
    <w:name w:val="Char"/>
    <w:basedOn w:val="1"/>
    <w:qFormat/>
    <w:uiPriority w:val="0"/>
    <w:rPr>
      <w:rFonts w:ascii="仿宋_GB2312" w:eastAsia="仿宋_GB2312"/>
      <w:b/>
      <w:sz w:val="32"/>
      <w:szCs w:val="32"/>
    </w:rPr>
  </w:style>
  <w:style w:type="paragraph" w:customStyle="1" w:styleId="973">
    <w:name w:val="Bibliography 1"/>
    <w:basedOn w:val="46"/>
    <w:uiPriority w:val="0"/>
    <w:pPr>
      <w:tabs>
        <w:tab w:val="right" w:leader="dot" w:pos="9746"/>
      </w:tabs>
      <w:spacing w:after="245"/>
    </w:pPr>
  </w:style>
  <w:style w:type="paragraph" w:customStyle="1" w:styleId="974">
    <w:name w:val="正文 A"/>
    <w:qFormat/>
    <w:uiPriority w:val="0"/>
    <w:pPr>
      <w:widowControl w:val="0"/>
      <w:pBdr>
        <w:top w:val="none" w:color="FFFFFF" w:sz="96" w:space="31"/>
        <w:left w:val="none" w:color="FFFFFF" w:sz="96" w:space="31"/>
        <w:bottom w:val="none" w:color="FFFFFF" w:sz="96" w:space="31"/>
        <w:right w:val="none" w:color="FFFFFF" w:sz="96" w:space="31"/>
      </w:pBdr>
      <w:jc w:val="both"/>
    </w:pPr>
    <w:rPr>
      <w:rFonts w:ascii="Arial Unicode MS" w:hAnsi="Arial Unicode MS" w:cs="Arial Unicode MS"/>
      <w:color w:val="000000"/>
      <w:kern w:val="2"/>
      <w:sz w:val="21"/>
      <w:szCs w:val="21"/>
      <w:u w:val="none" w:color="000000"/>
      <w:lang w:val="en-US" w:eastAsia="zh-CN" w:bidi="ar-SA"/>
    </w:rPr>
  </w:style>
  <w:style w:type="paragraph" w:customStyle="1" w:styleId="975">
    <w:name w:val="xl34"/>
    <w:basedOn w:val="1"/>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76">
    <w:name w:val="xl18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77">
    <w:name w:val="xl16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978">
    <w:name w:val="xl37"/>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79">
    <w:name w:val="样式 目录标题 + 首行缩进:  1.2 厘米"/>
    <w:basedOn w:val="728"/>
    <w:uiPriority w:val="0"/>
    <w:pPr>
      <w:tabs>
        <w:tab w:val="clear" w:pos="540"/>
      </w:tabs>
      <w:spacing w:afterLines="0"/>
    </w:pPr>
    <w:rPr>
      <w:rFonts w:cs="宋体"/>
      <w:bCs/>
      <w:szCs w:val="20"/>
    </w:rPr>
  </w:style>
  <w:style w:type="paragraph" w:customStyle="1" w:styleId="980">
    <w:name w:val="样式10"/>
    <w:basedOn w:val="536"/>
    <w:uiPriority w:val="0"/>
    <w:rPr>
      <w:rFonts w:ascii="Times New Roman" w:hAnsi="宋体"/>
    </w:rPr>
  </w:style>
  <w:style w:type="paragraph" w:customStyle="1" w:styleId="981">
    <w:name w:val="‧ N head 1"/>
    <w:basedOn w:val="552"/>
    <w:next w:val="553"/>
    <w:uiPriority w:val="0"/>
  </w:style>
  <w:style w:type="paragraph" w:customStyle="1" w:styleId="982">
    <w:name w:val="xl52"/>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83">
    <w:name w:val="*Body Single"/>
    <w:uiPriority w:val="0"/>
    <w:pPr>
      <w:spacing w:line="220" w:lineRule="atLeast"/>
    </w:pPr>
    <w:rPr>
      <w:rFonts w:ascii="Arial" w:hAnsi="Arial"/>
      <w:snapToGrid w:val="0"/>
      <w:lang w:val="en-US" w:eastAsia="zh-CN" w:bidi="ar-SA"/>
    </w:rPr>
  </w:style>
  <w:style w:type="paragraph" w:customStyle="1" w:styleId="984">
    <w:name w:val="xl363"/>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5">
    <w:name w:val="样式 标题 4 + 宋体 五号"/>
    <w:basedOn w:val="5"/>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986">
    <w:name w:val="Table Description"/>
    <w:next w:val="1"/>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987">
    <w:name w:val="Marginalia"/>
    <w:basedOn w:val="17"/>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988">
    <w:name w:val="xl16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89">
    <w:name w:val="附录 Heading 2"/>
    <w:basedOn w:val="3"/>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990">
    <w:name w:val="Char Char1 Char"/>
    <w:basedOn w:val="1"/>
    <w:uiPriority w:val="0"/>
    <w:pPr>
      <w:widowControl/>
      <w:spacing w:after="160" w:line="240" w:lineRule="exact"/>
      <w:jc w:val="left"/>
    </w:pPr>
  </w:style>
  <w:style w:type="paragraph" w:customStyle="1" w:styleId="991">
    <w:name w:val="a2"/>
    <w:basedOn w:val="1"/>
    <w:qFormat/>
    <w:uiPriority w:val="0"/>
    <w:pPr>
      <w:widowControl/>
      <w:spacing w:after="150"/>
      <w:jc w:val="left"/>
    </w:pPr>
    <w:rPr>
      <w:rFonts w:ascii="宋体" w:hAnsi="宋体" w:cs="宋体"/>
      <w:kern w:val="0"/>
      <w:sz w:val="24"/>
    </w:rPr>
  </w:style>
  <w:style w:type="paragraph" w:customStyle="1" w:styleId="992">
    <w:name w:val="xl208"/>
    <w:basedOn w:val="1"/>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93">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val="none" w:color="000000"/>
    </w:rPr>
  </w:style>
  <w:style w:type="paragraph" w:customStyle="1" w:styleId="994">
    <w:name w:val="Hanging indent"/>
    <w:basedOn w:val="17"/>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995">
    <w:name w:val="正文 小四 段后: 0.5 行"/>
    <w:basedOn w:val="1"/>
    <w:uiPriority w:val="0"/>
    <w:pPr>
      <w:spacing w:afterLines="50" w:line="300" w:lineRule="auto"/>
      <w:ind w:firstLine="200" w:firstLineChars="200"/>
    </w:pPr>
    <w:rPr>
      <w:rFonts w:ascii="宋体" w:hAnsi="宋体" w:cs="宋体"/>
      <w:sz w:val="24"/>
      <w:szCs w:val="20"/>
    </w:rPr>
  </w:style>
  <w:style w:type="paragraph" w:customStyle="1" w:styleId="996">
    <w:name w:val="xl57"/>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997">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98">
    <w:name w:val="标题5"/>
    <w:basedOn w:val="6"/>
    <w:uiPriority w:val="0"/>
    <w:pPr>
      <w:tabs>
        <w:tab w:val="left" w:pos="1361"/>
      </w:tabs>
      <w:ind w:left="992" w:hanging="992"/>
    </w:pPr>
  </w:style>
  <w:style w:type="paragraph" w:customStyle="1" w:styleId="999">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00">
    <w:name w:val="Char Char1 Char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001">
    <w:name w:val="bullet标题"/>
    <w:basedOn w:val="1"/>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1002">
    <w:name w:val="2222"/>
    <w:basedOn w:val="3"/>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1003">
    <w:name w:val="~Body Single"/>
    <w:basedOn w:val="499"/>
    <w:uiPriority w:val="0"/>
    <w:pPr>
      <w:spacing w:after="0"/>
    </w:pPr>
  </w:style>
  <w:style w:type="paragraph" w:customStyle="1" w:styleId="1004">
    <w:name w:val="‧ N head TOC"/>
    <w:basedOn w:val="552"/>
    <w:next w:val="553"/>
    <w:uiPriority w:val="0"/>
  </w:style>
  <w:style w:type="paragraph" w:customStyle="1" w:styleId="1005">
    <w:name w:val="基本正文"/>
    <w:uiPriority w:val="0"/>
    <w:pPr>
      <w:widowControl w:val="0"/>
      <w:spacing w:before="60" w:after="60" w:line="360" w:lineRule="exact"/>
      <w:ind w:firstLine="420" w:firstLineChars="200"/>
      <w:jc w:val="both"/>
    </w:pPr>
    <w:rPr>
      <w:kern w:val="2"/>
      <w:sz w:val="21"/>
      <w:lang w:val="en-US" w:eastAsia="zh-CN" w:bidi="ar-SA"/>
    </w:rPr>
  </w:style>
  <w:style w:type="paragraph" w:customStyle="1" w:styleId="1006">
    <w:name w:val="xl79"/>
    <w:basedOn w:val="1"/>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007">
    <w:name w:val="xl359"/>
    <w:basedOn w:val="1"/>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1008">
    <w:name w:val="xl125"/>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009">
    <w:name w:val="*Alt Numbers Double"/>
    <w:basedOn w:val="929"/>
    <w:uiPriority w:val="0"/>
    <w:pPr>
      <w:tabs>
        <w:tab w:val="left" w:pos="1440"/>
        <w:tab w:val="clear" w:pos="360"/>
      </w:tabs>
      <w:ind w:left="1440" w:hanging="1440"/>
    </w:pPr>
  </w:style>
  <w:style w:type="paragraph" w:customStyle="1" w:styleId="1010">
    <w:name w:val="xl116"/>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11">
    <w:name w:val="xl223"/>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12">
    <w:name w:val="文件名称"/>
    <w:basedOn w:val="1"/>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1013">
    <w:name w:val="*Alt Numbers"/>
    <w:basedOn w:val="861"/>
    <w:uiPriority w:val="0"/>
    <w:pPr>
      <w:tabs>
        <w:tab w:val="left" w:pos="1440"/>
        <w:tab w:val="clear" w:pos="360"/>
      </w:tabs>
      <w:ind w:left="1440" w:hanging="1440"/>
    </w:pPr>
  </w:style>
  <w:style w:type="paragraph" w:customStyle="1" w:styleId="1014">
    <w:name w:val="无间隔1"/>
    <w:qFormat/>
    <w:uiPriority w:val="0"/>
    <w:rPr>
      <w:rFonts w:eastAsia="PMingLiU"/>
      <w:snapToGrid w:val="0"/>
      <w:sz w:val="22"/>
      <w:szCs w:val="22"/>
      <w:lang w:val="en-US" w:eastAsia="zh-TW" w:bidi="ar-SA"/>
    </w:rPr>
  </w:style>
  <w:style w:type="paragraph" w:customStyle="1" w:styleId="1015">
    <w:name w:val="xl3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16">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1017">
    <w:name w:val="xl236"/>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18">
    <w:name w:val="xl70"/>
    <w:basedOn w:val="1"/>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19">
    <w:name w:val="xl364"/>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20">
    <w:name w:val="目錄標題"/>
    <w:basedOn w:val="2"/>
    <w:next w:val="1"/>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1021">
    <w:name w:val="Char Char1 Char Char Char Char1 Char Char Char Char Char"/>
    <w:basedOn w:val="1"/>
    <w:uiPriority w:val="0"/>
    <w:pPr>
      <w:spacing w:line="360" w:lineRule="auto"/>
    </w:pPr>
    <w:rPr>
      <w:rFonts w:ascii="宋体" w:hAnsi="宋体"/>
      <w:szCs w:val="20"/>
    </w:rPr>
  </w:style>
  <w:style w:type="paragraph" w:customStyle="1" w:styleId="1022">
    <w:name w:val="xl140"/>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23">
    <w:name w:val="样式 样式 标题 3H3Heading 3 - oldh3sect1.2.3BOD 0标题 3 Char Char Cha......"/>
    <w:basedOn w:val="1"/>
    <w:next w:val="1"/>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1024">
    <w:name w:val="xl73"/>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025">
    <w:name w:val="‧ N table-10 body indent 2"/>
    <w:basedOn w:val="552"/>
    <w:uiPriority w:val="0"/>
  </w:style>
  <w:style w:type="paragraph" w:customStyle="1" w:styleId="1026">
    <w:name w:val="TOCI"/>
    <w:basedOn w:val="1"/>
    <w:next w:val="1"/>
    <w:uiPriority w:val="0"/>
    <w:pPr>
      <w:autoSpaceDN w:val="0"/>
      <w:adjustRightInd w:val="0"/>
      <w:jc w:val="left"/>
    </w:pPr>
    <w:rPr>
      <w:rFonts w:ascii="Arial" w:hAnsi="Arial" w:eastAsia="PMingLiU" w:cs="Tahoma"/>
      <w:kern w:val="0"/>
      <w:lang w:val="en-GB" w:eastAsia="zh-TW"/>
    </w:rPr>
  </w:style>
  <w:style w:type="paragraph" w:customStyle="1" w:styleId="1027">
    <w:name w:val="此正文"/>
    <w:basedOn w:val="1"/>
    <w:qFormat/>
    <w:uiPriority w:val="0"/>
    <w:pPr>
      <w:spacing w:line="360" w:lineRule="auto"/>
      <w:ind w:firstLine="480" w:firstLineChars="200"/>
    </w:pPr>
    <w:rPr>
      <w:rFonts w:ascii="宋体" w:hAnsi="宋体"/>
      <w:sz w:val="24"/>
    </w:rPr>
  </w:style>
  <w:style w:type="paragraph" w:customStyle="1" w:styleId="1028">
    <w:name w:val="figuredescription"/>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29">
    <w:name w:val="xl50"/>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30">
    <w:name w:val="p26"/>
    <w:basedOn w:val="1"/>
    <w:uiPriority w:val="0"/>
    <w:pPr>
      <w:widowControl/>
      <w:spacing w:before="100" w:after="100" w:line="360" w:lineRule="auto"/>
      <w:ind w:firstLine="420"/>
      <w:jc w:val="left"/>
    </w:pPr>
    <w:rPr>
      <w:rFonts w:ascii="宋体" w:hAnsi="宋体"/>
      <w:kern w:val="0"/>
      <w:sz w:val="24"/>
      <w:szCs w:val="20"/>
    </w:rPr>
  </w:style>
  <w:style w:type="paragraph" w:customStyle="1" w:styleId="1031">
    <w:name w:val="xl3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32">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33">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1034">
    <w:name w:val="xl1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35">
    <w:name w:val="Char Char Char Char Char Char Char"/>
    <w:basedOn w:val="1"/>
    <w:uiPriority w:val="0"/>
    <w:pPr>
      <w:tabs>
        <w:tab w:val="left" w:pos="432"/>
      </w:tabs>
      <w:spacing w:line="360" w:lineRule="auto"/>
      <w:ind w:left="432" w:hanging="432"/>
    </w:pPr>
    <w:rPr>
      <w:rFonts w:ascii="Tahoma" w:hAnsi="Tahoma"/>
      <w:sz w:val="24"/>
      <w:szCs w:val="20"/>
    </w:rPr>
  </w:style>
  <w:style w:type="paragraph" w:customStyle="1" w:styleId="1036">
    <w:name w:val="xl221"/>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37">
    <w:name w:val="xl17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38">
    <w:name w:val="flNote"/>
    <w:basedOn w:val="1"/>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1039">
    <w:name w:val="表内文字"/>
    <w:basedOn w:val="1"/>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1040">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41">
    <w:name w:val="xl203"/>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042">
    <w:name w:val="Char1 Char Char Char Char Char Char"/>
    <w:basedOn w:val="1"/>
    <w:qFormat/>
    <w:uiPriority w:val="0"/>
    <w:rPr>
      <w:rFonts w:ascii="仿宋_GB2312" w:eastAsia="仿宋_GB2312"/>
      <w:b/>
      <w:sz w:val="32"/>
      <w:szCs w:val="32"/>
    </w:rPr>
  </w:style>
  <w:style w:type="paragraph" w:customStyle="1" w:styleId="1043">
    <w:name w:val="xl1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44">
    <w:name w:val="*Alt Numbers Bold"/>
    <w:basedOn w:val="918"/>
    <w:uiPriority w:val="0"/>
    <w:pPr>
      <w:tabs>
        <w:tab w:val="left" w:pos="1440"/>
        <w:tab w:val="clear" w:pos="360"/>
      </w:tabs>
      <w:ind w:left="1440" w:hanging="1440"/>
    </w:pPr>
  </w:style>
  <w:style w:type="paragraph" w:customStyle="1" w:styleId="1045">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1046">
    <w:name w:val="3333"/>
    <w:basedOn w:val="4"/>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1047">
    <w:name w:val="标3"/>
    <w:basedOn w:val="1"/>
    <w:uiPriority w:val="0"/>
    <w:pPr>
      <w:spacing w:line="360" w:lineRule="auto"/>
      <w:ind w:firstLine="420"/>
    </w:pPr>
    <w:rPr>
      <w:rFonts w:ascii="宋体" w:hAnsi="宋体"/>
    </w:rPr>
  </w:style>
  <w:style w:type="paragraph" w:customStyle="1" w:styleId="1048">
    <w:name w:val="xl17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049">
    <w:name w:val="xl36"/>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50">
    <w:name w:val="xl147"/>
    <w:basedOn w:val="1"/>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051">
    <w:name w:val="列出段落5"/>
    <w:basedOn w:val="1"/>
    <w:unhideWhenUsed/>
    <w:qFormat/>
    <w:uiPriority w:val="99"/>
    <w:pPr>
      <w:ind w:firstLine="420" w:firstLineChars="200"/>
    </w:pPr>
  </w:style>
  <w:style w:type="paragraph" w:customStyle="1" w:styleId="1052">
    <w:name w:val="样式 样式 正文（首行缩进2字符） + 首行缩进:  2 字符 + 首行缩进:  2 字符 段前: 0.5 行 段后: 0...."/>
    <w:basedOn w:val="1"/>
    <w:uiPriority w:val="0"/>
    <w:pPr>
      <w:spacing w:beforeLines="50" w:afterLines="50" w:line="420" w:lineRule="exact"/>
      <w:ind w:firstLine="200" w:firstLineChars="200"/>
    </w:pPr>
    <w:rPr>
      <w:rFonts w:ascii="宋体" w:hAnsi="宋体" w:cs="宋体"/>
      <w:sz w:val="24"/>
      <w:szCs w:val="20"/>
    </w:rPr>
  </w:style>
  <w:style w:type="paragraph" w:customStyle="1" w:styleId="1053">
    <w:name w:val="xl149"/>
    <w:basedOn w:val="1"/>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054">
    <w:name w:val="xl3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55">
    <w:name w:val="Numbering 5 End"/>
    <w:basedOn w:val="60"/>
    <w:uiPriority w:val="0"/>
    <w:pPr>
      <w:widowControl/>
      <w:spacing w:after="240"/>
      <w:ind w:left="1417" w:firstLine="0" w:firstLineChars="0"/>
      <w:jc w:val="left"/>
    </w:pPr>
    <w:rPr>
      <w:rFonts w:eastAsia="PMingLiU"/>
      <w:kern w:val="0"/>
      <w:sz w:val="20"/>
      <w:szCs w:val="20"/>
      <w:lang w:eastAsia="zh-TW"/>
    </w:rPr>
  </w:style>
  <w:style w:type="paragraph" w:customStyle="1" w:styleId="1056">
    <w:name w:val="msolistparagraph"/>
    <w:basedOn w:val="1"/>
    <w:uiPriority w:val="0"/>
    <w:pPr>
      <w:spacing w:line="360" w:lineRule="auto"/>
      <w:ind w:firstLine="200" w:firstLineChars="200"/>
    </w:pPr>
    <w:rPr>
      <w:rFonts w:ascii="Calibri" w:hAnsi="Calibri"/>
      <w:szCs w:val="22"/>
    </w:rPr>
  </w:style>
  <w:style w:type="paragraph" w:customStyle="1" w:styleId="1057">
    <w:name w:val="_HP Body text 10 pt"/>
    <w:basedOn w:val="140"/>
    <w:next w:val="140"/>
    <w:uiPriority w:val="0"/>
    <w:pPr>
      <w:spacing w:after="120"/>
    </w:pPr>
    <w:rPr>
      <w:rFonts w:ascii="Futura-Book" w:hAnsi="Futura-Book" w:eastAsia="宋体" w:cs="Times New Roman"/>
      <w:color w:val="auto"/>
    </w:rPr>
  </w:style>
  <w:style w:type="paragraph" w:customStyle="1" w:styleId="1058">
    <w:name w:val="注×：（正文）"/>
    <w:uiPriority w:val="0"/>
    <w:pPr>
      <w:tabs>
        <w:tab w:val="left" w:pos="1260"/>
      </w:tabs>
      <w:ind w:left="1260" w:hanging="420"/>
      <w:jc w:val="both"/>
    </w:pPr>
    <w:rPr>
      <w:rFonts w:ascii="宋体"/>
      <w:sz w:val="18"/>
      <w:szCs w:val="18"/>
      <w:lang w:val="en-US" w:eastAsia="zh-CN" w:bidi="ar-SA"/>
    </w:rPr>
  </w:style>
  <w:style w:type="paragraph" w:customStyle="1" w:styleId="1059">
    <w:name w:val="样式 表格文本 + (西文) Arial (中文) 楷体_GB2312 段后: 23.4 磅1"/>
    <w:basedOn w:val="1"/>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1060">
    <w:name w:val="title_level0"/>
    <w:basedOn w:val="1"/>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1061">
    <w:name w:val="Header_FooterText"/>
    <w:uiPriority w:val="0"/>
    <w:pPr>
      <w:spacing w:line="170" w:lineRule="exact"/>
    </w:pPr>
    <w:rPr>
      <w:rFonts w:ascii="Arial" w:hAnsi="Arial"/>
      <w:b/>
      <w:color w:val="000000"/>
      <w:sz w:val="14"/>
      <w:szCs w:val="14"/>
      <w:lang w:val="en-US" w:eastAsia="en-US" w:bidi="ar-SA"/>
    </w:rPr>
  </w:style>
  <w:style w:type="paragraph" w:customStyle="1" w:styleId="1062">
    <w:name w:val="xl77"/>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063">
    <w:name w:val="xl183"/>
    <w:basedOn w:val="1"/>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64">
    <w:name w:val="table rule below"/>
    <w:basedOn w:val="1"/>
    <w:next w:val="1"/>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065">
    <w:name w:val="首页页眉"/>
    <w:basedOn w:val="53"/>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1066">
    <w:name w:val="Char21"/>
    <w:basedOn w:val="1"/>
    <w:qFormat/>
    <w:uiPriority w:val="0"/>
    <w:rPr>
      <w:rFonts w:ascii="仿宋_GB2312" w:eastAsia="仿宋_GB2312"/>
      <w:b/>
      <w:sz w:val="32"/>
      <w:szCs w:val="32"/>
    </w:rPr>
  </w:style>
  <w:style w:type="paragraph" w:customStyle="1" w:styleId="1067">
    <w:name w:val="xl3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68">
    <w:name w:val="xl51"/>
    <w:basedOn w:val="1"/>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69">
    <w:name w:val="Char Char Char Char Char Char Char Char Char Char Char Char Char Char Char"/>
    <w:basedOn w:val="1"/>
    <w:uiPriority w:val="0"/>
    <w:pPr>
      <w:spacing w:line="360" w:lineRule="auto"/>
      <w:ind w:firstLine="420"/>
    </w:pPr>
    <w:rPr>
      <w:rFonts w:ascii="Arial" w:hAnsi="Arial" w:cs="Arial"/>
    </w:rPr>
  </w:style>
  <w:style w:type="paragraph" w:customStyle="1" w:styleId="1070">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1071">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72">
    <w:name w:val="附录 Heading 1"/>
    <w:basedOn w:val="2"/>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1073">
    <w:name w:val="post_content_p"/>
    <w:basedOn w:val="1"/>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1074">
    <w:name w:val="xl226"/>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1075">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76">
    <w:name w:val="标题一"/>
    <w:basedOn w:val="2"/>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1077">
    <w:name w:val="Normal + (Complex) Arial"/>
    <w:basedOn w:val="3"/>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1078">
    <w:name w:val="xl368"/>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79">
    <w:name w:val="标注2"/>
    <w:basedOn w:val="1"/>
    <w:next w:val="1"/>
    <w:uiPriority w:val="0"/>
    <w:pPr>
      <w:tabs>
        <w:tab w:val="left" w:pos="900"/>
      </w:tabs>
      <w:spacing w:after="60" w:line="360" w:lineRule="auto"/>
      <w:ind w:left="905" w:hanging="425"/>
    </w:pPr>
    <w:rPr>
      <w:rFonts w:ascii="宋体" w:hAnsi="宋体" w:eastAsia="黑体"/>
      <w:bCs/>
      <w:sz w:val="24"/>
      <w:szCs w:val="20"/>
    </w:rPr>
  </w:style>
  <w:style w:type="paragraph" w:customStyle="1" w:styleId="1080">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81">
    <w:name w:val="样式 标题 2标题 1.1编号标题21.1head:2#2 headlinehheadlineS&amp;R2ERMH...1"/>
    <w:basedOn w:val="3"/>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1082">
    <w:name w:val="list2"/>
    <w:basedOn w:val="1"/>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1083">
    <w:name w:val="xl105"/>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84">
    <w:name w:val="正文加一级编号"/>
    <w:basedOn w:val="1"/>
    <w:next w:val="32"/>
    <w:uiPriority w:val="0"/>
    <w:pPr>
      <w:overflowPunct w:val="0"/>
      <w:spacing w:beforeLines="50" w:line="360" w:lineRule="auto"/>
      <w:ind w:left="400" w:leftChars="200" w:hanging="200" w:hangingChars="200"/>
    </w:pPr>
    <w:rPr>
      <w:rFonts w:ascii="宋体" w:hAnsi="宋体"/>
      <w:kern w:val="0"/>
      <w:sz w:val="24"/>
    </w:rPr>
  </w:style>
  <w:style w:type="paragraph" w:customStyle="1" w:styleId="1085">
    <w:name w:val="xl146"/>
    <w:basedOn w:val="1"/>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086">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87">
    <w:name w:val="TOC 标题11"/>
    <w:basedOn w:val="2"/>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1088">
    <w:name w:val="Index Separator"/>
    <w:basedOn w:val="46"/>
    <w:uiPriority w:val="0"/>
  </w:style>
  <w:style w:type="paragraph" w:customStyle="1" w:styleId="1089">
    <w:name w:val="xl148"/>
    <w:basedOn w:val="1"/>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090">
    <w:name w:val="Char11"/>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91">
    <w:name w:val="HP Full Page"/>
    <w:uiPriority w:val="0"/>
    <w:rPr>
      <w:rFonts w:ascii="Arial" w:hAnsi="Arial"/>
      <w:sz w:val="16"/>
      <w:szCs w:val="18"/>
      <w:lang w:val="en-US" w:eastAsia="en-US" w:bidi="ar-SA"/>
    </w:rPr>
  </w:style>
  <w:style w:type="paragraph" w:customStyle="1" w:styleId="1092">
    <w:name w:val="xl117"/>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1093">
    <w:name w:val="自定二级标题"/>
    <w:basedOn w:val="76"/>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1094">
    <w:name w:val="‧ N table-8 head left"/>
    <w:basedOn w:val="579"/>
    <w:uiPriority w:val="0"/>
    <w:pPr>
      <w:spacing w:before="85" w:after="113"/>
    </w:pPr>
    <w:rPr>
      <w:b/>
      <w:sz w:val="18"/>
    </w:rPr>
  </w:style>
  <w:style w:type="paragraph" w:customStyle="1" w:styleId="1095">
    <w:name w:val="xl240"/>
    <w:basedOn w:val="1"/>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96">
    <w:name w:val="xl1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97">
    <w:name w:val="xl1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098">
    <w:name w:val="‧ N table-10 body indent"/>
    <w:basedOn w:val="552"/>
    <w:uiPriority w:val="0"/>
  </w:style>
  <w:style w:type="paragraph" w:customStyle="1" w:styleId="1099">
    <w:name w:val="*Table Text Bold"/>
    <w:basedOn w:val="644"/>
    <w:uiPriority w:val="0"/>
    <w:rPr>
      <w:b/>
    </w:rPr>
  </w:style>
  <w:style w:type="paragraph" w:customStyle="1" w:styleId="1100">
    <w:name w:val="font9"/>
    <w:basedOn w:val="1"/>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101">
    <w:name w:val="xl110"/>
    <w:basedOn w:val="1"/>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02">
    <w:name w:val="xl16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03">
    <w:name w:val="xl32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04">
    <w:name w:val="Char Char7 Char Char"/>
    <w:basedOn w:val="1"/>
    <w:qFormat/>
    <w:uiPriority w:val="0"/>
    <w:rPr>
      <w:rFonts w:ascii="仿宋_GB2312" w:hAnsi="Calibri" w:eastAsia="仿宋_GB2312" w:cs="Calibri"/>
      <w:b/>
      <w:sz w:val="32"/>
      <w:szCs w:val="32"/>
    </w:rPr>
  </w:style>
  <w:style w:type="paragraph" w:customStyle="1" w:styleId="1105">
    <w:name w:val="xl39"/>
    <w:basedOn w:val="1"/>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06">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1107">
    <w:name w:val="‧ N table-8 body right"/>
    <w:basedOn w:val="579"/>
    <w:uiPriority w:val="0"/>
    <w:pPr>
      <w:spacing w:before="85" w:after="45"/>
      <w:jc w:val="right"/>
    </w:pPr>
    <w:rPr>
      <w:sz w:val="16"/>
    </w:rPr>
  </w:style>
  <w:style w:type="paragraph" w:customStyle="1" w:styleId="1108">
    <w:name w:val="*Manual # Heading 3"/>
    <w:next w:val="272"/>
    <w:uiPriority w:val="0"/>
    <w:pPr>
      <w:keepNext/>
      <w:keepLines/>
      <w:tabs>
        <w:tab w:val="left" w:pos="1440"/>
      </w:tabs>
      <w:spacing w:before="240" w:after="120"/>
      <w:ind w:left="1440" w:hanging="1440"/>
      <w:outlineLvl w:val="3"/>
    </w:pPr>
    <w:rPr>
      <w:rFonts w:ascii="Arial" w:hAnsi="Arial"/>
      <w:b/>
      <w:sz w:val="24"/>
      <w:szCs w:val="24"/>
      <w:lang w:val="en-US" w:eastAsia="en-US" w:bidi="ar-SA"/>
    </w:rPr>
  </w:style>
  <w:style w:type="paragraph" w:customStyle="1" w:styleId="1109">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1110">
    <w:name w:val="xl16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11">
    <w:name w:val="Default Text:"/>
    <w:basedOn w:val="1"/>
    <w:uiPriority w:val="0"/>
    <w:pPr>
      <w:autoSpaceDE w:val="0"/>
      <w:autoSpaceDN w:val="0"/>
      <w:adjustRightInd w:val="0"/>
      <w:spacing w:line="360" w:lineRule="auto"/>
      <w:ind w:firstLine="420"/>
      <w:jc w:val="left"/>
    </w:pPr>
    <w:rPr>
      <w:rFonts w:ascii="宋体" w:hAnsi="宋体"/>
      <w:kern w:val="0"/>
      <w:sz w:val="24"/>
    </w:rPr>
  </w:style>
  <w:style w:type="paragraph" w:customStyle="1" w:styleId="1112">
    <w:name w:val="*SOW 5"/>
    <w:basedOn w:val="501"/>
    <w:next w:val="272"/>
    <w:uiPriority w:val="0"/>
    <w:pPr>
      <w:outlineLvl w:val="5"/>
    </w:pPr>
  </w:style>
  <w:style w:type="paragraph" w:customStyle="1" w:styleId="1113">
    <w:name w:val="*Table Text Bullet #1"/>
    <w:basedOn w:val="644"/>
    <w:uiPriority w:val="0"/>
    <w:pPr>
      <w:tabs>
        <w:tab w:val="left" w:pos="144"/>
      </w:tabs>
      <w:ind w:left="144" w:hanging="144"/>
    </w:pPr>
  </w:style>
  <w:style w:type="paragraph" w:customStyle="1" w:styleId="1114">
    <w:name w:val="HP Sender Data"/>
    <w:basedOn w:val="773"/>
    <w:uiPriority w:val="0"/>
    <w:pPr>
      <w:spacing w:after="0"/>
    </w:pPr>
    <w:rPr>
      <w:b/>
      <w:sz w:val="14"/>
      <w:szCs w:val="14"/>
    </w:rPr>
  </w:style>
  <w:style w:type="paragraph" w:customStyle="1" w:styleId="1115">
    <w:name w:val="表内容"/>
    <w:basedOn w:val="1"/>
    <w:uiPriority w:val="0"/>
    <w:pPr>
      <w:widowControl/>
      <w:spacing w:line="360" w:lineRule="auto"/>
      <w:ind w:firstLine="420"/>
      <w:jc w:val="center"/>
    </w:pPr>
    <w:rPr>
      <w:rFonts w:ascii="宋体" w:hAnsi="宋体"/>
      <w:kern w:val="0"/>
      <w:sz w:val="20"/>
    </w:rPr>
  </w:style>
  <w:style w:type="paragraph" w:customStyle="1" w:styleId="1116">
    <w:name w:val="DAS列表二"/>
    <w:basedOn w:val="708"/>
    <w:next w:val="708"/>
    <w:uiPriority w:val="0"/>
    <w:pPr>
      <w:tabs>
        <w:tab w:val="left" w:pos="840"/>
      </w:tabs>
      <w:ind w:left="960" w:firstLine="0" w:firstLineChars="0"/>
    </w:pPr>
  </w:style>
  <w:style w:type="paragraph" w:customStyle="1" w:styleId="1117">
    <w:name w:val="PMtext"/>
    <w:basedOn w:val="1"/>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1118">
    <w:name w:val="xl365"/>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19">
    <w:name w:val="xl2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20">
    <w:name w:val="TopHeader"/>
    <w:basedOn w:val="2"/>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1121">
    <w:name w:val="Numbering 1 Cont."/>
    <w:basedOn w:val="60"/>
    <w:uiPriority w:val="0"/>
    <w:pPr>
      <w:widowControl/>
      <w:ind w:left="0" w:firstLine="0" w:firstLineChars="0"/>
      <w:jc w:val="left"/>
    </w:pPr>
    <w:rPr>
      <w:rFonts w:eastAsia="PMingLiU"/>
      <w:kern w:val="0"/>
      <w:sz w:val="20"/>
      <w:szCs w:val="20"/>
      <w:lang w:eastAsia="zh-TW"/>
    </w:rPr>
  </w:style>
  <w:style w:type="paragraph" w:customStyle="1" w:styleId="1122">
    <w:name w:val="xl184"/>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23">
    <w:name w:val="User Index 10"/>
    <w:basedOn w:val="46"/>
    <w:uiPriority w:val="0"/>
    <w:pPr>
      <w:tabs>
        <w:tab w:val="right" w:leader="dot" w:pos="9746"/>
      </w:tabs>
      <w:ind w:left="2547"/>
    </w:pPr>
  </w:style>
  <w:style w:type="paragraph" w:customStyle="1" w:styleId="1124">
    <w:name w:val="xl341"/>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25">
    <w:name w:val="表格文字小 (左对齐)"/>
    <w:basedOn w:val="1"/>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1126">
    <w:name w:val="xl15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27">
    <w:name w:val="10PT_BULLET_FACTSHEET"/>
    <w:basedOn w:val="1"/>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1128">
    <w:name w:val="Char Char Char Char Char Char1 Char"/>
    <w:basedOn w:val="1"/>
    <w:uiPriority w:val="0"/>
    <w:pPr>
      <w:widowControl/>
      <w:spacing w:after="160" w:line="240" w:lineRule="exact"/>
      <w:ind w:firstLine="420"/>
      <w:jc w:val="left"/>
    </w:pPr>
    <w:rPr>
      <w:rFonts w:ascii="宋体" w:hAnsi="宋体"/>
      <w:szCs w:val="20"/>
    </w:rPr>
  </w:style>
  <w:style w:type="paragraph" w:customStyle="1" w:styleId="1129">
    <w:name w:val="*Cover Text 2"/>
    <w:basedOn w:val="686"/>
    <w:uiPriority w:val="0"/>
    <w:pPr>
      <w:spacing w:before="720"/>
    </w:pPr>
    <w:rPr>
      <w:b/>
      <w:color w:val="00637A"/>
      <w:sz w:val="24"/>
      <w:szCs w:val="24"/>
    </w:rPr>
  </w:style>
  <w:style w:type="paragraph" w:customStyle="1" w:styleId="1130">
    <w:name w:val="‧ N table-10 head center"/>
    <w:basedOn w:val="552"/>
    <w:next w:val="605"/>
    <w:uiPriority w:val="0"/>
  </w:style>
  <w:style w:type="paragraph" w:customStyle="1" w:styleId="1131">
    <w:name w:val="Text"/>
    <w:basedOn w:val="22"/>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1132">
    <w:name w:val="‧ N head 4"/>
    <w:basedOn w:val="552"/>
    <w:next w:val="704"/>
    <w:uiPriority w:val="0"/>
  </w:style>
  <w:style w:type="paragraph" w:customStyle="1" w:styleId="1133">
    <w:name w:val="Numbering 5 Cont."/>
    <w:basedOn w:val="60"/>
    <w:uiPriority w:val="0"/>
    <w:pPr>
      <w:widowControl/>
      <w:ind w:left="1417" w:firstLine="0" w:firstLineChars="0"/>
      <w:jc w:val="left"/>
    </w:pPr>
    <w:rPr>
      <w:rFonts w:eastAsia="PMingLiU"/>
      <w:kern w:val="0"/>
      <w:sz w:val="20"/>
      <w:szCs w:val="20"/>
      <w:lang w:eastAsia="zh-TW"/>
    </w:rPr>
  </w:style>
  <w:style w:type="paragraph" w:customStyle="1" w:styleId="1134">
    <w:name w:val="xl118"/>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35">
    <w:name w:val="xl137"/>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36">
    <w:name w:val="AP_Body Char"/>
    <w:basedOn w:val="17"/>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1137">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1138">
    <w:name w:val="xl129"/>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39">
    <w:name w:val="xl181"/>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40">
    <w:name w:val="xl366"/>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41">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1142">
    <w:name w:val="~Alt Number Double"/>
    <w:basedOn w:val="497"/>
    <w:uiPriority w:val="0"/>
    <w:pPr>
      <w:tabs>
        <w:tab w:val="left" w:pos="1440"/>
        <w:tab w:val="clear" w:pos="360"/>
      </w:tabs>
      <w:ind w:left="1440" w:hanging="1440"/>
    </w:pPr>
  </w:style>
  <w:style w:type="paragraph" w:customStyle="1" w:styleId="1143">
    <w:name w:val="‧ N bullet last"/>
    <w:basedOn w:val="552"/>
    <w:next w:val="553"/>
    <w:uiPriority w:val="0"/>
  </w:style>
  <w:style w:type="paragraph" w:customStyle="1" w:styleId="1144">
    <w:name w:val="正文缩进1"/>
    <w:basedOn w:val="1"/>
    <w:qFormat/>
    <w:uiPriority w:val="0"/>
    <w:pPr>
      <w:spacing w:line="360" w:lineRule="auto"/>
      <w:ind w:firstLine="454"/>
      <w:jc w:val="left"/>
    </w:pPr>
    <w:rPr>
      <w:sz w:val="24"/>
    </w:rPr>
  </w:style>
  <w:style w:type="paragraph" w:customStyle="1" w:styleId="1145">
    <w:name w:val="xl3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46">
    <w:name w:val="样式 表格文本 + (西文) Arial (中文) 楷体_GB2312 段后: 23.4 磅"/>
    <w:basedOn w:val="1"/>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1147">
    <w:name w:val="xl32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148">
    <w:name w:val="xl361"/>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49">
    <w:name w:val="GP正文(无首行缩进)"/>
    <w:basedOn w:val="563"/>
    <w:qFormat/>
    <w:uiPriority w:val="0"/>
  </w:style>
  <w:style w:type="paragraph" w:customStyle="1" w:styleId="1150">
    <w:name w:val="Char1 Char Char Char"/>
    <w:basedOn w:val="1"/>
    <w:qFormat/>
    <w:uiPriority w:val="0"/>
    <w:rPr>
      <w:szCs w:val="20"/>
    </w:rPr>
  </w:style>
  <w:style w:type="paragraph" w:customStyle="1" w:styleId="1151">
    <w:name w:val="xl234"/>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52">
    <w:name w:val="indent"/>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153">
    <w:name w:val="para"/>
    <w:basedOn w:val="1"/>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1154">
    <w:name w:val="文本"/>
    <w:uiPriority w:val="0"/>
    <w:pPr>
      <w:spacing w:line="360" w:lineRule="auto"/>
      <w:ind w:firstLine="200" w:firstLineChars="200"/>
    </w:pPr>
    <w:rPr>
      <w:kern w:val="2"/>
      <w:sz w:val="21"/>
      <w:lang w:val="en-US" w:eastAsia="zh-CN" w:bidi="ar-SA"/>
    </w:rPr>
  </w:style>
  <w:style w:type="paragraph" w:customStyle="1" w:styleId="1155">
    <w:name w:val="正文3"/>
    <w:basedOn w:val="1"/>
    <w:uiPriority w:val="0"/>
    <w:rPr>
      <w:rFonts w:ascii="Tahoma" w:hAnsi="Tahoma"/>
    </w:rPr>
  </w:style>
  <w:style w:type="paragraph" w:customStyle="1" w:styleId="115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7">
    <w:name w:val="SOW正文"/>
    <w:basedOn w:val="1"/>
    <w:uiPriority w:val="0"/>
    <w:pPr>
      <w:snapToGrid w:val="0"/>
      <w:spacing w:before="120" w:line="400" w:lineRule="exact"/>
      <w:ind w:firstLine="425"/>
    </w:pPr>
    <w:rPr>
      <w:rFonts w:ascii="Arial" w:hAnsi="Arial"/>
      <w:sz w:val="24"/>
      <w:szCs w:val="20"/>
    </w:rPr>
  </w:style>
  <w:style w:type="paragraph" w:customStyle="1" w:styleId="1158">
    <w:name w:val="xl218"/>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59">
    <w:name w:val="‧ N Page Footer"/>
    <w:basedOn w:val="51"/>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1160">
    <w:name w:val="xl377"/>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61">
    <w:name w:val="xl349"/>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62">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val="none" w:color="000000"/>
    </w:rPr>
  </w:style>
  <w:style w:type="paragraph" w:customStyle="1" w:styleId="1163">
    <w:name w:val="HP_Bullet"/>
    <w:basedOn w:val="756"/>
    <w:uiPriority w:val="0"/>
    <w:pPr>
      <w:tabs>
        <w:tab w:val="left" w:pos="1200"/>
        <w:tab w:val="clear" w:pos="1440"/>
      </w:tabs>
      <w:ind w:left="3237" w:leftChars="400" w:hanging="357" w:hangingChars="200"/>
    </w:pPr>
  </w:style>
  <w:style w:type="paragraph" w:customStyle="1" w:styleId="1164">
    <w:name w:val="xl382"/>
    <w:basedOn w:val="1"/>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165">
    <w:name w:val="indent sub"/>
    <w:basedOn w:val="1"/>
    <w:next w:val="1"/>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1166">
    <w:name w:val="Header left"/>
    <w:basedOn w:val="1"/>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1167">
    <w:name w:val="xl122"/>
    <w:basedOn w:val="1"/>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68">
    <w:name w:val="标题22"/>
    <w:basedOn w:val="4"/>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1169">
    <w:name w:val="xl230"/>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70">
    <w:name w:val="xl188"/>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71">
    <w:name w:val="xl15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72">
    <w:name w:val="List 1 Cont."/>
    <w:basedOn w:val="60"/>
    <w:uiPriority w:val="0"/>
    <w:pPr>
      <w:widowControl/>
      <w:ind w:left="0" w:firstLine="0" w:firstLineChars="0"/>
      <w:jc w:val="left"/>
    </w:pPr>
    <w:rPr>
      <w:rFonts w:eastAsia="PMingLiU"/>
      <w:kern w:val="0"/>
      <w:sz w:val="20"/>
      <w:szCs w:val="20"/>
      <w:lang w:eastAsia="zh-TW"/>
    </w:rPr>
  </w:style>
  <w:style w:type="paragraph" w:customStyle="1" w:styleId="1173">
    <w:name w:val="Char Char Char1 Char Char Char1 Char"/>
    <w:basedOn w:val="26"/>
    <w:uiPriority w:val="0"/>
    <w:pPr>
      <w:jc w:val="center"/>
    </w:pPr>
    <w:rPr>
      <w:rFonts w:ascii="Verdana" w:hAnsi="Verdana"/>
      <w:kern w:val="0"/>
      <w:sz w:val="20"/>
      <w:szCs w:val="20"/>
      <w:lang w:eastAsia="en-US"/>
    </w:rPr>
  </w:style>
  <w:style w:type="paragraph" w:customStyle="1" w:styleId="1174">
    <w:name w:val="Quotations"/>
    <w:basedOn w:val="1"/>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1175">
    <w:name w:val="列表2"/>
    <w:uiPriority w:val="0"/>
    <w:pPr>
      <w:spacing w:beforeLines="50"/>
      <w:ind w:left="425" w:hanging="425"/>
      <w:jc w:val="both"/>
    </w:pPr>
    <w:rPr>
      <w:sz w:val="21"/>
      <w:lang w:val="en-US" w:eastAsia="zh-CN" w:bidi="ar-SA"/>
    </w:rPr>
  </w:style>
  <w:style w:type="paragraph" w:customStyle="1" w:styleId="1176">
    <w:name w:val="p0"/>
    <w:basedOn w:val="1"/>
    <w:qFormat/>
    <w:uiPriority w:val="0"/>
    <w:pPr>
      <w:widowControl/>
      <w:spacing w:line="360" w:lineRule="auto"/>
      <w:ind w:firstLine="420"/>
    </w:pPr>
    <w:rPr>
      <w:rFonts w:ascii="宋体" w:hAnsi="宋体"/>
      <w:kern w:val="0"/>
      <w:szCs w:val="20"/>
    </w:rPr>
  </w:style>
  <w:style w:type="paragraph" w:customStyle="1" w:styleId="1177">
    <w:name w:val="一级样式"/>
    <w:basedOn w:val="1"/>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1178">
    <w:name w:val="tableheading"/>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179">
    <w:name w:val="Numbering 1 End"/>
    <w:basedOn w:val="60"/>
    <w:uiPriority w:val="0"/>
    <w:pPr>
      <w:widowControl/>
      <w:spacing w:after="240"/>
      <w:ind w:left="0" w:firstLine="0" w:firstLineChars="0"/>
      <w:jc w:val="left"/>
    </w:pPr>
    <w:rPr>
      <w:rFonts w:eastAsia="PMingLiU"/>
      <w:kern w:val="0"/>
      <w:sz w:val="20"/>
      <w:szCs w:val="20"/>
      <w:lang w:eastAsia="zh-TW"/>
    </w:rPr>
  </w:style>
  <w:style w:type="paragraph" w:customStyle="1" w:styleId="1180">
    <w:name w:val="xl113"/>
    <w:basedOn w:val="1"/>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181">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82">
    <w:name w:val="*Footer"/>
    <w:uiPriority w:val="0"/>
    <w:pPr>
      <w:tabs>
        <w:tab w:val="right" w:pos="8640"/>
      </w:tabs>
    </w:pPr>
    <w:rPr>
      <w:rFonts w:ascii="Arial" w:hAnsi="Arial"/>
      <w:i/>
      <w:color w:val="00637A"/>
      <w:sz w:val="18"/>
      <w:szCs w:val="18"/>
      <w:lang w:val="en-US" w:eastAsia="en-US" w:bidi="ar-SA"/>
    </w:rPr>
  </w:style>
  <w:style w:type="paragraph" w:customStyle="1" w:styleId="1183">
    <w:name w:val="*List Numbers Bold (Auto)"/>
    <w:basedOn w:val="842"/>
    <w:uiPriority w:val="0"/>
    <w:pPr>
      <w:tabs>
        <w:tab w:val="left" w:pos="840"/>
      </w:tabs>
      <w:ind w:left="840"/>
    </w:pPr>
    <w:rPr>
      <w:b/>
    </w:rPr>
  </w:style>
  <w:style w:type="paragraph" w:customStyle="1" w:styleId="1184">
    <w:name w:val="ZK_列表项目编号"/>
    <w:basedOn w:val="1"/>
    <w:next w:val="1"/>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1185">
    <w:name w:val="自由格式"/>
    <w:qFormat/>
    <w:uiPriority w:val="0"/>
    <w:rPr>
      <w:rFonts w:ascii="Cambria" w:hAnsi="Cambria" w:eastAsia="ヒラギノ角ゴ Pro W3"/>
      <w:color w:val="000000"/>
      <w:sz w:val="24"/>
      <w:szCs w:val="24"/>
      <w:lang w:val="en-US" w:eastAsia="zh-CN" w:bidi="ar-SA"/>
    </w:rPr>
  </w:style>
  <w:style w:type="paragraph" w:customStyle="1" w:styleId="1186">
    <w:name w:val="font0"/>
    <w:basedOn w:val="1"/>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187">
    <w:name w:val="1级"/>
    <w:basedOn w:val="2"/>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1188">
    <w:name w:val="Normal1"/>
    <w:basedOn w:val="1"/>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1189">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190">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191">
    <w:name w:val="xl36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92">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1193">
    <w:name w:val="xl54"/>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94">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1195">
    <w:name w:val="xl31"/>
    <w:basedOn w:val="1"/>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1196">
    <w:name w:val="Contents Heading"/>
    <w:basedOn w:val="16"/>
    <w:uiPriority w:val="0"/>
  </w:style>
  <w:style w:type="paragraph" w:customStyle="1" w:styleId="1197">
    <w:name w:val="xl104"/>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98">
    <w:name w:val="para14"/>
    <w:basedOn w:val="1"/>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1199">
    <w:name w:val="示例文字"/>
    <w:basedOn w:val="1"/>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1200">
    <w:name w:val="默认段落字体 Para Char Char Char Char Char Char Char Char Char2"/>
    <w:basedOn w:val="1"/>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1201">
    <w:name w:val="Alert Title"/>
    <w:basedOn w:val="1"/>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1202">
    <w:name w:val="*SOW 3"/>
    <w:basedOn w:val="501"/>
    <w:next w:val="272"/>
    <w:uiPriority w:val="0"/>
    <w:pPr>
      <w:outlineLvl w:val="3"/>
    </w:pPr>
  </w:style>
  <w:style w:type="paragraph" w:customStyle="1" w:styleId="1203">
    <w:name w:val="_HP Table Head 8 pt"/>
    <w:basedOn w:val="140"/>
    <w:next w:val="140"/>
    <w:uiPriority w:val="0"/>
    <w:pPr>
      <w:spacing w:before="60" w:after="60"/>
    </w:pPr>
    <w:rPr>
      <w:rFonts w:ascii="Futura-Heavy" w:hAnsi="Futura-Heavy" w:eastAsia="宋体" w:cs="Times New Roman"/>
      <w:color w:val="auto"/>
    </w:rPr>
  </w:style>
  <w:style w:type="paragraph" w:customStyle="1" w:styleId="1204">
    <w:name w:val="样式4"/>
    <w:basedOn w:val="51"/>
    <w:qFormat/>
    <w:uiPriority w:val="0"/>
    <w:pPr>
      <w:pBdr>
        <w:bottom w:val="single" w:color="auto" w:sz="4" w:space="1"/>
      </w:pBdr>
      <w:tabs>
        <w:tab w:val="right" w:pos="9901"/>
        <w:tab w:val="clear" w:pos="4153"/>
        <w:tab w:val="clear" w:pos="8306"/>
      </w:tabs>
    </w:pPr>
    <w:rPr>
      <w:sz w:val="21"/>
    </w:rPr>
  </w:style>
  <w:style w:type="paragraph" w:customStyle="1" w:styleId="1205">
    <w:name w:val="Illustration Index 1"/>
    <w:basedOn w:val="46"/>
    <w:uiPriority w:val="0"/>
    <w:pPr>
      <w:tabs>
        <w:tab w:val="right" w:leader="dot" w:pos="9746"/>
      </w:tabs>
    </w:pPr>
  </w:style>
  <w:style w:type="paragraph" w:customStyle="1" w:styleId="1206">
    <w:name w:val="表文字"/>
    <w:uiPriority w:val="0"/>
    <w:rPr>
      <w:rFonts w:ascii="宋体"/>
      <w:kern w:val="2"/>
      <w:lang w:val="en-US" w:eastAsia="zh-CN" w:bidi="ar-SA"/>
    </w:rPr>
  </w:style>
  <w:style w:type="paragraph" w:customStyle="1" w:styleId="1207">
    <w:name w:val="样式 标题 3 + (西文) Verdana"/>
    <w:basedOn w:val="4"/>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1208">
    <w:name w:val="xl206"/>
    <w:basedOn w:val="1"/>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09">
    <w:name w:val="正文 首行缩进:  2 字符 Char Char"/>
    <w:basedOn w:val="1"/>
    <w:uiPriority w:val="0"/>
    <w:pPr>
      <w:spacing w:line="360" w:lineRule="auto"/>
      <w:ind w:firstLine="480"/>
    </w:pPr>
    <w:rPr>
      <w:rFonts w:ascii="楷体_GB2312" w:hAnsi="宋体" w:eastAsia="楷体_GB2312" w:cs="宋体"/>
      <w:bCs/>
      <w:sz w:val="24"/>
    </w:rPr>
  </w:style>
  <w:style w:type="paragraph" w:customStyle="1" w:styleId="1210">
    <w:name w:val="*Header"/>
    <w:basedOn w:val="272"/>
    <w:uiPriority w:val="0"/>
    <w:pPr>
      <w:tabs>
        <w:tab w:val="right" w:pos="8784"/>
      </w:tabs>
    </w:pPr>
    <w:rPr>
      <w:color w:val="00637A"/>
      <w:sz w:val="18"/>
      <w:szCs w:val="18"/>
    </w:rPr>
  </w:style>
  <w:style w:type="paragraph" w:customStyle="1" w:styleId="1211">
    <w:name w:val="Abstract"/>
    <w:basedOn w:val="1"/>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1212">
    <w:name w:val="正文文本3"/>
    <w:uiPriority w:val="0"/>
    <w:pPr>
      <w:widowControl w:val="0"/>
      <w:autoSpaceDE w:val="0"/>
      <w:autoSpaceDN w:val="0"/>
      <w:adjustRightInd w:val="0"/>
      <w:spacing w:before="170" w:line="300" w:lineRule="atLeast"/>
      <w:ind w:left="1134"/>
      <w:jc w:val="both"/>
    </w:pPr>
    <w:rPr>
      <w:color w:val="000000"/>
      <w:sz w:val="24"/>
      <w:lang w:val="en-US" w:eastAsia="zh-CN" w:bidi="ar-SA"/>
    </w:rPr>
  </w:style>
  <w:style w:type="paragraph" w:customStyle="1" w:styleId="1213">
    <w:name w:val="p14h"/>
    <w:basedOn w:val="1"/>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1214">
    <w:name w:val="xl16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15">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16">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17">
    <w:name w:val="xl30"/>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18">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1219">
    <w:name w:val="_HP Figure"/>
    <w:basedOn w:val="140"/>
    <w:next w:val="140"/>
    <w:uiPriority w:val="0"/>
    <w:pPr>
      <w:spacing w:after="280"/>
    </w:pPr>
    <w:rPr>
      <w:rFonts w:ascii="Futura-Heavy" w:hAnsi="Futura-Heavy" w:eastAsia="宋体" w:cs="Times New Roman"/>
      <w:color w:val="auto"/>
    </w:rPr>
  </w:style>
  <w:style w:type="paragraph" w:customStyle="1" w:styleId="1220">
    <w:name w:val="xl108"/>
    <w:basedOn w:val="1"/>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21">
    <w:name w:val="xl37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22">
    <w:name w:val="xl235"/>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23">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1224">
    <w:name w:val="•Bulleted list"/>
    <w:basedOn w:val="1"/>
    <w:uiPriority w:val="0"/>
    <w:pPr>
      <w:suppressAutoHyphens/>
      <w:spacing w:before="40" w:after="40" w:line="240" w:lineRule="exact"/>
      <w:ind w:left="-2153" w:right="-187"/>
    </w:pPr>
    <w:rPr>
      <w:rFonts w:ascii="Arial" w:hAnsi="Arial"/>
      <w:kern w:val="1"/>
      <w:sz w:val="18"/>
      <w:szCs w:val="18"/>
      <w:lang w:eastAsia="ar-SA"/>
    </w:rPr>
  </w:style>
  <w:style w:type="paragraph" w:customStyle="1" w:styleId="1225">
    <w:name w:val="xl3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26">
    <w:name w:val="Numbering 1 Start"/>
    <w:basedOn w:val="60"/>
    <w:uiPriority w:val="0"/>
    <w:pPr>
      <w:widowControl/>
      <w:spacing w:before="240"/>
      <w:ind w:left="0" w:firstLine="0" w:firstLineChars="0"/>
      <w:jc w:val="left"/>
    </w:pPr>
    <w:rPr>
      <w:rFonts w:eastAsia="PMingLiU"/>
      <w:kern w:val="0"/>
      <w:sz w:val="20"/>
      <w:szCs w:val="20"/>
      <w:lang w:eastAsia="zh-TW"/>
    </w:rPr>
  </w:style>
  <w:style w:type="paragraph" w:customStyle="1" w:styleId="1227">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1228">
    <w:name w:val="List Contents"/>
    <w:basedOn w:val="1"/>
    <w:uiPriority w:val="0"/>
    <w:pPr>
      <w:autoSpaceDN w:val="0"/>
      <w:adjustRightInd w:val="0"/>
      <w:ind w:left="567"/>
      <w:jc w:val="left"/>
    </w:pPr>
    <w:rPr>
      <w:rFonts w:ascii="Arial" w:hAnsi="Arial" w:eastAsia="PMingLiU"/>
      <w:kern w:val="0"/>
      <w:sz w:val="20"/>
      <w:szCs w:val="20"/>
      <w:lang w:val="en-GB" w:eastAsia="zh-TW"/>
    </w:rPr>
  </w:style>
  <w:style w:type="paragraph" w:customStyle="1" w:styleId="1229">
    <w:name w:val="xl42"/>
    <w:basedOn w:val="1"/>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30">
    <w:name w:val="xl378"/>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31">
    <w:name w:val="样式 标题 3 + 段前: 0.3 行 段后: 0.3 行"/>
    <w:basedOn w:val="4"/>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1232">
    <w:name w:val="安安列表项"/>
    <w:basedOn w:val="1"/>
    <w:uiPriority w:val="0"/>
    <w:pPr>
      <w:tabs>
        <w:tab w:val="left" w:pos="820"/>
      </w:tabs>
      <w:spacing w:line="360" w:lineRule="auto"/>
      <w:ind w:left="425" w:hanging="425"/>
    </w:pPr>
    <w:rPr>
      <w:rFonts w:ascii="宋体" w:hAnsi="宋体"/>
      <w:sz w:val="24"/>
    </w:rPr>
  </w:style>
  <w:style w:type="paragraph" w:customStyle="1" w:styleId="1233">
    <w:name w:val="*Table Text Bullet #2"/>
    <w:basedOn w:val="1113"/>
    <w:uiPriority w:val="0"/>
    <w:pPr>
      <w:tabs>
        <w:tab w:val="left" w:pos="720"/>
      </w:tabs>
      <w:ind w:left="720" w:hanging="360"/>
    </w:pPr>
  </w:style>
  <w:style w:type="paragraph" w:customStyle="1" w:styleId="1234">
    <w:name w:val="TOC 标题1"/>
    <w:basedOn w:val="2"/>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1235">
    <w:name w:val="~Heading 2"/>
    <w:next w:val="499"/>
    <w:uiPriority w:val="0"/>
    <w:pPr>
      <w:keepNext/>
      <w:keepLines/>
      <w:spacing w:before="240" w:after="120" w:line="240" w:lineRule="atLeast"/>
      <w:outlineLvl w:val="2"/>
    </w:pPr>
    <w:rPr>
      <w:rFonts w:ascii="Arial" w:hAnsi="Arial"/>
      <w:color w:val="00637A"/>
      <w:sz w:val="32"/>
      <w:szCs w:val="32"/>
      <w:lang w:val="en-US" w:eastAsia="en-US" w:bidi="ar-SA"/>
    </w:rPr>
  </w:style>
  <w:style w:type="paragraph" w:customStyle="1" w:styleId="1236">
    <w:name w:val="xl87"/>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237">
    <w:name w:val="‧ N table-8 head center"/>
    <w:basedOn w:val="579"/>
    <w:uiPriority w:val="0"/>
    <w:pPr>
      <w:spacing w:before="85" w:after="113"/>
      <w:jc w:val="center"/>
    </w:pPr>
    <w:rPr>
      <w:b/>
      <w:sz w:val="18"/>
    </w:rPr>
  </w:style>
  <w:style w:type="paragraph" w:customStyle="1" w:styleId="1238">
    <w:name w:val="Char Char21"/>
    <w:basedOn w:val="1"/>
    <w:qFormat/>
    <w:uiPriority w:val="0"/>
    <w:rPr>
      <w:rFonts w:ascii="Tahoma" w:hAnsi="Tahoma"/>
      <w:sz w:val="24"/>
      <w:szCs w:val="20"/>
    </w:rPr>
  </w:style>
  <w:style w:type="paragraph" w:customStyle="1" w:styleId="1239">
    <w:name w:val="p16"/>
    <w:basedOn w:val="1"/>
    <w:qFormat/>
    <w:uiPriority w:val="0"/>
    <w:pPr>
      <w:widowControl/>
      <w:spacing w:line="360" w:lineRule="auto"/>
      <w:ind w:firstLine="420"/>
      <w:jc w:val="left"/>
    </w:pPr>
    <w:rPr>
      <w:kern w:val="0"/>
      <w:sz w:val="24"/>
    </w:rPr>
  </w:style>
  <w:style w:type="paragraph" w:customStyle="1" w:styleId="1240">
    <w:name w:val="样式 标题 3H3Heading 3 - oldH31H32H33H34H35H36H37H38H39H...1"/>
    <w:basedOn w:val="4"/>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1241">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42">
    <w:name w:val="默认段落字体 Para Char Char Char Char Char Char Char Char Char1 Char Char Char Char Char Char Char Char Char1 Char"/>
    <w:basedOn w:val="26"/>
    <w:uiPriority w:val="0"/>
    <w:pPr>
      <w:spacing w:line="360" w:lineRule="auto"/>
      <w:ind w:firstLine="420"/>
    </w:pPr>
    <w:rPr>
      <w:rFonts w:ascii="Tahoma" w:hAnsi="Tahoma"/>
      <w:kern w:val="0"/>
      <w:sz w:val="24"/>
    </w:rPr>
  </w:style>
  <w:style w:type="paragraph" w:customStyle="1" w:styleId="1243">
    <w:name w:val="xl192"/>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244">
    <w:name w:val="itemlist"/>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45">
    <w:name w:val="Char Char Char Char"/>
    <w:basedOn w:val="1"/>
    <w:qFormat/>
    <w:uiPriority w:val="0"/>
  </w:style>
  <w:style w:type="paragraph" w:customStyle="1" w:styleId="1246">
    <w:name w:val="List Heading"/>
    <w:basedOn w:val="1"/>
    <w:next w:val="1228"/>
    <w:uiPriority w:val="0"/>
    <w:pPr>
      <w:autoSpaceDN w:val="0"/>
      <w:adjustRightInd w:val="0"/>
      <w:jc w:val="left"/>
    </w:pPr>
    <w:rPr>
      <w:rFonts w:ascii="Arial" w:hAnsi="Arial" w:eastAsia="PMingLiU"/>
      <w:kern w:val="0"/>
      <w:sz w:val="20"/>
      <w:szCs w:val="20"/>
      <w:lang w:val="en-GB" w:eastAsia="zh-TW"/>
    </w:rPr>
  </w:style>
  <w:style w:type="paragraph" w:customStyle="1" w:styleId="1247">
    <w:name w:val="*Manual # Heading 2"/>
    <w:next w:val="272"/>
    <w:uiPriority w:val="0"/>
    <w:pPr>
      <w:keepNext/>
      <w:keepLines/>
      <w:tabs>
        <w:tab w:val="left" w:pos="360"/>
        <w:tab w:val="left" w:pos="1440"/>
      </w:tabs>
      <w:spacing w:before="240" w:after="120"/>
      <w:ind w:left="1440" w:hanging="1440"/>
      <w:outlineLvl w:val="2"/>
    </w:pPr>
    <w:rPr>
      <w:rFonts w:ascii="Arial" w:hAnsi="Arial"/>
      <w:sz w:val="32"/>
      <w:szCs w:val="32"/>
      <w:lang w:val="en-US" w:eastAsia="en-US" w:bidi="ar-SA"/>
    </w:rPr>
  </w:style>
  <w:style w:type="paragraph" w:customStyle="1" w:styleId="1248">
    <w:name w:val="xl35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49">
    <w:name w:val="yxy正文"/>
    <w:basedOn w:val="1"/>
    <w:qFormat/>
    <w:uiPriority w:val="0"/>
    <w:pPr>
      <w:spacing w:line="360" w:lineRule="auto"/>
      <w:ind w:firstLine="200" w:firstLineChars="200"/>
    </w:pPr>
    <w:rPr>
      <w:sz w:val="24"/>
      <w:szCs w:val="20"/>
    </w:rPr>
  </w:style>
  <w:style w:type="paragraph" w:customStyle="1" w:styleId="1250">
    <w:name w:val="xl43"/>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51">
    <w:name w:val="xl3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52">
    <w:name w:val="我的正文"/>
    <w:basedOn w:val="1"/>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1253">
    <w:name w:val="xl180"/>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54">
    <w:name w:val="xl383"/>
    <w:basedOn w:val="1"/>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255">
    <w:name w:val="‧ N bullet 2 last"/>
    <w:basedOn w:val="552"/>
    <w:next w:val="553"/>
    <w:uiPriority w:val="0"/>
  </w:style>
  <w:style w:type="paragraph" w:customStyle="1" w:styleId="1256">
    <w:name w:val="Headline"/>
    <w:basedOn w:val="1"/>
    <w:uiPriority w:val="0"/>
    <w:pPr>
      <w:widowControl/>
      <w:suppressAutoHyphens/>
      <w:spacing w:line="280" w:lineRule="exact"/>
      <w:ind w:firstLine="420"/>
      <w:jc w:val="left"/>
    </w:pPr>
    <w:rPr>
      <w:rFonts w:ascii="宋体" w:hAnsi="宋体"/>
      <w:kern w:val="0"/>
      <w:sz w:val="24"/>
      <w:lang w:eastAsia="en-US"/>
    </w:rPr>
  </w:style>
  <w:style w:type="paragraph" w:customStyle="1" w:styleId="1257">
    <w:name w:val="Table index heading"/>
    <w:basedOn w:val="16"/>
    <w:uiPriority w:val="0"/>
  </w:style>
  <w:style w:type="paragraph" w:customStyle="1" w:styleId="1258">
    <w:name w:val="xl34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259">
    <w:name w:val="xl189"/>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260">
    <w:name w:val="样式 宋体 居中"/>
    <w:basedOn w:val="1"/>
    <w:uiPriority w:val="0"/>
    <w:pPr>
      <w:spacing w:line="360" w:lineRule="auto"/>
      <w:ind w:firstLine="420"/>
      <w:jc w:val="center"/>
    </w:pPr>
    <w:rPr>
      <w:rFonts w:ascii="宋体" w:hAnsi="宋体" w:cs="宋体"/>
      <w:szCs w:val="20"/>
    </w:rPr>
  </w:style>
  <w:style w:type="paragraph" w:customStyle="1" w:styleId="1261">
    <w:name w:val="Char4"/>
    <w:basedOn w:val="21"/>
    <w:qFormat/>
    <w:uiPriority w:val="0"/>
    <w:pPr>
      <w:widowControl/>
      <w:spacing w:afterLines="50" w:line="360" w:lineRule="auto"/>
      <w:ind w:firstLine="480"/>
      <w:jc w:val="left"/>
    </w:pPr>
  </w:style>
  <w:style w:type="paragraph" w:customStyle="1" w:styleId="1262">
    <w:name w:val="Char Char2"/>
    <w:basedOn w:val="26"/>
    <w:qFormat/>
    <w:uiPriority w:val="0"/>
    <w:pPr>
      <w:spacing w:line="360" w:lineRule="auto"/>
      <w:ind w:firstLine="420"/>
    </w:pPr>
    <w:rPr>
      <w:rFonts w:ascii="Tahoma" w:hAnsi="Tahoma"/>
      <w:kern w:val="0"/>
      <w:sz w:val="24"/>
    </w:rPr>
  </w:style>
  <w:style w:type="paragraph" w:customStyle="1" w:styleId="1263">
    <w:name w:val="正文文本2"/>
    <w:uiPriority w:val="0"/>
    <w:pPr>
      <w:widowControl w:val="0"/>
      <w:autoSpaceDE w:val="0"/>
      <w:autoSpaceDN w:val="0"/>
      <w:adjustRightInd w:val="0"/>
      <w:spacing w:before="170" w:line="300" w:lineRule="atLeast"/>
      <w:ind w:left="1134"/>
      <w:jc w:val="both"/>
    </w:pPr>
    <w:rPr>
      <w:color w:val="000000"/>
      <w:sz w:val="24"/>
      <w:lang w:val="en-US" w:eastAsia="zh-CN" w:bidi="ar-SA"/>
    </w:rPr>
  </w:style>
  <w:style w:type="paragraph" w:customStyle="1" w:styleId="1264">
    <w:name w:val="xl3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65">
    <w:name w:val="彩色底纹 - 强调文字颜色 11"/>
    <w:qFormat/>
    <w:uiPriority w:val="71"/>
    <w:rPr>
      <w:kern w:val="2"/>
      <w:sz w:val="21"/>
      <w:szCs w:val="24"/>
      <w:lang w:val="en-US" w:eastAsia="zh-CN" w:bidi="ar-SA"/>
    </w:rPr>
  </w:style>
  <w:style w:type="paragraph" w:customStyle="1" w:styleId="1266">
    <w:name w:val="书名"/>
    <w:basedOn w:val="728"/>
    <w:uiPriority w:val="0"/>
    <w:rPr>
      <w:sz w:val="44"/>
    </w:rPr>
  </w:style>
  <w:style w:type="paragraph" w:customStyle="1" w:styleId="1267">
    <w:name w:val="Illustration"/>
    <w:basedOn w:val="22"/>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1268">
    <w:name w:val="*List Text"/>
    <w:basedOn w:val="272"/>
    <w:uiPriority w:val="0"/>
    <w:pPr>
      <w:tabs>
        <w:tab w:val="left" w:pos="360"/>
        <w:tab w:val="left" w:pos="576"/>
        <w:tab w:val="right" w:leader="dot" w:pos="8640"/>
      </w:tabs>
      <w:suppressAutoHyphens/>
      <w:ind w:left="360" w:hanging="360"/>
    </w:pPr>
    <w:rPr>
      <w:sz w:val="18"/>
      <w:szCs w:val="18"/>
    </w:rPr>
  </w:style>
  <w:style w:type="paragraph" w:customStyle="1" w:styleId="1269">
    <w:name w:val="默认段落字体 Para Char Char Char Char Char Char Char Char Char Char Char Char Char"/>
    <w:basedOn w:val="26"/>
    <w:uiPriority w:val="0"/>
    <w:pPr>
      <w:spacing w:line="360" w:lineRule="auto"/>
      <w:ind w:firstLine="420"/>
    </w:pPr>
    <w:rPr>
      <w:rFonts w:ascii="Tahoma" w:hAnsi="Tahoma"/>
      <w:kern w:val="0"/>
      <w:sz w:val="24"/>
    </w:rPr>
  </w:style>
  <w:style w:type="paragraph" w:customStyle="1" w:styleId="1270">
    <w:name w:val="Horizontal Line"/>
    <w:basedOn w:val="1"/>
    <w:next w:val="17"/>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1271">
    <w:name w:val="SANGFOR_1_标题1"/>
    <w:basedOn w:val="2"/>
    <w:next w:val="190"/>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1272">
    <w:name w:val="css"/>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73">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274">
    <w:name w:val="_Style 135"/>
    <w:uiPriority w:val="99"/>
    <w:pPr>
      <w:widowControl w:val="0"/>
      <w:jc w:val="both"/>
    </w:pPr>
    <w:rPr>
      <w:kern w:val="2"/>
      <w:sz w:val="21"/>
      <w:szCs w:val="24"/>
      <w:lang w:val="en-US" w:eastAsia="zh-CN" w:bidi="ar-SA"/>
    </w:rPr>
  </w:style>
  <w:style w:type="paragraph" w:customStyle="1" w:styleId="1275">
    <w:name w:val="Heading 21"/>
    <w:basedOn w:val="140"/>
    <w:next w:val="140"/>
    <w:uiPriority w:val="0"/>
    <w:pPr>
      <w:spacing w:after="120"/>
    </w:pPr>
    <w:rPr>
      <w:rFonts w:ascii="Futura-Book" w:hAnsi="Futura-Book" w:eastAsia="宋体" w:cs="Times New Roman"/>
      <w:color w:val="auto"/>
    </w:rPr>
  </w:style>
  <w:style w:type="paragraph" w:customStyle="1" w:styleId="1276">
    <w:name w:val="xl3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77">
    <w:name w:val="样式 Arial 行距: 多倍行距 1.2 字行 首行缩进:  2 字符"/>
    <w:basedOn w:val="1"/>
    <w:uiPriority w:val="0"/>
    <w:pPr>
      <w:spacing w:line="288" w:lineRule="auto"/>
      <w:ind w:firstLine="200" w:firstLineChars="200"/>
    </w:pPr>
    <w:rPr>
      <w:rFonts w:ascii="Arial" w:hAnsi="Arial" w:cs="宋体"/>
      <w:sz w:val="20"/>
      <w:szCs w:val="20"/>
    </w:rPr>
  </w:style>
  <w:style w:type="paragraph" w:customStyle="1" w:styleId="1278">
    <w:name w:val="列出段落111"/>
    <w:qFormat/>
    <w:uiPriority w:val="34"/>
    <w:pPr>
      <w:ind w:left="720"/>
    </w:pPr>
    <w:rPr>
      <w:rFonts w:ascii="Cambria" w:hAnsi="Cambria" w:eastAsia="ヒラギノ角ゴ Pro W3"/>
      <w:color w:val="000000"/>
      <w:sz w:val="24"/>
      <w:szCs w:val="24"/>
      <w:lang w:val="en-US" w:eastAsia="zh-CN" w:bidi="ar-SA"/>
    </w:rPr>
  </w:style>
  <w:style w:type="paragraph" w:customStyle="1" w:styleId="1279">
    <w:name w:val="表标题(小)"/>
    <w:basedOn w:val="1"/>
    <w:next w:val="32"/>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1280">
    <w:name w:val="xl35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1281">
    <w:name w:val="Char Char Char Char Char Char1"/>
    <w:basedOn w:val="1"/>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1282">
    <w:name w:val="样式 标题 3H3Heading 3 - oldH31H32H33H34H35H36H37H38H39H..."/>
    <w:basedOn w:val="4"/>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1283">
    <w:name w:val="Alert Body Text"/>
    <w:uiPriority w:val="0"/>
    <w:pPr>
      <w:keepLines/>
      <w:spacing w:after="40"/>
    </w:pPr>
    <w:rPr>
      <w:sz w:val="22"/>
      <w:lang w:val="en-US" w:eastAsia="en-US" w:bidi="ar-SA"/>
    </w:rPr>
  </w:style>
  <w:style w:type="paragraph" w:customStyle="1" w:styleId="1284">
    <w:name w:val="列表内容"/>
    <w:basedOn w:val="1"/>
    <w:next w:val="1"/>
    <w:uiPriority w:val="0"/>
    <w:pPr>
      <w:widowControl/>
      <w:tabs>
        <w:tab w:val="left" w:pos="360"/>
      </w:tabs>
      <w:spacing w:line="360" w:lineRule="auto"/>
      <w:jc w:val="left"/>
    </w:pPr>
    <w:rPr>
      <w:rFonts w:ascii="宋体" w:hAnsi="宋体"/>
      <w:kern w:val="0"/>
      <w:sz w:val="18"/>
    </w:rPr>
  </w:style>
  <w:style w:type="paragraph" w:customStyle="1" w:styleId="1285">
    <w:name w:val="2"/>
    <w:basedOn w:val="1"/>
    <w:qFormat/>
    <w:uiPriority w:val="0"/>
    <w:rPr>
      <w:rFonts w:ascii="Tahoma" w:hAnsi="Tahoma" w:eastAsia="??" w:cs="Tahoma"/>
      <w:sz w:val="24"/>
      <w:szCs w:val="28"/>
    </w:rPr>
  </w:style>
  <w:style w:type="paragraph" w:customStyle="1" w:styleId="1286">
    <w:name w:val="普通(网站)1"/>
    <w:basedOn w:val="1"/>
    <w:qFormat/>
    <w:uiPriority w:val="0"/>
    <w:pPr>
      <w:widowControl/>
      <w:jc w:val="left"/>
    </w:pPr>
    <w:rPr>
      <w:rFonts w:ascii="ˎ̥" w:hAnsi="ˎ̥" w:cs="宋体"/>
      <w:color w:val="000000"/>
      <w:kern w:val="0"/>
      <w:sz w:val="13"/>
      <w:szCs w:val="13"/>
    </w:rPr>
  </w:style>
  <w:style w:type="paragraph" w:customStyle="1" w:styleId="1287">
    <w:name w:val="xl342"/>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88">
    <w:name w:val="xl214"/>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89">
    <w:name w:val="xl16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290">
    <w:name w:val="Item Step"/>
    <w:basedOn w:val="1"/>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1291">
    <w:name w:val="图解"/>
    <w:basedOn w:val="1"/>
    <w:next w:val="1"/>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1292">
    <w:name w:val="aspnumfaautoadjustrightr"/>
    <w:qFormat/>
    <w:uiPriority w:val="0"/>
    <w:pPr>
      <w:widowControl w:val="0"/>
      <w:autoSpaceDE w:val="0"/>
      <w:autoSpaceDN w:val="0"/>
      <w:adjustRightInd w:val="0"/>
      <w:ind w:firstLine="720"/>
      <w:jc w:val="both"/>
    </w:pPr>
    <w:rPr>
      <w:rFonts w:eastAsia="??"/>
      <w:sz w:val="24"/>
      <w:szCs w:val="28"/>
      <w:lang w:val="en-US" w:eastAsia="zh-CN" w:bidi="ar-SA"/>
    </w:rPr>
  </w:style>
  <w:style w:type="paragraph" w:customStyle="1" w:styleId="1293">
    <w:name w:val="~Heading 3"/>
    <w:next w:val="499"/>
    <w:uiPriority w:val="0"/>
    <w:pPr>
      <w:keepNext/>
      <w:keepLines/>
      <w:spacing w:before="240" w:after="120"/>
      <w:outlineLvl w:val="3"/>
    </w:pPr>
    <w:rPr>
      <w:rFonts w:ascii="Arial" w:hAnsi="Arial"/>
      <w:b/>
      <w:color w:val="00637A"/>
      <w:sz w:val="24"/>
      <w:szCs w:val="24"/>
      <w:lang w:val="en-US" w:eastAsia="en-US" w:bidi="ar-SA"/>
    </w:rPr>
  </w:style>
  <w:style w:type="paragraph" w:customStyle="1" w:styleId="1294">
    <w:name w:val="表格和图形名称"/>
    <w:basedOn w:val="1"/>
    <w:next w:val="1"/>
    <w:uiPriority w:val="0"/>
    <w:pPr>
      <w:widowControl/>
      <w:spacing w:afterLines="50" w:line="360" w:lineRule="auto"/>
      <w:ind w:firstLine="420"/>
      <w:jc w:val="center"/>
    </w:pPr>
    <w:rPr>
      <w:rFonts w:ascii="宋体" w:hAnsi="宋体"/>
      <w:kern w:val="0"/>
      <w:sz w:val="24"/>
      <w:szCs w:val="20"/>
    </w:rPr>
  </w:style>
  <w:style w:type="paragraph" w:customStyle="1" w:styleId="1295">
    <w:name w:val="yxy标题2"/>
    <w:basedOn w:val="1"/>
    <w:next w:val="1"/>
    <w:qFormat/>
    <w:uiPriority w:val="0"/>
    <w:pPr>
      <w:keepNext/>
      <w:spacing w:before="260" w:after="120" w:line="360" w:lineRule="auto"/>
      <w:outlineLvl w:val="1"/>
    </w:pPr>
    <w:rPr>
      <w:b/>
      <w:sz w:val="30"/>
      <w:szCs w:val="20"/>
    </w:rPr>
  </w:style>
  <w:style w:type="paragraph" w:customStyle="1" w:styleId="1296">
    <w:name w:val="*Bullet #3 Subtext Single"/>
    <w:basedOn w:val="827"/>
    <w:uiPriority w:val="0"/>
    <w:pPr>
      <w:spacing w:after="0"/>
      <w:ind w:firstLine="0"/>
    </w:pPr>
  </w:style>
  <w:style w:type="paragraph" w:customStyle="1" w:styleId="1297">
    <w:name w:val="段"/>
    <w:qFormat/>
    <w:uiPriority w:val="0"/>
    <w:pPr>
      <w:autoSpaceDE w:val="0"/>
      <w:autoSpaceDN w:val="0"/>
      <w:ind w:firstLine="200" w:firstLineChars="200"/>
      <w:jc w:val="both"/>
    </w:pPr>
    <w:rPr>
      <w:rFonts w:ascii="宋体"/>
      <w:sz w:val="21"/>
      <w:lang w:val="en-US" w:eastAsia="zh-CN" w:bidi="ar-SA"/>
    </w:rPr>
  </w:style>
  <w:style w:type="paragraph" w:customStyle="1" w:styleId="1298">
    <w:name w:val="默认段落字体 Para Char"/>
    <w:basedOn w:val="1"/>
    <w:qFormat/>
    <w:uiPriority w:val="0"/>
    <w:pPr>
      <w:tabs>
        <w:tab w:val="left" w:pos="454"/>
      </w:tabs>
      <w:ind w:firstLine="420"/>
    </w:pPr>
  </w:style>
  <w:style w:type="paragraph" w:customStyle="1" w:styleId="1299">
    <w:name w:val="xl197"/>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00">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301">
    <w:name w:val="p21"/>
    <w:basedOn w:val="1"/>
    <w:uiPriority w:val="0"/>
    <w:pPr>
      <w:widowControl/>
      <w:spacing w:line="360" w:lineRule="auto"/>
      <w:ind w:firstLine="420"/>
    </w:pPr>
    <w:rPr>
      <w:rFonts w:ascii="Tahoma" w:hAnsi="Tahoma"/>
      <w:kern w:val="0"/>
      <w:sz w:val="24"/>
      <w:szCs w:val="20"/>
    </w:rPr>
  </w:style>
  <w:style w:type="paragraph" w:customStyle="1" w:styleId="1302">
    <w:name w:val="listitem"/>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303">
    <w:name w:val="xl381"/>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04">
    <w:name w:val="User Index 3"/>
    <w:basedOn w:val="46"/>
    <w:uiPriority w:val="0"/>
    <w:pPr>
      <w:tabs>
        <w:tab w:val="right" w:leader="dot" w:pos="9746"/>
      </w:tabs>
      <w:ind w:left="566"/>
    </w:pPr>
  </w:style>
  <w:style w:type="paragraph" w:customStyle="1" w:styleId="1305">
    <w:name w:val="xl376"/>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06">
    <w:name w:val="Char Char24 Char Char"/>
    <w:basedOn w:val="1"/>
    <w:uiPriority w:val="0"/>
    <w:pPr>
      <w:tabs>
        <w:tab w:val="right" w:pos="-2120"/>
      </w:tabs>
      <w:snapToGrid w:val="0"/>
    </w:pPr>
    <w:rPr>
      <w:sz w:val="24"/>
    </w:rPr>
  </w:style>
  <w:style w:type="paragraph" w:customStyle="1" w:styleId="1307">
    <w:name w:val="xl107"/>
    <w:basedOn w:val="1"/>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308">
    <w:name w:val="font12"/>
    <w:basedOn w:val="1"/>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1309">
    <w:name w:val="xl60"/>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310">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311">
    <w:name w:val="xl228"/>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312">
    <w:name w:val="xl362"/>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13">
    <w:name w:val="xl132"/>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314">
    <w:name w:val="SideBar"/>
    <w:basedOn w:val="1"/>
    <w:uiPriority w:val="0"/>
    <w:pPr>
      <w:widowControl/>
      <w:spacing w:before="120" w:line="360" w:lineRule="auto"/>
      <w:ind w:firstLine="420"/>
      <w:jc w:val="left"/>
    </w:pPr>
    <w:rPr>
      <w:rFonts w:ascii="New Century Schlbk" w:hAnsi="New Century Schlbk"/>
      <w:kern w:val="0"/>
      <w:sz w:val="22"/>
      <w:szCs w:val="20"/>
    </w:rPr>
  </w:style>
  <w:style w:type="paragraph" w:customStyle="1" w:styleId="1315">
    <w:name w:val="*Blind Paragraph"/>
    <w:basedOn w:val="53"/>
    <w:uiPriority w:val="0"/>
    <w:pPr>
      <w:spacing w:line="360" w:lineRule="auto"/>
      <w:ind w:firstLine="420"/>
    </w:pPr>
    <w:rPr>
      <w:kern w:val="0"/>
    </w:rPr>
  </w:style>
  <w:style w:type="paragraph" w:customStyle="1" w:styleId="1316">
    <w:name w:val="xl16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1317">
    <w:name w:val="项目圆"/>
    <w:basedOn w:val="1"/>
    <w:uiPriority w:val="0"/>
    <w:pPr>
      <w:tabs>
        <w:tab w:val="left" w:pos="454"/>
        <w:tab w:val="left" w:pos="840"/>
      </w:tabs>
      <w:spacing w:beforeLines="50" w:afterLines="50" w:line="360" w:lineRule="auto"/>
      <w:ind w:left="425" w:hanging="425"/>
    </w:pPr>
  </w:style>
  <w:style w:type="paragraph" w:customStyle="1" w:styleId="1318">
    <w:name w:val="xl33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319">
    <w:name w:val="Heading 11"/>
    <w:basedOn w:val="140"/>
    <w:next w:val="140"/>
    <w:uiPriority w:val="0"/>
    <w:pPr>
      <w:spacing w:after="240"/>
    </w:pPr>
    <w:rPr>
      <w:rFonts w:ascii="Futura-Book" w:hAnsi="Futura-Book" w:eastAsia="宋体" w:cs="Times New Roman"/>
      <w:color w:val="auto"/>
    </w:rPr>
  </w:style>
  <w:style w:type="paragraph" w:customStyle="1" w:styleId="1320">
    <w:name w:val="4级"/>
    <w:basedOn w:val="5"/>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1321">
    <w:name w:val="Plain Text"/>
    <w:basedOn w:val="1322"/>
    <w:qFormat/>
    <w:uiPriority w:val="0"/>
    <w:pPr>
      <w:widowControl/>
      <w:jc w:val="left"/>
    </w:pPr>
    <w:rPr>
      <w:rFonts w:ascii="宋体" w:hAnsi="Courier New"/>
    </w:rPr>
  </w:style>
  <w:style w:type="paragraph" w:customStyle="1" w:styleId="1322">
    <w:name w:val="Normal"/>
    <w:qFormat/>
    <w:uiPriority w:val="0"/>
    <w:pPr>
      <w:widowControl w:val="0"/>
      <w:jc w:val="both"/>
    </w:pPr>
    <w:rPr>
      <w:rFonts w:hint="eastAsia"/>
      <w:kern w:val="2"/>
      <w:sz w:val="21"/>
      <w:lang w:val="en-US" w:eastAsia="zh-CN" w:bidi="ar-SA"/>
    </w:rPr>
  </w:style>
  <w:style w:type="table" w:customStyle="1" w:styleId="1323">
    <w:name w:val="Table Normal"/>
    <w:qFormat/>
    <w:uiPriority w:val="0"/>
    <w:rPr>
      <w:lang w:val="en-US" w:eastAsia="zh-CN" w:bidi="ar-SA"/>
    </w:rPr>
    <w:tblPr>
      <w:tblStyle w:val="80"/>
      <w:tblCellMar>
        <w:top w:w="0" w:type="dxa"/>
        <w:left w:w="0" w:type="dxa"/>
        <w:bottom w:w="0" w:type="dxa"/>
        <w:right w:w="0" w:type="dxa"/>
      </w:tblCellMar>
    </w:tblPr>
  </w:style>
  <w:style w:type="table" w:customStyle="1" w:styleId="1324">
    <w:name w:val="中等深浅网格 1 - 强调文字颜色 22"/>
    <w:basedOn w:val="80"/>
    <w:uiPriority w:val="0"/>
    <w:rPr>
      <w:szCs w:val="24"/>
    </w:rPr>
    <w:tblPr>
      <w:tblStyle w:val="80"/>
    </w:tblPr>
    <w:tcPr>
      <w:shd w:val="clear" w:color="auto" w:fill="EDF2F8"/>
    </w:tcPr>
    <w:tblStylePr w:type="firstRow">
      <w:rPr>
        <w:b/>
        <w:bCs/>
      </w:rPr>
      <w:tblPr>
        <w:tblStyle w:val="80"/>
      </w:tbl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blPr>
        <w:tblStyle w:val="80"/>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blStyle w:val="80"/>
      </w:tblPr>
      <w:tcPr>
        <w:tcBorders>
          <w:top w:val="nil"/>
          <w:left w:val="nil"/>
          <w:bottom w:val="nil"/>
          <w:right w:val="nil"/>
          <w:insideH w:val="nil"/>
          <w:insideV w:val="nil"/>
          <w:tl2br w:val="nil"/>
          <w:tr2bl w:val="nil"/>
        </w:tcBorders>
        <w:shd w:val="clear" w:color="auto" w:fill="D3DFEE"/>
      </w:tcPr>
    </w:tblStylePr>
    <w:tblStylePr w:type="band1Horz">
      <w:tblPr>
        <w:tblStyle w:val="80"/>
      </w:tblPr>
      <w:tcPr>
        <w:shd w:val="clear" w:color="auto" w:fill="DBE5F1"/>
      </w:tcPr>
    </w:tblStyle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theme/theme1.xml" Type="http://schemas.openxmlformats.org/officeDocument/2006/relationships/theme"/><Relationship Id="rId12" Target="media/image1.png" Type="http://schemas.openxmlformats.org/officeDocument/2006/relationships/image"/><Relationship Id="rId13" Target="../customXml/item1.xml" Type="http://schemas.openxmlformats.org/officeDocument/2006/relationships/customXml"/><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45828</Words>
  <Characters>48330</Characters>
  <Lines>399</Lines>
  <Paragraphs>112</Paragraphs>
  <TotalTime>1</TotalTime>
  <ScaleCrop>false</ScaleCrop>
  <LinksUpToDate>false</LinksUpToDate>
  <CharactersWithSpaces>51142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2023-02-22T13:08:00Z</dcterms:created>
  <dc:creator>USER</dc:creator>
  <cp:lastModifiedBy>WPS_1701756769</cp:lastModifiedBy>
  <cp:lastPrinted>2017-04-13T08:03:00Z</cp:lastPrinted>
  <dcterms:modified xsi:type="dcterms:W3CDTF">2024-02-23T02:06:25Z</dcterms:modified>
  <cp:revision>2</cp:revision>
  <dc:title>浙江省畜牧兽医局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0B6A99BB709E4F9C85E2990BBCD253AA_13</vt:lpwstr>
  </property>
</Properties>
</file>