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cs="宋体"/>
          <w:b/>
          <w:bCs/>
          <w:color w:val="auto"/>
          <w:sz w:val="48"/>
          <w:szCs w:val="48"/>
        </w:rPr>
      </w:pPr>
      <w:bookmarkStart w:id="122" w:name="_GoBack"/>
      <w:bookmarkEnd w:id="122"/>
    </w:p>
    <w:p>
      <w:pPr>
        <w:pStyle w:val="3"/>
        <w:rPr>
          <w:rFonts w:hint="eastAsia" w:cs="宋体"/>
          <w:color w:val="auto"/>
        </w:rPr>
      </w:pPr>
    </w:p>
    <w:p>
      <w:pPr>
        <w:spacing w:line="600" w:lineRule="auto"/>
        <w:ind w:firstLine="0" w:firstLineChars="0"/>
        <w:jc w:val="center"/>
        <w:rPr>
          <w:rFonts w:hint="eastAsia" w:eastAsia="宋体" w:cs="宋体"/>
          <w:b/>
          <w:bCs/>
          <w:color w:val="auto"/>
          <w:sz w:val="52"/>
          <w:szCs w:val="52"/>
          <w:lang w:eastAsia="zh-CN"/>
        </w:rPr>
      </w:pPr>
      <w:r>
        <w:rPr>
          <w:rFonts w:hint="eastAsia" w:cs="宋体"/>
          <w:b/>
          <w:bCs/>
          <w:color w:val="auto"/>
          <w:sz w:val="52"/>
          <w:szCs w:val="52"/>
          <w:lang w:eastAsia="zh-CN"/>
        </w:rPr>
        <w:t>宁波行知中等职业学校</w:t>
      </w:r>
    </w:p>
    <w:p>
      <w:pPr>
        <w:spacing w:line="600" w:lineRule="auto"/>
        <w:ind w:firstLine="0" w:firstLineChars="0"/>
        <w:jc w:val="center"/>
        <w:rPr>
          <w:rFonts w:hint="eastAsia" w:cs="宋体"/>
          <w:b/>
          <w:bCs/>
          <w:color w:val="auto"/>
          <w:sz w:val="52"/>
          <w:szCs w:val="52"/>
        </w:rPr>
      </w:pPr>
      <w:r>
        <w:rPr>
          <w:rFonts w:hint="eastAsia" w:cs="宋体"/>
          <w:b/>
          <w:bCs/>
          <w:color w:val="auto"/>
          <w:sz w:val="52"/>
          <w:szCs w:val="52"/>
          <w:lang w:eastAsia="zh-CN"/>
        </w:rPr>
        <w:t>保安服务</w:t>
      </w:r>
      <w:r>
        <w:rPr>
          <w:rFonts w:hint="eastAsia" w:cs="宋体"/>
          <w:b/>
          <w:bCs/>
          <w:color w:val="auto"/>
          <w:sz w:val="52"/>
          <w:szCs w:val="52"/>
        </w:rPr>
        <w:t>采购项目</w:t>
      </w:r>
    </w:p>
    <w:p>
      <w:pPr>
        <w:spacing w:line="600" w:lineRule="auto"/>
        <w:ind w:firstLine="964"/>
        <w:jc w:val="center"/>
        <w:rPr>
          <w:rFonts w:hint="eastAsia" w:cs="宋体"/>
          <w:b/>
          <w:bCs/>
          <w:color w:val="auto"/>
          <w:sz w:val="48"/>
          <w:szCs w:val="48"/>
        </w:rPr>
      </w:pPr>
    </w:p>
    <w:p>
      <w:pPr>
        <w:snapToGrid w:val="0"/>
        <w:ind w:firstLine="0" w:firstLineChars="0"/>
        <w:rPr>
          <w:rFonts w:hint="eastAsia" w:cs="宋体"/>
          <w:b/>
          <w:color w:val="auto"/>
          <w:sz w:val="72"/>
          <w:szCs w:val="72"/>
        </w:rPr>
      </w:pPr>
    </w:p>
    <w:p>
      <w:pPr>
        <w:pStyle w:val="175"/>
        <w:rPr>
          <w:rFonts w:hint="eastAsia" w:ascii="宋体" w:hAnsi="宋体" w:eastAsia="宋体" w:cs="宋体"/>
          <w:color w:val="auto"/>
        </w:rPr>
      </w:pPr>
    </w:p>
    <w:p>
      <w:pPr>
        <w:snapToGrid w:val="0"/>
        <w:ind w:firstLine="0" w:firstLineChars="0"/>
        <w:jc w:val="center"/>
        <w:rPr>
          <w:rFonts w:hint="eastAsia" w:cs="宋体"/>
          <w:b/>
          <w:color w:val="auto"/>
          <w:sz w:val="72"/>
          <w:szCs w:val="72"/>
        </w:rPr>
      </w:pPr>
      <w:r>
        <w:rPr>
          <w:rFonts w:hint="eastAsia" w:cs="宋体"/>
          <w:b/>
          <w:color w:val="auto"/>
          <w:sz w:val="72"/>
          <w:szCs w:val="72"/>
        </w:rPr>
        <w:t>公开招标文件</w:t>
      </w:r>
    </w:p>
    <w:p>
      <w:pPr>
        <w:snapToGrid w:val="0"/>
        <w:ind w:firstLine="0" w:firstLineChars="0"/>
        <w:rPr>
          <w:rFonts w:hint="eastAsia" w:cs="宋体"/>
          <w:b/>
          <w:color w:val="auto"/>
          <w:sz w:val="40"/>
          <w:szCs w:val="28"/>
        </w:rPr>
      </w:pPr>
    </w:p>
    <w:p>
      <w:pPr>
        <w:snapToGrid w:val="0"/>
        <w:ind w:firstLine="0" w:firstLineChars="0"/>
        <w:rPr>
          <w:rFonts w:hint="eastAsia" w:cs="宋体"/>
          <w:b/>
          <w:color w:val="auto"/>
          <w:sz w:val="40"/>
          <w:szCs w:val="28"/>
        </w:rPr>
      </w:pPr>
    </w:p>
    <w:p>
      <w:pPr>
        <w:snapToGrid w:val="0"/>
        <w:ind w:firstLine="0" w:firstLineChars="0"/>
        <w:rPr>
          <w:rFonts w:hint="eastAsia" w:cs="宋体"/>
          <w:b/>
          <w:bCs/>
          <w:color w:val="auto"/>
          <w:sz w:val="32"/>
          <w:szCs w:val="32"/>
        </w:rPr>
      </w:pPr>
      <w:r>
        <w:rPr>
          <w:rFonts w:hint="eastAsia" w:cs="宋体"/>
          <w:b/>
          <w:bCs/>
          <w:color w:val="auto"/>
          <w:sz w:val="32"/>
          <w:szCs w:val="32"/>
        </w:rPr>
        <w:t>项目名称：</w:t>
      </w:r>
      <w:r>
        <w:rPr>
          <w:rFonts w:hint="eastAsia" w:cs="宋体"/>
          <w:b/>
          <w:bCs/>
          <w:color w:val="auto"/>
          <w:sz w:val="32"/>
          <w:szCs w:val="32"/>
          <w:lang w:eastAsia="zh-CN"/>
        </w:rPr>
        <w:t>宁波行知中等职业学校保安服务</w:t>
      </w:r>
      <w:r>
        <w:rPr>
          <w:rFonts w:hint="eastAsia" w:cs="宋体"/>
          <w:b/>
          <w:bCs/>
          <w:color w:val="auto"/>
          <w:sz w:val="32"/>
          <w:szCs w:val="32"/>
        </w:rPr>
        <w:t>采购项目</w:t>
      </w:r>
    </w:p>
    <w:p>
      <w:pPr>
        <w:snapToGrid w:val="0"/>
        <w:ind w:firstLine="0" w:firstLineChars="0"/>
        <w:rPr>
          <w:rFonts w:hint="eastAsia" w:cs="宋体"/>
          <w:b/>
          <w:bCs/>
          <w:color w:val="auto"/>
          <w:sz w:val="32"/>
          <w:szCs w:val="32"/>
        </w:rPr>
      </w:pPr>
      <w:r>
        <w:rPr>
          <w:rFonts w:hint="eastAsia" w:cs="宋体"/>
          <w:b/>
          <w:bCs/>
          <w:color w:val="auto"/>
          <w:sz w:val="32"/>
          <w:szCs w:val="32"/>
        </w:rPr>
        <w:t>招标编号：ZJWS-202101</w:t>
      </w:r>
      <w:r>
        <w:rPr>
          <w:rFonts w:hint="eastAsia" w:cs="宋体"/>
          <w:b/>
          <w:bCs/>
          <w:color w:val="auto"/>
          <w:sz w:val="32"/>
          <w:szCs w:val="32"/>
          <w:lang w:eastAsia="zh-CN"/>
        </w:rPr>
        <w:t>62G</w:t>
      </w:r>
    </w:p>
    <w:p>
      <w:pPr>
        <w:snapToGrid w:val="0"/>
        <w:ind w:firstLine="0" w:firstLineChars="0"/>
        <w:rPr>
          <w:rFonts w:hint="eastAsia" w:cs="宋体"/>
          <w:b/>
          <w:bCs/>
          <w:color w:val="auto"/>
          <w:sz w:val="32"/>
          <w:szCs w:val="32"/>
        </w:rPr>
      </w:pPr>
      <w:r>
        <w:rPr>
          <w:rFonts w:hint="eastAsia" w:cs="宋体"/>
          <w:b/>
          <w:bCs/>
          <w:color w:val="auto"/>
          <w:sz w:val="32"/>
          <w:szCs w:val="32"/>
        </w:rPr>
        <w:t>招 标 人：</w:t>
      </w:r>
      <w:r>
        <w:rPr>
          <w:rFonts w:hint="eastAsia" w:cs="宋体"/>
          <w:b/>
          <w:bCs/>
          <w:color w:val="auto"/>
          <w:sz w:val="32"/>
          <w:szCs w:val="32"/>
          <w:lang w:eastAsia="zh-CN"/>
        </w:rPr>
        <w:t>宁波行知中等职业学校</w:t>
      </w:r>
      <w:r>
        <w:rPr>
          <w:rFonts w:hint="eastAsia" w:cs="宋体"/>
          <w:b/>
          <w:bCs/>
          <w:color w:val="auto"/>
          <w:sz w:val="32"/>
          <w:szCs w:val="32"/>
        </w:rPr>
        <w:t>（盖章）</w:t>
      </w:r>
    </w:p>
    <w:p>
      <w:pPr>
        <w:snapToGrid w:val="0"/>
        <w:ind w:firstLine="0" w:firstLineChars="0"/>
        <w:rPr>
          <w:rFonts w:hint="eastAsia" w:cs="宋体"/>
          <w:b/>
          <w:bCs/>
          <w:color w:val="auto"/>
          <w:sz w:val="32"/>
          <w:szCs w:val="32"/>
        </w:rPr>
      </w:pPr>
      <w:r>
        <w:rPr>
          <w:rFonts w:hint="eastAsia" w:cs="宋体"/>
          <w:b/>
          <w:bCs/>
          <w:color w:val="auto"/>
          <w:sz w:val="32"/>
          <w:szCs w:val="32"/>
        </w:rPr>
        <w:t>代理机构：浙江五石工程咨询有限公司（盖章）</w:t>
      </w:r>
    </w:p>
    <w:p>
      <w:pPr>
        <w:snapToGrid w:val="0"/>
        <w:ind w:firstLine="0" w:firstLineChars="0"/>
        <w:rPr>
          <w:rFonts w:hint="eastAsia" w:cs="宋体"/>
          <w:b/>
          <w:bCs/>
          <w:color w:val="auto"/>
          <w:sz w:val="32"/>
          <w:szCs w:val="32"/>
        </w:rPr>
      </w:pPr>
      <w:r>
        <w:rPr>
          <w:rFonts w:hint="eastAsia" w:cs="宋体"/>
          <w:b/>
          <w:bCs/>
          <w:color w:val="auto"/>
          <w:sz w:val="32"/>
          <w:szCs w:val="32"/>
        </w:rPr>
        <w:t>时    间：二〇二一年</w:t>
      </w:r>
      <w:r>
        <w:rPr>
          <w:rFonts w:hint="eastAsia" w:cs="宋体"/>
          <w:b/>
          <w:bCs/>
          <w:color w:val="auto"/>
          <w:sz w:val="32"/>
          <w:szCs w:val="32"/>
          <w:lang w:eastAsia="zh-CN"/>
        </w:rPr>
        <w:t>六</w:t>
      </w:r>
      <w:r>
        <w:rPr>
          <w:rFonts w:hint="eastAsia" w:cs="宋体"/>
          <w:b/>
          <w:bCs/>
          <w:color w:val="auto"/>
          <w:sz w:val="32"/>
          <w:szCs w:val="32"/>
        </w:rPr>
        <w:t>月</w:t>
      </w:r>
    </w:p>
    <w:p>
      <w:pPr>
        <w:pStyle w:val="175"/>
        <w:rPr>
          <w:rFonts w:hint="eastAsia" w:ascii="宋体" w:hAnsi="宋体" w:eastAsia="宋体" w:cs="宋体"/>
          <w:color w:val="auto"/>
        </w:rPr>
      </w:pPr>
    </w:p>
    <w:p>
      <w:pPr>
        <w:snapToGrid w:val="0"/>
        <w:ind w:firstLine="643"/>
        <w:rPr>
          <w:rFonts w:hint="eastAsia" w:cs="宋体"/>
          <w:b/>
          <w:bCs/>
          <w:color w:val="auto"/>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31"/>
        <w:tabs>
          <w:tab w:val="right" w:leader="dot" w:pos="8306"/>
          <w:tab w:val="clear" w:pos="8296"/>
        </w:tabs>
        <w:ind w:left="480"/>
        <w:jc w:val="center"/>
        <w:rPr>
          <w:rFonts w:hint="eastAsia" w:cs="宋体"/>
          <w:b/>
          <w:bCs/>
          <w:color w:val="auto"/>
          <w:sz w:val="28"/>
          <w:szCs w:val="40"/>
          <w:lang w:val="zh-CN"/>
        </w:rPr>
      </w:pPr>
      <w:bookmarkStart w:id="0" w:name="_Toc32639"/>
    </w:p>
    <w:p>
      <w:pPr>
        <w:pStyle w:val="31"/>
        <w:tabs>
          <w:tab w:val="right" w:leader="dot" w:pos="8306"/>
          <w:tab w:val="clear" w:pos="8296"/>
        </w:tabs>
        <w:ind w:left="480"/>
        <w:jc w:val="center"/>
        <w:rPr>
          <w:rFonts w:hint="eastAsia" w:cs="宋体"/>
          <w:b/>
          <w:bCs/>
          <w:color w:val="auto"/>
          <w:sz w:val="28"/>
          <w:szCs w:val="40"/>
          <w:lang w:val="zh-CN"/>
        </w:rPr>
      </w:pPr>
    </w:p>
    <w:p>
      <w:pPr>
        <w:pStyle w:val="31"/>
        <w:tabs>
          <w:tab w:val="right" w:leader="dot" w:pos="8306"/>
          <w:tab w:val="clear" w:pos="8296"/>
        </w:tabs>
        <w:ind w:left="480"/>
        <w:jc w:val="center"/>
        <w:rPr>
          <w:rFonts w:hint="eastAsia" w:cs="宋体"/>
          <w:b/>
          <w:bCs/>
          <w:color w:val="auto"/>
          <w:sz w:val="28"/>
          <w:szCs w:val="40"/>
          <w:lang w:val="zh-CN"/>
        </w:rPr>
      </w:pPr>
    </w:p>
    <w:p>
      <w:pPr>
        <w:pStyle w:val="31"/>
        <w:tabs>
          <w:tab w:val="right" w:leader="dot" w:pos="8306"/>
          <w:tab w:val="clear" w:pos="8296"/>
        </w:tabs>
        <w:ind w:left="480"/>
        <w:jc w:val="center"/>
        <w:rPr>
          <w:rFonts w:hint="eastAsia" w:cs="宋体"/>
          <w:color w:val="auto"/>
        </w:rPr>
      </w:pPr>
      <w:r>
        <w:rPr>
          <w:rFonts w:hint="eastAsia" w:cs="宋体"/>
          <w:b/>
          <w:bCs/>
          <w:color w:val="auto"/>
          <w:sz w:val="28"/>
          <w:szCs w:val="40"/>
          <w:lang w:val="zh-CN"/>
        </w:rPr>
        <w:t>目</w:t>
      </w:r>
      <w:r>
        <w:rPr>
          <w:rFonts w:hint="eastAsia" w:cs="宋体"/>
          <w:b/>
          <w:bCs/>
          <w:color w:val="auto"/>
          <w:sz w:val="28"/>
          <w:szCs w:val="40"/>
        </w:rPr>
        <w:t xml:space="preserve">  </w:t>
      </w:r>
      <w:r>
        <w:rPr>
          <w:rFonts w:hint="eastAsia" w:cs="宋体"/>
          <w:b/>
          <w:bCs/>
          <w:color w:val="auto"/>
          <w:sz w:val="28"/>
          <w:szCs w:val="40"/>
          <w:lang w:val="zh-CN"/>
        </w:rPr>
        <w:t>录</w:t>
      </w:r>
      <w:bookmarkEnd w:id="0"/>
      <w:r>
        <w:rPr>
          <w:rFonts w:hint="eastAsia" w:cs="宋体"/>
          <w:color w:val="auto"/>
        </w:rPr>
        <w:fldChar w:fldCharType="begin"/>
      </w:r>
      <w:r>
        <w:rPr>
          <w:rFonts w:hint="eastAsia" w:cs="宋体"/>
          <w:color w:val="auto"/>
        </w:rPr>
        <w:instrText xml:space="preserve"> TOC \o "1-2" \h \z \u </w:instrText>
      </w:r>
      <w:r>
        <w:rPr>
          <w:rFonts w:hint="eastAsia" w:cs="宋体"/>
          <w:color w:val="auto"/>
        </w:rPr>
        <w:fldChar w:fldCharType="separate"/>
      </w:r>
    </w:p>
    <w:p>
      <w:pPr>
        <w:pStyle w:val="26"/>
        <w:tabs>
          <w:tab w:val="right" w:leader="dot" w:pos="8306"/>
          <w:tab w:val="clear" w:pos="8296"/>
        </w:tabs>
        <w:spacing w:line="480" w:lineRule="auto"/>
        <w:rPr>
          <w:rFonts w:hint="eastAsia" w:cs="宋体"/>
          <w:color w:val="auto"/>
          <w:sz w:val="28"/>
          <w:szCs w:val="28"/>
        </w:rPr>
      </w:pPr>
      <w:r>
        <w:rPr>
          <w:rFonts w:hint="eastAsia" w:cs="宋体"/>
          <w:color w:val="auto"/>
          <w:sz w:val="28"/>
          <w:szCs w:val="28"/>
        </w:rPr>
        <w:fldChar w:fldCharType="begin"/>
      </w:r>
      <w:r>
        <w:rPr>
          <w:rFonts w:hint="eastAsia" w:cs="宋体"/>
          <w:color w:val="auto"/>
          <w:sz w:val="28"/>
          <w:szCs w:val="28"/>
        </w:rPr>
        <w:instrText xml:space="preserve"> HYPERLINK \l _Toc30342 </w:instrText>
      </w:r>
      <w:r>
        <w:rPr>
          <w:rFonts w:hint="eastAsia" w:cs="宋体"/>
          <w:color w:val="auto"/>
          <w:sz w:val="28"/>
          <w:szCs w:val="28"/>
        </w:rPr>
        <w:fldChar w:fldCharType="separate"/>
      </w:r>
      <w:r>
        <w:rPr>
          <w:rFonts w:hint="eastAsia" w:cs="宋体"/>
          <w:color w:val="auto"/>
          <w:spacing w:val="-6"/>
          <w:sz w:val="28"/>
          <w:szCs w:val="28"/>
        </w:rPr>
        <w:t>第一章  公开招标公告</w:t>
      </w:r>
      <w:r>
        <w:rPr>
          <w:rFonts w:hint="eastAsia" w:cs="宋体"/>
          <w:color w:val="auto"/>
          <w:sz w:val="28"/>
          <w:szCs w:val="28"/>
        </w:rPr>
        <w:tab/>
      </w:r>
      <w:r>
        <w:rPr>
          <w:rFonts w:hint="eastAsia" w:cs="宋体"/>
          <w:color w:val="auto"/>
          <w:sz w:val="28"/>
          <w:szCs w:val="28"/>
        </w:rPr>
        <w:fldChar w:fldCharType="begin"/>
      </w:r>
      <w:r>
        <w:rPr>
          <w:rFonts w:hint="eastAsia" w:cs="宋体"/>
          <w:color w:val="auto"/>
          <w:sz w:val="28"/>
          <w:szCs w:val="28"/>
        </w:rPr>
        <w:instrText xml:space="preserve"> PAGEREF _Toc30342 </w:instrText>
      </w:r>
      <w:r>
        <w:rPr>
          <w:rFonts w:hint="eastAsia" w:cs="宋体"/>
          <w:color w:val="auto"/>
          <w:sz w:val="28"/>
          <w:szCs w:val="28"/>
        </w:rPr>
        <w:fldChar w:fldCharType="separate"/>
      </w:r>
      <w:r>
        <w:rPr>
          <w:rFonts w:hint="eastAsia" w:cs="宋体"/>
          <w:color w:val="auto"/>
          <w:sz w:val="28"/>
          <w:szCs w:val="28"/>
        </w:rPr>
        <w:t>3</w:t>
      </w:r>
      <w:r>
        <w:rPr>
          <w:rFonts w:hint="eastAsia" w:cs="宋体"/>
          <w:color w:val="auto"/>
          <w:sz w:val="28"/>
          <w:szCs w:val="28"/>
        </w:rPr>
        <w:fldChar w:fldCharType="end"/>
      </w:r>
      <w:r>
        <w:rPr>
          <w:rFonts w:hint="eastAsia" w:cs="宋体"/>
          <w:color w:val="auto"/>
          <w:sz w:val="28"/>
          <w:szCs w:val="28"/>
        </w:rPr>
        <w:fldChar w:fldCharType="end"/>
      </w:r>
    </w:p>
    <w:p>
      <w:pPr>
        <w:pStyle w:val="26"/>
        <w:tabs>
          <w:tab w:val="right" w:leader="dot" w:pos="8306"/>
          <w:tab w:val="clear" w:pos="8296"/>
        </w:tabs>
        <w:spacing w:line="480" w:lineRule="auto"/>
        <w:rPr>
          <w:rFonts w:hint="eastAsia" w:cs="宋体"/>
          <w:color w:val="auto"/>
          <w:sz w:val="28"/>
          <w:szCs w:val="28"/>
        </w:rPr>
      </w:pPr>
      <w:r>
        <w:rPr>
          <w:rFonts w:hint="eastAsia" w:cs="宋体"/>
          <w:color w:val="auto"/>
          <w:sz w:val="28"/>
          <w:szCs w:val="28"/>
        </w:rPr>
        <w:fldChar w:fldCharType="begin"/>
      </w:r>
      <w:r>
        <w:rPr>
          <w:rFonts w:hint="eastAsia" w:cs="宋体"/>
          <w:color w:val="auto"/>
          <w:sz w:val="28"/>
          <w:szCs w:val="28"/>
        </w:rPr>
        <w:instrText xml:space="preserve"> HYPERLINK \l _Toc16385 </w:instrText>
      </w:r>
      <w:r>
        <w:rPr>
          <w:rFonts w:hint="eastAsia" w:cs="宋体"/>
          <w:color w:val="auto"/>
          <w:sz w:val="28"/>
          <w:szCs w:val="28"/>
        </w:rPr>
        <w:fldChar w:fldCharType="separate"/>
      </w:r>
      <w:r>
        <w:rPr>
          <w:rFonts w:hint="eastAsia" w:cs="宋体"/>
          <w:color w:val="auto"/>
          <w:sz w:val="28"/>
          <w:szCs w:val="28"/>
        </w:rPr>
        <w:t>第二章 项目需求说明</w:t>
      </w:r>
      <w:r>
        <w:rPr>
          <w:rFonts w:hint="eastAsia" w:cs="宋体"/>
          <w:color w:val="auto"/>
          <w:sz w:val="28"/>
          <w:szCs w:val="28"/>
        </w:rPr>
        <w:tab/>
      </w:r>
      <w:r>
        <w:rPr>
          <w:rFonts w:hint="eastAsia" w:cs="宋体"/>
          <w:color w:val="auto"/>
          <w:sz w:val="28"/>
          <w:szCs w:val="28"/>
        </w:rPr>
        <w:fldChar w:fldCharType="begin"/>
      </w:r>
      <w:r>
        <w:rPr>
          <w:rFonts w:hint="eastAsia" w:cs="宋体"/>
          <w:color w:val="auto"/>
          <w:sz w:val="28"/>
          <w:szCs w:val="28"/>
        </w:rPr>
        <w:instrText xml:space="preserve"> PAGEREF _Toc16385 </w:instrText>
      </w:r>
      <w:r>
        <w:rPr>
          <w:rFonts w:hint="eastAsia" w:cs="宋体"/>
          <w:color w:val="auto"/>
          <w:sz w:val="28"/>
          <w:szCs w:val="28"/>
        </w:rPr>
        <w:fldChar w:fldCharType="separate"/>
      </w:r>
      <w:r>
        <w:rPr>
          <w:rFonts w:hint="eastAsia" w:cs="宋体"/>
          <w:color w:val="auto"/>
          <w:sz w:val="28"/>
          <w:szCs w:val="28"/>
        </w:rPr>
        <w:t>8</w:t>
      </w:r>
      <w:r>
        <w:rPr>
          <w:rFonts w:hint="eastAsia" w:cs="宋体"/>
          <w:color w:val="auto"/>
          <w:sz w:val="28"/>
          <w:szCs w:val="28"/>
        </w:rPr>
        <w:fldChar w:fldCharType="end"/>
      </w:r>
      <w:r>
        <w:rPr>
          <w:rFonts w:hint="eastAsia" w:cs="宋体"/>
          <w:color w:val="auto"/>
          <w:sz w:val="28"/>
          <w:szCs w:val="28"/>
        </w:rPr>
        <w:fldChar w:fldCharType="end"/>
      </w:r>
    </w:p>
    <w:p>
      <w:pPr>
        <w:pStyle w:val="26"/>
        <w:tabs>
          <w:tab w:val="right" w:leader="dot" w:pos="8306"/>
          <w:tab w:val="clear" w:pos="8296"/>
        </w:tabs>
        <w:spacing w:line="480" w:lineRule="auto"/>
        <w:rPr>
          <w:rFonts w:hint="eastAsia" w:cs="宋体"/>
          <w:color w:val="auto"/>
          <w:sz w:val="28"/>
          <w:szCs w:val="28"/>
        </w:rPr>
      </w:pPr>
      <w:r>
        <w:rPr>
          <w:rFonts w:hint="eastAsia" w:cs="宋体"/>
          <w:color w:val="auto"/>
          <w:sz w:val="28"/>
          <w:szCs w:val="28"/>
        </w:rPr>
        <w:fldChar w:fldCharType="begin"/>
      </w:r>
      <w:r>
        <w:rPr>
          <w:rFonts w:hint="eastAsia" w:cs="宋体"/>
          <w:color w:val="auto"/>
          <w:sz w:val="28"/>
          <w:szCs w:val="28"/>
        </w:rPr>
        <w:instrText xml:space="preserve"> HYPERLINK \l _Toc10398 </w:instrText>
      </w:r>
      <w:r>
        <w:rPr>
          <w:rFonts w:hint="eastAsia" w:cs="宋体"/>
          <w:color w:val="auto"/>
          <w:sz w:val="28"/>
          <w:szCs w:val="28"/>
        </w:rPr>
        <w:fldChar w:fldCharType="separate"/>
      </w:r>
      <w:r>
        <w:rPr>
          <w:rFonts w:hint="eastAsia" w:cs="宋体"/>
          <w:color w:val="auto"/>
          <w:sz w:val="28"/>
          <w:szCs w:val="28"/>
        </w:rPr>
        <w:t>第三章 投标人须知</w:t>
      </w:r>
      <w:r>
        <w:rPr>
          <w:rFonts w:hint="eastAsia" w:cs="宋体"/>
          <w:color w:val="auto"/>
          <w:sz w:val="28"/>
          <w:szCs w:val="28"/>
        </w:rPr>
        <w:tab/>
      </w:r>
      <w:r>
        <w:rPr>
          <w:rFonts w:hint="eastAsia" w:cs="宋体"/>
          <w:color w:val="auto"/>
          <w:sz w:val="28"/>
          <w:szCs w:val="28"/>
        </w:rPr>
        <w:fldChar w:fldCharType="begin"/>
      </w:r>
      <w:r>
        <w:rPr>
          <w:rFonts w:hint="eastAsia" w:cs="宋体"/>
          <w:color w:val="auto"/>
          <w:sz w:val="28"/>
          <w:szCs w:val="28"/>
        </w:rPr>
        <w:instrText xml:space="preserve"> PAGEREF _Toc10398 </w:instrText>
      </w:r>
      <w:r>
        <w:rPr>
          <w:rFonts w:hint="eastAsia" w:cs="宋体"/>
          <w:color w:val="auto"/>
          <w:sz w:val="28"/>
          <w:szCs w:val="28"/>
        </w:rPr>
        <w:fldChar w:fldCharType="separate"/>
      </w:r>
      <w:r>
        <w:rPr>
          <w:rFonts w:hint="eastAsia" w:cs="宋体"/>
          <w:color w:val="auto"/>
          <w:sz w:val="28"/>
          <w:szCs w:val="28"/>
        </w:rPr>
        <w:t>24</w:t>
      </w:r>
      <w:r>
        <w:rPr>
          <w:rFonts w:hint="eastAsia" w:cs="宋体"/>
          <w:color w:val="auto"/>
          <w:sz w:val="28"/>
          <w:szCs w:val="28"/>
        </w:rPr>
        <w:fldChar w:fldCharType="end"/>
      </w:r>
      <w:r>
        <w:rPr>
          <w:rFonts w:hint="eastAsia" w:cs="宋体"/>
          <w:color w:val="auto"/>
          <w:sz w:val="28"/>
          <w:szCs w:val="28"/>
        </w:rPr>
        <w:fldChar w:fldCharType="end"/>
      </w:r>
    </w:p>
    <w:p>
      <w:pPr>
        <w:pStyle w:val="26"/>
        <w:tabs>
          <w:tab w:val="right" w:leader="dot" w:pos="8306"/>
          <w:tab w:val="clear" w:pos="8296"/>
        </w:tabs>
        <w:spacing w:line="480" w:lineRule="auto"/>
        <w:rPr>
          <w:rFonts w:hint="eastAsia" w:cs="宋体"/>
          <w:color w:val="auto"/>
          <w:sz w:val="28"/>
          <w:szCs w:val="28"/>
        </w:rPr>
      </w:pPr>
      <w:r>
        <w:rPr>
          <w:rFonts w:hint="eastAsia" w:cs="宋体"/>
          <w:color w:val="auto"/>
          <w:sz w:val="28"/>
          <w:szCs w:val="28"/>
        </w:rPr>
        <w:fldChar w:fldCharType="begin"/>
      </w:r>
      <w:r>
        <w:rPr>
          <w:rFonts w:hint="eastAsia" w:cs="宋体"/>
          <w:color w:val="auto"/>
          <w:sz w:val="28"/>
          <w:szCs w:val="28"/>
        </w:rPr>
        <w:instrText xml:space="preserve"> HYPERLINK \l _Toc2815 </w:instrText>
      </w:r>
      <w:r>
        <w:rPr>
          <w:rFonts w:hint="eastAsia" w:cs="宋体"/>
          <w:color w:val="auto"/>
          <w:sz w:val="28"/>
          <w:szCs w:val="28"/>
        </w:rPr>
        <w:fldChar w:fldCharType="separate"/>
      </w:r>
      <w:r>
        <w:rPr>
          <w:rFonts w:hint="eastAsia" w:cs="宋体"/>
          <w:color w:val="auto"/>
          <w:sz w:val="28"/>
          <w:szCs w:val="28"/>
        </w:rPr>
        <w:t>第四章 评标办法及评分标准</w:t>
      </w:r>
      <w:r>
        <w:rPr>
          <w:rFonts w:hint="eastAsia" w:cs="宋体"/>
          <w:color w:val="auto"/>
          <w:sz w:val="28"/>
          <w:szCs w:val="28"/>
        </w:rPr>
        <w:tab/>
      </w:r>
      <w:r>
        <w:rPr>
          <w:rFonts w:hint="eastAsia" w:cs="宋体"/>
          <w:color w:val="auto"/>
          <w:sz w:val="28"/>
          <w:szCs w:val="28"/>
        </w:rPr>
        <w:fldChar w:fldCharType="begin"/>
      </w:r>
      <w:r>
        <w:rPr>
          <w:rFonts w:hint="eastAsia" w:cs="宋体"/>
          <w:color w:val="auto"/>
          <w:sz w:val="28"/>
          <w:szCs w:val="28"/>
        </w:rPr>
        <w:instrText xml:space="preserve"> PAGEREF _Toc2815 </w:instrText>
      </w:r>
      <w:r>
        <w:rPr>
          <w:rFonts w:hint="eastAsia" w:cs="宋体"/>
          <w:color w:val="auto"/>
          <w:sz w:val="28"/>
          <w:szCs w:val="28"/>
        </w:rPr>
        <w:fldChar w:fldCharType="separate"/>
      </w:r>
      <w:r>
        <w:rPr>
          <w:rFonts w:hint="eastAsia" w:cs="宋体"/>
          <w:color w:val="auto"/>
          <w:sz w:val="28"/>
          <w:szCs w:val="28"/>
        </w:rPr>
        <w:t>45</w:t>
      </w:r>
      <w:r>
        <w:rPr>
          <w:rFonts w:hint="eastAsia" w:cs="宋体"/>
          <w:color w:val="auto"/>
          <w:sz w:val="28"/>
          <w:szCs w:val="28"/>
        </w:rPr>
        <w:fldChar w:fldCharType="end"/>
      </w:r>
      <w:r>
        <w:rPr>
          <w:rFonts w:hint="eastAsia" w:cs="宋体"/>
          <w:color w:val="auto"/>
          <w:sz w:val="28"/>
          <w:szCs w:val="28"/>
        </w:rPr>
        <w:fldChar w:fldCharType="end"/>
      </w:r>
    </w:p>
    <w:p>
      <w:pPr>
        <w:pStyle w:val="26"/>
        <w:tabs>
          <w:tab w:val="right" w:leader="dot" w:pos="8306"/>
          <w:tab w:val="clear" w:pos="8296"/>
        </w:tabs>
        <w:spacing w:line="480" w:lineRule="auto"/>
        <w:rPr>
          <w:rFonts w:hint="eastAsia" w:cs="宋体"/>
          <w:color w:val="auto"/>
          <w:sz w:val="28"/>
          <w:szCs w:val="28"/>
        </w:rPr>
      </w:pPr>
      <w:r>
        <w:rPr>
          <w:rFonts w:hint="eastAsia" w:cs="宋体"/>
          <w:color w:val="auto"/>
          <w:sz w:val="28"/>
          <w:szCs w:val="28"/>
        </w:rPr>
        <w:fldChar w:fldCharType="begin"/>
      </w:r>
      <w:r>
        <w:rPr>
          <w:rFonts w:hint="eastAsia" w:cs="宋体"/>
          <w:color w:val="auto"/>
          <w:sz w:val="28"/>
          <w:szCs w:val="28"/>
        </w:rPr>
        <w:instrText xml:space="preserve"> HYPERLINK \l _Toc32631 </w:instrText>
      </w:r>
      <w:r>
        <w:rPr>
          <w:rFonts w:hint="eastAsia" w:cs="宋体"/>
          <w:color w:val="auto"/>
          <w:sz w:val="28"/>
          <w:szCs w:val="28"/>
        </w:rPr>
        <w:fldChar w:fldCharType="separate"/>
      </w:r>
      <w:r>
        <w:rPr>
          <w:rFonts w:hint="eastAsia" w:cs="宋体"/>
          <w:color w:val="auto"/>
          <w:sz w:val="28"/>
          <w:szCs w:val="36"/>
        </w:rPr>
        <w:t>第五章 合同格式及合同条款</w:t>
      </w:r>
      <w:r>
        <w:rPr>
          <w:rFonts w:hint="eastAsia" w:cs="宋体"/>
          <w:color w:val="auto"/>
          <w:sz w:val="28"/>
          <w:szCs w:val="28"/>
        </w:rPr>
        <w:tab/>
      </w:r>
      <w:r>
        <w:rPr>
          <w:rFonts w:hint="eastAsia" w:cs="宋体"/>
          <w:color w:val="auto"/>
          <w:sz w:val="28"/>
          <w:szCs w:val="28"/>
        </w:rPr>
        <w:fldChar w:fldCharType="begin"/>
      </w:r>
      <w:r>
        <w:rPr>
          <w:rFonts w:hint="eastAsia" w:cs="宋体"/>
          <w:color w:val="auto"/>
          <w:sz w:val="28"/>
          <w:szCs w:val="28"/>
        </w:rPr>
        <w:instrText xml:space="preserve"> PAGEREF _Toc32631 </w:instrText>
      </w:r>
      <w:r>
        <w:rPr>
          <w:rFonts w:hint="eastAsia" w:cs="宋体"/>
          <w:color w:val="auto"/>
          <w:sz w:val="28"/>
          <w:szCs w:val="28"/>
        </w:rPr>
        <w:fldChar w:fldCharType="separate"/>
      </w:r>
      <w:r>
        <w:rPr>
          <w:rFonts w:hint="eastAsia" w:cs="宋体"/>
          <w:color w:val="auto"/>
          <w:sz w:val="28"/>
          <w:szCs w:val="28"/>
        </w:rPr>
        <w:t>51</w:t>
      </w:r>
      <w:r>
        <w:rPr>
          <w:rFonts w:hint="eastAsia" w:cs="宋体"/>
          <w:color w:val="auto"/>
          <w:sz w:val="28"/>
          <w:szCs w:val="28"/>
        </w:rPr>
        <w:fldChar w:fldCharType="end"/>
      </w:r>
      <w:r>
        <w:rPr>
          <w:rFonts w:hint="eastAsia" w:cs="宋体"/>
          <w:color w:val="auto"/>
          <w:sz w:val="28"/>
          <w:szCs w:val="28"/>
        </w:rPr>
        <w:fldChar w:fldCharType="end"/>
      </w:r>
    </w:p>
    <w:p>
      <w:pPr>
        <w:pStyle w:val="26"/>
        <w:tabs>
          <w:tab w:val="right" w:leader="dot" w:pos="8306"/>
          <w:tab w:val="clear" w:pos="8296"/>
        </w:tabs>
        <w:spacing w:line="480" w:lineRule="auto"/>
        <w:rPr>
          <w:rFonts w:hint="eastAsia" w:cs="宋体"/>
          <w:color w:val="auto"/>
          <w:sz w:val="28"/>
          <w:szCs w:val="28"/>
        </w:rPr>
      </w:pPr>
      <w:r>
        <w:rPr>
          <w:rFonts w:hint="eastAsia" w:cs="宋体"/>
          <w:color w:val="auto"/>
          <w:sz w:val="28"/>
          <w:szCs w:val="28"/>
        </w:rPr>
        <w:fldChar w:fldCharType="begin"/>
      </w:r>
      <w:r>
        <w:rPr>
          <w:rFonts w:hint="eastAsia" w:cs="宋体"/>
          <w:color w:val="auto"/>
          <w:sz w:val="28"/>
          <w:szCs w:val="28"/>
        </w:rPr>
        <w:instrText xml:space="preserve"> HYPERLINK \l _Toc30611 </w:instrText>
      </w:r>
      <w:r>
        <w:rPr>
          <w:rFonts w:hint="eastAsia" w:cs="宋体"/>
          <w:color w:val="auto"/>
          <w:sz w:val="28"/>
          <w:szCs w:val="28"/>
        </w:rPr>
        <w:fldChar w:fldCharType="separate"/>
      </w:r>
      <w:r>
        <w:rPr>
          <w:rFonts w:hint="eastAsia" w:cs="宋体"/>
          <w:color w:val="auto"/>
          <w:sz w:val="28"/>
          <w:szCs w:val="28"/>
        </w:rPr>
        <w:t>第六章 投标文件格式</w:t>
      </w:r>
      <w:r>
        <w:rPr>
          <w:rFonts w:hint="eastAsia" w:cs="宋体"/>
          <w:color w:val="auto"/>
          <w:sz w:val="28"/>
          <w:szCs w:val="28"/>
        </w:rPr>
        <w:tab/>
      </w:r>
      <w:r>
        <w:rPr>
          <w:rFonts w:hint="eastAsia" w:cs="宋体"/>
          <w:color w:val="auto"/>
          <w:sz w:val="28"/>
          <w:szCs w:val="28"/>
        </w:rPr>
        <w:fldChar w:fldCharType="begin"/>
      </w:r>
      <w:r>
        <w:rPr>
          <w:rFonts w:hint="eastAsia" w:cs="宋体"/>
          <w:color w:val="auto"/>
          <w:sz w:val="28"/>
          <w:szCs w:val="28"/>
        </w:rPr>
        <w:instrText xml:space="preserve"> PAGEREF _Toc30611 </w:instrText>
      </w:r>
      <w:r>
        <w:rPr>
          <w:rFonts w:hint="eastAsia" w:cs="宋体"/>
          <w:color w:val="auto"/>
          <w:sz w:val="28"/>
          <w:szCs w:val="28"/>
        </w:rPr>
        <w:fldChar w:fldCharType="separate"/>
      </w:r>
      <w:r>
        <w:rPr>
          <w:rFonts w:hint="eastAsia" w:cs="宋体"/>
          <w:color w:val="auto"/>
          <w:sz w:val="28"/>
          <w:szCs w:val="28"/>
        </w:rPr>
        <w:t>58</w:t>
      </w:r>
      <w:r>
        <w:rPr>
          <w:rFonts w:hint="eastAsia" w:cs="宋体"/>
          <w:color w:val="auto"/>
          <w:sz w:val="28"/>
          <w:szCs w:val="28"/>
        </w:rPr>
        <w:fldChar w:fldCharType="end"/>
      </w:r>
      <w:r>
        <w:rPr>
          <w:rFonts w:hint="eastAsia" w:cs="宋体"/>
          <w:color w:val="auto"/>
          <w:sz w:val="28"/>
          <w:szCs w:val="28"/>
        </w:rPr>
        <w:fldChar w:fldCharType="end"/>
      </w:r>
    </w:p>
    <w:p>
      <w:pPr>
        <w:pStyle w:val="31"/>
        <w:tabs>
          <w:tab w:val="right" w:leader="dot" w:pos="8306"/>
          <w:tab w:val="clear" w:pos="8296"/>
        </w:tabs>
        <w:ind w:left="480"/>
        <w:jc w:val="center"/>
        <w:rPr>
          <w:rFonts w:hint="eastAsia" w:cs="宋体"/>
          <w:color w:val="auto"/>
        </w:rPr>
        <w:sectPr>
          <w:headerReference r:id="rId11" w:type="default"/>
          <w:footerReference r:id="rId13" w:type="default"/>
          <w:headerReference r:id="rId12" w:type="even"/>
          <w:footerReference r:id="rId1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s="宋体"/>
          <w:color w:val="auto"/>
        </w:rPr>
        <w:fldChar w:fldCharType="end"/>
      </w:r>
      <w:bookmarkStart w:id="1" w:name="_Toc30342"/>
      <w:bookmarkStart w:id="2" w:name="_Toc452457411"/>
    </w:p>
    <w:p>
      <w:pPr>
        <w:pStyle w:val="4"/>
        <w:rPr>
          <w:rFonts w:hint="eastAsia" w:cs="宋体"/>
          <w:color w:val="auto"/>
        </w:rPr>
      </w:pPr>
      <w:r>
        <w:rPr>
          <w:rFonts w:hint="eastAsia" w:cs="宋体"/>
          <w:color w:val="auto"/>
        </w:rPr>
        <w:t xml:space="preserve">电 子 交 易 须 知 </w:t>
      </w:r>
    </w:p>
    <w:p>
      <w:pPr>
        <w:ind w:firstLine="480"/>
        <w:rPr>
          <w:rFonts w:hint="eastAsia" w:cs="宋体"/>
          <w:color w:val="auto"/>
        </w:rPr>
      </w:pPr>
    </w:p>
    <w:p>
      <w:pPr>
        <w:spacing w:line="384" w:lineRule="auto"/>
        <w:ind w:firstLine="458"/>
        <w:jc w:val="left"/>
        <w:rPr>
          <w:rFonts w:hint="eastAsia" w:cs="宋体"/>
          <w:b/>
          <w:bCs/>
          <w:color w:val="auto"/>
          <w:spacing w:val="-6"/>
        </w:rPr>
      </w:pPr>
      <w:r>
        <w:rPr>
          <w:rFonts w:hint="eastAsia" w:cs="宋体"/>
          <w:b/>
          <w:bCs/>
          <w:color w:val="auto"/>
          <w:spacing w:val="-6"/>
        </w:rPr>
        <w:t>1、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w:t>
      </w:r>
    </w:p>
    <w:p>
      <w:pPr>
        <w:spacing w:line="384" w:lineRule="auto"/>
        <w:ind w:firstLine="458"/>
        <w:jc w:val="left"/>
        <w:rPr>
          <w:rFonts w:hint="eastAsia" w:cs="宋体"/>
          <w:b/>
          <w:bCs/>
          <w:color w:val="auto"/>
          <w:spacing w:val="-6"/>
        </w:rPr>
      </w:pPr>
      <w:r>
        <w:rPr>
          <w:rFonts w:hint="eastAsia" w:cs="宋体"/>
          <w:b/>
          <w:bCs/>
          <w:color w:val="auto"/>
          <w:spacing w:val="-6"/>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spacing w:line="384" w:lineRule="auto"/>
        <w:ind w:firstLine="458"/>
        <w:jc w:val="left"/>
        <w:rPr>
          <w:rFonts w:hint="eastAsia" w:cs="宋体"/>
          <w:b/>
          <w:bCs/>
          <w:color w:val="auto"/>
          <w:spacing w:val="-6"/>
        </w:rPr>
      </w:pPr>
      <w:r>
        <w:rPr>
          <w:rFonts w:hint="eastAsia" w:cs="宋体"/>
          <w:b/>
          <w:bCs/>
          <w:color w:val="auto"/>
          <w:spacing w:val="-6"/>
        </w:rPr>
        <w:t>3、供应商应当在递交投标文件截止时间前，将“电子交易客户端”生成的“电子加密投标文件”上传电子交易平台。</w:t>
      </w:r>
    </w:p>
    <w:p>
      <w:pPr>
        <w:spacing w:line="384" w:lineRule="auto"/>
        <w:ind w:firstLine="458"/>
        <w:jc w:val="left"/>
        <w:rPr>
          <w:rFonts w:hint="eastAsia" w:cs="宋体"/>
          <w:b/>
          <w:bCs/>
          <w:color w:val="auto"/>
          <w:spacing w:val="-6"/>
        </w:rPr>
      </w:pPr>
      <w:r>
        <w:rPr>
          <w:rFonts w:hint="eastAsia" w:cs="宋体"/>
          <w:b/>
          <w:bCs/>
          <w:color w:val="auto"/>
          <w:spacing w:val="-6"/>
        </w:rPr>
        <w:t>4、“电子备份投标文件”是指与“电子加密投标文件”同时生成的数据电文形式的投标文件。供应商在电子交易平台上传“电子加密投标文件”后，还可以邮寄或送达的方式在递交投标文件截止时间前提交以介质（U盘）存储的“电子备份投标文件”。“电子备份投标文件”应当密封包装并在包装上标注采购项目编号、项目名称、供应商名称等并加盖公章。</w:t>
      </w:r>
    </w:p>
    <w:p>
      <w:pPr>
        <w:spacing w:line="384" w:lineRule="auto"/>
        <w:ind w:firstLine="458"/>
        <w:jc w:val="left"/>
        <w:rPr>
          <w:rFonts w:hint="eastAsia" w:cs="宋体"/>
          <w:b/>
          <w:bCs/>
          <w:color w:val="auto"/>
          <w:spacing w:val="-6"/>
        </w:rPr>
      </w:pPr>
      <w:r>
        <w:rPr>
          <w:rFonts w:hint="eastAsia" w:cs="宋体"/>
          <w:b/>
          <w:bCs/>
          <w:color w:val="auto"/>
          <w:spacing w:val="-6"/>
        </w:rPr>
        <w:t>5、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供应商未按规定递交“电子备份投标文件”的，视为投标文件撤回。未上传“电子加密投标文件”，仅提交“电子备份投标文件”的，响应无效。</w:t>
      </w:r>
    </w:p>
    <w:p>
      <w:pPr>
        <w:spacing w:line="384" w:lineRule="auto"/>
        <w:ind w:firstLine="458"/>
        <w:jc w:val="left"/>
        <w:rPr>
          <w:rFonts w:hint="eastAsia" w:cs="宋体"/>
          <w:b/>
          <w:bCs/>
          <w:color w:val="auto"/>
          <w:spacing w:val="-6"/>
        </w:rPr>
      </w:pPr>
      <w:r>
        <w:rPr>
          <w:rFonts w:hint="eastAsia" w:cs="宋体"/>
          <w:b/>
          <w:bCs/>
          <w:color w:val="auto"/>
          <w:spacing w:val="-6"/>
        </w:rPr>
        <w:t>6、供应商在参加电子交易过程中,可登录电子交易平台“帮助文档”版面获取《电子交易管理操作指南》，或致电平台400-881-7190获取相关服务支持。</w:t>
      </w:r>
    </w:p>
    <w:p>
      <w:pPr>
        <w:pStyle w:val="4"/>
        <w:rPr>
          <w:rFonts w:hint="eastAsia" w:cs="宋体"/>
          <w:color w:val="auto"/>
        </w:rPr>
      </w:pPr>
      <w:r>
        <w:rPr>
          <w:rFonts w:hint="eastAsia" w:cs="宋体"/>
          <w:color w:val="auto"/>
          <w:spacing w:val="-6"/>
        </w:rPr>
        <w:br w:type="page"/>
      </w:r>
      <w:r>
        <w:rPr>
          <w:rFonts w:hint="eastAsia" w:cs="宋体"/>
          <w:color w:val="auto"/>
        </w:rPr>
        <w:t>第一章  公开招标公告</w:t>
      </w:r>
      <w:bookmarkEnd w:id="1"/>
    </w:p>
    <w:p>
      <w:pPr>
        <w:pBdr>
          <w:top w:val="single" w:color="auto" w:sz="4" w:space="1"/>
          <w:left w:val="single" w:color="auto" w:sz="4" w:space="4"/>
          <w:bottom w:val="single" w:color="auto" w:sz="4" w:space="1"/>
          <w:right w:val="single" w:color="auto" w:sz="4" w:space="4"/>
        </w:pBdr>
        <w:ind w:firstLine="480"/>
        <w:rPr>
          <w:rFonts w:hint="eastAsia" w:cs="宋体"/>
          <w:color w:val="auto"/>
        </w:rPr>
      </w:pPr>
      <w:r>
        <w:rPr>
          <w:rFonts w:hint="eastAsia" w:cs="宋体"/>
          <w:color w:val="auto"/>
        </w:rPr>
        <w:t>项目概况</w:t>
      </w:r>
    </w:p>
    <w:p>
      <w:pPr>
        <w:pBdr>
          <w:top w:val="single" w:color="auto" w:sz="4" w:space="1"/>
          <w:left w:val="single" w:color="auto" w:sz="4" w:space="4"/>
          <w:bottom w:val="single" w:color="auto" w:sz="4" w:space="1"/>
          <w:right w:val="single" w:color="auto" w:sz="4" w:space="4"/>
        </w:pBdr>
        <w:ind w:firstLine="480"/>
        <w:rPr>
          <w:rFonts w:hint="eastAsia" w:cs="宋体"/>
          <w:color w:val="auto"/>
        </w:rPr>
      </w:pPr>
      <w:r>
        <w:rPr>
          <w:rFonts w:hint="eastAsia" w:cs="宋体"/>
          <w:color w:val="auto"/>
          <w:u w:val="single"/>
          <w:lang w:eastAsia="zh-CN"/>
        </w:rPr>
        <w:t>宁波行知中等职业学校保安服务</w:t>
      </w:r>
      <w:r>
        <w:rPr>
          <w:rFonts w:hint="eastAsia" w:cs="宋体"/>
          <w:color w:val="auto"/>
        </w:rPr>
        <w:t>招标项目的潜在投标人应在</w:t>
      </w:r>
      <w:r>
        <w:rPr>
          <w:rFonts w:hint="eastAsia" w:cs="宋体"/>
          <w:color w:val="auto"/>
          <w:u w:val="single"/>
        </w:rPr>
        <w:t>政采云平台（http://zfcg.czt.zj.gov.cn）</w:t>
      </w:r>
      <w:r>
        <w:rPr>
          <w:rFonts w:hint="eastAsia" w:cs="宋体"/>
          <w:color w:val="auto"/>
        </w:rPr>
        <w:t>获取招标文件，并于</w:t>
      </w:r>
      <w:r>
        <w:rPr>
          <w:rFonts w:hint="eastAsia" w:cs="宋体"/>
          <w:color w:val="auto"/>
          <w:u w:val="single"/>
        </w:rPr>
        <w:t>2021</w:t>
      </w:r>
      <w:r>
        <w:rPr>
          <w:rFonts w:hint="eastAsia" w:cs="宋体"/>
          <w:bCs/>
          <w:color w:val="auto"/>
          <w:u w:val="single"/>
        </w:rPr>
        <w:t>年</w:t>
      </w:r>
      <w:r>
        <w:rPr>
          <w:rFonts w:hint="eastAsia" w:cs="宋体"/>
          <w:bCs/>
          <w:color w:val="auto"/>
          <w:u w:val="single"/>
          <w:lang w:val="en-US" w:eastAsia="zh-CN"/>
        </w:rPr>
        <w:t>7</w:t>
      </w:r>
      <w:r>
        <w:rPr>
          <w:rFonts w:hint="eastAsia" w:cs="宋体"/>
          <w:bCs/>
          <w:color w:val="auto"/>
          <w:u w:val="single"/>
        </w:rPr>
        <w:t>月</w:t>
      </w:r>
      <w:r>
        <w:rPr>
          <w:rFonts w:hint="eastAsia" w:cs="宋体"/>
          <w:bCs/>
          <w:color w:val="auto"/>
          <w:u w:val="single"/>
          <w:lang w:val="en-US" w:eastAsia="zh-CN"/>
        </w:rPr>
        <w:t>16</w:t>
      </w:r>
      <w:r>
        <w:rPr>
          <w:rFonts w:hint="eastAsia" w:cs="宋体"/>
          <w:bCs/>
          <w:color w:val="auto"/>
          <w:u w:val="single"/>
        </w:rPr>
        <w:t>日14点30分（</w:t>
      </w:r>
      <w:r>
        <w:rPr>
          <w:rFonts w:hint="eastAsia" w:cs="宋体"/>
          <w:bCs/>
          <w:color w:val="auto"/>
        </w:rPr>
        <w:t>北京时间）前</w:t>
      </w:r>
      <w:r>
        <w:rPr>
          <w:rFonts w:cs="宋体"/>
          <w:color w:val="auto"/>
        </w:rPr>
        <w:t>递交（上传）投标文</w:t>
      </w:r>
      <w:r>
        <w:rPr>
          <w:rFonts w:hint="eastAsia" w:cs="宋体"/>
          <w:color w:val="auto"/>
        </w:rPr>
        <w:t>件。</w:t>
      </w:r>
    </w:p>
    <w:p>
      <w:pPr>
        <w:pStyle w:val="5"/>
        <w:rPr>
          <w:rFonts w:hint="eastAsia" w:ascii="宋体" w:hAnsi="宋体" w:cs="宋体"/>
          <w:color w:val="auto"/>
          <w:sz w:val="24"/>
          <w:szCs w:val="24"/>
        </w:rPr>
      </w:pPr>
      <w:bookmarkStart w:id="3" w:name="_Toc28359079"/>
      <w:bookmarkStart w:id="4" w:name="_Toc35393621"/>
      <w:bookmarkStart w:id="5" w:name="_Toc28359002"/>
      <w:bookmarkStart w:id="6" w:name="_Toc35393790"/>
      <w:bookmarkStart w:id="7" w:name="_Toc20891"/>
      <w:bookmarkStart w:id="8" w:name="_Hlk24379207"/>
      <w:r>
        <w:rPr>
          <w:rFonts w:hint="eastAsia" w:ascii="宋体" w:hAnsi="宋体" w:cs="宋体"/>
          <w:color w:val="auto"/>
          <w:sz w:val="24"/>
          <w:szCs w:val="24"/>
        </w:rPr>
        <w:t>一、项目基本情况</w:t>
      </w:r>
      <w:bookmarkEnd w:id="3"/>
      <w:bookmarkEnd w:id="4"/>
      <w:bookmarkEnd w:id="5"/>
      <w:bookmarkEnd w:id="6"/>
      <w:bookmarkEnd w:id="7"/>
    </w:p>
    <w:p>
      <w:pPr>
        <w:ind w:firstLine="480"/>
        <w:rPr>
          <w:rFonts w:hint="eastAsia" w:cs="宋体"/>
          <w:color w:val="auto"/>
        </w:rPr>
      </w:pPr>
      <w:r>
        <w:rPr>
          <w:rFonts w:hint="eastAsia" w:cs="宋体"/>
          <w:color w:val="auto"/>
        </w:rPr>
        <w:t>项目编号（采购计划文号）：ZJWS-202101</w:t>
      </w:r>
      <w:r>
        <w:rPr>
          <w:rFonts w:hint="eastAsia" w:cs="宋体"/>
          <w:color w:val="auto"/>
          <w:lang w:eastAsia="zh-CN"/>
        </w:rPr>
        <w:t>62G</w:t>
      </w:r>
    </w:p>
    <w:p>
      <w:pPr>
        <w:ind w:firstLine="480"/>
        <w:rPr>
          <w:rFonts w:hint="eastAsia" w:cs="宋体"/>
          <w:color w:val="auto"/>
        </w:rPr>
      </w:pPr>
      <w:r>
        <w:rPr>
          <w:rFonts w:hint="eastAsia" w:cs="宋体"/>
          <w:color w:val="auto"/>
        </w:rPr>
        <w:t>项目名称：</w:t>
      </w:r>
      <w:r>
        <w:rPr>
          <w:rFonts w:hint="eastAsia" w:cs="宋体"/>
          <w:color w:val="auto"/>
          <w:lang w:eastAsia="zh-CN"/>
        </w:rPr>
        <w:t>宁波行知中等职业学校保安服务</w:t>
      </w:r>
      <w:r>
        <w:rPr>
          <w:rFonts w:hint="eastAsia" w:cs="宋体"/>
          <w:color w:val="auto"/>
        </w:rPr>
        <w:t>采购项目</w:t>
      </w:r>
    </w:p>
    <w:bookmarkEnd w:id="8"/>
    <w:p>
      <w:pPr>
        <w:ind w:firstLine="480"/>
        <w:rPr>
          <w:rFonts w:hint="eastAsia" w:cs="宋体"/>
          <w:color w:val="auto"/>
        </w:rPr>
      </w:pPr>
      <w:r>
        <w:rPr>
          <w:rFonts w:hint="eastAsia" w:cs="宋体"/>
          <w:color w:val="auto"/>
        </w:rPr>
        <w:t>预算金额：</w:t>
      </w:r>
      <w:r>
        <w:rPr>
          <w:rFonts w:hint="eastAsia" w:ascii="新宋体" w:hAnsi="新宋体" w:eastAsia="新宋体" w:cs="新宋体"/>
          <w:color w:val="auto"/>
          <w:lang w:eastAsia="zh-CN"/>
        </w:rPr>
        <w:t>902750元</w:t>
      </w:r>
    </w:p>
    <w:p>
      <w:pPr>
        <w:ind w:firstLine="480"/>
        <w:rPr>
          <w:rFonts w:hint="eastAsia" w:cs="宋体"/>
          <w:color w:val="auto"/>
        </w:rPr>
      </w:pPr>
      <w:r>
        <w:rPr>
          <w:rFonts w:hint="eastAsia" w:cs="宋体"/>
          <w:color w:val="auto"/>
        </w:rPr>
        <w:t>最高限价：</w:t>
      </w:r>
      <w:r>
        <w:rPr>
          <w:rFonts w:hint="eastAsia" w:ascii="新宋体" w:hAnsi="新宋体" w:eastAsia="新宋体" w:cs="新宋体"/>
          <w:color w:val="auto"/>
          <w:lang w:eastAsia="zh-CN"/>
        </w:rPr>
        <w:t>902750元</w:t>
      </w:r>
    </w:p>
    <w:p>
      <w:pPr>
        <w:ind w:firstLine="480"/>
        <w:rPr>
          <w:rFonts w:hint="eastAsia" w:cs="宋体"/>
          <w:color w:val="auto"/>
        </w:rPr>
      </w:pPr>
      <w:r>
        <w:rPr>
          <w:rFonts w:hint="eastAsia" w:cs="宋体"/>
          <w:color w:val="auto"/>
        </w:rPr>
        <w:t>采购需求：</w:t>
      </w:r>
    </w:p>
    <w:tbl>
      <w:tblPr>
        <w:tblStyle w:val="39"/>
        <w:tblW w:w="0" w:type="auto"/>
        <w:jc w:val="center"/>
        <w:tblLayout w:type="fixed"/>
        <w:tblCellMar>
          <w:top w:w="15" w:type="dxa"/>
          <w:left w:w="15" w:type="dxa"/>
          <w:bottom w:w="15" w:type="dxa"/>
          <w:right w:w="15" w:type="dxa"/>
        </w:tblCellMar>
      </w:tblPr>
      <w:tblGrid>
        <w:gridCol w:w="584"/>
        <w:gridCol w:w="1147"/>
        <w:gridCol w:w="4680"/>
        <w:gridCol w:w="2198"/>
      </w:tblGrid>
      <w:tr>
        <w:tblPrEx>
          <w:tblCellMar>
            <w:top w:w="15" w:type="dxa"/>
            <w:left w:w="15" w:type="dxa"/>
            <w:bottom w:w="15" w:type="dxa"/>
            <w:right w:w="15" w:type="dxa"/>
          </w:tblCellMar>
        </w:tblPrEx>
        <w:trPr>
          <w:trHeight w:val="633"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14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标项名称</w:t>
            </w:r>
          </w:p>
        </w:tc>
        <w:tc>
          <w:tcPr>
            <w:tcW w:w="468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简要规格描述</w:t>
            </w:r>
          </w:p>
        </w:tc>
        <w:tc>
          <w:tcPr>
            <w:tcW w:w="219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合同履行期限</w:t>
            </w:r>
          </w:p>
        </w:tc>
      </w:tr>
      <w:tr>
        <w:tblPrEx>
          <w:tblCellMar>
            <w:top w:w="15" w:type="dxa"/>
            <w:left w:w="15" w:type="dxa"/>
            <w:bottom w:w="15" w:type="dxa"/>
            <w:right w:w="15" w:type="dxa"/>
          </w:tblCellMar>
        </w:tblPrEx>
        <w:trPr>
          <w:trHeight w:val="3118" w:hRule="atLeast"/>
          <w:jc w:val="center"/>
        </w:trPr>
        <w:tc>
          <w:tcPr>
            <w:tcW w:w="584"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147"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left="0" w:leftChars="0"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保安服务</w:t>
            </w:r>
          </w:p>
        </w:tc>
        <w:tc>
          <w:tcPr>
            <w:tcW w:w="4680"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学院占地面积411.5亩，建筑面积10.2万余平方米，学校现有教职工400余人，全日制学生校学生86班，其中新疆班6班，人数3600多人，其中新疆学生260多人，另有浙江工商职业技术学院慈溪学院</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班，人数</w:t>
            </w: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rPr>
              <w:t>00多人，以后将逐步增加。保安1</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人（其中队长1人，班长2人，</w:t>
            </w:r>
            <w:r>
              <w:rPr>
                <w:rFonts w:hint="eastAsia" w:ascii="宋体" w:hAnsi="宋体" w:eastAsia="宋体" w:cs="宋体"/>
                <w:color w:val="auto"/>
                <w:kern w:val="0"/>
                <w:sz w:val="21"/>
                <w:szCs w:val="21"/>
                <w:lang w:eastAsia="zh-CN"/>
              </w:rPr>
              <w:t>门卫保安</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人</w:t>
            </w:r>
            <w:r>
              <w:rPr>
                <w:rFonts w:hint="eastAsia" w:ascii="宋体" w:hAnsi="宋体" w:eastAsia="宋体" w:cs="宋体"/>
                <w:color w:val="auto"/>
                <w:kern w:val="0"/>
                <w:sz w:val="21"/>
                <w:szCs w:val="21"/>
                <w:lang w:eastAsia="zh-CN"/>
              </w:rPr>
              <w:t>，新疆寝室保安</w:t>
            </w:r>
            <w:r>
              <w:rPr>
                <w:rFonts w:hint="eastAsia" w:ascii="宋体" w:hAnsi="宋体" w:eastAsia="宋体" w:cs="宋体"/>
                <w:color w:val="auto"/>
                <w:kern w:val="0"/>
                <w:sz w:val="21"/>
                <w:szCs w:val="21"/>
                <w:lang w:val="en-US" w:eastAsia="zh-CN"/>
              </w:rPr>
              <w:t>3人，工商保安3人</w:t>
            </w:r>
            <w:r>
              <w:rPr>
                <w:rFonts w:hint="eastAsia" w:ascii="宋体" w:hAnsi="宋体" w:eastAsia="宋体" w:cs="宋体"/>
                <w:color w:val="auto"/>
                <w:kern w:val="0"/>
                <w:sz w:val="21"/>
                <w:szCs w:val="21"/>
              </w:rPr>
              <w:t>）。</w:t>
            </w:r>
          </w:p>
        </w:tc>
        <w:tc>
          <w:tcPr>
            <w:tcW w:w="2198" w:type="dxa"/>
            <w:tcBorders>
              <w:top w:val="single" w:color="auto" w:sz="4" w:space="0"/>
              <w:left w:val="single" w:color="auto" w:sz="4" w:space="0"/>
              <w:bottom w:val="single" w:color="auto" w:sz="4" w:space="0"/>
              <w:right w:val="single" w:color="auto" w:sz="4" w:space="0"/>
            </w:tcBorders>
            <w:noWrap w:val="0"/>
            <w:tcMar>
              <w:top w:w="75" w:type="dxa"/>
              <w:left w:w="150" w:type="dxa"/>
              <w:bottom w:w="75" w:type="dxa"/>
              <w:right w:w="150" w:type="dxa"/>
            </w:tcMar>
            <w:vAlign w:val="center"/>
          </w:tcPr>
          <w:p>
            <w:pPr>
              <w:widowControl/>
              <w:ind w:left="0" w:leftChars="0" w:firstLine="0" w:firstLineChars="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签订合同后一年，</w:t>
            </w:r>
            <w:r>
              <w:rPr>
                <w:rFonts w:hint="eastAsia" w:ascii="宋体" w:hAnsi="宋体" w:eastAsia="宋体" w:cs="宋体"/>
                <w:color w:val="auto"/>
                <w:kern w:val="0"/>
                <w:sz w:val="21"/>
                <w:szCs w:val="21"/>
              </w:rPr>
              <w:t>一年期满后经业主考核合格，报市公共资源交易管理办公室备案，合同可续签一年，最多可续签二年。</w:t>
            </w:r>
          </w:p>
        </w:tc>
      </w:tr>
    </w:tbl>
    <w:p>
      <w:pPr>
        <w:ind w:firstLine="480"/>
        <w:rPr>
          <w:rFonts w:hint="eastAsia" w:cs="宋体"/>
          <w:color w:val="auto"/>
        </w:rPr>
      </w:pPr>
      <w:r>
        <w:rPr>
          <w:rFonts w:hint="eastAsia" w:cs="宋体"/>
          <w:color w:val="auto"/>
        </w:rPr>
        <w:t>本项目不接受联合体投标。</w:t>
      </w:r>
    </w:p>
    <w:p>
      <w:pPr>
        <w:pStyle w:val="5"/>
        <w:rPr>
          <w:rFonts w:hint="eastAsia" w:ascii="宋体" w:hAnsi="宋体" w:cs="宋体"/>
          <w:color w:val="auto"/>
          <w:sz w:val="24"/>
          <w:szCs w:val="24"/>
        </w:rPr>
      </w:pPr>
      <w:bookmarkStart w:id="9" w:name="_Toc9834"/>
      <w:bookmarkStart w:id="10" w:name="_Toc28359003"/>
      <w:bookmarkStart w:id="11" w:name="_Toc28359080"/>
      <w:bookmarkStart w:id="12" w:name="_Toc35393791"/>
      <w:bookmarkStart w:id="13" w:name="_Toc35393622"/>
      <w:r>
        <w:rPr>
          <w:rFonts w:hint="eastAsia" w:ascii="宋体" w:hAnsi="宋体" w:cs="宋体"/>
          <w:color w:val="auto"/>
          <w:sz w:val="24"/>
          <w:szCs w:val="24"/>
        </w:rPr>
        <w:t>二、申请人的资格要求：</w:t>
      </w:r>
      <w:bookmarkEnd w:id="9"/>
      <w:bookmarkEnd w:id="10"/>
      <w:bookmarkEnd w:id="11"/>
      <w:bookmarkEnd w:id="12"/>
      <w:bookmarkEnd w:id="13"/>
    </w:p>
    <w:p>
      <w:pPr>
        <w:pStyle w:val="19"/>
        <w:spacing w:line="360" w:lineRule="auto"/>
        <w:ind w:firstLine="360" w:firstLineChars="150"/>
        <w:rPr>
          <w:rFonts w:hint="eastAsia" w:hAnsi="宋体" w:cs="宋体"/>
          <w:color w:val="auto"/>
          <w:sz w:val="24"/>
          <w:szCs w:val="24"/>
        </w:rPr>
      </w:pPr>
      <w:r>
        <w:rPr>
          <w:rFonts w:hint="eastAsia" w:hAnsi="宋体" w:cs="宋体"/>
          <w:color w:val="auto"/>
          <w:sz w:val="24"/>
          <w:szCs w:val="24"/>
        </w:rPr>
        <w:t>1.满足《中华人民共和国政府采购法》第二十二条规定且未列入“www.creditchina.gov.cn、www.ccgp.gov.cn”网站失信被执行人、重大税收违法案件当事人名单、政府采购严重违法失信记录名单在禁止参加采购期限的供应商；</w:t>
      </w:r>
    </w:p>
    <w:p>
      <w:pPr>
        <w:ind w:firstLine="480"/>
        <w:rPr>
          <w:rFonts w:hint="eastAsia" w:cs="宋体"/>
          <w:color w:val="auto"/>
          <w:u w:val="single"/>
        </w:rPr>
      </w:pPr>
      <w:bookmarkStart w:id="14" w:name="_Toc28359081"/>
      <w:bookmarkStart w:id="15" w:name="_Toc28359004"/>
      <w:r>
        <w:rPr>
          <w:rFonts w:hint="eastAsia" w:cs="宋体"/>
          <w:color w:val="auto"/>
        </w:rPr>
        <w:t>2.落实政府采购政策需满足的资格要求：</w:t>
      </w:r>
      <w:r>
        <w:rPr>
          <w:rFonts w:hint="eastAsia" w:cs="宋体"/>
          <w:color w:val="auto"/>
          <w:u w:val="single"/>
        </w:rPr>
        <w:t>无。</w:t>
      </w:r>
    </w:p>
    <w:p>
      <w:pPr>
        <w:ind w:firstLine="480"/>
        <w:rPr>
          <w:rFonts w:hint="eastAsia" w:cs="宋体"/>
          <w:i/>
          <w:iCs/>
          <w:color w:val="auto"/>
          <w:u w:val="single"/>
        </w:rPr>
      </w:pPr>
      <w:r>
        <w:rPr>
          <w:rFonts w:hint="eastAsia" w:cs="宋体"/>
          <w:color w:val="auto"/>
        </w:rPr>
        <w:t>3.本项目的特定资格要求：</w:t>
      </w:r>
      <w:r>
        <w:rPr>
          <w:rFonts w:hint="eastAsia" w:cs="宋体"/>
          <w:color w:val="auto"/>
          <w:u w:val="single"/>
        </w:rPr>
        <w:t>无</w:t>
      </w:r>
    </w:p>
    <w:p>
      <w:pPr>
        <w:pStyle w:val="5"/>
        <w:rPr>
          <w:rFonts w:hint="eastAsia" w:ascii="宋体" w:hAnsi="宋体" w:cs="宋体"/>
          <w:bCs w:val="0"/>
          <w:color w:val="auto"/>
          <w:sz w:val="24"/>
          <w:szCs w:val="24"/>
        </w:rPr>
      </w:pPr>
      <w:bookmarkStart w:id="16" w:name="_Toc8797"/>
      <w:bookmarkStart w:id="17" w:name="_Toc35393792"/>
      <w:bookmarkStart w:id="18" w:name="_Toc35393623"/>
      <w:r>
        <w:rPr>
          <w:rFonts w:hint="eastAsia" w:ascii="宋体" w:hAnsi="宋体" w:cs="宋体"/>
          <w:bCs w:val="0"/>
          <w:color w:val="auto"/>
          <w:sz w:val="24"/>
          <w:szCs w:val="24"/>
        </w:rPr>
        <w:t>三、获取招标文件</w:t>
      </w:r>
      <w:bookmarkEnd w:id="14"/>
      <w:bookmarkEnd w:id="15"/>
      <w:bookmarkEnd w:id="16"/>
      <w:bookmarkEnd w:id="17"/>
      <w:bookmarkEnd w:id="18"/>
    </w:p>
    <w:p>
      <w:pPr>
        <w:ind w:firstLine="480"/>
        <w:rPr>
          <w:rFonts w:hint="eastAsia" w:cs="宋体"/>
          <w:color w:val="auto"/>
        </w:rPr>
      </w:pPr>
      <w:r>
        <w:rPr>
          <w:rFonts w:hint="eastAsia" w:cs="宋体"/>
          <w:color w:val="auto"/>
        </w:rPr>
        <w:t>时间：</w:t>
      </w:r>
      <w:r>
        <w:rPr>
          <w:rFonts w:hint="eastAsia" w:cs="宋体"/>
          <w:color w:val="auto"/>
          <w:u w:val="single"/>
        </w:rPr>
        <w:t>2021年</w:t>
      </w:r>
      <w:r>
        <w:rPr>
          <w:rFonts w:hint="eastAsia" w:cs="宋体"/>
          <w:color w:val="auto"/>
          <w:u w:val="single"/>
          <w:lang w:val="en-US" w:eastAsia="zh-CN"/>
        </w:rPr>
        <w:t>6</w:t>
      </w:r>
      <w:r>
        <w:rPr>
          <w:rFonts w:hint="eastAsia" w:cs="宋体"/>
          <w:color w:val="auto"/>
          <w:u w:val="single"/>
        </w:rPr>
        <w:t>月</w:t>
      </w:r>
      <w:r>
        <w:rPr>
          <w:rFonts w:hint="eastAsia" w:cs="宋体"/>
          <w:color w:val="auto"/>
          <w:u w:val="single"/>
          <w:lang w:val="en-US" w:eastAsia="zh-CN"/>
        </w:rPr>
        <w:t>24</w:t>
      </w:r>
      <w:r>
        <w:rPr>
          <w:rFonts w:hint="eastAsia" w:cs="宋体"/>
          <w:color w:val="auto"/>
          <w:u w:val="single"/>
        </w:rPr>
        <w:t>日</w:t>
      </w:r>
      <w:r>
        <w:rPr>
          <w:rFonts w:hint="eastAsia" w:cs="宋体"/>
          <w:color w:val="auto"/>
        </w:rPr>
        <w:t>至</w:t>
      </w:r>
      <w:r>
        <w:rPr>
          <w:rFonts w:hint="eastAsia" w:cs="宋体"/>
          <w:color w:val="auto"/>
          <w:u w:val="single"/>
        </w:rPr>
        <w:t xml:space="preserve"> 2021年</w:t>
      </w:r>
      <w:r>
        <w:rPr>
          <w:rFonts w:hint="eastAsia" w:cs="宋体"/>
          <w:color w:val="auto"/>
          <w:u w:val="single"/>
          <w:lang w:val="en-US" w:eastAsia="zh-CN"/>
        </w:rPr>
        <w:t>7</w:t>
      </w:r>
      <w:r>
        <w:rPr>
          <w:rFonts w:hint="eastAsia" w:cs="宋体"/>
          <w:color w:val="auto"/>
          <w:u w:val="single"/>
        </w:rPr>
        <w:t>月</w:t>
      </w:r>
      <w:r>
        <w:rPr>
          <w:rFonts w:hint="eastAsia" w:cs="宋体"/>
          <w:color w:val="auto"/>
          <w:u w:val="single"/>
          <w:lang w:val="en-US" w:eastAsia="zh-CN"/>
        </w:rPr>
        <w:t>16</w:t>
      </w:r>
      <w:r>
        <w:rPr>
          <w:rFonts w:hint="eastAsia" w:cs="宋体"/>
          <w:color w:val="auto"/>
          <w:u w:val="single"/>
        </w:rPr>
        <w:t>日</w:t>
      </w:r>
      <w:r>
        <w:rPr>
          <w:rFonts w:hint="eastAsia" w:cs="宋体"/>
          <w:color w:val="auto"/>
        </w:rPr>
        <w:t>（北京时间，法定节假日除外）</w:t>
      </w:r>
    </w:p>
    <w:p>
      <w:pPr>
        <w:ind w:firstLine="480"/>
        <w:rPr>
          <w:rFonts w:hint="eastAsia" w:cs="宋体"/>
          <w:color w:val="auto"/>
        </w:rPr>
      </w:pPr>
      <w:r>
        <w:rPr>
          <w:rFonts w:hint="eastAsia" w:cs="宋体"/>
          <w:color w:val="auto"/>
        </w:rPr>
        <w:t>地点：政采云平台（http://zfcg.czt.zj.gov.cn）；</w:t>
      </w:r>
    </w:p>
    <w:p>
      <w:pPr>
        <w:ind w:firstLine="480"/>
        <w:rPr>
          <w:rFonts w:hint="eastAsia" w:cs="宋体"/>
          <w:color w:val="auto"/>
        </w:rPr>
      </w:pPr>
      <w:r>
        <w:rPr>
          <w:rFonts w:hint="eastAsia" w:cs="宋体"/>
          <w:color w:val="auto"/>
        </w:rPr>
        <w:t>方式：</w:t>
      </w:r>
    </w:p>
    <w:p>
      <w:pPr>
        <w:ind w:firstLine="480"/>
        <w:rPr>
          <w:rFonts w:hint="eastAsia" w:cs="宋体"/>
          <w:color w:val="auto"/>
        </w:rPr>
      </w:pPr>
      <w:r>
        <w:rPr>
          <w:rFonts w:hint="eastAsia" w:cs="宋体"/>
          <w:color w:val="auto"/>
        </w:rPr>
        <w:t>1、本项目招标文件实行“政府采购云平台”在线获取，不提供招标文件纸质版。供应商获取招标文件前应先完成“政府采购云平台”的账号注册；</w:t>
      </w:r>
    </w:p>
    <w:p>
      <w:pPr>
        <w:ind w:firstLine="480"/>
        <w:rPr>
          <w:rFonts w:hint="eastAsia" w:cs="宋体"/>
          <w:color w:val="auto"/>
        </w:rPr>
      </w:pPr>
      <w:r>
        <w:rPr>
          <w:rFonts w:hint="eastAsia" w:cs="宋体"/>
          <w:color w:val="auto"/>
        </w:rPr>
        <w:t>2、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ind w:firstLine="480"/>
        <w:rPr>
          <w:rFonts w:hint="eastAsia" w:cs="宋体"/>
          <w:color w:val="auto"/>
        </w:rPr>
      </w:pPr>
      <w:r>
        <w:rPr>
          <w:rFonts w:hint="eastAsia" w:cs="宋体"/>
          <w:color w:val="auto"/>
        </w:rPr>
        <w:t>3、招标公告附件内的招标文件（或采购需求）仅供阅览使用，投标人只有在“政府采购云平台”完成获取招标文件申请并下载了招标文件后才视作依法获取招标文件（法律法规所指的供应商获取招标文件时间以供应商完成获取招标文件申请后下载招标文件的时间为准）。</w:t>
      </w:r>
    </w:p>
    <w:p>
      <w:pPr>
        <w:ind w:firstLine="480"/>
        <w:rPr>
          <w:rFonts w:hint="eastAsia" w:cs="宋体"/>
          <w:color w:val="auto"/>
        </w:rPr>
      </w:pPr>
      <w:r>
        <w:rPr>
          <w:rFonts w:hint="eastAsia" w:cs="宋体"/>
          <w:color w:val="auto"/>
        </w:rPr>
        <w:t>注：请投标人按上述要求获取招标文件，如未在“政采云”系统内完成相关流程，引起的投标无效责任自负。</w:t>
      </w:r>
    </w:p>
    <w:p>
      <w:pPr>
        <w:pStyle w:val="5"/>
        <w:rPr>
          <w:rFonts w:hint="eastAsia" w:ascii="宋体" w:hAnsi="宋体" w:cs="宋体"/>
          <w:color w:val="auto"/>
          <w:sz w:val="24"/>
          <w:szCs w:val="24"/>
        </w:rPr>
      </w:pPr>
      <w:bookmarkStart w:id="19" w:name="_Toc28359082"/>
      <w:bookmarkStart w:id="20" w:name="_Toc28359005"/>
      <w:bookmarkStart w:id="21" w:name="_Toc35393624"/>
      <w:bookmarkStart w:id="22" w:name="_Toc2194"/>
      <w:bookmarkStart w:id="23" w:name="_Toc35393793"/>
      <w:r>
        <w:rPr>
          <w:rFonts w:hint="eastAsia" w:ascii="宋体" w:hAnsi="宋体" w:cs="宋体"/>
          <w:color w:val="auto"/>
          <w:sz w:val="24"/>
          <w:szCs w:val="24"/>
        </w:rPr>
        <w:t>四、提交投标文件</w:t>
      </w:r>
      <w:bookmarkEnd w:id="19"/>
      <w:bookmarkEnd w:id="20"/>
      <w:r>
        <w:rPr>
          <w:rFonts w:hint="eastAsia" w:ascii="宋体" w:hAnsi="宋体" w:cs="宋体"/>
          <w:color w:val="auto"/>
          <w:sz w:val="24"/>
          <w:szCs w:val="24"/>
        </w:rPr>
        <w:t>截止时间、开标时间和地点</w:t>
      </w:r>
      <w:bookmarkEnd w:id="21"/>
      <w:bookmarkEnd w:id="22"/>
      <w:bookmarkEnd w:id="23"/>
    </w:p>
    <w:p>
      <w:pPr>
        <w:ind w:firstLine="480"/>
        <w:rPr>
          <w:rFonts w:hint="eastAsia" w:cs="宋体"/>
          <w:color w:val="auto"/>
        </w:rPr>
      </w:pPr>
      <w:bookmarkStart w:id="24" w:name="_Toc35393625"/>
      <w:bookmarkStart w:id="25" w:name="_Toc35393794"/>
      <w:bookmarkStart w:id="26" w:name="_Toc28359084"/>
      <w:bookmarkStart w:id="27" w:name="_Toc28359007"/>
      <w:r>
        <w:rPr>
          <w:rFonts w:hint="eastAsia" w:cs="宋体"/>
          <w:color w:val="auto"/>
        </w:rPr>
        <w:t>截止时间：2021年</w:t>
      </w:r>
      <w:r>
        <w:rPr>
          <w:rFonts w:hint="eastAsia" w:cs="宋体"/>
          <w:color w:val="auto"/>
          <w:lang w:val="en-US" w:eastAsia="zh-CN"/>
        </w:rPr>
        <w:t>7</w:t>
      </w:r>
      <w:r>
        <w:rPr>
          <w:rFonts w:hint="eastAsia" w:cs="宋体"/>
          <w:color w:val="auto"/>
        </w:rPr>
        <w:t>月</w:t>
      </w:r>
      <w:r>
        <w:rPr>
          <w:rFonts w:hint="eastAsia" w:cs="宋体"/>
          <w:color w:val="auto"/>
          <w:lang w:val="en-US" w:eastAsia="zh-CN"/>
        </w:rPr>
        <w:t>16</w:t>
      </w:r>
      <w:r>
        <w:rPr>
          <w:rFonts w:hint="eastAsia" w:cs="宋体"/>
          <w:color w:val="auto"/>
        </w:rPr>
        <w:t>日，14时30分；</w:t>
      </w:r>
    </w:p>
    <w:p>
      <w:pPr>
        <w:ind w:firstLine="480"/>
        <w:rPr>
          <w:rFonts w:hint="eastAsia" w:cs="宋体"/>
          <w:color w:val="auto"/>
        </w:rPr>
      </w:pPr>
      <w:r>
        <w:rPr>
          <w:rFonts w:hint="eastAsia" w:cs="宋体"/>
          <w:color w:val="auto"/>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ind w:firstLine="480"/>
        <w:rPr>
          <w:rFonts w:hint="eastAsia" w:cs="宋体"/>
          <w:color w:val="auto"/>
        </w:rPr>
      </w:pPr>
      <w:r>
        <w:rPr>
          <w:rFonts w:hint="eastAsia" w:cs="宋体"/>
          <w:color w:val="auto"/>
        </w:rPr>
        <w:t>供应商在上传电子投标文件的同时，（现场递交形式）于投标截止时间前将以U盘存储的备份电子投标文件密封后送交到慈溪市公共资源交易中心二楼第</w:t>
      </w:r>
      <w:r>
        <w:rPr>
          <w:rFonts w:hint="eastAsia" w:cs="宋体"/>
          <w:color w:val="auto"/>
          <w:lang w:eastAsia="zh-CN"/>
        </w:rPr>
        <w:t>四</w:t>
      </w:r>
      <w:r>
        <w:rPr>
          <w:rFonts w:hint="eastAsia" w:cs="宋体"/>
          <w:color w:val="auto"/>
        </w:rPr>
        <w:t>开标室（慈溪市南二环东路1355号），逾期送达或未密封将被拒收。（EMS邮寄形式）于投标截止时间前递交以介质（U盘）存储的数据电文形式的备份投标文件，备份投标文件应当密封包装并在包装上标注投标项目名称、投标人名称并加盖公章。送达地址：宁波市鄞州区宁穿路1679号金融硅谷9号楼1402室，联系方式18969439293。供应商邮寄后可将邮件单号发送至代理机构电子邮箱（电子邮箱：hzwsgc@163.com），以便采购代理机构查询物流记录。各供应商应当确保投标文件的密封包装在邮寄过程保持完好，并在邮寄包裹上注明项目名称，因邮寄造成投标文件密封破损而不符合采购文件对投标文件的密封要求、或邮寄过程中导致投标文件未在投标截止时间前送达的，代理机构将拒绝其备份电子投标文件。各供应商自行考虑邮寄在途时间，投标文件送达时间以工作人员实际签收时间为准。</w:t>
      </w:r>
    </w:p>
    <w:p>
      <w:pPr>
        <w:ind w:firstLine="480"/>
        <w:rPr>
          <w:rFonts w:hint="eastAsia" w:cs="宋体"/>
          <w:color w:val="auto"/>
        </w:rPr>
      </w:pPr>
      <w:r>
        <w:rPr>
          <w:rFonts w:hint="eastAsia" w:cs="宋体"/>
          <w:color w:val="auto"/>
        </w:rPr>
        <w:t>开标时间：2021年</w:t>
      </w:r>
      <w:r>
        <w:rPr>
          <w:rFonts w:hint="eastAsia" w:cs="宋体"/>
          <w:color w:val="auto"/>
          <w:lang w:val="en-US" w:eastAsia="zh-CN"/>
        </w:rPr>
        <w:t>7</w:t>
      </w:r>
      <w:r>
        <w:rPr>
          <w:rFonts w:hint="eastAsia" w:cs="宋体"/>
          <w:color w:val="auto"/>
        </w:rPr>
        <w:t>月</w:t>
      </w:r>
      <w:r>
        <w:rPr>
          <w:rFonts w:hint="eastAsia" w:cs="宋体"/>
          <w:color w:val="auto"/>
          <w:lang w:val="en-US" w:eastAsia="zh-CN"/>
        </w:rPr>
        <w:t>16</w:t>
      </w:r>
      <w:r>
        <w:rPr>
          <w:rFonts w:hint="eastAsia" w:cs="宋体"/>
          <w:color w:val="auto"/>
        </w:rPr>
        <w:t>日，14时30分；</w:t>
      </w:r>
    </w:p>
    <w:p>
      <w:pPr>
        <w:ind w:firstLine="480"/>
        <w:rPr>
          <w:rFonts w:hint="eastAsia" w:cs="宋体"/>
          <w:color w:val="auto"/>
        </w:rPr>
      </w:pPr>
      <w:r>
        <w:rPr>
          <w:rFonts w:hint="eastAsia" w:cs="宋体"/>
          <w:color w:val="auto"/>
        </w:rPr>
        <w:t>开标时间后半小时内（2021年</w:t>
      </w:r>
      <w:r>
        <w:rPr>
          <w:rFonts w:hint="eastAsia" w:cs="宋体"/>
          <w:color w:val="auto"/>
          <w:lang w:val="en-US" w:eastAsia="zh-CN"/>
        </w:rPr>
        <w:t>7</w:t>
      </w:r>
      <w:r>
        <w:rPr>
          <w:rFonts w:hint="eastAsia" w:cs="宋体"/>
          <w:color w:val="auto"/>
        </w:rPr>
        <w:t>月</w:t>
      </w:r>
      <w:r>
        <w:rPr>
          <w:rFonts w:hint="eastAsia" w:cs="宋体"/>
          <w:color w:val="auto"/>
          <w:lang w:val="en-US" w:eastAsia="zh-CN"/>
        </w:rPr>
        <w:t>16</w:t>
      </w:r>
      <w:r>
        <w:rPr>
          <w:rFonts w:hint="eastAsia" w:cs="宋体"/>
          <w:color w:val="auto"/>
        </w:rPr>
        <w:t>日，15:00 时前）供应商可以登录“政采云”平台，按政采云平台政府采购项目电子交易操作指南进行解密投标文件。若供应商在规定时间内（2021年</w:t>
      </w:r>
      <w:r>
        <w:rPr>
          <w:rFonts w:hint="eastAsia" w:cs="宋体"/>
          <w:color w:val="auto"/>
          <w:lang w:val="en-US" w:eastAsia="zh-CN"/>
        </w:rPr>
        <w:t>7</w:t>
      </w:r>
      <w:r>
        <w:rPr>
          <w:rFonts w:hint="eastAsia" w:cs="宋体"/>
          <w:color w:val="auto"/>
        </w:rPr>
        <w:t>月</w:t>
      </w:r>
      <w:r>
        <w:rPr>
          <w:rFonts w:hint="eastAsia" w:cs="宋体"/>
          <w:color w:val="auto"/>
          <w:lang w:val="en-US" w:eastAsia="zh-CN"/>
        </w:rPr>
        <w:t>16</w:t>
      </w:r>
      <w:r>
        <w:rPr>
          <w:rFonts w:hint="eastAsia" w:cs="宋体"/>
          <w:color w:val="auto"/>
        </w:rPr>
        <w:t>日，15:00 时前）无法解密或解密失败且未提供备份电子投标文件的，视为投标人放弃投标。</w:t>
      </w:r>
    </w:p>
    <w:p>
      <w:pPr>
        <w:ind w:firstLine="480"/>
        <w:rPr>
          <w:rFonts w:hint="eastAsia" w:cs="宋体"/>
          <w:color w:val="auto"/>
        </w:rPr>
      </w:pPr>
      <w:r>
        <w:rPr>
          <w:rFonts w:hint="eastAsia" w:cs="宋体"/>
          <w:color w:val="auto"/>
        </w:rPr>
        <w:t>开标地点：慈溪市公共资源交易中心第</w:t>
      </w:r>
      <w:r>
        <w:rPr>
          <w:rFonts w:hint="eastAsia" w:cs="宋体"/>
          <w:color w:val="auto"/>
          <w:lang w:eastAsia="zh-CN"/>
        </w:rPr>
        <w:t>四</w:t>
      </w:r>
      <w:r>
        <w:rPr>
          <w:rFonts w:hint="eastAsia" w:cs="宋体"/>
          <w:color w:val="auto"/>
        </w:rPr>
        <w:t>开标室（慈溪市白沙路街道南二环东路1355号）。</w:t>
      </w:r>
    </w:p>
    <w:p>
      <w:pPr>
        <w:ind w:firstLine="480"/>
        <w:rPr>
          <w:rFonts w:hint="eastAsia" w:cs="宋体"/>
          <w:color w:val="auto"/>
        </w:rPr>
      </w:pPr>
      <w:r>
        <w:rPr>
          <w:rFonts w:hint="eastAsia" w:cs="宋体"/>
          <w:color w:val="auto"/>
        </w:rPr>
        <w:t>【请各供应商提前进行专题学习，熟悉操作，避免影响采购活动。浙江省“电子交易/不见面开评标”学习专题（网址https://edu.zcygov.cn/luban/e-biding），政采云平台客服电话: 400-881-7190】</w:t>
      </w:r>
    </w:p>
    <w:p>
      <w:pPr>
        <w:ind w:firstLine="480"/>
        <w:rPr>
          <w:rFonts w:hint="eastAsia" w:cs="宋体"/>
          <w:color w:val="auto"/>
        </w:rPr>
      </w:pPr>
      <w:r>
        <w:rPr>
          <w:rFonts w:hint="eastAsia" w:cs="宋体"/>
          <w:color w:val="auto"/>
        </w:rPr>
        <w:t>五、公告期限</w:t>
      </w:r>
      <w:bookmarkEnd w:id="24"/>
      <w:bookmarkEnd w:id="25"/>
      <w:bookmarkEnd w:id="26"/>
      <w:bookmarkEnd w:id="27"/>
      <w:r>
        <w:rPr>
          <w:rFonts w:hint="eastAsia" w:cs="宋体"/>
          <w:color w:val="auto"/>
        </w:rPr>
        <w:t>(招标文件公告期限)</w:t>
      </w:r>
    </w:p>
    <w:p>
      <w:pPr>
        <w:ind w:firstLine="480"/>
        <w:rPr>
          <w:rFonts w:hint="eastAsia" w:cs="宋体"/>
          <w:color w:val="auto"/>
        </w:rPr>
      </w:pPr>
      <w:r>
        <w:rPr>
          <w:rFonts w:hint="eastAsia" w:cs="宋体"/>
          <w:color w:val="auto"/>
        </w:rPr>
        <w:t>自本公告发布之日起5个工作日。</w:t>
      </w:r>
    </w:p>
    <w:p>
      <w:pPr>
        <w:pStyle w:val="5"/>
        <w:rPr>
          <w:rFonts w:hint="eastAsia" w:ascii="宋体" w:hAnsi="宋体" w:cs="宋体"/>
          <w:color w:val="auto"/>
          <w:sz w:val="24"/>
          <w:szCs w:val="24"/>
        </w:rPr>
      </w:pPr>
      <w:bookmarkStart w:id="28" w:name="_Toc11320"/>
      <w:bookmarkStart w:id="29" w:name="_Toc35393626"/>
      <w:bookmarkStart w:id="30" w:name="_Toc35393795"/>
      <w:r>
        <w:rPr>
          <w:rFonts w:hint="eastAsia" w:ascii="宋体" w:hAnsi="宋体" w:cs="宋体"/>
          <w:color w:val="auto"/>
          <w:sz w:val="24"/>
          <w:szCs w:val="24"/>
        </w:rPr>
        <w:t>六、其他补充事宜</w:t>
      </w:r>
      <w:bookmarkEnd w:id="28"/>
      <w:bookmarkEnd w:id="29"/>
      <w:bookmarkEnd w:id="30"/>
    </w:p>
    <w:p>
      <w:pPr>
        <w:ind w:firstLine="480"/>
        <w:rPr>
          <w:rFonts w:hint="eastAsia" w:cs="宋体"/>
          <w:color w:val="auto"/>
        </w:rPr>
      </w:pPr>
      <w:r>
        <w:rPr>
          <w:rFonts w:hint="eastAsia" w:cs="宋体"/>
          <w:color w:val="auto"/>
        </w:rPr>
        <w:t>1、本次政府采购活动有关信息在浙江政府采购网、宁波政府采购网和宁波市公共资源交易网慈溪分网公布，视同送达所有潜在投标人。</w:t>
      </w:r>
    </w:p>
    <w:p>
      <w:pPr>
        <w:pStyle w:val="5"/>
        <w:rPr>
          <w:rFonts w:hint="eastAsia" w:ascii="宋体" w:hAnsi="宋体" w:cs="宋体"/>
          <w:color w:val="auto"/>
          <w:sz w:val="24"/>
          <w:szCs w:val="24"/>
        </w:rPr>
      </w:pPr>
      <w:bookmarkStart w:id="31" w:name="_Toc20776"/>
      <w:bookmarkStart w:id="32" w:name="_Toc28359008"/>
      <w:bookmarkStart w:id="33" w:name="_Toc35393627"/>
      <w:bookmarkStart w:id="34" w:name="_Toc28359085"/>
      <w:bookmarkStart w:id="35" w:name="_Toc35393796"/>
      <w:r>
        <w:rPr>
          <w:rFonts w:hint="eastAsia" w:ascii="宋体" w:hAnsi="宋体" w:cs="宋体"/>
          <w:color w:val="auto"/>
          <w:sz w:val="24"/>
          <w:szCs w:val="24"/>
        </w:rPr>
        <w:t>七、对本次招标提出询问，请按以下方式联系。</w:t>
      </w:r>
      <w:bookmarkEnd w:id="31"/>
      <w:bookmarkEnd w:id="32"/>
      <w:bookmarkEnd w:id="33"/>
      <w:bookmarkEnd w:id="34"/>
      <w:bookmarkEnd w:id="35"/>
    </w:p>
    <w:p>
      <w:pPr>
        <w:ind w:firstLine="480"/>
        <w:rPr>
          <w:rFonts w:hint="eastAsia" w:cs="宋体"/>
          <w:color w:val="auto"/>
        </w:rPr>
      </w:pPr>
      <w:r>
        <w:rPr>
          <w:rFonts w:hint="eastAsia" w:cs="宋体"/>
          <w:color w:val="auto"/>
        </w:rPr>
        <w:t>采购人：</w:t>
      </w:r>
      <w:r>
        <w:rPr>
          <w:rFonts w:hint="eastAsia" w:cs="宋体"/>
          <w:color w:val="auto"/>
          <w:lang w:eastAsia="zh-CN"/>
        </w:rPr>
        <w:t>宁波行知中等职业学校</w:t>
      </w:r>
    </w:p>
    <w:p>
      <w:pPr>
        <w:ind w:firstLine="480"/>
        <w:rPr>
          <w:rFonts w:hint="eastAsia" w:cs="宋体"/>
          <w:color w:val="auto"/>
          <w:lang w:eastAsia="zh-CN"/>
        </w:rPr>
      </w:pPr>
      <w:r>
        <w:rPr>
          <w:rFonts w:hint="eastAsia" w:cs="宋体"/>
          <w:color w:val="auto"/>
          <w:lang w:eastAsia="zh-CN"/>
        </w:rPr>
        <w:t>地址：</w:t>
      </w:r>
      <w:r>
        <w:rPr>
          <w:rFonts w:hint="eastAsia" w:cs="宋体"/>
          <w:color w:val="auto"/>
        </w:rPr>
        <w:t>慈溪市北三环路</w:t>
      </w:r>
    </w:p>
    <w:p>
      <w:pPr>
        <w:ind w:firstLine="480"/>
        <w:rPr>
          <w:rFonts w:hint="eastAsia" w:cs="宋体"/>
          <w:color w:val="auto"/>
        </w:rPr>
      </w:pPr>
      <w:r>
        <w:rPr>
          <w:rFonts w:hint="eastAsia" w:cs="宋体"/>
          <w:color w:val="auto"/>
        </w:rPr>
        <w:t>联系人：胡</w:t>
      </w:r>
      <w:r>
        <w:rPr>
          <w:rFonts w:hint="eastAsia" w:cs="宋体"/>
          <w:color w:val="auto"/>
          <w:lang w:eastAsia="zh-CN"/>
        </w:rPr>
        <w:t>老师</w:t>
      </w:r>
    </w:p>
    <w:p>
      <w:pPr>
        <w:ind w:firstLine="480"/>
        <w:rPr>
          <w:rFonts w:hint="eastAsia" w:cs="宋体"/>
          <w:color w:val="auto"/>
        </w:rPr>
      </w:pPr>
      <w:r>
        <w:rPr>
          <w:rFonts w:hint="eastAsia" w:cs="宋体"/>
          <w:color w:val="auto"/>
        </w:rPr>
        <w:t>联系电话：(0574) 55685815</w:t>
      </w:r>
    </w:p>
    <w:p>
      <w:pPr>
        <w:ind w:firstLine="480"/>
        <w:rPr>
          <w:rFonts w:hint="eastAsia" w:cs="宋体"/>
          <w:color w:val="auto"/>
        </w:rPr>
      </w:pPr>
      <w:r>
        <w:rPr>
          <w:rFonts w:hint="eastAsia" w:cs="宋体"/>
          <w:color w:val="auto"/>
        </w:rPr>
        <w:t>质疑联系人：黄</w:t>
      </w:r>
      <w:r>
        <w:rPr>
          <w:rFonts w:hint="eastAsia" w:cs="宋体"/>
          <w:color w:val="auto"/>
          <w:lang w:eastAsia="zh-CN"/>
        </w:rPr>
        <w:t>老师</w:t>
      </w:r>
    </w:p>
    <w:p>
      <w:pPr>
        <w:ind w:firstLine="480"/>
        <w:rPr>
          <w:rFonts w:hint="eastAsia" w:cs="宋体"/>
          <w:color w:val="auto"/>
        </w:rPr>
      </w:pPr>
      <w:r>
        <w:rPr>
          <w:rFonts w:hint="eastAsia" w:cs="宋体"/>
          <w:color w:val="auto"/>
        </w:rPr>
        <w:t>联系电话：</w:t>
      </w:r>
      <w:r>
        <w:rPr>
          <w:rFonts w:hint="eastAsia" w:cs="宋体"/>
          <w:color w:val="auto"/>
          <w:lang w:val="en-US" w:eastAsia="zh-CN"/>
        </w:rPr>
        <w:t>0574-</w:t>
      </w:r>
      <w:r>
        <w:rPr>
          <w:rFonts w:hint="eastAsia" w:cs="宋体"/>
          <w:color w:val="auto"/>
        </w:rPr>
        <w:t>63232002</w:t>
      </w:r>
    </w:p>
    <w:p>
      <w:pPr>
        <w:ind w:firstLine="480"/>
        <w:rPr>
          <w:rFonts w:hint="eastAsia" w:cs="宋体"/>
          <w:color w:val="auto"/>
        </w:rPr>
      </w:pPr>
      <w:r>
        <w:rPr>
          <w:rFonts w:hint="eastAsia" w:cs="宋体"/>
          <w:color w:val="auto"/>
        </w:rPr>
        <w:t>招标代理机构名称：浙江五石工程咨询有限公司</w:t>
      </w:r>
    </w:p>
    <w:p>
      <w:pPr>
        <w:ind w:firstLine="480"/>
        <w:rPr>
          <w:rFonts w:hint="eastAsia" w:cs="宋体"/>
          <w:color w:val="auto"/>
        </w:rPr>
      </w:pPr>
      <w:r>
        <w:rPr>
          <w:rFonts w:hint="eastAsia" w:cs="宋体"/>
          <w:color w:val="auto"/>
        </w:rPr>
        <w:t>地    址：宁波市鄞州区宁穿路1679号金融硅谷9号楼1402室</w:t>
      </w:r>
    </w:p>
    <w:p>
      <w:pPr>
        <w:ind w:firstLine="480"/>
        <w:rPr>
          <w:rFonts w:hint="eastAsia" w:cs="宋体"/>
          <w:color w:val="auto"/>
        </w:rPr>
      </w:pPr>
      <w:r>
        <w:rPr>
          <w:rFonts w:hint="eastAsia" w:cs="宋体"/>
          <w:color w:val="auto"/>
        </w:rPr>
        <w:t>业务联系人：毛建华、毕夏凤、章小丽</w:t>
      </w:r>
      <w:r>
        <w:rPr>
          <w:rFonts w:hint="eastAsia" w:cs="宋体"/>
          <w:color w:val="auto"/>
        </w:rPr>
        <w:br w:type="textWrapping"/>
      </w:r>
      <w:r>
        <w:rPr>
          <w:rFonts w:hint="eastAsia" w:cs="宋体"/>
          <w:color w:val="auto"/>
        </w:rPr>
        <w:t xml:space="preserve">    联系电话：0574-83896188、87645885      传    真：0574-87520151</w:t>
      </w:r>
    </w:p>
    <w:p>
      <w:pPr>
        <w:ind w:firstLine="480"/>
        <w:rPr>
          <w:rFonts w:hint="eastAsia" w:cs="宋体"/>
          <w:color w:val="auto"/>
        </w:rPr>
      </w:pPr>
      <w:r>
        <w:rPr>
          <w:rFonts w:hint="eastAsia" w:cs="宋体"/>
          <w:color w:val="auto"/>
        </w:rPr>
        <w:t>质疑联系人：毛先生          联系电话：0574-87208097</w:t>
      </w:r>
    </w:p>
    <w:p>
      <w:pPr>
        <w:ind w:firstLine="480"/>
        <w:rPr>
          <w:rFonts w:hint="eastAsia" w:cs="宋体"/>
          <w:color w:val="auto"/>
        </w:rPr>
      </w:pPr>
      <w:r>
        <w:rPr>
          <w:rFonts w:hint="eastAsia" w:cs="宋体"/>
          <w:color w:val="auto"/>
        </w:rPr>
        <w:t>邮箱：</w:t>
      </w:r>
      <w:r>
        <w:rPr>
          <w:rFonts w:hint="eastAsia" w:cs="宋体"/>
          <w:color w:val="auto"/>
        </w:rPr>
        <w:fldChar w:fldCharType="begin"/>
      </w:r>
      <w:r>
        <w:rPr>
          <w:rFonts w:hint="eastAsia" w:cs="宋体"/>
          <w:color w:val="auto"/>
        </w:rPr>
        <w:instrText xml:space="preserve"> HYPERLINK "mailto:hzwsgc@163.com" </w:instrText>
      </w:r>
      <w:r>
        <w:rPr>
          <w:rFonts w:hint="eastAsia" w:cs="宋体"/>
          <w:color w:val="auto"/>
        </w:rPr>
        <w:fldChar w:fldCharType="separate"/>
      </w:r>
      <w:r>
        <w:rPr>
          <w:rFonts w:hint="eastAsia" w:cs="宋体"/>
          <w:color w:val="auto"/>
        </w:rPr>
        <w:t>hzwsgc@163.com</w:t>
      </w:r>
      <w:r>
        <w:rPr>
          <w:rFonts w:hint="eastAsia" w:cs="宋体"/>
          <w:color w:val="auto"/>
        </w:rPr>
        <w:fldChar w:fldCharType="end"/>
      </w:r>
    </w:p>
    <w:p>
      <w:pPr>
        <w:ind w:firstLine="480"/>
        <w:rPr>
          <w:rFonts w:hint="eastAsia" w:cs="宋体"/>
          <w:color w:val="auto"/>
        </w:rPr>
      </w:pPr>
      <w:r>
        <w:rPr>
          <w:rFonts w:hint="eastAsia" w:cs="宋体"/>
          <w:color w:val="auto"/>
        </w:rPr>
        <w:t>网站系统问题咨询：注册、账号等， 4008817190；其它，4008371020。</w:t>
      </w:r>
    </w:p>
    <w:p>
      <w:pPr>
        <w:ind w:firstLine="480"/>
        <w:rPr>
          <w:rFonts w:hint="eastAsia" w:cs="宋体"/>
          <w:color w:val="auto"/>
        </w:rPr>
      </w:pPr>
      <w:r>
        <w:rPr>
          <w:rFonts w:hint="eastAsia" w:cs="宋体"/>
          <w:color w:val="auto"/>
        </w:rPr>
        <w:t>监督机构：慈溪市公共资源交易管理办公室</w:t>
      </w:r>
      <w:r>
        <w:rPr>
          <w:rFonts w:hint="eastAsia" w:cs="宋体"/>
          <w:color w:val="auto"/>
        </w:rPr>
        <w:br w:type="textWrapping"/>
      </w:r>
      <w:r>
        <w:rPr>
          <w:rFonts w:hint="eastAsia" w:cs="宋体"/>
          <w:color w:val="auto"/>
        </w:rPr>
        <w:t xml:space="preserve">    地址：慈溪市南二环东路1355号</w:t>
      </w:r>
    </w:p>
    <w:p>
      <w:pPr>
        <w:ind w:firstLine="480"/>
        <w:rPr>
          <w:rFonts w:hint="eastAsia" w:cs="宋体"/>
          <w:color w:val="auto"/>
        </w:rPr>
      </w:pPr>
      <w:r>
        <w:rPr>
          <w:rFonts w:hint="eastAsia" w:cs="宋体"/>
          <w:color w:val="auto"/>
        </w:rPr>
        <w:t>传真：63032032</w:t>
      </w:r>
    </w:p>
    <w:p>
      <w:pPr>
        <w:ind w:firstLine="480"/>
        <w:rPr>
          <w:rFonts w:hint="eastAsia" w:cs="宋体"/>
          <w:color w:val="auto"/>
        </w:rPr>
      </w:pPr>
      <w:r>
        <w:rPr>
          <w:rFonts w:hint="eastAsia" w:cs="宋体"/>
          <w:color w:val="auto"/>
        </w:rPr>
        <w:t xml:space="preserve">联系人：赵先生        </w:t>
      </w:r>
    </w:p>
    <w:p>
      <w:pPr>
        <w:ind w:firstLine="480"/>
        <w:rPr>
          <w:rFonts w:hint="eastAsia" w:cs="宋体"/>
          <w:color w:val="auto"/>
        </w:rPr>
      </w:pPr>
      <w:r>
        <w:rPr>
          <w:rFonts w:hint="eastAsia" w:cs="宋体"/>
          <w:color w:val="auto"/>
        </w:rPr>
        <w:t>监督电话：63032252</w:t>
      </w:r>
    </w:p>
    <w:p>
      <w:pPr>
        <w:widowControl/>
        <w:adjustRightInd w:val="0"/>
        <w:snapToGrid w:val="0"/>
        <w:ind w:firstLine="480"/>
        <w:jc w:val="left"/>
        <w:rPr>
          <w:rFonts w:hint="eastAsia" w:cs="宋体"/>
          <w:color w:val="auto"/>
          <w:kern w:val="0"/>
        </w:rPr>
      </w:pPr>
      <w:r>
        <w:rPr>
          <w:rFonts w:hint="eastAsia" w:cs="宋体"/>
          <w:color w:val="auto"/>
          <w:kern w:val="0"/>
        </w:rPr>
        <w:t>若对项目采购电子交易系统操作有疑问，可登录政采云（https://www.zcygov.cn/），点击右侧咨询小采，获取采小蜜智能服务管家帮助，或拨打政采云服务热线400-881-7190获取热线服务帮助。</w:t>
      </w:r>
    </w:p>
    <w:p>
      <w:pPr>
        <w:adjustRightInd w:val="0"/>
        <w:snapToGrid w:val="0"/>
        <w:ind w:firstLine="480"/>
        <w:rPr>
          <w:rFonts w:hint="eastAsia" w:cs="宋体"/>
          <w:color w:val="auto"/>
        </w:rPr>
      </w:pPr>
      <w:r>
        <w:rPr>
          <w:rFonts w:hint="eastAsia" w:cs="宋体"/>
          <w:color w:val="auto"/>
          <w:kern w:val="0"/>
        </w:rPr>
        <w:t>CA问题联系电话（人工）：汇信CA 400-888-4636；天谷CA 400-087-8198。</w:t>
      </w:r>
    </w:p>
    <w:bookmarkEnd w:id="2"/>
    <w:p>
      <w:pPr>
        <w:pStyle w:val="4"/>
        <w:rPr>
          <w:rFonts w:hint="eastAsia" w:cs="宋体"/>
          <w:color w:val="auto"/>
        </w:rPr>
        <w:sectPr>
          <w:headerReference r:id="rId15" w:type="default"/>
          <w:footerReference r:id="rId16" w:type="default"/>
          <w:pgSz w:w="11906" w:h="16838"/>
          <w:pgMar w:top="1247" w:right="1247" w:bottom="1247" w:left="1247" w:header="170" w:footer="567" w:gutter="0"/>
          <w:pgBorders>
            <w:top w:val="none" w:sz="0" w:space="0"/>
            <w:left w:val="none" w:sz="0" w:space="0"/>
            <w:bottom w:val="none" w:sz="0" w:space="0"/>
            <w:right w:val="none" w:sz="0" w:space="0"/>
          </w:pgBorders>
          <w:cols w:space="720" w:num="1"/>
          <w:docGrid w:linePitch="381" w:charSpace="0"/>
        </w:sectPr>
      </w:pPr>
      <w:bookmarkStart w:id="36" w:name="_Toc16385"/>
    </w:p>
    <w:p>
      <w:pPr>
        <w:pStyle w:val="4"/>
        <w:rPr>
          <w:rFonts w:hint="eastAsia" w:cs="宋体"/>
          <w:color w:val="auto"/>
        </w:rPr>
      </w:pPr>
      <w:r>
        <w:rPr>
          <w:rFonts w:hint="eastAsia" w:cs="宋体"/>
          <w:color w:val="auto"/>
        </w:rPr>
        <w:t>第二章  项目需求说明</w:t>
      </w:r>
      <w:bookmarkEnd w:id="36"/>
    </w:p>
    <w:p>
      <w:pPr>
        <w:pStyle w:val="2"/>
        <w:ind w:left="0" w:leftChars="0" w:firstLine="0" w:firstLineChars="0"/>
        <w:rPr>
          <w:rFonts w:hint="eastAsia" w:eastAsia="宋体" w:cs="宋体"/>
          <w:b/>
          <w:bCs/>
          <w:color w:val="auto"/>
          <w:lang w:eastAsia="zh-CN"/>
        </w:rPr>
      </w:pPr>
      <w:bookmarkStart w:id="37" w:name="_Toc450840086"/>
      <w:bookmarkStart w:id="38" w:name="_Toc23621"/>
      <w:bookmarkStart w:id="39" w:name="_Toc3325"/>
      <w:bookmarkStart w:id="40" w:name="_Toc450840085"/>
      <w:r>
        <w:rPr>
          <w:rFonts w:hint="eastAsia" w:cs="宋体"/>
          <w:b/>
          <w:bCs/>
          <w:color w:val="auto"/>
          <w:lang w:eastAsia="zh-CN"/>
        </w:rPr>
        <w:t>第一部分：采购需求</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一、项目概况：</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宁波行知中等职业学校，位于慈溪市西部教育园区，是一所集职业教育、职业培训、职业技能鉴定为一体，以培养中高级技能人才为主的国家级重点职业学校、国家改革发展示范学校。</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学院占地面积411.5亩，建筑面积10.2万余平方米，学校现有教职工400余人，全日制学生校学生86班，其中新疆班6班，人数3600多人，其中新疆学生260多人，另有浙江工商职业技术学院慈溪学院</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班，人数</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00多人，以后将逐步增加。现开设建筑、信息技术、财经商贸、旅游服务、社会文化、学前教育等六大类专业，十五个专业方向，其中学前教育为五年一贯制全日制大专班，建筑工程施工、工程造价、电子商务、会计、酒店管理等五个专业为3+2高职班。学校建有动漫、客房中心、会计上岗证、西餐、舞蹈、造型等70多个一体化实习实训场所。学校坚持学制教育和社会培训并举。</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二、人员需求</w:t>
      </w:r>
    </w:p>
    <w:p>
      <w:pPr>
        <w:pStyle w:val="2"/>
        <w:keepNext w:val="0"/>
        <w:keepLines w:val="0"/>
        <w:pageBreakBefore w:val="0"/>
        <w:kinsoku/>
        <w:wordWrap/>
        <w:overflowPunct/>
        <w:topLinePunct w:val="0"/>
        <w:bidi w:val="0"/>
        <w:spacing w:before="0"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保安1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人（其中队长1人，班长2人，</w:t>
      </w:r>
      <w:r>
        <w:rPr>
          <w:rFonts w:hint="eastAsia" w:ascii="宋体" w:hAnsi="宋体" w:eastAsia="宋体" w:cs="宋体"/>
          <w:color w:val="auto"/>
          <w:sz w:val="24"/>
          <w:szCs w:val="24"/>
          <w:lang w:eastAsia="zh-CN"/>
        </w:rPr>
        <w:t>门卫保安</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，新疆寝室保安</w:t>
      </w:r>
      <w:r>
        <w:rPr>
          <w:rFonts w:hint="eastAsia" w:ascii="宋体" w:hAnsi="宋体" w:eastAsia="宋体" w:cs="宋体"/>
          <w:color w:val="auto"/>
          <w:sz w:val="24"/>
          <w:szCs w:val="24"/>
          <w:lang w:val="en-US" w:eastAsia="zh-CN"/>
        </w:rPr>
        <w:t>3人，工商保安3人</w:t>
      </w:r>
      <w:r>
        <w:rPr>
          <w:rFonts w:hint="eastAsia" w:ascii="宋体" w:hAnsi="宋体" w:eastAsia="宋体" w:cs="宋体"/>
          <w:color w:val="auto"/>
          <w:sz w:val="24"/>
          <w:szCs w:val="24"/>
        </w:rPr>
        <w:t>）。</w:t>
      </w:r>
    </w:p>
    <w:p>
      <w:pPr>
        <w:pStyle w:val="2"/>
        <w:keepNext w:val="0"/>
        <w:keepLines w:val="0"/>
        <w:pageBreakBefore w:val="0"/>
        <w:kinsoku/>
        <w:wordWrap/>
        <w:overflowPunct/>
        <w:topLinePunct w:val="0"/>
        <w:bidi w:val="0"/>
        <w:spacing w:before="0"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三、具体有关技术标准和要求如下：   </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岗位配置：</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学校门卫及**联络室保安：</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9人（其中队长兼班长1人，班长2人，队员6人，9人1年工作12月，每星期工作7天，24小时3班轮班）；</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年8月1日—202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年7月31日）</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新疆部寝室保安：3人（每星期工作7天，24小时3班轮班制）；</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年8月25日—202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年6月15日）</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浙江工商职业技术学院慈溪学院门卫</w:t>
      </w:r>
      <w:r>
        <w:rPr>
          <w:rFonts w:hint="eastAsia" w:ascii="宋体" w:hAnsi="宋体" w:eastAsia="宋体" w:cs="宋体"/>
          <w:color w:val="auto"/>
          <w:sz w:val="24"/>
          <w:szCs w:val="24"/>
        </w:rPr>
        <w:t>保安：3人（每星期工作7天，24小时3班轮班制）；</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年8月1日—202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年7月31日）</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人员要求：</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政治素质</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热爱祖国，诚实守信；无违法犯罪记录；爱岗敬业，恪尽职守；文明值勤，礼貌待人；遵纪守法，团结协作。</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业务素质</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具备基本法律知识及与保安相关的政策、规定。</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具备一定语言、文字和普通话表达能力。</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具备与岗位职责相应的观察、发现、处置问题能力。</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具备使用基本消防设备、通讯器材、技术防范设施设备和相关防卫器械技能。</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掌握一定防卫技能。</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身体条件</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所有人员双眼裸视</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.8以上，无色盲，身体健康，无纹身。</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其他要求</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所有安保人员应持有保安职业资格证且无任何不良行为记录（合同签订前须提供公安部门证明文件）</w:t>
      </w:r>
      <w:r>
        <w:rPr>
          <w:rFonts w:hint="eastAsia" w:ascii="宋体" w:hAnsi="宋体" w:eastAsia="宋体" w:cs="宋体"/>
          <w:color w:val="auto"/>
          <w:kern w:val="0"/>
          <w:sz w:val="24"/>
          <w:szCs w:val="24"/>
          <w:lang w:eastAsia="zh-CN"/>
        </w:rPr>
        <w:t>、并且所有保安都必需要经过新冠</w:t>
      </w:r>
      <w:r>
        <w:rPr>
          <w:rFonts w:hint="eastAsia" w:ascii="宋体" w:hAnsi="宋体" w:eastAsia="宋体" w:cs="宋体"/>
          <w:color w:val="auto"/>
          <w:kern w:val="0"/>
          <w:sz w:val="24"/>
          <w:szCs w:val="24"/>
        </w:rPr>
        <w:t>疫苗</w:t>
      </w:r>
      <w:r>
        <w:rPr>
          <w:rFonts w:hint="eastAsia" w:ascii="宋体" w:hAnsi="宋体" w:eastAsia="宋体" w:cs="宋体"/>
          <w:color w:val="auto"/>
          <w:kern w:val="0"/>
          <w:sz w:val="24"/>
          <w:szCs w:val="24"/>
          <w:lang w:eastAsia="zh-CN"/>
        </w:rPr>
        <w:t>接种</w:t>
      </w:r>
      <w:r>
        <w:rPr>
          <w:rFonts w:hint="eastAsia" w:ascii="宋体" w:hAnsi="宋体" w:eastAsia="宋体" w:cs="宋体"/>
          <w:color w:val="auto"/>
          <w:kern w:val="0"/>
          <w:sz w:val="24"/>
          <w:szCs w:val="24"/>
        </w:rPr>
        <w:t>（合同签订前须提供</w:t>
      </w:r>
      <w:r>
        <w:rPr>
          <w:rFonts w:hint="eastAsia" w:ascii="宋体" w:hAnsi="宋体" w:eastAsia="宋体" w:cs="宋体"/>
          <w:color w:val="auto"/>
          <w:kern w:val="0"/>
          <w:sz w:val="24"/>
          <w:szCs w:val="24"/>
          <w:lang w:eastAsia="zh-CN"/>
        </w:rPr>
        <w:t>新冠</w:t>
      </w:r>
      <w:r>
        <w:rPr>
          <w:rFonts w:hint="eastAsia" w:ascii="宋体" w:hAnsi="宋体" w:eastAsia="宋体" w:cs="宋体"/>
          <w:color w:val="auto"/>
          <w:kern w:val="0"/>
          <w:sz w:val="24"/>
          <w:szCs w:val="24"/>
        </w:rPr>
        <w:t>疫苗</w:t>
      </w:r>
      <w:r>
        <w:rPr>
          <w:rFonts w:hint="eastAsia" w:ascii="宋体" w:hAnsi="宋体" w:eastAsia="宋体" w:cs="宋体"/>
          <w:color w:val="auto"/>
          <w:kern w:val="0"/>
          <w:sz w:val="24"/>
          <w:szCs w:val="24"/>
          <w:lang w:eastAsia="zh-CN"/>
        </w:rPr>
        <w:t>接种完成证明</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所有人员上岗前须通过面试。</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服务期间，未经甲方书面同意，不可擅自更换人员；甲方考核不满意的，须无条件更换，直至符合要求为止。</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）管辖范围：宁波行知中等职业学校校园、学校校门附近。</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）工作内容：详见岗位职责、管理制度等。</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要求有敬业、奉献精神，责任心强，能吃苦耐劳，无不良嗜好，为人正直，责任心强，敢于管理，善于与人沟通，能主动询问，待人热情，有一定的学生管理工作经验，身体健壮，品行端正，无任何不良社会记录，双眼裸视力在4.8以上，并且有初中毕业以上文化程度，户口在慈溪市内的慈溪籍本地常住人员，有公安系统颁发的保安员证,年龄不超过</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周岁的男保安，其中队长、班长要有组织管理能力。</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）统一着保安服，佩证上岗。所有安保人员应配合学校做好节能工作，爱护学校设施。</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）除能胜任日常的门卫安保工作外，还应正确保管和使用消防器材、**器具等，具备一定的安保救防知识和应对突发事件的能力。</w:t>
      </w:r>
    </w:p>
    <w:p>
      <w:pPr>
        <w:pStyle w:val="124"/>
        <w:keepNext w:val="0"/>
        <w:keepLines w:val="0"/>
        <w:pageBreakBefore w:val="0"/>
        <w:widowControl w:val="0"/>
        <w:kinsoku/>
        <w:wordWrap/>
        <w:overflowPunct/>
        <w:topLinePunct w:val="0"/>
        <w:bidi w:val="0"/>
        <w:spacing w:after="0" w:line="360" w:lineRule="auto"/>
        <w:ind w:left="0" w:right="0" w:rightChars="0" w:firstLine="360" w:firstLineChars="15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管理制度</w:t>
      </w:r>
    </w:p>
    <w:p>
      <w:pPr>
        <w:keepNext w:val="0"/>
        <w:keepLines w:val="0"/>
        <w:pageBreakBefore w:val="0"/>
        <w:widowControl/>
        <w:kinsoku/>
        <w:wordWrap/>
        <w:overflowPunct/>
        <w:topLinePunct w:val="0"/>
        <w:bidi w:val="0"/>
        <w:spacing w:line="360" w:lineRule="auto"/>
        <w:ind w:right="0" w:rightChars="0" w:firstLine="2160" w:firstLineChars="9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第一部分   宁波行知中等职业学校</w:t>
      </w:r>
      <w:r>
        <w:rPr>
          <w:rFonts w:hint="eastAsia" w:ascii="宋体" w:hAnsi="宋体" w:eastAsia="宋体" w:cs="宋体"/>
          <w:color w:val="auto"/>
          <w:kern w:val="0"/>
          <w:sz w:val="24"/>
          <w:szCs w:val="24"/>
        </w:rPr>
        <w:t>门卫管理制度</w:t>
      </w:r>
    </w:p>
    <w:p>
      <w:pPr>
        <w:keepNext w:val="0"/>
        <w:keepLines w:val="0"/>
        <w:pageBreakBefore w:val="0"/>
        <w:kinsoku/>
        <w:wordWrap/>
        <w:overflowPunct/>
        <w:topLinePunct w:val="0"/>
        <w:bidi w:val="0"/>
        <w:spacing w:line="360" w:lineRule="auto"/>
        <w:ind w:right="0" w:rightChars="0" w:firstLine="1080" w:firstLineChars="4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kern w:val="0"/>
          <w:sz w:val="24"/>
          <w:szCs w:val="24"/>
        </w:rPr>
        <w:t>学校门卫室内和**联络室有监控录像监控</w:t>
      </w:r>
      <w:r>
        <w:rPr>
          <w:rFonts w:hint="eastAsia" w:ascii="宋体" w:hAnsi="宋体" w:eastAsia="宋体" w:cs="宋体"/>
          <w:color w:val="auto"/>
          <w:sz w:val="24"/>
          <w:szCs w:val="24"/>
        </w:rPr>
        <w:t>保安</w:t>
      </w:r>
      <w:r>
        <w:rPr>
          <w:rFonts w:hint="eastAsia" w:ascii="宋体" w:hAnsi="宋体" w:eastAsia="宋体" w:cs="宋体"/>
          <w:color w:val="auto"/>
          <w:kern w:val="0"/>
          <w:sz w:val="24"/>
          <w:szCs w:val="24"/>
        </w:rPr>
        <w:t>工作</w:t>
      </w:r>
      <w:r>
        <w:rPr>
          <w:rFonts w:hint="eastAsia" w:ascii="宋体" w:hAnsi="宋体" w:eastAsia="宋体" w:cs="宋体"/>
          <w:color w:val="auto"/>
          <w:sz w:val="24"/>
          <w:szCs w:val="24"/>
        </w:rPr>
        <w:t>）</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一、学校门卫是学校安保工作的重中之重，必须高度重视，严格管理，完备制度，责任到人。学校制定门卫管理制度，有利于学校监督，使学校门卫管理逐步实现系统化、制度化、规范化、标准化。</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二、学校门岗由专职安保人员负责管理，实行24小时3班制。</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三、学校门卫肩负维护校园秩序，保障师生安全的重任，在岗人员要遵纪守法，坚守岗位，严格把关，文明值勤，努力将学校门岗建成展示学校良好形象的窗口。</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四、学校门卫必须严格执行学校会客制度，来访者应该进行</w:t>
      </w:r>
      <w:r>
        <w:rPr>
          <w:rFonts w:hint="eastAsia" w:ascii="宋体" w:hAnsi="宋体" w:eastAsia="宋体" w:cs="宋体"/>
          <w:color w:val="auto"/>
          <w:sz w:val="24"/>
          <w:szCs w:val="24"/>
          <w:lang w:eastAsia="zh-CN"/>
        </w:rPr>
        <w:t>访客系统</w:t>
      </w:r>
      <w:r>
        <w:rPr>
          <w:rFonts w:hint="eastAsia" w:ascii="宋体" w:hAnsi="宋体" w:eastAsia="宋体" w:cs="宋体"/>
          <w:color w:val="auto"/>
          <w:sz w:val="24"/>
          <w:szCs w:val="24"/>
        </w:rPr>
        <w:t>登记，经确认可以接待后方可入校。如被访者遇上课或开会，门卫应安排来访者在门卫室等候。</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五、学校门卫应严控学生课间擅自离校，因特殊情况需出校门的学生应持有离校证明（如请假单等）方可放行。上课期间禁止家长和社会闲杂人员随意进校。</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学校门口要严把货物、车辆进出关。货物出校门，需凭相关部门证明（如出门单等）经确认后予以放行。本校及上级部门机动车辆进校，应指引其到指定停车区停放，不随意进入学生生活区、教学区。校外机动车辆一律不准入内（特殊情况除外）。自行车等在指定地方停放。</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七、学校门卫要确保到校的报刊、书信、资料、票据等及时准确发送，对老师、学生的挂号信、汇款单、包裹单等要尽快通知本人签收，确保门卫值班室电话24小时有人接听、传呼。</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八、学校门卫要做好安保巡视工作，特别要加强夜间巡逻。要正确开启警报装置，一旦发生情况迅速查明原因，积极保护现场，协助警方处理。</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九、学校门卫要有完整交接班制度，门卫接班时，必须互相询问情况，移交值班记录，巡视相关场所。门卫人员请假需事先办理手续；经有关人员批准并安排好替代人员方可离岗。学校门岗严禁串岗，脱岗现象发生。</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keepNext w:val="0"/>
        <w:keepLines w:val="0"/>
        <w:pageBreakBefore w:val="0"/>
        <w:widowControl/>
        <w:kinsoku/>
        <w:wordWrap/>
        <w:overflowPunct/>
        <w:topLinePunct w:val="0"/>
        <w:bidi w:val="0"/>
        <w:spacing w:line="360" w:lineRule="auto"/>
        <w:ind w:right="0" w:rightChars="0"/>
        <w:jc w:val="center"/>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sz w:val="24"/>
          <w:szCs w:val="24"/>
        </w:rPr>
        <w:t>第二部分   宁波行知中等职业学校</w:t>
      </w:r>
      <w:r>
        <w:rPr>
          <w:rFonts w:hint="eastAsia" w:ascii="宋体" w:hAnsi="宋体" w:eastAsia="宋体" w:cs="宋体"/>
          <w:bCs/>
          <w:color w:val="auto"/>
          <w:kern w:val="0"/>
          <w:sz w:val="24"/>
          <w:szCs w:val="24"/>
        </w:rPr>
        <w:t>门卫岗位职责</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学校安保门卫岗位是一个关系到维护校园秩序，保障师生安全，塑造学校形象的重要岗位。因此，全体安保人员必须高度重视，认真负责，努力履行岗位职责。</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一、岗位要求</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学校安保人员应加强自身学习，努力提高政治思想水平和业务技能，要自觉树立从事安保工作的光荣感和责任心，注意培养爱岗敬业的职业精神，无私无畏的道德、品行，主动热情的服务意识，精明强悍的防卫本领，努力争做一个有理想、有道德、守纪律、肯奉献的新一代安保员。</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学校安保人员在自觉、自律的基础上，必须接受相关的专业培训后方可上岗。安保人员要珍惜岗位，钻研业务，除能胜任日常的门卫安保工作外，还应正确保管和使用消防器材、**器具等，要具备一定的安保救防知识和应对突发事件的能力。</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二、文明值勤</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学校安保人员要坚持文明值勤，树立良好形象。要统一着装，规范配戴，站姿端正，坐姿大方，注意保持仪容仪表的端庄整洁。要注意文明用语、微笑服务、坚持原则、认理服人。要忠于职守、严于律己、廉洁奉公、注意保密。</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2、学校安保人员要做到在岗期间不迟到、不早退、不打瞌睡、不串岗闲聊、不干私活、不会私客、不准与校内外人员发生争执、谩骂，动粗斗殴。</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三、安保防范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学校安保人员要严格执行学校会客制度、学生离校制度，货物车辆进出校制度等，对因公来校人员，要礼貌用语，热情接待。对私自擅入人员，要坚持原则，坚决劝阻，把好大门，对个别学生无理由混出学校及社会闲杂人员混入学校，要坚决制止，切实维护学校正常教学秩序。</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学校安保人员要加强校内巡视，特别是夜间巡逻，要注意各类门窗、电器、水电煤开关的关闭。学校装有电子巡更系统，不论日班夜班，要求每小时进行巡逻并且做好巡视记录工作，要确保学校红外报警系统的正常动作。维持车辆秩序，确保校园道路畅通无阻。</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学校安保人员要提高警惕，加强防范。一旦发生险情事故，要临危不惧，挺身而出，控制局面，保护现场并及时报警。要切实协助学校、社区、公安、消防等部门做好防盗、防灾、防事故、防破坏工作，为学校安全和社会治安作贡献。</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4、规范使用有关钥匙，及时开关路灯、走廊灯和厕所灯，及时开、关学校操场两个围网的大门、体育馆大门等活动场所，及时开、关蒸汽发生器天然气供应开关。</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四、收发传呼</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1、学校安保人员要做好报刊、信件、包裹、资料等的收发工作，要做到人员熟悉，流程清晰、安全及时、发送无误。</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2、学校安保人员要做好门卫电话的接听、转接和传呼工作，保证电话渠道的畅通无阻，重要事情做好来电记录。</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3、做好家长、学生物品寄存工作，确保物品正确认领。</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五、环境整洁</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学校安保人员要自觉维护学校门岗环境，积极做好门岗及周边的环境卫生。对在校门附近设摊的要予以劝阻，对校门外车辆的停放要加以管理，对校门口的绿化景观要进行维护，对放学的校门口的交通拥堵要实施疏导。</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2、学校门卫值班室要做到闲人莫入，窗明几净，无烟蒂杂物，无危险电器。要坚持“每日一小扫，每周一大扫”保持门卫值班室环境的“洁、齐、美”。</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六、接受监督</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1、学校安保人员要心系岗位，用情职业，安保人员有权利和义务就加强学校安保工作向有关方面提出合理化建议和意见，能主动提出改进工作的方法和措施。</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2、学校安保人员在岗期间应识大体，顾大局，遵章守纪，要自觉接受派出单位和用人学校的考核，对存在的问题与不足，要虚心听取意见，努力加以整改。</w:t>
      </w:r>
    </w:p>
    <w:p>
      <w:pPr>
        <w:keepNext w:val="0"/>
        <w:keepLines w:val="0"/>
        <w:pageBreakBefore w:val="0"/>
        <w:kinsoku/>
        <w:wordWrap/>
        <w:overflowPunct/>
        <w:topLinePunct w:val="0"/>
        <w:bidi w:val="0"/>
        <w:spacing w:line="360" w:lineRule="auto"/>
        <w:ind w:right="0" w:rightChars="0" w:firstLine="1200" w:firstLineChars="5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第三部分  宁波行知中等职业学校新疆部寝室门卫保安职责</w:t>
      </w:r>
    </w:p>
    <w:p>
      <w:pPr>
        <w:keepNext w:val="0"/>
        <w:keepLines w:val="0"/>
        <w:pageBreakBefore w:val="0"/>
        <w:kinsoku/>
        <w:wordWrap/>
        <w:overflowPunct/>
        <w:topLinePunct w:val="0"/>
        <w:bidi w:val="0"/>
        <w:spacing w:line="360" w:lineRule="auto"/>
        <w:ind w:right="0" w:rightChars="0" w:firstLine="1560" w:firstLineChars="6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新疆部寝室门卫室内有监控录像监控</w:t>
      </w:r>
      <w:r>
        <w:rPr>
          <w:rFonts w:hint="eastAsia" w:ascii="宋体" w:hAnsi="宋体" w:eastAsia="宋体" w:cs="宋体"/>
          <w:color w:val="auto"/>
          <w:sz w:val="24"/>
          <w:szCs w:val="24"/>
        </w:rPr>
        <w:t>保安</w:t>
      </w:r>
      <w:r>
        <w:rPr>
          <w:rFonts w:hint="eastAsia" w:ascii="宋体" w:hAnsi="宋体" w:eastAsia="宋体" w:cs="宋体"/>
          <w:color w:val="auto"/>
          <w:kern w:val="0"/>
          <w:sz w:val="24"/>
          <w:szCs w:val="24"/>
        </w:rPr>
        <w:t>工作</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为切实维护学校正常的教学秩序，确保师生在校期间的人身安全和学校财产的安全，特制订学校保安岗位职责。</w:t>
      </w:r>
    </w:p>
    <w:p>
      <w:pPr>
        <w:keepNext w:val="0"/>
        <w:keepLines w:val="0"/>
        <w:pageBreakBefore w:val="0"/>
        <w:kinsoku/>
        <w:wordWrap/>
        <w:overflowPunct/>
        <w:topLinePunct w:val="0"/>
        <w:bidi w:val="0"/>
        <w:adjustRightInd w:val="0"/>
        <w:snapToGrid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1、新疆部寝室门卫保安人员在保卫科的直接领导下，认真做好新疆部寝室值勤工作，实行三班制24小时值勤制，由保卫科负责对全体保安检查、考核。</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2、新疆部寝室大门管理：严格控制非新疆部</w:t>
      </w:r>
      <w:r>
        <w:rPr>
          <w:rFonts w:hint="eastAsia" w:ascii="宋体" w:hAnsi="宋体" w:eastAsia="宋体" w:cs="宋体"/>
          <w:color w:val="auto"/>
          <w:kern w:val="0"/>
          <w:sz w:val="24"/>
          <w:szCs w:val="24"/>
        </w:rPr>
        <w:t>学生和外来人员进入</w:t>
      </w:r>
      <w:r>
        <w:rPr>
          <w:rFonts w:hint="eastAsia" w:ascii="宋体" w:hAnsi="宋体" w:eastAsia="宋体" w:cs="宋体"/>
          <w:color w:val="auto"/>
          <w:sz w:val="24"/>
          <w:szCs w:val="24"/>
        </w:rPr>
        <w:t>新疆部</w:t>
      </w:r>
      <w:r>
        <w:rPr>
          <w:rFonts w:hint="eastAsia" w:ascii="宋体" w:hAnsi="宋体" w:eastAsia="宋体" w:cs="宋体"/>
          <w:color w:val="auto"/>
          <w:kern w:val="0"/>
          <w:sz w:val="24"/>
          <w:szCs w:val="24"/>
        </w:rPr>
        <w:t>宿舍楼，对外来施工修理人员进入</w:t>
      </w:r>
      <w:r>
        <w:rPr>
          <w:rFonts w:hint="eastAsia" w:ascii="宋体" w:hAnsi="宋体" w:eastAsia="宋体" w:cs="宋体"/>
          <w:color w:val="auto"/>
          <w:sz w:val="24"/>
          <w:szCs w:val="24"/>
        </w:rPr>
        <w:t>新疆部</w:t>
      </w:r>
      <w:r>
        <w:rPr>
          <w:rFonts w:hint="eastAsia" w:ascii="宋体" w:hAnsi="宋体" w:eastAsia="宋体" w:cs="宋体"/>
          <w:color w:val="auto"/>
          <w:kern w:val="0"/>
          <w:sz w:val="24"/>
          <w:szCs w:val="24"/>
        </w:rPr>
        <w:t>宿舍楼必须进行查问，并在值班记录中做好记录；</w:t>
      </w:r>
      <w:r>
        <w:rPr>
          <w:rFonts w:hint="eastAsia" w:ascii="宋体" w:hAnsi="宋体" w:eastAsia="宋体" w:cs="宋体"/>
          <w:color w:val="auto"/>
          <w:sz w:val="24"/>
          <w:szCs w:val="24"/>
        </w:rPr>
        <w:t>新疆部学生授课期间必须凭请假证明进入寝室；学生就寝后关闭</w:t>
      </w:r>
      <w:r>
        <w:rPr>
          <w:rFonts w:hint="eastAsia" w:ascii="宋体" w:hAnsi="宋体" w:eastAsia="宋体" w:cs="宋体"/>
          <w:color w:val="auto"/>
          <w:kern w:val="0"/>
          <w:sz w:val="24"/>
          <w:szCs w:val="24"/>
        </w:rPr>
        <w:t>宿舍楼大门，起床前开好宿舍楼大门。</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3、新疆部</w:t>
      </w:r>
      <w:r>
        <w:rPr>
          <w:rFonts w:hint="eastAsia" w:ascii="宋体" w:hAnsi="宋体" w:eastAsia="宋体" w:cs="宋体"/>
          <w:color w:val="auto"/>
          <w:kern w:val="0"/>
          <w:sz w:val="24"/>
          <w:szCs w:val="24"/>
        </w:rPr>
        <w:t>报警器、监控管理：按时做好报警器的设防、撤防工作，做好监控联动工作，在设防期间密切注意报警器、监控联动是否正常运行，一旦出现故障及时汇报，发现报警仔细检查报警防区，发现跳窗、翻墙外出等情况立即向</w:t>
      </w:r>
      <w:r>
        <w:rPr>
          <w:rFonts w:hint="eastAsia" w:ascii="宋体" w:hAnsi="宋体" w:eastAsia="宋体" w:cs="宋体"/>
          <w:color w:val="auto"/>
          <w:sz w:val="24"/>
          <w:szCs w:val="24"/>
        </w:rPr>
        <w:t>新疆部等有关领导汇报。</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4、新疆部工作纪律：上班时间内必须着装整齐、</w:t>
      </w:r>
      <w:r>
        <w:rPr>
          <w:rStyle w:val="96"/>
          <w:rFonts w:hint="eastAsia" w:ascii="宋体" w:hAnsi="宋体" w:eastAsia="宋体" w:cs="宋体"/>
          <w:color w:val="auto"/>
          <w:sz w:val="24"/>
          <w:szCs w:val="24"/>
        </w:rPr>
        <w:t>仪表端庄</w:t>
      </w:r>
      <w:r>
        <w:rPr>
          <w:rFonts w:hint="eastAsia" w:ascii="宋体" w:hAnsi="宋体" w:eastAsia="宋体" w:cs="宋体"/>
          <w:color w:val="auto"/>
          <w:sz w:val="24"/>
          <w:szCs w:val="24"/>
        </w:rPr>
        <w:t>，不准离岗、睡岗、脱岗、不得着混装，使用电脑不得影响正常工作，实行三班制24小时值勤制。</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5、新疆部紧急情况处置：对在值班过程中出现的突发性自然灾害、火灾紧急情况并报告新疆部，同时要采取必要的处置措施，防止事态的进一步扩大。必须积极配合。</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6、其他工作：学校临时性的加班有保卫科下达任务，必须积极配合。</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7、其他要求同学校门岗**联络室保安要求</w:t>
      </w:r>
    </w:p>
    <w:p>
      <w:pPr>
        <w:keepNext w:val="0"/>
        <w:keepLines w:val="0"/>
        <w:pageBreakBefore w:val="0"/>
        <w:widowControl/>
        <w:kinsoku/>
        <w:wordWrap/>
        <w:overflowPunct/>
        <w:topLinePunct w:val="0"/>
        <w:bidi w:val="0"/>
        <w:spacing w:line="360" w:lineRule="auto"/>
        <w:ind w:right="0" w:right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 xml:space="preserve">部分   </w:t>
      </w:r>
      <w:r>
        <w:rPr>
          <w:rFonts w:hint="eastAsia" w:ascii="宋体" w:hAnsi="宋体" w:eastAsia="宋体" w:cs="宋体"/>
          <w:color w:val="auto"/>
          <w:sz w:val="24"/>
          <w:szCs w:val="24"/>
          <w:lang w:eastAsia="zh-CN"/>
        </w:rPr>
        <w:t>浙江工商职业技术学院慈溪学</w:t>
      </w:r>
      <w:r>
        <w:rPr>
          <w:rFonts w:hint="eastAsia" w:ascii="宋体" w:hAnsi="宋体" w:eastAsia="宋体" w:cs="宋体"/>
          <w:bCs/>
          <w:color w:val="auto"/>
          <w:kern w:val="0"/>
          <w:sz w:val="24"/>
          <w:szCs w:val="24"/>
        </w:rPr>
        <w:t>门卫</w:t>
      </w:r>
      <w:r>
        <w:rPr>
          <w:rFonts w:hint="eastAsia" w:ascii="宋体" w:hAnsi="宋体" w:eastAsia="宋体" w:cs="宋体"/>
          <w:bCs/>
          <w:color w:val="auto"/>
          <w:kern w:val="0"/>
          <w:sz w:val="24"/>
          <w:szCs w:val="24"/>
          <w:lang w:eastAsia="zh-CN"/>
        </w:rPr>
        <w:t>保安</w:t>
      </w:r>
      <w:r>
        <w:rPr>
          <w:rFonts w:hint="eastAsia" w:ascii="宋体" w:hAnsi="宋体" w:eastAsia="宋体" w:cs="宋体"/>
          <w:bCs/>
          <w:color w:val="auto"/>
          <w:kern w:val="0"/>
          <w:sz w:val="24"/>
          <w:szCs w:val="24"/>
        </w:rPr>
        <w:t>岗位职责</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1、严格遵守工作职责、坚守岗位，熟悉门卫制度；认真做好执勤工作，对进出浙江工商职业技术学院慈溪校区的人员、物资要进行查询、验证、登记。</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2、执勤时，要始终保持高度警惕，发现可疑人员与情况，要及时查询，必要时，报告保卫处。</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3、实行“早迎晚送”制度，学校班车进出大门要站岗致礼，并实行防疫登记和测温工作。</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4、上岗时必须佩带工商学院工作牌，着装整洁，仪表端正，文明管理，礼貌待人。不允许脱岗、睡岗、玩手机等现象发生。</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5、有慈溪校区的车辆进出校门配合行知学校进行管理和登记。</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6、所属大门口其它管理。做好大门外禁停区域管理，严禁车辆(含共享单车)乱停乱放，时刻保持大门口交通顺畅。</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7、维护责任区域秩序，值班室无闲杂人员滞留，保持内外环境整洁卫生和门前三包；</w:t>
      </w:r>
      <w:r>
        <w:rPr>
          <w:rFonts w:hint="eastAsia" w:ascii="宋体" w:hAnsi="宋体" w:eastAsia="宋体" w:cs="宋体"/>
          <w:color w:val="auto"/>
          <w:kern w:val="0"/>
          <w:sz w:val="24"/>
          <w:szCs w:val="24"/>
          <w:lang w:eastAsia="zh-CN"/>
        </w:rPr>
        <w:t>如做好禁止职高学生在门岗及周边取外卖、快递等。</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8、做好慈溪校区学生进出校门刷卡登记管理。</w:t>
      </w:r>
    </w:p>
    <w:p>
      <w:pPr>
        <w:keepNext w:val="0"/>
        <w:keepLines w:val="0"/>
        <w:pageBreakBefore w:val="0"/>
        <w:widowControl/>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9、其他事项，如监控、消防安全、快递包裹进出等事项由学院相关领导进行部署。</w:t>
      </w:r>
    </w:p>
    <w:p>
      <w:pPr>
        <w:pStyle w:val="2"/>
        <w:keepNext w:val="0"/>
        <w:keepLines w:val="0"/>
        <w:pageBreakBefore w:val="0"/>
        <w:kinsoku/>
        <w:wordWrap/>
        <w:overflowPunct/>
        <w:topLinePunct w:val="0"/>
        <w:bidi w:val="0"/>
        <w:spacing w:before="0"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部分  宁波行知中等职业学校保安其他要求</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6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1、保安员的守则 </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60"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(1)遵守国家政策法令、法规，遵守市民行为道德规范，遵守学校一切规章制度。 </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(2)服从领导、听从指挥、团结同事、互帮互助，按时按质完成各项工作任务。</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(3)严格遵守劳动纪律，按质量标准要求开展工作，作业场所禁止无关人员逗留。</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(4)讲究社会公德和职业道德，严守医院机密，廉洁奉公，维护集体利益和医院声誉。</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(5)爱护公物及公用设施，自觉维护和保持环境卫生。</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(6)勤俭办公，节约用水、用电，杜绝一切浪费现象。</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(7)衣容整洁、精神饱满、待人热情、文明用语。</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2、保安工作态度</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(1)服从领导――不折不扣地服从上级的工作安排及工作调配。</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(2)严于职守――坚守本职岗位，不得擅自离岗、串岗或睡岗。</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(3)正直诚实――对上级领导、同事和客户要以诚相待，不得阳奉阴违。</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(4)团结协作――各部门之间、员工之间要互相配合，同心协力地解决困难。</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(5)勤勉高效――发扬勤奋踏实的精神，优质高效地完成所担负的工作。</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28"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3、服务态度</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28"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（1）礼貌――这是员工对客户和同事最基本的态度，在任何时刻均应使用礼貌用语，“请”字当头、“谢”字不离口。</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（2）乐观――以乐观的态度接待客户。</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05"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（3）友善――“微笑”是体现友善最适当的表达方式，因此以微笑来迎接客户及与同事相处。</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（4）热情――尽可能为同事和客户提供方便，热情服务。</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（5）耐心――对客户的要求应认真、耐心地聆听。</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right="0" w:rightChars="0"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（6）平等――一视同仁地对待所有师生，不能有贫富之分、厚此薄彼。</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28"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4、仪容仪表 </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（1）着装 </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①上岗着装保持干净整洁，扣好纽扣，不得敞开外衣，卷起裤脚、衣袖，领带必须结正。</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②制服外衣衣袖、衣领处，制服衬衣领口，不得显露个人衣物、饰品，制服外不得显露与工作无关的个人物品，衣袋内不得装过大过厚物品。</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③除因工作或经批准外，不准穿着或携带制服离开辖区，下班后不得穿制服。 </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（2）仪容仪表</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①精神振作、姿态端正，不准留长发、大鬓角，胡须.</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②着装整洁，帽子戴正，扣好纽扣。不得敞衣露怀，卷袖挽裤腿，内衣不得外露，手机、锁匙扣</w:t>
      </w:r>
      <w:r>
        <w:rPr>
          <w:rFonts w:hint="eastAsia" w:ascii="宋体" w:hAnsi="宋体" w:eastAsia="宋体" w:cs="宋体"/>
          <w:color w:val="auto"/>
          <w:sz w:val="24"/>
          <w:szCs w:val="24"/>
          <w:shd w:val="clear" w:color="auto" w:fill="FFFFFF"/>
        </w:rPr>
        <w:t>等物品不得露于衣服外,衣服口袋不得装较大物品,武装带要扎紧。</w:t>
      </w:r>
      <w:r>
        <w:rPr>
          <w:rFonts w:hint="eastAsia" w:ascii="宋体" w:hAnsi="宋体" w:eastAsia="宋体" w:cs="宋体"/>
          <w:color w:val="auto"/>
          <w:sz w:val="24"/>
          <w:szCs w:val="24"/>
        </w:rPr>
        <w:t xml:space="preserve"> </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③物品不得露于衣服外，衣服口袋不得装较大物品。</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④执勤时要佩戴好工作证和执勤器具。 </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（3）行为举止 </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①举止文明、大方、端庄、稳健。</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②用语文明，谈话自然。</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③精神振作，姿态良好。抬头挺胸，不得弓腰驼背，不得东倒西歪，前倾后靠，不得伸懒腰；不袖手、背手叉腰或将手插入衣袋内，执勤时不准吸烟、吃零食，不得搭肩挽背。</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④不得哼歌曲，吹口哨、跺脚。</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⑤不得随地吐痰，乱丢杂物。</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⑥注意检查和保持仪表，但不得当众整理个人衣物。</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⑦不得将任何物品夹于腋下，不得敲桌椅或玩弄其他物品。 </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（4）保安员有下列行为之一的坚决予以辞退</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①违法乱纪受过公安机关处罚的； </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②以权谋私、敲诈勒索，收受利益及有贪污行为的；</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③利用工作之便，监守自盗的；</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④值班时间喝酒的；</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⑤多次违反保安员各项规章制度，屡教不改的；</w:t>
      </w:r>
    </w:p>
    <w:p>
      <w:pPr>
        <w:keepNext w:val="0"/>
        <w:keepLines w:val="0"/>
        <w:pageBreakBefore w:val="0"/>
        <w:widowControl/>
        <w:pBdr>
          <w:left w:val="dotted" w:color="E4E4E4" w:sz="6" w:space="13"/>
        </w:pBdr>
        <w:shd w:val="clear" w:color="auto" w:fill="FFFFFF"/>
        <w:kinsoku/>
        <w:wordWrap/>
        <w:overflowPunct/>
        <w:topLinePunct w:val="0"/>
        <w:bidi w:val="0"/>
        <w:spacing w:line="360" w:lineRule="auto"/>
        <w:ind w:left="146" w:leftChars="61"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⑥目无组织纪律、不服从管理、不听从指挥、辱骂顶撞领导的。</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5、保安工作一日常规</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（1）0：00 ----- 5：00 环校巡查、教学楼等巡查1人，门卫及门卫监控管理1人，**联络室及**联络室监控管理1人，新疆部寝室门卫管理1人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（2）5：00 ----- 7：00 关闭路灯，开、关蒸汽发生器的管道煤气，开操场大门和篮球场大门1人，学校大门管理1人，门卫及门卫监控管理1人，新疆部寝室门卫管理1人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（3）7：00 ----- 9：00 立岗1人，门卫及门卫监控管理1人，学生及车辆管理1人，新疆部寝室门卫管理1人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（4）9：00 ----- 10：00 包裹、报纸、信件管理（学生放假间为环校巡查）1人，门卫、学生请假、外来人员登记及门卫监控管理1人，校门外管理、外来人员管理及校内车辆停放管理1人，新疆部寝室门卫管理1人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（5）10：00 ----- 12：00 开、关蒸汽发生器的管道煤气1人，门卫、学生请假、外来人员登记及门卫监控管理1人，校门外管理、外来人员管理及校内车辆停放管理1人，新疆部寝室门卫管理1人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（6）12：00 ----- 15：00 包裹、报纸、信件管理（学生放假间为环校巡查）1人，门卫、学生请假、外来人员登记及门卫监控管理1人，校门外管理、外来人员管理及校内车辆停放管理1人，新疆部寝室门卫管理1人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（7）15：00 ----- 16：00 开、关蒸汽发生器的管道煤气1人，门卫、学生请假、外来人员登记及门卫监控管理1人，校门外管理、外来人员管理及校内车辆停放管理1人，新疆部寝室门卫管理1人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（8）16：00  ----- 17：20 立岗1人，门卫及门卫监控管理1人，学生及车辆管理1人，新疆部寝室门卫管理1人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（9）17：20  ----- 18：20 开路灯、开走廊灯、开厕所灯，开、关蒸汽发生器的管道煤气，关操场大门和篮球场大门、关体育馆大门等1人，门卫及门卫监控管理1人，学生及车辆管理1人，新疆部寝室门卫管理1人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（10）18：20  ----- 20：00 环校巡查等1人，门卫及门卫监控管理1人，门卫、学生请假、外来人员登记及门卫监控管理1人，新疆部寝室门卫管理1人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（11）20：00  ----- 20：10关操场大门和篮球场大门等1人，门卫及门卫监控管理1人，学生及车辆管理1人，新疆部寝室门卫管理1人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（12）20：10  ----- 21：30晚自学放学学生及教师车辆管理1人，门卫及门卫监控管理1人，学生及车辆管理1人，新疆部寝室门卫管理1人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（13）21：30  ----- 24：00 环校巡查、教学楼等巡查及关闭走廊灯和厕所灯等1人，门卫及门卫监控管理1人，**联络室及**联络室监控管理1人，新疆部寝室门卫管理1人</w:t>
      </w:r>
      <w:r>
        <w:rPr>
          <w:rFonts w:hint="eastAsia" w:ascii="宋体" w:hAnsi="宋体" w:eastAsia="宋体" w:cs="宋体"/>
          <w:color w:val="auto"/>
          <w:sz w:val="24"/>
          <w:szCs w:val="24"/>
          <w:lang w:eastAsia="zh-CN"/>
        </w:rPr>
        <w:t>，工商门岗管理</w:t>
      </w:r>
      <w:r>
        <w:rPr>
          <w:rFonts w:hint="eastAsia" w:ascii="宋体" w:hAnsi="宋体" w:eastAsia="宋体" w:cs="宋体"/>
          <w:color w:val="auto"/>
          <w:sz w:val="24"/>
          <w:szCs w:val="24"/>
          <w:lang w:val="en-US" w:eastAsia="zh-CN"/>
        </w:rPr>
        <w:t>1人</w:t>
      </w:r>
      <w:r>
        <w:rPr>
          <w:rFonts w:hint="eastAsia" w:ascii="宋体" w:hAnsi="宋体" w:eastAsia="宋体" w:cs="宋体"/>
          <w:color w:val="auto"/>
          <w:sz w:val="24"/>
          <w:szCs w:val="24"/>
        </w:rPr>
        <w:t>。</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立岗要求：上下学或学校重大活动期间必须全副武装:戴防击头盔、穿防刺背心、防割手套，持自卫喷雾催泪弹，佩三件武装带、伸缩警棍等保安九件套。其他时段按规定着装，并佩戴好武装带。保安按规定参加上级教育主管部门举办的岗位培训，学校每学期对保安人员进行二次在岗培训，保安必须参加教育局组织技能比赛，待遇参照教师培训和技能比赛。</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7、保安熟练使用防卫器械，熟练使用消防器材（灭火器、消防栓等）</w:t>
      </w:r>
      <w:r>
        <w:rPr>
          <w:rFonts w:hint="eastAsia" w:ascii="宋体" w:hAnsi="宋体" w:eastAsia="宋体" w:cs="宋体"/>
          <w:color w:val="auto"/>
          <w:sz w:val="24"/>
          <w:szCs w:val="24"/>
          <w:lang w:eastAsia="zh-CN"/>
        </w:rPr>
        <w:t>、微型消防站的操作</w:t>
      </w:r>
      <w:r>
        <w:rPr>
          <w:rFonts w:hint="eastAsia" w:ascii="宋体" w:hAnsi="宋体" w:eastAsia="宋体" w:cs="宋体"/>
          <w:color w:val="auto"/>
          <w:sz w:val="24"/>
          <w:szCs w:val="24"/>
        </w:rPr>
        <w:t>，熟练使用视频监控，并能回放，熟练使用报警系统，具备一定的应对各种突发事件的处置能力。</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8、保安做好日常备查记录册齐全：外来人员出入记录，交接班记录，技防设备日常维修记录，且记录准确、规范、完整。</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9、禁止性条款：禁止闲杂人员入内；晚上十点半钟以后禁止学生出入；晚上十点半钟以后禁止外来人员入内。遇特殊情况需凭学校相关部门出具证明方得准许入内并做好相应的记录。</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10、上班时间内必须着装整齐、仪态严谨，遇到学校领导和老师检查工作，须起立问好，并积极报告工作中遇到的异常情况。</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11、值班人员平时须对外来进出人员积极进行有关的盘查和登记工作，不能对可疑人员、可疑物品、可疑情况不管不问。</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12、门卫内不准滞留无关和闲散人员，如有来校找人的家长须让其在门卫等候，值班人员不得在门卫</w:t>
      </w:r>
      <w:r>
        <w:rPr>
          <w:rFonts w:hint="eastAsia" w:ascii="宋体" w:hAnsi="宋体" w:eastAsia="宋体" w:cs="宋体"/>
          <w:color w:val="auto"/>
          <w:kern w:val="0"/>
          <w:sz w:val="24"/>
          <w:szCs w:val="24"/>
        </w:rPr>
        <w:t>、新疆部寝室门卫管理室</w:t>
      </w:r>
      <w:r>
        <w:rPr>
          <w:rFonts w:hint="eastAsia" w:ascii="宋体" w:hAnsi="宋体" w:eastAsia="宋体" w:cs="宋体"/>
          <w:color w:val="auto"/>
          <w:sz w:val="24"/>
          <w:szCs w:val="24"/>
        </w:rPr>
        <w:t>内打牌、聊天、看书报、吃东西等与工作无关的行为。</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13、在规定的站岗时间段内，必须由保安班长安排人按要求站岗，不得缺岗、误岗（迟到和早退），在岗台上的执勤保安不得随意走动，也不得有其他的小动作，非遇紧急情况不得走下岗台。</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14、每周一上午，保安队长把上周的记录资料（包括外来人员登记表、多媒体检查表、学生请假表、监控记录表、保安巡查记录簿、交接班记录簿、周界报警记录表等）上交保卫科。</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15、学校因工作需要而增减人员或因养老金遇政策性调整，则结算时作同步调整。</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每周周五学生放学，每周周日学生返校，每年学生报到，新生报到，学生放学，成人高考、高考、高考英语听力考试、公务员考试、会计考试、省建筑五大员考试、素质提升考试、事业单位招聘考试、村干部招聘考试等考试的车辆管理以及其他临时工作等的零星加班按慈溪市最低工资结算（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年工资结算方式为16.5元/小时）,不计入总价内，经费结算时按实计算，当班人员不算加班,茶水和就餐自行解决，学校不负责招待（除学校有安排外）。</w:t>
      </w:r>
    </w:p>
    <w:p>
      <w:pPr>
        <w:keepNext w:val="0"/>
        <w:keepLines w:val="0"/>
        <w:pageBreakBefore w:val="0"/>
        <w:kinsoku/>
        <w:wordWrap/>
        <w:overflowPunct/>
        <w:topLinePunct w:val="0"/>
        <w:bidi w:val="0"/>
        <w:spacing w:line="360" w:lineRule="auto"/>
        <w:ind w:right="0" w:rightChars="0" w:firstLine="42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17、节假日物品、保安双休日烧饭的电饭褒、雨衣等生活用品、保安巡查用的强光电灯、对讲机等由保安公司负责。</w:t>
      </w:r>
    </w:p>
    <w:p>
      <w:pPr>
        <w:pStyle w:val="147"/>
        <w:keepNext w:val="0"/>
        <w:keepLines w:val="0"/>
        <w:pageBreakBefore w:val="0"/>
        <w:kinsoku/>
        <w:wordWrap/>
        <w:overflowPunct/>
        <w:topLinePunct w:val="0"/>
        <w:bidi w:val="0"/>
        <w:spacing w:line="360" w:lineRule="auto"/>
        <w:ind w:left="120" w:leftChars="50" w:right="0" w:rightChars="0" w:firstLine="600" w:firstLineChars="25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总报价包含保安公司向学校收取的一切费用，有漏项中标单位自负，学校不补。各分项费用的合计应等于总报价。</w:t>
      </w:r>
    </w:p>
    <w:p>
      <w:pPr>
        <w:pStyle w:val="35"/>
        <w:keepNext w:val="0"/>
        <w:keepLines w:val="0"/>
        <w:pageBreakBefore w:val="0"/>
        <w:kinsoku/>
        <w:wordWrap/>
        <w:overflowPunct/>
        <w:topLinePunct w:val="0"/>
        <w:bidi w:val="0"/>
        <w:spacing w:before="0" w:beforeAutospacing="0" w:after="0" w:afterAutospacing="0"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以上要求，学校保安必须遵照执行，并由学校保卫科老师对之进行检查和监督，如有违纪情形，一经查实，学校保卫科将对之进行处理和处罚，如违纪次数较多，或出现违法犯罪行为，或发现患有心理等疾病，有损保安形象，不适合当保安的行为，严重影响到学校保卫工作，学校保卫科有权对违纪的保安予以更换和清退！</w:t>
      </w:r>
    </w:p>
    <w:p>
      <w:pPr>
        <w:pStyle w:val="2"/>
        <w:keepNext w:val="0"/>
        <w:keepLines w:val="0"/>
        <w:pageBreakBefore w:val="0"/>
        <w:kinsoku/>
        <w:wordWrap/>
        <w:overflowPunct/>
        <w:topLinePunct w:val="0"/>
        <w:bidi w:val="0"/>
        <w:spacing w:before="0"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部分  宁波行知中等职业学校保安考核办法</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为切实加强门卫工作，确保师生进出校门有秩序、有规范，督促门卫履行岗位职责，提升门卫形象，做到“严格管理，彬彬有礼”。特制订本办法：</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、奖励办法</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保安工作恪尽职守，态度和蔼，严格遵守学校规章制度，虚心接受意见，主动承担任务，受到师生好评每月每人发0-250元考核奖（考核奖列入招标总价内</w:t>
      </w:r>
      <w:r>
        <w:rPr>
          <w:rFonts w:hint="eastAsia" w:ascii="宋体" w:hAnsi="宋体" w:eastAsia="宋体" w:cs="宋体"/>
          <w:color w:val="auto"/>
          <w:sz w:val="24"/>
          <w:szCs w:val="24"/>
          <w:lang w:eastAsia="zh-CN"/>
        </w:rPr>
        <w:t>，以中标金额的</w:t>
      </w:r>
      <w:r>
        <w:rPr>
          <w:rFonts w:hint="eastAsia" w:ascii="宋体" w:hAnsi="宋体" w:eastAsia="宋体" w:cs="宋体"/>
          <w:color w:val="auto"/>
          <w:sz w:val="24"/>
          <w:szCs w:val="24"/>
          <w:lang w:val="en-US" w:eastAsia="zh-CN"/>
        </w:rPr>
        <w:t>5%为考核奖，保安公司不发考核奖，考核奖由学校收回</w:t>
      </w:r>
      <w:r>
        <w:rPr>
          <w:rFonts w:hint="eastAsia" w:ascii="宋体" w:hAnsi="宋体" w:eastAsia="宋体" w:cs="宋体"/>
          <w:color w:val="auto"/>
          <w:sz w:val="24"/>
          <w:szCs w:val="24"/>
        </w:rPr>
        <w:t>）。</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、处罚条例</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保安在值班时不尽职工作，有关部门给出意见时不虚心接受，视情节轻重，给予罚款处分。</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（一）按时到岗，文明值勤</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1、值班时打瞌睡，玩手机或游戏，无值班记录，每次发现扣5元；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2、文明值勤，若与校内外的人发生争执、谩骂、动粗斗殴，每次扣10元；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3、若未穿保安服上岗或上岗时在门卫室内吸烟，每次扣5元；</w:t>
      </w:r>
    </w:p>
    <w:p>
      <w:pPr>
        <w:keepNext w:val="0"/>
        <w:keepLines w:val="0"/>
        <w:pageBreakBefore w:val="0"/>
        <w:kinsoku/>
        <w:wordWrap/>
        <w:overflowPunct/>
        <w:topLinePunct w:val="0"/>
        <w:bidi w:val="0"/>
        <w:spacing w:line="360" w:lineRule="auto"/>
        <w:ind w:right="0" w:rightChars="0" w:firstLine="475" w:firstLineChars="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4、未佩戴上岗证，未按规定佩戴安保装备，工作服穿戴不规范的，各扣5元。</w:t>
      </w:r>
    </w:p>
    <w:p>
      <w:pPr>
        <w:keepNext w:val="0"/>
        <w:keepLines w:val="0"/>
        <w:pageBreakBefore w:val="0"/>
        <w:kinsoku/>
        <w:wordWrap/>
        <w:overflowPunct/>
        <w:topLinePunct w:val="0"/>
        <w:bidi w:val="0"/>
        <w:spacing w:line="360" w:lineRule="auto"/>
        <w:ind w:right="0" w:rightChars="0" w:firstLine="475" w:firstLineChars="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5、立岗姿势不端正或吸烟，扣5元。</w:t>
      </w:r>
    </w:p>
    <w:p>
      <w:pPr>
        <w:keepNext w:val="0"/>
        <w:keepLines w:val="0"/>
        <w:pageBreakBefore w:val="0"/>
        <w:kinsoku/>
        <w:wordWrap/>
        <w:overflowPunct/>
        <w:topLinePunct w:val="0"/>
        <w:bidi w:val="0"/>
        <w:spacing w:line="360" w:lineRule="auto"/>
        <w:ind w:right="0" w:rightChars="0" w:firstLine="475" w:firstLineChars="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6、未严格遵守上班时间，对照实际时间扣除,至少扣5元。</w:t>
      </w:r>
    </w:p>
    <w:p>
      <w:pPr>
        <w:keepNext w:val="0"/>
        <w:keepLines w:val="0"/>
        <w:pageBreakBefore w:val="0"/>
        <w:kinsoku/>
        <w:wordWrap/>
        <w:overflowPunct/>
        <w:topLinePunct w:val="0"/>
        <w:bidi w:val="0"/>
        <w:spacing w:line="360" w:lineRule="auto"/>
        <w:ind w:right="0" w:rightChars="0" w:firstLine="475" w:firstLineChars="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7、交接班不及时、拖延，扣10元。</w:t>
      </w:r>
    </w:p>
    <w:p>
      <w:pPr>
        <w:keepNext w:val="0"/>
        <w:keepLines w:val="0"/>
        <w:pageBreakBefore w:val="0"/>
        <w:kinsoku/>
        <w:wordWrap/>
        <w:overflowPunct/>
        <w:topLinePunct w:val="0"/>
        <w:bidi w:val="0"/>
        <w:spacing w:line="360" w:lineRule="auto"/>
        <w:ind w:right="0" w:rightChars="0" w:firstLine="475" w:firstLineChars="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8、未经同意擅自换班、翻班，扣20元。</w:t>
      </w:r>
    </w:p>
    <w:p>
      <w:pPr>
        <w:keepNext w:val="0"/>
        <w:keepLines w:val="0"/>
        <w:pageBreakBefore w:val="0"/>
        <w:kinsoku/>
        <w:wordWrap/>
        <w:overflowPunct/>
        <w:topLinePunct w:val="0"/>
        <w:bidi w:val="0"/>
        <w:spacing w:line="360" w:lineRule="auto"/>
        <w:ind w:right="0" w:rightChars="0" w:firstLine="475" w:firstLineChars="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9、当班期间喝酒影响保安形象，扣50元。</w:t>
      </w:r>
    </w:p>
    <w:p>
      <w:pPr>
        <w:keepNext w:val="0"/>
        <w:keepLines w:val="0"/>
        <w:pageBreakBefore w:val="0"/>
        <w:kinsoku/>
        <w:wordWrap/>
        <w:overflowPunct/>
        <w:topLinePunct w:val="0"/>
        <w:bidi w:val="0"/>
        <w:spacing w:line="360" w:lineRule="auto"/>
        <w:ind w:right="0" w:rightChars="0" w:firstLine="475" w:firstLineChars="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10、当班期间打牌、搓麻将第一次扣20元，第两次扣30元，第三次扣50元。</w:t>
      </w:r>
    </w:p>
    <w:p>
      <w:pPr>
        <w:keepNext w:val="0"/>
        <w:keepLines w:val="0"/>
        <w:pageBreakBefore w:val="0"/>
        <w:kinsoku/>
        <w:wordWrap/>
        <w:overflowPunct/>
        <w:topLinePunct w:val="0"/>
        <w:bidi w:val="0"/>
        <w:spacing w:line="360" w:lineRule="auto"/>
        <w:ind w:right="0" w:rightChars="0" w:firstLine="475" w:firstLineChars="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11、随便携外人进出值班室，扣20元。</w:t>
      </w:r>
    </w:p>
    <w:p>
      <w:pPr>
        <w:keepNext w:val="0"/>
        <w:keepLines w:val="0"/>
        <w:pageBreakBefore w:val="0"/>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12、擅自离岗，扣30元，监控管理当班期间在值班室内看书报，扣10元。</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13、当班失窃，直接责任人扣50－100元，其余根据情节责任每人扣20－50元。</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14、巡查未做记录或胡编乱造，扣50元。</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15、损坏和涂改巡查、上、下班登记簿，扣50元。</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16、乱扔垃圾，不讲卫生，扣5元；门卫内脏乱，当班每人扣5元。不爱护公物，有意损坏，扣50元。</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17、把失物占为已有，扣100元。</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18、造谣生事、搬弄是非，扣50元。</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19、弄虚作假、欺骗领导，扣30－100元。</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20、无正当理由，不服从安排，不听从命令，扣30－100元。</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21、未完成本职工作，如开、关路灯、走廊灯、厕所灯，开、关操场、球场门，开、关蒸汽发生器的管道煤气等，第一次扣10元，第二次扣20元，第三次扣40元，依次类推。</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22、员工吵嘴、骂人，每人扣10－20元；打人（单方面）扣100元；相互斗殴，每人扣50元，严重者加倍，直至开除甚至送治安处理。</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（二）进出校门，管理规范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1、让不明身份人员进校或未按规定办理进校手续，发现每次扣5元；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2、学生擅自离校，门卫无记录，每次扣10元；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3、非本校车辆未经有关部门同意进入学校，发现每次扣5元；</w:t>
      </w:r>
    </w:p>
    <w:p>
      <w:pPr>
        <w:keepNext w:val="0"/>
        <w:keepLines w:val="0"/>
        <w:pageBreakBefore w:val="0"/>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4、校门开而外面没有保安管理的当班保安每人扣5元。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（三）加强巡视，重视安保</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1、未按时巡逻或巡逻无记录，每次扣5元；因此发生事件加重加倍处罚。</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2、由于保安失职，发生学校固定财产被偷等事件，每次10-100元；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3、发现车辆违停，严重影响校内通行，要及时疏通，若不及时解决，每次扣5元；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（四）收发信件，及时传呼</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1、及时收发信件、包裹、挂号信等，并做好记录，由于收发失职，发现有物品遗失，每次扣5元；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2、发生突发事件，未及时致电相关职能处室和领导而造成学校财产损失的，每次扣5元；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（五）环境整洁，摆放有序</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1、要落实好卫生打扫制度，保持门卫室内干净整洁，物品摆放有序，做好门卫室前的“三包”工作，发现卫生工作不做到位，每次扣5元；</w:t>
      </w:r>
    </w:p>
    <w:p>
      <w:pPr>
        <w:keepNext w:val="0"/>
        <w:keepLines w:val="0"/>
        <w:pageBreakBefore w:val="0"/>
        <w:kinsoku/>
        <w:wordWrap/>
        <w:overflowPunct/>
        <w:topLinePunct w:val="0"/>
        <w:bidi w:val="0"/>
        <w:spacing w:line="360" w:lineRule="auto"/>
        <w:ind w:right="0" w:rightChars="0" w:firstLine="453" w:firstLineChars="189"/>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2、乱扔垃圾，不讲卫生，扣5元；门卫内脏乱，当班每人扣5元。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3、未经有关部门同意，若发现校门口（30米左右）设摊，或送外卖，未及时驱赶，每次扣5元。</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4、被慈溪市级以上通报批评的每次扣50元。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（六）加强培训，定期督查</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保安公司平时加强对员工的培训指导，至少每半个月一次对保安工作督查或以例会形式进行教育，以期促进保安工作有序开展。若发现没有培训、督查和例会教育，每次扣10元。</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若情节较为严重，或不虚心接受，则扣发当月所有奖金。</w:t>
      </w:r>
    </w:p>
    <w:p>
      <w:pPr>
        <w:keepNext w:val="0"/>
        <w:keepLines w:val="0"/>
        <w:pageBreakBefore w:val="0"/>
        <w:tabs>
          <w:tab w:val="left" w:pos="540"/>
        </w:tabs>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（七）其他说明</w:t>
      </w:r>
    </w:p>
    <w:p>
      <w:pPr>
        <w:keepNext w:val="0"/>
        <w:keepLines w:val="0"/>
        <w:pageBreakBefore w:val="0"/>
        <w:kinsoku/>
        <w:wordWrap/>
        <w:overflowPunct/>
        <w:topLinePunct w:val="0"/>
        <w:bidi w:val="0"/>
        <w:spacing w:line="360" w:lineRule="auto"/>
        <w:ind w:right="0" w:rightChars="0" w:firstLine="42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1、同班当值班长、保安未及时指正违规人员的负连带责任，各扣当事违纪者所扣款项的100%、50%。</w:t>
      </w:r>
    </w:p>
    <w:p>
      <w:pPr>
        <w:keepNext w:val="0"/>
        <w:keepLines w:val="0"/>
        <w:pageBreakBefore w:val="0"/>
        <w:kinsoku/>
        <w:wordWrap/>
        <w:overflowPunct/>
        <w:topLinePunct w:val="0"/>
        <w:bidi w:val="0"/>
        <w:spacing w:line="360" w:lineRule="auto"/>
        <w:ind w:right="0" w:rightChars="0" w:firstLine="42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2、有上述违纪违规现象的当事人扣100%，同班当值班长当事违纪者所扣款项的50%以上，保安队长扣当事违纪者所扣款项的10%以上。</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b/>
          <w:bCs/>
          <w:color w:val="auto"/>
          <w:sz w:val="24"/>
          <w:szCs w:val="24"/>
        </w:rPr>
      </w:pPr>
      <w:r>
        <w:rPr>
          <w:rFonts w:hint="eastAsia" w:ascii="宋体" w:hAnsi="宋体" w:eastAsia="宋体" w:cs="宋体"/>
          <w:color w:val="auto"/>
          <w:sz w:val="24"/>
          <w:szCs w:val="24"/>
        </w:rPr>
        <w:t>3、以上处罚措施具体视情况严重，酌情扣罚。其余未列入上述条款的违纪违规现象，具体视情节轻重作相应处罚。</w:t>
      </w:r>
    </w:p>
    <w:p>
      <w:pPr>
        <w:keepNext w:val="0"/>
        <w:keepLines w:val="0"/>
        <w:pageBreakBefore w:val="0"/>
        <w:kinsoku/>
        <w:wordWrap/>
        <w:overflowPunct/>
        <w:topLinePunct w:val="0"/>
        <w:bidi w:val="0"/>
        <w:spacing w:line="360" w:lineRule="auto"/>
        <w:ind w:right="0" w:rightChars="0" w:firstLine="1205" w:firstLineChars="50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br w:type="pag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宁波行知中等职业学校保安考核细则及评分</w:t>
      </w:r>
    </w:p>
    <w:p>
      <w:pPr>
        <w:keepNext w:val="0"/>
        <w:keepLines w:val="0"/>
        <w:pageBreakBefore w:val="0"/>
        <w:kinsoku/>
        <w:wordWrap/>
        <w:overflowPunct/>
        <w:topLinePunct w:val="0"/>
        <w:bidi w:val="0"/>
        <w:spacing w:line="360" w:lineRule="auto"/>
        <w:ind w:right="0" w:right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考核月份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　</w:t>
      </w:r>
    </w:p>
    <w:tbl>
      <w:tblPr>
        <w:tblStyle w:val="39"/>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199"/>
        <w:gridCol w:w="7314"/>
        <w:gridCol w:w="650"/>
        <w:gridCol w:w="103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wBefore w:w="0" w:type="dxa"/>
          <w:trHeight w:val="564" w:hRule="atLeast"/>
          <w:jc w:val="center"/>
        </w:trPr>
        <w:tc>
          <w:tcPr>
            <w:tcW w:w="119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考核项目</w:t>
            </w:r>
          </w:p>
        </w:tc>
        <w:tc>
          <w:tcPr>
            <w:tcW w:w="731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扣分标准</w:t>
            </w:r>
          </w:p>
        </w:tc>
        <w:tc>
          <w:tcPr>
            <w:tcW w:w="65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1035"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考核分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wBefore w:w="0" w:type="dxa"/>
          <w:trHeight w:val="444" w:hRule="atLeast"/>
          <w:jc w:val="center"/>
        </w:trPr>
        <w:tc>
          <w:tcPr>
            <w:tcW w:w="119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保安上班态度</w:t>
            </w:r>
          </w:p>
        </w:tc>
        <w:tc>
          <w:tcPr>
            <w:tcW w:w="731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着装不规范扣5分/次，未按规定佩戴安保装备扣5分/次，不按规定立岗姿势不符合标准扣5分/次，语言污秽扣5分/次，工作期间在学校非允许吸烟区域吸烟的，扣1分/次，交接班不及时、拖延，未遵守上班时间，擅自换班扣5分/次，串岗一次扣5分，不爱护公有财产扣5分/次，利用上班时间干私活扣5分/次，上班时间玩手机等5分/次，语言行为不利于内部团结扣5分/次，利用保安大队和校方提供的安保设备为私人所用扣5分/次及宁波行知中等职业学校门卫管理奖惩办法所列其他扣分项目。</w:t>
            </w:r>
          </w:p>
        </w:tc>
        <w:tc>
          <w:tcPr>
            <w:tcW w:w="650" w:type="dxa"/>
            <w:tcBorders>
              <w:top w:val="outset" w:color="000000" w:sz="6" w:space="0"/>
              <w:left w:val="outset" w:color="000000" w:sz="6" w:space="0"/>
              <w:bottom w:val="single" w:color="auto" w:sz="4"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50</w:t>
            </w:r>
          </w:p>
        </w:tc>
        <w:tc>
          <w:tcPr>
            <w:tcW w:w="1035" w:type="dxa"/>
            <w:tcBorders>
              <w:top w:val="single" w:color="auto" w:sz="0" w:space="0"/>
              <w:left w:val="single" w:color="auto" w:sz="0"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19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完成本职工作</w:t>
            </w:r>
          </w:p>
        </w:tc>
        <w:tc>
          <w:tcPr>
            <w:tcW w:w="731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如不按规定巡逻、巡视监控，开、关路灯、走廊灯、厕所灯，开、关操场、球场门，开、关蒸汽发生器的管道煤气等，第一次扣5分，第二次扣10分，第三次扣15分，依次类推；交接班记录不详扣3分/次，无交接班记录扣5分/次；制度执行不力但未造成严重后果扣5分/次，制度执行不力导致严重后果扣10分/次及宁波行知中等职业学校门卫管理奖惩办法所列其他扣分项目。</w:t>
            </w:r>
          </w:p>
        </w:tc>
        <w:tc>
          <w:tcPr>
            <w:tcW w:w="65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30</w:t>
            </w:r>
          </w:p>
        </w:tc>
        <w:tc>
          <w:tcPr>
            <w:tcW w:w="1035" w:type="dxa"/>
            <w:tcBorders>
              <w:top w:val="single" w:color="auto" w:sz="0" w:space="0"/>
              <w:left w:val="single" w:color="auto" w:sz="0"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wBefore w:w="0" w:type="dxa"/>
          <w:trHeight w:val="592" w:hRule="atLeast"/>
          <w:jc w:val="center"/>
        </w:trPr>
        <w:tc>
          <w:tcPr>
            <w:tcW w:w="119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突发事件</w:t>
            </w:r>
          </w:p>
        </w:tc>
        <w:tc>
          <w:tcPr>
            <w:tcW w:w="731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未处置、未及时报告相关部门和领导扣5分，发现问题处理瞒报，人情处理造成不良影响扣10分/次,及宁波行知中等职业学校门卫管理奖惩办法所列其他扣分项目。</w:t>
            </w:r>
          </w:p>
        </w:tc>
        <w:tc>
          <w:tcPr>
            <w:tcW w:w="65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035" w:type="dxa"/>
            <w:tcBorders>
              <w:top w:val="single" w:color="auto" w:sz="4" w:space="0"/>
              <w:left w:val="single" w:color="auto" w:sz="0"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wBefore w:w="0" w:type="dxa"/>
          <w:jc w:val="center"/>
        </w:trPr>
        <w:tc>
          <w:tcPr>
            <w:tcW w:w="119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一票否决制</w:t>
            </w:r>
          </w:p>
        </w:tc>
        <w:tc>
          <w:tcPr>
            <w:tcW w:w="731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1、擅自放学生离校或者手续不全放闲杂人员进校并造成严重后果的。</w:t>
            </w: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2、有盗窃行为的或向师生兜售物品的。</w:t>
            </w: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3、上班时间饮酒。</w:t>
            </w: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4、在校滋事的。</w:t>
            </w: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5、不服从管理和工作分配的。</w:t>
            </w: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6、保安在本校上班不到1个月的。</w:t>
            </w: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7、不符合学校保安条件的（如年龄</w:t>
            </w:r>
            <w:r>
              <w:rPr>
                <w:rFonts w:hint="eastAsia" w:eastAsia="宋体" w:cs="宋体"/>
                <w:color w:val="auto"/>
                <w:sz w:val="24"/>
                <w:szCs w:val="24"/>
                <w:lang w:val="en-US" w:eastAsia="zh-CN"/>
              </w:rPr>
              <w:t>60</w:t>
            </w:r>
            <w:r>
              <w:rPr>
                <w:rFonts w:hint="eastAsia" w:ascii="宋体" w:hAnsi="宋体" w:eastAsia="宋体" w:cs="宋体"/>
                <w:color w:val="auto"/>
                <w:sz w:val="24"/>
                <w:szCs w:val="24"/>
              </w:rPr>
              <w:t>周岁以上、没有保安公安局颁发的保安证书等）。</w:t>
            </w: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8、发生学校领导或其他领导点名的事情，经查属实的。</w:t>
            </w: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9、其他发生影响较大和造成严重后果的事情。</w:t>
            </w:r>
          </w:p>
        </w:tc>
        <w:tc>
          <w:tcPr>
            <w:tcW w:w="65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035" w:type="dxa"/>
            <w:tcBorders>
              <w:top w:val="single" w:color="auto" w:sz="4" w:space="0"/>
              <w:left w:val="single" w:color="auto" w:sz="0"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wBefore w:w="0" w:type="dxa"/>
          <w:trHeight w:val="572" w:hRule="atLeast"/>
          <w:jc w:val="center"/>
        </w:trPr>
        <w:tc>
          <w:tcPr>
            <w:tcW w:w="8513"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       计</w:t>
            </w:r>
          </w:p>
        </w:tc>
        <w:tc>
          <w:tcPr>
            <w:tcW w:w="65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1035" w:type="dxa"/>
            <w:tcBorders>
              <w:top w:val="single" w:color="auto" w:sz="4" w:space="0"/>
              <w:left w:val="single" w:color="auto" w:sz="0" w:space="0"/>
              <w:bottom w:val="single" w:color="auto" w:sz="0" w:space="0"/>
              <w:right w:val="single" w:color="auto" w:sz="4"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wBefore w:w="0" w:type="dxa"/>
          <w:trHeight w:val="1330" w:hRule="atLeast"/>
          <w:jc w:val="center"/>
        </w:trPr>
        <w:tc>
          <w:tcPr>
            <w:tcW w:w="1199"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考核意见</w:t>
            </w:r>
          </w:p>
        </w:tc>
        <w:tc>
          <w:tcPr>
            <w:tcW w:w="8999" w:type="dxa"/>
            <w:gridSpan w:val="3"/>
            <w:tcBorders>
              <w:top w:val="outset" w:color="000000" w:sz="6" w:space="0"/>
              <w:left w:val="single" w:color="auto" w:sz="4" w:space="0"/>
              <w:bottom w:val="outset" w:color="000000" w:sz="6" w:space="0"/>
            </w:tcBorders>
            <w:noWrap w:val="0"/>
            <w:vAlign w:val="center"/>
          </w:tcPr>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签字：</w:t>
            </w: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bidi w:val="0"/>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keepNext w:val="0"/>
        <w:keepLines w:val="0"/>
        <w:pageBreakBefore w:val="0"/>
        <w:kinsoku/>
        <w:wordWrap/>
        <w:overflowPunct/>
        <w:topLinePunct w:val="0"/>
        <w:bidi w:val="0"/>
        <w:spacing w:line="360" w:lineRule="auto"/>
        <w:ind w:right="0" w:rightChars="0" w:firstLine="360" w:firstLineChars="1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1、考核打分保安互评占30%（其中保安队长打分占10%，班长打分占10%，保安互评占10%），学校打分占30%,保安公司打分占40%。</w:t>
      </w:r>
    </w:p>
    <w:p>
      <w:pPr>
        <w:keepNext w:val="0"/>
        <w:keepLines w:val="0"/>
        <w:pageBreakBefore w:val="0"/>
        <w:kinsoku/>
        <w:wordWrap/>
        <w:overflowPunct/>
        <w:topLinePunct w:val="0"/>
        <w:bidi w:val="0"/>
        <w:spacing w:line="360" w:lineRule="auto"/>
        <w:ind w:right="0" w:rightChars="0" w:firstLine="355" w:firstLineChars="14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保安月考核奖分优秀、良好、合格、不合格四档（91分-100分优秀，81分-90分良好，61分-79分合格，60分（含60分）以下不合格），每人每月分别奖250元、200元、150元、0元（考核奖列入招标总价内）。考核优秀、良好的比率不能超过15%、30%（若优秀、良好超过比率按评分从高到低排列）。队长、班长、队员考核累计3次不合格或连续2次考核不合格的保安公司必须进行更换。</w:t>
      </w:r>
    </w:p>
    <w:p>
      <w:pPr>
        <w:keepNext w:val="0"/>
        <w:keepLines w:val="0"/>
        <w:pageBreakBefore w:val="0"/>
        <w:kinsoku/>
        <w:wordWrap/>
        <w:overflowPunct/>
        <w:topLinePunct w:val="0"/>
        <w:bidi w:val="0"/>
        <w:spacing w:line="360" w:lineRule="auto"/>
        <w:ind w:right="0" w:rightChars="0" w:firstLine="355" w:firstLineChars="14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保安合同年度考核奖分优秀、良好、合格、不合格四档（91分-100分优秀，81分-90分良好，61分-79分合格，60分（含60分）以下不合格），每一个合同年度内每月对每一个保安的考核级别达到优秀、良好、合格、不合格对保安奖励的同时，保安分别得分4分、2分、1分、0分，校门口门卫保安实际得分除以满分48乘以100为保安年度考核得分，新疆寝室保安实际得分除以满分36乘以100为保安年度考核得分，保安年度考核奖分优秀、良好、合格、不合格四档（91分-100分优秀，81分-90分良好，61分-79分合格，60分（含60分）以下不合格），每人分别奖1100元、1000元、900元、0元。考核优秀、良好的比率不能超过15%、30%（若优秀、良好超过比率按评分从高到低排列）（考核奖列入招标总价内）。</w:t>
      </w:r>
    </w:p>
    <w:p>
      <w:pPr>
        <w:keepNext w:val="0"/>
        <w:keepLines w:val="0"/>
        <w:pageBreakBefore w:val="0"/>
        <w:kinsoku/>
        <w:wordWrap/>
        <w:overflowPunct/>
        <w:topLinePunct w:val="0"/>
        <w:bidi w:val="0"/>
        <w:spacing w:line="360" w:lineRule="auto"/>
        <w:ind w:right="0" w:rightChars="0" w:firstLine="475" w:firstLineChars="198"/>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4、对保安公司的月考核，每月对每一个保安的考核级别达到优秀、良好、合格、不合格对保安奖励的同时，保安公司分别得分4分、2分、1分、0分，保安年龄超过</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周岁的每人在保安公司的所得总分中扣1分，达到辞退或降级的保安，而保安公司未执行的每人在保安公司的所得总分中扣1分，保安没有参加社保的每人在保安公司的所得总分中扣1分，保安公司实际得分为（所得总分减去保安应该扣分），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年9月到202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年5月保安公司实际得分除以满分（优秀2人乘以4分加上良好</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人乘以2分加上合格</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人乘以1分）2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乘以100为保安公司每月考核得分，20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年9月和202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年6、7月保安公司实际得分除以满分（优秀</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人乘以4分加上良好</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人乘以2分加上合格</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人乘以1分）</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乘以100为保安公司每月考核得分，月考核分优秀、良好、合格、不合格四档（91分-100分优秀，81分-90分良好，61分-79分合格，60分（含60分）以下不合格）。</w:t>
      </w:r>
    </w:p>
    <w:p>
      <w:pPr>
        <w:keepNext w:val="0"/>
        <w:keepLines w:val="0"/>
        <w:pageBreakBefore w:val="0"/>
        <w:kinsoku/>
        <w:wordWrap/>
        <w:overflowPunct/>
        <w:topLinePunct w:val="0"/>
        <w:bidi w:val="0"/>
        <w:spacing w:line="360" w:lineRule="auto"/>
        <w:ind w:right="0" w:rightChars="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学校安保人员在岗期间的工作表现，每月由用人单位书面考核记载，对在工作中有突出表现的个人将予以奖励，对考核不满意的或违纪的个人将予必要的处分，直到调离工作岗位，当有人员辞职或辞退时，保安公司应在一星期内找到替换人选，确保学校正常工作的开展。</w:t>
      </w:r>
    </w:p>
    <w:p>
      <w:pPr>
        <w:pStyle w:val="2"/>
        <w:keepNext w:val="0"/>
        <w:keepLines w:val="0"/>
        <w:pageBreakBefore w:val="0"/>
        <w:kinsoku/>
        <w:wordWrap/>
        <w:overflowPunct/>
        <w:topLinePunct w:val="0"/>
        <w:bidi w:val="0"/>
        <w:spacing w:before="0" w:line="360" w:lineRule="auto"/>
        <w:ind w:right="0" w:rightChars="0" w:firstLine="422"/>
        <w:textAlignment w:val="auto"/>
        <w:outlineLvl w:val="9"/>
        <w:rPr>
          <w:rFonts w:hint="eastAsia" w:ascii="宋体" w:hAnsi="宋体" w:eastAsia="宋体" w:cs="宋体"/>
          <w:b/>
          <w:color w:val="auto"/>
          <w:sz w:val="24"/>
          <w:szCs w:val="24"/>
        </w:rPr>
      </w:pPr>
    </w:p>
    <w:p>
      <w:pPr>
        <w:numPr>
          <w:ilvl w:val="0"/>
          <w:numId w:val="0"/>
        </w:numPr>
        <w:rPr>
          <w:rFonts w:hint="eastAsia" w:cs="宋体"/>
          <w:b/>
          <w:bCs/>
          <w:color w:val="auto"/>
          <w:sz w:val="24"/>
          <w:szCs w:val="24"/>
        </w:rPr>
      </w:pPr>
      <w:r>
        <w:rPr>
          <w:rFonts w:hint="eastAsia" w:cs="宋体"/>
          <w:b/>
          <w:bCs/>
          <w:color w:val="auto"/>
        </w:rPr>
        <w:br w:type="page"/>
      </w:r>
      <w:r>
        <w:rPr>
          <w:rFonts w:hint="eastAsia" w:cs="宋体"/>
          <w:b/>
          <w:bCs/>
          <w:color w:val="auto"/>
          <w:sz w:val="24"/>
          <w:szCs w:val="24"/>
          <w:lang w:eastAsia="zh-CN"/>
        </w:rPr>
        <w:t>第二部分：</w:t>
      </w:r>
      <w:r>
        <w:rPr>
          <w:rFonts w:hint="eastAsia" w:cs="宋体"/>
          <w:b/>
          <w:bCs/>
          <w:color w:val="auto"/>
          <w:sz w:val="24"/>
          <w:szCs w:val="24"/>
        </w:rPr>
        <w:t>商务</w:t>
      </w:r>
      <w:bookmarkEnd w:id="37"/>
      <w:r>
        <w:rPr>
          <w:rFonts w:hint="eastAsia" w:cs="宋体"/>
          <w:b/>
          <w:bCs/>
          <w:color w:val="auto"/>
          <w:sz w:val="24"/>
          <w:szCs w:val="24"/>
        </w:rPr>
        <w:t>要求</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★一、付款方式：根据完成工作量按</w:t>
      </w:r>
      <w:r>
        <w:rPr>
          <w:rFonts w:hint="eastAsia" w:eastAsia="宋体" w:cs="宋体"/>
          <w:b/>
          <w:color w:val="auto"/>
          <w:sz w:val="24"/>
          <w:szCs w:val="24"/>
          <w:lang w:eastAsia="zh-CN"/>
        </w:rPr>
        <w:t>季度</w:t>
      </w:r>
      <w:r>
        <w:rPr>
          <w:rFonts w:hint="eastAsia" w:ascii="宋体" w:hAnsi="宋体" w:eastAsia="宋体" w:cs="宋体"/>
          <w:b/>
          <w:color w:val="auto"/>
          <w:sz w:val="24"/>
          <w:szCs w:val="24"/>
        </w:rPr>
        <w:t>结算，中标方提交有效正规税务发票，采购人作为付款凭据30天内予以支付，支付时扣除当</w:t>
      </w:r>
      <w:r>
        <w:rPr>
          <w:rFonts w:hint="eastAsia" w:eastAsia="宋体" w:cs="宋体"/>
          <w:b/>
          <w:color w:val="auto"/>
          <w:sz w:val="24"/>
          <w:szCs w:val="24"/>
          <w:lang w:eastAsia="zh-CN"/>
        </w:rPr>
        <w:t>季度</w:t>
      </w:r>
      <w:r>
        <w:rPr>
          <w:rFonts w:hint="eastAsia" w:ascii="宋体" w:hAnsi="宋体" w:eastAsia="宋体" w:cs="宋体"/>
          <w:b/>
          <w:color w:val="auto"/>
          <w:sz w:val="24"/>
          <w:szCs w:val="24"/>
        </w:rPr>
        <w:t>中标方应支付的违约金和应承担的赔偿款。</w:t>
      </w:r>
      <w:r>
        <w:rPr>
          <w:rFonts w:hint="eastAsia" w:eastAsia="宋体" w:cs="宋体"/>
          <w:b/>
          <w:color w:val="auto"/>
          <w:sz w:val="24"/>
          <w:szCs w:val="24"/>
          <w:lang w:val="en-US" w:eastAsia="zh-CN"/>
        </w:rPr>
        <w:t>(如遇财政资金审批原因，付款方式双方协议)</w:t>
      </w:r>
    </w:p>
    <w:p>
      <w:pPr>
        <w:tabs>
          <w:tab w:val="left" w:pos="1243"/>
        </w:tabs>
        <w:autoSpaceDE w:val="0"/>
        <w:autoSpaceDN w:val="0"/>
        <w:adjustRightInd w:val="0"/>
        <w:snapToGrid w:val="0"/>
        <w:spacing w:line="500" w:lineRule="exact"/>
        <w:ind w:firstLine="474" w:firstLineChars="200"/>
        <w:textAlignment w:val="bottom"/>
        <w:rPr>
          <w:rFonts w:hint="eastAsia" w:ascii="宋体" w:hAnsi="宋体" w:eastAsia="宋体" w:cs="宋体"/>
          <w:b/>
          <w:color w:val="auto"/>
          <w:sz w:val="24"/>
          <w:szCs w:val="24"/>
        </w:rPr>
      </w:pPr>
      <w:r>
        <w:rPr>
          <w:rFonts w:hint="eastAsia" w:ascii="宋体" w:hAnsi="宋体" w:eastAsia="宋体" w:cs="宋体"/>
          <w:b/>
          <w:color w:val="auto"/>
          <w:spacing w:val="-2"/>
          <w:sz w:val="24"/>
          <w:szCs w:val="24"/>
        </w:rPr>
        <w:t>★</w:t>
      </w:r>
      <w:r>
        <w:rPr>
          <w:rFonts w:hint="eastAsia" w:ascii="宋体" w:hAnsi="宋体" w:eastAsia="宋体" w:cs="宋体"/>
          <w:b/>
          <w:color w:val="auto"/>
          <w:sz w:val="24"/>
          <w:szCs w:val="24"/>
        </w:rPr>
        <w:t>二、履约保证金：中标方在签订合同前提交合同总价的5%为履约保证金。完成其合同义务后30天内无息予以退还；但如果此时存在合同争端并且未能解决，那么履约保证金的有效期应延长到上述争端最终解决且理赔完毕后终止。</w:t>
      </w:r>
    </w:p>
    <w:p>
      <w:pPr>
        <w:tabs>
          <w:tab w:val="left" w:pos="1243"/>
        </w:tabs>
        <w:autoSpaceDE w:val="0"/>
        <w:autoSpaceDN w:val="0"/>
        <w:adjustRightInd w:val="0"/>
        <w:snapToGrid w:val="0"/>
        <w:spacing w:line="500" w:lineRule="exact"/>
        <w:ind w:firstLine="480" w:firstLineChars="200"/>
        <w:textAlignment w:val="bottom"/>
        <w:rPr>
          <w:rFonts w:hint="eastAsia" w:ascii="宋体" w:hAnsi="宋体" w:eastAsia="宋体" w:cs="宋体"/>
          <w:bCs/>
          <w:color w:val="auto"/>
          <w:sz w:val="24"/>
          <w:szCs w:val="24"/>
        </w:rPr>
      </w:pPr>
      <w:r>
        <w:rPr>
          <w:rFonts w:hint="eastAsia" w:ascii="宋体" w:hAnsi="宋体" w:eastAsia="宋体" w:cs="宋体"/>
          <w:bCs/>
          <w:color w:val="auto"/>
          <w:sz w:val="24"/>
          <w:szCs w:val="24"/>
        </w:rPr>
        <w:t>三、服务期</w:t>
      </w:r>
    </w:p>
    <w:p>
      <w:pPr>
        <w:tabs>
          <w:tab w:val="left" w:pos="1243"/>
        </w:tabs>
        <w:autoSpaceDE w:val="0"/>
        <w:autoSpaceDN w:val="0"/>
        <w:adjustRightInd w:val="0"/>
        <w:snapToGrid w:val="0"/>
        <w:spacing w:line="500" w:lineRule="exact"/>
        <w:ind w:firstLine="480" w:firstLineChars="200"/>
        <w:textAlignment w:val="bottom"/>
        <w:rPr>
          <w:rFonts w:hint="eastAsia" w:ascii="宋体" w:hAnsi="宋体" w:eastAsia="宋体" w:cs="宋体"/>
          <w:bCs/>
          <w:color w:val="auto"/>
          <w:sz w:val="24"/>
          <w:szCs w:val="24"/>
        </w:rPr>
      </w:pPr>
      <w:r>
        <w:rPr>
          <w:rFonts w:hint="eastAsia" w:ascii="宋体" w:hAnsi="宋体" w:eastAsia="宋体" w:cs="宋体"/>
          <w:bCs/>
          <w:color w:val="auto"/>
          <w:sz w:val="24"/>
          <w:szCs w:val="24"/>
        </w:rPr>
        <w:t>本次采购服务期为保安1年。一年期满后经采购人考核合格，报慈溪市公共资源交易管理办公室备案，合同可续签一年，最多可续签一年。</w:t>
      </w:r>
    </w:p>
    <w:p>
      <w:pPr>
        <w:tabs>
          <w:tab w:val="left" w:pos="1243"/>
        </w:tabs>
        <w:autoSpaceDE w:val="0"/>
        <w:autoSpaceDN w:val="0"/>
        <w:adjustRightInd w:val="0"/>
        <w:snapToGrid w:val="0"/>
        <w:spacing w:line="500" w:lineRule="exact"/>
        <w:ind w:firstLine="480" w:firstLineChars="200"/>
        <w:textAlignment w:val="bottom"/>
        <w:rPr>
          <w:rFonts w:hint="eastAsia" w:ascii="宋体" w:hAnsi="宋体" w:eastAsia="宋体" w:cs="宋体"/>
          <w:bCs/>
          <w:color w:val="auto"/>
          <w:sz w:val="24"/>
          <w:szCs w:val="24"/>
        </w:rPr>
      </w:pPr>
      <w:r>
        <w:rPr>
          <w:rFonts w:hint="eastAsia" w:ascii="宋体" w:hAnsi="宋体" w:eastAsia="宋体" w:cs="宋体"/>
          <w:bCs/>
          <w:color w:val="auto"/>
          <w:sz w:val="24"/>
          <w:szCs w:val="24"/>
        </w:rPr>
        <w:t>四、考核</w:t>
      </w:r>
    </w:p>
    <w:p>
      <w:pPr>
        <w:tabs>
          <w:tab w:val="left" w:pos="1243"/>
        </w:tabs>
        <w:autoSpaceDE w:val="0"/>
        <w:autoSpaceDN w:val="0"/>
        <w:adjustRightInd w:val="0"/>
        <w:snapToGrid w:val="0"/>
        <w:spacing w:line="500" w:lineRule="exact"/>
        <w:ind w:firstLine="480" w:firstLineChars="200"/>
        <w:textAlignment w:val="bottom"/>
        <w:rPr>
          <w:rFonts w:hint="eastAsia" w:ascii="宋体" w:hAnsi="宋体" w:eastAsia="宋体" w:cs="宋体"/>
          <w:bCs/>
          <w:color w:val="auto"/>
          <w:sz w:val="24"/>
          <w:szCs w:val="24"/>
        </w:rPr>
      </w:pPr>
      <w:r>
        <w:rPr>
          <w:rFonts w:hint="eastAsia" w:ascii="宋体" w:hAnsi="宋体" w:eastAsia="宋体" w:cs="宋体"/>
          <w:bCs/>
          <w:color w:val="auto"/>
          <w:sz w:val="24"/>
          <w:szCs w:val="24"/>
        </w:rPr>
        <w:t>按第二章</w:t>
      </w:r>
      <w:r>
        <w:rPr>
          <w:rFonts w:hint="eastAsia" w:ascii="宋体" w:hAnsi="宋体" w:eastAsia="宋体" w:cs="宋体"/>
          <w:bCs/>
          <w:color w:val="auto"/>
          <w:sz w:val="24"/>
          <w:szCs w:val="24"/>
          <w:lang w:eastAsia="zh-CN"/>
        </w:rPr>
        <w:t>项目</w:t>
      </w:r>
      <w:r>
        <w:rPr>
          <w:rFonts w:hint="eastAsia" w:ascii="宋体" w:hAnsi="宋体" w:eastAsia="宋体" w:cs="宋体"/>
          <w:bCs/>
          <w:color w:val="auto"/>
          <w:sz w:val="24"/>
          <w:szCs w:val="24"/>
        </w:rPr>
        <w:t>要求</w:t>
      </w:r>
      <w:r>
        <w:rPr>
          <w:rFonts w:hint="eastAsia" w:ascii="宋体" w:hAnsi="宋体" w:eastAsia="宋体" w:cs="宋体"/>
          <w:bCs/>
          <w:color w:val="auto"/>
          <w:sz w:val="24"/>
          <w:szCs w:val="24"/>
          <w:lang w:eastAsia="zh-CN"/>
        </w:rPr>
        <w:t>什么</w:t>
      </w:r>
      <w:r>
        <w:rPr>
          <w:rFonts w:hint="eastAsia" w:ascii="宋体" w:hAnsi="宋体" w:eastAsia="宋体" w:cs="宋体"/>
          <w:bCs/>
          <w:color w:val="auto"/>
          <w:sz w:val="24"/>
          <w:szCs w:val="24"/>
        </w:rPr>
        <w:t>中的“四、考核办法”执行。</w:t>
      </w:r>
    </w:p>
    <w:p>
      <w:pPr>
        <w:tabs>
          <w:tab w:val="left" w:pos="1243"/>
        </w:tabs>
        <w:autoSpaceDE w:val="0"/>
        <w:autoSpaceDN w:val="0"/>
        <w:adjustRightInd w:val="0"/>
        <w:snapToGrid w:val="0"/>
        <w:spacing w:line="500" w:lineRule="exact"/>
        <w:ind w:firstLine="482" w:firstLineChars="200"/>
        <w:textAlignment w:val="bottom"/>
        <w:rPr>
          <w:rFonts w:hint="eastAsia" w:ascii="宋体" w:hAnsi="宋体" w:eastAsia="宋体" w:cs="宋体"/>
          <w:b/>
          <w:color w:val="auto"/>
          <w:sz w:val="24"/>
          <w:szCs w:val="24"/>
        </w:rPr>
      </w:pPr>
      <w:r>
        <w:rPr>
          <w:rFonts w:hint="eastAsia" w:ascii="宋体" w:hAnsi="宋体" w:eastAsia="宋体" w:cs="宋体"/>
          <w:b/>
          <w:color w:val="auto"/>
          <w:sz w:val="24"/>
          <w:szCs w:val="24"/>
        </w:rPr>
        <w:t>五、其他说明</w:t>
      </w:r>
    </w:p>
    <w:p>
      <w:pPr>
        <w:tabs>
          <w:tab w:val="left" w:pos="1243"/>
        </w:tabs>
        <w:autoSpaceDE w:val="0"/>
        <w:autoSpaceDN w:val="0"/>
        <w:adjustRightInd w:val="0"/>
        <w:snapToGrid w:val="0"/>
        <w:spacing w:line="336" w:lineRule="auto"/>
        <w:ind w:firstLine="482" w:firstLineChars="200"/>
        <w:textAlignment w:val="bottom"/>
        <w:rPr>
          <w:rFonts w:hint="eastAsia" w:ascii="宋体" w:hAnsi="宋体" w:eastAsia="宋体" w:cs="宋体"/>
          <w:b/>
          <w:color w:val="auto"/>
          <w:sz w:val="24"/>
          <w:szCs w:val="24"/>
        </w:rPr>
      </w:pPr>
      <w:r>
        <w:rPr>
          <w:rFonts w:hint="eastAsia" w:ascii="宋体" w:hAnsi="宋体" w:eastAsia="宋体" w:cs="宋体"/>
          <w:b/>
          <w:color w:val="auto"/>
          <w:sz w:val="24"/>
          <w:szCs w:val="24"/>
        </w:rPr>
        <w:t>★1、在中标通知书发出后30日历天内，中标方凭投标承诺与采购人签订合同，否则采购人有权取消中标方的中标资格，推荐排序居次的中标候选人为中标方。</w:t>
      </w:r>
    </w:p>
    <w:p>
      <w:pPr>
        <w:tabs>
          <w:tab w:val="left" w:pos="1243"/>
        </w:tabs>
        <w:autoSpaceDE w:val="0"/>
        <w:autoSpaceDN w:val="0"/>
        <w:adjustRightInd w:val="0"/>
        <w:snapToGrid w:val="0"/>
        <w:spacing w:line="336" w:lineRule="auto"/>
        <w:ind w:firstLine="480" w:firstLineChars="200"/>
        <w:textAlignment w:val="bottom"/>
        <w:rPr>
          <w:rFonts w:hint="eastAsia" w:ascii="宋体" w:hAnsi="宋体" w:eastAsia="宋体" w:cs="宋体"/>
          <w:bCs/>
          <w:color w:val="auto"/>
          <w:sz w:val="24"/>
          <w:szCs w:val="24"/>
        </w:rPr>
      </w:pPr>
      <w:r>
        <w:rPr>
          <w:rFonts w:hint="eastAsia" w:ascii="宋体" w:hAnsi="宋体" w:eastAsia="宋体" w:cs="宋体"/>
          <w:bCs/>
          <w:color w:val="auto"/>
          <w:sz w:val="24"/>
          <w:szCs w:val="24"/>
        </w:rPr>
        <w:t>2、投标人要制订用工计划并加强劳动用工管理，必须符合劳动法、劳动合同法等法律法规的要求，与员工签订正规的劳动合同，负责支付上岗人员的工资、津贴、社会保险及根据国家规定应支付的各项费用。承担体检、培训费用。如果采购人根据实际情况需要增加人员，按投标文件中的相应费用支付给投标人。</w:t>
      </w:r>
    </w:p>
    <w:p>
      <w:pPr>
        <w:tabs>
          <w:tab w:val="left" w:pos="1243"/>
        </w:tabs>
        <w:autoSpaceDE w:val="0"/>
        <w:autoSpaceDN w:val="0"/>
        <w:adjustRightInd w:val="0"/>
        <w:snapToGrid w:val="0"/>
        <w:spacing w:line="336" w:lineRule="auto"/>
        <w:ind w:firstLine="480" w:firstLineChars="200"/>
        <w:textAlignment w:val="bottom"/>
        <w:rPr>
          <w:rFonts w:hint="eastAsia" w:ascii="宋体" w:hAnsi="宋体" w:eastAsia="宋体" w:cs="宋体"/>
          <w:bCs/>
          <w:color w:val="auto"/>
          <w:sz w:val="24"/>
          <w:szCs w:val="24"/>
          <w:highlight w:val="yellow"/>
        </w:rPr>
      </w:pPr>
      <w:r>
        <w:rPr>
          <w:rFonts w:hint="eastAsia" w:ascii="宋体" w:hAnsi="宋体" w:eastAsia="宋体" w:cs="宋体"/>
          <w:bCs/>
          <w:color w:val="auto"/>
          <w:sz w:val="24"/>
          <w:szCs w:val="24"/>
        </w:rPr>
        <w:t>3、如发生劳动纠纷，采购人不承担连带责任，用工调整须报采购人备案。</w:t>
      </w:r>
    </w:p>
    <w:p>
      <w:pPr>
        <w:tabs>
          <w:tab w:val="left" w:pos="1243"/>
        </w:tabs>
        <w:autoSpaceDE w:val="0"/>
        <w:autoSpaceDN w:val="0"/>
        <w:adjustRightInd w:val="0"/>
        <w:snapToGrid w:val="0"/>
        <w:spacing w:line="336" w:lineRule="auto"/>
        <w:ind w:firstLine="480" w:firstLineChars="200"/>
        <w:textAlignment w:val="bottom"/>
        <w:rPr>
          <w:rFonts w:hint="eastAsia" w:ascii="宋体" w:hAnsi="宋体" w:eastAsia="宋体" w:cs="宋体"/>
          <w:bCs/>
          <w:color w:val="auto"/>
          <w:sz w:val="24"/>
          <w:szCs w:val="24"/>
        </w:rPr>
      </w:pPr>
      <w:r>
        <w:rPr>
          <w:rFonts w:hint="eastAsia" w:ascii="宋体" w:hAnsi="宋体" w:eastAsia="宋体" w:cs="宋体"/>
          <w:bCs/>
          <w:color w:val="auto"/>
          <w:sz w:val="24"/>
          <w:szCs w:val="24"/>
        </w:rPr>
        <w:t>4、中标方不得将本项目转包或分包，否则采购人视中标方单方面违约，采购人可单方面终止合同，中标方承担违约赔偿责任，并没收履约保证金。</w:t>
      </w:r>
    </w:p>
    <w:p>
      <w:pPr>
        <w:tabs>
          <w:tab w:val="left" w:pos="1243"/>
        </w:tabs>
        <w:autoSpaceDE w:val="0"/>
        <w:autoSpaceDN w:val="0"/>
        <w:adjustRightInd w:val="0"/>
        <w:snapToGrid w:val="0"/>
        <w:spacing w:line="336" w:lineRule="auto"/>
        <w:ind w:firstLine="480" w:firstLineChars="200"/>
        <w:textAlignment w:val="bottom"/>
        <w:rPr>
          <w:rFonts w:hint="eastAsia" w:ascii="宋体" w:hAnsi="宋体" w:eastAsia="宋体" w:cs="宋体"/>
          <w:bCs/>
          <w:color w:val="auto"/>
          <w:sz w:val="24"/>
          <w:szCs w:val="24"/>
        </w:rPr>
      </w:pPr>
      <w:r>
        <w:rPr>
          <w:rFonts w:hint="eastAsia" w:ascii="宋体" w:hAnsi="宋体" w:eastAsia="宋体" w:cs="宋体"/>
          <w:bCs/>
          <w:color w:val="auto"/>
          <w:sz w:val="24"/>
          <w:szCs w:val="24"/>
        </w:rPr>
        <w:t>5、中标方须遵守采购人的各项规章制度，参加和接受采购人的日常检查与考评，考评结果直接与经济挂钩。管理未能达到招标文件和投标文件中承诺的目标，中标方承担违约的赔偿责任，并没收履约保证金。</w:t>
      </w:r>
    </w:p>
    <w:p>
      <w:pPr>
        <w:spacing w:line="400" w:lineRule="exact"/>
        <w:ind w:firstLine="480" w:firstLineChars="200"/>
        <w:jc w:val="left"/>
        <w:rPr>
          <w:rFonts w:hint="eastAsia" w:ascii="宋体" w:hAnsi="宋体"/>
          <w:bCs/>
          <w:color w:val="auto"/>
          <w:sz w:val="24"/>
          <w:szCs w:val="24"/>
        </w:rPr>
      </w:pPr>
      <w:r>
        <w:rPr>
          <w:rFonts w:hint="eastAsia" w:ascii="宋体" w:hAnsi="宋体" w:eastAsia="宋体" w:cs="宋体"/>
          <w:bCs/>
          <w:color w:val="auto"/>
          <w:sz w:val="24"/>
          <w:szCs w:val="24"/>
        </w:rPr>
        <w:t>6、本次投标报价为一年合同服务费用，并要求提供详细费用测算细目（备注：所有物料、工具、器械皆由投标人负责提供）。服务期内服务人员工资不得低于慈溪市政府规定的当年最低工资标准，所有人员必须交纳包括养老、工伤、失业、生育、医疗等在内的社会保险，服务期内不得低于慈溪市政府规定的当年社保缴费基数。</w:t>
      </w:r>
    </w:p>
    <w:p>
      <w:pPr>
        <w:pStyle w:val="2"/>
        <w:ind w:firstLine="0" w:firstLineChars="0"/>
        <w:rPr>
          <w:rFonts w:hint="eastAsia"/>
          <w:color w:val="auto"/>
        </w:rPr>
      </w:pPr>
    </w:p>
    <w:p>
      <w:pPr>
        <w:ind w:firstLine="480"/>
        <w:jc w:val="center"/>
        <w:rPr>
          <w:rFonts w:hint="eastAsia" w:cs="宋体"/>
          <w:b/>
          <w:bCs/>
          <w:color w:val="auto"/>
          <w:kern w:val="44"/>
          <w:sz w:val="32"/>
          <w:szCs w:val="52"/>
        </w:rPr>
      </w:pPr>
      <w:r>
        <w:rPr>
          <w:rFonts w:hint="eastAsia"/>
          <w:bCs/>
          <w:color w:val="auto"/>
        </w:rPr>
        <w:br w:type="page"/>
      </w:r>
      <w:bookmarkEnd w:id="40"/>
      <w:bookmarkStart w:id="41" w:name="_Toc10398"/>
      <w:r>
        <w:rPr>
          <w:rFonts w:hint="eastAsia" w:cs="宋体"/>
          <w:b/>
          <w:bCs/>
          <w:color w:val="auto"/>
          <w:kern w:val="44"/>
          <w:sz w:val="32"/>
          <w:szCs w:val="52"/>
        </w:rPr>
        <w:t>第三章  投标人须知</w:t>
      </w:r>
      <w:bookmarkEnd w:id="41"/>
    </w:p>
    <w:p>
      <w:pPr>
        <w:pStyle w:val="5"/>
        <w:jc w:val="center"/>
        <w:rPr>
          <w:rFonts w:hint="eastAsia" w:ascii="宋体" w:hAnsi="宋体" w:cs="宋体"/>
          <w:color w:val="auto"/>
        </w:rPr>
      </w:pPr>
      <w:bookmarkStart w:id="42" w:name="_Toc2290"/>
      <w:bookmarkStart w:id="43" w:name="_Toc21699"/>
      <w:bookmarkStart w:id="44" w:name="_Toc452457413"/>
      <w:bookmarkStart w:id="45" w:name="_Toc22879"/>
      <w:r>
        <w:rPr>
          <w:rFonts w:hint="eastAsia" w:ascii="宋体" w:hAnsi="宋体" w:cs="宋体"/>
          <w:color w:val="auto"/>
        </w:rPr>
        <w:t>前 附 表</w:t>
      </w:r>
      <w:bookmarkEnd w:id="42"/>
      <w:bookmarkEnd w:id="43"/>
      <w:bookmarkEnd w:id="44"/>
      <w:bookmarkEnd w:id="45"/>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ind w:firstLine="0" w:firstLineChars="0"/>
              <w:jc w:val="center"/>
              <w:rPr>
                <w:rFonts w:hint="eastAsia" w:cs="宋体"/>
                <w:color w:val="auto"/>
              </w:rPr>
            </w:pPr>
            <w:r>
              <w:rPr>
                <w:rFonts w:hint="eastAsia" w:cs="宋体"/>
                <w:color w:val="auto"/>
              </w:rPr>
              <w:t>序号</w:t>
            </w:r>
          </w:p>
        </w:tc>
        <w:tc>
          <w:tcPr>
            <w:tcW w:w="1944" w:type="dxa"/>
            <w:noWrap w:val="0"/>
            <w:vAlign w:val="center"/>
          </w:tcPr>
          <w:p>
            <w:pPr>
              <w:ind w:firstLine="0" w:firstLineChars="0"/>
              <w:jc w:val="center"/>
              <w:rPr>
                <w:rFonts w:hint="eastAsia" w:cs="宋体"/>
                <w:color w:val="auto"/>
                <w:lang w:val="zh-CN"/>
              </w:rPr>
            </w:pPr>
            <w:r>
              <w:rPr>
                <w:rFonts w:hint="eastAsia" w:cs="宋体"/>
                <w:color w:val="auto"/>
                <w:lang w:val="zh-CN"/>
              </w:rPr>
              <w:t>事项</w:t>
            </w:r>
          </w:p>
        </w:tc>
        <w:tc>
          <w:tcPr>
            <w:tcW w:w="6826" w:type="dxa"/>
            <w:noWrap w:val="0"/>
            <w:vAlign w:val="center"/>
          </w:tcPr>
          <w:p>
            <w:pPr>
              <w:ind w:firstLine="0" w:firstLineChars="0"/>
              <w:jc w:val="center"/>
              <w:rPr>
                <w:rFonts w:hint="eastAsia" w:cs="宋体"/>
                <w:color w:val="auto"/>
                <w:lang w:val="zh-CN"/>
              </w:rPr>
            </w:pPr>
            <w:r>
              <w:rPr>
                <w:rFonts w:hint="eastAsia" w:cs="宋体"/>
                <w:color w:val="auto"/>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rPr>
            </w:pPr>
          </w:p>
        </w:tc>
        <w:tc>
          <w:tcPr>
            <w:tcW w:w="1944" w:type="dxa"/>
            <w:noWrap w:val="0"/>
            <w:vAlign w:val="top"/>
          </w:tcPr>
          <w:p>
            <w:pPr>
              <w:ind w:firstLine="0" w:firstLineChars="0"/>
              <w:jc w:val="center"/>
              <w:rPr>
                <w:rFonts w:hint="eastAsia" w:cs="宋体"/>
                <w:color w:val="auto"/>
              </w:rPr>
            </w:pPr>
          </w:p>
          <w:p>
            <w:pPr>
              <w:ind w:firstLine="0" w:firstLineChars="0"/>
              <w:jc w:val="center"/>
              <w:rPr>
                <w:rFonts w:hint="eastAsia" w:cs="宋体"/>
                <w:color w:val="auto"/>
              </w:rPr>
            </w:pPr>
          </w:p>
          <w:p>
            <w:pPr>
              <w:ind w:firstLine="0" w:firstLineChars="0"/>
              <w:jc w:val="center"/>
              <w:rPr>
                <w:rFonts w:hint="eastAsia" w:cs="宋体"/>
                <w:color w:val="auto"/>
              </w:rPr>
            </w:pPr>
          </w:p>
          <w:p>
            <w:pPr>
              <w:ind w:firstLine="0" w:firstLineChars="0"/>
              <w:jc w:val="center"/>
              <w:rPr>
                <w:rFonts w:hint="eastAsia" w:cs="宋体"/>
                <w:color w:val="auto"/>
              </w:rPr>
            </w:pPr>
          </w:p>
          <w:p>
            <w:pPr>
              <w:ind w:firstLine="0" w:firstLineChars="0"/>
              <w:jc w:val="center"/>
              <w:rPr>
                <w:rFonts w:hint="eastAsia" w:cs="宋体"/>
                <w:color w:val="auto"/>
              </w:rPr>
            </w:pPr>
          </w:p>
          <w:p>
            <w:pPr>
              <w:ind w:firstLine="0" w:firstLineChars="0"/>
              <w:jc w:val="center"/>
              <w:rPr>
                <w:rFonts w:hint="eastAsia" w:cs="宋体"/>
                <w:color w:val="auto"/>
              </w:rPr>
            </w:pPr>
          </w:p>
          <w:p>
            <w:pPr>
              <w:ind w:firstLine="0" w:firstLineChars="0"/>
              <w:jc w:val="center"/>
              <w:rPr>
                <w:rFonts w:hint="eastAsia" w:cs="宋体"/>
                <w:color w:val="auto"/>
              </w:rPr>
            </w:pPr>
          </w:p>
          <w:p>
            <w:pPr>
              <w:ind w:firstLine="0" w:firstLineChars="0"/>
              <w:jc w:val="center"/>
              <w:rPr>
                <w:rFonts w:hint="eastAsia" w:cs="宋体"/>
                <w:b/>
                <w:color w:val="auto"/>
              </w:rPr>
            </w:pPr>
            <w:r>
              <w:rPr>
                <w:rFonts w:hint="eastAsia" w:cs="宋体"/>
                <w:color w:val="auto"/>
              </w:rPr>
              <w:t>报价要求</w:t>
            </w:r>
          </w:p>
        </w:tc>
        <w:tc>
          <w:tcPr>
            <w:tcW w:w="6826" w:type="dxa"/>
            <w:noWrap w:val="0"/>
            <w:vAlign w:val="top"/>
          </w:tcPr>
          <w:p>
            <w:pPr>
              <w:spacing w:line="348" w:lineRule="auto"/>
              <w:ind w:firstLine="0" w:firstLineChars="0"/>
              <w:rPr>
                <w:rFonts w:hint="eastAsia" w:cs="宋体"/>
                <w:color w:val="auto"/>
              </w:rPr>
            </w:pPr>
            <w:r>
              <w:rPr>
                <w:rFonts w:hint="eastAsia" w:cs="宋体"/>
                <w:color w:val="auto"/>
              </w:rPr>
              <w:t>（1）本项目所有相关费用请各投标人自行考虑并计入总价中，</w:t>
            </w:r>
            <w:r>
              <w:rPr>
                <w:rFonts w:hint="eastAsia" w:ascii="宋体" w:hAnsi="宋体"/>
                <w:color w:val="auto"/>
              </w:rPr>
              <w:t>完成完整的一个年度综合服务所需的所有费用，但不限于：人员费用：所有人员的基本工资、社保（五险）、高温补贴、其它补贴（如有）、人身意外保险、人员各季节工作服等；投标人内部管理费用；重大活动或节假日应急保障费用；法定税费等所需的全部费用都包含在总报价中</w:t>
            </w:r>
            <w:r>
              <w:rPr>
                <w:rFonts w:hint="eastAsia" w:cs="宋体"/>
                <w:color w:val="auto"/>
              </w:rPr>
              <w:t>。</w:t>
            </w:r>
          </w:p>
          <w:p>
            <w:pPr>
              <w:ind w:firstLine="0" w:firstLineChars="0"/>
              <w:rPr>
                <w:rFonts w:hint="eastAsia" w:cs="宋体"/>
                <w:color w:val="auto"/>
              </w:rPr>
            </w:pPr>
            <w:r>
              <w:rPr>
                <w:rFonts w:hint="eastAsia" w:cs="宋体"/>
                <w:color w:val="auto"/>
              </w:rPr>
              <w:t>（2）投标报价出现下列情形的，投标无效：</w:t>
            </w:r>
          </w:p>
          <w:p>
            <w:pPr>
              <w:ind w:firstLine="0" w:firstLineChars="0"/>
              <w:rPr>
                <w:rFonts w:hint="eastAsia" w:cs="宋体"/>
                <w:color w:val="auto"/>
              </w:rPr>
            </w:pPr>
            <w:r>
              <w:rPr>
                <w:rFonts w:hint="eastAsia" w:cs="宋体"/>
                <w:color w:val="auto"/>
              </w:rPr>
              <w:t>★投标文件出现不是唯一的、有选择性投标报价的；</w:t>
            </w:r>
          </w:p>
          <w:p>
            <w:pPr>
              <w:ind w:firstLine="0" w:firstLineChars="0"/>
              <w:rPr>
                <w:rFonts w:hint="eastAsia" w:cs="宋体"/>
                <w:color w:val="auto"/>
              </w:rPr>
            </w:pPr>
            <w:r>
              <w:rPr>
                <w:rFonts w:hint="eastAsia" w:cs="宋体"/>
                <w:color w:val="auto"/>
              </w:rPr>
              <w:t>★投标报价高于本项目采购预算或者最高限价的；</w:t>
            </w:r>
          </w:p>
          <w:p>
            <w:pPr>
              <w:ind w:firstLine="0" w:firstLineChars="0"/>
              <w:rPr>
                <w:rFonts w:hint="eastAsia" w:cs="宋体"/>
                <w:color w:val="auto"/>
              </w:rPr>
            </w:pPr>
            <w:r>
              <w:rPr>
                <w:rFonts w:hint="eastAsia" w:cs="宋体"/>
                <w:color w:val="auto"/>
              </w:rPr>
              <w:t>★报价明显低于其他通过符合性审查投标人的报价，有可能影响产品质量或者不能诚信履约的，未能按要求提供书面说明或者提交相关证明材料，不能证明其报价合理性的；</w:t>
            </w:r>
          </w:p>
          <w:p>
            <w:pPr>
              <w:ind w:firstLine="0" w:firstLineChars="0"/>
              <w:rPr>
                <w:rFonts w:hint="eastAsia" w:cs="宋体"/>
                <w:color w:val="auto"/>
              </w:rPr>
            </w:pPr>
            <w:r>
              <w:rPr>
                <w:rFonts w:hint="eastAsia" w:cs="宋体"/>
                <w:color w:val="auto"/>
              </w:rPr>
              <w:t>★《投标（开标）一览表》填写不完整或字迹不能辨认或有漏项的；</w:t>
            </w:r>
          </w:p>
          <w:p>
            <w:pPr>
              <w:ind w:firstLine="0" w:firstLineChars="0"/>
              <w:rPr>
                <w:rFonts w:hint="eastAsia" w:cs="宋体"/>
                <w:b/>
                <w:color w:val="auto"/>
              </w:rPr>
            </w:pPr>
            <w:r>
              <w:rPr>
                <w:rFonts w:hint="eastAsia" w:cs="宋体"/>
                <w:color w:val="auto"/>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rPr>
            </w:pPr>
          </w:p>
        </w:tc>
        <w:tc>
          <w:tcPr>
            <w:tcW w:w="19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color w:val="auto"/>
              </w:rPr>
            </w:pPr>
            <w:r>
              <w:rPr>
                <w:rFonts w:hint="eastAsia" w:cs="宋体"/>
                <w:color w:val="auto"/>
              </w:rPr>
              <w:t>信息公告及评标结果公告媒体</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s="宋体"/>
                <w:color w:val="auto"/>
              </w:rPr>
            </w:pPr>
            <w:r>
              <w:rPr>
                <w:rFonts w:hint="eastAsia" w:cs="宋体"/>
                <w:color w:val="auto"/>
              </w:rPr>
              <w:t>宁波市公共资源交易网慈溪市分网（http://bidding.ningbo.gov.cn/cixi/）、宁波政府采购网（http://www.nbzfcg.cn）和浙江政府采购网（https://zfcg.czt.zj.gov.cn/）</w:t>
            </w:r>
            <w:r>
              <w:rPr>
                <w:rFonts w:hint="eastAsia" w:cs="宋体"/>
                <w:color w:val="auto"/>
                <w:szCs w:val="32"/>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rPr>
            </w:pPr>
          </w:p>
        </w:tc>
        <w:tc>
          <w:tcPr>
            <w:tcW w:w="1944" w:type="dxa"/>
            <w:noWrap w:val="0"/>
            <w:vAlign w:val="top"/>
          </w:tcPr>
          <w:p>
            <w:pPr>
              <w:ind w:firstLine="0" w:firstLineChars="0"/>
              <w:jc w:val="center"/>
              <w:rPr>
                <w:rFonts w:hint="eastAsia" w:cs="宋体"/>
                <w:color w:val="auto"/>
              </w:rPr>
            </w:pPr>
            <w:r>
              <w:rPr>
                <w:rFonts w:hint="eastAsia" w:cs="宋体"/>
                <w:color w:val="auto"/>
              </w:rPr>
              <w:t>经批准或确认的本次采购方式</w:t>
            </w:r>
          </w:p>
        </w:tc>
        <w:tc>
          <w:tcPr>
            <w:tcW w:w="6826" w:type="dxa"/>
            <w:noWrap w:val="0"/>
            <w:vAlign w:val="top"/>
          </w:tcPr>
          <w:p>
            <w:pPr>
              <w:pStyle w:val="175"/>
              <w:rPr>
                <w:rFonts w:hint="eastAsia" w:ascii="宋体" w:hAnsi="宋体" w:eastAsia="宋体" w:cs="宋体"/>
                <w:color w:val="auto"/>
              </w:rPr>
            </w:pPr>
          </w:p>
          <w:p>
            <w:pPr>
              <w:pStyle w:val="175"/>
              <w:rPr>
                <w:rFonts w:hint="eastAsia" w:ascii="宋体" w:hAnsi="宋体" w:eastAsia="宋体" w:cs="宋体"/>
                <w:color w:val="auto"/>
              </w:rPr>
            </w:pPr>
            <w:r>
              <w:rPr>
                <w:rFonts w:hint="eastAsia" w:ascii="宋体" w:hAnsi="宋体" w:eastAsia="宋体" w:cs="宋体"/>
                <w:color w:val="auto"/>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rPr>
            </w:pPr>
          </w:p>
        </w:tc>
        <w:tc>
          <w:tcPr>
            <w:tcW w:w="1944" w:type="dxa"/>
            <w:noWrap w:val="0"/>
            <w:vAlign w:val="center"/>
          </w:tcPr>
          <w:p>
            <w:pPr>
              <w:ind w:firstLine="240" w:firstLineChars="100"/>
              <w:jc w:val="center"/>
              <w:rPr>
                <w:rFonts w:hint="eastAsia" w:cs="宋体"/>
                <w:color w:val="auto"/>
              </w:rPr>
            </w:pPr>
            <w:r>
              <w:rPr>
                <w:rFonts w:hint="eastAsia" w:cs="宋体"/>
                <w:color w:val="auto"/>
              </w:rPr>
              <w:t>分包或转包</w:t>
            </w:r>
          </w:p>
        </w:tc>
        <w:tc>
          <w:tcPr>
            <w:tcW w:w="6826" w:type="dxa"/>
            <w:noWrap w:val="0"/>
            <w:vAlign w:val="center"/>
          </w:tcPr>
          <w:p>
            <w:pPr>
              <w:numPr>
                <w:ilvl w:val="0"/>
                <w:numId w:val="5"/>
              </w:numPr>
              <w:ind w:firstLine="0" w:firstLineChars="0"/>
              <w:rPr>
                <w:rFonts w:hint="eastAsia" w:cs="宋体"/>
                <w:color w:val="auto"/>
              </w:rPr>
            </w:pPr>
            <w:r>
              <w:rPr>
                <w:rFonts w:hint="eastAsia" w:cs="宋体"/>
                <w:color w:val="auto"/>
              </w:rPr>
              <w:t>采购人不同意分包。</w:t>
            </w:r>
          </w:p>
          <w:p>
            <w:pPr>
              <w:pStyle w:val="9"/>
              <w:ind w:firstLine="0"/>
              <w:rPr>
                <w:rFonts w:hint="eastAsia" w:ascii="宋体" w:hAnsi="宋体" w:cs="宋体"/>
                <w:color w:val="auto"/>
                <w:lang w:val="en-US" w:eastAsia="zh-CN"/>
              </w:rPr>
            </w:pPr>
            <w:r>
              <w:rPr>
                <w:rFonts w:hint="eastAsia" w:ascii="宋体" w:hAnsi="宋体" w:cs="宋体"/>
                <w:color w:val="auto"/>
                <w:sz w:val="24"/>
                <w:lang w:val="en-US" w:eastAsia="zh-CN"/>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rPr>
            </w:pPr>
          </w:p>
        </w:tc>
        <w:tc>
          <w:tcPr>
            <w:tcW w:w="1944" w:type="dxa"/>
            <w:noWrap w:val="0"/>
            <w:vAlign w:val="center"/>
          </w:tcPr>
          <w:p>
            <w:pPr>
              <w:ind w:firstLine="0" w:firstLineChars="0"/>
              <w:jc w:val="center"/>
              <w:rPr>
                <w:rFonts w:hint="eastAsia" w:cs="宋体"/>
                <w:color w:val="auto"/>
              </w:rPr>
            </w:pPr>
            <w:r>
              <w:rPr>
                <w:rFonts w:hint="eastAsia" w:cs="宋体"/>
                <w:color w:val="auto"/>
              </w:rPr>
              <w:t>投标人应当提供的资格证明文件、报价文件和商务技术文件</w:t>
            </w:r>
          </w:p>
        </w:tc>
        <w:tc>
          <w:tcPr>
            <w:tcW w:w="6826" w:type="dxa"/>
            <w:noWrap w:val="0"/>
            <w:vAlign w:val="center"/>
          </w:tcPr>
          <w:p>
            <w:pPr>
              <w:ind w:firstLine="0" w:firstLineChars="0"/>
              <w:rPr>
                <w:rFonts w:hint="eastAsia" w:cs="宋体"/>
                <w:color w:val="auto"/>
              </w:rPr>
            </w:pPr>
            <w:r>
              <w:rPr>
                <w:rFonts w:hint="eastAsia" w:cs="宋体"/>
                <w:color w:val="auto"/>
              </w:rPr>
              <w:t>（1）资格证明文件：见本章第三节。</w:t>
            </w:r>
          </w:p>
          <w:p>
            <w:pPr>
              <w:ind w:firstLine="0" w:firstLineChars="0"/>
              <w:rPr>
                <w:rFonts w:hint="eastAsia" w:cs="宋体"/>
                <w:color w:val="auto"/>
              </w:rPr>
            </w:pPr>
            <w:r>
              <w:rPr>
                <w:rFonts w:hint="eastAsia" w:cs="宋体"/>
                <w:color w:val="auto"/>
              </w:rPr>
              <w:t>（2）报价文件和商务技术文：见本章第三节。</w:t>
            </w:r>
          </w:p>
          <w:p>
            <w:pPr>
              <w:ind w:firstLine="0" w:firstLineChars="0"/>
              <w:rPr>
                <w:rFonts w:hint="eastAsia" w:cs="宋体"/>
                <w:color w:val="auto"/>
              </w:rPr>
            </w:pPr>
            <w:r>
              <w:rPr>
                <w:rFonts w:hint="eastAsia" w:cs="宋体"/>
                <w:color w:val="auto"/>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rPr>
            </w:pPr>
          </w:p>
        </w:tc>
        <w:tc>
          <w:tcPr>
            <w:tcW w:w="1944" w:type="dxa"/>
            <w:noWrap w:val="0"/>
            <w:vAlign w:val="center"/>
          </w:tcPr>
          <w:p>
            <w:pPr>
              <w:ind w:firstLine="0" w:firstLineChars="0"/>
              <w:jc w:val="center"/>
              <w:rPr>
                <w:rFonts w:hint="eastAsia" w:cs="宋体"/>
                <w:color w:val="auto"/>
              </w:rPr>
            </w:pPr>
            <w:r>
              <w:rPr>
                <w:rFonts w:hint="eastAsia" w:cs="宋体"/>
                <w:color w:val="auto"/>
                <w:szCs w:val="21"/>
              </w:rPr>
              <w:t>投标文件形式</w:t>
            </w:r>
          </w:p>
        </w:tc>
        <w:tc>
          <w:tcPr>
            <w:tcW w:w="6826" w:type="dxa"/>
            <w:noWrap w:val="0"/>
            <w:vAlign w:val="center"/>
          </w:tcPr>
          <w:p>
            <w:pPr>
              <w:ind w:firstLine="0" w:firstLineChars="0"/>
              <w:rPr>
                <w:rFonts w:hint="eastAsia" w:cs="宋体"/>
                <w:color w:val="auto"/>
              </w:rPr>
            </w:pPr>
            <w:r>
              <w:rPr>
                <w:rFonts w:hint="eastAsia" w:cs="宋体"/>
                <w:color w:val="auto"/>
              </w:rPr>
              <w:t>本项目实行电子投标。</w:t>
            </w:r>
          </w:p>
          <w:p>
            <w:pPr>
              <w:ind w:firstLine="0" w:firstLineChars="0"/>
              <w:rPr>
                <w:rFonts w:hint="eastAsia" w:cs="宋体"/>
                <w:color w:val="auto"/>
              </w:rPr>
            </w:pPr>
            <w:r>
              <w:rPr>
                <w:rFonts w:hint="eastAsia" w:cs="宋体"/>
                <w:color w:val="auto"/>
              </w:rPr>
              <w:t>供应商应准备两种形式的投标文件：电子加密投标文件、以介质存储的数据电文形式的备份投标文件。</w:t>
            </w:r>
          </w:p>
          <w:p>
            <w:pPr>
              <w:ind w:firstLine="0" w:firstLineChars="0"/>
              <w:rPr>
                <w:rFonts w:hint="eastAsia" w:cs="宋体"/>
                <w:color w:val="auto"/>
              </w:rPr>
            </w:pPr>
            <w:r>
              <w:rPr>
                <w:rFonts w:hint="eastAsia" w:cs="宋体"/>
                <w:color w:val="auto"/>
              </w:rPr>
              <w:t>1.“电子加密投标文件”是指通过“政采云电子交易客户端”完成投标文件编制后生成并加密的数据电文形式的投标文件（后缀格式为.jmbs）</w:t>
            </w:r>
          </w:p>
          <w:p>
            <w:pPr>
              <w:ind w:firstLine="0" w:firstLineChars="0"/>
              <w:rPr>
                <w:rFonts w:hint="eastAsia" w:cs="宋体"/>
                <w:color w:val="auto"/>
              </w:rPr>
            </w:pPr>
            <w:r>
              <w:rPr>
                <w:rFonts w:hint="eastAsia" w:cs="宋体"/>
                <w:color w:val="auto"/>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rPr>
            </w:pPr>
          </w:p>
        </w:tc>
        <w:tc>
          <w:tcPr>
            <w:tcW w:w="1944" w:type="dxa"/>
            <w:noWrap w:val="0"/>
            <w:vAlign w:val="center"/>
          </w:tcPr>
          <w:p>
            <w:pPr>
              <w:ind w:firstLine="0" w:firstLineChars="0"/>
              <w:jc w:val="center"/>
              <w:rPr>
                <w:rFonts w:hint="eastAsia" w:cs="宋体"/>
                <w:color w:val="auto"/>
                <w:szCs w:val="21"/>
              </w:rPr>
            </w:pPr>
            <w:r>
              <w:rPr>
                <w:rFonts w:hint="eastAsia" w:cs="宋体"/>
                <w:color w:val="auto"/>
                <w:szCs w:val="21"/>
              </w:rPr>
              <w:t>投标文件的上传和递交</w:t>
            </w:r>
          </w:p>
        </w:tc>
        <w:tc>
          <w:tcPr>
            <w:tcW w:w="6826" w:type="dxa"/>
            <w:noWrap w:val="0"/>
            <w:vAlign w:val="top"/>
          </w:tcPr>
          <w:p>
            <w:pPr>
              <w:tabs>
                <w:tab w:val="left" w:pos="105"/>
                <w:tab w:val="left" w:pos="735"/>
                <w:tab w:val="left" w:pos="945"/>
                <w:tab w:val="left" w:pos="3360"/>
              </w:tabs>
              <w:ind w:firstLine="0" w:firstLineChars="0"/>
              <w:rPr>
                <w:rFonts w:hint="eastAsia" w:cs="宋体"/>
                <w:color w:val="auto"/>
              </w:rPr>
            </w:pPr>
            <w:r>
              <w:rPr>
                <w:rFonts w:hint="eastAsia" w:cs="宋体"/>
                <w:color w:val="auto"/>
              </w:rPr>
              <w:t>（1）“电子加密投标文件”的上传、递交：</w:t>
            </w:r>
          </w:p>
          <w:p>
            <w:pPr>
              <w:tabs>
                <w:tab w:val="left" w:pos="105"/>
                <w:tab w:val="left" w:pos="735"/>
                <w:tab w:val="left" w:pos="945"/>
                <w:tab w:val="left" w:pos="3360"/>
              </w:tabs>
              <w:ind w:firstLine="0" w:firstLineChars="0"/>
              <w:rPr>
                <w:rFonts w:hint="eastAsia" w:cs="宋体"/>
                <w:color w:val="auto"/>
              </w:rPr>
            </w:pPr>
            <w:r>
              <w:rPr>
                <w:rFonts w:hint="eastAsia" w:cs="宋体"/>
                <w:color w:val="auto"/>
              </w:rPr>
              <w:t>a.投标供应商应在投标截止时间前将“电子加密投标文件”成功上传递交至“政府采购云平台”，否则投标无效。</w:t>
            </w:r>
          </w:p>
          <w:p>
            <w:pPr>
              <w:tabs>
                <w:tab w:val="left" w:pos="105"/>
                <w:tab w:val="left" w:pos="735"/>
                <w:tab w:val="left" w:pos="945"/>
                <w:tab w:val="left" w:pos="3360"/>
              </w:tabs>
              <w:ind w:firstLine="0" w:firstLineChars="0"/>
              <w:rPr>
                <w:rFonts w:hint="eastAsia" w:cs="宋体"/>
                <w:color w:val="auto"/>
              </w:rPr>
            </w:pPr>
            <w:r>
              <w:rPr>
                <w:rFonts w:hint="eastAsia" w:cs="宋体"/>
                <w:color w:val="auto"/>
              </w:rPr>
              <w:t>b.“电子加密投标文件”成功上传递交后，供应商可自行打印投标文件接收回执。</w:t>
            </w:r>
          </w:p>
          <w:p>
            <w:pPr>
              <w:tabs>
                <w:tab w:val="left" w:pos="105"/>
                <w:tab w:val="left" w:pos="735"/>
                <w:tab w:val="left" w:pos="945"/>
                <w:tab w:val="left" w:pos="3360"/>
              </w:tabs>
              <w:ind w:firstLine="0" w:firstLineChars="0"/>
              <w:rPr>
                <w:rFonts w:hint="eastAsia" w:cs="宋体"/>
                <w:color w:val="auto"/>
              </w:rPr>
            </w:pPr>
            <w:r>
              <w:rPr>
                <w:rFonts w:hint="eastAsia" w:cs="宋体"/>
                <w:color w:val="auto"/>
              </w:rPr>
              <w:t>（2）“备份投标文件”的密封包装、递交：</w:t>
            </w:r>
          </w:p>
          <w:p>
            <w:pPr>
              <w:tabs>
                <w:tab w:val="left" w:pos="105"/>
                <w:tab w:val="left" w:pos="735"/>
                <w:tab w:val="left" w:pos="945"/>
                <w:tab w:val="left" w:pos="3360"/>
              </w:tabs>
              <w:ind w:firstLine="0" w:firstLineChars="0"/>
              <w:rPr>
                <w:rFonts w:hint="eastAsia" w:cs="宋体"/>
                <w:color w:val="auto"/>
              </w:rPr>
            </w:pPr>
            <w:r>
              <w:rPr>
                <w:rFonts w:hint="eastAsia" w:cs="宋体"/>
                <w:color w:val="auto"/>
              </w:rPr>
              <w:t>a.投标供应商在“政府采购云平台”完成“电子加密投标文件”的上传递交后，还可以（EMS邮寄形式）在投标截止时间前递交以介质（U盘）存储的 “备份投标文件”（一份）；</w:t>
            </w:r>
          </w:p>
          <w:p>
            <w:pPr>
              <w:tabs>
                <w:tab w:val="left" w:pos="105"/>
                <w:tab w:val="left" w:pos="735"/>
                <w:tab w:val="left" w:pos="945"/>
                <w:tab w:val="left" w:pos="3360"/>
              </w:tabs>
              <w:ind w:firstLine="0" w:firstLineChars="0"/>
              <w:rPr>
                <w:rFonts w:hint="eastAsia" w:cs="宋体"/>
                <w:color w:val="auto"/>
              </w:rPr>
            </w:pPr>
            <w:r>
              <w:rPr>
                <w:rFonts w:hint="eastAsia" w:cs="宋体"/>
                <w:color w:val="auto"/>
              </w:rPr>
              <w:t>b.“备份投标文件”应当密封包装，并在包装上标注投标项目名称、投标单位名称并加盖公章。没有密封包装或者逾期邮寄送达至投标地点的“备份投标文件”将不予接收；</w:t>
            </w:r>
          </w:p>
          <w:p>
            <w:pPr>
              <w:tabs>
                <w:tab w:val="left" w:pos="105"/>
                <w:tab w:val="left" w:pos="735"/>
                <w:tab w:val="left" w:pos="945"/>
                <w:tab w:val="left" w:pos="3360"/>
              </w:tabs>
              <w:ind w:firstLine="0" w:firstLineChars="0"/>
              <w:rPr>
                <w:rFonts w:hint="eastAsia" w:cs="宋体"/>
                <w:color w:val="auto"/>
              </w:rPr>
            </w:pPr>
            <w:r>
              <w:rPr>
                <w:rFonts w:hint="eastAsia" w:cs="宋体"/>
                <w:color w:val="auto"/>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tabs>
                <w:tab w:val="left" w:pos="105"/>
                <w:tab w:val="left" w:pos="735"/>
                <w:tab w:val="left" w:pos="945"/>
                <w:tab w:val="left" w:pos="3360"/>
              </w:tabs>
              <w:ind w:firstLine="0" w:firstLineChars="0"/>
              <w:rPr>
                <w:rFonts w:hint="eastAsia" w:cs="宋体"/>
                <w:color w:val="auto"/>
              </w:rPr>
            </w:pPr>
            <w:r>
              <w:rPr>
                <w:rFonts w:hint="eastAsia" w:cs="宋体"/>
                <w:color w:val="auto"/>
              </w:rPr>
              <w:t>（3）投标文件启用顺序和效力。投标文件的启用，按先后顺位分别为电子投标文件、以介质存储的数据电文形式的备份投标文件。顺位在先的投标文件已按时解密的，备份投标文件自动失效。在下一顺位的投标文件启用时，前一顺位的投标文件自动失效。</w:t>
            </w:r>
          </w:p>
          <w:p>
            <w:pPr>
              <w:tabs>
                <w:tab w:val="left" w:pos="105"/>
                <w:tab w:val="left" w:pos="735"/>
                <w:tab w:val="left" w:pos="945"/>
                <w:tab w:val="left" w:pos="3360"/>
              </w:tabs>
              <w:ind w:firstLine="480"/>
              <w:rPr>
                <w:rFonts w:hint="eastAsia" w:cs="宋体"/>
                <w:color w:val="auto"/>
              </w:rPr>
            </w:pPr>
            <w:r>
              <w:rPr>
                <w:rFonts w:hint="eastAsia" w:cs="宋体"/>
                <w:color w:val="auto"/>
              </w:rPr>
              <w:t>★未传输递交电子投标文件的，投标无效。★未按规定提供相应的备份投标文件，造成项目开评标活动无法进行下去的，投标无效。</w:t>
            </w:r>
          </w:p>
          <w:p>
            <w:pPr>
              <w:tabs>
                <w:tab w:val="left" w:pos="105"/>
                <w:tab w:val="left" w:pos="735"/>
                <w:tab w:val="left" w:pos="945"/>
                <w:tab w:val="left" w:pos="3360"/>
              </w:tabs>
              <w:ind w:firstLine="482"/>
              <w:rPr>
                <w:rFonts w:hint="eastAsia" w:cs="宋体"/>
                <w:color w:val="auto"/>
              </w:rPr>
            </w:pPr>
            <w:r>
              <w:rPr>
                <w:rFonts w:hint="eastAsia" w:cs="宋体"/>
                <w:b/>
                <w:bCs/>
                <w:color w:val="auto"/>
              </w:rPr>
              <w:t>注：中标单位在结果公示后需提供一套与电子投标文件一致的纸质投标文件。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rPr>
            </w:pPr>
          </w:p>
        </w:tc>
        <w:tc>
          <w:tcPr>
            <w:tcW w:w="1944" w:type="dxa"/>
            <w:noWrap w:val="0"/>
            <w:vAlign w:val="center"/>
          </w:tcPr>
          <w:p>
            <w:pPr>
              <w:spacing w:line="240" w:lineRule="auto"/>
              <w:ind w:firstLine="0" w:firstLineChars="0"/>
              <w:jc w:val="center"/>
              <w:rPr>
                <w:rFonts w:hint="eastAsia" w:cs="宋体"/>
                <w:color w:val="auto"/>
                <w:szCs w:val="21"/>
              </w:rPr>
            </w:pPr>
            <w:r>
              <w:rPr>
                <w:rFonts w:hint="eastAsia" w:cs="宋体"/>
                <w:bCs/>
                <w:color w:val="auto"/>
                <w:szCs w:val="21"/>
              </w:rPr>
              <w:t>电子加密投标文件的解密和异常情况处理</w:t>
            </w:r>
          </w:p>
        </w:tc>
        <w:tc>
          <w:tcPr>
            <w:tcW w:w="6826" w:type="dxa"/>
            <w:noWrap w:val="0"/>
            <w:vAlign w:val="center"/>
          </w:tcPr>
          <w:p>
            <w:pPr>
              <w:adjustRightInd w:val="0"/>
              <w:snapToGrid w:val="0"/>
              <w:ind w:firstLine="0" w:firstLineChars="0"/>
              <w:rPr>
                <w:rFonts w:hint="eastAsia" w:cs="宋体"/>
                <w:color w:val="auto"/>
              </w:rPr>
            </w:pPr>
            <w:r>
              <w:rPr>
                <w:rFonts w:hint="eastAsia" w:cs="宋体"/>
                <w:color w:val="auto"/>
              </w:rPr>
              <w:t>1.开标后，采购组织机构将向各投标供应商发出“电子加密投标文件”的解密通知，各投标供应商代表应当在接到解密通知后30分钟内自行完成“电子加密投标文件”的在线解密（加密和解密需同一ca锁）。</w:t>
            </w:r>
          </w:p>
          <w:p>
            <w:pPr>
              <w:adjustRightInd w:val="0"/>
              <w:snapToGrid w:val="0"/>
              <w:ind w:firstLine="0" w:firstLineChars="0"/>
              <w:rPr>
                <w:rFonts w:hint="eastAsia" w:cs="宋体"/>
                <w:color w:val="auto"/>
              </w:rPr>
            </w:pPr>
            <w:r>
              <w:rPr>
                <w:rFonts w:hint="eastAsia" w:cs="宋体"/>
                <w:color w:val="auto"/>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pPr>
              <w:adjustRightInd w:val="0"/>
              <w:snapToGrid w:val="0"/>
              <w:ind w:firstLine="0" w:firstLineChars="0"/>
              <w:rPr>
                <w:rFonts w:hint="eastAsia" w:cs="宋体"/>
                <w:color w:val="auto"/>
                <w:szCs w:val="21"/>
              </w:rPr>
            </w:pPr>
            <w:r>
              <w:rPr>
                <w:rFonts w:hint="eastAsia" w:cs="宋体"/>
                <w:color w:val="auto"/>
              </w:rPr>
              <w:t>3.投标截止时间前，投标供应商仅递交了“备份投标文件”而未将电子加密投标文件上传至“政采云平台”的，投标无效。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rPr>
            </w:pPr>
          </w:p>
        </w:tc>
        <w:tc>
          <w:tcPr>
            <w:tcW w:w="1944" w:type="dxa"/>
            <w:noWrap w:val="0"/>
            <w:vAlign w:val="center"/>
          </w:tcPr>
          <w:p>
            <w:pPr>
              <w:spacing w:line="240" w:lineRule="auto"/>
              <w:ind w:firstLine="0" w:firstLineChars="0"/>
              <w:jc w:val="center"/>
              <w:rPr>
                <w:rFonts w:hint="eastAsia" w:cs="宋体"/>
                <w:bCs/>
                <w:color w:val="auto"/>
                <w:szCs w:val="21"/>
              </w:rPr>
            </w:pPr>
            <w:r>
              <w:rPr>
                <w:rFonts w:hint="eastAsia" w:cs="宋体"/>
                <w:color w:val="auto"/>
              </w:rPr>
              <w:t>在线电子投标说明</w:t>
            </w:r>
          </w:p>
        </w:tc>
        <w:tc>
          <w:tcPr>
            <w:tcW w:w="6826" w:type="dxa"/>
            <w:noWrap w:val="0"/>
            <w:vAlign w:val="top"/>
          </w:tcPr>
          <w:p>
            <w:pPr>
              <w:ind w:firstLine="0" w:firstLineChars="0"/>
              <w:rPr>
                <w:rFonts w:hint="eastAsia" w:cs="宋体"/>
                <w:color w:val="auto"/>
              </w:rPr>
            </w:pPr>
            <w:r>
              <w:rPr>
                <w:rFonts w:hint="eastAsia" w:cs="宋体"/>
                <w:color w:val="auto"/>
              </w:rPr>
              <w:t>（1）本项目通过政府采购云平台实行在线电子投标，投标人应先安装政采云电子交易客户端，并按照招标文件和政府采购云平台的要求，通过政采云电子交易客户端编制并加密投标文件，投标人未按规定加密的投标文件，政府采购云平台将予以拒收。</w:t>
            </w:r>
          </w:p>
          <w:p>
            <w:pPr>
              <w:ind w:firstLine="0" w:firstLineChars="0"/>
              <w:rPr>
                <w:rFonts w:hint="eastAsia" w:cs="宋体"/>
                <w:color w:val="auto"/>
              </w:rPr>
            </w:pPr>
            <w:r>
              <w:rPr>
                <w:rFonts w:hint="eastAsia" w:cs="宋体"/>
                <w:color w:val="auto"/>
              </w:rPr>
              <w:t>政采云电子交易客户端请自行前往“浙江政府采购网-下载专区-电子交易客户端”进行下载，在线电子投标具体操作流程详见《供应商项目采购-电子招投标操作指南》，通过政府采购云平台参与在线电子投标时如遇平台技术问题详询400-881-7190。</w:t>
            </w:r>
          </w:p>
          <w:p>
            <w:pPr>
              <w:ind w:firstLine="0" w:firstLineChars="0"/>
              <w:rPr>
                <w:rFonts w:hint="eastAsia" w:cs="宋体"/>
                <w:color w:val="auto"/>
              </w:rPr>
            </w:pPr>
            <w:r>
              <w:rPr>
                <w:rFonts w:hint="eastAsia" w:cs="宋体"/>
                <w:color w:val="auto"/>
              </w:rPr>
              <w:t>（2）标前准备：各供应商应在开标前应确保成为浙江省政府采购网正式注册入库供应商，并完成CA数字证书办理（供应商CA申领操作指南：</w:t>
            </w:r>
            <w:r>
              <w:rPr>
                <w:rFonts w:hint="eastAsia" w:cs="宋体"/>
                <w:color w:val="auto"/>
              </w:rPr>
              <w:fldChar w:fldCharType="begin"/>
            </w:r>
            <w:r>
              <w:rPr>
                <w:rFonts w:hint="eastAsia" w:cs="宋体"/>
                <w:color w:val="auto"/>
              </w:rPr>
              <w:instrText xml:space="preserve"> HYPERLINK "https://help.zcygov.cn/web/site_2/2018/11-29/2452.html），" </w:instrText>
            </w:r>
            <w:r>
              <w:rPr>
                <w:rFonts w:hint="eastAsia" w:cs="宋体"/>
                <w:color w:val="auto"/>
              </w:rPr>
              <w:fldChar w:fldCharType="separate"/>
            </w:r>
            <w:r>
              <w:rPr>
                <w:rFonts w:hint="eastAsia" w:cs="宋体"/>
                <w:color w:val="auto"/>
              </w:rPr>
              <w:t>https://edu.zcygov.cn/luban/ca，完成CA数字证书办理预计一周左右，请供应商自行把握时间）</w:t>
            </w:r>
            <w:r>
              <w:rPr>
                <w:rFonts w:hint="eastAsia" w:cs="宋体"/>
                <w:color w:val="auto"/>
              </w:rPr>
              <w:fldChar w:fldCharType="end"/>
            </w:r>
            <w:r>
              <w:rPr>
                <w:rFonts w:hint="eastAsia" w:cs="宋体"/>
                <w:color w:val="auto"/>
              </w:rPr>
              <w:t>。因未注册入库、未办理CA数字证书等原因造成无法获取采购文件、无法投标或投标失败等后果由供应商自行承担。</w:t>
            </w:r>
          </w:p>
          <w:p>
            <w:pPr>
              <w:ind w:firstLine="0" w:firstLineChars="0"/>
              <w:rPr>
                <w:rFonts w:hint="eastAsia" w:cs="宋体"/>
                <w:color w:val="auto"/>
              </w:rPr>
            </w:pPr>
            <w:r>
              <w:rPr>
                <w:rFonts w:hint="eastAsia" w:cs="宋体"/>
                <w:color w:val="auto"/>
              </w:rPr>
              <w:t>（3）投标文件制作：</w:t>
            </w:r>
          </w:p>
          <w:p>
            <w:pPr>
              <w:ind w:firstLine="0" w:firstLineChars="0"/>
              <w:rPr>
                <w:rFonts w:hint="eastAsia" w:cs="宋体"/>
                <w:color w:val="auto"/>
              </w:rPr>
            </w:pPr>
            <w:r>
              <w:rPr>
                <w:rFonts w:hint="eastAsia" w:cs="宋体"/>
                <w:color w:val="auto"/>
              </w:rPr>
              <w:t>3.1应按照本项目招标文件和政采云平台的要求编制、加密并递交投标文件。供应商在使用系统进行投标的过程中遇到涉及平台使用的任何问题，可致电政采云平台技术支持热线400-881-7190或政采云服务专员电话0574-63917219。</w:t>
            </w:r>
          </w:p>
          <w:p>
            <w:pPr>
              <w:ind w:firstLine="0" w:firstLineChars="0"/>
              <w:rPr>
                <w:rFonts w:hint="eastAsia" w:cs="宋体"/>
                <w:color w:val="auto"/>
              </w:rPr>
            </w:pPr>
            <w:r>
              <w:rPr>
                <w:rFonts w:hint="eastAsia" w:cs="宋体"/>
                <w:color w:val="auto"/>
              </w:rPr>
              <w:t>3.2本项目投标人可以以U盘或DVD光盘等介质存储的数据电文形式的备份电子投标文件1份，按政采云平台项目采购-电子招投标操作指南中上传的电子投标文件格式，以用于异常情况处理。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rPr>
            </w:pPr>
          </w:p>
        </w:tc>
        <w:tc>
          <w:tcPr>
            <w:tcW w:w="1944" w:type="dxa"/>
            <w:noWrap w:val="0"/>
            <w:vAlign w:val="top"/>
          </w:tcPr>
          <w:p>
            <w:pPr>
              <w:ind w:firstLine="0" w:firstLineChars="0"/>
              <w:jc w:val="center"/>
              <w:rPr>
                <w:rFonts w:hint="eastAsia" w:cs="宋体"/>
                <w:color w:val="auto"/>
              </w:rPr>
            </w:pPr>
            <w:r>
              <w:rPr>
                <w:rFonts w:hint="eastAsia" w:cs="宋体"/>
                <w:bCs/>
                <w:color w:val="auto"/>
                <w:kern w:val="0"/>
                <w:szCs w:val="21"/>
              </w:rPr>
              <w:t>★</w:t>
            </w:r>
            <w:r>
              <w:rPr>
                <w:rFonts w:hint="eastAsia" w:cs="宋体"/>
                <w:color w:val="auto"/>
              </w:rPr>
              <w:t>投标有效期</w:t>
            </w:r>
          </w:p>
        </w:tc>
        <w:tc>
          <w:tcPr>
            <w:tcW w:w="6826" w:type="dxa"/>
            <w:noWrap w:val="0"/>
            <w:vAlign w:val="top"/>
          </w:tcPr>
          <w:p>
            <w:pPr>
              <w:ind w:firstLine="0" w:firstLineChars="0"/>
              <w:rPr>
                <w:rFonts w:hint="eastAsia" w:cs="宋体"/>
                <w:bCs/>
                <w:color w:val="auto"/>
                <w:kern w:val="0"/>
                <w:szCs w:val="21"/>
              </w:rPr>
            </w:pPr>
            <w:r>
              <w:rPr>
                <w:rFonts w:hint="eastAsia" w:cs="宋体"/>
                <w:color w:val="auto"/>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rPr>
            </w:pPr>
          </w:p>
        </w:tc>
        <w:tc>
          <w:tcPr>
            <w:tcW w:w="1944" w:type="dxa"/>
            <w:noWrap w:val="0"/>
            <w:vAlign w:val="center"/>
          </w:tcPr>
          <w:p>
            <w:pPr>
              <w:ind w:firstLine="0" w:firstLineChars="0"/>
              <w:jc w:val="center"/>
              <w:rPr>
                <w:rFonts w:hint="eastAsia" w:cs="宋体"/>
                <w:color w:val="auto"/>
              </w:rPr>
            </w:pPr>
            <w:r>
              <w:rPr>
                <w:rFonts w:hint="eastAsia" w:cs="宋体"/>
                <w:color w:val="auto"/>
              </w:rPr>
              <w:t>采购机构代理费用</w:t>
            </w:r>
          </w:p>
        </w:tc>
        <w:tc>
          <w:tcPr>
            <w:tcW w:w="6826" w:type="dxa"/>
            <w:noWrap w:val="0"/>
            <w:vAlign w:val="top"/>
          </w:tcPr>
          <w:p>
            <w:pPr>
              <w:ind w:firstLine="0" w:firstLineChars="0"/>
              <w:rPr>
                <w:rFonts w:hint="eastAsia" w:cs="宋体"/>
                <w:color w:val="auto"/>
              </w:rPr>
            </w:pPr>
            <w:r>
              <w:rPr>
                <w:rFonts w:hint="eastAsia" w:cs="宋体"/>
                <w:color w:val="auto"/>
              </w:rPr>
              <w:t>1、中标供应商向招标代理机构交纳1.5%招标服务费。</w:t>
            </w:r>
          </w:p>
          <w:p>
            <w:pPr>
              <w:ind w:firstLine="0" w:firstLineChars="0"/>
              <w:rPr>
                <w:rFonts w:hint="eastAsia" w:cs="宋体"/>
                <w:color w:val="auto"/>
              </w:rPr>
            </w:pPr>
            <w:r>
              <w:rPr>
                <w:rFonts w:hint="eastAsia" w:cs="宋体"/>
                <w:color w:val="auto"/>
              </w:rPr>
              <w:t>2、中标人在领取中标通知书后应向招标代理机构交纳招标代理服务费,若未按上述规定办理，需承担招标代理机构为实现债权的所有费用（包括但不限于律师费、催讨车旅费、保全担保费等）。</w:t>
            </w:r>
          </w:p>
          <w:p>
            <w:pPr>
              <w:ind w:firstLine="480"/>
              <w:rPr>
                <w:rFonts w:hint="eastAsia" w:cs="宋体"/>
                <w:color w:val="auto"/>
              </w:rPr>
            </w:pPr>
            <w:r>
              <w:rPr>
                <w:rFonts w:hint="eastAsia" w:cs="宋体"/>
                <w:color w:val="auto"/>
              </w:rPr>
              <w:t>3、招标代理服务费以现金或电汇方式支付。</w:t>
            </w:r>
          </w:p>
          <w:p>
            <w:pPr>
              <w:ind w:firstLine="480"/>
              <w:rPr>
                <w:rFonts w:hint="eastAsia" w:cs="宋体"/>
                <w:color w:val="auto"/>
              </w:rPr>
            </w:pPr>
            <w:r>
              <w:rPr>
                <w:rFonts w:hint="eastAsia" w:cs="宋体"/>
                <w:color w:val="auto"/>
              </w:rPr>
              <w:t>户名：浙江五石工程咨询有限公司宁波分公司</w:t>
            </w:r>
          </w:p>
          <w:p>
            <w:pPr>
              <w:ind w:firstLine="480"/>
              <w:rPr>
                <w:rFonts w:hint="eastAsia" w:cs="宋体"/>
                <w:color w:val="auto"/>
              </w:rPr>
            </w:pPr>
            <w:r>
              <w:rPr>
                <w:rFonts w:hint="eastAsia" w:cs="宋体"/>
                <w:color w:val="auto"/>
              </w:rPr>
              <w:t>开户银行：中国建设银行宁波市段塘支行</w:t>
            </w:r>
          </w:p>
          <w:p>
            <w:pPr>
              <w:ind w:firstLine="480"/>
              <w:rPr>
                <w:rFonts w:hint="eastAsia" w:cs="宋体"/>
                <w:color w:val="auto"/>
              </w:rPr>
            </w:pPr>
            <w:r>
              <w:rPr>
                <w:rFonts w:hint="eastAsia" w:cs="宋体"/>
                <w:color w:val="auto"/>
              </w:rPr>
              <w:t>账号：33101984336050506455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szCs w:val="32"/>
              </w:rPr>
            </w:pPr>
          </w:p>
        </w:tc>
        <w:tc>
          <w:tcPr>
            <w:tcW w:w="1944" w:type="dxa"/>
            <w:noWrap w:val="0"/>
            <w:vAlign w:val="center"/>
          </w:tcPr>
          <w:p>
            <w:pPr>
              <w:ind w:firstLine="0" w:firstLineChars="0"/>
              <w:jc w:val="center"/>
              <w:rPr>
                <w:rFonts w:hint="eastAsia" w:cs="宋体"/>
                <w:color w:val="auto"/>
              </w:rPr>
            </w:pPr>
            <w:r>
              <w:rPr>
                <w:rFonts w:hint="eastAsia" w:cs="宋体"/>
                <w:color w:val="auto"/>
                <w:lang w:val="zh-CN"/>
              </w:rPr>
              <w:t>实质性条款</w:t>
            </w:r>
          </w:p>
        </w:tc>
        <w:tc>
          <w:tcPr>
            <w:tcW w:w="6826" w:type="dxa"/>
            <w:noWrap w:val="0"/>
            <w:vAlign w:val="center"/>
          </w:tcPr>
          <w:p>
            <w:pPr>
              <w:ind w:firstLine="0" w:firstLineChars="0"/>
              <w:rPr>
                <w:rFonts w:hint="eastAsia" w:cs="宋体"/>
                <w:color w:val="auto"/>
                <w:spacing w:val="-6"/>
              </w:rPr>
            </w:pPr>
            <w:r>
              <w:rPr>
                <w:rFonts w:hint="eastAsia" w:cs="宋体"/>
                <w:color w:val="auto"/>
                <w:lang w:val="zh-CN"/>
              </w:rPr>
              <w:t>带“</w:t>
            </w:r>
            <w:r>
              <w:rPr>
                <w:rFonts w:hint="eastAsia" w:cs="宋体"/>
                <w:color w:val="auto"/>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szCs w:val="32"/>
              </w:rPr>
            </w:pPr>
          </w:p>
        </w:tc>
        <w:tc>
          <w:tcPr>
            <w:tcW w:w="1944" w:type="dxa"/>
            <w:noWrap w:val="0"/>
            <w:vAlign w:val="center"/>
          </w:tcPr>
          <w:p>
            <w:pPr>
              <w:adjustRightInd w:val="0"/>
              <w:snapToGrid w:val="0"/>
              <w:ind w:firstLine="0" w:firstLineChars="0"/>
              <w:jc w:val="center"/>
              <w:rPr>
                <w:rFonts w:hint="eastAsia" w:cs="宋体"/>
                <w:color w:val="auto"/>
                <w:lang w:val="zh-CN"/>
              </w:rPr>
            </w:pPr>
            <w:r>
              <w:rPr>
                <w:rFonts w:hint="eastAsia" w:cs="宋体"/>
                <w:b/>
                <w:color w:val="auto"/>
              </w:rPr>
              <w:t>中小企业扶持政策</w:t>
            </w:r>
          </w:p>
        </w:tc>
        <w:tc>
          <w:tcPr>
            <w:tcW w:w="6826" w:type="dxa"/>
            <w:noWrap w:val="0"/>
            <w:vAlign w:val="center"/>
          </w:tcPr>
          <w:p>
            <w:pPr>
              <w:ind w:firstLine="0" w:firstLineChars="0"/>
              <w:rPr>
                <w:rFonts w:hint="eastAsia" w:cs="宋体"/>
                <w:b/>
                <w:bCs/>
                <w:color w:val="auto"/>
                <w:kern w:val="0"/>
              </w:rPr>
            </w:pPr>
            <w:r>
              <w:rPr>
                <w:rFonts w:hint="eastAsia" w:cs="宋体"/>
                <w:b/>
                <w:bCs/>
                <w:color w:val="auto"/>
              </w:rPr>
              <w:t>（</w:t>
            </w:r>
            <w:r>
              <w:rPr>
                <w:rFonts w:hint="eastAsia" w:cs="宋体"/>
                <w:b/>
                <w:bCs/>
                <w:color w:val="auto"/>
                <w:kern w:val="0"/>
              </w:rPr>
              <w:t>1）本次采购为非专门面向中小企业预留采购份额的采购项目。</w:t>
            </w:r>
          </w:p>
          <w:p>
            <w:pPr>
              <w:ind w:firstLine="0" w:firstLineChars="0"/>
              <w:rPr>
                <w:rFonts w:hint="eastAsia" w:cs="宋体"/>
                <w:color w:val="auto"/>
                <w:kern w:val="0"/>
              </w:rPr>
            </w:pPr>
            <w:r>
              <w:rPr>
                <w:rFonts w:hint="eastAsia" w:cs="宋体"/>
                <w:color w:val="auto"/>
              </w:rPr>
              <w:t>（</w:t>
            </w:r>
            <w:r>
              <w:rPr>
                <w:rFonts w:hint="eastAsia" w:cs="宋体"/>
                <w:color w:val="auto"/>
                <w:kern w:val="0"/>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0" w:firstLineChars="0"/>
              <w:rPr>
                <w:rFonts w:hint="eastAsia" w:cs="宋体"/>
                <w:color w:val="auto"/>
                <w:kern w:val="0"/>
              </w:rPr>
            </w:pPr>
            <w:r>
              <w:rPr>
                <w:rFonts w:hint="eastAsia" w:cs="宋体"/>
                <w:color w:val="auto"/>
              </w:rPr>
              <w:t>（</w:t>
            </w:r>
            <w:r>
              <w:rPr>
                <w:rFonts w:hint="eastAsia" w:cs="宋体"/>
                <w:color w:val="auto"/>
                <w:kern w:val="0"/>
              </w:rPr>
              <w:t>3）本次采购标的为</w:t>
            </w:r>
            <w:r>
              <w:rPr>
                <w:rFonts w:hint="eastAsia" w:cs="宋体"/>
                <w:color w:val="auto"/>
                <w:kern w:val="0"/>
                <w:u w:val="single"/>
                <w:lang w:eastAsia="zh-CN"/>
              </w:rPr>
              <w:t>服务</w:t>
            </w:r>
            <w:r>
              <w:rPr>
                <w:rFonts w:hint="eastAsia" w:cs="宋体"/>
                <w:color w:val="auto"/>
                <w:kern w:val="0"/>
              </w:rPr>
              <w:t>，对应的中小企业划分标准所属行业是：</w:t>
            </w:r>
            <w:r>
              <w:rPr>
                <w:rFonts w:hint="eastAsia" w:cs="宋体"/>
                <w:color w:val="auto"/>
                <w:kern w:val="0"/>
                <w:u w:val="single"/>
              </w:rPr>
              <w:t>物业管理</w:t>
            </w:r>
          </w:p>
          <w:p>
            <w:pPr>
              <w:ind w:firstLine="0" w:firstLineChars="0"/>
              <w:rPr>
                <w:rFonts w:hint="eastAsia" w:cs="宋体"/>
                <w:color w:val="auto"/>
                <w:kern w:val="0"/>
              </w:rPr>
            </w:pPr>
            <w:r>
              <w:rPr>
                <w:rFonts w:hint="eastAsia" w:cs="宋体"/>
                <w:color w:val="auto"/>
              </w:rPr>
              <w:t>（</w:t>
            </w:r>
            <w:r>
              <w:rPr>
                <w:rFonts w:hint="eastAsia" w:cs="宋体"/>
                <w:color w:val="auto"/>
                <w:kern w:val="0"/>
              </w:rPr>
              <w:t>4）以联合体形式参加政府采购活动，联合体各方均为小微企业的，联合体视同小微企业。</w:t>
            </w:r>
            <w:r>
              <w:rPr>
                <w:rFonts w:hint="eastAsia" w:cs="宋体"/>
                <w:b/>
                <w:color w:val="auto"/>
                <w:kern w:val="0"/>
              </w:rPr>
              <w:t>（本项目不适用）</w:t>
            </w:r>
          </w:p>
          <w:p>
            <w:pPr>
              <w:ind w:firstLine="0" w:firstLineChars="0"/>
              <w:rPr>
                <w:rFonts w:hint="eastAsia" w:cs="宋体"/>
                <w:color w:val="auto"/>
                <w:kern w:val="0"/>
              </w:rPr>
            </w:pPr>
            <w:r>
              <w:rPr>
                <w:rFonts w:hint="eastAsia" w:cs="宋体"/>
                <w:color w:val="auto"/>
              </w:rPr>
              <w:t>（</w:t>
            </w:r>
            <w:r>
              <w:rPr>
                <w:rFonts w:hint="eastAsia" w:cs="宋体"/>
                <w:color w:val="auto"/>
                <w:kern w:val="0"/>
              </w:rPr>
              <w:t>5）参加本次采购活动的供应商</w:t>
            </w:r>
            <w:r>
              <w:rPr>
                <w:rFonts w:hint="eastAsia" w:cs="宋体"/>
                <w:b/>
                <w:color w:val="auto"/>
                <w:kern w:val="0"/>
                <w:u w:val="single"/>
              </w:rPr>
              <w:t>提供的货物全部由小微企业实施</w:t>
            </w:r>
            <w:r>
              <w:rPr>
                <w:rFonts w:hint="eastAsia" w:cs="宋体"/>
                <w:color w:val="auto"/>
                <w:kern w:val="0"/>
              </w:rPr>
              <w:t>的，其报价给予</w:t>
            </w:r>
            <w:r>
              <w:rPr>
                <w:rFonts w:hint="eastAsia" w:cs="宋体"/>
                <w:b/>
                <w:color w:val="auto"/>
                <w:kern w:val="0"/>
                <w:u w:val="single"/>
              </w:rPr>
              <w:t>6%</w:t>
            </w:r>
            <w:r>
              <w:rPr>
                <w:rFonts w:hint="eastAsia" w:cs="宋体"/>
                <w:color w:val="auto"/>
                <w:kern w:val="0"/>
              </w:rPr>
              <w:t>的扣除，用扣除后的价格参加评审。小微企业将合同分包给大中型企业的，其报价不予扣除。</w:t>
            </w:r>
          </w:p>
          <w:p>
            <w:pPr>
              <w:ind w:firstLine="0" w:firstLineChars="0"/>
              <w:rPr>
                <w:rFonts w:hint="eastAsia" w:cs="宋体"/>
                <w:color w:val="auto"/>
                <w:kern w:val="0"/>
              </w:rPr>
            </w:pPr>
            <w:r>
              <w:rPr>
                <w:rFonts w:hint="eastAsia" w:cs="宋体"/>
                <w:color w:val="auto"/>
              </w:rPr>
              <w:t>（</w:t>
            </w:r>
            <w:r>
              <w:rPr>
                <w:rFonts w:hint="eastAsia" w:cs="宋体"/>
                <w:color w:val="auto"/>
                <w:kern w:val="0"/>
              </w:rPr>
              <w:t>6）符合小微企业划分标准的个体工商户，视同小微企业。</w:t>
            </w:r>
          </w:p>
          <w:p>
            <w:pPr>
              <w:ind w:firstLine="0" w:firstLineChars="0"/>
              <w:rPr>
                <w:rFonts w:hint="eastAsia" w:cs="宋体"/>
                <w:color w:val="auto"/>
                <w:kern w:val="0"/>
              </w:rPr>
            </w:pPr>
            <w:r>
              <w:rPr>
                <w:rFonts w:hint="eastAsia" w:cs="宋体"/>
                <w:color w:val="auto"/>
              </w:rPr>
              <w:t>（</w:t>
            </w:r>
            <w:r>
              <w:rPr>
                <w:rFonts w:hint="eastAsia" w:cs="宋体"/>
                <w:color w:val="auto"/>
                <w:kern w:val="0"/>
              </w:rPr>
              <w:t>7）本项目不接受大中型企业与小微企业组成联合体。</w:t>
            </w:r>
          </w:p>
          <w:p>
            <w:pPr>
              <w:ind w:firstLine="0" w:firstLineChars="0"/>
              <w:rPr>
                <w:rFonts w:hint="eastAsia" w:cs="宋体"/>
                <w:color w:val="auto"/>
                <w:kern w:val="0"/>
              </w:rPr>
            </w:pPr>
            <w:r>
              <w:rPr>
                <w:rFonts w:hint="eastAsia" w:cs="宋体"/>
                <w:color w:val="auto"/>
              </w:rPr>
              <w:t>（</w:t>
            </w:r>
            <w:r>
              <w:rPr>
                <w:rFonts w:hint="eastAsia" w:cs="宋体"/>
                <w:color w:val="auto"/>
                <w:kern w:val="0"/>
              </w:rPr>
              <w:t>8）本项目不允许大中型企业向一家或者多家小微企业分包。</w:t>
            </w:r>
          </w:p>
          <w:p>
            <w:pPr>
              <w:ind w:firstLine="0" w:firstLineChars="0"/>
              <w:rPr>
                <w:rFonts w:hint="eastAsia" w:cs="宋体"/>
                <w:color w:val="auto"/>
                <w:kern w:val="0"/>
              </w:rPr>
            </w:pPr>
            <w:r>
              <w:rPr>
                <w:rFonts w:hint="eastAsia" w:cs="宋体"/>
                <w:color w:val="auto"/>
              </w:rPr>
              <w:t>（</w:t>
            </w:r>
            <w:r>
              <w:rPr>
                <w:rFonts w:hint="eastAsia" w:cs="宋体"/>
                <w:color w:val="auto"/>
                <w:kern w:val="0"/>
              </w:rPr>
              <w:t>9）小微企业参加政府采购活动，应当出具《中小企业声明函》，否则其报价不予扣除。</w:t>
            </w:r>
          </w:p>
          <w:p>
            <w:pPr>
              <w:snapToGrid w:val="0"/>
              <w:ind w:firstLine="0" w:firstLineChars="0"/>
              <w:rPr>
                <w:rFonts w:hint="eastAsia" w:cs="宋体"/>
                <w:color w:val="auto"/>
                <w:lang w:val="zh-CN"/>
              </w:rPr>
            </w:pPr>
            <w:r>
              <w:rPr>
                <w:rFonts w:hint="eastAsia" w:cs="宋体"/>
                <w:color w:val="auto"/>
                <w:kern w:val="0"/>
              </w:rPr>
              <w:t>（10）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szCs w:val="32"/>
              </w:rPr>
            </w:pPr>
          </w:p>
        </w:tc>
        <w:tc>
          <w:tcPr>
            <w:tcW w:w="1944" w:type="dxa"/>
            <w:noWrap w:val="0"/>
            <w:vAlign w:val="center"/>
          </w:tcPr>
          <w:p>
            <w:pPr>
              <w:ind w:firstLine="0" w:firstLineChars="0"/>
              <w:jc w:val="center"/>
              <w:rPr>
                <w:rFonts w:hint="eastAsia" w:cs="宋体"/>
                <w:b/>
                <w:bCs/>
                <w:color w:val="auto"/>
              </w:rPr>
            </w:pPr>
            <w:r>
              <w:rPr>
                <w:rFonts w:hint="eastAsia" w:cs="宋体"/>
                <w:color w:val="auto"/>
              </w:rPr>
              <w:t>其他</w:t>
            </w:r>
          </w:p>
        </w:tc>
        <w:tc>
          <w:tcPr>
            <w:tcW w:w="6826" w:type="dxa"/>
            <w:noWrap w:val="0"/>
            <w:vAlign w:val="center"/>
          </w:tcPr>
          <w:p>
            <w:pPr>
              <w:spacing w:line="440" w:lineRule="exact"/>
              <w:ind w:firstLine="0" w:firstLineChars="0"/>
              <w:rPr>
                <w:rFonts w:hint="eastAsia" w:cs="宋体"/>
                <w:b/>
                <w:bCs/>
                <w:color w:val="auto"/>
              </w:rPr>
            </w:pPr>
            <w:r>
              <w:rPr>
                <w:rFonts w:hint="eastAsia" w:cs="宋体"/>
                <w:b/>
                <w:bCs/>
                <w:color w:val="auto"/>
              </w:rPr>
              <w:t>疫情防控期间，不要求投标人员必须到场参加现场开标，若投标人员需参加现场开标，应全程佩戴口罩等防护用具，自觉接受体温检测、接受疫情询问，并如实报告相关情况。请各投标人员遵守慈溪市公共资源交易中心各项防疫措施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numPr>
                <w:ilvl w:val="0"/>
                <w:numId w:val="4"/>
              </w:numPr>
              <w:ind w:left="0" w:firstLine="0" w:firstLineChars="0"/>
              <w:jc w:val="center"/>
              <w:rPr>
                <w:rFonts w:hint="eastAsia" w:cs="宋体"/>
                <w:color w:val="auto"/>
                <w:kern w:val="0"/>
                <w:szCs w:val="32"/>
              </w:rPr>
            </w:pPr>
          </w:p>
        </w:tc>
        <w:tc>
          <w:tcPr>
            <w:tcW w:w="1944" w:type="dxa"/>
            <w:noWrap w:val="0"/>
            <w:vAlign w:val="center"/>
          </w:tcPr>
          <w:p>
            <w:pPr>
              <w:ind w:firstLine="0" w:firstLineChars="0"/>
              <w:jc w:val="center"/>
              <w:rPr>
                <w:rFonts w:hint="eastAsia" w:cs="宋体"/>
                <w:b/>
                <w:bCs/>
                <w:color w:val="auto"/>
              </w:rPr>
            </w:pPr>
            <w:r>
              <w:rPr>
                <w:rFonts w:hint="eastAsia" w:cs="宋体"/>
                <w:color w:val="auto"/>
              </w:rPr>
              <w:t>落实的政策</w:t>
            </w:r>
          </w:p>
        </w:tc>
        <w:tc>
          <w:tcPr>
            <w:tcW w:w="6826" w:type="dxa"/>
            <w:noWrap w:val="0"/>
            <w:vAlign w:val="center"/>
          </w:tcPr>
          <w:p>
            <w:pPr>
              <w:spacing w:line="440" w:lineRule="exact"/>
              <w:ind w:firstLine="0" w:firstLineChars="0"/>
              <w:rPr>
                <w:rFonts w:hint="eastAsia" w:cs="宋体"/>
                <w:b/>
                <w:bCs/>
                <w:color w:val="auto"/>
              </w:rPr>
            </w:pPr>
            <w:r>
              <w:rPr>
                <w:rFonts w:hint="eastAsia" w:cs="宋体"/>
                <w:b/>
                <w:bCs/>
                <w:color w:val="auto"/>
              </w:rPr>
              <w:t>《关于促进残疾人就业政府采购政策的通知》（财库[2017]141号）、《政府采购促进中小企业发展管理办法》(财库〔2020〕46号)、《关于政府采购支持监狱企业发展有关问题的通知》(财库[2014]68号)、《关于环境标志产品政府采购实施的意见》（财库〔2006〕90号、《节能产品政府采购实施意见》的通知（财库〔2004〕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6" w:type="dxa"/>
            <w:noWrap w:val="0"/>
            <w:vAlign w:val="center"/>
          </w:tcPr>
          <w:p>
            <w:pPr>
              <w:numPr>
                <w:ilvl w:val="0"/>
                <w:numId w:val="4"/>
              </w:numPr>
              <w:ind w:left="0" w:firstLine="0" w:firstLineChars="0"/>
              <w:jc w:val="center"/>
              <w:rPr>
                <w:rFonts w:hint="eastAsia" w:cs="宋体"/>
                <w:color w:val="auto"/>
                <w:szCs w:val="32"/>
              </w:rPr>
            </w:pPr>
          </w:p>
        </w:tc>
        <w:tc>
          <w:tcPr>
            <w:tcW w:w="194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color w:val="auto"/>
              </w:rPr>
            </w:pPr>
            <w:r>
              <w:rPr>
                <w:rFonts w:hint="eastAsia" w:cs="宋体"/>
                <w:color w:val="auto"/>
              </w:rPr>
              <w:t>解释权</w:t>
            </w:r>
          </w:p>
        </w:tc>
        <w:tc>
          <w:tcPr>
            <w:tcW w:w="682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s="宋体"/>
                <w:color w:val="auto"/>
              </w:rPr>
            </w:pPr>
            <w:r>
              <w:rPr>
                <w:rFonts w:hint="eastAsia" w:cs="宋体"/>
                <w:color w:val="auto"/>
              </w:rPr>
              <w:t>本招标文件解释权属于采购人和采购代理机构。</w:t>
            </w:r>
          </w:p>
        </w:tc>
      </w:tr>
    </w:tbl>
    <w:p>
      <w:pPr>
        <w:pStyle w:val="5"/>
        <w:jc w:val="center"/>
        <w:rPr>
          <w:rFonts w:hint="eastAsia" w:ascii="宋体" w:hAnsi="宋体" w:cs="宋体"/>
          <w:color w:val="auto"/>
        </w:rPr>
      </w:pPr>
      <w:bookmarkStart w:id="46" w:name="_Toc246996175"/>
      <w:bookmarkStart w:id="47" w:name="_Toc179632546"/>
      <w:bookmarkStart w:id="48" w:name="_Toc296602420"/>
      <w:bookmarkStart w:id="49" w:name="_Toc152042305"/>
      <w:bookmarkStart w:id="50" w:name="_Toc144974497"/>
      <w:bookmarkStart w:id="51" w:name="_Toc452457414"/>
      <w:bookmarkStart w:id="52" w:name="_Toc246996918"/>
      <w:bookmarkStart w:id="53" w:name="_Toc247085689"/>
      <w:bookmarkStart w:id="54" w:name="_Toc152045529"/>
      <w:r>
        <w:rPr>
          <w:rFonts w:hint="eastAsia" w:ascii="宋体" w:hAnsi="宋体" w:cs="宋体"/>
          <w:color w:val="auto"/>
        </w:rPr>
        <w:br w:type="page"/>
      </w:r>
      <w:bookmarkEnd w:id="46"/>
      <w:bookmarkEnd w:id="47"/>
      <w:bookmarkEnd w:id="48"/>
      <w:bookmarkEnd w:id="49"/>
      <w:bookmarkEnd w:id="50"/>
      <w:bookmarkEnd w:id="51"/>
      <w:bookmarkEnd w:id="52"/>
      <w:bookmarkEnd w:id="53"/>
      <w:bookmarkEnd w:id="54"/>
      <w:bookmarkStart w:id="55" w:name="_Toc22147"/>
      <w:bookmarkStart w:id="56" w:name="_Toc26272"/>
      <w:bookmarkStart w:id="57" w:name="_Toc2440"/>
      <w:bookmarkStart w:id="58" w:name="_Toc246996919"/>
      <w:bookmarkStart w:id="59" w:name="_Toc152042306"/>
      <w:bookmarkStart w:id="60" w:name="_Toc296602421"/>
      <w:bookmarkStart w:id="61" w:name="_Toc144974498"/>
      <w:bookmarkStart w:id="62" w:name="_Toc179632547"/>
      <w:bookmarkStart w:id="63" w:name="_Toc152045530"/>
      <w:bookmarkStart w:id="64" w:name="_Toc247085690"/>
      <w:bookmarkStart w:id="65" w:name="_Toc246996176"/>
      <w:r>
        <w:rPr>
          <w:rFonts w:hint="eastAsia" w:ascii="宋体" w:hAnsi="宋体" w:cs="宋体"/>
          <w:color w:val="auto"/>
        </w:rPr>
        <w:t>第一节 总 则</w:t>
      </w:r>
      <w:bookmarkEnd w:id="55"/>
      <w:bookmarkEnd w:id="56"/>
      <w:bookmarkEnd w:id="57"/>
    </w:p>
    <w:p>
      <w:pPr>
        <w:pStyle w:val="6"/>
        <w:rPr>
          <w:rFonts w:hint="eastAsia" w:ascii="宋体" w:hAnsi="宋体" w:cs="宋体"/>
          <w:color w:val="auto"/>
        </w:rPr>
      </w:pPr>
      <w:r>
        <w:rPr>
          <w:rFonts w:hint="eastAsia" w:ascii="宋体" w:hAnsi="宋体" w:cs="宋体"/>
          <w:color w:val="auto"/>
        </w:rPr>
        <w:t>一、适用范围</w:t>
      </w:r>
    </w:p>
    <w:p>
      <w:pPr>
        <w:ind w:firstLine="480"/>
        <w:rPr>
          <w:rFonts w:hint="eastAsia" w:cs="宋体"/>
          <w:color w:val="auto"/>
        </w:rPr>
      </w:pPr>
      <w:r>
        <w:rPr>
          <w:rFonts w:hint="eastAsia" w:cs="宋体"/>
          <w:color w:val="auto"/>
        </w:rPr>
        <w:t>本招标文件适用于该项目的招标、投标、开标、资格审查及信用信息查询、评标、定标、合同、验收等行为（法律、法规另有规定的，从其规定）。</w:t>
      </w:r>
    </w:p>
    <w:p>
      <w:pPr>
        <w:pStyle w:val="6"/>
        <w:rPr>
          <w:rFonts w:hint="eastAsia" w:ascii="宋体" w:hAnsi="宋体" w:cs="宋体"/>
          <w:color w:val="auto"/>
        </w:rPr>
      </w:pPr>
      <w:r>
        <w:rPr>
          <w:rFonts w:hint="eastAsia" w:ascii="宋体" w:hAnsi="宋体" w:cs="宋体"/>
          <w:color w:val="auto"/>
        </w:rPr>
        <w:t>二、定义</w:t>
      </w:r>
    </w:p>
    <w:p>
      <w:pPr>
        <w:ind w:firstLine="480"/>
        <w:rPr>
          <w:rFonts w:hint="eastAsia" w:cs="宋体"/>
          <w:color w:val="auto"/>
        </w:rPr>
      </w:pPr>
      <w:r>
        <w:rPr>
          <w:rFonts w:hint="eastAsia" w:cs="宋体"/>
          <w:color w:val="auto"/>
        </w:rPr>
        <w:t>1.“采购人”系指</w:t>
      </w:r>
      <w:r>
        <w:rPr>
          <w:rFonts w:hint="eastAsia" w:cs="宋体"/>
          <w:color w:val="auto"/>
          <w:lang w:eastAsia="zh-CN"/>
        </w:rPr>
        <w:t>宁波行知中等职业学校</w:t>
      </w:r>
      <w:r>
        <w:rPr>
          <w:rFonts w:hint="eastAsia" w:cs="宋体"/>
          <w:color w:val="auto"/>
        </w:rPr>
        <w:t>。</w:t>
      </w:r>
    </w:p>
    <w:p>
      <w:pPr>
        <w:ind w:firstLine="480"/>
        <w:rPr>
          <w:rFonts w:hint="eastAsia" w:cs="宋体"/>
          <w:color w:val="auto"/>
        </w:rPr>
      </w:pPr>
      <w:r>
        <w:rPr>
          <w:rFonts w:hint="eastAsia" w:cs="宋体"/>
          <w:color w:val="auto"/>
        </w:rPr>
        <w:t>2.“采购代理机构”系组织本次招标的浙江五石工程咨询有限公司。</w:t>
      </w:r>
    </w:p>
    <w:p>
      <w:pPr>
        <w:ind w:firstLine="480"/>
        <w:rPr>
          <w:rFonts w:hint="eastAsia" w:cs="宋体"/>
          <w:color w:val="auto"/>
        </w:rPr>
      </w:pPr>
      <w:r>
        <w:rPr>
          <w:rFonts w:hint="eastAsia" w:cs="宋体"/>
          <w:color w:val="auto"/>
        </w:rPr>
        <w:t>3.“投标人”和“投标方”系指参加本次招标活动符合资格条件的供应商。</w:t>
      </w:r>
    </w:p>
    <w:p>
      <w:pPr>
        <w:ind w:firstLine="480"/>
        <w:rPr>
          <w:rFonts w:hint="eastAsia" w:cs="宋体"/>
          <w:color w:val="auto"/>
        </w:rPr>
      </w:pPr>
      <w:r>
        <w:rPr>
          <w:rFonts w:hint="eastAsia" w:cs="宋体"/>
          <w:color w:val="auto"/>
        </w:rPr>
        <w:t>4.“全权代表”系指参加本次招标活动的授权代表。</w:t>
      </w:r>
    </w:p>
    <w:p>
      <w:pPr>
        <w:ind w:firstLine="480"/>
        <w:rPr>
          <w:rFonts w:hint="eastAsia" w:cs="宋体"/>
          <w:color w:val="auto"/>
        </w:rPr>
      </w:pPr>
      <w:r>
        <w:rPr>
          <w:rFonts w:hint="eastAsia" w:cs="宋体"/>
          <w:color w:val="auto"/>
        </w:rPr>
        <w:t>5.“</w:t>
      </w:r>
      <w:r>
        <w:rPr>
          <w:rFonts w:hint="eastAsia" w:cs="宋体"/>
          <w:bCs/>
          <w:color w:val="auto"/>
          <w:kern w:val="0"/>
          <w:szCs w:val="21"/>
        </w:rPr>
        <w:t>★</w:t>
      </w:r>
      <w:r>
        <w:rPr>
          <w:rFonts w:hint="eastAsia" w:cs="宋体"/>
          <w:color w:val="auto"/>
        </w:rPr>
        <w:t>”系指实质性要求条款，投标人应做出实质性响应；“▲”系指重要条款。</w:t>
      </w:r>
    </w:p>
    <w:p>
      <w:pPr>
        <w:ind w:firstLine="456"/>
        <w:jc w:val="left"/>
        <w:rPr>
          <w:rFonts w:hint="eastAsia" w:cs="宋体"/>
          <w:color w:val="auto"/>
          <w:spacing w:val="-6"/>
        </w:rPr>
      </w:pPr>
      <w:r>
        <w:rPr>
          <w:rFonts w:hint="eastAsia" w:cs="宋体"/>
          <w:color w:val="auto"/>
          <w:spacing w:val="-6"/>
        </w:rPr>
        <w:t>6.联合体：</w:t>
      </w:r>
    </w:p>
    <w:p>
      <w:pPr>
        <w:ind w:firstLine="456"/>
        <w:jc w:val="left"/>
        <w:rPr>
          <w:rFonts w:hint="eastAsia" w:cs="宋体"/>
          <w:color w:val="auto"/>
          <w:spacing w:val="-6"/>
        </w:rPr>
      </w:pPr>
      <w:r>
        <w:rPr>
          <w:rFonts w:hint="eastAsia" w:cs="宋体"/>
          <w:color w:val="auto"/>
          <w:spacing w:val="-6"/>
        </w:rPr>
        <w:t>联合体投标的，应遵守以下规定：</w:t>
      </w:r>
    </w:p>
    <w:p>
      <w:pPr>
        <w:ind w:firstLine="456"/>
        <w:jc w:val="left"/>
        <w:rPr>
          <w:rFonts w:hint="eastAsia" w:cs="宋体"/>
          <w:color w:val="auto"/>
          <w:spacing w:val="-6"/>
        </w:rPr>
      </w:pPr>
      <w:r>
        <w:rPr>
          <w:rFonts w:hint="eastAsia" w:cs="宋体"/>
          <w:color w:val="auto"/>
          <w:spacing w:val="-6"/>
        </w:rPr>
        <w:t>（1）两个以上供应商可以组成一个联合体，以一个供应商的身份共同参加政府采购；</w:t>
      </w:r>
    </w:p>
    <w:p>
      <w:pPr>
        <w:ind w:firstLine="456"/>
        <w:jc w:val="left"/>
        <w:rPr>
          <w:rFonts w:hint="eastAsia" w:cs="宋体"/>
          <w:color w:val="auto"/>
          <w:spacing w:val="-6"/>
        </w:rPr>
      </w:pPr>
      <w:r>
        <w:rPr>
          <w:rFonts w:hint="eastAsia" w:cs="宋体"/>
          <w:color w:val="auto"/>
          <w:spacing w:val="-6"/>
        </w:rPr>
        <w:t>（2）组成联合体参加本项目的，须在购买招标文件时做出相关声明，否则不予接受。</w:t>
      </w:r>
    </w:p>
    <w:p>
      <w:pPr>
        <w:ind w:firstLine="456"/>
        <w:jc w:val="left"/>
        <w:rPr>
          <w:rFonts w:hint="eastAsia" w:cs="宋体"/>
          <w:color w:val="auto"/>
          <w:spacing w:val="-6"/>
        </w:rPr>
      </w:pPr>
      <w:r>
        <w:rPr>
          <w:rFonts w:hint="eastAsia" w:cs="宋体"/>
          <w:color w:val="auto"/>
          <w:spacing w:val="-6"/>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hint="eastAsia" w:cs="宋体"/>
          <w:color w:val="auto"/>
          <w:spacing w:val="-6"/>
        </w:rPr>
      </w:pPr>
      <w:r>
        <w:rPr>
          <w:rFonts w:hint="eastAsia" w:cs="宋体"/>
          <w:color w:val="auto"/>
          <w:spacing w:val="-6"/>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hint="eastAsia" w:cs="宋体"/>
          <w:color w:val="auto"/>
          <w:spacing w:val="-6"/>
        </w:rPr>
      </w:pPr>
      <w:r>
        <w:rPr>
          <w:rFonts w:hint="eastAsia" w:cs="宋体"/>
          <w:color w:val="auto"/>
          <w:spacing w:val="-6"/>
        </w:rPr>
        <w:t>（5）联合体各方签订联合协议后，不得再以自己名义单独在同一项目中参加投标，也不得组成新的联合体参加同一项目投标；</w:t>
      </w:r>
    </w:p>
    <w:p>
      <w:pPr>
        <w:ind w:firstLine="456"/>
        <w:jc w:val="left"/>
        <w:rPr>
          <w:rFonts w:hint="eastAsia" w:cs="宋体"/>
          <w:color w:val="auto"/>
          <w:spacing w:val="-6"/>
        </w:rPr>
      </w:pPr>
      <w:r>
        <w:rPr>
          <w:rFonts w:hint="eastAsia" w:cs="宋体"/>
          <w:color w:val="auto"/>
          <w:spacing w:val="-6"/>
        </w:rPr>
        <w:t>（6）联合体各方应当共同与采购人签订采购合同，就采购合同约定的事项对采购人承担连带责任；</w:t>
      </w:r>
    </w:p>
    <w:p>
      <w:pPr>
        <w:ind w:firstLine="456"/>
        <w:jc w:val="left"/>
        <w:rPr>
          <w:rFonts w:hint="eastAsia" w:cs="宋体"/>
          <w:color w:val="auto"/>
          <w:spacing w:val="-6"/>
        </w:rPr>
      </w:pPr>
      <w:r>
        <w:rPr>
          <w:rFonts w:hint="eastAsia" w:cs="宋体"/>
          <w:color w:val="auto"/>
          <w:spacing w:val="-6"/>
        </w:rPr>
        <w:t>（7）投标文件须由主办人盖章及其代表签署。</w:t>
      </w:r>
    </w:p>
    <w:p>
      <w:pPr>
        <w:ind w:firstLine="456"/>
        <w:jc w:val="left"/>
        <w:rPr>
          <w:rFonts w:hint="eastAsia" w:cs="宋体"/>
          <w:color w:val="auto"/>
        </w:rPr>
      </w:pPr>
      <w:r>
        <w:rPr>
          <w:rFonts w:hint="eastAsia" w:cs="宋体"/>
          <w:color w:val="auto"/>
          <w:spacing w:val="-6"/>
        </w:rPr>
        <w:t>（8）联合体投标，投标文件中供应商名称应注明“成员单位名称1和成员单位名称2的联合体”。</w:t>
      </w:r>
    </w:p>
    <w:p>
      <w:pPr>
        <w:pStyle w:val="6"/>
        <w:rPr>
          <w:rFonts w:hint="eastAsia" w:ascii="宋体" w:hAnsi="宋体" w:cs="宋体"/>
          <w:color w:val="auto"/>
        </w:rPr>
      </w:pPr>
      <w:r>
        <w:rPr>
          <w:rFonts w:hint="eastAsia" w:ascii="宋体" w:hAnsi="宋体" w:cs="宋体"/>
          <w:color w:val="auto"/>
        </w:rPr>
        <w:t>三、合格的投标人</w:t>
      </w:r>
    </w:p>
    <w:p>
      <w:pPr>
        <w:ind w:firstLine="480"/>
        <w:rPr>
          <w:rFonts w:hint="eastAsia" w:cs="宋体"/>
          <w:color w:val="auto"/>
          <w:szCs w:val="32"/>
        </w:rPr>
      </w:pPr>
      <w:r>
        <w:rPr>
          <w:rFonts w:hint="eastAsia" w:cs="宋体"/>
          <w:color w:val="auto"/>
          <w:szCs w:val="32"/>
        </w:rPr>
        <w:t>详见招标公告“投标人资格要求”。</w:t>
      </w:r>
    </w:p>
    <w:p>
      <w:pPr>
        <w:pStyle w:val="6"/>
        <w:rPr>
          <w:rFonts w:hint="eastAsia" w:ascii="宋体" w:hAnsi="宋体" w:cs="宋体"/>
          <w:color w:val="auto"/>
        </w:rPr>
      </w:pPr>
      <w:r>
        <w:rPr>
          <w:rFonts w:hint="eastAsia" w:ascii="宋体" w:hAnsi="宋体" w:cs="宋体"/>
          <w:color w:val="auto"/>
        </w:rPr>
        <w:t>四、投标费用</w:t>
      </w:r>
    </w:p>
    <w:p>
      <w:pPr>
        <w:ind w:firstLine="480"/>
        <w:rPr>
          <w:rFonts w:hint="eastAsia" w:cs="宋体"/>
          <w:color w:val="auto"/>
        </w:rPr>
      </w:pPr>
      <w:r>
        <w:rPr>
          <w:rFonts w:hint="eastAsia" w:cs="宋体"/>
          <w:color w:val="auto"/>
        </w:rPr>
        <w:t>1.无论投标结果如何，投标人自行承担所有与参加投标有关的全部费用。</w:t>
      </w:r>
    </w:p>
    <w:p>
      <w:pPr>
        <w:ind w:firstLine="480"/>
        <w:rPr>
          <w:rFonts w:hint="eastAsia" w:cs="宋体"/>
          <w:color w:val="auto"/>
        </w:rPr>
      </w:pPr>
      <w:r>
        <w:rPr>
          <w:rFonts w:hint="eastAsia" w:cs="宋体"/>
          <w:color w:val="auto"/>
        </w:rPr>
        <w:t>2.中标人在领取中标通知书前，应向采购代理机构交纳招标代理服务费，收费标准见“第一章投标人须知前附表-14”。</w:t>
      </w:r>
    </w:p>
    <w:p>
      <w:pPr>
        <w:pStyle w:val="6"/>
        <w:rPr>
          <w:rFonts w:hint="eastAsia" w:ascii="宋体" w:hAnsi="宋体" w:cs="宋体"/>
          <w:color w:val="auto"/>
        </w:rPr>
      </w:pPr>
      <w:r>
        <w:rPr>
          <w:rFonts w:hint="eastAsia" w:ascii="宋体" w:hAnsi="宋体" w:cs="宋体"/>
          <w:color w:val="auto"/>
        </w:rPr>
        <w:t>五、采购项目需要落实的政府采购政策</w:t>
      </w:r>
    </w:p>
    <w:p>
      <w:pPr>
        <w:ind w:firstLine="480"/>
        <w:rPr>
          <w:rFonts w:hint="eastAsia" w:cs="宋体"/>
          <w:color w:val="auto"/>
        </w:rPr>
      </w:pPr>
      <w:r>
        <w:rPr>
          <w:rFonts w:hint="eastAsia" w:cs="宋体"/>
          <w:color w:val="auto"/>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hint="eastAsia" w:cs="宋体"/>
          <w:color w:val="auto"/>
        </w:rPr>
      </w:pPr>
      <w:r>
        <w:rPr>
          <w:rFonts w:hint="eastAsia" w:cs="宋体"/>
          <w:color w:val="auto"/>
        </w:rPr>
        <w:t>2.</w:t>
      </w:r>
      <w:r>
        <w:rPr>
          <w:rFonts w:hint="eastAsia" w:cs="宋体"/>
          <w:bCs/>
          <w:color w:val="auto"/>
        </w:rPr>
        <w:t>小型、微型</w:t>
      </w:r>
      <w:r>
        <w:rPr>
          <w:rFonts w:hint="eastAsia" w:cs="宋体"/>
          <w:color w:val="auto"/>
        </w:rPr>
        <w:t>企业价格扣除。</w:t>
      </w:r>
    </w:p>
    <w:p>
      <w:pPr>
        <w:ind w:firstLine="480"/>
        <w:rPr>
          <w:rFonts w:hint="eastAsia" w:cs="宋体"/>
          <w:bCs/>
          <w:color w:val="auto"/>
        </w:rPr>
      </w:pPr>
      <w:r>
        <w:rPr>
          <w:rFonts w:hint="eastAsia" w:cs="宋体"/>
          <w:color w:val="auto"/>
        </w:rPr>
        <w:t>（1）</w:t>
      </w:r>
      <w:r>
        <w:rPr>
          <w:rFonts w:hint="eastAsia" w:cs="宋体"/>
          <w:bCs/>
          <w:color w:val="auto"/>
        </w:rPr>
        <w:t>小型、微型企业应当同时符合以下条件：</w:t>
      </w:r>
    </w:p>
    <w:p>
      <w:pPr>
        <w:ind w:firstLine="720" w:firstLineChars="300"/>
        <w:rPr>
          <w:rFonts w:hint="eastAsia" w:cs="宋体"/>
          <w:bCs/>
          <w:color w:val="auto"/>
        </w:rPr>
      </w:pPr>
      <w:r>
        <w:rPr>
          <w:rFonts w:hint="eastAsia" w:cs="宋体"/>
          <w:bCs/>
          <w:color w:val="auto"/>
        </w:rPr>
        <w:t>①符合中小企业划分标准；</w:t>
      </w:r>
    </w:p>
    <w:p>
      <w:pPr>
        <w:ind w:firstLine="720" w:firstLineChars="300"/>
        <w:rPr>
          <w:rFonts w:hint="eastAsia" w:cs="宋体"/>
          <w:bCs/>
          <w:color w:val="auto"/>
        </w:rPr>
      </w:pPr>
      <w:r>
        <w:rPr>
          <w:rFonts w:hint="eastAsia" w:cs="宋体"/>
          <w:bCs/>
          <w:color w:val="auto"/>
        </w:rPr>
        <w:t>②</w:t>
      </w:r>
      <w:r>
        <w:rPr>
          <w:rFonts w:hint="eastAsia" w:cs="宋体"/>
          <w:b/>
          <w:bCs/>
          <w:color w:val="auto"/>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hint="eastAsia" w:cs="宋体"/>
          <w:color w:val="auto"/>
        </w:rPr>
      </w:pPr>
      <w:r>
        <w:rPr>
          <w:rFonts w:hint="eastAsia" w:cs="宋体"/>
          <w:color w:val="auto"/>
        </w:rPr>
        <w:t>（2）小型、微型企业应按照招标文件格式要求提供《中小企业声明函》。</w:t>
      </w:r>
    </w:p>
    <w:p>
      <w:pPr>
        <w:ind w:firstLine="480"/>
        <w:rPr>
          <w:rFonts w:hint="eastAsia" w:cs="宋体"/>
          <w:color w:val="auto"/>
        </w:rPr>
      </w:pPr>
      <w:r>
        <w:rPr>
          <w:rFonts w:hint="eastAsia" w:cs="宋体"/>
          <w:color w:val="auto"/>
        </w:rPr>
        <w:t>（3）对于非专门面向此类企业的项目，对小型和微型企业产品的投标价格给予6 %的扣除，用扣除后的价格参与评审。</w:t>
      </w:r>
    </w:p>
    <w:p>
      <w:pPr>
        <w:ind w:firstLine="480"/>
        <w:rPr>
          <w:rFonts w:hint="eastAsia" w:cs="宋体"/>
          <w:color w:val="auto"/>
        </w:rPr>
      </w:pPr>
      <w:r>
        <w:rPr>
          <w:rFonts w:hint="eastAsia" w:cs="宋体"/>
          <w:color w:val="auto"/>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hint="eastAsia" w:cs="宋体"/>
          <w:color w:val="auto"/>
        </w:rPr>
      </w:pPr>
      <w:r>
        <w:rPr>
          <w:rFonts w:hint="eastAsia" w:cs="宋体"/>
          <w:color w:val="auto"/>
        </w:rPr>
        <w:t>联合体各方均为小型、微型企业的，联合体视同为小型、微型企业。</w:t>
      </w:r>
    </w:p>
    <w:p>
      <w:pPr>
        <w:ind w:firstLine="480"/>
        <w:rPr>
          <w:color w:val="auto"/>
          <w:szCs w:val="21"/>
        </w:rPr>
      </w:pPr>
      <w:bookmarkStart w:id="66" w:name="_Toc495244277"/>
      <w:r>
        <w:rPr>
          <w:rFonts w:hint="eastAsia"/>
          <w:color w:val="auto"/>
          <w:szCs w:val="21"/>
        </w:rPr>
        <w:t>4.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66"/>
    </w:p>
    <w:p>
      <w:pPr>
        <w:ind w:firstLine="480"/>
        <w:rPr>
          <w:color w:val="auto"/>
          <w:szCs w:val="21"/>
        </w:rPr>
      </w:pPr>
      <w:r>
        <w:rPr>
          <w:rFonts w:hint="eastAsia"/>
          <w:color w:val="auto"/>
          <w:szCs w:val="21"/>
        </w:rPr>
        <w:t>5.</w:t>
      </w:r>
      <w:r>
        <w:rPr>
          <w:color w:val="auto"/>
          <w:szCs w:val="21"/>
        </w:rPr>
        <w:t>执行《三部门联合发布关于促进残疾人就业政府采购政策的通知》</w:t>
      </w:r>
      <w:r>
        <w:rPr>
          <w:rFonts w:hint="eastAsia"/>
          <w:color w:val="auto"/>
          <w:szCs w:val="21"/>
        </w:rPr>
        <w:t>，</w:t>
      </w:r>
      <w:r>
        <w:rPr>
          <w:color w:val="auto"/>
          <w:szCs w:val="21"/>
        </w:rPr>
        <w:t>在政府采购活动中，残疾人福利性单位视同小型、微型企业，享受评审中价格扣除等政府采购促进中小企业发展的政府采购政策，残疾人福利性单位参加政府采购活动时，应当提供《残疾人福利性单位声明函》</w:t>
      </w:r>
      <w:r>
        <w:rPr>
          <w:rFonts w:hint="eastAsia"/>
          <w:color w:val="auto"/>
          <w:szCs w:val="21"/>
        </w:rPr>
        <w:t>（格式见附件），</w:t>
      </w:r>
      <w:r>
        <w:rPr>
          <w:color w:val="auto"/>
          <w:szCs w:val="21"/>
        </w:rPr>
        <w:t>并对声明的真实性负责，未能提供的不予认可。</w:t>
      </w:r>
    </w:p>
    <w:p>
      <w:pPr>
        <w:pStyle w:val="6"/>
        <w:rPr>
          <w:rFonts w:hint="eastAsia" w:ascii="宋体" w:hAnsi="宋体" w:cs="宋体"/>
          <w:color w:val="auto"/>
        </w:rPr>
      </w:pPr>
      <w:r>
        <w:rPr>
          <w:rFonts w:hint="eastAsia" w:ascii="宋体" w:hAnsi="宋体" w:cs="宋体"/>
          <w:color w:val="auto"/>
        </w:rPr>
        <w:t>六、询问、质疑、投诉</w:t>
      </w:r>
    </w:p>
    <w:p>
      <w:pPr>
        <w:autoSpaceDE w:val="0"/>
        <w:autoSpaceDN w:val="0"/>
        <w:ind w:firstLine="480"/>
        <w:jc w:val="left"/>
        <w:rPr>
          <w:rFonts w:hint="eastAsia" w:cs="宋体"/>
          <w:color w:val="auto"/>
          <w:lang w:val="zh-CN"/>
        </w:rPr>
      </w:pPr>
      <w:r>
        <w:rPr>
          <w:rFonts w:hint="eastAsia" w:cs="宋体"/>
          <w:color w:val="auto"/>
        </w:rPr>
        <w:t>1.</w:t>
      </w:r>
      <w:r>
        <w:rPr>
          <w:rFonts w:hint="eastAsia" w:cs="宋体"/>
          <w:color w:val="auto"/>
          <w:lang w:val="zh-CN"/>
        </w:rPr>
        <w:t>供应商询问</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19"/>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rPr>
        <w:t>2.</w:t>
      </w:r>
      <w:r>
        <w:rPr>
          <w:rFonts w:hint="eastAsia" w:hAnsi="宋体" w:cs="宋体"/>
          <w:color w:val="auto"/>
          <w:sz w:val="24"/>
          <w:szCs w:val="24"/>
          <w:lang w:val="zh-CN"/>
        </w:rPr>
        <w:t>供应商质疑（</w:t>
      </w:r>
      <w:r>
        <w:rPr>
          <w:rFonts w:hint="eastAsia" w:hAnsi="宋体" w:cs="宋体"/>
          <w:color w:val="auto"/>
          <w:sz w:val="24"/>
          <w:szCs w:val="24"/>
        </w:rPr>
        <w:t>根据财政部第94号《政府采购质疑和投诉办法》规定）</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lang w:val="zh-CN"/>
        </w:rPr>
        <w:t>（</w:t>
      </w:r>
      <w:r>
        <w:rPr>
          <w:rFonts w:hint="eastAsia" w:hAnsi="宋体" w:cs="宋体"/>
          <w:color w:val="auto"/>
          <w:sz w:val="24"/>
          <w:szCs w:val="24"/>
        </w:rPr>
        <w:t>1</w:t>
      </w:r>
      <w:r>
        <w:rPr>
          <w:rFonts w:hint="eastAsia" w:hAnsi="宋体" w:cs="宋体"/>
          <w:color w:val="auto"/>
          <w:sz w:val="24"/>
          <w:szCs w:val="24"/>
          <w:lang w:val="zh-CN"/>
        </w:rPr>
        <w:t>）</w:t>
      </w:r>
      <w:r>
        <w:rPr>
          <w:rFonts w:hint="eastAsia" w:hAnsi="宋体" w:cs="宋体"/>
          <w:color w:val="auto"/>
          <w:sz w:val="24"/>
          <w:szCs w:val="24"/>
        </w:rPr>
        <w:t>提出质疑的供应商应当是参与所质疑项目采购活动的供应商。潜在供应商已依法获取其可质疑的采购文件的，可以对该文件提出质疑。</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lang w:val="zh-CN"/>
        </w:rPr>
        <w:t>（</w:t>
      </w:r>
      <w:r>
        <w:rPr>
          <w:rFonts w:hint="eastAsia" w:hAnsi="宋体" w:cs="宋体"/>
          <w:color w:val="auto"/>
          <w:sz w:val="24"/>
          <w:szCs w:val="24"/>
        </w:rPr>
        <w:t>2</w:t>
      </w:r>
      <w:r>
        <w:rPr>
          <w:rFonts w:hint="eastAsia" w:hAnsi="宋体" w:cs="宋体"/>
          <w:color w:val="auto"/>
          <w:sz w:val="24"/>
          <w:szCs w:val="24"/>
          <w:lang w:val="zh-CN"/>
        </w:rPr>
        <w:t>）</w:t>
      </w:r>
      <w:r>
        <w:rPr>
          <w:rFonts w:hint="eastAsia" w:hAnsi="宋体" w:cs="宋体"/>
          <w:color w:val="auto"/>
          <w:sz w:val="24"/>
          <w:szCs w:val="24"/>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①对可以质疑的招标文件提出质疑的，为获取招标文件之日（公告期限届满之日后获取招标文件的为招标公告期限届满之日）。</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②对采购过程提出质疑的，为各采购程序环节结束之日。否则，被质疑人可不予接受。</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③对中标结果提出质疑的，为成交结果公告期限届满之日。</w:t>
      </w:r>
    </w:p>
    <w:p>
      <w:pPr>
        <w:pStyle w:val="19"/>
        <w:spacing w:line="360" w:lineRule="auto"/>
        <w:ind w:firstLine="240" w:firstLineChars="100"/>
        <w:rPr>
          <w:rFonts w:hint="eastAsia" w:hAnsi="宋体" w:cs="宋体"/>
          <w:color w:val="auto"/>
          <w:sz w:val="24"/>
          <w:szCs w:val="24"/>
        </w:rPr>
      </w:pPr>
      <w:r>
        <w:rPr>
          <w:rFonts w:hint="eastAsia" w:hAnsi="宋体" w:cs="宋体"/>
          <w:color w:val="auto"/>
          <w:sz w:val="24"/>
          <w:szCs w:val="24"/>
          <w:lang w:val="zh-CN"/>
        </w:rPr>
        <w:t>（</w:t>
      </w:r>
      <w:r>
        <w:rPr>
          <w:rFonts w:hint="eastAsia" w:hAnsi="宋体" w:cs="宋体"/>
          <w:color w:val="auto"/>
          <w:sz w:val="24"/>
          <w:szCs w:val="24"/>
        </w:rPr>
        <w:t>3）供应商提出质疑应当提交质疑函和必要的证明材料。质疑函应当包括下列内容：</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①供应商的姓名或者名称、地址、邮编、联系人及联系电话；</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②质疑项目的名称、编号；</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③具体、明确的质疑事项和与质疑事项相关的请求；</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④事实依据；</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⑤必要的法律依据；</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⑥提出质疑的日期。</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19"/>
        <w:spacing w:line="360" w:lineRule="auto"/>
        <w:ind w:firstLine="480" w:firstLineChars="200"/>
        <w:rPr>
          <w:rFonts w:hint="eastAsia" w:hAnsi="宋体" w:cs="宋体"/>
          <w:color w:val="auto"/>
          <w:kern w:val="0"/>
          <w:sz w:val="24"/>
          <w:szCs w:val="24"/>
        </w:rPr>
      </w:pPr>
      <w:r>
        <w:rPr>
          <w:rFonts w:hint="eastAsia" w:hAnsi="宋体" w:cs="宋体"/>
          <w:color w:val="auto"/>
          <w:kern w:val="0"/>
          <w:sz w:val="24"/>
          <w:szCs w:val="24"/>
        </w:rPr>
        <w:t>质疑函范本及制作说明详见附件。</w:t>
      </w:r>
    </w:p>
    <w:p>
      <w:pPr>
        <w:pStyle w:val="19"/>
        <w:numPr>
          <w:ilvl w:val="0"/>
          <w:numId w:val="6"/>
        </w:numPr>
        <w:spacing w:line="360" w:lineRule="auto"/>
        <w:ind w:firstLine="480" w:firstLineChars="200"/>
        <w:rPr>
          <w:rFonts w:hint="eastAsia" w:hAnsi="宋体" w:cs="宋体"/>
          <w:color w:val="auto"/>
          <w:sz w:val="24"/>
          <w:szCs w:val="24"/>
        </w:rPr>
      </w:pPr>
      <w:r>
        <w:rPr>
          <w:rFonts w:hint="eastAsia" w:hAnsi="宋体" w:cs="宋体"/>
          <w:color w:val="auto"/>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9"/>
        <w:numPr>
          <w:ilvl w:val="0"/>
          <w:numId w:val="6"/>
        </w:numPr>
        <w:spacing w:line="360" w:lineRule="auto"/>
        <w:ind w:firstLine="480" w:firstLineChars="200"/>
        <w:rPr>
          <w:rFonts w:hint="eastAsia" w:hAnsi="宋体" w:cs="宋体"/>
          <w:color w:val="auto"/>
          <w:sz w:val="24"/>
          <w:szCs w:val="24"/>
        </w:rPr>
      </w:pPr>
      <w:r>
        <w:rPr>
          <w:rFonts w:hint="eastAsia" w:hAnsi="宋体" w:cs="宋体"/>
          <w:color w:val="auto"/>
          <w:sz w:val="24"/>
          <w:szCs w:val="24"/>
        </w:rPr>
        <w:t>询问或者质疑事项可能影响采购结果的，采购人应当暂停签订合同，已经签订合同的，应当中止履行合同。</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（6）质疑接收人：毛先生；联系电话：0574-87208097，</w:t>
      </w:r>
    </w:p>
    <w:p>
      <w:pPr>
        <w:pStyle w:val="19"/>
        <w:spacing w:line="360" w:lineRule="auto"/>
        <w:rPr>
          <w:rFonts w:hint="eastAsia" w:hAnsi="宋体" w:cs="宋体"/>
          <w:color w:val="auto"/>
          <w:sz w:val="24"/>
          <w:szCs w:val="24"/>
        </w:rPr>
      </w:pPr>
      <w:r>
        <w:rPr>
          <w:rFonts w:hint="eastAsia" w:hAnsi="宋体" w:cs="宋体"/>
          <w:color w:val="auto"/>
          <w:sz w:val="24"/>
          <w:szCs w:val="24"/>
        </w:rPr>
        <w:t xml:space="preserve">    地  址：宁波市鄞州区宁穿路1679号金融硅谷9号楼1402室。</w:t>
      </w:r>
    </w:p>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3.</w:t>
      </w:r>
      <w:r>
        <w:rPr>
          <w:rFonts w:hint="eastAsia" w:hAnsi="宋体" w:cs="宋体"/>
          <w:color w:val="auto"/>
          <w:sz w:val="24"/>
          <w:szCs w:val="24"/>
          <w:lang w:val="zh-CN"/>
        </w:rPr>
        <w:t>供应商投诉（</w:t>
      </w:r>
      <w:r>
        <w:rPr>
          <w:rFonts w:hint="eastAsia" w:hAnsi="宋体" w:cs="宋体"/>
          <w:color w:val="auto"/>
          <w:sz w:val="24"/>
          <w:szCs w:val="24"/>
        </w:rPr>
        <w:t>根据财政部第94号《政府采购质疑和投诉办法》规定）</w:t>
      </w:r>
    </w:p>
    <w:p>
      <w:pPr>
        <w:pStyle w:val="19"/>
        <w:numPr>
          <w:ilvl w:val="0"/>
          <w:numId w:val="7"/>
        </w:numPr>
        <w:spacing w:line="360" w:lineRule="auto"/>
        <w:ind w:firstLine="480" w:firstLineChars="200"/>
        <w:rPr>
          <w:rFonts w:hint="eastAsia" w:hAnsi="宋体" w:cs="宋体"/>
          <w:color w:val="auto"/>
          <w:sz w:val="24"/>
          <w:szCs w:val="24"/>
        </w:rPr>
      </w:pPr>
      <w:r>
        <w:rPr>
          <w:rFonts w:hint="eastAsia" w:hAnsi="宋体" w:cs="宋体"/>
          <w:color w:val="auto"/>
          <w:sz w:val="24"/>
          <w:szCs w:val="24"/>
        </w:rPr>
        <w:t>质疑供应商对采购人、采购代理机构的答复不满意或者采购人、采购代理机构未在规定的时间内作出答复的，可以在答复期满后十五个工作日内向同级政府采购监督管理部门提出投诉。</w:t>
      </w:r>
    </w:p>
    <w:p>
      <w:pPr>
        <w:pStyle w:val="19"/>
        <w:numPr>
          <w:ilvl w:val="0"/>
          <w:numId w:val="7"/>
        </w:numPr>
        <w:spacing w:line="360" w:lineRule="auto"/>
        <w:ind w:firstLine="480" w:firstLineChars="200"/>
        <w:rPr>
          <w:rFonts w:hint="eastAsia" w:hAnsi="宋体" w:cs="宋体"/>
          <w:color w:val="auto"/>
          <w:sz w:val="24"/>
          <w:szCs w:val="24"/>
        </w:rPr>
      </w:pPr>
      <w:r>
        <w:rPr>
          <w:rFonts w:hint="eastAsia" w:hAnsi="宋体" w:cs="宋体"/>
          <w:color w:val="auto"/>
          <w:sz w:val="24"/>
          <w:szCs w:val="24"/>
        </w:rPr>
        <w:t>供应商投诉的事项不得超出已质疑事项的范围，基于质疑答复内容提出的投诉事项除外。</w:t>
      </w:r>
    </w:p>
    <w:p>
      <w:pPr>
        <w:pStyle w:val="19"/>
        <w:numPr>
          <w:ilvl w:val="0"/>
          <w:numId w:val="7"/>
        </w:numPr>
        <w:spacing w:line="360" w:lineRule="auto"/>
        <w:ind w:firstLine="480" w:firstLineChars="200"/>
        <w:rPr>
          <w:rFonts w:hint="eastAsia" w:hAnsi="宋体" w:cs="宋体"/>
          <w:color w:val="auto"/>
          <w:sz w:val="24"/>
          <w:szCs w:val="24"/>
        </w:rPr>
      </w:pPr>
      <w:r>
        <w:rPr>
          <w:rFonts w:hint="eastAsia" w:hAnsi="宋体" w:cs="宋体"/>
          <w:color w:val="auto"/>
          <w:sz w:val="24"/>
          <w:szCs w:val="24"/>
        </w:rPr>
        <w:t>供应商投诉应当有明确的请求和必要的证明材料。</w:t>
      </w:r>
    </w:p>
    <w:p>
      <w:pPr>
        <w:pStyle w:val="19"/>
        <w:numPr>
          <w:ilvl w:val="0"/>
          <w:numId w:val="7"/>
        </w:numPr>
        <w:spacing w:line="360" w:lineRule="auto"/>
        <w:ind w:firstLine="480" w:firstLineChars="200"/>
        <w:rPr>
          <w:rFonts w:hint="eastAsia" w:hAnsi="宋体" w:cs="宋体"/>
          <w:color w:val="auto"/>
          <w:sz w:val="24"/>
          <w:szCs w:val="24"/>
        </w:rPr>
      </w:pPr>
      <w:r>
        <w:rPr>
          <w:rFonts w:hint="eastAsia" w:hAnsi="宋体" w:cs="宋体"/>
          <w:color w:val="auto"/>
          <w:sz w:val="24"/>
          <w:szCs w:val="24"/>
        </w:rPr>
        <w:t>以联合体形式参加政府采购活动的，其投诉应当由组成联合体的所有供应商共同提出。</w:t>
      </w:r>
    </w:p>
    <w:p>
      <w:pPr>
        <w:ind w:firstLine="480"/>
        <w:rPr>
          <w:rFonts w:hint="eastAsia" w:cs="宋体"/>
          <w:color w:val="auto"/>
        </w:rPr>
      </w:pPr>
      <w:r>
        <w:rPr>
          <w:rFonts w:hint="eastAsia" w:cs="宋体"/>
          <w:color w:val="auto"/>
        </w:rPr>
        <w:t>投诉书范本及制作说明详见附件。</w:t>
      </w:r>
    </w:p>
    <w:p>
      <w:pPr>
        <w:pStyle w:val="6"/>
        <w:rPr>
          <w:rFonts w:hint="eastAsia" w:ascii="宋体" w:hAnsi="宋体" w:cs="宋体"/>
          <w:color w:val="auto"/>
        </w:rPr>
      </w:pPr>
      <w:r>
        <w:rPr>
          <w:rFonts w:hint="eastAsia" w:ascii="宋体" w:hAnsi="宋体" w:cs="宋体"/>
          <w:color w:val="auto"/>
        </w:rPr>
        <w:t>七、特别说明</w:t>
      </w:r>
    </w:p>
    <w:p>
      <w:pPr>
        <w:ind w:firstLine="480"/>
        <w:rPr>
          <w:rFonts w:hint="eastAsia" w:cs="宋体"/>
          <w:color w:val="auto"/>
        </w:rPr>
      </w:pPr>
      <w:r>
        <w:rPr>
          <w:rFonts w:hint="eastAsia" w:cs="宋体"/>
          <w:color w:val="auto"/>
        </w:rPr>
        <w:t>1.投标人投标所使用的资格、信誉、荣誉、业绩与企业认证必须为本法人所拥有。投标人投标所使用的采购项目实施人员必须为本法人员工（指本法人或控股公司正式员工）。</w:t>
      </w:r>
    </w:p>
    <w:p>
      <w:pPr>
        <w:ind w:firstLine="480"/>
        <w:rPr>
          <w:rFonts w:hint="eastAsia" w:cs="宋体"/>
          <w:color w:val="auto"/>
        </w:rPr>
      </w:pPr>
      <w:r>
        <w:rPr>
          <w:rFonts w:hint="eastAsia" w:cs="宋体"/>
          <w:color w:val="auto"/>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cs="宋体"/>
          <w:color w:val="auto"/>
        </w:rPr>
        <w:tab/>
      </w:r>
    </w:p>
    <w:p>
      <w:pPr>
        <w:ind w:firstLine="480"/>
        <w:rPr>
          <w:rFonts w:hint="eastAsia" w:cs="宋体"/>
          <w:color w:val="auto"/>
        </w:rPr>
      </w:pPr>
      <w:r>
        <w:rPr>
          <w:rFonts w:hint="eastAsia" w:cs="宋体"/>
          <w:color w:val="auto"/>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hint="eastAsia" w:cs="宋体"/>
          <w:color w:val="auto"/>
        </w:rPr>
      </w:pPr>
      <w:r>
        <w:rPr>
          <w:rFonts w:hint="eastAsia" w:cs="宋体"/>
          <w:color w:val="auto"/>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hint="eastAsia" w:cs="宋体"/>
          <w:color w:val="auto"/>
        </w:rPr>
      </w:pPr>
      <w:r>
        <w:rPr>
          <w:rFonts w:hint="eastAsia" w:cs="宋体"/>
          <w:color w:val="auto"/>
        </w:rPr>
        <w:t>5.单位负责人为同一人或者存在直接控股、管理关系的不同供应商，不得参加同一合同项下的政府采购活动。</w:t>
      </w:r>
    </w:p>
    <w:p>
      <w:pPr>
        <w:ind w:firstLine="480"/>
        <w:rPr>
          <w:rFonts w:hint="eastAsia" w:cs="宋体"/>
          <w:color w:val="auto"/>
        </w:rPr>
      </w:pPr>
      <w:r>
        <w:rPr>
          <w:rFonts w:hint="eastAsia" w:cs="宋体"/>
          <w:color w:val="auto"/>
        </w:rPr>
        <w:t>6.为采购项目提供整体设计、规范编制或者项目管理、监理、检测等服务的供应商，不得再参加该采购项目的其他采购活动。</w:t>
      </w:r>
    </w:p>
    <w:p>
      <w:pPr>
        <w:ind w:firstLine="480"/>
        <w:rPr>
          <w:rFonts w:hint="eastAsia" w:cs="宋体"/>
          <w:color w:val="auto"/>
        </w:rPr>
      </w:pPr>
      <w:r>
        <w:rPr>
          <w:rFonts w:hint="eastAsia" w:cs="宋体"/>
          <w:color w:val="auto"/>
        </w:rPr>
        <w:t>7.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175"/>
        <w:rPr>
          <w:rFonts w:hint="eastAsia" w:ascii="宋体" w:hAnsi="宋体" w:eastAsia="宋体" w:cs="宋体"/>
          <w:b/>
          <w:bCs/>
          <w:color w:val="auto"/>
          <w:kern w:val="2"/>
          <w:sz w:val="28"/>
          <w:szCs w:val="32"/>
        </w:rPr>
      </w:pPr>
    </w:p>
    <w:p>
      <w:pPr>
        <w:ind w:firstLine="562"/>
        <w:jc w:val="center"/>
        <w:outlineLvl w:val="0"/>
        <w:rPr>
          <w:rFonts w:hint="eastAsia" w:cs="宋体"/>
          <w:b/>
          <w:bCs/>
          <w:color w:val="auto"/>
          <w:sz w:val="28"/>
          <w:szCs w:val="32"/>
        </w:rPr>
      </w:pPr>
      <w:bookmarkStart w:id="67" w:name="_Toc91899879"/>
      <w:bookmarkStart w:id="68" w:name="_Toc16985"/>
      <w:bookmarkStart w:id="69" w:name="_Toc5373"/>
      <w:r>
        <w:rPr>
          <w:rFonts w:hint="eastAsia" w:cs="宋体"/>
          <w:b/>
          <w:bCs/>
          <w:color w:val="auto"/>
          <w:sz w:val="28"/>
          <w:szCs w:val="32"/>
        </w:rPr>
        <w:t>第二节 招标文件</w:t>
      </w:r>
      <w:bookmarkEnd w:id="67"/>
      <w:r>
        <w:rPr>
          <w:rFonts w:hint="eastAsia" w:cs="宋体"/>
          <w:b/>
          <w:bCs/>
          <w:color w:val="auto"/>
          <w:sz w:val="28"/>
          <w:szCs w:val="32"/>
        </w:rPr>
        <w:t>的构成、澄清、修改</w:t>
      </w:r>
      <w:bookmarkEnd w:id="68"/>
      <w:bookmarkEnd w:id="69"/>
    </w:p>
    <w:p>
      <w:pPr>
        <w:pStyle w:val="6"/>
        <w:rPr>
          <w:rFonts w:hint="eastAsia" w:ascii="宋体" w:hAnsi="宋体" w:cs="宋体"/>
          <w:color w:val="auto"/>
        </w:rPr>
      </w:pPr>
      <w:bookmarkStart w:id="70" w:name="_Toc91899880"/>
      <w:bookmarkStart w:id="71" w:name="_Hlt74730307"/>
      <w:r>
        <w:rPr>
          <w:rFonts w:hint="eastAsia" w:ascii="宋体" w:hAnsi="宋体" w:cs="宋体"/>
          <w:color w:val="auto"/>
        </w:rPr>
        <w:t>一、招标文件的构成</w:t>
      </w:r>
      <w:bookmarkEnd w:id="70"/>
    </w:p>
    <w:bookmarkEnd w:id="71"/>
    <w:p>
      <w:pPr>
        <w:pStyle w:val="19"/>
        <w:spacing w:line="360" w:lineRule="auto"/>
        <w:ind w:firstLine="480" w:firstLineChars="200"/>
        <w:rPr>
          <w:rFonts w:hint="eastAsia" w:hAnsi="宋体" w:cs="宋体"/>
          <w:color w:val="auto"/>
          <w:sz w:val="24"/>
          <w:szCs w:val="24"/>
        </w:rPr>
      </w:pPr>
      <w:r>
        <w:rPr>
          <w:rFonts w:hint="eastAsia" w:hAnsi="宋体" w:cs="宋体"/>
          <w:color w:val="auto"/>
          <w:sz w:val="24"/>
          <w:szCs w:val="24"/>
        </w:rPr>
        <w:t>1.招标文件包括下列文件及附件</w:t>
      </w:r>
    </w:p>
    <w:p>
      <w:pPr>
        <w:pStyle w:val="19"/>
        <w:numPr>
          <w:ilvl w:val="0"/>
          <w:numId w:val="8"/>
        </w:numPr>
        <w:adjustRightInd w:val="0"/>
        <w:spacing w:line="360" w:lineRule="auto"/>
        <w:ind w:left="839" w:firstLine="105" w:firstLineChars="50"/>
        <w:rPr>
          <w:rFonts w:hint="eastAsia" w:hAnsi="宋体" w:cs="宋体"/>
          <w:color w:val="auto"/>
          <w:sz w:val="24"/>
          <w:szCs w:val="24"/>
        </w:rPr>
      </w:pPr>
      <w:r>
        <w:rPr>
          <w:rFonts w:hint="eastAsia" w:hAnsi="宋体" w:cs="宋体"/>
          <w:color w:val="auto"/>
        </w:rPr>
        <w:fldChar w:fldCharType="begin"/>
      </w:r>
      <w:r>
        <w:rPr>
          <w:rFonts w:hint="eastAsia" w:hAnsi="宋体" w:cs="宋体"/>
          <w:color w:val="auto"/>
        </w:rPr>
        <w:instrText xml:space="preserve"> HYPERLINK \l "_Toc32332" </w:instrText>
      </w:r>
      <w:r>
        <w:rPr>
          <w:rFonts w:hint="eastAsia" w:hAnsi="宋体" w:cs="宋体"/>
          <w:color w:val="auto"/>
        </w:rPr>
        <w:fldChar w:fldCharType="separate"/>
      </w:r>
      <w:r>
        <w:rPr>
          <w:rFonts w:hint="eastAsia" w:hAnsi="宋体" w:cs="宋体"/>
          <w:color w:val="auto"/>
          <w:sz w:val="24"/>
          <w:szCs w:val="24"/>
        </w:rPr>
        <w:t>第一章 招标公告</w:t>
      </w:r>
      <w:r>
        <w:rPr>
          <w:rFonts w:hint="eastAsia" w:hAnsi="宋体" w:cs="宋体"/>
          <w:color w:val="auto"/>
          <w:sz w:val="24"/>
          <w:szCs w:val="24"/>
        </w:rPr>
        <w:fldChar w:fldCharType="end"/>
      </w:r>
    </w:p>
    <w:p>
      <w:pPr>
        <w:pStyle w:val="19"/>
        <w:numPr>
          <w:ilvl w:val="0"/>
          <w:numId w:val="8"/>
        </w:numPr>
        <w:adjustRightInd w:val="0"/>
        <w:spacing w:line="360" w:lineRule="auto"/>
        <w:ind w:left="839" w:firstLine="105" w:firstLineChars="50"/>
        <w:rPr>
          <w:rFonts w:hint="eastAsia" w:hAnsi="宋体" w:cs="宋体"/>
          <w:color w:val="auto"/>
          <w:sz w:val="24"/>
          <w:szCs w:val="24"/>
        </w:rPr>
      </w:pPr>
      <w:r>
        <w:rPr>
          <w:rFonts w:hint="eastAsia" w:hAnsi="宋体" w:cs="宋体"/>
          <w:color w:val="auto"/>
        </w:rPr>
        <w:fldChar w:fldCharType="begin"/>
      </w:r>
      <w:r>
        <w:rPr>
          <w:rFonts w:hint="eastAsia" w:hAnsi="宋体" w:cs="宋体"/>
          <w:color w:val="auto"/>
        </w:rPr>
        <w:instrText xml:space="preserve"> HYPERLINK \l "_Toc24282" </w:instrText>
      </w:r>
      <w:r>
        <w:rPr>
          <w:rFonts w:hint="eastAsia" w:hAnsi="宋体" w:cs="宋体"/>
          <w:color w:val="auto"/>
        </w:rPr>
        <w:fldChar w:fldCharType="separate"/>
      </w:r>
      <w:r>
        <w:rPr>
          <w:rFonts w:hint="eastAsia" w:hAnsi="宋体" w:cs="宋体"/>
          <w:color w:val="auto"/>
          <w:sz w:val="24"/>
          <w:szCs w:val="24"/>
        </w:rPr>
        <w:t>第二章 项目需求说明</w:t>
      </w:r>
      <w:r>
        <w:rPr>
          <w:rFonts w:hint="eastAsia" w:hAnsi="宋体" w:cs="宋体"/>
          <w:color w:val="auto"/>
          <w:sz w:val="24"/>
          <w:szCs w:val="24"/>
        </w:rPr>
        <w:fldChar w:fldCharType="end"/>
      </w:r>
    </w:p>
    <w:p>
      <w:pPr>
        <w:pStyle w:val="19"/>
        <w:numPr>
          <w:ilvl w:val="0"/>
          <w:numId w:val="8"/>
        </w:numPr>
        <w:adjustRightInd w:val="0"/>
        <w:spacing w:line="360" w:lineRule="auto"/>
        <w:ind w:left="839" w:firstLine="105" w:firstLineChars="50"/>
        <w:rPr>
          <w:rFonts w:hint="eastAsia" w:hAnsi="宋体" w:cs="宋体"/>
          <w:color w:val="auto"/>
          <w:sz w:val="24"/>
          <w:szCs w:val="24"/>
        </w:rPr>
      </w:pPr>
      <w:r>
        <w:rPr>
          <w:rFonts w:hint="eastAsia" w:hAnsi="宋体" w:cs="宋体"/>
          <w:color w:val="auto"/>
        </w:rPr>
        <w:fldChar w:fldCharType="begin"/>
      </w:r>
      <w:r>
        <w:rPr>
          <w:rFonts w:hint="eastAsia" w:hAnsi="宋体" w:cs="宋体"/>
          <w:color w:val="auto"/>
        </w:rPr>
        <w:instrText xml:space="preserve"> HYPERLINK \l "_Toc7338" </w:instrText>
      </w:r>
      <w:r>
        <w:rPr>
          <w:rFonts w:hint="eastAsia" w:hAnsi="宋体" w:cs="宋体"/>
          <w:color w:val="auto"/>
        </w:rPr>
        <w:fldChar w:fldCharType="separate"/>
      </w:r>
      <w:r>
        <w:rPr>
          <w:rFonts w:hint="eastAsia" w:hAnsi="宋体" w:cs="宋体"/>
          <w:color w:val="auto"/>
          <w:sz w:val="24"/>
          <w:szCs w:val="24"/>
        </w:rPr>
        <w:t>第三章 投标人须知</w:t>
      </w:r>
      <w:r>
        <w:rPr>
          <w:rFonts w:hint="eastAsia" w:hAnsi="宋体" w:cs="宋体"/>
          <w:color w:val="auto"/>
          <w:sz w:val="24"/>
          <w:szCs w:val="24"/>
        </w:rPr>
        <w:fldChar w:fldCharType="end"/>
      </w:r>
    </w:p>
    <w:p>
      <w:pPr>
        <w:pStyle w:val="19"/>
        <w:numPr>
          <w:ilvl w:val="0"/>
          <w:numId w:val="8"/>
        </w:numPr>
        <w:adjustRightInd w:val="0"/>
        <w:spacing w:line="360" w:lineRule="auto"/>
        <w:ind w:left="839" w:firstLine="105" w:firstLineChars="50"/>
        <w:rPr>
          <w:rFonts w:hint="eastAsia" w:hAnsi="宋体" w:cs="宋体"/>
          <w:color w:val="auto"/>
          <w:sz w:val="24"/>
          <w:szCs w:val="24"/>
        </w:rPr>
      </w:pPr>
      <w:r>
        <w:rPr>
          <w:rFonts w:hint="eastAsia" w:hAnsi="宋体" w:cs="宋体"/>
          <w:color w:val="auto"/>
        </w:rPr>
        <w:fldChar w:fldCharType="begin"/>
      </w:r>
      <w:r>
        <w:rPr>
          <w:rFonts w:hint="eastAsia" w:hAnsi="宋体" w:cs="宋体"/>
          <w:color w:val="auto"/>
        </w:rPr>
        <w:instrText xml:space="preserve"> HYPERLINK \l "_Toc22869" </w:instrText>
      </w:r>
      <w:r>
        <w:rPr>
          <w:rFonts w:hint="eastAsia" w:hAnsi="宋体" w:cs="宋体"/>
          <w:color w:val="auto"/>
        </w:rPr>
        <w:fldChar w:fldCharType="separate"/>
      </w:r>
      <w:r>
        <w:rPr>
          <w:rFonts w:hint="eastAsia" w:hAnsi="宋体" w:cs="宋体"/>
          <w:color w:val="auto"/>
          <w:sz w:val="24"/>
          <w:szCs w:val="24"/>
        </w:rPr>
        <w:t>第四章 评标办法及评分标准</w:t>
      </w:r>
      <w:r>
        <w:rPr>
          <w:rFonts w:hint="eastAsia" w:hAnsi="宋体" w:cs="宋体"/>
          <w:color w:val="auto"/>
          <w:sz w:val="24"/>
          <w:szCs w:val="24"/>
        </w:rPr>
        <w:fldChar w:fldCharType="end"/>
      </w:r>
    </w:p>
    <w:p>
      <w:pPr>
        <w:pStyle w:val="19"/>
        <w:numPr>
          <w:ilvl w:val="0"/>
          <w:numId w:val="8"/>
        </w:numPr>
        <w:adjustRightInd w:val="0"/>
        <w:spacing w:line="360" w:lineRule="auto"/>
        <w:ind w:left="839" w:firstLine="105" w:firstLineChars="50"/>
        <w:rPr>
          <w:rFonts w:hint="eastAsia" w:hAnsi="宋体" w:cs="宋体"/>
          <w:color w:val="auto"/>
          <w:sz w:val="24"/>
          <w:szCs w:val="24"/>
        </w:rPr>
      </w:pPr>
      <w:r>
        <w:rPr>
          <w:rFonts w:hint="eastAsia" w:hAnsi="宋体" w:cs="宋体"/>
          <w:color w:val="auto"/>
        </w:rPr>
        <w:fldChar w:fldCharType="begin"/>
      </w:r>
      <w:r>
        <w:rPr>
          <w:rFonts w:hint="eastAsia" w:hAnsi="宋体" w:cs="宋体"/>
          <w:color w:val="auto"/>
        </w:rPr>
        <w:instrText xml:space="preserve"> HYPERLINK \l "_Toc7087" </w:instrText>
      </w:r>
      <w:r>
        <w:rPr>
          <w:rFonts w:hint="eastAsia" w:hAnsi="宋体" w:cs="宋体"/>
          <w:color w:val="auto"/>
        </w:rPr>
        <w:fldChar w:fldCharType="separate"/>
      </w:r>
      <w:r>
        <w:rPr>
          <w:rFonts w:hint="eastAsia" w:hAnsi="宋体" w:cs="宋体"/>
          <w:color w:val="auto"/>
          <w:sz w:val="24"/>
          <w:szCs w:val="24"/>
        </w:rPr>
        <w:t>第五章 合同格式</w:t>
      </w:r>
      <w:r>
        <w:rPr>
          <w:rFonts w:hint="eastAsia" w:hAnsi="宋体" w:cs="宋体"/>
          <w:color w:val="auto"/>
          <w:sz w:val="24"/>
          <w:szCs w:val="24"/>
        </w:rPr>
        <w:fldChar w:fldCharType="end"/>
      </w:r>
    </w:p>
    <w:p>
      <w:pPr>
        <w:pStyle w:val="19"/>
        <w:numPr>
          <w:ilvl w:val="0"/>
          <w:numId w:val="8"/>
        </w:numPr>
        <w:adjustRightInd w:val="0"/>
        <w:spacing w:line="360" w:lineRule="auto"/>
        <w:ind w:left="839" w:firstLine="105" w:firstLineChars="50"/>
        <w:rPr>
          <w:rFonts w:hint="eastAsia" w:hAnsi="宋体" w:cs="宋体"/>
          <w:color w:val="auto"/>
          <w:sz w:val="24"/>
          <w:szCs w:val="24"/>
        </w:rPr>
      </w:pPr>
      <w:r>
        <w:rPr>
          <w:rFonts w:hint="eastAsia" w:hAnsi="宋体" w:cs="宋体"/>
          <w:color w:val="auto"/>
        </w:rPr>
        <w:fldChar w:fldCharType="begin"/>
      </w:r>
      <w:r>
        <w:rPr>
          <w:rFonts w:hint="eastAsia" w:hAnsi="宋体" w:cs="宋体"/>
          <w:color w:val="auto"/>
        </w:rPr>
        <w:instrText xml:space="preserve"> HYPERLINK \l "_Toc29638" </w:instrText>
      </w:r>
      <w:r>
        <w:rPr>
          <w:rFonts w:hint="eastAsia" w:hAnsi="宋体" w:cs="宋体"/>
          <w:color w:val="auto"/>
        </w:rPr>
        <w:fldChar w:fldCharType="separate"/>
      </w:r>
      <w:r>
        <w:rPr>
          <w:rFonts w:hint="eastAsia" w:hAnsi="宋体" w:cs="宋体"/>
          <w:color w:val="auto"/>
          <w:sz w:val="24"/>
          <w:szCs w:val="24"/>
        </w:rPr>
        <w:t>第六章 投标文件格式/</w:t>
      </w:r>
      <w:r>
        <w:rPr>
          <w:rFonts w:hint="eastAsia" w:hAnsi="宋体" w:cs="宋体"/>
          <w:color w:val="auto"/>
          <w:sz w:val="24"/>
          <w:szCs w:val="24"/>
        </w:rPr>
        <w:fldChar w:fldCharType="end"/>
      </w:r>
      <w:r>
        <w:rPr>
          <w:rFonts w:hint="eastAsia" w:hAnsi="宋体" w:cs="宋体"/>
          <w:color w:val="auto"/>
          <w:sz w:val="24"/>
          <w:szCs w:val="24"/>
        </w:rPr>
        <w:t>应提交的有关格式范例</w:t>
      </w:r>
    </w:p>
    <w:p>
      <w:pPr>
        <w:ind w:firstLine="480"/>
        <w:rPr>
          <w:rFonts w:hint="eastAsia" w:cs="宋体"/>
          <w:color w:val="auto"/>
        </w:rPr>
      </w:pPr>
      <w:r>
        <w:rPr>
          <w:rFonts w:hint="eastAsia" w:cs="宋体"/>
          <w:color w:val="auto"/>
        </w:rPr>
        <w:t>2.与本项目有关的</w:t>
      </w:r>
      <w:r>
        <w:rPr>
          <w:rFonts w:hint="eastAsia" w:cs="宋体"/>
          <w:bCs/>
          <w:color w:val="auto"/>
        </w:rPr>
        <w:t>澄清或者修改的内容为招标文件的组成部分</w:t>
      </w:r>
      <w:r>
        <w:rPr>
          <w:rFonts w:hint="eastAsia" w:cs="宋体"/>
          <w:color w:val="auto"/>
        </w:rPr>
        <w:t>。</w:t>
      </w:r>
    </w:p>
    <w:p>
      <w:pPr>
        <w:pStyle w:val="6"/>
        <w:rPr>
          <w:rFonts w:hint="eastAsia" w:ascii="宋体" w:hAnsi="宋体" w:cs="宋体"/>
          <w:color w:val="auto"/>
        </w:rPr>
      </w:pPr>
      <w:r>
        <w:rPr>
          <w:rFonts w:hint="eastAsia" w:ascii="宋体" w:hAnsi="宋体" w:cs="宋体"/>
          <w:color w:val="auto"/>
        </w:rPr>
        <w:t>二、招标文件的澄清、修改</w:t>
      </w:r>
    </w:p>
    <w:p>
      <w:pPr>
        <w:pStyle w:val="142"/>
        <w:snapToGrid w:val="0"/>
        <w:spacing w:before="0"/>
        <w:ind w:firstLine="480"/>
        <w:rPr>
          <w:rFonts w:hint="eastAsia" w:ascii="宋体" w:hAnsi="宋体" w:cs="宋体"/>
          <w:color w:val="auto"/>
        </w:rPr>
      </w:pPr>
      <w:r>
        <w:rPr>
          <w:rFonts w:hint="eastAsia" w:ascii="宋体" w:hAnsi="宋体" w:cs="宋体"/>
          <w:color w:val="auto"/>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42"/>
        <w:snapToGrid w:val="0"/>
        <w:spacing w:before="0"/>
        <w:ind w:firstLine="480"/>
        <w:rPr>
          <w:rFonts w:hint="eastAsia" w:ascii="宋体" w:hAnsi="宋体" w:cs="宋体"/>
          <w:color w:val="auto"/>
        </w:rPr>
      </w:pPr>
      <w:r>
        <w:rPr>
          <w:rFonts w:hint="eastAsia" w:ascii="宋体" w:hAnsi="宋体" w:cs="宋体"/>
          <w:color w:val="auto"/>
        </w:rPr>
        <w:t>2.采购人或者采购代理机构可以对已发出的招标文件进行必要的澄清或者修改，澄清或者修改会在原公告发布媒体上发布澄清公告，澄清或者修改的内容为招标文件的组成部分。</w:t>
      </w:r>
    </w:p>
    <w:p>
      <w:pPr>
        <w:pStyle w:val="142"/>
        <w:snapToGrid w:val="0"/>
        <w:spacing w:before="0"/>
        <w:ind w:firstLine="480"/>
        <w:rPr>
          <w:rFonts w:hint="eastAsia" w:ascii="宋体" w:hAnsi="宋体" w:cs="宋体"/>
          <w:color w:val="auto"/>
        </w:rPr>
      </w:pPr>
      <w:r>
        <w:rPr>
          <w:rFonts w:hint="eastAsia" w:ascii="宋体" w:hAnsi="宋体" w:cs="宋体"/>
          <w:color w:val="auto"/>
        </w:rPr>
        <w:t>澄清或者修改的内容可能影响投标文件编制的，采购人或者采购代理机构会在投标截止时间至少15日前，以公告形式通知所有获取招标文件的潜在投标人；不足15日的，采购人或者采购代理机构会顺延提交投标文件的截止时间。</w:t>
      </w:r>
    </w:p>
    <w:p>
      <w:pPr>
        <w:pStyle w:val="142"/>
        <w:snapToGrid w:val="0"/>
        <w:spacing w:before="0"/>
        <w:ind w:firstLine="480"/>
        <w:rPr>
          <w:rFonts w:hint="eastAsia" w:ascii="宋体" w:hAnsi="宋体" w:cs="宋体"/>
          <w:color w:val="auto"/>
        </w:rPr>
      </w:pPr>
      <w:r>
        <w:rPr>
          <w:rFonts w:hint="eastAsia" w:ascii="宋体" w:hAnsi="宋体" w:cs="宋体"/>
          <w:color w:val="auto"/>
        </w:rPr>
        <w:t>3.招标文件的修改将以公告形式通知所有购买招标文件的投标人，并对其具有约束力。潜在投标人须关注采购信息发布媒体的有关公告，以便及时获取招标采购项目的最新信息与项目动态，及时有效地做出响应。</w:t>
      </w:r>
    </w:p>
    <w:p>
      <w:pPr>
        <w:ind w:firstLine="480"/>
        <w:rPr>
          <w:rFonts w:hint="eastAsia" w:cs="宋体"/>
          <w:b/>
          <w:color w:val="auto"/>
          <w:szCs w:val="21"/>
        </w:rPr>
      </w:pPr>
      <w:r>
        <w:rPr>
          <w:rFonts w:hint="eastAsia" w:cs="宋体"/>
          <w:bCs/>
          <w:color w:val="auto"/>
          <w:kern w:val="0"/>
          <w:szCs w:val="21"/>
        </w:rPr>
        <w:t>★</w:t>
      </w:r>
      <w:r>
        <w:rPr>
          <w:rFonts w:hint="eastAsia" w:cs="宋体"/>
          <w:b/>
          <w:color w:val="auto"/>
          <w:szCs w:val="21"/>
        </w:rPr>
        <w:t>投标文件未按招标文件的澄清、修改的内容编制，又不符合实质性要求的，投标无效。</w:t>
      </w:r>
    </w:p>
    <w:p>
      <w:pPr>
        <w:pStyle w:val="175"/>
        <w:rPr>
          <w:rFonts w:hint="eastAsia" w:ascii="宋体" w:hAnsi="宋体" w:eastAsia="宋体" w:cs="宋体"/>
          <w:color w:val="auto"/>
        </w:rPr>
      </w:pPr>
    </w:p>
    <w:p>
      <w:pPr>
        <w:pStyle w:val="5"/>
        <w:jc w:val="center"/>
        <w:rPr>
          <w:rFonts w:hint="eastAsia" w:ascii="宋体" w:hAnsi="宋体" w:cs="宋体"/>
          <w:color w:val="auto"/>
        </w:rPr>
      </w:pPr>
      <w:bookmarkStart w:id="72" w:name="_Toc1096"/>
      <w:bookmarkStart w:id="73" w:name="_Toc82873324"/>
      <w:bookmarkStart w:id="74" w:name="_Toc82338241"/>
      <w:bookmarkStart w:id="75" w:name="_Toc10617"/>
      <w:bookmarkStart w:id="76" w:name="_Toc450840075"/>
      <w:bookmarkStart w:id="77" w:name="_Toc204"/>
      <w:r>
        <w:rPr>
          <w:rFonts w:hint="eastAsia" w:ascii="宋体" w:hAnsi="宋体" w:cs="宋体"/>
          <w:color w:val="auto"/>
        </w:rPr>
        <w:t>第三节 投标文件</w:t>
      </w:r>
      <w:bookmarkEnd w:id="72"/>
      <w:bookmarkEnd w:id="73"/>
      <w:bookmarkEnd w:id="74"/>
      <w:bookmarkEnd w:id="75"/>
      <w:bookmarkEnd w:id="76"/>
      <w:bookmarkEnd w:id="77"/>
    </w:p>
    <w:p>
      <w:pPr>
        <w:pStyle w:val="6"/>
        <w:rPr>
          <w:rFonts w:hint="eastAsia" w:ascii="宋体" w:hAnsi="宋体" w:cs="宋体"/>
          <w:color w:val="auto"/>
        </w:rPr>
      </w:pPr>
      <w:r>
        <w:rPr>
          <w:rFonts w:hint="eastAsia" w:ascii="宋体" w:hAnsi="宋体" w:cs="宋体"/>
          <w:color w:val="auto"/>
        </w:rPr>
        <w:t>一、投标文件语言和计量单位</w:t>
      </w:r>
    </w:p>
    <w:p>
      <w:pPr>
        <w:ind w:firstLine="480"/>
        <w:rPr>
          <w:rFonts w:hint="eastAsia" w:cs="宋体"/>
          <w:color w:val="auto"/>
        </w:rPr>
      </w:pPr>
      <w:r>
        <w:rPr>
          <w:rFonts w:hint="eastAsia" w:cs="宋体"/>
          <w:color w:val="auto"/>
        </w:rPr>
        <w:t>1.投标文件应用中文书写。投标文件中所附或所引用的原件不是中文时，应附中文译本。</w:t>
      </w:r>
    </w:p>
    <w:p>
      <w:pPr>
        <w:ind w:firstLine="480"/>
        <w:rPr>
          <w:rFonts w:hint="eastAsia" w:cs="宋体"/>
          <w:color w:val="auto"/>
        </w:rPr>
      </w:pPr>
      <w:r>
        <w:rPr>
          <w:rFonts w:hint="eastAsia" w:cs="宋体"/>
          <w:color w:val="auto"/>
        </w:rPr>
        <w:t>2.投标文件中所使用的计量单位，除招标文件中有特殊要求外，应采用国家法定计量单位。</w:t>
      </w:r>
    </w:p>
    <w:p>
      <w:pPr>
        <w:pStyle w:val="6"/>
        <w:rPr>
          <w:rFonts w:hint="eastAsia" w:ascii="宋体" w:hAnsi="宋体" w:cs="宋体"/>
          <w:color w:val="auto"/>
        </w:rPr>
      </w:pPr>
      <w:r>
        <w:rPr>
          <w:rFonts w:hint="eastAsia" w:ascii="宋体" w:hAnsi="宋体" w:cs="宋体"/>
          <w:color w:val="auto"/>
        </w:rPr>
        <w:t>二、投标文件的组成 ：</w:t>
      </w:r>
    </w:p>
    <w:p>
      <w:pPr>
        <w:pStyle w:val="6"/>
        <w:rPr>
          <w:rFonts w:hint="eastAsia" w:ascii="宋体" w:hAnsi="宋体" w:cs="宋体"/>
          <w:color w:val="auto"/>
          <w:szCs w:val="24"/>
        </w:rPr>
      </w:pPr>
      <w:r>
        <w:rPr>
          <w:rFonts w:hint="eastAsia" w:ascii="宋体" w:hAnsi="宋体" w:cs="宋体"/>
          <w:color w:val="auto"/>
          <w:szCs w:val="24"/>
        </w:rPr>
        <w:t>（一）报价文件部分,包含但不限于以下内容：</w:t>
      </w:r>
    </w:p>
    <w:p>
      <w:pPr>
        <w:pStyle w:val="162"/>
        <w:numPr>
          <w:ilvl w:val="0"/>
          <w:numId w:val="9"/>
        </w:numPr>
        <w:snapToGrid w:val="0"/>
        <w:spacing w:line="360" w:lineRule="auto"/>
        <w:ind w:firstLine="480"/>
        <w:rPr>
          <w:rFonts w:hint="eastAsia" w:ascii="宋体" w:hAnsi="宋体" w:cs="宋体"/>
          <w:color w:val="auto"/>
          <w:sz w:val="24"/>
        </w:rPr>
      </w:pPr>
      <w:bookmarkStart w:id="78" w:name="_Toc7931"/>
      <w:bookmarkStart w:id="79" w:name="_Toc19462"/>
      <w:r>
        <w:rPr>
          <w:rFonts w:hint="eastAsia" w:ascii="宋体" w:hAnsi="宋体" w:cs="宋体"/>
          <w:color w:val="auto"/>
          <w:sz w:val="24"/>
        </w:rPr>
        <w:t>投标函（格式附后）；</w:t>
      </w:r>
      <w:bookmarkEnd w:id="78"/>
      <w:bookmarkEnd w:id="79"/>
    </w:p>
    <w:p>
      <w:pPr>
        <w:pStyle w:val="162"/>
        <w:numPr>
          <w:ilvl w:val="0"/>
          <w:numId w:val="9"/>
        </w:numPr>
        <w:snapToGrid w:val="0"/>
        <w:spacing w:line="360" w:lineRule="auto"/>
        <w:ind w:firstLine="480"/>
        <w:rPr>
          <w:rFonts w:hint="eastAsia" w:ascii="宋体" w:hAnsi="宋体" w:cs="宋体"/>
          <w:color w:val="auto"/>
          <w:sz w:val="24"/>
        </w:rPr>
      </w:pPr>
      <w:bookmarkStart w:id="80" w:name="_Toc2057"/>
      <w:bookmarkStart w:id="81" w:name="_Toc22348"/>
      <w:r>
        <w:rPr>
          <w:rFonts w:hint="eastAsia" w:ascii="宋体" w:hAnsi="宋体" w:cs="宋体"/>
          <w:color w:val="auto"/>
          <w:sz w:val="24"/>
        </w:rPr>
        <w:t>开标一览表（格式附后）；</w:t>
      </w:r>
      <w:bookmarkEnd w:id="80"/>
      <w:bookmarkEnd w:id="81"/>
    </w:p>
    <w:p>
      <w:pPr>
        <w:pStyle w:val="162"/>
        <w:numPr>
          <w:ilvl w:val="0"/>
          <w:numId w:val="9"/>
        </w:numPr>
        <w:snapToGrid w:val="0"/>
        <w:spacing w:line="360" w:lineRule="auto"/>
        <w:ind w:firstLine="480"/>
        <w:rPr>
          <w:rFonts w:hint="eastAsia" w:ascii="宋体" w:hAnsi="宋体" w:cs="宋体"/>
          <w:color w:val="auto"/>
          <w:sz w:val="24"/>
        </w:rPr>
      </w:pPr>
      <w:bookmarkStart w:id="82" w:name="_Toc1673"/>
      <w:r>
        <w:rPr>
          <w:rFonts w:hint="eastAsia" w:ascii="宋体" w:hAnsi="宋体" w:cs="宋体"/>
          <w:color w:val="auto"/>
          <w:sz w:val="24"/>
        </w:rPr>
        <w:t>投标分项报价表（格式附后）；</w:t>
      </w:r>
      <w:bookmarkEnd w:id="82"/>
    </w:p>
    <w:p>
      <w:pPr>
        <w:pStyle w:val="162"/>
        <w:numPr>
          <w:ilvl w:val="0"/>
          <w:numId w:val="9"/>
        </w:numPr>
        <w:snapToGrid w:val="0"/>
        <w:spacing w:line="360" w:lineRule="auto"/>
        <w:ind w:firstLine="480"/>
        <w:rPr>
          <w:rFonts w:hint="eastAsia" w:ascii="宋体" w:hAnsi="宋体" w:cs="宋体"/>
          <w:color w:val="auto"/>
          <w:sz w:val="24"/>
        </w:rPr>
      </w:pPr>
      <w:bookmarkStart w:id="83" w:name="_Toc11956"/>
      <w:bookmarkStart w:id="84" w:name="_Toc7861"/>
      <w:r>
        <w:rPr>
          <w:rFonts w:hint="eastAsia" w:ascii="宋体" w:hAnsi="宋体" w:cs="宋体"/>
          <w:color w:val="auto"/>
          <w:sz w:val="24"/>
        </w:rPr>
        <w:t>中小企业声明函（格式附后）；</w:t>
      </w:r>
      <w:bookmarkEnd w:id="83"/>
      <w:bookmarkEnd w:id="84"/>
    </w:p>
    <w:p>
      <w:pPr>
        <w:pStyle w:val="162"/>
        <w:numPr>
          <w:ilvl w:val="0"/>
          <w:numId w:val="9"/>
        </w:numPr>
        <w:snapToGrid w:val="0"/>
        <w:spacing w:line="360" w:lineRule="auto"/>
        <w:ind w:firstLine="480"/>
        <w:rPr>
          <w:rFonts w:hint="eastAsia" w:ascii="宋体" w:hAnsi="宋体" w:cs="宋体"/>
          <w:color w:val="auto"/>
          <w:sz w:val="24"/>
        </w:rPr>
      </w:pPr>
      <w:bookmarkStart w:id="85" w:name="_Toc4797"/>
      <w:bookmarkStart w:id="86" w:name="_Toc31456"/>
      <w:r>
        <w:rPr>
          <w:rFonts w:hint="eastAsia" w:ascii="宋体" w:hAnsi="宋体" w:cs="宋体"/>
          <w:color w:val="auto"/>
          <w:sz w:val="24"/>
        </w:rPr>
        <w:t>残疾人福利性单位声明函（如有需提供）（格式附后）；</w:t>
      </w:r>
      <w:bookmarkEnd w:id="85"/>
      <w:bookmarkEnd w:id="86"/>
    </w:p>
    <w:p>
      <w:pPr>
        <w:pStyle w:val="162"/>
        <w:numPr>
          <w:ilvl w:val="0"/>
          <w:numId w:val="9"/>
        </w:numPr>
        <w:snapToGrid w:val="0"/>
        <w:spacing w:line="360" w:lineRule="auto"/>
        <w:ind w:firstLine="480"/>
        <w:rPr>
          <w:rFonts w:hint="eastAsia" w:ascii="宋体" w:hAnsi="宋体" w:cs="宋体"/>
          <w:color w:val="auto"/>
          <w:sz w:val="24"/>
        </w:rPr>
      </w:pPr>
      <w:bookmarkStart w:id="87" w:name="_Toc5746"/>
      <w:bookmarkStart w:id="88" w:name="_Toc6461"/>
      <w:r>
        <w:rPr>
          <w:rFonts w:hint="eastAsia" w:ascii="宋体" w:hAnsi="宋体" w:cs="宋体"/>
          <w:color w:val="auto"/>
          <w:sz w:val="24"/>
        </w:rPr>
        <w:t>投标人针对报价需要说明的其他文件和说明。</w:t>
      </w:r>
      <w:bookmarkEnd w:id="87"/>
      <w:bookmarkEnd w:id="88"/>
    </w:p>
    <w:p>
      <w:pPr>
        <w:pStyle w:val="6"/>
        <w:rPr>
          <w:rFonts w:hint="eastAsia" w:ascii="宋体" w:hAnsi="宋体" w:cs="宋体"/>
          <w:color w:val="auto"/>
          <w:szCs w:val="24"/>
        </w:rPr>
      </w:pPr>
      <w:r>
        <w:rPr>
          <w:rFonts w:hint="eastAsia" w:ascii="宋体" w:hAnsi="宋体" w:cs="宋体"/>
          <w:color w:val="auto"/>
          <w:szCs w:val="24"/>
        </w:rPr>
        <w:t>（二）商务技术文件部分，包含但不限于以下内容：</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打分索引表；</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营业执照副本复印件（加盖投标人公章）</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法定代表人身份证明（格式附后）及法定代表人身份证正反面复印件（加盖投标人公章）；</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法定代表人授权委托书（格式附后）、其授权代表身份证正反面复印件及近三个月缴纳社保证明（均加盖投标人公章）；</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技术规范偏离表（格式附后）；</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商务条款偏离表（格式附后）；</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服务管理整体设想及策划；</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设备装备计划；</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制度和档案的建立与管理；</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项目的服务与管理；</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突发事件应急处理措施；</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服务管理承诺</w:t>
      </w:r>
      <w:r>
        <w:rPr>
          <w:rFonts w:hint="eastAsia" w:ascii="宋体" w:hAnsi="宋体" w:cs="宋体"/>
          <w:color w:val="auto"/>
          <w:sz w:val="24"/>
          <w:lang w:eastAsia="zh-CN"/>
        </w:rPr>
        <w:t>；</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人员管理</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人员</w:t>
      </w:r>
      <w:r>
        <w:rPr>
          <w:rFonts w:hint="eastAsia" w:ascii="宋体" w:hAnsi="宋体" w:cs="宋体"/>
          <w:color w:val="auto"/>
          <w:sz w:val="24"/>
          <w:lang w:eastAsia="zh-CN"/>
        </w:rPr>
        <w:t>配备</w:t>
      </w:r>
      <w:r>
        <w:rPr>
          <w:rFonts w:hint="eastAsia" w:ascii="宋体" w:hAnsi="宋体" w:cs="宋体"/>
          <w:color w:val="auto"/>
          <w:sz w:val="24"/>
        </w:rPr>
        <w:t>一览表（格式附后）；</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体系认证</w:t>
      </w:r>
      <w:r>
        <w:rPr>
          <w:rFonts w:hint="eastAsia" w:ascii="宋体" w:hAnsi="宋体" w:cs="宋体"/>
          <w:color w:val="auto"/>
          <w:sz w:val="24"/>
          <w:lang w:eastAsia="zh-CN"/>
        </w:rPr>
        <w:t>；</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完成的类似项目一览表（格式附后，附合同复印件）；</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投标人一般情况（格式附后）；</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政府采购政策分；</w:t>
      </w:r>
    </w:p>
    <w:p>
      <w:pPr>
        <w:pStyle w:val="162"/>
        <w:numPr>
          <w:ilvl w:val="0"/>
          <w:numId w:val="10"/>
        </w:numPr>
        <w:snapToGrid w:val="0"/>
        <w:spacing w:line="360" w:lineRule="auto"/>
        <w:ind w:firstLine="480"/>
        <w:rPr>
          <w:rFonts w:hint="eastAsia" w:ascii="宋体" w:hAnsi="宋体" w:cs="宋体"/>
          <w:color w:val="auto"/>
          <w:sz w:val="24"/>
        </w:rPr>
      </w:pPr>
      <w:r>
        <w:rPr>
          <w:rFonts w:hint="eastAsia" w:ascii="宋体" w:hAnsi="宋体" w:cs="宋体"/>
          <w:color w:val="auto"/>
          <w:sz w:val="24"/>
        </w:rPr>
        <w:t>第四部分“评分标准（兼评委打分表）”中要求提供的资料。</w:t>
      </w:r>
    </w:p>
    <w:p>
      <w:pPr>
        <w:pStyle w:val="6"/>
        <w:rPr>
          <w:rFonts w:hint="eastAsia" w:ascii="宋体" w:hAnsi="宋体" w:cs="宋体"/>
          <w:color w:val="auto"/>
          <w:szCs w:val="24"/>
        </w:rPr>
      </w:pPr>
      <w:r>
        <w:rPr>
          <w:rFonts w:hint="eastAsia" w:ascii="宋体" w:hAnsi="宋体" w:cs="宋体"/>
          <w:color w:val="auto"/>
          <w:szCs w:val="24"/>
        </w:rPr>
        <w:t>（三）资格审查文件部分，包含但不限于以下内容：</w:t>
      </w:r>
    </w:p>
    <w:p>
      <w:pPr>
        <w:pStyle w:val="162"/>
        <w:numPr>
          <w:ilvl w:val="0"/>
          <w:numId w:val="11"/>
        </w:numPr>
        <w:snapToGrid w:val="0"/>
        <w:spacing w:line="360" w:lineRule="auto"/>
        <w:ind w:firstLine="480"/>
        <w:rPr>
          <w:rFonts w:hint="eastAsia" w:ascii="宋体" w:hAnsi="宋体" w:cs="宋体"/>
          <w:color w:val="auto"/>
          <w:sz w:val="24"/>
        </w:rPr>
      </w:pPr>
      <w:r>
        <w:rPr>
          <w:rFonts w:hint="eastAsia" w:ascii="宋体" w:hAnsi="宋体" w:cs="宋体"/>
          <w:color w:val="auto"/>
          <w:sz w:val="24"/>
        </w:rPr>
        <w:t>营业执照副本复印件（加盖投标人公章）</w:t>
      </w:r>
    </w:p>
    <w:p>
      <w:pPr>
        <w:pStyle w:val="162"/>
        <w:numPr>
          <w:ilvl w:val="0"/>
          <w:numId w:val="11"/>
        </w:numPr>
        <w:snapToGrid w:val="0"/>
        <w:spacing w:line="360" w:lineRule="auto"/>
        <w:ind w:firstLine="480"/>
        <w:rPr>
          <w:rFonts w:hint="eastAsia" w:ascii="宋体" w:hAnsi="宋体" w:cs="宋体"/>
          <w:color w:val="auto"/>
          <w:sz w:val="24"/>
        </w:rPr>
      </w:pPr>
      <w:r>
        <w:rPr>
          <w:rFonts w:hint="eastAsia" w:ascii="宋体" w:hAnsi="宋体" w:cs="宋体"/>
          <w:color w:val="auto"/>
          <w:sz w:val="24"/>
        </w:rPr>
        <w:t>2020年度财务会计报表复印件加盖投标人公章（投标人注册成立不足一年的，应提供投标人单位成立至今的财务会计报表复印件加盖投标人公章）；</w:t>
      </w:r>
    </w:p>
    <w:p>
      <w:pPr>
        <w:pStyle w:val="162"/>
        <w:numPr>
          <w:ilvl w:val="0"/>
          <w:numId w:val="11"/>
        </w:numPr>
        <w:snapToGrid w:val="0"/>
        <w:spacing w:line="360" w:lineRule="auto"/>
        <w:ind w:firstLine="480"/>
        <w:rPr>
          <w:rFonts w:hint="eastAsia" w:ascii="宋体" w:hAnsi="宋体" w:cs="宋体"/>
          <w:color w:val="auto"/>
          <w:sz w:val="24"/>
        </w:rPr>
      </w:pPr>
      <w:r>
        <w:rPr>
          <w:rFonts w:hint="eastAsia" w:ascii="宋体" w:hAnsi="宋体" w:cs="宋体"/>
          <w:color w:val="auto"/>
          <w:sz w:val="24"/>
        </w:rPr>
        <w:t>近六个月任意一月缴纳社保的证明资料复印件加盖投标人公章；</w:t>
      </w:r>
    </w:p>
    <w:p>
      <w:pPr>
        <w:pStyle w:val="162"/>
        <w:numPr>
          <w:ilvl w:val="0"/>
          <w:numId w:val="11"/>
        </w:numPr>
        <w:snapToGrid w:val="0"/>
        <w:spacing w:line="360" w:lineRule="auto"/>
        <w:ind w:firstLine="480"/>
        <w:rPr>
          <w:rFonts w:hint="eastAsia" w:ascii="宋体" w:hAnsi="宋体" w:cs="宋体"/>
          <w:color w:val="auto"/>
          <w:sz w:val="24"/>
        </w:rPr>
      </w:pPr>
      <w:r>
        <w:rPr>
          <w:rFonts w:hint="eastAsia" w:ascii="宋体" w:hAnsi="宋体" w:cs="宋体"/>
          <w:color w:val="auto"/>
          <w:sz w:val="24"/>
        </w:rPr>
        <w:t>近六个月任意一月缴纳税收的证明资料复印件加盖投标人公章；</w:t>
      </w:r>
    </w:p>
    <w:p>
      <w:pPr>
        <w:pStyle w:val="162"/>
        <w:numPr>
          <w:ilvl w:val="0"/>
          <w:numId w:val="11"/>
        </w:numPr>
        <w:snapToGrid w:val="0"/>
        <w:spacing w:line="360" w:lineRule="auto"/>
        <w:ind w:firstLine="480"/>
        <w:rPr>
          <w:rFonts w:hint="eastAsia" w:ascii="宋体" w:hAnsi="宋体" w:cs="宋体"/>
          <w:color w:val="auto"/>
          <w:sz w:val="24"/>
        </w:rPr>
      </w:pPr>
      <w:r>
        <w:rPr>
          <w:rFonts w:hint="eastAsia" w:ascii="宋体" w:hAnsi="宋体" w:cs="宋体"/>
          <w:color w:val="auto"/>
          <w:sz w:val="24"/>
        </w:rPr>
        <w:t>关于资格的声明函（格式附后）；</w:t>
      </w:r>
    </w:p>
    <w:p>
      <w:pPr>
        <w:pStyle w:val="162"/>
        <w:numPr>
          <w:ilvl w:val="0"/>
          <w:numId w:val="11"/>
        </w:numPr>
        <w:snapToGrid w:val="0"/>
        <w:spacing w:line="360" w:lineRule="auto"/>
        <w:ind w:firstLine="480"/>
        <w:rPr>
          <w:rFonts w:hint="eastAsia" w:ascii="宋体" w:hAnsi="宋体" w:cs="宋体"/>
          <w:color w:val="auto"/>
          <w:sz w:val="24"/>
        </w:rPr>
      </w:pPr>
      <w:r>
        <w:rPr>
          <w:rFonts w:hint="eastAsia" w:ascii="宋体" w:hAnsi="宋体" w:cs="宋体"/>
          <w:color w:val="auto"/>
          <w:sz w:val="24"/>
        </w:rPr>
        <w:t>无重大违法记录声明函（格式附后）；</w:t>
      </w:r>
    </w:p>
    <w:p>
      <w:pPr>
        <w:pStyle w:val="162"/>
        <w:numPr>
          <w:ilvl w:val="0"/>
          <w:numId w:val="11"/>
        </w:numPr>
        <w:snapToGrid w:val="0"/>
        <w:spacing w:line="360" w:lineRule="auto"/>
        <w:ind w:firstLine="480"/>
        <w:rPr>
          <w:rFonts w:hint="eastAsia" w:ascii="宋体" w:hAnsi="宋体" w:cs="宋体"/>
          <w:color w:val="auto"/>
          <w:sz w:val="24"/>
        </w:rPr>
      </w:pPr>
      <w:r>
        <w:rPr>
          <w:rFonts w:hint="eastAsia" w:ascii="宋体" w:hAnsi="宋体" w:cs="宋体"/>
          <w:color w:val="auto"/>
          <w:sz w:val="24"/>
        </w:rPr>
        <w:t>具有履行合同所必需的设备和专业技术能力的书面声明（格式附后）；</w:t>
      </w:r>
    </w:p>
    <w:p>
      <w:pPr>
        <w:pStyle w:val="162"/>
        <w:snapToGrid w:val="0"/>
        <w:spacing w:line="360" w:lineRule="auto"/>
        <w:ind w:firstLine="480"/>
        <w:rPr>
          <w:rFonts w:hint="eastAsia" w:ascii="宋体" w:hAnsi="宋体" w:cs="宋体"/>
          <w:color w:val="auto"/>
          <w:sz w:val="24"/>
        </w:rPr>
      </w:pPr>
      <w:r>
        <w:rPr>
          <w:rFonts w:hint="eastAsia" w:ascii="宋体" w:hAnsi="宋体" w:cs="宋体"/>
          <w:color w:val="auto"/>
          <w:sz w:val="24"/>
        </w:rPr>
        <w:t>注：上述组成投标文件的各项资料中本招标文件的有规定格式的，应统一按本招标文件的规定格式填写。未有规定格式的资料，投标人应自行编制，但至少要包含以上要求的内容。</w:t>
      </w:r>
    </w:p>
    <w:p>
      <w:pPr>
        <w:pStyle w:val="175"/>
        <w:rPr>
          <w:rFonts w:hint="eastAsia" w:ascii="宋体" w:hAnsi="宋体" w:eastAsia="宋体" w:cs="宋体"/>
          <w:color w:val="auto"/>
        </w:rPr>
      </w:pPr>
    </w:p>
    <w:p>
      <w:pPr>
        <w:pStyle w:val="137"/>
        <w:numPr>
          <w:ilvl w:val="0"/>
          <w:numId w:val="12"/>
        </w:numPr>
        <w:ind w:left="0"/>
        <w:outlineLvl w:val="2"/>
        <w:rPr>
          <w:rFonts w:hint="eastAsia" w:ascii="宋体" w:hAnsi="宋体" w:cs="宋体"/>
          <w:b/>
          <w:bCs/>
          <w:color w:val="auto"/>
          <w:sz w:val="24"/>
          <w:szCs w:val="24"/>
        </w:rPr>
      </w:pPr>
      <w:r>
        <w:rPr>
          <w:rFonts w:hint="eastAsia" w:ascii="宋体" w:hAnsi="宋体" w:cs="宋体"/>
          <w:b/>
          <w:bCs/>
          <w:color w:val="auto"/>
          <w:sz w:val="24"/>
          <w:szCs w:val="24"/>
        </w:rPr>
        <w:t>投标文件编制：</w:t>
      </w:r>
    </w:p>
    <w:p>
      <w:pPr>
        <w:pStyle w:val="162"/>
        <w:snapToGrid w:val="0"/>
        <w:spacing w:line="360" w:lineRule="auto"/>
        <w:ind w:firstLine="480"/>
        <w:rPr>
          <w:rFonts w:hint="eastAsia" w:ascii="宋体" w:hAnsi="宋体" w:cs="宋体"/>
          <w:color w:val="auto"/>
          <w:sz w:val="24"/>
        </w:rPr>
      </w:pPr>
      <w:r>
        <w:rPr>
          <w:rFonts w:hint="eastAsia" w:ascii="宋体" w:hAnsi="宋体" w:cs="宋体"/>
          <w:color w:val="auto"/>
          <w:sz w:val="24"/>
        </w:rPr>
        <w:t>本项目实行网上投标。</w:t>
      </w:r>
    </w:p>
    <w:p>
      <w:pPr>
        <w:pStyle w:val="162"/>
        <w:snapToGrid w:val="0"/>
        <w:spacing w:line="360" w:lineRule="auto"/>
        <w:ind w:firstLine="480"/>
        <w:rPr>
          <w:rFonts w:hint="eastAsia" w:ascii="宋体" w:hAnsi="宋体" w:cs="宋体"/>
          <w:color w:val="auto"/>
          <w:sz w:val="24"/>
        </w:rPr>
      </w:pPr>
      <w:r>
        <w:rPr>
          <w:rFonts w:hint="eastAsia" w:ascii="宋体" w:hAnsi="宋体" w:cs="宋体"/>
          <w:color w:val="auto"/>
          <w:sz w:val="24"/>
        </w:rPr>
        <w:t>1.供应商应准备两种形式的投标文件：电子加密投标文件、以介质存储的数据电文形式的备份投标文件。</w:t>
      </w:r>
    </w:p>
    <w:p>
      <w:pPr>
        <w:pStyle w:val="162"/>
        <w:snapToGrid w:val="0"/>
        <w:spacing w:line="360" w:lineRule="auto"/>
        <w:ind w:firstLine="480"/>
        <w:rPr>
          <w:rFonts w:hint="eastAsia" w:ascii="宋体" w:hAnsi="宋体" w:cs="宋体"/>
          <w:color w:val="auto"/>
          <w:sz w:val="24"/>
        </w:rPr>
      </w:pPr>
      <w:r>
        <w:rPr>
          <w:rFonts w:hint="eastAsia" w:ascii="宋体" w:hAnsi="宋体" w:cs="宋体"/>
          <w:color w:val="auto"/>
          <w:sz w:val="24"/>
        </w:rPr>
        <w:t>2.投标文件均由资格审查文件、报价文件、商务技术文件组成。</w:t>
      </w:r>
    </w:p>
    <w:p>
      <w:pPr>
        <w:pStyle w:val="162"/>
        <w:snapToGrid w:val="0"/>
        <w:spacing w:line="360" w:lineRule="auto"/>
        <w:ind w:firstLine="480"/>
        <w:rPr>
          <w:rFonts w:hint="eastAsia" w:ascii="宋体" w:hAnsi="宋体" w:cs="宋体"/>
          <w:color w:val="auto"/>
          <w:sz w:val="24"/>
        </w:rPr>
      </w:pPr>
      <w:r>
        <w:rPr>
          <w:rFonts w:hint="eastAsia" w:ascii="宋体" w:hAnsi="宋体" w:cs="宋体"/>
          <w:color w:val="auto"/>
          <w:sz w:val="24"/>
        </w:rPr>
        <w:t>（1）“电子加密投标文件”是指通过“政采云电子交易客户端”完成投标文件编制后生成并加密的数据电文形式的投标文件（后缀格式为.jmbs）</w:t>
      </w:r>
    </w:p>
    <w:p>
      <w:pPr>
        <w:pStyle w:val="162"/>
        <w:snapToGrid w:val="0"/>
        <w:spacing w:line="360" w:lineRule="auto"/>
        <w:ind w:firstLine="480"/>
        <w:rPr>
          <w:rFonts w:hint="eastAsia" w:ascii="宋体" w:hAnsi="宋体" w:cs="宋体"/>
          <w:color w:val="auto"/>
        </w:rPr>
      </w:pPr>
      <w:r>
        <w:rPr>
          <w:rFonts w:hint="eastAsia" w:ascii="宋体" w:hAnsi="宋体" w:cs="宋体"/>
          <w:color w:val="auto"/>
          <w:sz w:val="24"/>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75"/>
        <w:rPr>
          <w:rFonts w:hint="eastAsia" w:ascii="宋体" w:hAnsi="宋体" w:eastAsia="宋体" w:cs="宋体"/>
          <w:color w:val="auto"/>
        </w:rPr>
      </w:pPr>
    </w:p>
    <w:p>
      <w:pPr>
        <w:pStyle w:val="6"/>
        <w:rPr>
          <w:rFonts w:hint="eastAsia" w:ascii="宋体" w:hAnsi="宋体" w:cs="宋体"/>
          <w:color w:val="auto"/>
        </w:rPr>
      </w:pPr>
      <w:r>
        <w:rPr>
          <w:rFonts w:hint="eastAsia" w:ascii="宋体" w:hAnsi="宋体" w:cs="宋体"/>
          <w:color w:val="auto"/>
        </w:rPr>
        <w:t>四、投标报价</w:t>
      </w:r>
    </w:p>
    <w:p>
      <w:pPr>
        <w:ind w:firstLine="480"/>
        <w:rPr>
          <w:rFonts w:hint="eastAsia" w:cs="宋体"/>
          <w:color w:val="auto"/>
        </w:rPr>
      </w:pPr>
      <w:r>
        <w:rPr>
          <w:rFonts w:hint="eastAsia" w:cs="宋体"/>
          <w:color w:val="auto"/>
        </w:rPr>
        <w:t>1.投标报价是指一次性报出不得更改的价格；</w:t>
      </w:r>
    </w:p>
    <w:p>
      <w:pPr>
        <w:ind w:firstLine="480"/>
        <w:rPr>
          <w:rFonts w:hint="eastAsia" w:cs="宋体"/>
          <w:color w:val="auto"/>
        </w:rPr>
      </w:pPr>
      <w:r>
        <w:rPr>
          <w:rFonts w:hint="eastAsia" w:cs="宋体"/>
          <w:color w:val="auto"/>
        </w:rPr>
        <w:t>2.投标报价是履行合同的最终价格，将人工费、材料费、机械费、管理费、税金、利润、直至达到使用要求及质量标准、质保期服务所需的全部费用及招标代理服务费均包含在总价之中。</w:t>
      </w:r>
    </w:p>
    <w:p>
      <w:pPr>
        <w:pStyle w:val="6"/>
        <w:rPr>
          <w:rFonts w:hint="eastAsia" w:ascii="宋体" w:hAnsi="宋体" w:cs="宋体"/>
          <w:color w:val="auto"/>
          <w:szCs w:val="24"/>
        </w:rPr>
      </w:pPr>
      <w:bookmarkStart w:id="89" w:name="_Toc1"/>
      <w:bookmarkStart w:id="90" w:name="_Toc12521"/>
      <w:r>
        <w:rPr>
          <w:rFonts w:hint="eastAsia" w:ascii="宋体" w:hAnsi="宋体" w:cs="宋体"/>
          <w:color w:val="auto"/>
          <w:szCs w:val="24"/>
        </w:rPr>
        <w:t>五、投标文件的有效期</w:t>
      </w:r>
    </w:p>
    <w:p>
      <w:pPr>
        <w:ind w:firstLine="480"/>
        <w:rPr>
          <w:rFonts w:hint="eastAsia" w:cs="宋体"/>
          <w:color w:val="auto"/>
        </w:rPr>
      </w:pPr>
      <w:r>
        <w:rPr>
          <w:rFonts w:hint="eastAsia" w:cs="宋体"/>
          <w:color w:val="auto"/>
        </w:rPr>
        <w:t>1.投标文件有效期按“供应商须知前附表”规定，投标文件应在该有效期内保持有效。合同签订后，投标文件作为合同附件，投标文件有效期同合同有效期。</w:t>
      </w:r>
    </w:p>
    <w:p>
      <w:pPr>
        <w:ind w:firstLine="480"/>
        <w:rPr>
          <w:rFonts w:hint="eastAsia" w:cs="宋体"/>
          <w:color w:val="auto"/>
        </w:rPr>
      </w:pPr>
      <w:r>
        <w:rPr>
          <w:rFonts w:hint="eastAsia" w:cs="宋体"/>
          <w:color w:val="auto"/>
        </w:rPr>
        <w:t>2.在特殊情况下，采购人可与供应商协商延长投标文件有效期，这种要求和答复均应以书面形式进行。</w:t>
      </w:r>
    </w:p>
    <w:p>
      <w:pPr>
        <w:ind w:firstLine="480"/>
        <w:rPr>
          <w:rFonts w:hint="eastAsia" w:cs="宋体"/>
          <w:color w:val="auto"/>
        </w:rPr>
      </w:pPr>
      <w:r>
        <w:rPr>
          <w:rFonts w:hint="eastAsia" w:cs="宋体"/>
          <w:color w:val="auto"/>
        </w:rPr>
        <w:t>3.同意延长有效期的供应商不能修改投标文件。</w:t>
      </w:r>
    </w:p>
    <w:p>
      <w:pPr>
        <w:pStyle w:val="14"/>
        <w:rPr>
          <w:rFonts w:hint="eastAsia" w:ascii="宋体" w:eastAsia="宋体" w:cs="宋体"/>
          <w:color w:val="auto"/>
        </w:rPr>
      </w:pPr>
    </w:p>
    <w:p>
      <w:pPr>
        <w:pStyle w:val="5"/>
        <w:jc w:val="center"/>
        <w:rPr>
          <w:rFonts w:hint="eastAsia" w:ascii="宋体" w:hAnsi="宋体" w:cs="宋体"/>
          <w:color w:val="auto"/>
        </w:rPr>
      </w:pPr>
      <w:bookmarkStart w:id="91" w:name="_Toc26498"/>
      <w:r>
        <w:rPr>
          <w:rFonts w:hint="eastAsia" w:ascii="宋体" w:hAnsi="宋体" w:cs="宋体"/>
          <w:color w:val="auto"/>
        </w:rPr>
        <w:t>第四节 投标文件的递交</w:t>
      </w:r>
      <w:bookmarkEnd w:id="89"/>
      <w:bookmarkEnd w:id="90"/>
      <w:bookmarkEnd w:id="91"/>
    </w:p>
    <w:p>
      <w:pPr>
        <w:pStyle w:val="6"/>
        <w:rPr>
          <w:rFonts w:hint="eastAsia" w:ascii="宋体" w:hAnsi="宋体" w:cs="宋体"/>
          <w:color w:val="auto"/>
        </w:rPr>
      </w:pPr>
      <w:bookmarkStart w:id="92" w:name="_Toc20835"/>
      <w:bookmarkStart w:id="93" w:name="_Toc27893"/>
      <w:r>
        <w:rPr>
          <w:rFonts w:hint="eastAsia" w:ascii="宋体" w:hAnsi="宋体" w:cs="宋体"/>
          <w:color w:val="auto"/>
          <w:szCs w:val="24"/>
        </w:rPr>
        <w:t>一、投标文件的上传和递交</w:t>
      </w:r>
    </w:p>
    <w:p>
      <w:pPr>
        <w:ind w:firstLine="480"/>
        <w:rPr>
          <w:rFonts w:hint="eastAsia" w:cs="宋体"/>
          <w:color w:val="auto"/>
        </w:rPr>
      </w:pPr>
      <w:r>
        <w:rPr>
          <w:rFonts w:hint="eastAsia" w:cs="宋体"/>
          <w:color w:val="auto"/>
        </w:rPr>
        <w:t>见供应商须知前附表“投标文件的上传和递交”。</w:t>
      </w:r>
    </w:p>
    <w:p>
      <w:pPr>
        <w:pStyle w:val="6"/>
        <w:rPr>
          <w:rFonts w:hint="eastAsia" w:ascii="宋体" w:hAnsi="宋体" w:cs="宋体"/>
          <w:color w:val="auto"/>
        </w:rPr>
      </w:pPr>
      <w:r>
        <w:rPr>
          <w:rFonts w:hint="eastAsia" w:ascii="宋体" w:hAnsi="宋体" w:cs="宋体"/>
          <w:color w:val="auto"/>
          <w:szCs w:val="24"/>
        </w:rPr>
        <w:t>二、投标文件的补充、修改或撤回</w:t>
      </w:r>
    </w:p>
    <w:p>
      <w:pPr>
        <w:ind w:firstLine="480"/>
        <w:rPr>
          <w:rFonts w:hint="eastAsia" w:cs="宋体"/>
          <w:color w:val="auto"/>
        </w:rPr>
      </w:pPr>
      <w:r>
        <w:rPr>
          <w:rFonts w:hint="eastAsia" w:cs="宋体"/>
          <w:color w:val="auto"/>
        </w:rPr>
        <w:t>1.在投标截止时间前，供应商均可撤回其已上传的电子加密投标文件，进行内容修改。修改后重新上传、递交。投标截止时间前未完成上传、递交的，视为撤回投标文件。投标截止时间后递交的电子加密投标文件，“浙江政府采购网-政采云平台”将予以拒收。</w:t>
      </w:r>
    </w:p>
    <w:p>
      <w:pPr>
        <w:ind w:firstLine="480"/>
        <w:rPr>
          <w:rFonts w:hint="eastAsia" w:cs="宋体"/>
          <w:color w:val="auto"/>
        </w:rPr>
      </w:pPr>
      <w:r>
        <w:rPr>
          <w:rFonts w:hint="eastAsia" w:cs="宋体"/>
          <w:color w:val="auto"/>
        </w:rPr>
        <w:t>2.从投标截止期至供应商在投标函格式中确定的投标有效期期满这段时间内，供应商不得撤回其投标。</w:t>
      </w:r>
    </w:p>
    <w:p>
      <w:pPr>
        <w:pStyle w:val="5"/>
        <w:jc w:val="center"/>
        <w:rPr>
          <w:rFonts w:hint="eastAsia" w:ascii="宋体" w:hAnsi="宋体" w:cs="宋体"/>
          <w:color w:val="auto"/>
        </w:rPr>
      </w:pPr>
      <w:bookmarkStart w:id="94" w:name="_Toc27742"/>
      <w:r>
        <w:rPr>
          <w:rFonts w:hint="eastAsia" w:ascii="宋体" w:hAnsi="宋体" w:cs="宋体"/>
          <w:color w:val="auto"/>
        </w:rPr>
        <w:t>第五节 开标</w:t>
      </w:r>
      <w:bookmarkEnd w:id="92"/>
      <w:bookmarkEnd w:id="93"/>
      <w:bookmarkEnd w:id="94"/>
    </w:p>
    <w:p>
      <w:pPr>
        <w:pStyle w:val="6"/>
        <w:rPr>
          <w:rFonts w:hint="eastAsia" w:ascii="宋体" w:hAnsi="宋体" w:cs="宋体"/>
          <w:color w:val="auto"/>
          <w:szCs w:val="24"/>
        </w:rPr>
      </w:pPr>
      <w:bookmarkStart w:id="95" w:name="_Toc13687"/>
      <w:bookmarkStart w:id="96" w:name="_Toc13357"/>
      <w:r>
        <w:rPr>
          <w:rFonts w:hint="eastAsia" w:ascii="宋体" w:hAnsi="宋体" w:cs="宋体"/>
          <w:color w:val="auto"/>
          <w:szCs w:val="24"/>
        </w:rPr>
        <w:t>一、开标流程</w:t>
      </w:r>
    </w:p>
    <w:p>
      <w:pPr>
        <w:pStyle w:val="6"/>
        <w:rPr>
          <w:rFonts w:hint="eastAsia" w:ascii="宋体" w:hAnsi="宋体" w:cs="宋体"/>
          <w:color w:val="auto"/>
        </w:rPr>
      </w:pPr>
      <w:r>
        <w:rPr>
          <w:rFonts w:hint="eastAsia" w:ascii="宋体" w:hAnsi="宋体" w:cs="宋体"/>
          <w:color w:val="auto"/>
        </w:rPr>
        <w:t>1.开标准备</w:t>
      </w:r>
    </w:p>
    <w:p>
      <w:pPr>
        <w:pStyle w:val="6"/>
        <w:rPr>
          <w:rFonts w:hint="eastAsia" w:ascii="宋体" w:hAnsi="宋体" w:cs="宋体"/>
          <w:b w:val="0"/>
          <w:bCs w:val="0"/>
          <w:color w:val="auto"/>
          <w:szCs w:val="24"/>
        </w:rPr>
      </w:pPr>
      <w:r>
        <w:rPr>
          <w:rFonts w:hint="eastAsia" w:ascii="宋体" w:hAnsi="宋体" w:cs="宋体"/>
          <w:b w:val="0"/>
          <w:bCs w:val="0"/>
          <w:color w:val="auto"/>
          <w:szCs w:val="24"/>
        </w:rPr>
        <w:t xml:space="preserve">1.1 </w:t>
      </w:r>
      <w:r>
        <w:rPr>
          <w:rFonts w:hint="eastAsia" w:ascii="宋体" w:hAnsi="宋体" w:cs="宋体"/>
          <w:b w:val="0"/>
          <w:bCs w:val="0"/>
          <w:color w:val="auto"/>
        </w:rPr>
        <w:t>采购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pPr>
        <w:pStyle w:val="6"/>
        <w:rPr>
          <w:rFonts w:hint="eastAsia" w:ascii="宋体" w:hAnsi="宋体" w:cs="宋体"/>
          <w:color w:val="auto"/>
        </w:rPr>
      </w:pPr>
      <w:r>
        <w:rPr>
          <w:rFonts w:hint="eastAsia" w:ascii="宋体" w:hAnsi="宋体" w:cs="宋体"/>
          <w:color w:val="auto"/>
        </w:rPr>
        <w:t>1.2 开标流程（两阶段）</w:t>
      </w:r>
    </w:p>
    <w:p>
      <w:pPr>
        <w:ind w:firstLine="480"/>
        <w:rPr>
          <w:rFonts w:hint="eastAsia" w:cs="宋体"/>
          <w:color w:val="auto"/>
        </w:rPr>
      </w:pPr>
      <w:r>
        <w:rPr>
          <w:rFonts w:hint="eastAsia" w:cs="宋体"/>
          <w:color w:val="auto"/>
        </w:rPr>
        <w:t>1.2.1 开标第一阶段</w:t>
      </w:r>
    </w:p>
    <w:p>
      <w:pPr>
        <w:ind w:firstLine="480"/>
        <w:rPr>
          <w:rFonts w:hint="eastAsia" w:cs="宋体"/>
          <w:color w:val="auto"/>
        </w:rPr>
      </w:pPr>
      <w:r>
        <w:rPr>
          <w:rFonts w:hint="eastAsia" w:cs="宋体"/>
          <w:color w:val="auto"/>
        </w:rPr>
        <w:t>（1）采购代理机构开始解密，供应商在规定的时间内自行进行电子加密投标文件解密。</w:t>
      </w:r>
    </w:p>
    <w:p>
      <w:pPr>
        <w:ind w:firstLine="480"/>
        <w:rPr>
          <w:rFonts w:hint="eastAsia" w:cs="宋体"/>
          <w:color w:val="auto"/>
        </w:rPr>
      </w:pPr>
      <w:r>
        <w:rPr>
          <w:rFonts w:hint="eastAsia" w:cs="宋体"/>
          <w:color w:val="auto"/>
        </w:rPr>
        <w:t>（2）解密时间为开标后30分钟内。</w:t>
      </w:r>
    </w:p>
    <w:p>
      <w:pPr>
        <w:ind w:firstLine="480"/>
        <w:rPr>
          <w:rFonts w:hint="eastAsia" w:cs="宋体"/>
          <w:color w:val="auto"/>
        </w:rPr>
      </w:pPr>
      <w:r>
        <w:rPr>
          <w:rFonts w:hint="eastAsia" w:cs="宋体"/>
          <w:color w:val="auto"/>
        </w:rPr>
        <w:t>（3）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ind w:firstLine="480"/>
        <w:rPr>
          <w:rFonts w:hint="eastAsia" w:cs="宋体"/>
          <w:color w:val="auto"/>
        </w:rPr>
      </w:pPr>
      <w:r>
        <w:rPr>
          <w:rFonts w:hint="eastAsia" w:cs="宋体"/>
          <w:color w:val="auto"/>
        </w:rPr>
        <w:t>（4）第一阶段开标结束。</w:t>
      </w:r>
    </w:p>
    <w:p>
      <w:pPr>
        <w:ind w:firstLine="480"/>
        <w:rPr>
          <w:rFonts w:hint="eastAsia" w:cs="宋体"/>
          <w:color w:val="auto"/>
        </w:rPr>
      </w:pPr>
      <w:r>
        <w:rPr>
          <w:rFonts w:hint="eastAsia" w:cs="宋体"/>
          <w:color w:val="auto"/>
        </w:rPr>
        <w:t>（5）转入资格文件和商务技术文件评审。</w:t>
      </w:r>
    </w:p>
    <w:p>
      <w:pPr>
        <w:ind w:firstLine="480"/>
        <w:rPr>
          <w:rFonts w:hint="eastAsia" w:cs="宋体"/>
          <w:color w:val="auto"/>
        </w:rPr>
      </w:pPr>
      <w:r>
        <w:rPr>
          <w:rFonts w:hint="eastAsia" w:cs="宋体"/>
          <w:color w:val="auto"/>
        </w:rPr>
        <w:t>1.2.2 开标第二阶段</w:t>
      </w:r>
    </w:p>
    <w:p>
      <w:pPr>
        <w:ind w:firstLine="480"/>
        <w:rPr>
          <w:rFonts w:hint="eastAsia" w:cs="宋体"/>
          <w:color w:val="auto"/>
        </w:rPr>
      </w:pPr>
      <w:r>
        <w:rPr>
          <w:rFonts w:hint="eastAsia" w:cs="宋体"/>
          <w:color w:val="auto"/>
        </w:rPr>
        <w:t>（1）资格文件和商务技术文件评审结束后，进入开标大会第二阶段。公布无效供应商名称及理由，同时公布有效供应商的商务技术部分得分情况。</w:t>
      </w:r>
    </w:p>
    <w:p>
      <w:pPr>
        <w:ind w:firstLine="480"/>
        <w:rPr>
          <w:rFonts w:hint="eastAsia" w:cs="宋体"/>
          <w:color w:val="auto"/>
        </w:rPr>
      </w:pPr>
      <w:r>
        <w:rPr>
          <w:rFonts w:hint="eastAsia" w:cs="宋体"/>
          <w:color w:val="auto"/>
        </w:rPr>
        <w:t>（2）开启有效供应商的报价文件，公布开标一览表有关内容。开标结束后，由评标委员会对报价的合理性、准确性等进行审查核实。</w:t>
      </w:r>
    </w:p>
    <w:p>
      <w:pPr>
        <w:pStyle w:val="6"/>
        <w:rPr>
          <w:rFonts w:hint="eastAsia" w:ascii="宋体" w:hAnsi="宋体" w:cs="宋体"/>
          <w:color w:val="auto"/>
        </w:rPr>
      </w:pPr>
      <w:r>
        <w:rPr>
          <w:rFonts w:hint="eastAsia" w:ascii="宋体" w:hAnsi="宋体" w:cs="宋体"/>
          <w:color w:val="auto"/>
        </w:rPr>
        <w:t>1.3 投标文件初步评审</w:t>
      </w:r>
    </w:p>
    <w:p>
      <w:pPr>
        <w:ind w:firstLine="480"/>
        <w:rPr>
          <w:rFonts w:hint="eastAsia" w:cs="宋体"/>
          <w:color w:val="auto"/>
        </w:rPr>
      </w:pPr>
      <w:r>
        <w:rPr>
          <w:rFonts w:hint="eastAsia" w:cs="宋体"/>
          <w:color w:val="auto"/>
        </w:rPr>
        <w:t>1.3.1采购代理机构或评审专家将首先审查各供应商的资格条件是否满足采购文件的要求。</w:t>
      </w:r>
    </w:p>
    <w:p>
      <w:pPr>
        <w:ind w:firstLine="480"/>
        <w:rPr>
          <w:rFonts w:hint="eastAsia" w:cs="宋体"/>
          <w:color w:val="auto"/>
        </w:rPr>
      </w:pPr>
      <w:r>
        <w:rPr>
          <w:rFonts w:hint="eastAsia" w:cs="宋体"/>
          <w:color w:val="auto"/>
        </w:rPr>
        <w:t>1.3.2评标委员会将首先审查每份投标文件是否实质上响应了采购文件的要求，实质性响应的投标文件是指投标文件符合采购文件规定的实质性内容、条件和规定。</w:t>
      </w:r>
    </w:p>
    <w:p>
      <w:pPr>
        <w:ind w:firstLine="480"/>
        <w:rPr>
          <w:rFonts w:hint="eastAsia" w:cs="宋体"/>
          <w:color w:val="auto"/>
        </w:rPr>
      </w:pPr>
      <w:r>
        <w:rPr>
          <w:rFonts w:hint="eastAsia" w:cs="宋体"/>
          <w:color w:val="auto"/>
        </w:rPr>
        <w:t>1.3.3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ind w:firstLine="480"/>
        <w:rPr>
          <w:rFonts w:hint="eastAsia" w:cs="宋体"/>
          <w:color w:val="auto"/>
        </w:rPr>
      </w:pPr>
      <w:r>
        <w:rPr>
          <w:rFonts w:hint="eastAsia" w:cs="宋体"/>
          <w:color w:val="auto"/>
        </w:rPr>
        <w:t>1.3.4细微偏离是指投标文件对采购文件的非实质性内容存在不完全响应或不响应。</w:t>
      </w:r>
    </w:p>
    <w:p>
      <w:pPr>
        <w:ind w:firstLine="480"/>
        <w:rPr>
          <w:rFonts w:hint="eastAsia" w:cs="宋体"/>
          <w:color w:val="auto"/>
        </w:rPr>
      </w:pPr>
      <w:r>
        <w:rPr>
          <w:rFonts w:hint="eastAsia" w:cs="宋体"/>
          <w:color w:val="auto"/>
        </w:rPr>
        <w:t>1.3.5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ind w:firstLine="480"/>
        <w:rPr>
          <w:rFonts w:hint="eastAsia" w:cs="宋体"/>
          <w:color w:val="auto"/>
        </w:rPr>
      </w:pPr>
      <w:r>
        <w:rPr>
          <w:rFonts w:hint="eastAsia" w:cs="宋体"/>
          <w:color w:val="auto"/>
        </w:rPr>
        <w:t>1.3.6初步评审工作内容</w:t>
      </w:r>
    </w:p>
    <w:p>
      <w:pPr>
        <w:ind w:firstLine="480"/>
        <w:rPr>
          <w:rFonts w:hint="eastAsia" w:cs="宋体"/>
          <w:color w:val="auto"/>
        </w:rPr>
      </w:pPr>
      <w:r>
        <w:rPr>
          <w:rFonts w:hint="eastAsia" w:cs="宋体"/>
          <w:color w:val="auto"/>
        </w:rPr>
        <w:t>（1）资格性检查</w:t>
      </w:r>
    </w:p>
    <w:p>
      <w:pPr>
        <w:ind w:firstLine="480"/>
        <w:rPr>
          <w:rFonts w:hint="eastAsia" w:cs="宋体"/>
          <w:color w:val="auto"/>
        </w:rPr>
      </w:pPr>
      <w:r>
        <w:rPr>
          <w:rFonts w:hint="eastAsia" w:cs="宋体"/>
          <w:color w:val="auto"/>
        </w:rPr>
        <w:t>依据法律法规及采购文件的规定，对投标文件中的提供的资格证明材料进行审查，以确定供应商是否具备投标资格。</w:t>
      </w:r>
    </w:p>
    <w:p>
      <w:pPr>
        <w:ind w:firstLine="480"/>
        <w:rPr>
          <w:rFonts w:hint="eastAsia" w:cs="宋体"/>
          <w:color w:val="auto"/>
        </w:rPr>
      </w:pPr>
      <w:r>
        <w:rPr>
          <w:rFonts w:hint="eastAsia" w:cs="宋体"/>
          <w:color w:val="auto"/>
        </w:rPr>
        <w:t>（2）符合性检查</w:t>
      </w:r>
    </w:p>
    <w:p>
      <w:pPr>
        <w:ind w:firstLine="480"/>
        <w:rPr>
          <w:rFonts w:hint="eastAsia" w:cs="宋体"/>
          <w:color w:val="auto"/>
        </w:rPr>
      </w:pPr>
      <w:r>
        <w:rPr>
          <w:rFonts w:hint="eastAsia" w:cs="宋体"/>
          <w:color w:val="auto"/>
        </w:rPr>
        <w:t>依据采购文件的规定，从投标文件的有效性、完整性和对采购文件的响应程度进行审查，以确定是否对采购文件的实质性要求作出响应。</w:t>
      </w:r>
    </w:p>
    <w:p>
      <w:pPr>
        <w:ind w:firstLine="480"/>
        <w:rPr>
          <w:rFonts w:hint="eastAsia" w:cs="宋体"/>
          <w:color w:val="auto"/>
        </w:rPr>
      </w:pPr>
      <w:r>
        <w:rPr>
          <w:rFonts w:hint="eastAsia" w:cs="宋体"/>
          <w:color w:val="auto"/>
        </w:rPr>
        <w:t>1.3.7评标委员会对投标文件的判定，只依据投标文件内容本身和按采购文件规定提交资料，不依靠开标后的任何外来证明。如供应商提交的资质证明或其他内容不齐全，由此造成的后果由供应商自己负责。</w:t>
      </w:r>
    </w:p>
    <w:p>
      <w:pPr>
        <w:ind w:firstLine="0" w:firstLineChars="0"/>
        <w:outlineLvl w:val="2"/>
        <w:rPr>
          <w:rFonts w:hint="eastAsia" w:cs="宋体"/>
          <w:b/>
          <w:bCs/>
          <w:color w:val="auto"/>
        </w:rPr>
      </w:pPr>
      <w:r>
        <w:rPr>
          <w:rFonts w:hint="eastAsia" w:cs="宋体"/>
          <w:b/>
          <w:bCs/>
          <w:color w:val="auto"/>
        </w:rPr>
        <w:t>1.4 投标文件的澄清</w:t>
      </w:r>
    </w:p>
    <w:p>
      <w:pPr>
        <w:ind w:firstLine="480"/>
        <w:rPr>
          <w:rFonts w:hint="eastAsia" w:cs="宋体"/>
          <w:color w:val="auto"/>
        </w:rPr>
      </w:pPr>
      <w:r>
        <w:rPr>
          <w:rFonts w:hint="eastAsia" w:cs="宋体"/>
          <w:color w:val="auto"/>
        </w:rPr>
        <w:t>1.4.1评标委员会可要求供应商对投标文件中含义不明确、同类问题表述不一致、有明显的文字和计算错误的内容等进行澄清并做出书面答复。</w:t>
      </w:r>
    </w:p>
    <w:p>
      <w:pPr>
        <w:ind w:firstLine="480"/>
        <w:rPr>
          <w:rFonts w:hint="eastAsia" w:cs="宋体"/>
          <w:color w:val="auto"/>
        </w:rPr>
      </w:pPr>
      <w:r>
        <w:rPr>
          <w:rFonts w:hint="eastAsia" w:cs="宋体"/>
          <w:color w:val="auto"/>
        </w:rPr>
        <w:t>1.4.2 供应商对投标文件的澄清不得超出投标文件的范围或者改变投标文件的实质性内容。</w:t>
      </w:r>
    </w:p>
    <w:p>
      <w:pPr>
        <w:pStyle w:val="19"/>
        <w:rPr>
          <w:rFonts w:hint="eastAsia"/>
          <w:color w:val="auto"/>
        </w:rPr>
      </w:pPr>
    </w:p>
    <w:p>
      <w:pPr>
        <w:ind w:firstLine="0" w:firstLineChars="0"/>
        <w:outlineLvl w:val="2"/>
        <w:rPr>
          <w:rFonts w:hint="eastAsia" w:cs="宋体"/>
          <w:b/>
          <w:bCs/>
          <w:color w:val="auto"/>
        </w:rPr>
      </w:pPr>
      <w:r>
        <w:rPr>
          <w:rFonts w:hint="eastAsia" w:cs="宋体"/>
          <w:b/>
          <w:bCs/>
          <w:color w:val="auto"/>
        </w:rPr>
        <w:t>1.5 错误修正</w:t>
      </w:r>
    </w:p>
    <w:p>
      <w:pPr>
        <w:ind w:firstLine="480"/>
        <w:rPr>
          <w:rFonts w:hint="eastAsia" w:cs="宋体"/>
          <w:color w:val="auto"/>
        </w:rPr>
      </w:pPr>
      <w:r>
        <w:rPr>
          <w:rFonts w:hint="eastAsia" w:cs="宋体"/>
          <w:color w:val="auto"/>
        </w:rPr>
        <w:t>评标委员会将对确定为实质上响应采购文件要求的投标文件进行校核，看其在投标报价方面是否有计算、累计或表达上的错误，修正错误的原则及顺序如下：</w:t>
      </w:r>
    </w:p>
    <w:p>
      <w:pPr>
        <w:ind w:firstLine="240" w:firstLineChars="100"/>
        <w:rPr>
          <w:rFonts w:hint="eastAsia" w:cs="宋体"/>
          <w:color w:val="auto"/>
        </w:rPr>
      </w:pPr>
      <w:r>
        <w:rPr>
          <w:rFonts w:hint="eastAsia" w:cs="宋体"/>
          <w:color w:val="auto"/>
        </w:rPr>
        <w:t>（1）正本与副本不一致时，以正本为准；</w:t>
      </w:r>
    </w:p>
    <w:p>
      <w:pPr>
        <w:ind w:firstLine="240" w:firstLineChars="100"/>
        <w:rPr>
          <w:rFonts w:hint="eastAsia" w:cs="宋体"/>
          <w:color w:val="auto"/>
        </w:rPr>
      </w:pPr>
      <w:r>
        <w:rPr>
          <w:rFonts w:hint="eastAsia" w:cs="宋体"/>
          <w:color w:val="auto"/>
        </w:rPr>
        <w:t>（2）投标文件中开标一览表（报价表）内容与投标文件中相应内容不一致的，以开标一览表（报价表）为准；</w:t>
      </w:r>
    </w:p>
    <w:p>
      <w:pPr>
        <w:ind w:firstLine="240" w:firstLineChars="100"/>
        <w:rPr>
          <w:rFonts w:hint="eastAsia" w:cs="宋体"/>
          <w:color w:val="auto"/>
        </w:rPr>
      </w:pPr>
      <w:r>
        <w:rPr>
          <w:rFonts w:hint="eastAsia" w:cs="宋体"/>
          <w:color w:val="auto"/>
        </w:rPr>
        <w:t>（3）大写金额和小写金额不一致的，以大写金额为准；</w:t>
      </w:r>
    </w:p>
    <w:p>
      <w:pPr>
        <w:ind w:firstLine="240" w:firstLineChars="100"/>
        <w:rPr>
          <w:rFonts w:hint="eastAsia" w:cs="宋体"/>
          <w:color w:val="auto"/>
        </w:rPr>
      </w:pPr>
      <w:r>
        <w:rPr>
          <w:rFonts w:hint="eastAsia" w:cs="宋体"/>
          <w:color w:val="auto"/>
        </w:rPr>
        <w:t>（4）单价金额小数点或者百分比有明显错位的，以开标一览表的总价为准，并修改单价；</w:t>
      </w:r>
    </w:p>
    <w:p>
      <w:pPr>
        <w:ind w:firstLine="240" w:firstLineChars="100"/>
        <w:rPr>
          <w:rFonts w:hint="eastAsia" w:cs="宋体"/>
          <w:color w:val="auto"/>
        </w:rPr>
      </w:pPr>
      <w:r>
        <w:rPr>
          <w:rFonts w:hint="eastAsia" w:cs="宋体"/>
          <w:color w:val="auto"/>
        </w:rPr>
        <w:t>（5）总价金额与按单价汇总金额不一致的，以单价金额计算结果为准。</w:t>
      </w:r>
    </w:p>
    <w:p>
      <w:pPr>
        <w:ind w:firstLine="240" w:firstLineChars="100"/>
        <w:rPr>
          <w:rFonts w:hint="eastAsia" w:cs="宋体"/>
          <w:color w:val="auto"/>
        </w:rPr>
      </w:pPr>
      <w:r>
        <w:rPr>
          <w:rFonts w:hint="eastAsia" w:cs="宋体"/>
          <w:color w:val="auto"/>
        </w:rPr>
        <w:t>（6）如投标文件中报价明细表分项价格或单价有遗报，应视作已含在投标总价中；其投标总价在评标过程中不予调整。其分项价或单价由评标委员会在投标总价不变的前提下根据合理的原则对其予以确定；</w:t>
      </w:r>
    </w:p>
    <w:p>
      <w:pPr>
        <w:ind w:firstLine="0" w:firstLineChars="0"/>
        <w:rPr>
          <w:rFonts w:hint="eastAsia" w:cs="宋体"/>
          <w:color w:val="auto"/>
        </w:rPr>
      </w:pPr>
      <w:r>
        <w:rPr>
          <w:rFonts w:hint="eastAsia" w:cs="宋体"/>
          <w:color w:val="auto"/>
        </w:rPr>
        <w:t>同时出现两种以上不一致的，按照前款规定的顺序修正。修正后的报价以澄清方式经供应商确认后产生约束力，供应商不确认的，其投标无效。</w:t>
      </w:r>
    </w:p>
    <w:p>
      <w:pPr>
        <w:ind w:firstLine="0" w:firstLineChars="0"/>
        <w:outlineLvl w:val="2"/>
        <w:rPr>
          <w:rFonts w:hint="eastAsia" w:cs="宋体"/>
          <w:b/>
          <w:bCs/>
          <w:color w:val="auto"/>
        </w:rPr>
      </w:pPr>
      <w:r>
        <w:rPr>
          <w:rFonts w:hint="eastAsia" w:cs="宋体"/>
          <w:b/>
          <w:bCs/>
          <w:color w:val="auto"/>
        </w:rPr>
        <w:t>1.6 合理报价澄清说明</w:t>
      </w:r>
    </w:p>
    <w:p>
      <w:pPr>
        <w:ind w:firstLine="480"/>
        <w:rPr>
          <w:rFonts w:hint="eastAsia" w:cs="宋体"/>
          <w:color w:val="auto"/>
        </w:rPr>
      </w:pPr>
      <w:r>
        <w:rPr>
          <w:rFonts w:hint="eastAsia" w:cs="宋体"/>
          <w:color w:val="auto"/>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6"/>
        <w:rPr>
          <w:rFonts w:hint="eastAsia" w:ascii="宋体" w:hAnsi="宋体" w:cs="宋体"/>
          <w:color w:val="auto"/>
        </w:rPr>
      </w:pPr>
      <w:r>
        <w:rPr>
          <w:rFonts w:hint="eastAsia" w:ascii="宋体" w:hAnsi="宋体" w:cs="宋体"/>
          <w:color w:val="auto"/>
          <w:szCs w:val="24"/>
        </w:rPr>
        <w:t>二、投标文件鉴定</w:t>
      </w:r>
    </w:p>
    <w:p>
      <w:pPr>
        <w:ind w:firstLine="480"/>
        <w:rPr>
          <w:rFonts w:hint="eastAsia" w:cs="宋体"/>
          <w:color w:val="auto"/>
        </w:rPr>
      </w:pPr>
      <w:r>
        <w:rPr>
          <w:rFonts w:hint="eastAsia" w:cs="宋体"/>
          <w:color w:val="auto"/>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cs="宋体"/>
          <w:color w:val="auto"/>
        </w:rPr>
      </w:pPr>
      <w:r>
        <w:rPr>
          <w:rFonts w:hint="eastAsia" w:cs="宋体"/>
          <w:color w:val="auto"/>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cs="宋体"/>
          <w:color w:val="auto"/>
        </w:rPr>
      </w:pPr>
      <w:r>
        <w:rPr>
          <w:rFonts w:hint="eastAsia" w:cs="宋体"/>
          <w:color w:val="auto"/>
        </w:rPr>
        <w:t>3.经开标后递交至评标委员会的投标文件，仍需接受相关符合性的检查，并有可能在评标过程中被判断为无效。</w:t>
      </w:r>
    </w:p>
    <w:p>
      <w:pPr>
        <w:pStyle w:val="5"/>
        <w:jc w:val="center"/>
        <w:rPr>
          <w:rFonts w:hint="eastAsia" w:ascii="宋体" w:hAnsi="宋体" w:cs="宋体"/>
          <w:color w:val="auto"/>
        </w:rPr>
      </w:pPr>
      <w:bookmarkStart w:id="97" w:name="_Toc19605"/>
    </w:p>
    <w:p>
      <w:pPr>
        <w:pStyle w:val="5"/>
        <w:jc w:val="center"/>
        <w:rPr>
          <w:rFonts w:hint="eastAsia" w:ascii="宋体" w:hAnsi="宋体" w:cs="宋体"/>
          <w:color w:val="auto"/>
        </w:rPr>
      </w:pPr>
      <w:r>
        <w:rPr>
          <w:rFonts w:hint="eastAsia" w:ascii="宋体" w:hAnsi="宋体" w:cs="宋体"/>
          <w:color w:val="auto"/>
        </w:rPr>
        <w:t>第六节 评标</w:t>
      </w:r>
      <w:bookmarkEnd w:id="95"/>
      <w:bookmarkEnd w:id="96"/>
      <w:bookmarkEnd w:id="97"/>
    </w:p>
    <w:p>
      <w:pPr>
        <w:pStyle w:val="6"/>
        <w:rPr>
          <w:rFonts w:hint="eastAsia" w:ascii="宋体" w:hAnsi="宋体" w:cs="宋体"/>
          <w:color w:val="auto"/>
        </w:rPr>
      </w:pPr>
      <w:r>
        <w:rPr>
          <w:rFonts w:hint="eastAsia" w:ascii="宋体" w:hAnsi="宋体" w:cs="宋体"/>
          <w:color w:val="auto"/>
        </w:rPr>
        <w:t>一、组建评标委员会</w:t>
      </w:r>
    </w:p>
    <w:p>
      <w:pPr>
        <w:ind w:firstLine="480"/>
        <w:rPr>
          <w:rFonts w:hint="eastAsia" w:cs="宋体"/>
          <w:color w:val="auto"/>
        </w:rPr>
      </w:pPr>
      <w:r>
        <w:rPr>
          <w:rFonts w:hint="eastAsia" w:cs="宋体"/>
          <w:color w:val="auto"/>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hint="eastAsia" w:ascii="宋体" w:hAnsi="宋体" w:cs="宋体"/>
          <w:color w:val="auto"/>
        </w:rPr>
      </w:pPr>
      <w:r>
        <w:rPr>
          <w:rFonts w:hint="eastAsia" w:ascii="宋体" w:hAnsi="宋体" w:cs="宋体"/>
          <w:color w:val="auto"/>
        </w:rPr>
        <w:t>二、评标的方式</w:t>
      </w:r>
    </w:p>
    <w:p>
      <w:pPr>
        <w:ind w:firstLine="480"/>
        <w:rPr>
          <w:rFonts w:hint="eastAsia" w:cs="宋体"/>
          <w:color w:val="auto"/>
        </w:rPr>
      </w:pPr>
      <w:r>
        <w:rPr>
          <w:rFonts w:hint="eastAsia" w:cs="宋体"/>
          <w:color w:val="auto"/>
        </w:rPr>
        <w:t>本项目采用不公开方式评标，评标的依据为招标文件和投标文件。不考虑投标人在开标后提交的任何的补充声明、修正方案。</w:t>
      </w:r>
    </w:p>
    <w:p>
      <w:pPr>
        <w:pStyle w:val="6"/>
        <w:rPr>
          <w:rFonts w:hint="eastAsia" w:ascii="宋体" w:hAnsi="宋体" w:cs="宋体"/>
          <w:color w:val="auto"/>
        </w:rPr>
      </w:pPr>
      <w:r>
        <w:rPr>
          <w:rFonts w:hint="eastAsia" w:ascii="宋体" w:hAnsi="宋体" w:cs="宋体"/>
          <w:color w:val="auto"/>
        </w:rPr>
        <w:t>三、评标原则</w:t>
      </w:r>
    </w:p>
    <w:p>
      <w:pPr>
        <w:ind w:firstLine="480"/>
        <w:rPr>
          <w:rFonts w:hint="eastAsia" w:cs="宋体"/>
          <w:color w:val="auto"/>
        </w:rPr>
      </w:pPr>
      <w:r>
        <w:rPr>
          <w:rFonts w:hint="eastAsia" w:cs="宋体"/>
          <w:color w:val="auto"/>
        </w:rPr>
        <w:t>评标严格按照招标文件的要求和条件，只依据投标内容本身，不依靠开标后的任何外来证明。以公开、公正、公平、效益的原则进行；比较报价，同时考虑以下因素；</w:t>
      </w:r>
    </w:p>
    <w:p>
      <w:pPr>
        <w:ind w:firstLine="480"/>
        <w:rPr>
          <w:rFonts w:hint="eastAsia" w:cs="宋体"/>
          <w:color w:val="auto"/>
        </w:rPr>
      </w:pPr>
      <w:r>
        <w:rPr>
          <w:rFonts w:hint="eastAsia" w:cs="宋体"/>
          <w:color w:val="auto"/>
        </w:rPr>
        <w:t>1.价格合理，方案、产品先进、可靠。</w:t>
      </w:r>
    </w:p>
    <w:p>
      <w:pPr>
        <w:ind w:firstLine="480"/>
        <w:rPr>
          <w:rFonts w:hint="eastAsia" w:cs="宋体"/>
          <w:color w:val="auto"/>
        </w:rPr>
      </w:pPr>
      <w:r>
        <w:rPr>
          <w:rFonts w:hint="eastAsia" w:cs="宋体"/>
          <w:color w:val="auto"/>
        </w:rPr>
        <w:t>2.经营信誉。</w:t>
      </w:r>
    </w:p>
    <w:p>
      <w:pPr>
        <w:ind w:firstLine="480"/>
        <w:rPr>
          <w:rFonts w:hint="eastAsia" w:cs="宋体"/>
          <w:color w:val="auto"/>
        </w:rPr>
      </w:pPr>
      <w:r>
        <w:rPr>
          <w:rFonts w:hint="eastAsia" w:cs="宋体"/>
          <w:color w:val="auto"/>
        </w:rPr>
        <w:t>3.反对不正当竞争。</w:t>
      </w:r>
    </w:p>
    <w:p>
      <w:pPr>
        <w:pStyle w:val="6"/>
        <w:rPr>
          <w:rFonts w:hint="eastAsia" w:ascii="宋体" w:hAnsi="宋体" w:cs="宋体"/>
          <w:color w:val="auto"/>
        </w:rPr>
      </w:pPr>
      <w:r>
        <w:rPr>
          <w:rFonts w:hint="eastAsia" w:ascii="宋体" w:hAnsi="宋体" w:cs="宋体"/>
          <w:color w:val="auto"/>
        </w:rPr>
        <w:t>四、评标程序</w:t>
      </w:r>
    </w:p>
    <w:p>
      <w:pPr>
        <w:ind w:firstLine="480"/>
        <w:rPr>
          <w:rFonts w:hint="eastAsia" w:cs="宋体"/>
          <w:color w:val="auto"/>
        </w:rPr>
      </w:pPr>
      <w:r>
        <w:rPr>
          <w:rFonts w:hint="eastAsia" w:cs="宋体"/>
          <w:color w:val="auto"/>
        </w:rPr>
        <w:t>1.采购代理机构按照招标文件规定的时间、地点及程序组织评审。评审活动一般应按以下程序组织开展：</w:t>
      </w:r>
    </w:p>
    <w:p>
      <w:pPr>
        <w:ind w:firstLine="480"/>
        <w:rPr>
          <w:rFonts w:hint="eastAsia" w:cs="宋体"/>
          <w:color w:val="auto"/>
        </w:rPr>
      </w:pPr>
      <w:r>
        <w:rPr>
          <w:rFonts w:hint="eastAsia" w:cs="宋体"/>
          <w:color w:val="auto"/>
        </w:rPr>
        <w:t>（1）开启评审场地的录音录像采集设备，并确保其正常运行。</w:t>
      </w:r>
    </w:p>
    <w:p>
      <w:pPr>
        <w:ind w:firstLine="480"/>
        <w:rPr>
          <w:rFonts w:hint="eastAsia" w:cs="宋体"/>
          <w:color w:val="auto"/>
        </w:rPr>
      </w:pPr>
      <w:r>
        <w:rPr>
          <w:rFonts w:hint="eastAsia" w:cs="宋体"/>
          <w:color w:val="auto"/>
        </w:rPr>
        <w:t>（2）核验出席评审活动现场的评标委员会各成员身份，并要求其分别登记、签到，按规定统一收缴、保存其通讯工具，无关人员一律拒绝其进入评审现场。</w:t>
      </w:r>
    </w:p>
    <w:p>
      <w:pPr>
        <w:ind w:firstLine="480"/>
        <w:rPr>
          <w:rFonts w:hint="eastAsia" w:cs="宋体"/>
          <w:color w:val="auto"/>
        </w:rPr>
      </w:pPr>
      <w:r>
        <w:rPr>
          <w:rFonts w:hint="eastAsia" w:cs="宋体"/>
          <w:color w:val="auto"/>
        </w:rPr>
        <w:t>（3）介绍评审现场的人员情况，宣布评审工作纪律，告知评标委员会应当回避情形；组织推选评标委员会组长。</w:t>
      </w:r>
    </w:p>
    <w:p>
      <w:pPr>
        <w:ind w:firstLine="480"/>
        <w:rPr>
          <w:rFonts w:hint="eastAsia" w:cs="宋体"/>
          <w:color w:val="auto"/>
        </w:rPr>
      </w:pPr>
      <w:r>
        <w:rPr>
          <w:rFonts w:hint="eastAsia" w:cs="宋体"/>
          <w:color w:val="auto"/>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cs="宋体"/>
          <w:color w:val="auto"/>
        </w:rPr>
      </w:pPr>
      <w:r>
        <w:rPr>
          <w:rFonts w:hint="eastAsia" w:cs="宋体"/>
          <w:color w:val="auto"/>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cs="宋体"/>
          <w:color w:val="auto"/>
        </w:rPr>
      </w:pPr>
      <w:r>
        <w:rPr>
          <w:rFonts w:hint="eastAsia" w:cs="宋体"/>
          <w:color w:val="auto"/>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cs="宋体"/>
          <w:color w:val="auto"/>
        </w:rPr>
      </w:pPr>
      <w:r>
        <w:rPr>
          <w:rFonts w:hint="eastAsia" w:cs="宋体"/>
          <w:color w:val="auto"/>
        </w:rPr>
        <w:t>（7）做好评审现场相关记录，协助评标委员会组长做好评审报告起草、有关内容电脑文字录入等工作，并要求评标委员会各成员签字确认。</w:t>
      </w:r>
    </w:p>
    <w:p>
      <w:pPr>
        <w:ind w:firstLine="480"/>
        <w:rPr>
          <w:rFonts w:hint="eastAsia" w:cs="宋体"/>
          <w:color w:val="auto"/>
        </w:rPr>
      </w:pPr>
      <w:r>
        <w:rPr>
          <w:rFonts w:hint="eastAsia" w:cs="宋体"/>
          <w:color w:val="auto"/>
        </w:rPr>
        <w:t>（8）评审结束后，采购代理机构交还评审人员及其他现场相关人员的通讯工具。</w:t>
      </w:r>
    </w:p>
    <w:p>
      <w:pPr>
        <w:pStyle w:val="6"/>
        <w:rPr>
          <w:rFonts w:hint="eastAsia" w:ascii="宋体" w:hAnsi="宋体" w:cs="宋体"/>
          <w:color w:val="auto"/>
        </w:rPr>
      </w:pPr>
      <w:r>
        <w:rPr>
          <w:rFonts w:hint="eastAsia" w:ascii="宋体" w:hAnsi="宋体" w:cs="宋体"/>
          <w:color w:val="auto"/>
        </w:rPr>
        <w:t>五、修正原则</w:t>
      </w:r>
    </w:p>
    <w:p>
      <w:pPr>
        <w:ind w:firstLine="480"/>
        <w:rPr>
          <w:rFonts w:hint="eastAsia" w:cs="宋体"/>
          <w:color w:val="auto"/>
        </w:rPr>
      </w:pPr>
      <w:r>
        <w:rPr>
          <w:rFonts w:hint="eastAsia" w:cs="宋体"/>
          <w:color w:val="auto"/>
        </w:rPr>
        <w:t>评标委员会对投标文件的商务报价文件进行审核，对发现计算、书写等错误的，按以下原则进行修正：</w:t>
      </w:r>
    </w:p>
    <w:p>
      <w:pPr>
        <w:ind w:firstLine="480"/>
        <w:rPr>
          <w:rFonts w:hint="eastAsia" w:cs="宋体"/>
          <w:color w:val="auto"/>
          <w:szCs w:val="32"/>
        </w:rPr>
      </w:pPr>
      <w:r>
        <w:rPr>
          <w:rFonts w:hint="eastAsia" w:cs="宋体"/>
          <w:color w:val="auto"/>
          <w:szCs w:val="32"/>
        </w:rPr>
        <w:t>1.大写金额与小写金额不一致的，以大写金额为准；</w:t>
      </w:r>
    </w:p>
    <w:p>
      <w:pPr>
        <w:ind w:firstLine="480"/>
        <w:rPr>
          <w:rFonts w:hint="eastAsia" w:cs="宋体"/>
          <w:color w:val="auto"/>
          <w:szCs w:val="32"/>
        </w:rPr>
      </w:pPr>
      <w:r>
        <w:rPr>
          <w:rFonts w:hint="eastAsia" w:cs="宋体"/>
          <w:color w:val="auto"/>
          <w:szCs w:val="32"/>
        </w:rPr>
        <w:t>2.总价金额与按单价汇总金额不一致的，以单价金额计算结果为准；</w:t>
      </w:r>
    </w:p>
    <w:p>
      <w:pPr>
        <w:ind w:firstLine="480"/>
        <w:rPr>
          <w:rFonts w:hint="eastAsia" w:cs="宋体"/>
          <w:color w:val="auto"/>
          <w:szCs w:val="32"/>
        </w:rPr>
      </w:pPr>
      <w:r>
        <w:rPr>
          <w:rFonts w:hint="eastAsia" w:cs="宋体"/>
          <w:color w:val="auto"/>
          <w:szCs w:val="32"/>
        </w:rPr>
        <w:t>3.单价金额小数点有明显错位的，应以总价为准，并修改单价；</w:t>
      </w:r>
    </w:p>
    <w:p>
      <w:pPr>
        <w:ind w:firstLine="480"/>
        <w:rPr>
          <w:rFonts w:hint="eastAsia" w:cs="宋体"/>
          <w:color w:val="auto"/>
          <w:szCs w:val="32"/>
        </w:rPr>
      </w:pPr>
      <w:r>
        <w:rPr>
          <w:rFonts w:hint="eastAsia" w:cs="宋体"/>
          <w:color w:val="auto"/>
          <w:szCs w:val="32"/>
        </w:rPr>
        <w:t>4.以修正后的总价作为投标报价。</w:t>
      </w:r>
    </w:p>
    <w:p>
      <w:pPr>
        <w:pStyle w:val="6"/>
        <w:rPr>
          <w:rFonts w:hint="eastAsia" w:ascii="宋体" w:hAnsi="宋体" w:cs="宋体"/>
          <w:color w:val="auto"/>
        </w:rPr>
      </w:pPr>
      <w:r>
        <w:rPr>
          <w:rFonts w:hint="eastAsia" w:ascii="宋体" w:hAnsi="宋体" w:cs="宋体"/>
          <w:color w:val="auto"/>
        </w:rPr>
        <w:t>六、投标无效的情形</w:t>
      </w:r>
    </w:p>
    <w:p>
      <w:pPr>
        <w:ind w:firstLine="480"/>
        <w:rPr>
          <w:rFonts w:hint="eastAsia" w:cs="宋体"/>
          <w:color w:val="auto"/>
        </w:rPr>
      </w:pPr>
      <w:r>
        <w:rPr>
          <w:rFonts w:hint="eastAsia" w:cs="宋体"/>
          <w:color w:val="auto"/>
        </w:rPr>
        <w:t>1.在符合性审查、商务和技术评审时，如发现下列情形之一的，投标文件将被视为无效：</w:t>
      </w:r>
    </w:p>
    <w:p>
      <w:pPr>
        <w:ind w:firstLine="480"/>
        <w:rPr>
          <w:rFonts w:hint="eastAsia" w:cs="宋体"/>
          <w:color w:val="auto"/>
        </w:rPr>
      </w:pPr>
      <w:r>
        <w:rPr>
          <w:rFonts w:hint="eastAsia" w:cs="宋体"/>
          <w:color w:val="auto"/>
        </w:rPr>
        <w:t>1）供应商提交两份或两份以上内容不同的投标方案，未声明哪一份有效的；</w:t>
      </w:r>
    </w:p>
    <w:p>
      <w:pPr>
        <w:ind w:firstLine="480"/>
        <w:rPr>
          <w:rFonts w:hint="eastAsia" w:cs="宋体"/>
          <w:color w:val="auto"/>
        </w:rPr>
      </w:pPr>
      <w:r>
        <w:rPr>
          <w:rFonts w:hint="eastAsia" w:cs="宋体"/>
          <w:color w:val="auto"/>
        </w:rPr>
        <w:t>2）投标文件非供应商法定代表人签署的，未提供或提供无效的法定代表人授权书；</w:t>
      </w:r>
    </w:p>
    <w:p>
      <w:pPr>
        <w:ind w:firstLine="480"/>
        <w:rPr>
          <w:rFonts w:hint="eastAsia" w:cs="宋体"/>
          <w:color w:val="auto"/>
        </w:rPr>
      </w:pPr>
      <w:r>
        <w:rPr>
          <w:rFonts w:hint="eastAsia" w:cs="宋体"/>
          <w:color w:val="auto"/>
        </w:rPr>
        <w:t>3）投标文件中法定代表人和授权代表身份证复印件不齐全的；</w:t>
      </w:r>
    </w:p>
    <w:p>
      <w:pPr>
        <w:ind w:firstLine="480"/>
        <w:rPr>
          <w:rFonts w:hint="eastAsia" w:cs="宋体"/>
          <w:color w:val="auto"/>
        </w:rPr>
      </w:pPr>
      <w:r>
        <w:rPr>
          <w:rFonts w:hint="eastAsia" w:cs="宋体"/>
          <w:color w:val="auto"/>
        </w:rPr>
        <w:t>4）投标文件内容未按采购文件规定签字或盖章的；</w:t>
      </w:r>
    </w:p>
    <w:p>
      <w:pPr>
        <w:ind w:firstLine="480"/>
        <w:rPr>
          <w:rFonts w:hint="eastAsia" w:cs="宋体"/>
          <w:color w:val="auto"/>
        </w:rPr>
      </w:pPr>
      <w:r>
        <w:rPr>
          <w:rFonts w:hint="eastAsia" w:cs="宋体"/>
          <w:color w:val="auto"/>
        </w:rPr>
        <w:t>5）投标文件内容不全或内容字迹模糊辨认不清的等而导致评标活动无法正常进行；</w:t>
      </w:r>
    </w:p>
    <w:p>
      <w:pPr>
        <w:ind w:firstLine="480"/>
        <w:rPr>
          <w:rFonts w:hint="eastAsia" w:cs="宋体"/>
          <w:color w:val="auto"/>
        </w:rPr>
      </w:pPr>
      <w:r>
        <w:rPr>
          <w:rFonts w:hint="eastAsia" w:cs="宋体"/>
          <w:color w:val="auto"/>
        </w:rPr>
        <w:t>6）供应商未按采购文件变更通知更改投标文件的；</w:t>
      </w:r>
    </w:p>
    <w:p>
      <w:pPr>
        <w:ind w:firstLine="480"/>
        <w:rPr>
          <w:rFonts w:hint="eastAsia" w:cs="宋体"/>
          <w:color w:val="auto"/>
        </w:rPr>
      </w:pPr>
      <w:r>
        <w:rPr>
          <w:rFonts w:hint="eastAsia" w:cs="宋体"/>
          <w:color w:val="auto"/>
        </w:rPr>
        <w:t>7）未实质性响应采购文件中带“</w:t>
      </w:r>
      <w:r>
        <w:rPr>
          <w:rFonts w:hint="eastAsia" w:cs="宋体"/>
          <w:bCs/>
          <w:color w:val="auto"/>
          <w:kern w:val="0"/>
        </w:rPr>
        <w:t>★</w:t>
      </w:r>
      <w:r>
        <w:rPr>
          <w:rFonts w:hint="eastAsia" w:cs="宋体"/>
          <w:color w:val="auto"/>
        </w:rPr>
        <w:t>”条款要求的投标文件；</w:t>
      </w:r>
    </w:p>
    <w:p>
      <w:pPr>
        <w:ind w:firstLine="480"/>
        <w:rPr>
          <w:rFonts w:hint="eastAsia" w:cs="宋体"/>
          <w:color w:val="auto"/>
        </w:rPr>
      </w:pPr>
      <w:r>
        <w:rPr>
          <w:rFonts w:hint="eastAsia" w:cs="宋体"/>
          <w:color w:val="auto"/>
        </w:rPr>
        <w:t>8）投标有效期、交货期、质保期等商务条款不能满足招标文件要求的；</w:t>
      </w:r>
    </w:p>
    <w:p>
      <w:pPr>
        <w:ind w:firstLine="480"/>
        <w:rPr>
          <w:rFonts w:hint="eastAsia" w:cs="宋体"/>
          <w:color w:val="auto"/>
        </w:rPr>
      </w:pPr>
      <w:r>
        <w:rPr>
          <w:rFonts w:hint="eastAsia" w:cs="宋体"/>
          <w:color w:val="auto"/>
        </w:rPr>
        <w:t>9）投标文件附有采购人不能接受的条款；</w:t>
      </w:r>
    </w:p>
    <w:p>
      <w:pPr>
        <w:ind w:firstLine="480"/>
        <w:rPr>
          <w:rFonts w:hint="eastAsia" w:cs="宋体"/>
          <w:color w:val="auto"/>
        </w:rPr>
      </w:pPr>
      <w:r>
        <w:rPr>
          <w:rFonts w:hint="eastAsia" w:cs="宋体"/>
          <w:color w:val="auto"/>
        </w:rPr>
        <w:t>10）投标文件中提供了与采购无关的赠品、回扣或者其他商品、服务；</w:t>
      </w:r>
    </w:p>
    <w:p>
      <w:pPr>
        <w:ind w:firstLine="480"/>
        <w:rPr>
          <w:rFonts w:hint="eastAsia" w:cs="宋体"/>
          <w:color w:val="auto"/>
        </w:rPr>
      </w:pPr>
      <w:r>
        <w:rPr>
          <w:rFonts w:hint="eastAsia" w:cs="宋体"/>
          <w:color w:val="auto"/>
        </w:rPr>
        <w:t>11）供应商串通投标，妨碍其他供应商的竞争行为，损害采购人或者其他供应商的合法权益；</w:t>
      </w:r>
    </w:p>
    <w:p>
      <w:pPr>
        <w:ind w:firstLine="480"/>
        <w:rPr>
          <w:rFonts w:hint="eastAsia" w:cs="宋体"/>
          <w:color w:val="auto"/>
        </w:rPr>
      </w:pPr>
      <w:r>
        <w:rPr>
          <w:rFonts w:hint="eastAsia" w:cs="宋体"/>
          <w:color w:val="auto"/>
        </w:rPr>
        <w:t>12）违反国家及政府部门相关法律、法规、文件规定或经评标委员会认定的其他属于重大偏离。</w:t>
      </w:r>
    </w:p>
    <w:p>
      <w:pPr>
        <w:ind w:firstLine="480"/>
        <w:rPr>
          <w:rFonts w:hint="eastAsia" w:cs="宋体"/>
          <w:color w:val="auto"/>
        </w:rPr>
      </w:pPr>
      <w:r>
        <w:rPr>
          <w:rFonts w:hint="eastAsia" w:cs="宋体"/>
          <w:color w:val="auto"/>
        </w:rPr>
        <w:t>2、报价文件评审阶段：</w:t>
      </w:r>
    </w:p>
    <w:p>
      <w:pPr>
        <w:ind w:firstLine="480"/>
        <w:rPr>
          <w:rFonts w:hint="eastAsia" w:cs="宋体"/>
          <w:color w:val="auto"/>
        </w:rPr>
      </w:pPr>
      <w:r>
        <w:rPr>
          <w:rFonts w:hint="eastAsia" w:cs="宋体"/>
          <w:color w:val="auto"/>
        </w:rPr>
        <w:t>1）供应商提交两份或两份以上内容不同的投标报价，未声明哪一份有效的；</w:t>
      </w:r>
    </w:p>
    <w:p>
      <w:pPr>
        <w:ind w:firstLine="480"/>
        <w:rPr>
          <w:rFonts w:hint="eastAsia" w:cs="宋体"/>
          <w:color w:val="auto"/>
        </w:rPr>
      </w:pPr>
      <w:r>
        <w:rPr>
          <w:rFonts w:hint="eastAsia" w:cs="宋体"/>
          <w:color w:val="auto"/>
        </w:rPr>
        <w:t>2）投标文件内容未按采购文件规定签字或盖章的；</w:t>
      </w:r>
    </w:p>
    <w:p>
      <w:pPr>
        <w:ind w:firstLine="480"/>
        <w:rPr>
          <w:rFonts w:hint="eastAsia" w:cs="宋体"/>
          <w:color w:val="auto"/>
        </w:rPr>
      </w:pPr>
      <w:r>
        <w:rPr>
          <w:rFonts w:hint="eastAsia" w:cs="宋体"/>
          <w:color w:val="auto"/>
        </w:rPr>
        <w:t>3）《开标一览表》和《投标价格组成明细表》内容不完整且不接受修正意见或字迹不能辨认的或未提供；</w:t>
      </w:r>
    </w:p>
    <w:p>
      <w:pPr>
        <w:ind w:firstLine="480"/>
        <w:rPr>
          <w:rFonts w:hint="eastAsia" w:cs="宋体"/>
          <w:color w:val="auto"/>
        </w:rPr>
      </w:pPr>
      <w:r>
        <w:rPr>
          <w:rFonts w:hint="eastAsia" w:cs="宋体"/>
          <w:color w:val="auto"/>
        </w:rPr>
        <w:t>4）所投标项的投标报价超过采购文件规定的预算金额或最高限价；</w:t>
      </w:r>
    </w:p>
    <w:p>
      <w:pPr>
        <w:ind w:firstLine="480"/>
        <w:rPr>
          <w:rFonts w:hint="eastAsia" w:cs="宋体"/>
          <w:color w:val="auto"/>
        </w:rPr>
      </w:pPr>
      <w:r>
        <w:rPr>
          <w:rFonts w:hint="eastAsia" w:cs="宋体"/>
          <w:color w:val="auto"/>
        </w:rPr>
        <w:t>5）《开标一览表》投标报价为零的，或其报价（大写）无法按正常书写方式进行报价唱标的或无投标报价的；</w:t>
      </w:r>
    </w:p>
    <w:p>
      <w:pPr>
        <w:ind w:firstLine="480"/>
        <w:rPr>
          <w:rFonts w:hint="eastAsia" w:cs="宋体"/>
          <w:color w:val="auto"/>
        </w:rPr>
      </w:pPr>
      <w:r>
        <w:rPr>
          <w:rFonts w:hint="eastAsia" w:cs="宋体"/>
          <w:color w:val="auto"/>
        </w:rPr>
        <w:t>6）投标报价明显高于其市场报价或报价明显不合理或者低于成本，且在规定时间内不能合理说明原因并提供证明材料的；</w:t>
      </w:r>
    </w:p>
    <w:p>
      <w:pPr>
        <w:ind w:firstLine="480"/>
        <w:rPr>
          <w:rFonts w:hint="eastAsia" w:cs="宋体"/>
          <w:color w:val="auto"/>
        </w:rPr>
      </w:pPr>
      <w:r>
        <w:rPr>
          <w:rFonts w:hint="eastAsia" w:cs="宋体"/>
          <w:color w:val="auto"/>
        </w:rPr>
        <w:t>7）投标文件内容不全或内容字迹模糊辨认不清的等而导致评标活动无法正常进行；</w:t>
      </w:r>
    </w:p>
    <w:p>
      <w:pPr>
        <w:ind w:firstLine="480"/>
        <w:rPr>
          <w:rFonts w:hint="eastAsia" w:cs="宋体"/>
          <w:color w:val="auto"/>
        </w:rPr>
      </w:pPr>
      <w:r>
        <w:rPr>
          <w:rFonts w:hint="eastAsia" w:cs="宋体"/>
          <w:color w:val="auto"/>
        </w:rPr>
        <w:t>8）供应商未按采购文件变更通知更改投标文件的；</w:t>
      </w:r>
    </w:p>
    <w:p>
      <w:pPr>
        <w:ind w:firstLine="480"/>
        <w:rPr>
          <w:rFonts w:hint="eastAsia" w:cs="宋体"/>
          <w:color w:val="auto"/>
        </w:rPr>
      </w:pPr>
      <w:r>
        <w:rPr>
          <w:rFonts w:hint="eastAsia" w:cs="宋体"/>
          <w:color w:val="auto"/>
        </w:rPr>
        <w:t>9）未实质性响应采购文件中带“</w:t>
      </w:r>
      <w:r>
        <w:rPr>
          <w:rFonts w:hint="eastAsia" w:cs="宋体"/>
          <w:bCs/>
          <w:color w:val="auto"/>
          <w:kern w:val="0"/>
        </w:rPr>
        <w:t>★</w:t>
      </w:r>
      <w:r>
        <w:rPr>
          <w:rFonts w:hint="eastAsia" w:cs="宋体"/>
          <w:color w:val="auto"/>
        </w:rPr>
        <w:t>”条款要求的投标文件；</w:t>
      </w:r>
    </w:p>
    <w:p>
      <w:pPr>
        <w:ind w:firstLine="480"/>
        <w:rPr>
          <w:rFonts w:hint="eastAsia" w:cs="宋体"/>
          <w:color w:val="auto"/>
        </w:rPr>
      </w:pPr>
      <w:r>
        <w:rPr>
          <w:rFonts w:hint="eastAsia" w:cs="宋体"/>
          <w:color w:val="auto"/>
        </w:rPr>
        <w:t>10）投标文件附有采购人不能接受的条款；</w:t>
      </w:r>
    </w:p>
    <w:p>
      <w:pPr>
        <w:ind w:firstLine="480"/>
        <w:rPr>
          <w:rFonts w:hint="eastAsia" w:cs="宋体"/>
          <w:color w:val="auto"/>
        </w:rPr>
      </w:pPr>
      <w:r>
        <w:rPr>
          <w:rFonts w:hint="eastAsia" w:cs="宋体"/>
          <w:color w:val="auto"/>
        </w:rPr>
        <w:t>11）投标文件中提供了与采购无关的赠品、回扣或者其他商品、服务；</w:t>
      </w:r>
    </w:p>
    <w:p>
      <w:pPr>
        <w:ind w:firstLine="480"/>
        <w:rPr>
          <w:rFonts w:hint="eastAsia" w:cs="宋体"/>
          <w:color w:val="auto"/>
        </w:rPr>
      </w:pPr>
      <w:r>
        <w:rPr>
          <w:rFonts w:hint="eastAsia" w:cs="宋体"/>
          <w:color w:val="auto"/>
        </w:rPr>
        <w:t>12）供应商串通投标，妨碍其他供应商的竞争行为，损害采购人或者其他供应商的合法权益；</w:t>
      </w:r>
    </w:p>
    <w:p>
      <w:pPr>
        <w:ind w:firstLine="480"/>
        <w:rPr>
          <w:rFonts w:hint="eastAsia" w:cs="宋体"/>
          <w:color w:val="auto"/>
        </w:rPr>
      </w:pPr>
      <w:r>
        <w:rPr>
          <w:rFonts w:hint="eastAsia" w:cs="宋体"/>
          <w:color w:val="auto"/>
        </w:rPr>
        <w:t>13）违反国家及政府部门相关法律、法规、文件规定或经评标委员会认定的其他属于重大偏离。</w:t>
      </w:r>
    </w:p>
    <w:p>
      <w:pPr>
        <w:ind w:firstLine="480"/>
        <w:rPr>
          <w:rFonts w:hint="eastAsia" w:cs="宋体"/>
          <w:color w:val="auto"/>
        </w:rPr>
      </w:pPr>
      <w:r>
        <w:rPr>
          <w:rFonts w:hint="eastAsia" w:cs="宋体"/>
          <w:color w:val="auto"/>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cs="宋体"/>
          <w:color w:val="auto"/>
        </w:rPr>
      </w:pPr>
      <w:r>
        <w:rPr>
          <w:rFonts w:hint="eastAsia" w:cs="宋体"/>
          <w:color w:val="auto"/>
        </w:rPr>
        <w:t>（1）不同投标人的投标文件由同一单位或者个人编制；</w:t>
      </w:r>
    </w:p>
    <w:p>
      <w:pPr>
        <w:ind w:firstLine="480"/>
        <w:rPr>
          <w:rFonts w:hint="eastAsia" w:cs="宋体"/>
          <w:color w:val="auto"/>
        </w:rPr>
      </w:pPr>
      <w:r>
        <w:rPr>
          <w:rFonts w:hint="eastAsia" w:cs="宋体"/>
          <w:color w:val="auto"/>
        </w:rPr>
        <w:t>（2）不同投标人委托同一单位或者个人办理投标事宜；</w:t>
      </w:r>
    </w:p>
    <w:p>
      <w:pPr>
        <w:ind w:firstLine="480"/>
        <w:rPr>
          <w:rFonts w:hint="eastAsia" w:cs="宋体"/>
          <w:color w:val="auto"/>
        </w:rPr>
      </w:pPr>
      <w:r>
        <w:rPr>
          <w:rFonts w:hint="eastAsia" w:cs="宋体"/>
          <w:color w:val="auto"/>
        </w:rPr>
        <w:t>（3）不同投标人的投标文件载明的项目管理成员或者联系人员为同一人；</w:t>
      </w:r>
    </w:p>
    <w:p>
      <w:pPr>
        <w:ind w:firstLine="480"/>
        <w:rPr>
          <w:rFonts w:hint="eastAsia" w:cs="宋体"/>
          <w:color w:val="auto"/>
        </w:rPr>
      </w:pPr>
      <w:r>
        <w:rPr>
          <w:rFonts w:hint="eastAsia" w:cs="宋体"/>
          <w:color w:val="auto"/>
        </w:rPr>
        <w:t>（4）不同投标人的投标文件异常一致或者投标报价呈规律性差异；</w:t>
      </w:r>
    </w:p>
    <w:p>
      <w:pPr>
        <w:ind w:firstLine="480"/>
        <w:rPr>
          <w:rFonts w:hint="eastAsia" w:cs="宋体"/>
          <w:color w:val="auto"/>
        </w:rPr>
      </w:pPr>
      <w:r>
        <w:rPr>
          <w:rFonts w:hint="eastAsia" w:cs="宋体"/>
          <w:color w:val="auto"/>
        </w:rPr>
        <w:t>（5）不同投标人的投标文件相互混装；</w:t>
      </w:r>
    </w:p>
    <w:p>
      <w:pPr>
        <w:pStyle w:val="6"/>
        <w:rPr>
          <w:rFonts w:hint="eastAsia" w:ascii="宋体" w:hAnsi="宋体" w:cs="宋体"/>
          <w:color w:val="auto"/>
        </w:rPr>
      </w:pPr>
      <w:r>
        <w:rPr>
          <w:rFonts w:hint="eastAsia" w:ascii="宋体" w:hAnsi="宋体" w:cs="宋体"/>
          <w:color w:val="auto"/>
        </w:rPr>
        <w:t>七、投标品牌认定（依据《财政部令第87号》）</w:t>
      </w:r>
    </w:p>
    <w:p>
      <w:pPr>
        <w:ind w:firstLine="480"/>
        <w:rPr>
          <w:rFonts w:hint="eastAsia" w:cs="宋体"/>
          <w:color w:val="auto"/>
        </w:rPr>
      </w:pPr>
      <w:r>
        <w:rPr>
          <w:rFonts w:hint="eastAsia" w:cs="宋体"/>
          <w:color w:val="auto"/>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cs="宋体"/>
          <w:color w:val="auto"/>
        </w:rPr>
      </w:pPr>
      <w:r>
        <w:rPr>
          <w:rFonts w:hint="eastAsia" w:cs="宋体"/>
          <w:color w:val="auto"/>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hint="eastAsia" w:cs="宋体"/>
          <w:color w:val="auto"/>
        </w:rPr>
      </w:pPr>
      <w:r>
        <w:rPr>
          <w:rFonts w:hint="eastAsia" w:cs="宋体"/>
          <w:color w:val="auto"/>
        </w:rPr>
        <w:t>非单一产品采购项目，采购人应当根据采购项目技术构成、产品价格比重等合理确定核心产品，并在招标文件中载明。多家投标人提供的核心产品品牌相同的，按前两款规定处理。</w:t>
      </w:r>
    </w:p>
    <w:p>
      <w:pPr>
        <w:pStyle w:val="6"/>
        <w:rPr>
          <w:rFonts w:hint="eastAsia" w:ascii="宋体" w:hAnsi="宋体" w:cs="宋体"/>
          <w:color w:val="auto"/>
        </w:rPr>
      </w:pPr>
      <w:r>
        <w:rPr>
          <w:rFonts w:hint="eastAsia" w:ascii="宋体" w:hAnsi="宋体" w:cs="宋体"/>
          <w:color w:val="auto"/>
        </w:rPr>
        <w:t>八、投标的澄清</w:t>
      </w:r>
    </w:p>
    <w:p>
      <w:pPr>
        <w:ind w:firstLine="480"/>
        <w:rPr>
          <w:rFonts w:hint="eastAsia" w:cs="宋体"/>
          <w:color w:val="auto"/>
        </w:rPr>
      </w:pPr>
      <w:r>
        <w:rPr>
          <w:rFonts w:hint="eastAsia" w:cs="宋体"/>
          <w:color w:val="auto"/>
        </w:rPr>
        <w:t>1.对投标文件审查中发现的投标文件表达含义不明确、同类问题表述不一致或者有明显文字与计算错误的内容，评标委员会可通过询标，要求投标人做出澄清。</w:t>
      </w:r>
    </w:p>
    <w:p>
      <w:pPr>
        <w:ind w:firstLine="480"/>
        <w:rPr>
          <w:rFonts w:hint="eastAsia" w:cs="宋体"/>
          <w:color w:val="auto"/>
        </w:rPr>
      </w:pPr>
      <w:r>
        <w:rPr>
          <w:rFonts w:hint="eastAsia" w:cs="宋体"/>
          <w:color w:val="auto"/>
        </w:rPr>
        <w:t>2.政采云有关询标（澄清）操作</w:t>
      </w:r>
    </w:p>
    <w:p>
      <w:pPr>
        <w:ind w:firstLine="480"/>
        <w:rPr>
          <w:rFonts w:hint="eastAsia" w:cs="宋体"/>
          <w:color w:val="auto"/>
        </w:rPr>
      </w:pPr>
      <w:r>
        <w:rPr>
          <w:rFonts w:hint="eastAsia" w:cs="宋体"/>
          <w:color w:val="auto"/>
        </w:rPr>
        <w:t>在开标过程中，如评审小组对投标文件有疑问，由评审组长将问题汇总后发起询标函，或由采购代理机构代替发起。供应商在截止时间前，根据标项回复询标函。</w:t>
      </w:r>
    </w:p>
    <w:p>
      <w:pPr>
        <w:ind w:firstLine="480"/>
        <w:rPr>
          <w:rFonts w:hint="eastAsia" w:cs="宋体"/>
          <w:color w:val="auto"/>
        </w:rPr>
      </w:pPr>
      <w:r>
        <w:rPr>
          <w:rFonts w:hint="eastAsia" w:cs="宋体"/>
          <w:color w:val="auto"/>
        </w:rPr>
        <w:t>路径：用户中心—项目采购—询标澄清</w:t>
      </w:r>
    </w:p>
    <w:p>
      <w:pPr>
        <w:ind w:firstLine="480"/>
        <w:rPr>
          <w:rFonts w:hint="eastAsia" w:cs="宋体"/>
          <w:color w:val="auto"/>
        </w:rPr>
      </w:pPr>
      <w:r>
        <w:rPr>
          <w:rFonts w:hint="eastAsia" w:cs="宋体"/>
          <w:color w:val="auto"/>
        </w:rPr>
        <w:t>3.政采云平台通过待办事项和短信提醒供应商在截止时间前完成澄清。</w:t>
      </w:r>
    </w:p>
    <w:p>
      <w:pPr>
        <w:ind w:firstLine="480"/>
        <w:rPr>
          <w:rFonts w:hint="eastAsia" w:cs="宋体"/>
          <w:color w:val="auto"/>
        </w:rPr>
      </w:pPr>
      <w:r>
        <w:rPr>
          <w:rFonts w:hint="eastAsia" w:cs="宋体"/>
          <w:color w:val="auto"/>
        </w:rPr>
        <w:t>4.供应商在“询标澄清-待办理”标签页下选择状态为“待澄清”的项目，点击操作栏【澄清】。</w:t>
      </w:r>
    </w:p>
    <w:p>
      <w:pPr>
        <w:ind w:firstLine="480"/>
        <w:rPr>
          <w:rFonts w:hint="eastAsia" w:cs="宋体"/>
          <w:color w:val="auto"/>
        </w:rPr>
      </w:pPr>
      <w:r>
        <w:rPr>
          <w:rFonts w:hint="eastAsia" w:cs="宋体"/>
          <w:color w:val="auto"/>
        </w:rPr>
        <w:t>5.查看询标函内容，在澄清截止时间前上传澄清文件并对澄清文件进行签章。（注：澄清文件必须以 PDF 格式上传，文件大小：50M。）</w:t>
      </w:r>
    </w:p>
    <w:p>
      <w:pPr>
        <w:ind w:firstLine="480"/>
        <w:rPr>
          <w:rFonts w:hint="eastAsia" w:cs="宋体"/>
          <w:color w:val="auto"/>
        </w:rPr>
      </w:pPr>
      <w:r>
        <w:rPr>
          <w:rFonts w:hint="eastAsia" w:cs="宋体"/>
          <w:color w:val="auto"/>
        </w:rPr>
        <w:t>6.签章完成，文件名称处显示“已签章”，供应商可“撤回签章”修改澄清函和“查看文件”。</w:t>
      </w:r>
    </w:p>
    <w:p>
      <w:pPr>
        <w:ind w:firstLine="480"/>
        <w:rPr>
          <w:rFonts w:hint="eastAsia" w:cs="宋体"/>
          <w:color w:val="auto"/>
        </w:rPr>
      </w:pPr>
      <w:r>
        <w:rPr>
          <w:rFonts w:hint="eastAsia" w:cs="宋体"/>
          <w:color w:val="auto"/>
        </w:rPr>
        <w:t>7.确认澄清文件内容后，点击右上角【提交】；（注：供应商未对澄清文件签章，提交时，弹框提醒“澄清文件未签章，请进行签章操作”，如遇 CA 突发情况无法签章，供应商可点击【放弃签章并提交】提交澄清文件；反之则签章后再提交。）</w:t>
      </w:r>
    </w:p>
    <w:p>
      <w:pPr>
        <w:ind w:firstLine="480"/>
        <w:rPr>
          <w:rFonts w:hint="eastAsia" w:cs="宋体"/>
          <w:color w:val="auto"/>
        </w:rPr>
      </w:pPr>
      <w:r>
        <w:rPr>
          <w:rFonts w:hint="eastAsia" w:cs="宋体"/>
          <w:color w:val="auto"/>
        </w:rPr>
        <w:t>8.完成状态：供应商澄清文件提交成功后，在“询标澄清-全部”标签页下显示状态为“已澄清”。</w:t>
      </w:r>
    </w:p>
    <w:p>
      <w:pPr>
        <w:ind w:firstLine="480"/>
        <w:rPr>
          <w:rFonts w:hint="eastAsia" w:cs="宋体"/>
          <w:color w:val="auto"/>
        </w:rPr>
      </w:pPr>
      <w:r>
        <w:rPr>
          <w:rFonts w:hint="eastAsia" w:cs="宋体"/>
          <w:color w:val="auto"/>
        </w:rPr>
        <w:t>9.投标人对投标文件的澄清不得超出投标文件的范围或改变投标价格等投标文件的实质性内容。否则，不予接受。</w:t>
      </w:r>
    </w:p>
    <w:p>
      <w:pPr>
        <w:pStyle w:val="6"/>
        <w:rPr>
          <w:rFonts w:hint="eastAsia" w:ascii="宋体" w:hAnsi="宋体" w:cs="宋体"/>
          <w:color w:val="auto"/>
        </w:rPr>
      </w:pPr>
      <w:r>
        <w:rPr>
          <w:rFonts w:hint="eastAsia" w:ascii="宋体" w:hAnsi="宋体" w:cs="宋体"/>
          <w:color w:val="auto"/>
        </w:rPr>
        <w:t>九、评标办法</w:t>
      </w:r>
    </w:p>
    <w:p>
      <w:pPr>
        <w:ind w:firstLine="480"/>
        <w:rPr>
          <w:rFonts w:hint="eastAsia" w:cs="宋体"/>
          <w:color w:val="auto"/>
        </w:rPr>
      </w:pPr>
      <w:r>
        <w:rPr>
          <w:rFonts w:hint="eastAsia" w:cs="宋体"/>
          <w:color w:val="auto"/>
        </w:rPr>
        <w:t>本项目评标办法是综合评分法，具体评标内容及评分标准等详见《第四部分：评标办法及评标标准》。</w:t>
      </w:r>
    </w:p>
    <w:p>
      <w:pPr>
        <w:pStyle w:val="5"/>
        <w:jc w:val="center"/>
        <w:rPr>
          <w:rFonts w:hint="eastAsia" w:ascii="宋体" w:hAnsi="宋体" w:cs="宋体"/>
          <w:color w:val="auto"/>
        </w:rPr>
      </w:pPr>
      <w:bookmarkStart w:id="98" w:name="_Toc7296"/>
      <w:bookmarkStart w:id="99" w:name="_Toc31535"/>
      <w:bookmarkStart w:id="100" w:name="_Toc24239"/>
      <w:r>
        <w:rPr>
          <w:rFonts w:hint="eastAsia" w:ascii="宋体" w:hAnsi="宋体" w:cs="宋体"/>
          <w:color w:val="auto"/>
        </w:rPr>
        <w:t>第七节 授予合同</w:t>
      </w:r>
      <w:bookmarkEnd w:id="98"/>
      <w:bookmarkEnd w:id="99"/>
      <w:bookmarkEnd w:id="100"/>
    </w:p>
    <w:p>
      <w:pPr>
        <w:pStyle w:val="6"/>
        <w:rPr>
          <w:rFonts w:hint="eastAsia" w:ascii="宋体" w:hAnsi="宋体" w:cs="宋体"/>
          <w:color w:val="auto"/>
        </w:rPr>
      </w:pPr>
      <w:r>
        <w:rPr>
          <w:rFonts w:hint="eastAsia" w:ascii="宋体" w:hAnsi="宋体" w:cs="宋体"/>
          <w:color w:val="auto"/>
        </w:rPr>
        <w:t>一、公告及定标</w:t>
      </w:r>
    </w:p>
    <w:p>
      <w:pPr>
        <w:ind w:firstLine="480"/>
        <w:rPr>
          <w:rFonts w:hint="eastAsia" w:cs="宋体"/>
          <w:color w:val="auto"/>
        </w:rPr>
      </w:pPr>
      <w:r>
        <w:rPr>
          <w:rFonts w:hint="eastAsia" w:cs="宋体"/>
          <w:color w:val="auto"/>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cs="宋体"/>
          <w:color w:val="auto"/>
        </w:rPr>
      </w:pPr>
      <w:r>
        <w:rPr>
          <w:rFonts w:hint="eastAsia" w:cs="宋体"/>
          <w:color w:val="auto"/>
        </w:rPr>
        <w:t>2.采购代理机构自中标供应商确定之日起2个工作日内，发出中标通知书，并在政府采购监督管理部门指定网站或媒体上公告中标结果。中标公告期限为1个工作日。</w:t>
      </w:r>
    </w:p>
    <w:p>
      <w:pPr>
        <w:pStyle w:val="6"/>
        <w:rPr>
          <w:rFonts w:hint="eastAsia" w:ascii="宋体" w:hAnsi="宋体" w:cs="宋体"/>
          <w:color w:val="auto"/>
        </w:rPr>
      </w:pPr>
      <w:r>
        <w:rPr>
          <w:rFonts w:hint="eastAsia" w:ascii="宋体" w:hAnsi="宋体" w:cs="宋体"/>
          <w:color w:val="auto"/>
        </w:rPr>
        <w:t>二、签订合同</w:t>
      </w:r>
    </w:p>
    <w:p>
      <w:pPr>
        <w:ind w:firstLine="480"/>
        <w:rPr>
          <w:rFonts w:hint="eastAsia" w:cs="宋体"/>
          <w:color w:val="auto"/>
        </w:rPr>
      </w:pPr>
      <w:r>
        <w:rPr>
          <w:rFonts w:hint="eastAsia" w:cs="宋体"/>
          <w:color w:val="auto"/>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cs="宋体"/>
          <w:color w:val="auto"/>
        </w:rPr>
      </w:pPr>
      <w:r>
        <w:rPr>
          <w:rFonts w:hint="eastAsia" w:cs="宋体"/>
          <w:color w:val="auto"/>
        </w:rPr>
        <w:t>2.招标文件，中标人的投标文件及评标过程中有关澄清文件均应作为合同附件。</w:t>
      </w:r>
    </w:p>
    <w:p>
      <w:pPr>
        <w:pStyle w:val="175"/>
        <w:rPr>
          <w:rFonts w:hint="eastAsia" w:ascii="宋体" w:hAnsi="宋体" w:eastAsia="宋体" w:cs="宋体"/>
          <w:color w:val="auto"/>
        </w:rPr>
      </w:pPr>
    </w:p>
    <w:p>
      <w:pPr>
        <w:pStyle w:val="5"/>
        <w:jc w:val="center"/>
        <w:rPr>
          <w:rFonts w:hint="eastAsia" w:ascii="宋体" w:hAnsi="宋体" w:cs="宋体"/>
          <w:color w:val="auto"/>
        </w:rPr>
      </w:pPr>
      <w:bookmarkStart w:id="101" w:name="_Toc12481"/>
      <w:bookmarkStart w:id="102" w:name="_Toc25660"/>
      <w:bookmarkStart w:id="103" w:name="_Toc15220"/>
      <w:r>
        <w:rPr>
          <w:rFonts w:hint="eastAsia" w:ascii="宋体" w:hAnsi="宋体" w:cs="宋体"/>
          <w:color w:val="auto"/>
        </w:rPr>
        <w:t>第八节 例外处理</w:t>
      </w:r>
      <w:bookmarkEnd w:id="101"/>
      <w:bookmarkEnd w:id="102"/>
      <w:bookmarkEnd w:id="103"/>
    </w:p>
    <w:p>
      <w:pPr>
        <w:ind w:firstLine="480"/>
        <w:rPr>
          <w:rFonts w:hint="eastAsia" w:cs="宋体"/>
          <w:color w:val="auto"/>
        </w:rPr>
      </w:pPr>
      <w:r>
        <w:rPr>
          <w:rFonts w:hint="eastAsia" w:cs="宋体"/>
          <w:color w:val="auto"/>
        </w:rPr>
        <w:t>投标截止时间结束后或评审过程中参加标项投标的供应商不足三家的，除采购任务取消情形外，采购人可选择以下方式之一处理：</w:t>
      </w:r>
    </w:p>
    <w:p>
      <w:pPr>
        <w:ind w:firstLine="480"/>
        <w:rPr>
          <w:rFonts w:hint="eastAsia" w:cs="宋体"/>
          <w:color w:val="auto"/>
        </w:rPr>
      </w:pPr>
      <w:r>
        <w:rPr>
          <w:rFonts w:hint="eastAsia" w:cs="宋体"/>
          <w:color w:val="auto"/>
        </w:rPr>
        <w:t>1.可将本标项作废标处理，重新组织采购；</w:t>
      </w:r>
    </w:p>
    <w:p>
      <w:pPr>
        <w:ind w:firstLine="480"/>
        <w:rPr>
          <w:rFonts w:hint="eastAsia" w:cs="宋体"/>
          <w:color w:val="auto"/>
        </w:rPr>
      </w:pPr>
      <w:r>
        <w:rPr>
          <w:rFonts w:hint="eastAsia" w:cs="宋体"/>
          <w:color w:val="auto"/>
        </w:rPr>
        <w:t>2.可按财政部门的审批意见采用其他采购方式组织采购。</w:t>
      </w:r>
    </w:p>
    <w:p>
      <w:pPr>
        <w:pStyle w:val="19"/>
        <w:rPr>
          <w:rFonts w:hint="eastAsia" w:hAnsi="宋体" w:cs="宋体"/>
          <w:color w:val="auto"/>
        </w:rPr>
      </w:pPr>
    </w:p>
    <w:p>
      <w:pPr>
        <w:pStyle w:val="5"/>
        <w:jc w:val="center"/>
        <w:rPr>
          <w:rFonts w:hint="eastAsia" w:ascii="宋体" w:hAnsi="宋体" w:cs="宋体"/>
          <w:color w:val="auto"/>
          <w:szCs w:val="28"/>
        </w:rPr>
      </w:pPr>
      <w:bookmarkStart w:id="104" w:name="_Toc12855"/>
      <w:r>
        <w:rPr>
          <w:rFonts w:hint="eastAsia" w:ascii="宋体" w:hAnsi="宋体" w:cs="宋体"/>
          <w:color w:val="auto"/>
          <w:szCs w:val="28"/>
        </w:rPr>
        <w:t>第九节  可中止电子交易活动的情形</w:t>
      </w:r>
      <w:bookmarkEnd w:id="104"/>
    </w:p>
    <w:p>
      <w:pPr>
        <w:tabs>
          <w:tab w:val="left" w:pos="0"/>
        </w:tabs>
        <w:ind w:firstLine="540" w:firstLineChars="225"/>
        <w:rPr>
          <w:rFonts w:hint="eastAsia" w:cs="宋体"/>
          <w:color w:val="auto"/>
        </w:rPr>
      </w:pPr>
      <w:r>
        <w:rPr>
          <w:rFonts w:hint="eastAsia" w:cs="宋体"/>
          <w:color w:val="auto"/>
        </w:rPr>
        <w:t>采购过程中出现以下情形，导致电子交易平台无法正常运行，或者无法保证电子交易的公平、公正和安全时，采购组织机构可中止电子交易活动：</w:t>
      </w:r>
    </w:p>
    <w:p>
      <w:pPr>
        <w:tabs>
          <w:tab w:val="left" w:pos="0"/>
        </w:tabs>
        <w:ind w:firstLine="540" w:firstLineChars="225"/>
        <w:rPr>
          <w:rFonts w:hint="eastAsia" w:cs="宋体"/>
          <w:color w:val="auto"/>
        </w:rPr>
      </w:pPr>
      <w:r>
        <w:rPr>
          <w:rFonts w:hint="eastAsia" w:cs="宋体"/>
          <w:color w:val="auto"/>
        </w:rPr>
        <w:t>1.电子交易平台发生故障而无法登录访问的；</w:t>
      </w:r>
    </w:p>
    <w:p>
      <w:pPr>
        <w:tabs>
          <w:tab w:val="left" w:pos="0"/>
        </w:tabs>
        <w:ind w:firstLine="540" w:firstLineChars="225"/>
        <w:rPr>
          <w:rFonts w:hint="eastAsia" w:cs="宋体"/>
          <w:color w:val="auto"/>
        </w:rPr>
      </w:pPr>
      <w:r>
        <w:rPr>
          <w:rFonts w:hint="eastAsia" w:cs="宋体"/>
          <w:color w:val="auto"/>
        </w:rPr>
        <w:t>2.电子交易平台应用或数据库出现错误，不能进行正常操作的；</w:t>
      </w:r>
    </w:p>
    <w:p>
      <w:pPr>
        <w:tabs>
          <w:tab w:val="left" w:pos="0"/>
        </w:tabs>
        <w:ind w:firstLine="540" w:firstLineChars="225"/>
        <w:rPr>
          <w:rFonts w:hint="eastAsia" w:cs="宋体"/>
          <w:color w:val="auto"/>
        </w:rPr>
      </w:pPr>
      <w:r>
        <w:rPr>
          <w:rFonts w:hint="eastAsia" w:cs="宋体"/>
          <w:color w:val="auto"/>
        </w:rPr>
        <w:t>3.电子交易平台发现严重安全漏洞，有潜在泄密危险的；</w:t>
      </w:r>
    </w:p>
    <w:p>
      <w:pPr>
        <w:tabs>
          <w:tab w:val="left" w:pos="0"/>
        </w:tabs>
        <w:ind w:firstLine="540" w:firstLineChars="225"/>
        <w:rPr>
          <w:rFonts w:hint="eastAsia" w:cs="宋体"/>
          <w:color w:val="auto"/>
        </w:rPr>
      </w:pPr>
      <w:r>
        <w:rPr>
          <w:rFonts w:hint="eastAsia" w:cs="宋体"/>
          <w:color w:val="auto"/>
        </w:rPr>
        <w:t>4.病毒发作导致不能进行正常操作的；</w:t>
      </w:r>
    </w:p>
    <w:p>
      <w:pPr>
        <w:tabs>
          <w:tab w:val="left" w:pos="0"/>
        </w:tabs>
        <w:ind w:firstLine="540" w:firstLineChars="225"/>
        <w:rPr>
          <w:rFonts w:hint="eastAsia" w:cs="宋体"/>
          <w:color w:val="auto"/>
        </w:rPr>
      </w:pPr>
      <w:r>
        <w:rPr>
          <w:rFonts w:hint="eastAsia" w:cs="宋体"/>
          <w:color w:val="auto"/>
        </w:rPr>
        <w:t>5.其他无法保证电子交易的公平、公正和安全的情况。</w:t>
      </w:r>
    </w:p>
    <w:p>
      <w:pPr>
        <w:tabs>
          <w:tab w:val="left" w:pos="0"/>
        </w:tabs>
        <w:ind w:firstLine="540" w:firstLineChars="225"/>
        <w:rPr>
          <w:rFonts w:hint="eastAsia" w:cs="宋体"/>
          <w:color w:val="auto"/>
        </w:rPr>
      </w:pPr>
      <w:r>
        <w:rPr>
          <w:rFonts w:hint="eastAsia" w:cs="宋体"/>
          <w:color w:val="auto"/>
        </w:rPr>
        <w:t>6.出现前款规定情形，不影响采购公平、公正性的，采购代理机构可以待上述情形消除后继续组织电子交易活动；影响或可能影响采购公平、公正性的，应当重新采购。</w:t>
      </w:r>
    </w:p>
    <w:p>
      <w:pPr>
        <w:pStyle w:val="19"/>
        <w:rPr>
          <w:rFonts w:hint="eastAsia"/>
          <w:color w:val="auto"/>
        </w:rPr>
        <w:sectPr>
          <w:pgSz w:w="11906" w:h="16838"/>
          <w:pgMar w:top="1247" w:right="1247" w:bottom="1247" w:left="1247" w:header="170" w:footer="567" w:gutter="0"/>
          <w:pgBorders>
            <w:top w:val="none" w:sz="0" w:space="0"/>
            <w:left w:val="none" w:sz="0" w:space="0"/>
            <w:bottom w:val="none" w:sz="0" w:space="0"/>
            <w:right w:val="none" w:sz="0" w:space="0"/>
          </w:pgBorders>
          <w:cols w:space="720" w:num="1"/>
          <w:docGrid w:linePitch="381" w:charSpace="0"/>
        </w:sectPr>
      </w:pPr>
    </w:p>
    <w:p>
      <w:pPr>
        <w:pStyle w:val="4"/>
        <w:rPr>
          <w:rFonts w:hint="eastAsia" w:cs="宋体"/>
          <w:color w:val="auto"/>
        </w:rPr>
      </w:pPr>
      <w:bookmarkStart w:id="105" w:name="_Toc82338233"/>
      <w:bookmarkStart w:id="106" w:name="_Toc450840079"/>
      <w:bookmarkStart w:id="107" w:name="_Toc82873316"/>
      <w:bookmarkStart w:id="108" w:name="_Toc2815"/>
      <w:r>
        <w:rPr>
          <w:rFonts w:hint="eastAsia" w:cs="宋体"/>
          <w:color w:val="auto"/>
        </w:rPr>
        <w:t xml:space="preserve">第四章 </w:t>
      </w:r>
      <w:bookmarkEnd w:id="105"/>
      <w:bookmarkEnd w:id="106"/>
      <w:bookmarkEnd w:id="107"/>
      <w:r>
        <w:rPr>
          <w:rFonts w:hint="eastAsia" w:cs="宋体"/>
          <w:color w:val="auto"/>
        </w:rPr>
        <w:t>评标办法及评分标准</w:t>
      </w:r>
      <w:bookmarkEnd w:id="108"/>
    </w:p>
    <w:p>
      <w:pPr>
        <w:pStyle w:val="5"/>
        <w:rPr>
          <w:rFonts w:hint="eastAsia" w:ascii="宋体" w:hAnsi="宋体" w:cs="宋体"/>
          <w:color w:val="auto"/>
          <w:sz w:val="24"/>
          <w:szCs w:val="24"/>
        </w:rPr>
      </w:pPr>
      <w:bookmarkStart w:id="109" w:name="_Toc22326"/>
      <w:bookmarkStart w:id="110" w:name="_Toc3110"/>
      <w:bookmarkStart w:id="111" w:name="_Toc11391"/>
      <w:bookmarkStart w:id="112" w:name="_Toc3811"/>
      <w:bookmarkStart w:id="113" w:name="OLE_LINK3"/>
      <w:bookmarkStart w:id="114" w:name="_Toc82338234"/>
      <w:bookmarkStart w:id="115" w:name="_Toc450840083"/>
      <w:bookmarkStart w:id="116" w:name="_Toc82873317"/>
      <w:r>
        <w:rPr>
          <w:rFonts w:hint="eastAsia" w:ascii="宋体" w:hAnsi="宋体" w:cs="宋体"/>
          <w:color w:val="auto"/>
          <w:sz w:val="24"/>
          <w:szCs w:val="24"/>
        </w:rPr>
        <w:t>一、评分总则</w:t>
      </w:r>
      <w:bookmarkEnd w:id="109"/>
      <w:r>
        <w:rPr>
          <w:rFonts w:hint="eastAsia" w:ascii="宋体" w:hAnsi="宋体" w:cs="宋体"/>
          <w:color w:val="auto"/>
          <w:sz w:val="24"/>
          <w:szCs w:val="24"/>
        </w:rPr>
        <w:t xml:space="preserve">  </w:t>
      </w:r>
    </w:p>
    <w:p>
      <w:pPr>
        <w:ind w:firstLine="480"/>
        <w:rPr>
          <w:rFonts w:hint="eastAsia" w:cs="宋体"/>
          <w:color w:val="auto"/>
        </w:rPr>
      </w:pPr>
      <w:r>
        <w:rPr>
          <w:rFonts w:hint="eastAsia" w:cs="宋体"/>
          <w:color w:val="auto"/>
        </w:rPr>
        <w:t>以招标文件要求为基础，考虑各项相关因素的影响，将相关因素以定量计算的办法转换成分数表示形式，以最高“评标分数”确定评标结果顺序。</w:t>
      </w:r>
    </w:p>
    <w:p>
      <w:pPr>
        <w:ind w:firstLine="480"/>
        <w:rPr>
          <w:rFonts w:hint="eastAsia" w:cs="宋体"/>
          <w:color w:val="auto"/>
        </w:rPr>
      </w:pPr>
      <w:r>
        <w:rPr>
          <w:rFonts w:hint="eastAsia" w:cs="宋体"/>
          <w:color w:val="auto"/>
        </w:rPr>
        <w:t>本次招标的评标采用</w:t>
      </w:r>
      <w:r>
        <w:rPr>
          <w:rFonts w:hint="eastAsia" w:cs="宋体"/>
          <w:b/>
          <w:color w:val="auto"/>
        </w:rPr>
        <w:t>综合评分法</w:t>
      </w:r>
      <w:r>
        <w:rPr>
          <w:rFonts w:hint="eastAsia" w:cs="宋体"/>
          <w:color w:val="auto"/>
        </w:rPr>
        <w:t>。</w:t>
      </w:r>
    </w:p>
    <w:bookmarkEnd w:id="110"/>
    <w:bookmarkEnd w:id="111"/>
    <w:bookmarkEnd w:id="112"/>
    <w:bookmarkEnd w:id="113"/>
    <w:p>
      <w:pPr>
        <w:ind w:firstLine="480"/>
        <w:rPr>
          <w:rFonts w:hint="eastAsia" w:cs="宋体"/>
          <w:color w:val="auto"/>
        </w:rPr>
      </w:pPr>
      <w:r>
        <w:rPr>
          <w:rFonts w:hint="eastAsia" w:cs="宋体"/>
          <w:color w:val="auto"/>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cs="宋体"/>
          <w:color w:val="auto"/>
        </w:rPr>
      </w:pPr>
      <w:r>
        <w:rPr>
          <w:rFonts w:hint="eastAsia" w:cs="宋体"/>
          <w:color w:val="auto"/>
        </w:rPr>
        <w:t>评分过程中采用四舍五入法，并保留小数2位</w:t>
      </w:r>
    </w:p>
    <w:p>
      <w:pPr>
        <w:ind w:firstLine="480"/>
        <w:rPr>
          <w:rFonts w:hint="eastAsia" w:cs="宋体"/>
          <w:color w:val="auto"/>
        </w:rPr>
      </w:pPr>
      <w:r>
        <w:rPr>
          <w:rFonts w:hint="eastAsia" w:cs="宋体"/>
          <w:color w:val="auto"/>
        </w:rPr>
        <w:t>投标人评标综合得分=商务资信分+技术分+价格分</w:t>
      </w:r>
    </w:p>
    <w:p>
      <w:pPr>
        <w:ind w:firstLine="480"/>
        <w:rPr>
          <w:rFonts w:hint="eastAsia" w:cs="宋体"/>
          <w:color w:val="auto"/>
        </w:rPr>
      </w:pPr>
      <w:r>
        <w:rPr>
          <w:rFonts w:hint="eastAsia" w:cs="宋体"/>
          <w:color w:val="auto"/>
        </w:rPr>
        <w:t>商务技术分按照评标委员会成员的独立评分结果的算术平均分计算，计算公式为：商务技术分=（评标委员会所有成员评分合计数）/（评标委员会组成人员数）</w:t>
      </w:r>
    </w:p>
    <w:p>
      <w:pPr>
        <w:pStyle w:val="5"/>
        <w:rPr>
          <w:rFonts w:hint="eastAsia" w:ascii="宋体" w:hAnsi="宋体" w:cs="宋体"/>
          <w:color w:val="auto"/>
          <w:sz w:val="24"/>
          <w:szCs w:val="24"/>
        </w:rPr>
      </w:pPr>
      <w:bookmarkStart w:id="117" w:name="_Toc7789"/>
      <w:bookmarkStart w:id="118" w:name="_Toc7047"/>
      <w:r>
        <w:rPr>
          <w:rFonts w:hint="eastAsia" w:ascii="宋体" w:hAnsi="宋体" w:cs="宋体"/>
          <w:color w:val="auto"/>
          <w:sz w:val="24"/>
          <w:szCs w:val="24"/>
        </w:rPr>
        <w:t>二</w:t>
      </w:r>
      <w:bookmarkEnd w:id="117"/>
      <w:r>
        <w:rPr>
          <w:rFonts w:hint="eastAsia" w:ascii="宋体" w:hAnsi="宋体" w:cs="宋体"/>
          <w:color w:val="auto"/>
          <w:sz w:val="24"/>
          <w:szCs w:val="24"/>
        </w:rPr>
        <w:t>、评标程序：</w:t>
      </w:r>
      <w:bookmarkEnd w:id="118"/>
    </w:p>
    <w:p>
      <w:pPr>
        <w:ind w:firstLine="482"/>
        <w:rPr>
          <w:rFonts w:hint="eastAsia" w:cs="宋体"/>
          <w:b/>
          <w:color w:val="auto"/>
        </w:rPr>
      </w:pPr>
      <w:r>
        <w:rPr>
          <w:rFonts w:hint="eastAsia" w:cs="宋体"/>
          <w:b/>
          <w:color w:val="auto"/>
        </w:rPr>
        <w:t>2.1第一阶段评审</w:t>
      </w:r>
    </w:p>
    <w:p>
      <w:pPr>
        <w:ind w:firstLine="480"/>
        <w:rPr>
          <w:rFonts w:hint="eastAsia" w:cs="宋体"/>
          <w:b/>
          <w:color w:val="auto"/>
        </w:rPr>
      </w:pPr>
      <w:r>
        <w:rPr>
          <w:rFonts w:hint="eastAsia" w:cs="宋体"/>
          <w:color w:val="auto"/>
        </w:rPr>
        <w:t>★2.1.1商务和技术文件初步审查：包含资格性审查和符合性审查。资格性审查是指采购人或代理机构根据“附表1资格性审查表”的要求对投标文件逐一进行评审。符合性审查是指评标委员会根据“附表2符合性审查表”的要求对投标文件逐一进行评审。</w:t>
      </w:r>
      <w:r>
        <w:rPr>
          <w:rFonts w:hint="eastAsia" w:cs="宋体"/>
          <w:b/>
          <w:color w:val="auto"/>
        </w:rPr>
        <w:t>资格性审查和符合性审查中，有任意一项审查结论不合格的，作无效标处理。</w:t>
      </w:r>
    </w:p>
    <w:p>
      <w:pPr>
        <w:ind w:firstLine="480"/>
        <w:rPr>
          <w:rFonts w:hint="eastAsia" w:cs="宋体"/>
          <w:color w:val="auto"/>
        </w:rPr>
      </w:pPr>
      <w:r>
        <w:rPr>
          <w:rFonts w:hint="eastAsia" w:cs="宋体"/>
          <w:color w:val="auto"/>
        </w:rPr>
        <w:t>2.1.2</w:t>
      </w:r>
      <w:r>
        <w:rPr>
          <w:rFonts w:hint="eastAsia" w:cs="宋体"/>
          <w:color w:val="auto"/>
          <w:lang w:val="zh-CN"/>
        </w:rPr>
        <w:t>比较与评价：</w:t>
      </w:r>
      <w:r>
        <w:rPr>
          <w:rFonts w:hint="eastAsia" w:cs="宋体"/>
          <w:color w:val="auto"/>
        </w:rPr>
        <w:t>评标委员会根据“附表3评分表（兼评委打分表）”的要求，</w:t>
      </w:r>
      <w:r>
        <w:rPr>
          <w:rFonts w:hint="eastAsia" w:cs="宋体"/>
          <w:color w:val="auto"/>
          <w:lang w:val="zh-CN"/>
        </w:rPr>
        <w:t>对照投标文件的应答进行比较，判定其偏差性质和程度，</w:t>
      </w:r>
      <w:r>
        <w:rPr>
          <w:rFonts w:hint="eastAsia" w:cs="宋体"/>
          <w:color w:val="auto"/>
        </w:rPr>
        <w:t>由评标委员会成员在分值范围内自行评分。供应商商务和技术得分为各评标委员会成员有效评分的算术平均值（小数点后保留二位数）。</w:t>
      </w:r>
    </w:p>
    <w:p>
      <w:pPr>
        <w:ind w:firstLine="482"/>
        <w:rPr>
          <w:rFonts w:hint="eastAsia" w:cs="宋体"/>
          <w:b/>
          <w:color w:val="auto"/>
        </w:rPr>
      </w:pPr>
      <w:r>
        <w:rPr>
          <w:rFonts w:hint="eastAsia" w:cs="宋体"/>
          <w:b/>
          <w:color w:val="auto"/>
        </w:rPr>
        <w:t>2.2第二阶段评审</w:t>
      </w:r>
    </w:p>
    <w:p>
      <w:pPr>
        <w:ind w:firstLine="480"/>
        <w:rPr>
          <w:rFonts w:hint="eastAsia" w:cs="宋体"/>
          <w:b/>
          <w:color w:val="auto"/>
        </w:rPr>
      </w:pPr>
      <w:r>
        <w:rPr>
          <w:rFonts w:hint="eastAsia" w:cs="宋体"/>
          <w:color w:val="auto"/>
        </w:rPr>
        <w:t>★2.2.1报价文件审查：投标报价超出最高限价或预算金额的</w:t>
      </w:r>
      <w:r>
        <w:rPr>
          <w:rFonts w:hint="eastAsia" w:cs="宋体"/>
          <w:b/>
          <w:color w:val="auto"/>
        </w:rPr>
        <w:t>，审查结论不合格的，作无效标处理。</w:t>
      </w:r>
    </w:p>
    <w:p>
      <w:pPr>
        <w:ind w:firstLine="480"/>
        <w:rPr>
          <w:rFonts w:hint="eastAsia" w:cs="宋体"/>
          <w:color w:val="auto"/>
        </w:rPr>
      </w:pPr>
      <w:r>
        <w:rPr>
          <w:rFonts w:hint="eastAsia" w:cs="宋体"/>
          <w:color w:val="auto"/>
        </w:rPr>
        <w:t>2.2.2综合评估：供应商的综合得分为商务和技术得分与报价得分之和。</w:t>
      </w:r>
    </w:p>
    <w:p>
      <w:pPr>
        <w:ind w:firstLine="480"/>
        <w:rPr>
          <w:rFonts w:hint="eastAsia" w:cs="宋体"/>
          <w:color w:val="auto"/>
        </w:rPr>
      </w:pPr>
      <w:r>
        <w:rPr>
          <w:rFonts w:hint="eastAsia" w:cs="宋体"/>
          <w:color w:val="auto"/>
        </w:rPr>
        <w:t>2.2.3推荐中标候选人：按综合得分由高到低进行排序，推荐综合得分排序第1的供应商为中标候选人。若供应商的综合得分相等，则投标报价低者列前；若投标报价也相同时，采取随机抽签的方式确定排序。</w:t>
      </w:r>
    </w:p>
    <w:p>
      <w:pPr>
        <w:ind w:firstLine="482"/>
        <w:rPr>
          <w:rFonts w:hint="eastAsia" w:cs="宋体"/>
          <w:b/>
          <w:color w:val="auto"/>
        </w:rPr>
      </w:pPr>
      <w:r>
        <w:rPr>
          <w:rFonts w:hint="eastAsia" w:cs="宋体"/>
          <w:b/>
          <w:color w:val="auto"/>
        </w:rPr>
        <w:t>2.3确定中标供应商</w:t>
      </w:r>
    </w:p>
    <w:p>
      <w:pPr>
        <w:ind w:firstLine="480"/>
        <w:rPr>
          <w:rFonts w:hint="eastAsia" w:cs="宋体"/>
          <w:color w:val="auto"/>
        </w:rPr>
      </w:pPr>
      <w:r>
        <w:rPr>
          <w:rFonts w:hint="eastAsia" w:cs="宋体"/>
          <w:color w:val="auto"/>
        </w:rPr>
        <w:t>评标委员会按综合得分由高到低排序，依次依序向采购人推荐两位中标候选人。代理机构应当自评审结束之日起2个工作日内将评审报告送交采购人。采购人应当自收到评审报告之日起5个工作日内在评审报告推荐的中标候选人中按顺序确定中标供应商。中标供应商因不可抗力或者自身原因不能履行政府采购合同的，采购人将重新招标。</w:t>
      </w:r>
    </w:p>
    <w:p>
      <w:pPr>
        <w:ind w:firstLine="482"/>
        <w:rPr>
          <w:rFonts w:hint="eastAsia" w:cs="宋体"/>
          <w:b/>
          <w:color w:val="auto"/>
        </w:rPr>
      </w:pPr>
      <w:r>
        <w:rPr>
          <w:rFonts w:hint="eastAsia" w:cs="宋体"/>
          <w:b/>
          <w:color w:val="auto"/>
        </w:rPr>
        <w:t>三、投标的澄清</w:t>
      </w:r>
    </w:p>
    <w:p>
      <w:pPr>
        <w:ind w:firstLine="480"/>
        <w:rPr>
          <w:rFonts w:hint="eastAsia" w:cs="宋体"/>
          <w:color w:val="auto"/>
        </w:rPr>
      </w:pPr>
      <w:r>
        <w:rPr>
          <w:rFonts w:hint="eastAsia" w:cs="宋体"/>
          <w:color w:val="auto"/>
        </w:rPr>
        <w:t>3.1对投标文件审查中发现的投标文件表达含义不明确、同类问题表述不一致或者有明显文字和计算错误的内容，评标委员会可通过询标，要求供应商做出澄清。供应商必须按照代理机构通知的时间、方式派技术和商务人员进行答疑和澄清。</w:t>
      </w:r>
    </w:p>
    <w:p>
      <w:pPr>
        <w:ind w:firstLine="480"/>
        <w:rPr>
          <w:rFonts w:hint="eastAsia" w:cs="宋体"/>
          <w:color w:val="auto"/>
        </w:rPr>
      </w:pPr>
      <w:r>
        <w:rPr>
          <w:rFonts w:hint="eastAsia" w:cs="宋体"/>
          <w:color w:val="auto"/>
        </w:rPr>
        <w:t>3.2供应商应对需要澄清的问题作书面回答，该书面回答应有电子盖章，书面澄清将作为投标内容的一部分。</w:t>
      </w:r>
    </w:p>
    <w:p>
      <w:pPr>
        <w:ind w:firstLine="480"/>
        <w:rPr>
          <w:rFonts w:hint="eastAsia" w:cs="宋体"/>
          <w:color w:val="auto"/>
        </w:rPr>
      </w:pPr>
      <w:r>
        <w:rPr>
          <w:rFonts w:hint="eastAsia" w:cs="宋体"/>
          <w:color w:val="auto"/>
        </w:rPr>
        <w:t>3.3供应商对投标文件的澄清不得超出投标文件的范围或改变投标价格等投标文件的实质性内容。</w:t>
      </w:r>
    </w:p>
    <w:p>
      <w:pPr>
        <w:ind w:firstLine="480"/>
        <w:rPr>
          <w:rFonts w:hint="eastAsia" w:cs="宋体"/>
          <w:color w:val="auto"/>
        </w:rPr>
      </w:pPr>
      <w:r>
        <w:rPr>
          <w:rFonts w:hint="eastAsia" w:cs="宋体"/>
          <w:color w:val="auto"/>
        </w:rPr>
        <w:t>3.4若供应商未响应澄清安排的通知进行答疑和澄清，将被视作自动放弃。</w:t>
      </w:r>
    </w:p>
    <w:p>
      <w:pPr>
        <w:spacing w:line="400" w:lineRule="exact"/>
        <w:ind w:firstLine="482"/>
        <w:rPr>
          <w:rFonts w:hint="eastAsia" w:cs="宋体"/>
          <w:b/>
          <w:color w:val="auto"/>
          <w:szCs w:val="21"/>
        </w:rPr>
      </w:pPr>
      <w:r>
        <w:rPr>
          <w:rFonts w:hint="eastAsia" w:cs="宋体"/>
          <w:b/>
          <w:color w:val="auto"/>
          <w:szCs w:val="21"/>
        </w:rPr>
        <w:t>附表1：</w:t>
      </w:r>
    </w:p>
    <w:p>
      <w:pPr>
        <w:spacing w:line="400" w:lineRule="exact"/>
        <w:ind w:firstLine="48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资格审查表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审查因素</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审查内容</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营业执照（副本）复印件 </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（1）如投标人是企业（包括合伙企业），提供在工商部门注册的有效“企业法人营业执照”或“营业执照”；</w:t>
            </w:r>
          </w:p>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（2）如投标人是事业单位，提供有效的“事业单位法人证书”；</w:t>
            </w:r>
          </w:p>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（3）如投标人是非企业专业服务机构的，提供执业许可证等证明文件；</w:t>
            </w:r>
          </w:p>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（4）如投标人是个体工商户，提供有效的“个体工商户营业执照”；</w:t>
            </w:r>
          </w:p>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（5）如投标人是自然人，提供有效的自然人身份证明。</w:t>
            </w:r>
          </w:p>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上一年度财务报告</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CN"/>
              </w:rPr>
              <w:t>202</w:t>
            </w:r>
            <w:r>
              <w:rPr>
                <w:rFonts w:hint="eastAsia" w:eastAsia="宋体" w:cs="宋体"/>
                <w:color w:val="auto"/>
                <w:szCs w:val="21"/>
                <w:highlight w:val="none"/>
                <w:lang w:val="en-US" w:eastAsia="zh-CN"/>
              </w:rPr>
              <w:t>0</w:t>
            </w:r>
            <w:r>
              <w:rPr>
                <w:rFonts w:hint="eastAsia" w:ascii="宋体" w:hAnsi="宋体" w:eastAsia="宋体" w:cs="宋体"/>
                <w:color w:val="auto"/>
                <w:szCs w:val="21"/>
                <w:highlight w:val="none"/>
              </w:rPr>
              <w:t>年度财务会计报表复印件加盖供应商公章（供应商注册成立不足一年的，应提供投标截止时间前一个月的财务会计报表）</w:t>
            </w:r>
            <w:r>
              <w:rPr>
                <w:rFonts w:hint="eastAsia" w:ascii="宋体" w:hAnsi="宋体" w:eastAsia="宋体" w:cs="宋体"/>
                <w:color w:val="auto"/>
                <w:highlight w:val="none"/>
                <w:lang w:val="en-US" w:eastAsia="zh-CN"/>
              </w:rPr>
              <w:t>或开标前三个月内出具的银行资信证明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承诺函</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提供承诺函，格式附后。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纳税证明复印件、社保缴纳证明复印件</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（1）最近六个月任意一月依法缴纳税收的证明材料指投标人参加政府采购活动前最近六个月任意一月内依法缴纳税收的凭据（完税证明或纳税证明或银行电子缴税付款凭证等）；</w:t>
            </w:r>
          </w:p>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（2）依法免税的投标人，应提供相应文件证明其依法免税；</w:t>
            </w:r>
          </w:p>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（3）最近六个月任意一月依法缴纳社会保障资金的证明材料指投标人参加政府采购活动前最近六个月任意一月内依法缴纳社会保险的凭据（社保缴费专用收据或银行电子缴税付款凭证或社会保险缴纳清单等）；</w:t>
            </w:r>
          </w:p>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（4）依法不需要缴纳社会保障资金的投标人，应提供相应文件证明其依法不需要缴纳社会保障资金；</w:t>
            </w:r>
          </w:p>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投标人在《无重大违法记录声明函》中承诺参加政府采购活动前三年内，在经营活动中无重大违法记录书面声明</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提供《无重大违法记录声明函》，格式以采购文件附件为准。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诚信记录</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投标人“信用中国”网站（www.creditchina.gov.cn）、中国政府采购网（www.ccgp.gov.cn）信用记录情况无不良记录。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开标当日为准对投标人“信用中国”网站（www.creditchina.gov.cn）、中国政府采购网（www.ccgp.gov.cn）信用记录情况进行核实，未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lang w:val="en-US" w:eastAsia="zh-CN"/>
              </w:rPr>
            </w:pPr>
            <w:r>
              <w:rPr>
                <w:rFonts w:hint="eastAsia" w:cs="宋体"/>
                <w:color w:val="auto"/>
                <w:highlight w:val="none"/>
                <w:lang w:val="en-US" w:eastAsia="zh-CN"/>
              </w:rPr>
              <w:t>联合体投标</w:t>
            </w:r>
          </w:p>
        </w:tc>
        <w:tc>
          <w:tcPr>
            <w:tcW w:w="171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center"/>
              <w:rPr>
                <w:rFonts w:hint="eastAsia" w:ascii="宋体" w:hAnsi="宋体" w:eastAsia="宋体" w:cs="宋体"/>
                <w:color w:val="auto"/>
                <w:highlight w:val="none"/>
                <w:lang w:eastAsia="zh-CN"/>
              </w:rPr>
            </w:pPr>
            <w:r>
              <w:rPr>
                <w:rFonts w:hint="eastAsia" w:cs="宋体"/>
                <w:color w:val="auto"/>
                <w:highlight w:val="none"/>
                <w:lang w:eastAsia="zh-CN"/>
              </w:rPr>
              <w:t>是否为联合体投标</w:t>
            </w:r>
          </w:p>
        </w:tc>
        <w:tc>
          <w:tcPr>
            <w:tcW w:w="51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0" w:firstLineChars="0"/>
              <w:jc w:val="left"/>
              <w:rPr>
                <w:rFonts w:hint="eastAsia" w:ascii="宋体" w:hAnsi="宋体" w:eastAsia="宋体" w:cs="宋体"/>
                <w:color w:val="auto"/>
                <w:highlight w:val="none"/>
                <w:lang w:eastAsia="zh-CN"/>
              </w:rPr>
            </w:pPr>
            <w:r>
              <w:rPr>
                <w:rFonts w:hint="eastAsia" w:cs="宋体"/>
                <w:color w:val="auto"/>
                <w:highlight w:val="none"/>
                <w:lang w:eastAsia="zh-CN"/>
              </w:rPr>
              <w:t>本项目不接受联合体投标</w:t>
            </w:r>
          </w:p>
        </w:tc>
      </w:tr>
    </w:tbl>
    <w:p>
      <w:pPr>
        <w:spacing w:line="400" w:lineRule="exact"/>
        <w:ind w:firstLine="482"/>
        <w:rPr>
          <w:rFonts w:hint="eastAsia" w:ascii="宋体" w:hAnsi="宋体" w:eastAsia="宋体" w:cs="宋体"/>
          <w:b/>
          <w:bCs/>
          <w:color w:val="auto"/>
          <w:highlight w:val="none"/>
        </w:rPr>
      </w:pPr>
      <w:r>
        <w:rPr>
          <w:rFonts w:hint="eastAsia" w:ascii="宋体" w:hAnsi="宋体" w:eastAsia="宋体" w:cs="宋体"/>
          <w:b/>
          <w:color w:val="auto"/>
          <w:highlight w:val="none"/>
        </w:rPr>
        <w:t>注：</w:t>
      </w:r>
      <w:r>
        <w:rPr>
          <w:rFonts w:hint="eastAsia" w:ascii="宋体" w:hAnsi="宋体" w:eastAsia="宋体" w:cs="宋体"/>
          <w:b/>
          <w:bCs/>
          <w:color w:val="auto"/>
          <w:highlight w:val="none"/>
        </w:rPr>
        <w:t>1、上述资格证明文件未按招标文件要求附入投标文件中的，资格性审查不合格。</w:t>
      </w:r>
    </w:p>
    <w:p>
      <w:pPr>
        <w:spacing w:line="40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2、上述审查项目中，任意一项不符合的，资格性审查不合格。</w:t>
      </w:r>
    </w:p>
    <w:p>
      <w:pPr>
        <w:spacing w:line="400" w:lineRule="exact"/>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3、供应商注册成立不足一年的，应提供供应商单位成立至今的财务会计报表、缴纳税收的证明资料、缴纳社保的证明资料复印件加盖供应商公章。</w:t>
      </w:r>
    </w:p>
    <w:p>
      <w:pPr>
        <w:spacing w:line="400" w:lineRule="exact"/>
        <w:ind w:firstLine="482"/>
        <w:rPr>
          <w:rFonts w:hint="eastAsia" w:ascii="宋体" w:hAnsi="宋体" w:eastAsia="宋体" w:cs="宋体"/>
          <w:b/>
          <w:color w:val="auto"/>
          <w:highlight w:val="none"/>
        </w:rPr>
      </w:pPr>
      <w:r>
        <w:rPr>
          <w:rFonts w:hint="eastAsia" w:ascii="宋体" w:hAnsi="宋体" w:eastAsia="宋体" w:cs="宋体"/>
          <w:b/>
          <w:bCs/>
          <w:color w:val="auto"/>
          <w:highlight w:val="none"/>
        </w:rPr>
        <w:t>4、依法免税或不需要缴纳社保的供应商，应提供相应文件证明其依法免税或不需要缴纳社保。</w:t>
      </w:r>
    </w:p>
    <w:p>
      <w:pPr>
        <w:spacing w:line="400" w:lineRule="exact"/>
        <w:ind w:firstLine="482"/>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附表2：</w:t>
      </w:r>
    </w:p>
    <w:p>
      <w:pPr>
        <w:spacing w:line="400" w:lineRule="exact"/>
        <w:ind w:firstLine="48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符合性审查表</w:t>
      </w:r>
      <w:r>
        <w:rPr>
          <w:rFonts w:hint="eastAsia" w:eastAsia="宋体" w:cs="宋体"/>
          <w:b/>
          <w:color w:val="auto"/>
          <w:szCs w:val="21"/>
          <w:highlight w:val="none"/>
          <w:lang w:val="en-US" w:eastAsia="zh-CN"/>
        </w:rPr>
        <w:t>(可放弃关联)</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7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top"/>
          </w:tcPr>
          <w:p>
            <w:pPr>
              <w:spacing w:line="400" w:lineRule="exact"/>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174" w:type="dxa"/>
            <w:noWrap w:val="0"/>
            <w:vAlign w:val="top"/>
          </w:tcPr>
          <w:p>
            <w:pPr>
              <w:spacing w:line="400" w:lineRule="exact"/>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审查项目</w:t>
            </w:r>
          </w:p>
        </w:tc>
        <w:tc>
          <w:tcPr>
            <w:tcW w:w="6521" w:type="dxa"/>
            <w:noWrap w:val="0"/>
            <w:vAlign w:val="top"/>
          </w:tcPr>
          <w:p>
            <w:pPr>
              <w:spacing w:line="400" w:lineRule="exact"/>
              <w:ind w:firstLine="0" w:firstLineChars="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p>
        </w:tc>
        <w:tc>
          <w:tcPr>
            <w:tcW w:w="2174" w:type="dxa"/>
            <w:noWrap w:val="0"/>
            <w:vAlign w:val="center"/>
          </w:tcPr>
          <w:p>
            <w:pPr>
              <w:spacing w:line="40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投标文件的签署盖章</w:t>
            </w:r>
          </w:p>
        </w:tc>
        <w:tc>
          <w:tcPr>
            <w:tcW w:w="6521" w:type="dxa"/>
            <w:noWrap w:val="0"/>
            <w:vAlign w:val="center"/>
          </w:tcPr>
          <w:p>
            <w:pPr>
              <w:spacing w:line="40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highlight w:val="none"/>
              </w:rPr>
              <w:t>按采购文件规定签字或盖章的</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line="40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74" w:type="dxa"/>
            <w:noWrap w:val="0"/>
            <w:vAlign w:val="center"/>
          </w:tcPr>
          <w:p>
            <w:pPr>
              <w:spacing w:line="400" w:lineRule="exact"/>
              <w:ind w:firstLine="0" w:firstLineChars="0"/>
              <w:jc w:val="center"/>
              <w:rPr>
                <w:rFonts w:hint="eastAsia" w:ascii="宋体" w:hAnsi="宋体" w:eastAsia="宋体" w:cs="宋体"/>
                <w:color w:val="auto"/>
                <w:szCs w:val="21"/>
                <w:highlight w:val="none"/>
              </w:rPr>
            </w:pPr>
            <w:r>
              <w:rPr>
                <w:rFonts w:hint="eastAsia" w:ascii="宋体" w:hAnsi="宋体" w:cs="宋体"/>
                <w:color w:val="auto"/>
                <w:szCs w:val="24"/>
                <w:highlight w:val="none"/>
                <w:lang w:bidi="ar"/>
              </w:rPr>
              <w:t>实质性条款</w:t>
            </w:r>
            <w:r>
              <w:rPr>
                <w:rFonts w:hint="eastAsia" w:cs="宋体"/>
                <w:color w:val="auto"/>
                <w:szCs w:val="24"/>
                <w:highlight w:val="none"/>
                <w:lang w:eastAsia="zh-CN" w:bidi="ar"/>
              </w:rPr>
              <w:t>响应</w:t>
            </w:r>
          </w:p>
        </w:tc>
        <w:tc>
          <w:tcPr>
            <w:tcW w:w="6521" w:type="dxa"/>
            <w:noWrap w:val="0"/>
            <w:vAlign w:val="center"/>
          </w:tcPr>
          <w:p>
            <w:pPr>
              <w:ind w:left="0" w:leftChars="0" w:firstLine="0" w:firstLineChars="0"/>
              <w:rPr>
                <w:rFonts w:hint="eastAsia" w:ascii="宋体" w:hAnsi="宋体" w:eastAsia="宋体" w:cs="宋体"/>
                <w:color w:val="auto"/>
                <w:szCs w:val="21"/>
                <w:highlight w:val="none"/>
              </w:rPr>
            </w:pPr>
            <w:r>
              <w:rPr>
                <w:rFonts w:hint="eastAsia" w:ascii="宋体" w:hAnsi="宋体" w:cs="宋体"/>
                <w:color w:val="auto"/>
                <w:szCs w:val="24"/>
                <w:highlight w:val="none"/>
                <w:lang w:bidi="ar"/>
              </w:rPr>
              <w:t>投标文件完全满足招标文件的实质性条款（即标注</w:t>
            </w:r>
            <w:r>
              <w:rPr>
                <w:rFonts w:hint="eastAsia" w:ascii="宋体" w:hAnsi="宋体" w:eastAsia="宋体" w:cs="宋体"/>
                <w:color w:val="auto"/>
                <w:szCs w:val="21"/>
                <w:highlight w:val="none"/>
                <w:lang w:bidi="ar"/>
              </w:rPr>
              <w:t>★</w:t>
            </w:r>
            <w:r>
              <w:rPr>
                <w:rFonts w:hint="eastAsia" w:ascii="宋体" w:hAnsi="宋体" w:cs="宋体"/>
                <w:color w:val="auto"/>
                <w:szCs w:val="24"/>
                <w:highlight w:val="none"/>
                <w:lang w:bidi="ar"/>
              </w:rPr>
              <w:t>号条款）无负偏离的</w:t>
            </w:r>
            <w:r>
              <w:rPr>
                <w:rFonts w:hint="eastAsia" w:cs="宋体"/>
                <w:color w:val="auto"/>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74" w:type="dxa"/>
            <w:noWrap w:val="0"/>
            <w:vAlign w:val="center"/>
          </w:tcPr>
          <w:p>
            <w:pPr>
              <w:spacing w:line="40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4"/>
                <w:highlight w:val="none"/>
                <w:lang w:bidi="ar"/>
              </w:rPr>
              <w:t>法定代表人</w:t>
            </w:r>
            <w:r>
              <w:rPr>
                <w:rFonts w:hint="eastAsia" w:cs="宋体"/>
                <w:color w:val="auto"/>
                <w:szCs w:val="21"/>
                <w:highlight w:val="none"/>
                <w:lang w:eastAsia="zh-CN"/>
              </w:rPr>
              <w:t>授权书</w:t>
            </w:r>
          </w:p>
        </w:tc>
        <w:tc>
          <w:tcPr>
            <w:tcW w:w="6521" w:type="dxa"/>
            <w:noWrap w:val="0"/>
            <w:vAlign w:val="center"/>
          </w:tcPr>
          <w:p>
            <w:pPr>
              <w:ind w:left="0" w:leftChars="0" w:firstLine="0" w:firstLineChars="0"/>
              <w:rPr>
                <w:rFonts w:hint="eastAsia" w:ascii="宋体" w:hAnsi="宋体" w:eastAsia="宋体" w:cs="宋体"/>
                <w:color w:val="auto"/>
                <w:szCs w:val="21"/>
                <w:highlight w:val="none"/>
              </w:rPr>
            </w:pPr>
            <w:r>
              <w:rPr>
                <w:rFonts w:hint="eastAsia" w:cs="宋体"/>
                <w:color w:val="auto"/>
                <w:szCs w:val="24"/>
                <w:highlight w:val="none"/>
                <w:lang w:eastAsia="zh-CN" w:bidi="ar"/>
              </w:rPr>
              <w:t>提供有效的</w:t>
            </w:r>
            <w:r>
              <w:rPr>
                <w:rFonts w:hint="eastAsia" w:ascii="宋体" w:hAnsi="宋体" w:cs="宋体"/>
                <w:color w:val="auto"/>
                <w:szCs w:val="24"/>
                <w:highlight w:val="none"/>
                <w:lang w:bidi="ar"/>
              </w:rPr>
              <w:t>法定代表人证明书/法定代表人授权委托书</w:t>
            </w:r>
            <w:r>
              <w:rPr>
                <w:rFonts w:hint="eastAsia" w:cs="宋体"/>
                <w:color w:val="auto"/>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noWrap w:val="0"/>
            <w:vAlign w:val="center"/>
          </w:tcPr>
          <w:p>
            <w:pPr>
              <w:spacing w:line="40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74" w:type="dxa"/>
            <w:noWrap w:val="0"/>
            <w:vAlign w:val="center"/>
          </w:tcPr>
          <w:p>
            <w:pPr>
              <w:spacing w:line="400" w:lineRule="exact"/>
              <w:ind w:firstLine="0" w:firstLineChars="0"/>
              <w:jc w:val="center"/>
              <w:rPr>
                <w:rFonts w:hint="eastAsia" w:ascii="宋体" w:hAnsi="宋体" w:eastAsia="宋体" w:cs="宋体"/>
                <w:color w:val="auto"/>
                <w:szCs w:val="21"/>
                <w:highlight w:val="none"/>
              </w:rPr>
            </w:pPr>
            <w:r>
              <w:rPr>
                <w:rFonts w:hint="eastAsia" w:cs="宋体"/>
                <w:color w:val="auto"/>
                <w:szCs w:val="21"/>
                <w:highlight w:val="none"/>
                <w:lang w:eastAsia="zh-CN"/>
              </w:rPr>
              <w:t>无效投标条款响应</w:t>
            </w:r>
          </w:p>
        </w:tc>
        <w:tc>
          <w:tcPr>
            <w:tcW w:w="6521" w:type="dxa"/>
            <w:noWrap w:val="0"/>
            <w:vAlign w:val="center"/>
          </w:tcPr>
          <w:p>
            <w:pPr>
              <w:ind w:left="0" w:leftChars="0" w:firstLine="0" w:firstLineChars="0"/>
              <w:rPr>
                <w:rFonts w:hint="eastAsia" w:ascii="宋体" w:hAnsi="宋体" w:eastAsia="宋体" w:cs="宋体"/>
                <w:color w:val="auto"/>
                <w:szCs w:val="21"/>
                <w:highlight w:val="none"/>
              </w:rPr>
            </w:pPr>
            <w:r>
              <w:rPr>
                <w:rFonts w:hint="eastAsia" w:ascii="宋体" w:hAnsi="宋体" w:cs="宋体"/>
                <w:color w:val="auto"/>
                <w:szCs w:val="24"/>
                <w:highlight w:val="none"/>
                <w:lang w:bidi="ar"/>
              </w:rPr>
              <w:t>投标文件没有招标文件中规定的其它无效投标条款的</w:t>
            </w:r>
            <w:r>
              <w:rPr>
                <w:rFonts w:hint="eastAsia" w:cs="宋体"/>
                <w:color w:val="auto"/>
                <w:szCs w:val="24"/>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74" w:type="dxa"/>
            <w:noWrap w:val="0"/>
            <w:vAlign w:val="center"/>
          </w:tcPr>
          <w:p>
            <w:pPr>
              <w:spacing w:line="400" w:lineRule="exact"/>
              <w:ind w:firstLine="0" w:firstLineChars="0"/>
              <w:jc w:val="center"/>
              <w:rPr>
                <w:rFonts w:hint="eastAsia" w:ascii="宋体" w:hAnsi="宋体" w:eastAsia="宋体" w:cs="宋体"/>
                <w:color w:val="auto"/>
                <w:szCs w:val="21"/>
                <w:highlight w:val="none"/>
                <w:lang w:eastAsia="zh-CN"/>
              </w:rPr>
            </w:pPr>
            <w:r>
              <w:rPr>
                <w:rFonts w:hint="eastAsia" w:cs="宋体"/>
                <w:color w:val="auto"/>
                <w:szCs w:val="21"/>
                <w:highlight w:val="none"/>
                <w:lang w:eastAsia="zh-CN"/>
              </w:rPr>
              <w:t>其他</w:t>
            </w:r>
          </w:p>
        </w:tc>
        <w:tc>
          <w:tcPr>
            <w:tcW w:w="6521" w:type="dxa"/>
            <w:noWrap w:val="0"/>
            <w:vAlign w:val="center"/>
          </w:tcPr>
          <w:p>
            <w:pPr>
              <w:ind w:left="0" w:leftChars="0" w:firstLine="0" w:firstLineChars="0"/>
              <w:rPr>
                <w:rFonts w:hint="eastAsia" w:ascii="宋体" w:hAnsi="宋体" w:eastAsia="宋体" w:cs="宋体"/>
                <w:color w:val="auto"/>
                <w:lang w:eastAsia="zh-CN"/>
              </w:rPr>
            </w:pPr>
            <w:r>
              <w:rPr>
                <w:rFonts w:hint="eastAsia" w:cs="宋体"/>
                <w:color w:val="auto"/>
                <w:lang w:eastAsia="zh-CN"/>
              </w:rPr>
              <w:t>投标供应商无虚假应标、串通投标的情形。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noWrap w:val="0"/>
            <w:vAlign w:val="center"/>
          </w:tcPr>
          <w:p>
            <w:pPr>
              <w:spacing w:line="400" w:lineRule="exact"/>
              <w:ind w:firstLine="0" w:firstLineChars="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74" w:type="dxa"/>
            <w:noWrap w:val="0"/>
            <w:vAlign w:val="center"/>
          </w:tcPr>
          <w:p>
            <w:pPr>
              <w:spacing w:line="400" w:lineRule="exact"/>
              <w:ind w:firstLine="0" w:firstLineChars="0"/>
              <w:jc w:val="center"/>
              <w:rPr>
                <w:rFonts w:hint="eastAsia" w:ascii="宋体" w:hAnsi="宋体" w:eastAsia="宋体" w:cs="宋体"/>
                <w:color w:val="auto"/>
                <w:szCs w:val="21"/>
                <w:highlight w:val="none"/>
                <w:lang w:eastAsia="zh-CN"/>
              </w:rPr>
            </w:pPr>
            <w:r>
              <w:rPr>
                <w:rFonts w:hint="eastAsia" w:cs="宋体"/>
                <w:color w:val="auto"/>
                <w:szCs w:val="21"/>
                <w:highlight w:val="none"/>
                <w:lang w:eastAsia="zh-CN"/>
              </w:rPr>
              <w:t>其他</w:t>
            </w:r>
          </w:p>
        </w:tc>
        <w:tc>
          <w:tcPr>
            <w:tcW w:w="6521" w:type="dxa"/>
            <w:noWrap w:val="0"/>
            <w:vAlign w:val="center"/>
          </w:tcPr>
          <w:p>
            <w:pPr>
              <w:ind w:left="0" w:leftChars="0" w:firstLine="0" w:firstLineChars="0"/>
              <w:rPr>
                <w:rFonts w:hint="eastAsia" w:ascii="宋体" w:hAnsi="宋体" w:eastAsia="宋体" w:cs="宋体"/>
                <w:color w:val="auto"/>
                <w:szCs w:val="21"/>
                <w:highlight w:val="none"/>
              </w:rPr>
            </w:pPr>
            <w:r>
              <w:rPr>
                <w:rFonts w:hint="eastAsia" w:ascii="宋体" w:hAnsi="宋体" w:cs="宋体"/>
                <w:color w:val="auto"/>
                <w:szCs w:val="24"/>
                <w:highlight w:val="none"/>
                <w:lang w:bidi="ar"/>
              </w:rPr>
              <w:t>按有关法律、法规、规章不属于投标无效的。</w:t>
            </w:r>
          </w:p>
        </w:tc>
      </w:tr>
    </w:tbl>
    <w:p>
      <w:pPr>
        <w:pStyle w:val="2"/>
        <w:tabs>
          <w:tab w:val="left" w:pos="0"/>
          <w:tab w:val="left" w:pos="1260"/>
          <w:tab w:val="left" w:pos="1365"/>
        </w:tabs>
        <w:ind w:firstLine="482"/>
        <w:rPr>
          <w:rFonts w:hint="eastAsia" w:cs="宋体"/>
          <w:color w:val="auto"/>
        </w:rPr>
      </w:pPr>
      <w:r>
        <w:rPr>
          <w:rFonts w:hint="eastAsia" w:cs="宋体"/>
          <w:b/>
          <w:color w:val="auto"/>
        </w:rPr>
        <w:t>注：1、上述审查项目中，任意一项不符合的，符合性审查不合格。</w:t>
      </w:r>
    </w:p>
    <w:p>
      <w:pPr>
        <w:spacing w:line="500" w:lineRule="exact"/>
        <w:ind w:firstLine="482"/>
        <w:rPr>
          <w:rFonts w:hint="eastAsia" w:cs="宋体"/>
          <w:b/>
          <w:color w:val="auto"/>
        </w:rPr>
      </w:pPr>
      <w:r>
        <w:rPr>
          <w:rFonts w:hint="eastAsia" w:cs="宋体"/>
          <w:b/>
          <w:color w:val="auto"/>
        </w:rPr>
        <w:t>附表3：</w:t>
      </w:r>
    </w:p>
    <w:p>
      <w:pPr>
        <w:ind w:firstLine="482"/>
        <w:rPr>
          <w:rFonts w:hint="eastAsia" w:cs="宋体"/>
          <w:b/>
          <w:bCs/>
          <w:color w:val="auto"/>
        </w:rPr>
      </w:pPr>
      <w:r>
        <w:rPr>
          <w:rFonts w:hint="eastAsia" w:cs="宋体"/>
          <w:b/>
          <w:bCs/>
          <w:color w:val="auto"/>
        </w:rPr>
        <w:t>1.投标人如为小型或微型企业并提交相关证明材料且所投产品为小型或微型企业制造的，其小型或微型企业部分的投标报价扣除6%后参与评审；</w:t>
      </w:r>
    </w:p>
    <w:p>
      <w:pPr>
        <w:ind w:firstLine="482"/>
        <w:rPr>
          <w:rFonts w:hint="eastAsia" w:cs="宋体"/>
          <w:b/>
          <w:bCs/>
          <w:color w:val="auto"/>
        </w:rPr>
      </w:pPr>
      <w:r>
        <w:rPr>
          <w:rFonts w:hint="eastAsia" w:cs="宋体"/>
          <w:b/>
          <w:bCs/>
          <w:color w:val="auto"/>
        </w:rPr>
        <w:t>2.投标人如为监狱企业并提交相关证明材料且所投产品为小型或微型企业制造的，其小型或微型企业部分的投标报价扣除6%后参与评审；</w:t>
      </w:r>
    </w:p>
    <w:p>
      <w:pPr>
        <w:ind w:firstLine="482"/>
        <w:rPr>
          <w:rFonts w:hint="eastAsia" w:cs="宋体"/>
          <w:b/>
          <w:bCs/>
          <w:color w:val="auto"/>
        </w:rPr>
      </w:pPr>
      <w:r>
        <w:rPr>
          <w:rFonts w:hint="eastAsia" w:cs="宋体"/>
          <w:b/>
          <w:bCs/>
          <w:color w:val="auto"/>
        </w:rPr>
        <w:t>3.投标人如为残疾人福利性单位并提交《残疾人福利性单位声明函》且所投产品为本企业或其他残疾人福利性单位制造的，其残疾人福利性单位部分的投标报价扣除6%后参与评审；</w:t>
      </w:r>
    </w:p>
    <w:p>
      <w:pPr>
        <w:ind w:firstLine="482"/>
        <w:rPr>
          <w:rFonts w:hint="eastAsia" w:cs="宋体"/>
          <w:b/>
          <w:bCs/>
          <w:color w:val="auto"/>
        </w:rPr>
      </w:pPr>
      <w:r>
        <w:rPr>
          <w:rFonts w:hint="eastAsia" w:cs="宋体"/>
          <w:b/>
          <w:bCs/>
          <w:color w:val="auto"/>
        </w:rPr>
        <w:t>4.残疾人福利性单位属于小型、微型企业的，不重复享受政策。</w:t>
      </w:r>
    </w:p>
    <w:p>
      <w:pPr>
        <w:spacing w:line="500" w:lineRule="exact"/>
        <w:ind w:firstLine="482"/>
        <w:jc w:val="center"/>
        <w:rPr>
          <w:rFonts w:hint="eastAsia" w:cs="宋体"/>
          <w:b/>
          <w:color w:val="auto"/>
        </w:rPr>
      </w:pPr>
      <w:r>
        <w:rPr>
          <w:rFonts w:hint="eastAsia" w:cs="宋体"/>
          <w:b/>
          <w:color w:val="auto"/>
        </w:rPr>
        <w:t>评分表（兼评委打分表）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89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66" w:type="dxa"/>
            <w:noWrap w:val="0"/>
            <w:vAlign w:val="center"/>
          </w:tcPr>
          <w:p>
            <w:pPr>
              <w:spacing w:line="360" w:lineRule="auto"/>
              <w:ind w:left="0" w:leftChars="0" w:firstLine="0" w:firstLineChars="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价格分</w:t>
            </w:r>
            <w:r>
              <w:rPr>
                <w:rFonts w:hint="eastAsia" w:eastAsia="宋体" w:cs="宋体"/>
                <w:b/>
                <w:bCs/>
                <w:color w:val="auto"/>
                <w:sz w:val="21"/>
                <w:szCs w:val="21"/>
                <w:lang w:val="en-US" w:eastAsia="zh-CN"/>
              </w:rPr>
              <w:t>1</w:t>
            </w: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分</w:t>
            </w:r>
          </w:p>
        </w:tc>
        <w:tc>
          <w:tcPr>
            <w:tcW w:w="9080" w:type="dxa"/>
            <w:gridSpan w:val="2"/>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参与评审的价格：小微企业=投标报价-小微企业价格扣除优惠值6%；其他企业=投标报价。</w:t>
            </w:r>
          </w:p>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评标基准价=满足招标文件要求且“参与评审的价格”中最低的价格为评标基准价。</w:t>
            </w:r>
          </w:p>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基准价得分为满分；按照［投标报价得分=（评标基准价/投标报价）*价格权值*100］的计算公式计算；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6" w:type="dxa"/>
            <w:vMerge w:val="restart"/>
            <w:noWrap w:val="0"/>
            <w:vAlign w:val="center"/>
          </w:tcPr>
          <w:p>
            <w:pPr>
              <w:spacing w:line="360" w:lineRule="auto"/>
              <w:ind w:left="0" w:leftChars="0" w:firstLine="0" w:firstLineChars="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技术分</w:t>
            </w:r>
          </w:p>
          <w:p>
            <w:pPr>
              <w:spacing w:line="360" w:lineRule="auto"/>
              <w:ind w:left="0" w:leftChars="0" w:firstLine="0" w:firstLineChars="0"/>
              <w:jc w:val="both"/>
              <w:rPr>
                <w:rFonts w:hint="eastAsia" w:ascii="宋体" w:hAnsi="宋体" w:eastAsia="宋体" w:cs="宋体"/>
                <w:b/>
                <w:bCs/>
                <w:color w:val="auto"/>
                <w:sz w:val="21"/>
                <w:szCs w:val="21"/>
              </w:rPr>
            </w:pPr>
            <w:r>
              <w:rPr>
                <w:rFonts w:hint="eastAsia" w:eastAsia="宋体" w:cs="宋体"/>
                <w:b/>
                <w:bCs/>
                <w:color w:val="auto"/>
                <w:sz w:val="21"/>
                <w:szCs w:val="21"/>
                <w:lang w:val="en-US" w:eastAsia="zh-CN"/>
              </w:rPr>
              <w:t>70</w:t>
            </w:r>
            <w:r>
              <w:rPr>
                <w:rFonts w:hint="eastAsia" w:ascii="宋体" w:hAnsi="宋体" w:eastAsia="宋体" w:cs="宋体"/>
                <w:b/>
                <w:bCs/>
                <w:color w:val="auto"/>
                <w:sz w:val="21"/>
                <w:szCs w:val="21"/>
              </w:rPr>
              <w:t>分</w:t>
            </w:r>
          </w:p>
        </w:tc>
        <w:tc>
          <w:tcPr>
            <w:tcW w:w="189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服务管理整体设想及策划</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10分</w:t>
            </w:r>
            <w:r>
              <w:rPr>
                <w:rFonts w:hint="eastAsia" w:ascii="宋体" w:hAnsi="宋体" w:eastAsia="宋体" w:cs="宋体"/>
                <w:color w:val="auto"/>
                <w:kern w:val="0"/>
                <w:sz w:val="21"/>
                <w:szCs w:val="21"/>
                <w:lang w:eastAsia="zh-CN"/>
              </w:rPr>
              <w:t>）</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在投标文件中详细说明的整体保障措施、专业化管理及规范的管理手段，评标委员会根据响应情况</w:t>
            </w:r>
            <w:r>
              <w:rPr>
                <w:rFonts w:hint="eastAsia" w:ascii="宋体" w:hAnsi="宋体" w:eastAsia="宋体" w:cs="宋体"/>
                <w:color w:val="auto"/>
                <w:kern w:val="0"/>
                <w:sz w:val="21"/>
                <w:szCs w:val="21"/>
                <w:lang w:eastAsia="zh-CN"/>
              </w:rPr>
              <w:t>综合</w:t>
            </w:r>
            <w:r>
              <w:rPr>
                <w:rFonts w:hint="eastAsia" w:ascii="宋体" w:hAnsi="宋体" w:eastAsia="宋体" w:cs="宋体"/>
                <w:color w:val="auto"/>
                <w:kern w:val="0"/>
                <w:sz w:val="21"/>
                <w:szCs w:val="21"/>
              </w:rPr>
              <w:t>打分。方案全面有效的得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分，方案全面但与本项目不适用的得</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分，方案欠缺的得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lang w:val="en-US" w:eastAsia="zh-CN"/>
              </w:rPr>
            </w:pPr>
          </w:p>
        </w:tc>
        <w:tc>
          <w:tcPr>
            <w:tcW w:w="189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设备装备计划</w:t>
            </w:r>
            <w:r>
              <w:rPr>
                <w:rFonts w:hint="eastAsia" w:ascii="宋体" w:hAnsi="宋体" w:eastAsia="宋体" w:cs="宋体"/>
                <w:color w:val="auto"/>
                <w:kern w:val="0"/>
                <w:sz w:val="21"/>
                <w:szCs w:val="21"/>
                <w:lang w:eastAsia="zh-CN"/>
              </w:rPr>
              <w:t>（</w:t>
            </w:r>
            <w:r>
              <w:rPr>
                <w:rFonts w:hint="eastAsia" w:eastAsia="宋体" w:cs="宋体"/>
                <w:color w:val="auto"/>
                <w:kern w:val="0"/>
                <w:sz w:val="21"/>
                <w:szCs w:val="21"/>
                <w:lang w:val="en-US" w:eastAsia="zh-CN"/>
              </w:rPr>
              <w:t>5</w:t>
            </w:r>
            <w:r>
              <w:rPr>
                <w:rFonts w:hint="eastAsia" w:ascii="宋体" w:hAnsi="宋体" w:eastAsia="宋体" w:cs="宋体"/>
                <w:color w:val="auto"/>
                <w:kern w:val="0"/>
                <w:sz w:val="21"/>
                <w:szCs w:val="21"/>
                <w:lang w:val="en-US" w:eastAsia="zh-CN"/>
              </w:rPr>
              <w:t>分</w:t>
            </w:r>
            <w:r>
              <w:rPr>
                <w:rFonts w:hint="eastAsia" w:ascii="宋体" w:hAnsi="宋体" w:eastAsia="宋体" w:cs="宋体"/>
                <w:color w:val="auto"/>
                <w:kern w:val="0"/>
                <w:sz w:val="21"/>
                <w:szCs w:val="21"/>
                <w:lang w:eastAsia="zh-CN"/>
              </w:rPr>
              <w:t>）</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在投标文件中详细说明项目的整体物资配置的环保性及优越性，评标委员会根据响应情况</w:t>
            </w:r>
            <w:r>
              <w:rPr>
                <w:rFonts w:hint="eastAsia" w:ascii="宋体" w:hAnsi="宋体" w:eastAsia="宋体" w:cs="宋体"/>
                <w:color w:val="auto"/>
                <w:kern w:val="0"/>
                <w:sz w:val="21"/>
                <w:szCs w:val="21"/>
                <w:lang w:eastAsia="zh-CN"/>
              </w:rPr>
              <w:t>综合</w:t>
            </w:r>
            <w:r>
              <w:rPr>
                <w:rFonts w:hint="eastAsia" w:ascii="宋体" w:hAnsi="宋体" w:eastAsia="宋体" w:cs="宋体"/>
                <w:color w:val="auto"/>
                <w:kern w:val="0"/>
                <w:sz w:val="21"/>
                <w:szCs w:val="21"/>
              </w:rPr>
              <w:t>打分。方案全面有效的得</w:t>
            </w:r>
            <w:r>
              <w:rPr>
                <w:rFonts w:hint="eastAsia"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eastAsia="宋体" w:cs="宋体"/>
                <w:color w:val="auto"/>
                <w:kern w:val="0"/>
                <w:sz w:val="21"/>
                <w:szCs w:val="21"/>
                <w:lang w:val="en-US" w:eastAsia="zh-CN"/>
              </w:rPr>
              <w:t>4</w:t>
            </w:r>
            <w:r>
              <w:rPr>
                <w:rFonts w:hint="eastAsia" w:ascii="宋体" w:hAnsi="宋体" w:eastAsia="宋体" w:cs="宋体"/>
                <w:color w:val="auto"/>
                <w:kern w:val="0"/>
                <w:sz w:val="21"/>
                <w:szCs w:val="21"/>
              </w:rPr>
              <w:t>分，方案全面但与本项目不适用的得</w:t>
            </w:r>
            <w:r>
              <w:rPr>
                <w:rFonts w:hint="eastAsia" w:eastAsia="宋体" w:cs="宋体"/>
                <w:color w:val="auto"/>
                <w:kern w:val="0"/>
                <w:sz w:val="21"/>
                <w:szCs w:val="21"/>
                <w:lang w:val="en-US" w:eastAsia="zh-CN"/>
              </w:rPr>
              <w:t>3</w:t>
            </w:r>
            <w:r>
              <w:rPr>
                <w:rFonts w:hint="eastAsia" w:ascii="宋体" w:hAnsi="宋体" w:eastAsia="宋体" w:cs="宋体"/>
                <w:color w:val="auto"/>
                <w:kern w:val="0"/>
                <w:sz w:val="21"/>
                <w:szCs w:val="21"/>
              </w:rPr>
              <w:t>.99～</w:t>
            </w:r>
            <w:r>
              <w:rPr>
                <w:rFonts w:hint="eastAsia" w:eastAsia="宋体" w:cs="宋体"/>
                <w:color w:val="auto"/>
                <w:kern w:val="0"/>
                <w:sz w:val="21"/>
                <w:szCs w:val="21"/>
                <w:lang w:val="en-US" w:eastAsia="zh-CN"/>
              </w:rPr>
              <w:t>2</w:t>
            </w:r>
            <w:r>
              <w:rPr>
                <w:rFonts w:hint="eastAsia" w:ascii="宋体" w:hAnsi="宋体" w:eastAsia="宋体" w:cs="宋体"/>
                <w:color w:val="auto"/>
                <w:kern w:val="0"/>
                <w:sz w:val="21"/>
                <w:szCs w:val="21"/>
              </w:rPr>
              <w:t>分，方案欠缺的得</w:t>
            </w:r>
            <w:r>
              <w:rPr>
                <w:rFonts w:hint="eastAsia" w:eastAsia="宋体" w:cs="宋体"/>
                <w:color w:val="auto"/>
                <w:kern w:val="0"/>
                <w:sz w:val="21"/>
                <w:szCs w:val="21"/>
                <w:lang w:val="en-US" w:eastAsia="zh-CN"/>
              </w:rPr>
              <w:t>1</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lang w:val="en-US" w:eastAsia="zh-CN"/>
              </w:rPr>
            </w:pPr>
          </w:p>
        </w:tc>
        <w:tc>
          <w:tcPr>
            <w:tcW w:w="189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制度和档案的建立与管理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5分</w:t>
            </w:r>
            <w:r>
              <w:rPr>
                <w:rFonts w:hint="eastAsia" w:ascii="宋体" w:hAnsi="宋体" w:eastAsia="宋体" w:cs="宋体"/>
                <w:color w:val="auto"/>
                <w:kern w:val="0"/>
                <w:sz w:val="21"/>
                <w:szCs w:val="21"/>
                <w:lang w:eastAsia="zh-CN"/>
              </w:rPr>
              <w:t>）</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在投标文件中详细说明各服务管理制度的完善性及可操作性，评标委员会根据响应情况</w:t>
            </w:r>
            <w:r>
              <w:rPr>
                <w:rFonts w:hint="eastAsia" w:ascii="宋体" w:hAnsi="宋体" w:eastAsia="宋体" w:cs="宋体"/>
                <w:color w:val="auto"/>
                <w:kern w:val="0"/>
                <w:sz w:val="21"/>
                <w:szCs w:val="21"/>
                <w:lang w:eastAsia="zh-CN"/>
              </w:rPr>
              <w:t>综合</w:t>
            </w:r>
            <w:r>
              <w:rPr>
                <w:rFonts w:hint="eastAsia" w:ascii="宋体" w:hAnsi="宋体" w:eastAsia="宋体" w:cs="宋体"/>
                <w:color w:val="auto"/>
                <w:kern w:val="0"/>
                <w:sz w:val="21"/>
                <w:szCs w:val="21"/>
              </w:rPr>
              <w:t>打分。方案全面有效的得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分，方案全面但与本项目不适用的得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分，方案欠缺的得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lang w:val="en-US" w:eastAsia="zh-CN"/>
              </w:rPr>
            </w:pPr>
          </w:p>
        </w:tc>
        <w:tc>
          <w:tcPr>
            <w:tcW w:w="189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项目的服务与管理</w:t>
            </w:r>
            <w:r>
              <w:rPr>
                <w:rFonts w:hint="eastAsia" w:ascii="宋体" w:hAnsi="宋体" w:eastAsia="宋体" w:cs="宋体"/>
                <w:color w:val="auto"/>
                <w:kern w:val="0"/>
                <w:sz w:val="21"/>
                <w:szCs w:val="21"/>
                <w:lang w:eastAsia="zh-CN"/>
              </w:rPr>
              <w:t>（</w:t>
            </w:r>
            <w:r>
              <w:rPr>
                <w:rFonts w:hint="eastAsia" w:eastAsia="宋体" w:cs="宋体"/>
                <w:color w:val="auto"/>
                <w:kern w:val="0"/>
                <w:sz w:val="21"/>
                <w:szCs w:val="21"/>
                <w:lang w:val="en-US" w:eastAsia="zh-CN"/>
              </w:rPr>
              <w:t>10</w:t>
            </w:r>
            <w:r>
              <w:rPr>
                <w:rFonts w:hint="eastAsia" w:ascii="宋体" w:hAnsi="宋体" w:eastAsia="宋体" w:cs="宋体"/>
                <w:color w:val="auto"/>
                <w:kern w:val="0"/>
                <w:sz w:val="21"/>
                <w:szCs w:val="21"/>
                <w:lang w:val="en-US" w:eastAsia="zh-CN"/>
              </w:rPr>
              <w:t>分</w:t>
            </w:r>
            <w:r>
              <w:rPr>
                <w:rFonts w:hint="eastAsia" w:ascii="宋体" w:hAnsi="宋体" w:eastAsia="宋体" w:cs="宋体"/>
                <w:color w:val="auto"/>
                <w:kern w:val="0"/>
                <w:sz w:val="21"/>
                <w:szCs w:val="21"/>
                <w:lang w:eastAsia="zh-CN"/>
              </w:rPr>
              <w:t>）</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投标文件中详细说明保安服务管理项目的保障措施及项目的专业需求，评标委员会根据响应情况</w:t>
            </w:r>
            <w:r>
              <w:rPr>
                <w:rFonts w:hint="eastAsia" w:ascii="宋体" w:hAnsi="宋体" w:eastAsia="宋体" w:cs="宋体"/>
                <w:color w:val="auto"/>
                <w:kern w:val="0"/>
                <w:sz w:val="21"/>
                <w:szCs w:val="21"/>
                <w:lang w:eastAsia="zh-CN"/>
              </w:rPr>
              <w:t>综合</w:t>
            </w:r>
            <w:r>
              <w:rPr>
                <w:rFonts w:hint="eastAsia" w:ascii="宋体" w:hAnsi="宋体" w:eastAsia="宋体" w:cs="宋体"/>
                <w:color w:val="auto"/>
                <w:kern w:val="0"/>
                <w:sz w:val="21"/>
                <w:szCs w:val="21"/>
              </w:rPr>
              <w:t>打分。方案全面有效的得</w:t>
            </w:r>
            <w:r>
              <w:rPr>
                <w:rFonts w:hint="eastAsia"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eastAsia="宋体" w:cs="宋体"/>
                <w:color w:val="auto"/>
                <w:kern w:val="0"/>
                <w:sz w:val="21"/>
                <w:szCs w:val="21"/>
                <w:lang w:val="en-US" w:eastAsia="zh-CN"/>
              </w:rPr>
              <w:t>7</w:t>
            </w:r>
            <w:r>
              <w:rPr>
                <w:rFonts w:hint="eastAsia" w:ascii="宋体" w:hAnsi="宋体" w:eastAsia="宋体" w:cs="宋体"/>
                <w:color w:val="auto"/>
                <w:kern w:val="0"/>
                <w:sz w:val="21"/>
                <w:szCs w:val="21"/>
              </w:rPr>
              <w:t>分，方案全面但与本项目不适用的得</w:t>
            </w:r>
            <w:r>
              <w:rPr>
                <w:rFonts w:hint="eastAsia" w:eastAsia="宋体" w:cs="宋体"/>
                <w:color w:val="auto"/>
                <w:kern w:val="0"/>
                <w:sz w:val="21"/>
                <w:szCs w:val="21"/>
                <w:lang w:val="en-US" w:eastAsia="zh-CN"/>
              </w:rPr>
              <w:t>6</w:t>
            </w:r>
            <w:r>
              <w:rPr>
                <w:rFonts w:hint="eastAsia" w:ascii="宋体" w:hAnsi="宋体" w:eastAsia="宋体" w:cs="宋体"/>
                <w:color w:val="auto"/>
                <w:kern w:val="0"/>
                <w:sz w:val="21"/>
                <w:szCs w:val="21"/>
              </w:rPr>
              <w:t>.99～</w:t>
            </w:r>
            <w:r>
              <w:rPr>
                <w:rFonts w:hint="eastAsia" w:eastAsia="宋体" w:cs="宋体"/>
                <w:color w:val="auto"/>
                <w:kern w:val="0"/>
                <w:sz w:val="21"/>
                <w:szCs w:val="21"/>
                <w:lang w:val="en-US" w:eastAsia="zh-CN"/>
              </w:rPr>
              <w:t>3</w:t>
            </w:r>
            <w:r>
              <w:rPr>
                <w:rFonts w:hint="eastAsia" w:ascii="宋体" w:hAnsi="宋体" w:eastAsia="宋体" w:cs="宋体"/>
                <w:color w:val="auto"/>
                <w:kern w:val="0"/>
                <w:sz w:val="21"/>
                <w:szCs w:val="21"/>
              </w:rPr>
              <w:t>分，方案欠缺的得</w:t>
            </w:r>
            <w:r>
              <w:rPr>
                <w:rFonts w:hint="eastAsia" w:eastAsia="宋体" w:cs="宋体"/>
                <w:color w:val="auto"/>
                <w:kern w:val="0"/>
                <w:sz w:val="21"/>
                <w:szCs w:val="21"/>
                <w:lang w:val="en-US" w:eastAsia="zh-CN"/>
              </w:rPr>
              <w:t>2</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rPr>
            </w:pPr>
          </w:p>
        </w:tc>
        <w:tc>
          <w:tcPr>
            <w:tcW w:w="189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突发事件应急处理措施</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10分</w:t>
            </w:r>
            <w:r>
              <w:rPr>
                <w:rFonts w:hint="eastAsia" w:ascii="宋体" w:hAnsi="宋体" w:eastAsia="宋体" w:cs="宋体"/>
                <w:color w:val="auto"/>
                <w:kern w:val="0"/>
                <w:sz w:val="21"/>
                <w:szCs w:val="21"/>
                <w:lang w:eastAsia="zh-CN"/>
              </w:rPr>
              <w:t>）</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在投标文件中详细说明项目的特性及针对本行业制订的紧急预案，并具有可操作性，评标委员会根据响应情况</w:t>
            </w:r>
            <w:r>
              <w:rPr>
                <w:rFonts w:hint="eastAsia" w:ascii="宋体" w:hAnsi="宋体" w:eastAsia="宋体" w:cs="宋体"/>
                <w:color w:val="auto"/>
                <w:kern w:val="0"/>
                <w:sz w:val="21"/>
                <w:szCs w:val="21"/>
                <w:lang w:eastAsia="zh-CN"/>
              </w:rPr>
              <w:t>综合</w:t>
            </w:r>
            <w:r>
              <w:rPr>
                <w:rFonts w:hint="eastAsia" w:ascii="宋体" w:hAnsi="宋体" w:eastAsia="宋体" w:cs="宋体"/>
                <w:color w:val="auto"/>
                <w:kern w:val="0"/>
                <w:sz w:val="21"/>
                <w:szCs w:val="21"/>
              </w:rPr>
              <w:t>打分。方案全面有效的得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分，方案全面但与本项目不适用的得</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分，方案欠缺的得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rPr>
            </w:pPr>
          </w:p>
        </w:tc>
        <w:tc>
          <w:tcPr>
            <w:tcW w:w="189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服务管理承诺</w:t>
            </w:r>
            <w:r>
              <w:rPr>
                <w:rFonts w:hint="eastAsia" w:ascii="宋体" w:hAnsi="宋体" w:eastAsia="宋体" w:cs="宋体"/>
                <w:color w:val="auto"/>
                <w:kern w:val="0"/>
                <w:sz w:val="21"/>
                <w:szCs w:val="21"/>
                <w:lang w:eastAsia="zh-CN"/>
              </w:rPr>
              <w:t>（</w:t>
            </w:r>
            <w:r>
              <w:rPr>
                <w:rFonts w:hint="eastAsia" w:eastAsia="宋体" w:cs="宋体"/>
                <w:color w:val="auto"/>
                <w:kern w:val="0"/>
                <w:sz w:val="21"/>
                <w:szCs w:val="21"/>
                <w:lang w:val="en-US" w:eastAsia="zh-CN"/>
              </w:rPr>
              <w:t>10</w:t>
            </w:r>
            <w:r>
              <w:rPr>
                <w:rFonts w:hint="eastAsia" w:ascii="宋体" w:hAnsi="宋体" w:eastAsia="宋体" w:cs="宋体"/>
                <w:color w:val="auto"/>
                <w:kern w:val="0"/>
                <w:sz w:val="21"/>
                <w:szCs w:val="21"/>
                <w:lang w:val="en-US" w:eastAsia="zh-CN"/>
              </w:rPr>
              <w:t>分</w:t>
            </w:r>
            <w:r>
              <w:rPr>
                <w:rFonts w:hint="eastAsia" w:ascii="宋体" w:hAnsi="宋体" w:eastAsia="宋体" w:cs="宋体"/>
                <w:color w:val="auto"/>
                <w:kern w:val="0"/>
                <w:sz w:val="21"/>
                <w:szCs w:val="21"/>
                <w:lang w:eastAsia="zh-CN"/>
              </w:rPr>
              <w:t>）</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在投标文件中详细说明项目所要达到的符合相关指标要求，评标委员会根据响应情况</w:t>
            </w:r>
            <w:r>
              <w:rPr>
                <w:rFonts w:hint="eastAsia" w:ascii="宋体" w:hAnsi="宋体" w:eastAsia="宋体" w:cs="宋体"/>
                <w:color w:val="auto"/>
                <w:kern w:val="0"/>
                <w:sz w:val="21"/>
                <w:szCs w:val="21"/>
                <w:lang w:eastAsia="zh-CN"/>
              </w:rPr>
              <w:t>综合</w:t>
            </w:r>
            <w:r>
              <w:rPr>
                <w:rFonts w:hint="eastAsia" w:ascii="宋体" w:hAnsi="宋体" w:eastAsia="宋体" w:cs="宋体"/>
                <w:color w:val="auto"/>
                <w:kern w:val="0"/>
                <w:sz w:val="21"/>
                <w:szCs w:val="21"/>
              </w:rPr>
              <w:t>打分。方案全面有效的得</w:t>
            </w:r>
            <w:r>
              <w:rPr>
                <w:rFonts w:hint="eastAsia"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分，方案全面但与本项目不适用的得</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分，方案欠缺的得</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rPr>
            </w:pPr>
          </w:p>
        </w:tc>
        <w:tc>
          <w:tcPr>
            <w:tcW w:w="1895" w:type="dxa"/>
            <w:vMerge w:val="restart"/>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人员管理（</w:t>
            </w:r>
            <w:r>
              <w:rPr>
                <w:rFonts w:hint="eastAsia" w:eastAsia="宋体" w:cs="宋体"/>
                <w:color w:val="auto"/>
                <w:kern w:val="0"/>
                <w:sz w:val="21"/>
                <w:szCs w:val="21"/>
                <w:lang w:val="en-US" w:eastAsia="zh-CN"/>
              </w:rPr>
              <w:t>20</w:t>
            </w:r>
            <w:r>
              <w:rPr>
                <w:rFonts w:hint="eastAsia" w:ascii="宋体" w:hAnsi="宋体" w:eastAsia="宋体" w:cs="宋体"/>
                <w:color w:val="auto"/>
                <w:kern w:val="0"/>
                <w:sz w:val="21"/>
                <w:szCs w:val="21"/>
              </w:rPr>
              <w:t>分）</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、人员培训有计划、内容、目标，且方式多样性（0-</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分），方案全面有效的得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分，方案全面但与本项目不适用的得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分，方案欠缺的得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rPr>
            </w:pPr>
          </w:p>
        </w:tc>
        <w:tc>
          <w:tcPr>
            <w:tcW w:w="1895" w:type="dxa"/>
            <w:vMerge w:val="continue"/>
            <w:noWrap w:val="0"/>
            <w:vAlign w:val="center"/>
          </w:tcPr>
          <w:p>
            <w:pPr>
              <w:ind w:left="0" w:leftChars="0" w:firstLine="0" w:firstLineChars="0"/>
              <w:rPr>
                <w:rFonts w:hint="eastAsia" w:ascii="宋体" w:hAnsi="宋体" w:eastAsia="宋体" w:cs="宋体"/>
                <w:color w:val="auto"/>
                <w:kern w:val="0"/>
                <w:sz w:val="21"/>
                <w:szCs w:val="21"/>
              </w:rPr>
            </w:pP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、人员录用与考核有标准，有奖惩淘汰机制（0-</w:t>
            </w:r>
            <w:r>
              <w:rPr>
                <w:rFonts w:hint="eastAsia" w:eastAsia="宋体" w:cs="宋体"/>
                <w:color w:val="auto"/>
                <w:kern w:val="0"/>
                <w:sz w:val="21"/>
                <w:szCs w:val="21"/>
                <w:lang w:val="en-US" w:eastAsia="zh-CN"/>
              </w:rPr>
              <w:t>10</w:t>
            </w:r>
            <w:r>
              <w:rPr>
                <w:rFonts w:hint="eastAsia" w:ascii="宋体" w:hAnsi="宋体" w:eastAsia="宋体" w:cs="宋体"/>
                <w:color w:val="auto"/>
                <w:kern w:val="0"/>
                <w:sz w:val="21"/>
                <w:szCs w:val="21"/>
              </w:rPr>
              <w:t>分），方案全面有效的得</w:t>
            </w:r>
            <w:r>
              <w:rPr>
                <w:rFonts w:hint="eastAsia"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eastAsia="宋体" w:cs="宋体"/>
                <w:color w:val="auto"/>
                <w:kern w:val="0"/>
                <w:sz w:val="21"/>
                <w:szCs w:val="21"/>
                <w:lang w:val="en-US" w:eastAsia="zh-CN"/>
              </w:rPr>
              <w:t>7</w:t>
            </w:r>
            <w:r>
              <w:rPr>
                <w:rFonts w:hint="eastAsia" w:ascii="宋体" w:hAnsi="宋体" w:eastAsia="宋体" w:cs="宋体"/>
                <w:color w:val="auto"/>
                <w:kern w:val="0"/>
                <w:sz w:val="21"/>
                <w:szCs w:val="21"/>
              </w:rPr>
              <w:t>分，方案全面但与本项目不适用的得</w:t>
            </w:r>
            <w:r>
              <w:rPr>
                <w:rFonts w:hint="eastAsia" w:eastAsia="宋体" w:cs="宋体"/>
                <w:color w:val="auto"/>
                <w:kern w:val="0"/>
                <w:sz w:val="21"/>
                <w:szCs w:val="21"/>
                <w:lang w:val="en-US" w:eastAsia="zh-CN"/>
              </w:rPr>
              <w:t>6</w:t>
            </w:r>
            <w:r>
              <w:rPr>
                <w:rFonts w:hint="eastAsia" w:ascii="宋体" w:hAnsi="宋体" w:eastAsia="宋体" w:cs="宋体"/>
                <w:color w:val="auto"/>
                <w:kern w:val="0"/>
                <w:sz w:val="21"/>
                <w:szCs w:val="21"/>
              </w:rPr>
              <w:t>.99～</w:t>
            </w:r>
            <w:r>
              <w:rPr>
                <w:rFonts w:hint="eastAsia" w:eastAsia="宋体" w:cs="宋体"/>
                <w:color w:val="auto"/>
                <w:kern w:val="0"/>
                <w:sz w:val="21"/>
                <w:szCs w:val="21"/>
                <w:lang w:val="en-US" w:eastAsia="zh-CN"/>
              </w:rPr>
              <w:t>4</w:t>
            </w:r>
            <w:r>
              <w:rPr>
                <w:rFonts w:hint="eastAsia" w:ascii="宋体" w:hAnsi="宋体" w:eastAsia="宋体" w:cs="宋体"/>
                <w:color w:val="auto"/>
                <w:kern w:val="0"/>
                <w:sz w:val="21"/>
                <w:szCs w:val="21"/>
              </w:rPr>
              <w:t>分，方案欠缺的得</w:t>
            </w:r>
            <w:r>
              <w:rPr>
                <w:rFonts w:hint="eastAsia" w:eastAsia="宋体" w:cs="宋体"/>
                <w:color w:val="auto"/>
                <w:kern w:val="0"/>
                <w:sz w:val="21"/>
                <w:szCs w:val="21"/>
                <w:lang w:val="en-US" w:eastAsia="zh-CN"/>
              </w:rPr>
              <w:t>3</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rPr>
            </w:pPr>
          </w:p>
        </w:tc>
        <w:tc>
          <w:tcPr>
            <w:tcW w:w="1895" w:type="dxa"/>
            <w:vMerge w:val="continue"/>
            <w:noWrap w:val="0"/>
            <w:vAlign w:val="center"/>
          </w:tcPr>
          <w:p>
            <w:pPr>
              <w:ind w:left="0" w:leftChars="0" w:firstLine="0" w:firstLineChars="0"/>
              <w:rPr>
                <w:rFonts w:hint="eastAsia" w:ascii="宋体" w:hAnsi="宋体" w:eastAsia="宋体" w:cs="宋体"/>
                <w:color w:val="auto"/>
                <w:kern w:val="0"/>
                <w:sz w:val="21"/>
                <w:szCs w:val="21"/>
              </w:rPr>
            </w:pP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、各类人员上岗仪表、行为、态度，标准统一、规范（0-5分），方案全面有效的得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分，方案全面但与本项目不适用的得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分，方案欠缺的得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.99～</w:t>
            </w:r>
            <w:r>
              <w:rPr>
                <w:rFonts w:hint="eastAsia" w:ascii="宋体" w:hAnsi="宋体" w:eastAsia="宋体" w:cs="宋体"/>
                <w:color w:val="auto"/>
                <w:kern w:val="0"/>
                <w:sz w:val="21"/>
                <w:szCs w:val="21"/>
                <w:lang w:val="en-US" w:eastAsia="zh-CN"/>
              </w:rPr>
              <w:t>0</w:t>
            </w:r>
            <w:r>
              <w:rPr>
                <w:rFonts w:hint="eastAsia" w:ascii="宋体" w:hAnsi="宋体" w:eastAsia="宋体" w:cs="宋体"/>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66" w:type="dxa"/>
            <w:vMerge w:val="restart"/>
            <w:noWrap w:val="0"/>
            <w:vAlign w:val="center"/>
          </w:tcPr>
          <w:p>
            <w:pPr>
              <w:spacing w:line="360" w:lineRule="auto"/>
              <w:ind w:left="0" w:leftChars="0" w:firstLine="0" w:firstLineChars="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rPr>
              <w:t>商务分</w:t>
            </w:r>
          </w:p>
          <w:p>
            <w:pPr>
              <w:spacing w:line="360" w:lineRule="auto"/>
              <w:ind w:left="0" w:leftChars="0" w:firstLine="0" w:firstLineChars="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1</w:t>
            </w:r>
            <w:r>
              <w:rPr>
                <w:rFonts w:hint="eastAsia" w:eastAsia="宋体" w:cs="宋体"/>
                <w:b/>
                <w:bCs/>
                <w:color w:val="auto"/>
                <w:sz w:val="21"/>
                <w:szCs w:val="21"/>
                <w:lang w:val="en-US" w:eastAsia="zh-CN"/>
              </w:rPr>
              <w:t>5</w:t>
            </w:r>
            <w:r>
              <w:rPr>
                <w:rFonts w:hint="eastAsia" w:ascii="宋体" w:hAnsi="宋体" w:eastAsia="宋体" w:cs="宋体"/>
                <w:b/>
                <w:bCs/>
                <w:color w:val="auto"/>
                <w:sz w:val="21"/>
                <w:szCs w:val="21"/>
              </w:rPr>
              <w:t>分</w:t>
            </w:r>
          </w:p>
        </w:tc>
        <w:tc>
          <w:tcPr>
            <w:tcW w:w="189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人员证书（</w:t>
            </w:r>
            <w:r>
              <w:rPr>
                <w:rFonts w:hint="eastAsia" w:ascii="宋体" w:hAnsi="宋体" w:eastAsia="宋体" w:cs="宋体"/>
                <w:color w:val="auto"/>
                <w:kern w:val="0"/>
                <w:sz w:val="21"/>
                <w:szCs w:val="21"/>
                <w:lang w:val="en-US" w:eastAsia="zh-CN"/>
              </w:rPr>
              <w:t>5分</w:t>
            </w:r>
            <w:r>
              <w:rPr>
                <w:rFonts w:hint="eastAsia" w:ascii="宋体" w:hAnsi="宋体" w:eastAsia="宋体" w:cs="宋体"/>
                <w:color w:val="auto"/>
                <w:kern w:val="0"/>
                <w:sz w:val="21"/>
                <w:szCs w:val="21"/>
                <w:lang w:eastAsia="zh-CN"/>
              </w:rPr>
              <w:t>）</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投标人所配备的人员均具有保安证</w:t>
            </w:r>
            <w:r>
              <w:rPr>
                <w:rFonts w:hint="eastAsia" w:eastAsia="宋体" w:cs="宋体"/>
                <w:color w:val="auto"/>
                <w:kern w:val="0"/>
                <w:sz w:val="21"/>
                <w:szCs w:val="24"/>
                <w:lang w:eastAsia="zh-CN"/>
              </w:rPr>
              <w:t>且完成新冠</w:t>
            </w:r>
            <w:r>
              <w:rPr>
                <w:rFonts w:ascii="微软雅黑" w:hAnsi="微软雅黑" w:eastAsia="宋体" w:cs="微软雅黑"/>
                <w:i w:val="0"/>
                <w:iCs w:val="0"/>
                <w:caps w:val="0"/>
                <w:color w:val="auto"/>
                <w:spacing w:val="0"/>
                <w:sz w:val="21"/>
                <w:szCs w:val="21"/>
                <w:shd w:val="clear" w:color="auto" w:fill="FFFFFF"/>
              </w:rPr>
              <w:t>疫苗</w:t>
            </w:r>
            <w:r>
              <w:rPr>
                <w:rFonts w:hint="eastAsia" w:ascii="微软雅黑" w:hAnsi="微软雅黑" w:eastAsia="宋体" w:cs="微软雅黑"/>
                <w:i w:val="0"/>
                <w:iCs w:val="0"/>
                <w:caps w:val="0"/>
                <w:color w:val="auto"/>
                <w:spacing w:val="0"/>
                <w:sz w:val="21"/>
                <w:szCs w:val="21"/>
                <w:shd w:val="clear" w:color="auto" w:fill="FFFFFF"/>
                <w:lang w:eastAsia="zh-CN"/>
              </w:rPr>
              <w:t>接种</w:t>
            </w:r>
            <w:r>
              <w:rPr>
                <w:rFonts w:hint="eastAsia" w:ascii="宋体" w:hAnsi="宋体" w:eastAsia="宋体" w:cs="宋体"/>
                <w:color w:val="auto"/>
                <w:kern w:val="0"/>
                <w:sz w:val="21"/>
                <w:szCs w:val="21"/>
                <w:lang w:val="en-US" w:eastAsia="zh-CN"/>
              </w:rPr>
              <w:t>的得5分，少一人扣1分，扣完为止。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lang w:val="en-US" w:eastAsia="zh-CN"/>
              </w:rPr>
            </w:pPr>
          </w:p>
        </w:tc>
        <w:tc>
          <w:tcPr>
            <w:tcW w:w="189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标准体系认证（</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投标人具有有效的质量管理体系、环境管理体系、职业健康体系认证证书每个得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分，总分</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分（投标文件中提供以上相关证书复印件加盖供应商公章）。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rPr>
            </w:pPr>
          </w:p>
        </w:tc>
        <w:tc>
          <w:tcPr>
            <w:tcW w:w="189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同类项目业绩（</w:t>
            </w:r>
            <w:r>
              <w:rPr>
                <w:rFonts w:hint="eastAsia" w:eastAsia="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201</w:t>
            </w:r>
            <w:r>
              <w:rPr>
                <w:rFonts w:hint="eastAsia" w:eastAsia="宋体" w:cs="宋体"/>
                <w:color w:val="auto"/>
                <w:kern w:val="0"/>
                <w:sz w:val="21"/>
                <w:szCs w:val="21"/>
                <w:lang w:val="en-US" w:eastAsia="zh-CN"/>
              </w:rPr>
              <w:t>9</w:t>
            </w:r>
            <w:r>
              <w:rPr>
                <w:rFonts w:hint="eastAsia" w:ascii="宋体" w:hAnsi="宋体" w:eastAsia="宋体" w:cs="宋体"/>
                <w:color w:val="auto"/>
                <w:kern w:val="0"/>
                <w:sz w:val="21"/>
                <w:szCs w:val="21"/>
              </w:rPr>
              <w:t>年1月1日至今（以合同签订日算起），具有</w:t>
            </w:r>
            <w:r>
              <w:rPr>
                <w:rFonts w:hint="eastAsia" w:ascii="宋体" w:hAnsi="宋体" w:eastAsia="宋体" w:cs="宋体"/>
                <w:color w:val="auto"/>
                <w:kern w:val="0"/>
                <w:sz w:val="21"/>
                <w:szCs w:val="21"/>
                <w:lang w:eastAsia="zh-CN"/>
              </w:rPr>
              <w:t>同类</w:t>
            </w:r>
            <w:r>
              <w:rPr>
                <w:rFonts w:hint="eastAsia" w:ascii="宋体" w:hAnsi="宋体" w:eastAsia="宋体" w:cs="宋体"/>
                <w:color w:val="auto"/>
                <w:kern w:val="0"/>
                <w:sz w:val="21"/>
                <w:szCs w:val="21"/>
              </w:rPr>
              <w:t>保安服务合同的，每提供一份得</w:t>
            </w:r>
            <w:r>
              <w:rPr>
                <w:rFonts w:hint="eastAsia" w:eastAsia="宋体" w:cs="宋体"/>
                <w:color w:val="auto"/>
                <w:kern w:val="0"/>
                <w:sz w:val="21"/>
                <w:szCs w:val="21"/>
                <w:lang w:val="en-US" w:eastAsia="zh-CN"/>
              </w:rPr>
              <w:t>1</w:t>
            </w:r>
            <w:r>
              <w:rPr>
                <w:rFonts w:hint="eastAsia" w:ascii="宋体" w:hAnsi="宋体" w:eastAsia="宋体" w:cs="宋体"/>
                <w:color w:val="auto"/>
                <w:kern w:val="0"/>
                <w:sz w:val="21"/>
                <w:szCs w:val="21"/>
              </w:rPr>
              <w:t>分，最多得</w:t>
            </w:r>
            <w:r>
              <w:rPr>
                <w:rFonts w:hint="eastAsia" w:eastAsia="宋体" w:cs="宋体"/>
                <w:color w:val="auto"/>
                <w:kern w:val="0"/>
                <w:sz w:val="21"/>
                <w:szCs w:val="21"/>
                <w:lang w:val="en-US" w:eastAsia="zh-CN"/>
              </w:rPr>
              <w:t>5</w:t>
            </w:r>
            <w:r>
              <w:rPr>
                <w:rFonts w:hint="eastAsia" w:ascii="宋体" w:hAnsi="宋体" w:eastAsia="宋体" w:cs="宋体"/>
                <w:color w:val="auto"/>
                <w:kern w:val="0"/>
                <w:sz w:val="21"/>
                <w:szCs w:val="21"/>
              </w:rPr>
              <w:t>分。（投标文件中</w:t>
            </w:r>
            <w:r>
              <w:rPr>
                <w:rFonts w:hint="eastAsia" w:ascii="宋体" w:hAnsi="宋体" w:eastAsia="宋体" w:cs="宋体"/>
                <w:color w:val="auto"/>
                <w:kern w:val="0"/>
                <w:sz w:val="21"/>
                <w:szCs w:val="21"/>
                <w:lang w:eastAsia="zh-CN"/>
              </w:rPr>
              <w:t>需同时</w:t>
            </w:r>
            <w:r>
              <w:rPr>
                <w:rFonts w:hint="eastAsia" w:ascii="宋体" w:hAnsi="宋体" w:eastAsia="宋体" w:cs="宋体"/>
                <w:color w:val="auto"/>
                <w:kern w:val="0"/>
                <w:sz w:val="21"/>
                <w:szCs w:val="21"/>
              </w:rPr>
              <w:t>提供合同复印件加盖供应商公章）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66" w:type="dxa"/>
            <w:vMerge w:val="continue"/>
            <w:noWrap w:val="0"/>
            <w:vAlign w:val="center"/>
          </w:tcPr>
          <w:p>
            <w:pPr>
              <w:spacing w:line="360" w:lineRule="auto"/>
              <w:ind w:left="0" w:leftChars="0" w:firstLine="0" w:firstLineChars="0"/>
              <w:jc w:val="both"/>
              <w:rPr>
                <w:rFonts w:hint="eastAsia" w:ascii="宋体" w:hAnsi="宋体" w:eastAsia="宋体" w:cs="宋体"/>
                <w:b/>
                <w:bCs/>
                <w:color w:val="auto"/>
                <w:sz w:val="21"/>
                <w:szCs w:val="21"/>
              </w:rPr>
            </w:pPr>
          </w:p>
        </w:tc>
        <w:tc>
          <w:tcPr>
            <w:tcW w:w="189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政府采购政策分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2分</w:t>
            </w:r>
            <w:r>
              <w:rPr>
                <w:rFonts w:hint="eastAsia" w:ascii="宋体" w:hAnsi="宋体" w:eastAsia="宋体" w:cs="宋体"/>
                <w:color w:val="auto"/>
                <w:kern w:val="0"/>
                <w:sz w:val="21"/>
                <w:szCs w:val="21"/>
                <w:lang w:eastAsia="zh-CN"/>
              </w:rPr>
              <w:t>）</w:t>
            </w:r>
          </w:p>
        </w:tc>
        <w:tc>
          <w:tcPr>
            <w:tcW w:w="7185" w:type="dxa"/>
            <w:noWrap w:val="0"/>
            <w:vAlign w:val="center"/>
          </w:tcPr>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1 \* GB3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①</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供应商注册在扶持不发达地区的，得1分；</w:t>
            </w:r>
          </w:p>
          <w:p>
            <w:pPr>
              <w:ind w:left="0" w:leftChars="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 2 \* GB3 </w:instrText>
            </w:r>
            <w:r>
              <w:rPr>
                <w:rFonts w:hint="eastAsia" w:ascii="宋体" w:hAnsi="宋体" w:eastAsia="宋体" w:cs="宋体"/>
                <w:color w:val="auto"/>
                <w:kern w:val="0"/>
                <w:sz w:val="21"/>
                <w:szCs w:val="21"/>
              </w:rPr>
              <w:fldChar w:fldCharType="separate"/>
            </w:r>
            <w:r>
              <w:rPr>
                <w:rFonts w:hint="eastAsia" w:ascii="宋体" w:hAnsi="宋体" w:eastAsia="宋体" w:cs="宋体"/>
                <w:color w:val="auto"/>
                <w:kern w:val="0"/>
                <w:sz w:val="21"/>
                <w:szCs w:val="21"/>
              </w:rPr>
              <w:t>②</w: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供应商注册在少数民族地区的，得1分；</w:t>
            </w:r>
          </w:p>
          <w:p>
            <w:pPr>
              <w:ind w:left="0" w:leftChars="0" w:firstLine="0" w:firstLine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注：供应商应提供相关说明资料（扶持不发达地区、少数民族地区）；</w:t>
            </w:r>
          </w:p>
        </w:tc>
      </w:tr>
    </w:tbl>
    <w:p>
      <w:pPr>
        <w:ind w:firstLine="536"/>
        <w:rPr>
          <w:rFonts w:hint="eastAsia" w:cs="宋体"/>
          <w:color w:val="auto"/>
          <w:spacing w:val="14"/>
        </w:rPr>
      </w:pPr>
      <w:r>
        <w:rPr>
          <w:rFonts w:hint="eastAsia" w:cs="宋体"/>
          <w:color w:val="auto"/>
          <w:spacing w:val="14"/>
        </w:rPr>
        <w:t>打分说明：</w:t>
      </w:r>
      <w:r>
        <w:rPr>
          <w:rFonts w:hint="eastAsia" w:cs="宋体"/>
          <w:color w:val="auto"/>
        </w:rPr>
        <w:t>各评委</w:t>
      </w:r>
      <w:r>
        <w:rPr>
          <w:rFonts w:hint="eastAsia" w:cs="宋体"/>
          <w:color w:val="auto"/>
          <w:spacing w:val="14"/>
        </w:rPr>
        <w:t>根据评标情况</w:t>
      </w:r>
      <w:r>
        <w:rPr>
          <w:rFonts w:hint="eastAsia" w:cs="宋体"/>
          <w:color w:val="auto"/>
        </w:rPr>
        <w:t>进行独立评估打分</w:t>
      </w:r>
      <w:r>
        <w:rPr>
          <w:rFonts w:hint="eastAsia" w:cs="宋体"/>
          <w:color w:val="auto"/>
          <w:spacing w:val="14"/>
        </w:rPr>
        <w:t>，每栏分值不得超出本栏规定的分值范围；</w:t>
      </w:r>
    </w:p>
    <w:p>
      <w:pPr>
        <w:ind w:firstLine="482"/>
        <w:rPr>
          <w:rFonts w:hint="eastAsia" w:cs="宋体"/>
          <w:b/>
          <w:color w:val="auto"/>
        </w:rPr>
      </w:pPr>
      <w:r>
        <w:rPr>
          <w:rFonts w:hint="eastAsia" w:cs="宋体"/>
          <w:b/>
          <w:color w:val="auto"/>
        </w:rPr>
        <w:t>评委签名：                             时间：</w:t>
      </w:r>
    </w:p>
    <w:p>
      <w:pPr>
        <w:ind w:firstLine="482"/>
        <w:jc w:val="center"/>
        <w:rPr>
          <w:rFonts w:hint="eastAsia" w:cs="宋体"/>
          <w:b/>
          <w:bCs/>
          <w:color w:val="auto"/>
          <w:kern w:val="44"/>
          <w:sz w:val="32"/>
          <w:szCs w:val="52"/>
        </w:rPr>
      </w:pPr>
      <w:r>
        <w:rPr>
          <w:rFonts w:hint="eastAsia" w:cs="宋体"/>
          <w:b/>
          <w:color w:val="auto"/>
        </w:rPr>
        <w:br w:type="page"/>
      </w:r>
      <w:bookmarkEnd w:id="114"/>
      <w:bookmarkEnd w:id="115"/>
      <w:bookmarkEnd w:id="116"/>
      <w:bookmarkStart w:id="119" w:name="_Toc32631"/>
      <w:r>
        <w:rPr>
          <w:rFonts w:hint="eastAsia" w:cs="宋体"/>
          <w:b/>
          <w:bCs/>
          <w:color w:val="auto"/>
          <w:kern w:val="44"/>
          <w:sz w:val="32"/>
          <w:szCs w:val="52"/>
        </w:rPr>
        <w:t>第五章 合同格式及合同条款</w:t>
      </w:r>
      <w:bookmarkEnd w:id="119"/>
    </w:p>
    <w:p>
      <w:pPr>
        <w:pStyle w:val="19"/>
        <w:snapToGrid w:val="0"/>
        <w:spacing w:line="360" w:lineRule="auto"/>
        <w:jc w:val="center"/>
        <w:rPr>
          <w:rFonts w:hint="eastAsia" w:hAnsi="宋体"/>
          <w:b/>
          <w:color w:val="auto"/>
          <w:sz w:val="24"/>
          <w:szCs w:val="24"/>
        </w:rPr>
      </w:pPr>
      <w:bookmarkStart w:id="120" w:name="_Toc450840088"/>
      <w:r>
        <w:rPr>
          <w:rFonts w:hint="eastAsia" w:hAnsi="宋体"/>
          <w:b/>
          <w:color w:val="auto"/>
          <w:sz w:val="24"/>
          <w:szCs w:val="24"/>
        </w:rPr>
        <w:t>（本合同为合同样稿，最终稿由甲乙双方协商后确定）</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甲方：（采购人）宁波行知中等职业学校</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乙方：（中标方）</w:t>
      </w:r>
    </w:p>
    <w:p>
      <w:pPr>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经过公开招标，确定</w:t>
      </w:r>
      <w:r>
        <w:rPr>
          <w:rFonts w:hint="eastAsia" w:ascii="宋体" w:hAnsi="宋体" w:cs="宋体"/>
          <w:color w:val="auto"/>
          <w:sz w:val="21"/>
          <w:szCs w:val="21"/>
          <w:u w:val="single"/>
        </w:rPr>
        <w:t xml:space="preserve">  （乙方）  </w:t>
      </w:r>
      <w:r>
        <w:rPr>
          <w:rFonts w:hint="eastAsia" w:ascii="宋体" w:hAnsi="宋体" w:cs="宋体"/>
          <w:color w:val="auto"/>
          <w:sz w:val="21"/>
          <w:szCs w:val="21"/>
        </w:rPr>
        <w:t>为</w:t>
      </w:r>
      <w:r>
        <w:rPr>
          <w:rFonts w:hint="eastAsia" w:ascii="宋体" w:hAnsi="宋体" w:cs="宋体"/>
          <w:color w:val="auto"/>
          <w:sz w:val="21"/>
          <w:szCs w:val="21"/>
          <w:u w:val="single"/>
        </w:rPr>
        <w:t xml:space="preserve">  （项目名称）</w:t>
      </w:r>
      <w:r>
        <w:rPr>
          <w:rFonts w:hint="eastAsia" w:ascii="宋体" w:hAnsi="宋体" w:cs="宋体"/>
          <w:color w:val="auto"/>
          <w:sz w:val="21"/>
          <w:szCs w:val="21"/>
        </w:rPr>
        <w:t>的中标方，双方在自愿、平等、协商一致的基础上，特订立本合同。</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第一条  合同事项</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本合同就甲方委托乙方管理的事项仅做如下简要说明，具体详见甲方发出的“宁波行知中等职业学校保安服务采购项目”招标文件及乙方针对本项目的投标文件。</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第二条  合同文件组成及解释顺序</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1、下列文件一起组成本合同文件：</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（1）本采购合同及其补充协议（如有）；</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（2）中标通知书；</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（3）招标文件及其修改、补充文件（如有）；</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（4）询标承诺、询疑答复；</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（5）投标文件及其补充文件；</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（6）双方来函</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第三条  服务期限</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1、服务期限为壹年，自    年  月  日至    年  月  日止。合同期满后，经甲方考核合格，报慈溪市公共资源交易管理办公室备案，合同可续签一年，最多可续签二年。</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2、合同续签：考核成绩合格续签下年度合同。</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第四条  合同金额及费用支付</w:t>
      </w:r>
    </w:p>
    <w:p>
      <w:pPr>
        <w:spacing w:line="520" w:lineRule="exact"/>
        <w:ind w:firstLine="420" w:firstLineChars="200"/>
        <w:rPr>
          <w:rFonts w:hint="eastAsia" w:ascii="宋体" w:hAnsi="宋体" w:cs="宋体"/>
          <w:color w:val="auto"/>
          <w:sz w:val="21"/>
          <w:szCs w:val="21"/>
          <w:highlight w:val="red"/>
        </w:rPr>
      </w:pPr>
      <w:r>
        <w:rPr>
          <w:rFonts w:hint="eastAsia" w:ascii="宋体" w:hAnsi="宋体" w:cs="宋体"/>
          <w:color w:val="auto"/>
          <w:sz w:val="21"/>
          <w:szCs w:val="21"/>
        </w:rPr>
        <w:t>1、合同金额：本合同金额为</w:t>
      </w:r>
      <w:r>
        <w:rPr>
          <w:rFonts w:hint="eastAsia" w:ascii="宋体" w:hAnsi="宋体" w:cs="宋体"/>
          <w:color w:val="auto"/>
          <w:sz w:val="21"/>
          <w:szCs w:val="21"/>
          <w:u w:val="single"/>
        </w:rPr>
        <w:t xml:space="preserve">      </w:t>
      </w:r>
      <w:r>
        <w:rPr>
          <w:rFonts w:hint="eastAsia" w:ascii="宋体" w:hAnsi="宋体" w:cs="宋体"/>
          <w:color w:val="auto"/>
          <w:sz w:val="21"/>
          <w:szCs w:val="21"/>
        </w:rPr>
        <w:t>元。 （临时</w:t>
      </w:r>
      <w:r>
        <w:rPr>
          <w:rFonts w:hint="eastAsia" w:ascii="宋体" w:hAnsi="宋体"/>
          <w:color w:val="auto"/>
          <w:sz w:val="21"/>
          <w:szCs w:val="21"/>
        </w:rPr>
        <w:t>零星加班按慈溪市最低工资结算,不计入总价内，</w:t>
      </w:r>
      <w:r>
        <w:rPr>
          <w:rFonts w:hint="eastAsia" w:ascii="宋体" w:hAnsi="宋体" w:cs="宋体"/>
          <w:color w:val="auto"/>
          <w:sz w:val="21"/>
          <w:szCs w:val="21"/>
        </w:rPr>
        <w:t>）</w:t>
      </w:r>
      <w:r>
        <w:rPr>
          <w:rFonts w:hint="eastAsia" w:ascii="宋体" w:hAnsi="宋体" w:cs="宋体"/>
          <w:color w:val="auto"/>
          <w:sz w:val="21"/>
          <w:szCs w:val="21"/>
          <w:highlight w:val="none"/>
        </w:rPr>
        <w:t>（考核奖列入招标总价内</w:t>
      </w:r>
      <w:r>
        <w:rPr>
          <w:rFonts w:hint="eastAsia" w:ascii="宋体" w:hAnsi="宋体" w:cs="宋体"/>
          <w:color w:val="auto"/>
          <w:sz w:val="21"/>
          <w:szCs w:val="21"/>
          <w:highlight w:val="none"/>
          <w:lang w:eastAsia="zh-CN"/>
        </w:rPr>
        <w:t>，以中标金额的</w:t>
      </w:r>
      <w:r>
        <w:rPr>
          <w:rFonts w:hint="eastAsia" w:ascii="宋体" w:hAnsi="宋体" w:cs="宋体"/>
          <w:color w:val="auto"/>
          <w:sz w:val="21"/>
          <w:szCs w:val="21"/>
          <w:highlight w:val="none"/>
          <w:lang w:val="en-US" w:eastAsia="zh-CN"/>
        </w:rPr>
        <w:t>5%为考核奖，保安公司不发考核奖，考核奖由学校收回</w:t>
      </w:r>
      <w:r>
        <w:rPr>
          <w:rFonts w:hint="eastAsia" w:ascii="宋体" w:hAnsi="宋体" w:cs="宋体"/>
          <w:color w:val="auto"/>
          <w:sz w:val="21"/>
          <w:szCs w:val="21"/>
          <w:highlight w:val="none"/>
        </w:rPr>
        <w:t>）</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合同金额包括但不仅限于完成本项目一年期的保安等服务人员工资（包括社保、残保金、高温费、福利、补贴等）、服装（包括标牌）、保安常规器材（包括保安必须的生活用品）、服务人员培训、体检及乙方管理费、利润、税金等所有费用。除非因特殊原因并经双方协商同意，乙方不得再要求追加任何费用。同时，除非合同条款中另有规定，否则合同金额在合同实施期间不因市场变化和政策因素而变动。</w:t>
      </w:r>
    </w:p>
    <w:p>
      <w:pPr>
        <w:spacing w:line="4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服务期内服务人员工资不得低于慈溪市政府规定的当年最低工资标准，所有人员必须交纳包括养老、工伤、失业、生育、医疗等在内的社会保险，服务期内不得低于慈溪市政府规定的当年社保缴费基数。</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（2）政府采购合同履行过程中，甲方需增加合同标的相同的服务的，在不改变合同其他条款的前提下，与乙方协商签订补充合同，但所有补充合同的采购金额不得超过原合同采购金额的10%。</w:t>
      </w:r>
    </w:p>
    <w:p>
      <w:pPr>
        <w:spacing w:line="520" w:lineRule="exact"/>
        <w:ind w:firstLine="420" w:firstLineChars="200"/>
        <w:rPr>
          <w:rFonts w:hint="eastAsia" w:ascii="宋体" w:hAnsi="宋体" w:cs="宋体"/>
          <w:color w:val="auto"/>
          <w:sz w:val="21"/>
          <w:szCs w:val="21"/>
        </w:rPr>
      </w:pPr>
      <w:r>
        <w:rPr>
          <w:rFonts w:hint="eastAsia"/>
          <w:color w:val="auto"/>
          <w:sz w:val="21"/>
          <w:szCs w:val="21"/>
        </w:rPr>
        <w:t>2、费用支付：</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甲方根据实际服务质量，认为按招标文件人员配置仍不能达到招标文件中采购需求质量要求的，甲方有权要求乙方增派工作人员以确保服务质量，但费用不另行增加。如果由于甲方要求增加或减少工作内容而导致工作人员的增加或减少的，合同金额由甲方将按实际人数根据综合单价调整相应费用，调整范围不超过10%（含10%）。</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第五条  履约保证</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本合同履约保证金为合同总价的5%，计￥</w:t>
      </w:r>
      <w:r>
        <w:rPr>
          <w:rFonts w:hint="eastAsia" w:ascii="宋体" w:hAnsi="宋体" w:cs="宋体"/>
          <w:color w:val="auto"/>
          <w:sz w:val="21"/>
          <w:szCs w:val="21"/>
          <w:u w:val="single"/>
        </w:rPr>
        <w:t xml:space="preserve">          </w:t>
      </w:r>
      <w:r>
        <w:rPr>
          <w:rFonts w:hint="eastAsia" w:ascii="宋体" w:hAnsi="宋体" w:cs="宋体"/>
          <w:color w:val="auto"/>
          <w:sz w:val="21"/>
          <w:szCs w:val="21"/>
        </w:rPr>
        <w:t>元，乙方在签订合同前提交。完成其合同义务后30天内无息予以退还；但如果此时存在合同争端并且未能解决，那么履约保证金的有效期应延长到上述争端最终解决且理赔完毕后终止。</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第六条  甲、乙双方的权利和义务</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1、甲方的权利和义务</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（1）甲方制订本项目规章制度，监督职工和外来人员遵守该制度；</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（2）监督本项目内员工遵守物业服务制度；</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（3）代表和维护甲方的合法权益；审定乙方制定的管理服务方案、制度；</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（4）检查监督乙方根据招标文件、响应文件及管理方案的实施和制度的实行情况；</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（5）审议乙方制订的物业服务年度计划、维修计划等；</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（6）按本合同的规定支付费用，并按有关规定提供给乙方必要的管理用房；</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（7）负责对乙方执行日常工作的监督及乙方派驻现场的工作人员的监督；</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（8）协助乙方做好保安服务工作和保安服务的宣传工作；</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（9）处理合同期间在管理服务工作中需甲方出面协调的问题；</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（10）配合乙方共同协调处理相关问题；</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（11）对乙方违反法规、规章的行为，提请有关部门处理；</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（12）负责对乙方管理服务工作质量的考核，考核标准详见招标文件。</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2、乙方权利和义务</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根据有关法律、法规及招标文件、投标文件等的约定，制定管理服务方案及实施方案，按方案书的承诺履行合同，并配合甲方监管人员的业务检查，接受服务监管考核制度的约束，其考核结果作为费用正常支付和续签合同的重要依据；</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（2）需建立健全项目管理档案资料，如工作记录以及其他需要记录在案的文档，并做好各项保密工作；</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（3）应认真听取甲方提出的建议和意见，并接受甲方的考核管理规定，对在服务管理中出现的问题和薄弱环节应立即整改；</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（4）对服务人员违反法规、规章的行为，根据情节轻重，采取批评、规劝、警告、制止等措施或提请有关部门处理；</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（5）加强治安形势教育和加强内部管理，根据项目开展的工作进度适时调整管理办法；</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（6）负责编制保安服务年度计划、保安费用收支情况及时报甲方；</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（7）进入甲方工作的相关人员必须经严格培训，经考核合格后上岗，要求身体健康，无犯罪等不良记录；</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（8）协助处理日常工作，接受甲方提出特约服务并收取适当费用；</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（9）乙方应按照甲方要求做好日常节能工作；</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（10）对本项目的公共设施不得擅自占用和改变使用功能，如需扩建或完善配套项目，须事先征得甲方同意，并报有关部门批准后，方可实施；</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（11）本合同终止时，乙方必须向甲方移交全部管理用房、甲方资产及全部的管理档案资料；</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（12）乙方按有关规定为全体员工缴纳社会保险、人身意外伤害险等。</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（13）乙方不得将整体或部分管理责任及利益对外转让或发包，不得将未征得甲方同意的物业服务业务对外分包或转包。</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第七条  甲、乙双方责任限定</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1、乙方工作人员在服务过程中，因其工作失职造成甲方损失的．乙方应承担相应的经济赔偿，最高不超过当月服务费的5%。</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2、甲方禁止安排乙方工作人员参与其他违反法律规定及工作职责以外的活动，违者由甲方承担法律和经济责任。</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3、乙方派遣至甲方的所有工作人员，其食宿、着装、社会保险、意外伤害保险、培训等各类费用及发生的各种工伤事故和意外事故均由乙方承担，与甲方无涉。</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4、乙方工作人员中途辞职，乙方应在5天内补足。</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第八条  合同的变更、终止及违约责任</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1、甲方在乙方存在如下违约情况时，有权单方面终止全部或部分合同，乙方所交的履约保证金不予退还，并保留进一步追究乙方责任的权利（包括经济赔偿）。</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（1）乙方未能履行合同规定的义务；</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（2）在考核周期内，第3次出现考核不合格；</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（3）有严重影响项目正常工作及甲方形象；</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（4）乙方存在与招标文件不符合的做法，或不履行其响应文件的承诺；</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（5）乙方存在其他违约行为经甲方书面催告后仍不改正的；</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（6）在合同有效期内，对本合同范围内的工作内容乙方擅自委托或转包给其它单位或个人。</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2、乙方如要提前中止合同，需提前3个月，并征得甲方同意，否则按合同执行。</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除不可抗力以外，如发生乙方不能履行合同义务，或甲方发生中途终止合同等情况，应及时以书面形式通知对方。甲乙双方应本着友好的态度进行协商，妥善解决。如协商无效，按下列规定计算并支付违约金，违约金在款项支付中直接扣除：</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（1）乙方不能履行合同义务，应按未履行部分合同价格的10%向甲方偿付违约金，同时履约保证金不予退还。</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（2）如乙方未能履行合同规定的任何一项义务，甲方均有权从履约保证金中得到补偿。</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（3）经双方协商可终止部分或全部合同的，无须承担违约责任。</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4、乙方因工作疏忽而造成甲方财产损失的，乙方应按损失的价值照价赔偿。</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乙方工作人员在工作时间违反甲方的管理制度造成安全事故、综治事件、造成甲方的名誉和形象受损的，乙方应立即采取有效措施，恢复甲方的名誉并向甲方支付违约金，若乙方造成甲方损失的，应予赔偿。违约金和赔偿金由甲方依据安全事故的性质、程度以及甲方的名誉、形象受损的范围和程度确定，并在支付合同款时在合同款中扣除。</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乙方在投标文件中承诺的项目负责人，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项目负责人时，未经甲方书面批准，乙方应承担相应的违约金，违约金标准：项目负责人更换5万元/人.次，违约金由甲方在款项支付中直接扣除。同时，甲方保留解除合同的权利，由此引起的相关损失由乙方赔偿。</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7、其他违约情形：</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（1）乙方未确保响应承诺的人员到位，或人员素质不符合招标文件要求，或与响应承诺不一致的，按实际缺席天数扣除人员费用，一周后仍没到位，加扣当月服务费的50%。</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（2）甲方要求乙方变动或更换人员，乙方未在规定时间内变动或更换的，每人次扣1000元。</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乙方未按招标文件要求支付工资、加班薪资，缴纳各种社会保险，每人次扣1000元。且乙方无条件接受甲方在支付费用时扣除相应的少支付的费用，并将此费用直接支付给员工，由此造成的一切后果承担全部责任。</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（4）乙方未按响应文件承诺配置设备及耗材的，或配置设备及耗材质量、数量不能满足日常需要的，每次扣1000元。</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第九条  其它约定事项</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服务人员的工资、福利、津贴乙方支付，乙方负责解决或处理所有服务人员的社会保险及劳资纠纷。其中，社会保险除必须的各种社保外，还应包括第三者责任保险和员工人身意外保险。乙方派遣至甲方的所有服务人员，工伤风险、费用、责任、损失均由乙方承担和全权负责，与甲方无涉。</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2、乙方每月不少于4次对服务人员进行专业培训、检查、教育。</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3、乙方必须保证确保服务质量，保证项目服务人员队伍的稳定。</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4、甲方和乙方在检查、管理过程中，发现服务人员在工作中有违纪行为，乙方应对其进行批评教育等处理，若员工有严重违规行为的，甲方有权要求乙方将服务人员退回并在7个工作日补充合格人员。</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5、如果乙方破产或无清偿能力时，甲方可在任何时候以书面通知乙方终止合同。该终止合同将不损害或影响甲方已经采取或将要采取的补救措施的权利。</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第十条  不可抗力事件处理</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1、在合同有效期内，任何一方因不可抗力事件导致不能履行合同，则合同履行期可延长，其延长期与不可抗力影响期相同。</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2、不可抗力事件发生后，应立即通知对方，并寄送有关权威机构出具的证明。</w:t>
      </w:r>
    </w:p>
    <w:p>
      <w:pPr>
        <w:spacing w:line="400" w:lineRule="exact"/>
        <w:ind w:firstLine="420" w:firstLineChars="200"/>
        <w:outlineLvl w:val="0"/>
        <w:rPr>
          <w:rFonts w:hint="eastAsia" w:ascii="宋体" w:hAnsi="宋体" w:cs="宋体"/>
          <w:color w:val="auto"/>
          <w:sz w:val="21"/>
          <w:szCs w:val="21"/>
        </w:rPr>
      </w:pPr>
      <w:r>
        <w:rPr>
          <w:rFonts w:hint="eastAsia" w:ascii="宋体" w:hAnsi="宋体" w:cs="宋体"/>
          <w:color w:val="auto"/>
          <w:sz w:val="21"/>
          <w:szCs w:val="21"/>
        </w:rPr>
        <w:t>3、不可抗力事件延续10天及以上，双方应通过友好协商，确定是否继续履行合同。</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第十一条  其他事项</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1、自本合同生效之日起15个自然日内，根据甲方委托管理事项，办理完交接验收手续；</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2、甲、乙方对《招标文件》以外的服务项目及维修，可根据实际情况另行签订补充协议。补充协议和本合同的附件与本合同具有同等效力；</w:t>
      </w:r>
    </w:p>
    <w:p>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3、本合同在履行过程中发生争议时，当事人双方应及时协调解决。协商不成时，由甲方所在地仲裁委员会仲裁。</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如遇突发或重大事件，乙方管理人员应在第一时间报告甲方有关部门，乙方项目负责人应在第一时间到达现场，适时处理或协助处理有关问题；甲方如认为情况危及到内部人员的安定管理，乙方应无条件同意甲方直接调配乙方资源直至危机结束；</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5、由于乙方原因而损坏设施设备的，由乙方负责赔偿。</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6、如因政策性调整，乙方在服务期间因国家相关政策调整致使中途服务停止，乙方不得提出任何索赔。</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第十二条  合同生效及其他</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1、合同经双方法定代表人或授权代表签字加盖单位公章，且乙方提交履约保证金后生效。</w:t>
      </w:r>
    </w:p>
    <w:p>
      <w:pPr>
        <w:spacing w:line="52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2、本合同未尽事宜，经双方协商一致，签订补充协议，补充协议与本协议书具有同等效力。</w:t>
      </w:r>
    </w:p>
    <w:p>
      <w:pPr>
        <w:spacing w:line="520" w:lineRule="exact"/>
        <w:ind w:firstLine="420" w:firstLineChars="200"/>
        <w:rPr>
          <w:rFonts w:hint="eastAsia" w:ascii="宋体" w:hAnsi="宋体" w:cs="宋体"/>
          <w:color w:val="auto"/>
          <w:szCs w:val="21"/>
        </w:rPr>
      </w:pPr>
      <w:r>
        <w:rPr>
          <w:rFonts w:hint="eastAsia" w:ascii="宋体" w:hAnsi="宋体" w:cs="宋体"/>
          <w:color w:val="auto"/>
          <w:sz w:val="21"/>
          <w:szCs w:val="21"/>
        </w:rPr>
        <w:t>3、本合同一式六份，甲、乙双方各执二份，慈溪市公共资源交易管理办公室和采购代理机构各存档一份，均具有同等效力。</w:t>
      </w:r>
    </w:p>
    <w:tbl>
      <w:tblPr>
        <w:tblStyle w:val="39"/>
        <w:tblW w:w="0" w:type="auto"/>
        <w:tblInd w:w="0" w:type="dxa"/>
        <w:tblLayout w:type="fixed"/>
        <w:tblCellMar>
          <w:top w:w="0" w:type="dxa"/>
          <w:left w:w="108" w:type="dxa"/>
          <w:bottom w:w="0" w:type="dxa"/>
          <w:right w:w="108" w:type="dxa"/>
        </w:tblCellMar>
      </w:tblPr>
      <w:tblGrid>
        <w:gridCol w:w="1526"/>
        <w:gridCol w:w="3118"/>
        <w:gridCol w:w="1829"/>
        <w:gridCol w:w="2816"/>
      </w:tblGrid>
      <w:tr>
        <w:tblPrEx>
          <w:tblCellMar>
            <w:top w:w="0" w:type="dxa"/>
            <w:left w:w="108" w:type="dxa"/>
            <w:bottom w:w="0" w:type="dxa"/>
            <w:right w:w="108" w:type="dxa"/>
          </w:tblCellMar>
        </w:tblPrEx>
        <w:trPr>
          <w:trHeight w:val="535" w:hRule="atLeast"/>
        </w:trPr>
        <w:tc>
          <w:tcPr>
            <w:tcW w:w="1526"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甲  方</w:t>
            </w:r>
          </w:p>
        </w:tc>
        <w:tc>
          <w:tcPr>
            <w:tcW w:w="3118" w:type="dxa"/>
            <w:noWrap w:val="0"/>
            <w:vAlign w:val="center"/>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（盖章）</w:t>
            </w:r>
          </w:p>
        </w:tc>
        <w:tc>
          <w:tcPr>
            <w:tcW w:w="1829"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乙  方</w:t>
            </w:r>
          </w:p>
        </w:tc>
        <w:tc>
          <w:tcPr>
            <w:tcW w:w="2816" w:type="dxa"/>
            <w:noWrap w:val="0"/>
            <w:vAlign w:val="center"/>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（盖章）</w:t>
            </w:r>
          </w:p>
        </w:tc>
      </w:tr>
      <w:tr>
        <w:tblPrEx>
          <w:tblCellMar>
            <w:top w:w="0" w:type="dxa"/>
            <w:left w:w="108" w:type="dxa"/>
            <w:bottom w:w="0" w:type="dxa"/>
            <w:right w:w="108" w:type="dxa"/>
          </w:tblCellMar>
        </w:tblPrEx>
        <w:trPr>
          <w:trHeight w:val="475" w:hRule="atLeast"/>
        </w:trPr>
        <w:tc>
          <w:tcPr>
            <w:tcW w:w="1526"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法定代表人</w:t>
            </w:r>
          </w:p>
        </w:tc>
        <w:tc>
          <w:tcPr>
            <w:tcW w:w="3118" w:type="dxa"/>
            <w:vMerge w:val="restart"/>
            <w:noWrap w:val="0"/>
            <w:vAlign w:val="center"/>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（签字）</w:t>
            </w:r>
          </w:p>
        </w:tc>
        <w:tc>
          <w:tcPr>
            <w:tcW w:w="1829"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法定代表人</w:t>
            </w:r>
          </w:p>
        </w:tc>
        <w:tc>
          <w:tcPr>
            <w:tcW w:w="2816" w:type="dxa"/>
            <w:vMerge w:val="restart"/>
            <w:noWrap w:val="0"/>
            <w:vAlign w:val="center"/>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（签字）</w:t>
            </w:r>
          </w:p>
        </w:tc>
      </w:tr>
      <w:tr>
        <w:tblPrEx>
          <w:tblCellMar>
            <w:top w:w="0" w:type="dxa"/>
            <w:left w:w="108" w:type="dxa"/>
            <w:bottom w:w="0" w:type="dxa"/>
            <w:right w:w="108" w:type="dxa"/>
          </w:tblCellMar>
        </w:tblPrEx>
        <w:trPr>
          <w:trHeight w:val="475" w:hRule="atLeast"/>
        </w:trPr>
        <w:tc>
          <w:tcPr>
            <w:tcW w:w="1526"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或受委托人</w:t>
            </w:r>
          </w:p>
        </w:tc>
        <w:tc>
          <w:tcPr>
            <w:tcW w:w="3118" w:type="dxa"/>
            <w:vMerge w:val="continue"/>
            <w:noWrap w:val="0"/>
            <w:vAlign w:val="top"/>
          </w:tcPr>
          <w:p>
            <w:pPr>
              <w:spacing w:line="520" w:lineRule="exact"/>
              <w:ind w:left="0" w:leftChars="0" w:firstLine="0" w:firstLineChars="0"/>
              <w:jc w:val="left"/>
              <w:rPr>
                <w:rFonts w:hint="eastAsia" w:ascii="宋体" w:hAnsi="宋体" w:cs="宋体"/>
                <w:color w:val="auto"/>
                <w:sz w:val="21"/>
                <w:szCs w:val="21"/>
              </w:rPr>
            </w:pPr>
          </w:p>
        </w:tc>
        <w:tc>
          <w:tcPr>
            <w:tcW w:w="1829"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或受委托人</w:t>
            </w:r>
          </w:p>
        </w:tc>
        <w:tc>
          <w:tcPr>
            <w:tcW w:w="2816" w:type="dxa"/>
            <w:vMerge w:val="continue"/>
            <w:noWrap w:val="0"/>
            <w:vAlign w:val="top"/>
          </w:tcPr>
          <w:p>
            <w:pPr>
              <w:spacing w:line="520" w:lineRule="exact"/>
              <w:ind w:left="0" w:leftChars="0" w:firstLine="0" w:firstLineChars="0"/>
              <w:jc w:val="left"/>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地  址：</w:t>
            </w:r>
          </w:p>
        </w:tc>
        <w:tc>
          <w:tcPr>
            <w:tcW w:w="3118" w:type="dxa"/>
            <w:noWrap w:val="0"/>
            <w:vAlign w:val="top"/>
          </w:tcPr>
          <w:p>
            <w:pPr>
              <w:spacing w:line="520" w:lineRule="exact"/>
              <w:ind w:left="0" w:leftChars="0" w:firstLine="0" w:firstLineChars="0"/>
              <w:jc w:val="left"/>
              <w:rPr>
                <w:rFonts w:hint="eastAsia" w:ascii="宋体" w:hAnsi="宋体" w:cs="宋体"/>
                <w:color w:val="auto"/>
                <w:sz w:val="21"/>
                <w:szCs w:val="21"/>
              </w:rPr>
            </w:pPr>
          </w:p>
        </w:tc>
        <w:tc>
          <w:tcPr>
            <w:tcW w:w="1829"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地 址：</w:t>
            </w:r>
          </w:p>
        </w:tc>
        <w:tc>
          <w:tcPr>
            <w:tcW w:w="2816" w:type="dxa"/>
            <w:noWrap w:val="0"/>
            <w:vAlign w:val="top"/>
          </w:tcPr>
          <w:p>
            <w:pPr>
              <w:spacing w:line="520" w:lineRule="exact"/>
              <w:ind w:left="0" w:leftChars="0" w:firstLine="0" w:firstLineChars="0"/>
              <w:jc w:val="left"/>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电  话：</w:t>
            </w:r>
          </w:p>
        </w:tc>
        <w:tc>
          <w:tcPr>
            <w:tcW w:w="3118" w:type="dxa"/>
            <w:noWrap w:val="0"/>
            <w:vAlign w:val="top"/>
          </w:tcPr>
          <w:p>
            <w:pPr>
              <w:spacing w:line="520" w:lineRule="exact"/>
              <w:ind w:left="0" w:leftChars="0" w:firstLine="0" w:firstLineChars="0"/>
              <w:jc w:val="left"/>
              <w:rPr>
                <w:rFonts w:hint="eastAsia" w:ascii="宋体" w:hAnsi="宋体" w:cs="宋体"/>
                <w:color w:val="auto"/>
                <w:sz w:val="21"/>
                <w:szCs w:val="21"/>
              </w:rPr>
            </w:pPr>
          </w:p>
        </w:tc>
        <w:tc>
          <w:tcPr>
            <w:tcW w:w="1829"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电  话：</w:t>
            </w:r>
          </w:p>
        </w:tc>
        <w:tc>
          <w:tcPr>
            <w:tcW w:w="2816" w:type="dxa"/>
            <w:noWrap w:val="0"/>
            <w:vAlign w:val="top"/>
          </w:tcPr>
          <w:p>
            <w:pPr>
              <w:spacing w:line="520" w:lineRule="exact"/>
              <w:ind w:left="0" w:leftChars="0" w:firstLine="0" w:firstLineChars="0"/>
              <w:jc w:val="left"/>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开户银行：</w:t>
            </w:r>
          </w:p>
        </w:tc>
        <w:tc>
          <w:tcPr>
            <w:tcW w:w="3118" w:type="dxa"/>
            <w:noWrap w:val="0"/>
            <w:vAlign w:val="top"/>
          </w:tcPr>
          <w:p>
            <w:pPr>
              <w:spacing w:line="520" w:lineRule="exact"/>
              <w:ind w:left="0" w:leftChars="0" w:firstLine="0" w:firstLineChars="0"/>
              <w:jc w:val="left"/>
              <w:rPr>
                <w:rFonts w:hint="eastAsia" w:ascii="宋体" w:hAnsi="宋体" w:cs="宋体"/>
                <w:color w:val="auto"/>
                <w:sz w:val="21"/>
                <w:szCs w:val="21"/>
              </w:rPr>
            </w:pPr>
          </w:p>
        </w:tc>
        <w:tc>
          <w:tcPr>
            <w:tcW w:w="1829"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开户银行：</w:t>
            </w:r>
          </w:p>
        </w:tc>
        <w:tc>
          <w:tcPr>
            <w:tcW w:w="2816" w:type="dxa"/>
            <w:noWrap w:val="0"/>
            <w:vAlign w:val="top"/>
          </w:tcPr>
          <w:p>
            <w:pPr>
              <w:spacing w:line="520" w:lineRule="exact"/>
              <w:ind w:left="0" w:leftChars="0" w:firstLine="0" w:firstLineChars="0"/>
              <w:jc w:val="left"/>
              <w:rPr>
                <w:rFonts w:hint="eastAsia" w:ascii="宋体" w:hAnsi="宋体" w:cs="宋体"/>
                <w:color w:val="auto"/>
                <w:sz w:val="21"/>
                <w:szCs w:val="21"/>
              </w:rPr>
            </w:pPr>
          </w:p>
        </w:tc>
      </w:tr>
      <w:tr>
        <w:tblPrEx>
          <w:tblCellMar>
            <w:top w:w="0" w:type="dxa"/>
            <w:left w:w="108" w:type="dxa"/>
            <w:bottom w:w="0" w:type="dxa"/>
            <w:right w:w="108" w:type="dxa"/>
          </w:tblCellMar>
        </w:tblPrEx>
        <w:trPr>
          <w:trHeight w:val="475" w:hRule="atLeast"/>
        </w:trPr>
        <w:tc>
          <w:tcPr>
            <w:tcW w:w="1526"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帐  号：</w:t>
            </w:r>
          </w:p>
        </w:tc>
        <w:tc>
          <w:tcPr>
            <w:tcW w:w="3118" w:type="dxa"/>
            <w:noWrap w:val="0"/>
            <w:vAlign w:val="top"/>
          </w:tcPr>
          <w:p>
            <w:pPr>
              <w:spacing w:line="520" w:lineRule="exact"/>
              <w:ind w:left="0" w:leftChars="0" w:firstLine="0" w:firstLineChars="0"/>
              <w:jc w:val="left"/>
              <w:rPr>
                <w:rFonts w:hint="eastAsia" w:ascii="宋体" w:hAnsi="宋体" w:cs="宋体"/>
                <w:color w:val="auto"/>
                <w:sz w:val="21"/>
                <w:szCs w:val="21"/>
              </w:rPr>
            </w:pPr>
          </w:p>
        </w:tc>
        <w:tc>
          <w:tcPr>
            <w:tcW w:w="1829" w:type="dxa"/>
            <w:noWrap w:val="0"/>
            <w:vAlign w:val="top"/>
          </w:tcPr>
          <w:p>
            <w:pPr>
              <w:spacing w:line="520" w:lineRule="exact"/>
              <w:ind w:left="0" w:leftChars="0" w:firstLine="0" w:firstLineChars="0"/>
              <w:jc w:val="left"/>
              <w:rPr>
                <w:rFonts w:hint="eastAsia" w:ascii="宋体" w:hAnsi="宋体" w:cs="宋体"/>
                <w:color w:val="auto"/>
                <w:sz w:val="21"/>
                <w:szCs w:val="21"/>
              </w:rPr>
            </w:pPr>
            <w:r>
              <w:rPr>
                <w:rFonts w:hint="eastAsia" w:ascii="宋体" w:hAnsi="宋体" w:cs="宋体"/>
                <w:color w:val="auto"/>
                <w:sz w:val="21"/>
                <w:szCs w:val="21"/>
              </w:rPr>
              <w:t>帐  号：</w:t>
            </w:r>
          </w:p>
        </w:tc>
        <w:tc>
          <w:tcPr>
            <w:tcW w:w="2816" w:type="dxa"/>
            <w:noWrap w:val="0"/>
            <w:vAlign w:val="top"/>
          </w:tcPr>
          <w:p>
            <w:pPr>
              <w:spacing w:line="520" w:lineRule="exact"/>
              <w:ind w:left="0" w:leftChars="0" w:firstLine="0" w:firstLineChars="0"/>
              <w:jc w:val="left"/>
              <w:rPr>
                <w:rFonts w:hint="eastAsia" w:ascii="宋体" w:hAnsi="宋体" w:cs="宋体"/>
                <w:color w:val="auto"/>
                <w:sz w:val="21"/>
                <w:szCs w:val="21"/>
              </w:rPr>
            </w:pPr>
          </w:p>
        </w:tc>
      </w:tr>
    </w:tbl>
    <w:p>
      <w:pPr>
        <w:pStyle w:val="2"/>
        <w:tabs>
          <w:tab w:val="left" w:pos="0"/>
          <w:tab w:val="left" w:pos="1260"/>
          <w:tab w:val="left" w:pos="1365"/>
        </w:tabs>
        <w:ind w:firstLine="480"/>
        <w:rPr>
          <w:rFonts w:hint="eastAsia" w:cs="宋体"/>
          <w:bCs/>
          <w:color w:val="auto"/>
          <w:szCs w:val="24"/>
        </w:rPr>
      </w:pPr>
    </w:p>
    <w:p>
      <w:pPr>
        <w:pStyle w:val="175"/>
        <w:rPr>
          <w:rFonts w:hint="eastAsia" w:ascii="宋体" w:hAnsi="宋体" w:eastAsia="宋体" w:cs="宋体"/>
          <w:color w:val="auto"/>
        </w:rPr>
      </w:pPr>
    </w:p>
    <w:p>
      <w:pPr>
        <w:pStyle w:val="175"/>
        <w:rPr>
          <w:rFonts w:hint="eastAsia" w:ascii="宋体" w:hAnsi="宋体" w:eastAsia="宋体" w:cs="宋体"/>
          <w:color w:val="auto"/>
        </w:rPr>
      </w:pPr>
    </w:p>
    <w:p>
      <w:pPr>
        <w:pStyle w:val="175"/>
        <w:rPr>
          <w:rFonts w:hint="eastAsia" w:ascii="宋体" w:hAnsi="宋体" w:eastAsia="宋体" w:cs="宋体"/>
          <w:color w:val="auto"/>
        </w:rPr>
        <w:sectPr>
          <w:footerReference r:id="rId17" w:type="default"/>
          <w:pgSz w:w="11907" w:h="16840"/>
          <w:pgMar w:top="1247" w:right="1304" w:bottom="1021" w:left="1304" w:header="720" w:footer="720" w:gutter="0"/>
          <w:pgBorders>
            <w:top w:val="none" w:sz="0" w:space="0"/>
            <w:left w:val="none" w:sz="0" w:space="0"/>
            <w:bottom w:val="none" w:sz="0" w:space="0"/>
            <w:right w:val="none" w:sz="0" w:space="0"/>
          </w:pgBorders>
          <w:cols w:space="720" w:num="1"/>
          <w:docGrid w:linePitch="286" w:charSpace="0"/>
        </w:sectPr>
      </w:pPr>
    </w:p>
    <w:p>
      <w:pPr>
        <w:pStyle w:val="4"/>
        <w:rPr>
          <w:rFonts w:hint="eastAsia" w:cs="宋体"/>
          <w:color w:val="auto"/>
        </w:rPr>
      </w:pPr>
      <w:bookmarkStart w:id="121" w:name="_Toc30611"/>
      <w:r>
        <w:rPr>
          <w:rFonts w:hint="eastAsia" w:cs="宋体"/>
          <w:color w:val="auto"/>
        </w:rPr>
        <w:t>第六章 投标文件格式</w:t>
      </w:r>
      <w:bookmarkEnd w:id="120"/>
      <w:bookmarkEnd w:id="121"/>
    </w:p>
    <w:bookmarkEnd w:id="58"/>
    <w:bookmarkEnd w:id="59"/>
    <w:bookmarkEnd w:id="60"/>
    <w:bookmarkEnd w:id="61"/>
    <w:bookmarkEnd w:id="62"/>
    <w:bookmarkEnd w:id="63"/>
    <w:bookmarkEnd w:id="64"/>
    <w:bookmarkEnd w:id="65"/>
    <w:p>
      <w:pPr>
        <w:pStyle w:val="2"/>
        <w:tabs>
          <w:tab w:val="left" w:pos="0"/>
          <w:tab w:val="left" w:pos="1260"/>
          <w:tab w:val="left" w:pos="1365"/>
        </w:tabs>
        <w:ind w:firstLine="602"/>
        <w:jc w:val="center"/>
        <w:rPr>
          <w:rFonts w:cs="宋体"/>
          <w:b/>
          <w:bCs/>
          <w:color w:val="auto"/>
          <w:sz w:val="30"/>
          <w:szCs w:val="30"/>
        </w:rPr>
      </w:pPr>
      <w:r>
        <w:rPr>
          <w:rFonts w:hint="eastAsia" w:cs="宋体"/>
          <w:b/>
          <w:bCs/>
          <w:color w:val="auto"/>
          <w:sz w:val="30"/>
          <w:szCs w:val="30"/>
        </w:rPr>
        <w:t>A报价文件</w:t>
      </w: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ind w:firstLine="643"/>
        <w:rPr>
          <w:rFonts w:hint="eastAsia" w:cs="宋体"/>
          <w:b/>
          <w:bCs/>
          <w:color w:val="auto"/>
          <w:sz w:val="32"/>
        </w:rPr>
      </w:pPr>
    </w:p>
    <w:p>
      <w:pPr>
        <w:ind w:firstLine="643"/>
        <w:rPr>
          <w:rFonts w:cs="宋体"/>
          <w:b/>
          <w:bCs/>
          <w:color w:val="auto"/>
          <w:sz w:val="32"/>
        </w:rPr>
      </w:pPr>
      <w:r>
        <w:rPr>
          <w:rFonts w:hint="eastAsia" w:cs="宋体"/>
          <w:b/>
          <w:bCs/>
          <w:color w:val="auto"/>
          <w:sz w:val="32"/>
        </w:rPr>
        <w:t>封面</w:t>
      </w:r>
    </w:p>
    <w:p>
      <w:pPr>
        <w:ind w:firstLine="640"/>
        <w:jc w:val="right"/>
        <w:rPr>
          <w:rFonts w:cs="宋体"/>
          <w:color w:val="auto"/>
          <w:sz w:val="32"/>
        </w:rPr>
      </w:pPr>
    </w:p>
    <w:p>
      <w:pPr>
        <w:pStyle w:val="2"/>
        <w:tabs>
          <w:tab w:val="left" w:pos="0"/>
          <w:tab w:val="left" w:pos="1260"/>
          <w:tab w:val="left" w:pos="1365"/>
        </w:tabs>
        <w:ind w:firstLine="640"/>
        <w:rPr>
          <w:rFonts w:cs="宋体"/>
          <w:color w:val="auto"/>
          <w:sz w:val="32"/>
        </w:rPr>
      </w:pPr>
    </w:p>
    <w:p>
      <w:pPr>
        <w:ind w:firstLine="961" w:firstLineChars="299"/>
        <w:jc w:val="center"/>
        <w:rPr>
          <w:rFonts w:hint="eastAsia" w:cs="宋体"/>
          <w:b/>
          <w:color w:val="auto"/>
          <w:sz w:val="32"/>
          <w:szCs w:val="32"/>
        </w:rPr>
      </w:pPr>
      <w:r>
        <w:rPr>
          <w:rFonts w:hint="eastAsia" w:cs="宋体"/>
          <w:b/>
          <w:color w:val="auto"/>
          <w:sz w:val="32"/>
          <w:szCs w:val="32"/>
        </w:rPr>
        <w:t>项目名称:</w:t>
      </w:r>
      <w:r>
        <w:rPr>
          <w:rFonts w:hint="eastAsia" w:cs="宋体"/>
          <w:b/>
          <w:color w:val="auto"/>
          <w:sz w:val="32"/>
          <w:szCs w:val="32"/>
          <w:lang w:eastAsia="zh-CN"/>
        </w:rPr>
        <w:t>宁波行知中等职业学校</w:t>
      </w:r>
    </w:p>
    <w:p>
      <w:pPr>
        <w:ind w:firstLine="961" w:firstLineChars="299"/>
        <w:jc w:val="center"/>
        <w:rPr>
          <w:rFonts w:hint="eastAsia" w:cs="宋体"/>
          <w:b/>
          <w:color w:val="auto"/>
          <w:sz w:val="32"/>
          <w:szCs w:val="32"/>
        </w:rPr>
      </w:pPr>
      <w:r>
        <w:rPr>
          <w:rFonts w:hint="eastAsia" w:cs="宋体"/>
          <w:b/>
          <w:color w:val="auto"/>
          <w:sz w:val="32"/>
          <w:szCs w:val="32"/>
          <w:lang w:eastAsia="zh-CN"/>
        </w:rPr>
        <w:t>保安服务采购</w:t>
      </w:r>
      <w:r>
        <w:rPr>
          <w:rFonts w:hint="eastAsia" w:cs="宋体"/>
          <w:b/>
          <w:color w:val="auto"/>
          <w:sz w:val="32"/>
          <w:szCs w:val="32"/>
        </w:rPr>
        <w:t>项目</w:t>
      </w:r>
    </w:p>
    <w:p>
      <w:pPr>
        <w:ind w:firstLine="961" w:firstLineChars="299"/>
        <w:jc w:val="center"/>
        <w:rPr>
          <w:rFonts w:cs="宋体"/>
          <w:b/>
          <w:color w:val="auto"/>
          <w:sz w:val="32"/>
          <w:szCs w:val="32"/>
        </w:rPr>
      </w:pPr>
      <w:r>
        <w:rPr>
          <w:rFonts w:hint="eastAsia" w:cs="宋体"/>
          <w:b/>
          <w:color w:val="auto"/>
          <w:sz w:val="32"/>
          <w:szCs w:val="32"/>
        </w:rPr>
        <w:t>招标编号:ZJWS-202101</w:t>
      </w:r>
      <w:r>
        <w:rPr>
          <w:rFonts w:hint="eastAsia" w:cs="宋体"/>
          <w:b/>
          <w:color w:val="auto"/>
          <w:sz w:val="32"/>
          <w:szCs w:val="32"/>
          <w:lang w:eastAsia="zh-CN"/>
        </w:rPr>
        <w:t>62G</w:t>
      </w:r>
    </w:p>
    <w:p>
      <w:pPr>
        <w:ind w:firstLine="643"/>
        <w:jc w:val="center"/>
        <w:rPr>
          <w:rFonts w:cs="宋体"/>
          <w:b/>
          <w:color w:val="auto"/>
          <w:sz w:val="32"/>
          <w:szCs w:val="32"/>
        </w:rPr>
      </w:pPr>
    </w:p>
    <w:p>
      <w:pPr>
        <w:ind w:firstLine="640"/>
        <w:jc w:val="center"/>
        <w:rPr>
          <w:rFonts w:cs="宋体"/>
          <w:color w:val="auto"/>
          <w:sz w:val="32"/>
          <w:szCs w:val="32"/>
        </w:rPr>
      </w:pPr>
      <w:r>
        <w:rPr>
          <w:rFonts w:hint="eastAsia" w:cs="宋体"/>
          <w:color w:val="auto"/>
          <w:sz w:val="32"/>
          <w:szCs w:val="32"/>
        </w:rPr>
        <w:t>（报价文件）</w:t>
      </w:r>
    </w:p>
    <w:p>
      <w:pPr>
        <w:ind w:firstLine="480"/>
        <w:rPr>
          <w:rFonts w:cs="宋体"/>
          <w:color w:val="auto"/>
        </w:rPr>
      </w:pPr>
    </w:p>
    <w:p>
      <w:pPr>
        <w:ind w:firstLine="1446"/>
        <w:jc w:val="center"/>
        <w:rPr>
          <w:rFonts w:cs="宋体"/>
          <w:b/>
          <w:color w:val="auto"/>
          <w:sz w:val="72"/>
          <w:szCs w:val="72"/>
        </w:rPr>
      </w:pPr>
      <w:r>
        <w:rPr>
          <w:rFonts w:hint="eastAsia" w:cs="宋体"/>
          <w:b/>
          <w:color w:val="auto"/>
          <w:sz w:val="72"/>
          <w:szCs w:val="72"/>
        </w:rPr>
        <w:t>投</w:t>
      </w:r>
    </w:p>
    <w:p>
      <w:pPr>
        <w:ind w:firstLine="1446"/>
        <w:jc w:val="center"/>
        <w:rPr>
          <w:rFonts w:cs="宋体"/>
          <w:b/>
          <w:color w:val="auto"/>
          <w:sz w:val="72"/>
          <w:szCs w:val="72"/>
        </w:rPr>
      </w:pPr>
      <w:r>
        <w:rPr>
          <w:rFonts w:hint="eastAsia" w:cs="宋体"/>
          <w:b/>
          <w:color w:val="auto"/>
          <w:sz w:val="72"/>
          <w:szCs w:val="72"/>
        </w:rPr>
        <w:t>标</w:t>
      </w:r>
    </w:p>
    <w:p>
      <w:pPr>
        <w:ind w:firstLine="1446"/>
        <w:jc w:val="center"/>
        <w:rPr>
          <w:rFonts w:cs="宋体"/>
          <w:b/>
          <w:color w:val="auto"/>
          <w:sz w:val="72"/>
          <w:szCs w:val="72"/>
        </w:rPr>
      </w:pPr>
      <w:r>
        <w:rPr>
          <w:rFonts w:hint="eastAsia" w:cs="宋体"/>
          <w:b/>
          <w:color w:val="auto"/>
          <w:sz w:val="72"/>
          <w:szCs w:val="72"/>
        </w:rPr>
        <w:t>文</w:t>
      </w:r>
    </w:p>
    <w:p>
      <w:pPr>
        <w:ind w:firstLine="1446"/>
        <w:jc w:val="center"/>
        <w:rPr>
          <w:rFonts w:cs="宋体"/>
          <w:b/>
          <w:color w:val="auto"/>
          <w:sz w:val="72"/>
          <w:szCs w:val="72"/>
        </w:rPr>
      </w:pPr>
      <w:r>
        <w:rPr>
          <w:rFonts w:hint="eastAsia" w:cs="宋体"/>
          <w:b/>
          <w:color w:val="auto"/>
          <w:sz w:val="72"/>
          <w:szCs w:val="72"/>
        </w:rPr>
        <w:t>件</w:t>
      </w:r>
    </w:p>
    <w:p>
      <w:pPr>
        <w:ind w:firstLine="480"/>
        <w:rPr>
          <w:rFonts w:cs="宋体"/>
          <w:color w:val="auto"/>
        </w:rPr>
      </w:pPr>
    </w:p>
    <w:p>
      <w:pPr>
        <w:ind w:firstLine="560"/>
        <w:rPr>
          <w:rFonts w:hint="eastAsia" w:cs="宋体"/>
          <w:color w:val="auto"/>
          <w:sz w:val="28"/>
          <w:szCs w:val="28"/>
        </w:rPr>
      </w:pPr>
      <w:r>
        <w:rPr>
          <w:rFonts w:hint="eastAsia" w:cs="宋体"/>
          <w:color w:val="auto"/>
          <w:sz w:val="28"/>
          <w:szCs w:val="28"/>
        </w:rPr>
        <w:t>项目名称:________________________</w:t>
      </w:r>
    </w:p>
    <w:p>
      <w:pPr>
        <w:ind w:firstLine="560"/>
        <w:rPr>
          <w:rFonts w:hint="eastAsia" w:cs="宋体"/>
          <w:color w:val="auto"/>
          <w:sz w:val="28"/>
          <w:szCs w:val="28"/>
        </w:rPr>
      </w:pPr>
      <w:r>
        <w:rPr>
          <w:rFonts w:hint="eastAsia" w:cs="宋体"/>
          <w:color w:val="auto"/>
          <w:sz w:val="28"/>
          <w:szCs w:val="28"/>
        </w:rPr>
        <w:t>投 标 人:________________________</w:t>
      </w:r>
    </w:p>
    <w:p>
      <w:pPr>
        <w:ind w:firstLine="560"/>
        <w:rPr>
          <w:rFonts w:hint="eastAsia" w:cs="宋体"/>
          <w:color w:val="auto"/>
          <w:sz w:val="28"/>
          <w:szCs w:val="28"/>
        </w:rPr>
      </w:pPr>
      <w:r>
        <w:rPr>
          <w:rFonts w:hint="eastAsia" w:cs="宋体"/>
          <w:color w:val="auto"/>
          <w:sz w:val="28"/>
          <w:szCs w:val="28"/>
        </w:rPr>
        <w:t>投标人地址：_____________________</w:t>
      </w:r>
    </w:p>
    <w:p>
      <w:pPr>
        <w:ind w:left="3825" w:firstLine="560"/>
        <w:rPr>
          <w:rFonts w:hint="eastAsia" w:cs="宋体"/>
          <w:color w:val="auto"/>
          <w:sz w:val="28"/>
          <w:szCs w:val="28"/>
        </w:rPr>
      </w:pPr>
      <w:r>
        <w:rPr>
          <w:rFonts w:hint="eastAsia" w:cs="宋体"/>
          <w:color w:val="auto"/>
          <w:sz w:val="28"/>
          <w:szCs w:val="28"/>
        </w:rPr>
        <w:t>年月日</w:t>
      </w:r>
    </w:p>
    <w:p>
      <w:pPr>
        <w:spacing w:line="400" w:lineRule="exact"/>
        <w:ind w:firstLine="482"/>
        <w:jc w:val="center"/>
        <w:rPr>
          <w:rFonts w:cs="宋体"/>
          <w:b/>
          <w:color w:val="auto"/>
        </w:rPr>
      </w:pPr>
      <w:r>
        <w:rPr>
          <w:rFonts w:hint="eastAsia" w:cs="宋体"/>
          <w:b/>
          <w:color w:val="auto"/>
        </w:rPr>
        <w:t>A1投标函</w:t>
      </w:r>
    </w:p>
    <w:p>
      <w:pPr>
        <w:pStyle w:val="3"/>
        <w:spacing w:line="360" w:lineRule="auto"/>
        <w:ind w:firstLine="0"/>
        <w:jc w:val="left"/>
        <w:rPr>
          <w:rFonts w:cs="宋体"/>
          <w:color w:val="auto"/>
          <w:sz w:val="21"/>
        </w:rPr>
      </w:pPr>
      <w:r>
        <w:rPr>
          <w:rFonts w:hint="eastAsia" w:cs="宋体"/>
          <w:color w:val="auto"/>
          <w:sz w:val="21"/>
          <w:u w:val="single"/>
        </w:rPr>
        <w:t>致（采购代理机构）</w:t>
      </w:r>
      <w:r>
        <w:rPr>
          <w:rFonts w:hint="eastAsia" w:cs="宋体"/>
          <w:color w:val="auto"/>
          <w:sz w:val="21"/>
        </w:rPr>
        <w:t>：</w:t>
      </w:r>
    </w:p>
    <w:p>
      <w:pPr>
        <w:pStyle w:val="3"/>
        <w:spacing w:line="360" w:lineRule="auto"/>
        <w:jc w:val="left"/>
        <w:rPr>
          <w:rFonts w:cs="宋体"/>
          <w:color w:val="auto"/>
          <w:sz w:val="21"/>
        </w:rPr>
      </w:pPr>
      <w:r>
        <w:rPr>
          <w:rFonts w:hint="eastAsia" w:cs="宋体"/>
          <w:color w:val="auto"/>
          <w:sz w:val="21"/>
          <w:u w:val="single"/>
        </w:rPr>
        <w:t>（投标人全称）</w:t>
      </w:r>
      <w:r>
        <w:rPr>
          <w:rFonts w:hint="eastAsia" w:cs="宋体"/>
          <w:color w:val="auto"/>
          <w:sz w:val="21"/>
        </w:rPr>
        <w:t>授权</w:t>
      </w:r>
      <w:r>
        <w:rPr>
          <w:rFonts w:hint="eastAsia" w:cs="宋体"/>
          <w:color w:val="auto"/>
          <w:sz w:val="21"/>
          <w:u w:val="single"/>
        </w:rPr>
        <w:t xml:space="preserve">（授权代表姓名、职务） </w:t>
      </w:r>
      <w:r>
        <w:rPr>
          <w:rFonts w:hint="eastAsia" w:cs="宋体"/>
          <w:color w:val="auto"/>
          <w:sz w:val="21"/>
        </w:rPr>
        <w:t>为本公司（单位）合法代理人，参加贵方组织的</w:t>
      </w:r>
      <w:r>
        <w:rPr>
          <w:rFonts w:hint="eastAsia" w:cs="宋体"/>
          <w:color w:val="auto"/>
          <w:sz w:val="21"/>
          <w:u w:val="single"/>
        </w:rPr>
        <w:t xml:space="preserve">（项目编号、项目名称） </w:t>
      </w:r>
      <w:r>
        <w:rPr>
          <w:rFonts w:hint="eastAsia" w:cs="宋体"/>
          <w:color w:val="auto"/>
          <w:sz w:val="21"/>
        </w:rPr>
        <w:t>招投标活动，代表本公司（单位）处理招投标活动中的一切事宜，为对此进行投标，在此：</w:t>
      </w:r>
    </w:p>
    <w:p>
      <w:pPr>
        <w:pStyle w:val="3"/>
        <w:spacing w:line="360" w:lineRule="auto"/>
        <w:ind w:firstLine="0"/>
        <w:jc w:val="left"/>
        <w:rPr>
          <w:rFonts w:cs="宋体"/>
          <w:color w:val="auto"/>
          <w:sz w:val="21"/>
        </w:rPr>
      </w:pPr>
      <w:r>
        <w:rPr>
          <w:rFonts w:hint="eastAsia" w:cs="宋体"/>
          <w:color w:val="auto"/>
          <w:sz w:val="21"/>
        </w:rPr>
        <w:t>1、提供招标文件中“投标须知”规定的全部投标文件；</w:t>
      </w:r>
    </w:p>
    <w:p>
      <w:pPr>
        <w:pStyle w:val="3"/>
        <w:numPr>
          <w:ilvl w:val="0"/>
          <w:numId w:val="13"/>
        </w:numPr>
        <w:spacing w:line="360" w:lineRule="auto"/>
        <w:ind w:firstLine="0"/>
        <w:jc w:val="left"/>
        <w:rPr>
          <w:rFonts w:cs="宋体"/>
          <w:color w:val="auto"/>
          <w:sz w:val="21"/>
        </w:rPr>
      </w:pPr>
      <w:r>
        <w:rPr>
          <w:rFonts w:hint="eastAsia" w:cs="宋体"/>
          <w:color w:val="auto"/>
          <w:sz w:val="21"/>
        </w:rPr>
        <w:t>据此函，签字代表宣布并承诺如下：</w:t>
      </w:r>
    </w:p>
    <w:p>
      <w:pPr>
        <w:pStyle w:val="3"/>
        <w:spacing w:line="360" w:lineRule="auto"/>
        <w:ind w:firstLine="0"/>
        <w:jc w:val="left"/>
        <w:rPr>
          <w:rFonts w:hint="eastAsia" w:cs="宋体"/>
          <w:color w:val="auto"/>
          <w:sz w:val="21"/>
        </w:rPr>
      </w:pPr>
      <w:r>
        <w:rPr>
          <w:rFonts w:hint="eastAsia" w:cs="宋体"/>
          <w:color w:val="auto"/>
          <w:sz w:val="21"/>
        </w:rPr>
        <w:t xml:space="preserve">    （1）投标总价（大写）：</w:t>
      </w:r>
      <w:r>
        <w:rPr>
          <w:rFonts w:hint="eastAsia" w:cs="宋体"/>
          <w:color w:val="auto"/>
          <w:sz w:val="21"/>
          <w:u w:val="single"/>
        </w:rPr>
        <w:t xml:space="preserve">                        </w:t>
      </w:r>
      <w:r>
        <w:rPr>
          <w:rFonts w:hint="eastAsia" w:cs="宋体"/>
          <w:color w:val="auto"/>
          <w:sz w:val="21"/>
        </w:rPr>
        <w:t>元人民币。本报价已经包含了所供服务应纳的税金及招标文件规定的报价方式应包含的其它费用。本报价在投标有效期内固定不变，并在合同有效期内不受利率波动的影响。</w:t>
      </w:r>
    </w:p>
    <w:p>
      <w:pPr>
        <w:pStyle w:val="3"/>
        <w:numPr>
          <w:ilvl w:val="0"/>
          <w:numId w:val="14"/>
        </w:numPr>
        <w:spacing w:line="360" w:lineRule="auto"/>
        <w:ind w:firstLine="420" w:firstLineChars="200"/>
        <w:jc w:val="left"/>
        <w:rPr>
          <w:rFonts w:cs="宋体"/>
          <w:color w:val="auto"/>
          <w:sz w:val="21"/>
        </w:rPr>
      </w:pPr>
      <w:r>
        <w:rPr>
          <w:rFonts w:hint="eastAsia" w:cs="宋体"/>
          <w:color w:val="auto"/>
          <w:sz w:val="21"/>
        </w:rPr>
        <w:t>本投标从提交投标文件的截止之日起</w:t>
      </w:r>
      <w:r>
        <w:rPr>
          <w:rFonts w:hint="eastAsia" w:cs="宋体"/>
          <w:color w:val="auto"/>
          <w:sz w:val="21"/>
          <w:u w:val="single"/>
        </w:rPr>
        <w:t xml:space="preserve">  90   </w:t>
      </w:r>
      <w:r>
        <w:rPr>
          <w:rFonts w:hint="eastAsia" w:cs="宋体"/>
          <w:color w:val="auto"/>
          <w:sz w:val="21"/>
        </w:rPr>
        <w:t>天内有效。</w:t>
      </w:r>
    </w:p>
    <w:p>
      <w:pPr>
        <w:pStyle w:val="3"/>
        <w:numPr>
          <w:ilvl w:val="0"/>
          <w:numId w:val="14"/>
        </w:numPr>
        <w:spacing w:line="360" w:lineRule="auto"/>
        <w:ind w:firstLine="420" w:firstLineChars="200"/>
        <w:jc w:val="left"/>
        <w:rPr>
          <w:rFonts w:cs="宋体"/>
          <w:color w:val="auto"/>
          <w:sz w:val="21"/>
        </w:rPr>
      </w:pPr>
      <w:r>
        <w:rPr>
          <w:rFonts w:hint="eastAsia" w:cs="宋体"/>
          <w:color w:val="auto"/>
          <w:sz w:val="21"/>
        </w:rPr>
        <w:t>我们已详细审查全部招标文件及有关的澄清/修改文件(若有的话)，我们完全理解并同意放弃对这方面提出任何异议的权利。保证遵守招标文件有关条款规定。</w:t>
      </w:r>
    </w:p>
    <w:p>
      <w:pPr>
        <w:pStyle w:val="3"/>
        <w:numPr>
          <w:ilvl w:val="0"/>
          <w:numId w:val="14"/>
        </w:numPr>
        <w:spacing w:line="360" w:lineRule="auto"/>
        <w:ind w:firstLine="420" w:firstLineChars="200"/>
        <w:jc w:val="left"/>
        <w:rPr>
          <w:rFonts w:cs="宋体"/>
          <w:color w:val="auto"/>
          <w:sz w:val="21"/>
        </w:rPr>
      </w:pPr>
      <w:r>
        <w:rPr>
          <w:rFonts w:hint="eastAsia" w:cs="宋体"/>
          <w:color w:val="auto"/>
          <w:sz w:val="21"/>
        </w:rPr>
        <w:t>保证在中标后忠实地执行与招标人所签署的合同，并承担合同规定的责任义务。保证在中标后按照招标文件的规定支付中标服务费。</w:t>
      </w:r>
    </w:p>
    <w:p>
      <w:pPr>
        <w:pStyle w:val="3"/>
        <w:numPr>
          <w:ilvl w:val="0"/>
          <w:numId w:val="14"/>
        </w:numPr>
        <w:spacing w:line="360" w:lineRule="auto"/>
        <w:ind w:firstLine="420" w:firstLineChars="200"/>
        <w:jc w:val="left"/>
        <w:rPr>
          <w:rFonts w:cs="宋体"/>
          <w:color w:val="auto"/>
          <w:sz w:val="21"/>
        </w:rPr>
      </w:pPr>
      <w:r>
        <w:rPr>
          <w:rFonts w:hint="eastAsia" w:cs="宋体"/>
          <w:color w:val="auto"/>
          <w:sz w:val="21"/>
        </w:rPr>
        <w:t>承诺应贵方要求提供任何与该项目投标有关的数据、情况和技术资料。</w:t>
      </w:r>
    </w:p>
    <w:p>
      <w:pPr>
        <w:pStyle w:val="3"/>
        <w:numPr>
          <w:ilvl w:val="0"/>
          <w:numId w:val="14"/>
        </w:numPr>
        <w:spacing w:line="360" w:lineRule="auto"/>
        <w:ind w:firstLine="420" w:firstLineChars="200"/>
        <w:jc w:val="left"/>
        <w:rPr>
          <w:rFonts w:cs="宋体"/>
          <w:color w:val="auto"/>
          <w:sz w:val="21"/>
        </w:rPr>
      </w:pPr>
      <w:r>
        <w:rPr>
          <w:rFonts w:hint="eastAsia" w:cs="宋体"/>
          <w:color w:val="auto"/>
          <w:sz w:val="21"/>
        </w:rPr>
        <w:t>我们承诺，与为招标人采购本次招标的项目进行设计、编制规范和其他文件所委托的咨询公司或其附属机构无任何直接或间接的关联。</w:t>
      </w:r>
    </w:p>
    <w:p>
      <w:pPr>
        <w:pStyle w:val="3"/>
        <w:numPr>
          <w:ilvl w:val="0"/>
          <w:numId w:val="14"/>
        </w:numPr>
        <w:spacing w:line="360" w:lineRule="auto"/>
        <w:ind w:firstLine="420" w:firstLineChars="200"/>
        <w:jc w:val="left"/>
        <w:rPr>
          <w:rFonts w:cs="宋体"/>
          <w:color w:val="auto"/>
          <w:sz w:val="21"/>
        </w:rPr>
      </w:pPr>
      <w:r>
        <w:rPr>
          <w:rFonts w:hint="eastAsia" w:cs="宋体"/>
          <w:color w:val="auto"/>
          <w:sz w:val="21"/>
        </w:rPr>
        <w:t>投标人已详细审查并理解全部招标文件，已完全明确招标文件中的全部内容。如有违反，愿意接受监管机构相应的处理。</w:t>
      </w:r>
    </w:p>
    <w:p>
      <w:pPr>
        <w:pStyle w:val="3"/>
        <w:spacing w:line="360" w:lineRule="auto"/>
        <w:ind w:firstLine="0"/>
        <w:jc w:val="left"/>
        <w:rPr>
          <w:rFonts w:cs="宋体"/>
          <w:color w:val="auto"/>
          <w:sz w:val="21"/>
        </w:rPr>
      </w:pPr>
      <w:r>
        <w:rPr>
          <w:rFonts w:hint="eastAsia" w:cs="宋体"/>
          <w:color w:val="auto"/>
          <w:sz w:val="21"/>
        </w:rPr>
        <w:t>4、与本投标有关的一切往来通讯请寄：</w:t>
      </w:r>
    </w:p>
    <w:p>
      <w:pPr>
        <w:pStyle w:val="3"/>
        <w:spacing w:line="360" w:lineRule="auto"/>
        <w:jc w:val="left"/>
        <w:rPr>
          <w:rFonts w:cs="宋体"/>
          <w:color w:val="auto"/>
          <w:sz w:val="21"/>
        </w:rPr>
      </w:pPr>
      <w:r>
        <w:rPr>
          <w:rFonts w:hint="eastAsia" w:cs="宋体"/>
          <w:color w:val="auto"/>
          <w:sz w:val="21"/>
        </w:rPr>
        <w:t>地址：</w:t>
      </w:r>
    </w:p>
    <w:p>
      <w:pPr>
        <w:pStyle w:val="3"/>
        <w:spacing w:line="360" w:lineRule="auto"/>
        <w:jc w:val="left"/>
        <w:rPr>
          <w:rFonts w:cs="宋体"/>
          <w:color w:val="auto"/>
          <w:sz w:val="21"/>
          <w:u w:val="single"/>
        </w:rPr>
      </w:pPr>
      <w:r>
        <w:rPr>
          <w:rFonts w:hint="eastAsia" w:cs="宋体"/>
          <w:color w:val="auto"/>
          <w:sz w:val="21"/>
        </w:rPr>
        <w:t>邮编：电话：传真：</w:t>
      </w:r>
    </w:p>
    <w:p>
      <w:pPr>
        <w:pStyle w:val="3"/>
        <w:spacing w:line="360" w:lineRule="auto"/>
        <w:jc w:val="left"/>
        <w:rPr>
          <w:rFonts w:cs="宋体"/>
          <w:color w:val="auto"/>
          <w:sz w:val="21"/>
        </w:rPr>
      </w:pPr>
    </w:p>
    <w:p>
      <w:pPr>
        <w:pStyle w:val="3"/>
        <w:spacing w:line="360" w:lineRule="auto"/>
        <w:ind w:firstLine="0"/>
        <w:jc w:val="left"/>
        <w:rPr>
          <w:rFonts w:cs="宋体"/>
          <w:color w:val="auto"/>
          <w:sz w:val="21"/>
        </w:rPr>
      </w:pPr>
      <w:r>
        <w:rPr>
          <w:rFonts w:hint="eastAsia" w:cs="宋体"/>
          <w:color w:val="auto"/>
          <w:sz w:val="21"/>
        </w:rPr>
        <w:t>投标人（盖章）：</w:t>
      </w:r>
    </w:p>
    <w:p>
      <w:pPr>
        <w:pStyle w:val="3"/>
        <w:spacing w:line="360" w:lineRule="auto"/>
        <w:ind w:firstLine="0"/>
        <w:jc w:val="left"/>
        <w:rPr>
          <w:rFonts w:cs="宋体"/>
          <w:color w:val="auto"/>
          <w:sz w:val="21"/>
        </w:rPr>
      </w:pPr>
      <w:r>
        <w:rPr>
          <w:rFonts w:hint="eastAsia" w:cs="宋体"/>
          <w:color w:val="auto"/>
          <w:sz w:val="21"/>
        </w:rPr>
        <w:t>日  期：</w:t>
      </w:r>
    </w:p>
    <w:p>
      <w:pPr>
        <w:ind w:firstLine="480"/>
        <w:rPr>
          <w:color w:val="auto"/>
        </w:rPr>
      </w:pPr>
    </w:p>
    <w:p>
      <w:pPr>
        <w:pStyle w:val="14"/>
        <w:rPr>
          <w:color w:val="auto"/>
        </w:rPr>
      </w:pPr>
    </w:p>
    <w:p>
      <w:pPr>
        <w:ind w:firstLine="480"/>
        <w:rPr>
          <w:color w:val="auto"/>
        </w:rPr>
      </w:pPr>
    </w:p>
    <w:p>
      <w:pPr>
        <w:spacing w:line="400" w:lineRule="exact"/>
        <w:ind w:firstLine="482"/>
        <w:jc w:val="center"/>
        <w:rPr>
          <w:rFonts w:cs="宋体"/>
          <w:b/>
          <w:color w:val="auto"/>
        </w:rPr>
      </w:pPr>
      <w:r>
        <w:rPr>
          <w:rFonts w:hint="eastAsia" w:cs="宋体"/>
          <w:b/>
          <w:color w:val="auto"/>
        </w:rPr>
        <w:t>A2开标一览表</w:t>
      </w:r>
    </w:p>
    <w:p>
      <w:pPr>
        <w:ind w:firstLine="480"/>
        <w:rPr>
          <w:rFonts w:cs="宋体"/>
          <w:color w:val="auto"/>
        </w:rPr>
      </w:pPr>
    </w:p>
    <w:p>
      <w:pPr>
        <w:ind w:firstLine="480"/>
        <w:rPr>
          <w:rFonts w:cs="宋体"/>
          <w:color w:val="auto"/>
        </w:rPr>
      </w:pPr>
      <w:r>
        <w:rPr>
          <w:rFonts w:hint="eastAsia" w:cs="宋体"/>
          <w:color w:val="auto"/>
        </w:rPr>
        <w:t>招标项目名称：</w:t>
      </w:r>
    </w:p>
    <w:p>
      <w:pPr>
        <w:ind w:firstLine="480"/>
        <w:rPr>
          <w:rFonts w:cs="宋体"/>
          <w:color w:val="auto"/>
        </w:rPr>
      </w:pPr>
      <w:r>
        <w:rPr>
          <w:rFonts w:hint="eastAsia" w:cs="宋体"/>
          <w:color w:val="auto"/>
        </w:rPr>
        <w:t xml:space="preserve">招标编号：                </w:t>
      </w:r>
    </w:p>
    <w:tbl>
      <w:tblPr>
        <w:tblStyle w:val="3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noWrap w:val="0"/>
            <w:vAlign w:val="center"/>
          </w:tcPr>
          <w:p>
            <w:pPr>
              <w:ind w:firstLine="0" w:firstLineChars="0"/>
              <w:jc w:val="center"/>
              <w:rPr>
                <w:rFonts w:hint="eastAsia" w:cs="宋体"/>
                <w:color w:val="auto"/>
              </w:rPr>
            </w:pPr>
            <w:r>
              <w:rPr>
                <w:rFonts w:hint="eastAsia" w:cs="宋体"/>
                <w:color w:val="auto"/>
              </w:rPr>
              <w:t>标项号</w:t>
            </w:r>
          </w:p>
        </w:tc>
        <w:tc>
          <w:tcPr>
            <w:tcW w:w="3247" w:type="dxa"/>
            <w:noWrap w:val="0"/>
            <w:vAlign w:val="center"/>
          </w:tcPr>
          <w:p>
            <w:pPr>
              <w:ind w:firstLine="0" w:firstLineChars="0"/>
              <w:jc w:val="center"/>
              <w:rPr>
                <w:rFonts w:hint="eastAsia" w:eastAsia="宋体" w:cs="宋体"/>
                <w:color w:val="auto"/>
                <w:lang w:eastAsia="zh-CN"/>
              </w:rPr>
            </w:pPr>
            <w:r>
              <w:rPr>
                <w:rFonts w:hint="eastAsia" w:cs="宋体"/>
                <w:color w:val="auto"/>
                <w:lang w:eastAsia="zh-CN"/>
              </w:rPr>
              <w:t>服务内容</w:t>
            </w:r>
          </w:p>
        </w:tc>
        <w:tc>
          <w:tcPr>
            <w:tcW w:w="5213" w:type="dxa"/>
            <w:noWrap w:val="0"/>
            <w:vAlign w:val="center"/>
          </w:tcPr>
          <w:p>
            <w:pPr>
              <w:ind w:firstLine="0" w:firstLineChars="0"/>
              <w:jc w:val="center"/>
              <w:rPr>
                <w:rFonts w:hint="eastAsia" w:cs="宋体"/>
                <w:color w:val="auto"/>
              </w:rPr>
            </w:pPr>
            <w:r>
              <w:rPr>
                <w:rFonts w:hint="eastAsia" w:cs="宋体"/>
                <w:color w:val="auto"/>
              </w:rPr>
              <w:t>投标总价</w:t>
            </w:r>
          </w:p>
          <w:p>
            <w:pPr>
              <w:ind w:firstLine="0" w:firstLineChars="0"/>
              <w:jc w:val="center"/>
              <w:rPr>
                <w:rFonts w:hint="eastAsia" w:cs="宋体"/>
                <w:color w:val="auto"/>
              </w:rPr>
            </w:pPr>
            <w:r>
              <w:rPr>
                <w:rFonts w:hint="eastAsia" w:cs="宋体"/>
                <w:color w:val="auto"/>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80" w:type="dxa"/>
            <w:noWrap w:val="0"/>
            <w:vAlign w:val="center"/>
          </w:tcPr>
          <w:p>
            <w:pPr>
              <w:ind w:firstLine="0" w:firstLineChars="0"/>
              <w:jc w:val="center"/>
              <w:rPr>
                <w:rFonts w:hint="eastAsia" w:cs="宋体"/>
                <w:color w:val="auto"/>
              </w:rPr>
            </w:pPr>
            <w:r>
              <w:rPr>
                <w:rFonts w:hint="eastAsia" w:cs="宋体"/>
                <w:color w:val="auto"/>
              </w:rPr>
              <w:t>一</w:t>
            </w:r>
          </w:p>
        </w:tc>
        <w:tc>
          <w:tcPr>
            <w:tcW w:w="3247" w:type="dxa"/>
            <w:noWrap w:val="0"/>
            <w:vAlign w:val="center"/>
          </w:tcPr>
          <w:p>
            <w:pPr>
              <w:ind w:firstLine="0" w:firstLineChars="0"/>
              <w:jc w:val="center"/>
              <w:rPr>
                <w:rFonts w:hint="eastAsia" w:eastAsia="宋体" w:cs="宋体"/>
                <w:color w:val="auto"/>
                <w:lang w:eastAsia="zh-CN"/>
              </w:rPr>
            </w:pPr>
            <w:r>
              <w:rPr>
                <w:rFonts w:hint="eastAsia" w:cs="宋体"/>
                <w:color w:val="auto"/>
                <w:lang w:eastAsia="zh-CN"/>
              </w:rPr>
              <w:t>保安服务</w:t>
            </w:r>
          </w:p>
        </w:tc>
        <w:tc>
          <w:tcPr>
            <w:tcW w:w="5213" w:type="dxa"/>
            <w:noWrap w:val="0"/>
            <w:vAlign w:val="center"/>
          </w:tcPr>
          <w:p>
            <w:pPr>
              <w:ind w:firstLine="0" w:firstLineChars="0"/>
              <w:jc w:val="center"/>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noWrap w:val="0"/>
            <w:vAlign w:val="top"/>
          </w:tcPr>
          <w:p>
            <w:pPr>
              <w:ind w:firstLine="0" w:firstLineChars="0"/>
              <w:jc w:val="center"/>
              <w:rPr>
                <w:rFonts w:hint="eastAsia" w:cs="宋体"/>
                <w:color w:val="auto"/>
              </w:rPr>
            </w:pPr>
            <w:r>
              <w:rPr>
                <w:rFonts w:hint="eastAsia" w:cs="宋体"/>
                <w:color w:val="auto"/>
              </w:rPr>
              <w:t>投</w:t>
            </w:r>
          </w:p>
          <w:p>
            <w:pPr>
              <w:ind w:firstLine="0" w:firstLineChars="0"/>
              <w:jc w:val="center"/>
              <w:rPr>
                <w:rFonts w:hint="eastAsia" w:cs="宋体"/>
                <w:color w:val="auto"/>
              </w:rPr>
            </w:pPr>
            <w:r>
              <w:rPr>
                <w:rFonts w:hint="eastAsia" w:cs="宋体"/>
                <w:color w:val="auto"/>
              </w:rPr>
              <w:t>标</w:t>
            </w:r>
          </w:p>
          <w:p>
            <w:pPr>
              <w:ind w:firstLine="0" w:firstLineChars="0"/>
              <w:jc w:val="center"/>
              <w:rPr>
                <w:rFonts w:hint="eastAsia" w:cs="宋体"/>
                <w:color w:val="auto"/>
              </w:rPr>
            </w:pPr>
            <w:r>
              <w:rPr>
                <w:rFonts w:hint="eastAsia" w:cs="宋体"/>
                <w:color w:val="auto"/>
              </w:rPr>
              <w:t>人</w:t>
            </w:r>
          </w:p>
          <w:p>
            <w:pPr>
              <w:ind w:firstLine="0" w:firstLineChars="0"/>
              <w:jc w:val="center"/>
              <w:rPr>
                <w:rFonts w:hint="eastAsia" w:cs="宋体"/>
                <w:color w:val="auto"/>
              </w:rPr>
            </w:pPr>
            <w:r>
              <w:rPr>
                <w:rFonts w:hint="eastAsia" w:cs="宋体"/>
                <w:color w:val="auto"/>
              </w:rPr>
              <w:t>申</w:t>
            </w:r>
          </w:p>
          <w:p>
            <w:pPr>
              <w:ind w:firstLine="0" w:firstLineChars="0"/>
              <w:jc w:val="center"/>
              <w:rPr>
                <w:rFonts w:hint="eastAsia" w:cs="宋体"/>
                <w:color w:val="auto"/>
              </w:rPr>
            </w:pPr>
            <w:r>
              <w:rPr>
                <w:rFonts w:hint="eastAsia" w:cs="宋体"/>
                <w:color w:val="auto"/>
              </w:rPr>
              <w:t>明</w:t>
            </w:r>
          </w:p>
        </w:tc>
        <w:tc>
          <w:tcPr>
            <w:tcW w:w="8460" w:type="dxa"/>
            <w:gridSpan w:val="2"/>
            <w:noWrap w:val="0"/>
            <w:vAlign w:val="top"/>
          </w:tcPr>
          <w:p>
            <w:pPr>
              <w:ind w:firstLine="0" w:firstLineChars="0"/>
              <w:jc w:val="center"/>
              <w:rPr>
                <w:rFonts w:hint="eastAsia" w:cs="宋体"/>
                <w:color w:val="auto"/>
              </w:rPr>
            </w:pPr>
          </w:p>
          <w:p>
            <w:pPr>
              <w:ind w:firstLine="0" w:firstLineChars="0"/>
              <w:jc w:val="center"/>
              <w:rPr>
                <w:rFonts w:hint="eastAsia" w:cs="宋体"/>
                <w:color w:val="auto"/>
              </w:rPr>
            </w:pPr>
          </w:p>
          <w:p>
            <w:pPr>
              <w:ind w:firstLine="0" w:firstLineChars="0"/>
              <w:jc w:val="center"/>
              <w:rPr>
                <w:rFonts w:hint="eastAsia" w:cs="宋体"/>
                <w:color w:val="auto"/>
              </w:rPr>
            </w:pPr>
          </w:p>
          <w:p>
            <w:pPr>
              <w:ind w:firstLine="0" w:firstLineChars="0"/>
              <w:jc w:val="center"/>
              <w:rPr>
                <w:rFonts w:hint="eastAsia" w:cs="宋体"/>
                <w:color w:val="auto"/>
              </w:rPr>
            </w:pPr>
          </w:p>
          <w:p>
            <w:pPr>
              <w:ind w:firstLine="0" w:firstLineChars="0"/>
              <w:jc w:val="center"/>
              <w:rPr>
                <w:rFonts w:hint="eastAsia" w:cs="宋体"/>
                <w:color w:val="auto"/>
              </w:rPr>
            </w:pPr>
          </w:p>
        </w:tc>
      </w:tr>
    </w:tbl>
    <w:p>
      <w:pPr>
        <w:ind w:firstLine="480"/>
        <w:rPr>
          <w:rFonts w:cs="宋体"/>
          <w:color w:val="auto"/>
        </w:rPr>
      </w:pPr>
    </w:p>
    <w:p>
      <w:pPr>
        <w:ind w:firstLine="480"/>
        <w:rPr>
          <w:rFonts w:cs="宋体"/>
          <w:color w:val="auto"/>
        </w:rPr>
      </w:pPr>
      <w:r>
        <w:rPr>
          <w:rFonts w:hint="eastAsia" w:cs="宋体"/>
          <w:color w:val="auto"/>
        </w:rPr>
        <w:t>投标人全称（盖章）：</w:t>
      </w:r>
    </w:p>
    <w:p>
      <w:pPr>
        <w:ind w:firstLine="480"/>
        <w:rPr>
          <w:rFonts w:cs="宋体"/>
          <w:color w:val="auto"/>
        </w:rPr>
      </w:pPr>
    </w:p>
    <w:p>
      <w:pPr>
        <w:ind w:firstLine="480"/>
        <w:rPr>
          <w:rFonts w:cs="宋体"/>
          <w:color w:val="auto"/>
        </w:rPr>
      </w:pPr>
      <w:r>
        <w:rPr>
          <w:rFonts w:hint="eastAsia" w:cs="宋体"/>
          <w:color w:val="auto"/>
        </w:rPr>
        <w:t>日期：</w:t>
      </w:r>
    </w:p>
    <w:p>
      <w:pPr>
        <w:ind w:firstLine="482"/>
        <w:rPr>
          <w:rFonts w:cs="宋体"/>
          <w:b/>
          <w:i/>
          <w:iCs/>
          <w:color w:val="auto"/>
          <w:szCs w:val="21"/>
        </w:rPr>
      </w:pPr>
    </w:p>
    <w:p>
      <w:pPr>
        <w:ind w:firstLine="600"/>
        <w:rPr>
          <w:rFonts w:cs="宋体"/>
          <w:color w:val="auto"/>
          <w:sz w:val="30"/>
        </w:rPr>
      </w:pPr>
    </w:p>
    <w:p>
      <w:pPr>
        <w:spacing w:line="400" w:lineRule="exact"/>
        <w:ind w:firstLine="643"/>
        <w:jc w:val="center"/>
        <w:rPr>
          <w:rFonts w:cs="宋体"/>
          <w:b/>
          <w:color w:val="auto"/>
          <w:sz w:val="32"/>
        </w:rPr>
        <w:sectPr>
          <w:pgSz w:w="11906" w:h="16838"/>
          <w:pgMar w:top="1440" w:right="1106" w:bottom="1440" w:left="1622" w:header="851" w:footer="851" w:gutter="0"/>
          <w:pgBorders>
            <w:top w:val="none" w:sz="0" w:space="0"/>
            <w:left w:val="none" w:sz="0" w:space="0"/>
            <w:bottom w:val="none" w:sz="0" w:space="0"/>
            <w:right w:val="none" w:sz="0" w:space="0"/>
          </w:pgBorders>
          <w:cols w:space="720" w:num="1"/>
          <w:docGrid w:linePitch="312" w:charSpace="0"/>
        </w:sectPr>
      </w:pPr>
    </w:p>
    <w:p>
      <w:pPr>
        <w:spacing w:line="400" w:lineRule="exact"/>
        <w:ind w:firstLine="482"/>
        <w:jc w:val="center"/>
        <w:rPr>
          <w:rFonts w:hint="eastAsia" w:cs="宋体"/>
          <w:b/>
          <w:color w:val="auto"/>
        </w:rPr>
      </w:pPr>
      <w:r>
        <w:rPr>
          <w:rFonts w:hint="eastAsia" w:cs="宋体"/>
          <w:b/>
          <w:color w:val="auto"/>
        </w:rPr>
        <w:t>A3详细费用测算细目</w:t>
      </w:r>
    </w:p>
    <w:p>
      <w:pPr>
        <w:spacing w:line="460" w:lineRule="exact"/>
        <w:ind w:firstLine="480"/>
        <w:rPr>
          <w:rFonts w:hint="eastAsia"/>
          <w:color w:val="auto"/>
          <w:u w:val="single"/>
        </w:rPr>
      </w:pPr>
      <w:r>
        <w:rPr>
          <w:rFonts w:hint="eastAsia"/>
          <w:color w:val="auto"/>
        </w:rPr>
        <w:t>招标项目名称：</w:t>
      </w:r>
      <w:r>
        <w:rPr>
          <w:color w:val="auto"/>
          <w:u w:val="single"/>
        </w:rPr>
        <w:t>_______</w:t>
      </w:r>
      <w:r>
        <w:rPr>
          <w:rFonts w:hint="eastAsia"/>
          <w:color w:val="auto"/>
          <w:u w:val="single"/>
        </w:rPr>
        <w:t xml:space="preserve">               </w:t>
      </w:r>
    </w:p>
    <w:p>
      <w:pPr>
        <w:spacing w:line="460" w:lineRule="exact"/>
        <w:ind w:firstLine="480"/>
        <w:rPr>
          <w:rFonts w:hint="eastAsia"/>
          <w:color w:val="auto"/>
          <w:sz w:val="30"/>
        </w:rPr>
      </w:pPr>
      <w:r>
        <w:rPr>
          <w:rFonts w:hint="eastAsia"/>
          <w:color w:val="auto"/>
          <w:spacing w:val="14"/>
        </w:rPr>
        <w:t>招标编号</w:t>
      </w:r>
      <w:r>
        <w:rPr>
          <w:rFonts w:hint="eastAsia"/>
          <w:color w:val="auto"/>
        </w:rPr>
        <w:t>：</w:t>
      </w:r>
      <w:r>
        <w:rPr>
          <w:color w:val="auto"/>
          <w:u w:val="single"/>
        </w:rPr>
        <w:t>_____</w:t>
      </w:r>
      <w:r>
        <w:rPr>
          <w:rFonts w:hint="eastAsia"/>
          <w:color w:val="auto"/>
          <w:u w:val="single"/>
        </w:rPr>
        <w:t xml:space="preserve">                </w:t>
      </w:r>
      <w:r>
        <w:rPr>
          <w:rFonts w:hint="eastAsia"/>
          <w:color w:val="auto"/>
        </w:rPr>
        <w:t xml:space="preserve">               </w:t>
      </w:r>
      <w:r>
        <w:rPr>
          <w:color w:val="auto"/>
        </w:rPr>
        <w:t>（</w:t>
      </w:r>
      <w:r>
        <w:rPr>
          <w:rFonts w:hint="eastAsia"/>
          <w:color w:val="auto"/>
        </w:rPr>
        <w:t>人民币：元）</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591"/>
        <w:gridCol w:w="1478"/>
        <w:gridCol w:w="1478"/>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0" w:type="dxa"/>
            <w:noWrap w:val="0"/>
            <w:vAlign w:val="center"/>
          </w:tcPr>
          <w:p>
            <w:pPr>
              <w:pStyle w:val="3"/>
              <w:spacing w:line="0" w:lineRule="atLeast"/>
              <w:ind w:firstLine="0"/>
              <w:jc w:val="center"/>
              <w:rPr>
                <w:color w:val="auto"/>
                <w:sz w:val="21"/>
                <w:szCs w:val="21"/>
              </w:rPr>
            </w:pPr>
            <w:r>
              <w:rPr>
                <w:color w:val="auto"/>
                <w:sz w:val="21"/>
                <w:szCs w:val="21"/>
              </w:rPr>
              <w:t>序号</w:t>
            </w:r>
          </w:p>
        </w:tc>
        <w:tc>
          <w:tcPr>
            <w:tcW w:w="3591" w:type="dxa"/>
            <w:noWrap w:val="0"/>
            <w:vAlign w:val="center"/>
          </w:tcPr>
          <w:p>
            <w:pPr>
              <w:pStyle w:val="3"/>
              <w:spacing w:line="0" w:lineRule="atLeast"/>
              <w:ind w:firstLine="0"/>
              <w:jc w:val="center"/>
              <w:rPr>
                <w:color w:val="auto"/>
                <w:sz w:val="21"/>
                <w:szCs w:val="21"/>
              </w:rPr>
            </w:pPr>
            <w:r>
              <w:rPr>
                <w:rFonts w:hint="eastAsia"/>
                <w:color w:val="auto"/>
                <w:sz w:val="21"/>
                <w:szCs w:val="21"/>
              </w:rPr>
              <w:t>费用项目</w:t>
            </w:r>
          </w:p>
        </w:tc>
        <w:tc>
          <w:tcPr>
            <w:tcW w:w="1478" w:type="dxa"/>
            <w:noWrap w:val="0"/>
            <w:vAlign w:val="center"/>
          </w:tcPr>
          <w:p>
            <w:pPr>
              <w:pStyle w:val="3"/>
              <w:spacing w:line="0" w:lineRule="atLeast"/>
              <w:ind w:firstLine="0"/>
              <w:jc w:val="center"/>
              <w:rPr>
                <w:color w:val="auto"/>
                <w:sz w:val="21"/>
                <w:szCs w:val="21"/>
              </w:rPr>
            </w:pPr>
            <w:r>
              <w:rPr>
                <w:rFonts w:hint="eastAsia"/>
                <w:color w:val="auto"/>
                <w:sz w:val="21"/>
                <w:szCs w:val="21"/>
              </w:rPr>
              <w:t>人数</w:t>
            </w:r>
          </w:p>
        </w:tc>
        <w:tc>
          <w:tcPr>
            <w:tcW w:w="1478" w:type="dxa"/>
            <w:noWrap w:val="0"/>
            <w:vAlign w:val="center"/>
          </w:tcPr>
          <w:p>
            <w:pPr>
              <w:pStyle w:val="3"/>
              <w:spacing w:line="0" w:lineRule="atLeast"/>
              <w:ind w:firstLine="0"/>
              <w:jc w:val="center"/>
              <w:rPr>
                <w:color w:val="auto"/>
                <w:sz w:val="21"/>
                <w:szCs w:val="21"/>
              </w:rPr>
            </w:pPr>
            <w:r>
              <w:rPr>
                <w:rFonts w:hint="eastAsia"/>
                <w:color w:val="auto"/>
                <w:sz w:val="21"/>
                <w:szCs w:val="21"/>
              </w:rPr>
              <w:t>单价</w:t>
            </w:r>
            <w:r>
              <w:rPr>
                <w:color w:val="auto"/>
                <w:sz w:val="21"/>
                <w:szCs w:val="21"/>
              </w:rPr>
              <w:t>（元</w:t>
            </w:r>
            <w:r>
              <w:rPr>
                <w:rFonts w:hint="eastAsia"/>
                <w:color w:val="auto"/>
                <w:sz w:val="21"/>
                <w:szCs w:val="21"/>
              </w:rPr>
              <w:t>/月</w:t>
            </w:r>
            <w:r>
              <w:rPr>
                <w:color w:val="auto"/>
                <w:sz w:val="21"/>
                <w:szCs w:val="21"/>
              </w:rPr>
              <w:t>）</w:t>
            </w:r>
          </w:p>
        </w:tc>
        <w:tc>
          <w:tcPr>
            <w:tcW w:w="1709" w:type="dxa"/>
            <w:noWrap w:val="0"/>
            <w:vAlign w:val="center"/>
          </w:tcPr>
          <w:p>
            <w:pPr>
              <w:pStyle w:val="3"/>
              <w:spacing w:line="0" w:lineRule="atLeast"/>
              <w:ind w:firstLine="0"/>
              <w:jc w:val="center"/>
              <w:rPr>
                <w:color w:val="auto"/>
                <w:sz w:val="21"/>
                <w:szCs w:val="21"/>
              </w:rPr>
            </w:pPr>
            <w:r>
              <w:rPr>
                <w:rFonts w:hint="eastAsia"/>
                <w:color w:val="auto"/>
                <w:sz w:val="21"/>
                <w:szCs w:val="21"/>
              </w:rPr>
              <w:t>合计（元/年）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color w:val="auto"/>
                <w:sz w:val="21"/>
                <w:szCs w:val="21"/>
              </w:rPr>
              <w:t>1</w:t>
            </w:r>
          </w:p>
        </w:tc>
        <w:tc>
          <w:tcPr>
            <w:tcW w:w="3591"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color w:val="auto"/>
                <w:sz w:val="21"/>
                <w:szCs w:val="21"/>
              </w:rPr>
              <w:t>2</w:t>
            </w:r>
          </w:p>
        </w:tc>
        <w:tc>
          <w:tcPr>
            <w:tcW w:w="3591"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color w:val="auto"/>
                <w:sz w:val="21"/>
                <w:szCs w:val="21"/>
              </w:rPr>
              <w:t>3</w:t>
            </w:r>
          </w:p>
        </w:tc>
        <w:tc>
          <w:tcPr>
            <w:tcW w:w="3591"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4</w:t>
            </w:r>
          </w:p>
        </w:tc>
        <w:tc>
          <w:tcPr>
            <w:tcW w:w="3591"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5</w:t>
            </w:r>
          </w:p>
        </w:tc>
        <w:tc>
          <w:tcPr>
            <w:tcW w:w="3591"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6</w:t>
            </w:r>
          </w:p>
        </w:tc>
        <w:tc>
          <w:tcPr>
            <w:tcW w:w="3591"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7</w:t>
            </w:r>
          </w:p>
        </w:tc>
        <w:tc>
          <w:tcPr>
            <w:tcW w:w="3591"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8</w:t>
            </w:r>
          </w:p>
        </w:tc>
        <w:tc>
          <w:tcPr>
            <w:tcW w:w="3591" w:type="dxa"/>
            <w:noWrap w:val="0"/>
            <w:vAlign w:val="center"/>
          </w:tcPr>
          <w:p>
            <w:pPr>
              <w:pStyle w:val="3"/>
              <w:spacing w:line="0" w:lineRule="atLeast"/>
              <w:ind w:firstLine="0" w:firstLineChars="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9</w:t>
            </w:r>
          </w:p>
        </w:tc>
        <w:tc>
          <w:tcPr>
            <w:tcW w:w="3591" w:type="dxa"/>
            <w:noWrap w:val="0"/>
            <w:vAlign w:val="center"/>
          </w:tcPr>
          <w:p>
            <w:pPr>
              <w:pStyle w:val="3"/>
              <w:spacing w:line="0" w:lineRule="atLeast"/>
              <w:ind w:firstLine="0" w:firstLineChars="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10</w:t>
            </w:r>
          </w:p>
        </w:tc>
        <w:tc>
          <w:tcPr>
            <w:tcW w:w="3591" w:type="dxa"/>
            <w:noWrap w:val="0"/>
            <w:vAlign w:val="center"/>
          </w:tcPr>
          <w:p>
            <w:pPr>
              <w:pStyle w:val="3"/>
              <w:spacing w:line="0" w:lineRule="atLeast"/>
              <w:ind w:firstLine="0" w:firstLineChars="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11</w:t>
            </w:r>
          </w:p>
        </w:tc>
        <w:tc>
          <w:tcPr>
            <w:tcW w:w="3591" w:type="dxa"/>
            <w:noWrap w:val="0"/>
            <w:vAlign w:val="center"/>
          </w:tcPr>
          <w:p>
            <w:pPr>
              <w:pStyle w:val="3"/>
              <w:spacing w:line="0" w:lineRule="atLeast"/>
              <w:ind w:firstLine="0" w:firstLineChars="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12</w:t>
            </w:r>
          </w:p>
        </w:tc>
        <w:tc>
          <w:tcPr>
            <w:tcW w:w="3591" w:type="dxa"/>
            <w:noWrap w:val="0"/>
            <w:vAlign w:val="center"/>
          </w:tcPr>
          <w:p>
            <w:pPr>
              <w:pStyle w:val="3"/>
              <w:spacing w:line="0" w:lineRule="atLeast"/>
              <w:ind w:firstLine="0" w:firstLineChars="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13</w:t>
            </w:r>
          </w:p>
        </w:tc>
        <w:tc>
          <w:tcPr>
            <w:tcW w:w="3591"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40" w:type="dxa"/>
            <w:noWrap w:val="0"/>
            <w:vAlign w:val="center"/>
          </w:tcPr>
          <w:p>
            <w:pPr>
              <w:pStyle w:val="3"/>
              <w:spacing w:line="0" w:lineRule="atLeast"/>
              <w:ind w:firstLine="0"/>
              <w:jc w:val="center"/>
              <w:rPr>
                <w:color w:val="auto"/>
                <w:sz w:val="21"/>
                <w:szCs w:val="21"/>
              </w:rPr>
            </w:pPr>
            <w:r>
              <w:rPr>
                <w:rFonts w:hint="eastAsia"/>
                <w:color w:val="auto"/>
                <w:sz w:val="21"/>
                <w:szCs w:val="21"/>
              </w:rPr>
              <w:t>14</w:t>
            </w:r>
          </w:p>
        </w:tc>
        <w:tc>
          <w:tcPr>
            <w:tcW w:w="3591" w:type="dxa"/>
            <w:noWrap w:val="0"/>
            <w:vAlign w:val="center"/>
          </w:tcPr>
          <w:p>
            <w:pPr>
              <w:pStyle w:val="3"/>
              <w:spacing w:line="0" w:lineRule="atLeast"/>
              <w:ind w:firstLine="0"/>
              <w:jc w:val="center"/>
              <w:rPr>
                <w:color w:val="auto"/>
                <w:sz w:val="21"/>
                <w:szCs w:val="21"/>
              </w:rPr>
            </w:pPr>
            <w:r>
              <w:rPr>
                <w:color w:val="auto"/>
                <w:sz w:val="21"/>
                <w:szCs w:val="21"/>
              </w:rPr>
              <w:t>总价</w:t>
            </w:r>
          </w:p>
        </w:tc>
        <w:tc>
          <w:tcPr>
            <w:tcW w:w="1478" w:type="dxa"/>
            <w:noWrap w:val="0"/>
            <w:vAlign w:val="center"/>
          </w:tcPr>
          <w:p>
            <w:pPr>
              <w:pStyle w:val="3"/>
              <w:spacing w:line="0" w:lineRule="atLeast"/>
              <w:ind w:firstLine="0"/>
              <w:jc w:val="center"/>
              <w:rPr>
                <w:color w:val="auto"/>
                <w:sz w:val="21"/>
                <w:szCs w:val="21"/>
              </w:rPr>
            </w:pPr>
          </w:p>
        </w:tc>
        <w:tc>
          <w:tcPr>
            <w:tcW w:w="1478" w:type="dxa"/>
            <w:noWrap w:val="0"/>
            <w:vAlign w:val="center"/>
          </w:tcPr>
          <w:p>
            <w:pPr>
              <w:pStyle w:val="3"/>
              <w:spacing w:line="0" w:lineRule="atLeast"/>
              <w:ind w:firstLine="0"/>
              <w:rPr>
                <w:color w:val="auto"/>
                <w:sz w:val="21"/>
                <w:szCs w:val="21"/>
              </w:rPr>
            </w:pPr>
          </w:p>
        </w:tc>
        <w:tc>
          <w:tcPr>
            <w:tcW w:w="1709" w:type="dxa"/>
            <w:noWrap w:val="0"/>
            <w:vAlign w:val="center"/>
          </w:tcPr>
          <w:p>
            <w:pPr>
              <w:pStyle w:val="3"/>
              <w:spacing w:line="0" w:lineRule="atLeast"/>
              <w:ind w:firstLine="0"/>
              <w:rPr>
                <w:color w:val="auto"/>
                <w:sz w:val="21"/>
                <w:szCs w:val="21"/>
              </w:rPr>
            </w:pPr>
          </w:p>
        </w:tc>
      </w:tr>
    </w:tbl>
    <w:p>
      <w:pPr>
        <w:spacing w:line="440" w:lineRule="exact"/>
        <w:ind w:firstLine="480"/>
        <w:rPr>
          <w:rFonts w:hint="eastAsia"/>
          <w:i/>
          <w:iCs/>
          <w:color w:val="auto"/>
        </w:rPr>
      </w:pPr>
    </w:p>
    <w:p>
      <w:pPr>
        <w:pStyle w:val="2"/>
        <w:tabs>
          <w:tab w:val="left" w:pos="0"/>
          <w:tab w:val="left" w:pos="1260"/>
          <w:tab w:val="left" w:pos="1365"/>
        </w:tabs>
        <w:ind w:firstLine="480"/>
        <w:rPr>
          <w:rFonts w:hint="eastAsia" w:cs="宋体"/>
          <w:color w:val="auto"/>
        </w:rPr>
      </w:pPr>
      <w:r>
        <w:rPr>
          <w:rFonts w:hint="eastAsia" w:cs="宋体"/>
          <w:color w:val="auto"/>
          <w:szCs w:val="24"/>
        </w:rPr>
        <w:t>投标人（盖章）：                                       日  期：</w:t>
      </w:r>
    </w:p>
    <w:p>
      <w:pPr>
        <w:ind w:firstLine="600"/>
        <w:rPr>
          <w:rFonts w:hint="eastAsia" w:cs="宋体"/>
          <w:i/>
          <w:iCs/>
          <w:color w:val="auto"/>
          <w:sz w:val="30"/>
        </w:rPr>
        <w:sectPr>
          <w:pgSz w:w="11906" w:h="16838"/>
          <w:pgMar w:top="1440" w:right="1106" w:bottom="1440" w:left="1621" w:header="851" w:footer="850" w:gutter="0"/>
          <w:paperSrc/>
          <w:pgBorders>
            <w:top w:val="none" w:sz="0" w:space="0"/>
            <w:left w:val="none" w:sz="0" w:space="0"/>
            <w:bottom w:val="none" w:sz="0" w:space="0"/>
            <w:right w:val="none" w:sz="0" w:space="0"/>
          </w:pgBorders>
          <w:cols w:space="720" w:num="1"/>
          <w:rtlGutter w:val="0"/>
          <w:docGrid w:linePitch="312" w:charSpace="0"/>
        </w:sectPr>
      </w:pPr>
    </w:p>
    <w:p>
      <w:pPr>
        <w:pStyle w:val="2"/>
        <w:rPr>
          <w:rFonts w:hint="eastAsia"/>
          <w:color w:val="auto"/>
        </w:rPr>
      </w:pPr>
    </w:p>
    <w:p>
      <w:pPr>
        <w:ind w:firstLine="482"/>
        <w:jc w:val="center"/>
        <w:rPr>
          <w:rFonts w:cs="宋体"/>
          <w:b/>
          <w:color w:val="auto"/>
        </w:rPr>
      </w:pPr>
      <w:r>
        <w:rPr>
          <w:rFonts w:hint="eastAsia" w:cs="宋体"/>
          <w:b/>
          <w:color w:val="auto"/>
        </w:rPr>
        <w:t>A4中小企业声明函</w:t>
      </w:r>
    </w:p>
    <w:p>
      <w:pPr>
        <w:ind w:firstLine="643"/>
        <w:jc w:val="center"/>
        <w:rPr>
          <w:rFonts w:cs="宋体"/>
          <w:b/>
          <w:bCs/>
          <w:color w:val="auto"/>
          <w:sz w:val="32"/>
          <w:szCs w:val="32"/>
        </w:rPr>
      </w:pPr>
    </w:p>
    <w:p>
      <w:pPr>
        <w:spacing w:line="492" w:lineRule="exact"/>
        <w:ind w:left="360" w:right="366" w:firstLine="480"/>
        <w:rPr>
          <w:color w:val="auto"/>
          <w:szCs w:val="21"/>
        </w:rPr>
      </w:pPr>
      <w:r>
        <w:rPr>
          <w:color w:val="auto"/>
          <w:szCs w:val="21"/>
        </w:rPr>
        <w:t>本公司（联合体）郑重声明，根据《政府采购促进中小企业发展管理办法》（财库﹝2020﹞46号）的规定，本公司（联合体）参加</w:t>
      </w:r>
      <w:r>
        <w:rPr>
          <w:i/>
          <w:color w:val="auto"/>
          <w:szCs w:val="21"/>
          <w:u w:val="single"/>
        </w:rPr>
        <w:t>（单位名称）</w:t>
      </w:r>
      <w:r>
        <w:rPr>
          <w:color w:val="auto"/>
          <w:szCs w:val="21"/>
        </w:rPr>
        <w:t>的</w:t>
      </w:r>
      <w:r>
        <w:rPr>
          <w:color w:val="auto"/>
          <w:szCs w:val="21"/>
          <w:u w:val="single"/>
        </w:rPr>
        <w:t>（</w:t>
      </w:r>
      <w:r>
        <w:rPr>
          <w:i/>
          <w:color w:val="auto"/>
          <w:szCs w:val="21"/>
          <w:u w:val="single"/>
        </w:rPr>
        <w:t>项目名称）</w:t>
      </w:r>
      <w:r>
        <w:rPr>
          <w:color w:val="auto"/>
          <w:szCs w:val="21"/>
        </w:rPr>
        <w:t>采购活动，服务全部由符合政策要求的中小企业承接）。相关企业（含联合体中的中小企业、签订分包意向协议的中小企业）的具体情况如下：</w:t>
      </w:r>
    </w:p>
    <w:p>
      <w:pPr>
        <w:spacing w:line="492" w:lineRule="exact"/>
        <w:ind w:left="360" w:right="366" w:firstLine="480"/>
        <w:rPr>
          <w:color w:val="auto"/>
          <w:szCs w:val="21"/>
        </w:rPr>
      </w:pPr>
      <w:r>
        <w:rPr>
          <w:color w:val="auto"/>
          <w:szCs w:val="21"/>
        </w:rPr>
        <w:t>1.</w:t>
      </w:r>
      <w:r>
        <w:rPr>
          <w:rFonts w:hint="eastAsia"/>
          <w:i/>
          <w:color w:val="auto"/>
          <w:szCs w:val="21"/>
          <w:u w:val="single"/>
        </w:rPr>
        <w:t>（标的名称）</w:t>
      </w:r>
      <w:r>
        <w:rPr>
          <w:rFonts w:hint="eastAsia"/>
          <w:color w:val="auto"/>
          <w:szCs w:val="21"/>
        </w:rPr>
        <w:t>，属于</w:t>
      </w:r>
      <w:r>
        <w:rPr>
          <w:rFonts w:hint="eastAsia"/>
          <w:i/>
          <w:color w:val="auto"/>
          <w:szCs w:val="21"/>
          <w:u w:val="single"/>
        </w:rPr>
        <w:t>（采购文件中明确的所属行业）</w:t>
      </w:r>
      <w:r>
        <w:rPr>
          <w:rFonts w:hint="eastAsia"/>
          <w:color w:val="auto"/>
          <w:szCs w:val="21"/>
        </w:rPr>
        <w:t>；承接企业为</w:t>
      </w:r>
      <w:r>
        <w:rPr>
          <w:rFonts w:hint="eastAsia"/>
          <w:color w:val="auto"/>
          <w:szCs w:val="21"/>
          <w:u w:val="single"/>
        </w:rPr>
        <w:t>（</w:t>
      </w:r>
      <w:r>
        <w:rPr>
          <w:rFonts w:hint="eastAsia"/>
          <w:i/>
          <w:color w:val="auto"/>
          <w:szCs w:val="21"/>
          <w:u w:val="single"/>
        </w:rPr>
        <w:t>企业名称</w:t>
      </w:r>
      <w:r>
        <w:rPr>
          <w:rFonts w:hint="eastAsia"/>
          <w:color w:val="auto"/>
          <w:szCs w:val="21"/>
          <w:u w:val="single"/>
        </w:rPr>
        <w:t>）</w:t>
      </w:r>
      <w:r>
        <w:rPr>
          <w:rFonts w:hint="eastAsia"/>
          <w:color w:val="auto"/>
          <w:szCs w:val="21"/>
        </w:rPr>
        <w:t>，从业人员</w:t>
      </w:r>
      <w:r>
        <w:rPr>
          <w:rFonts w:hint="eastAsia"/>
          <w:color w:val="auto"/>
          <w:szCs w:val="21"/>
          <w:u w:val="single"/>
        </w:rPr>
        <w:t xml:space="preserve">  </w:t>
      </w:r>
      <w:r>
        <w:rPr>
          <w:rFonts w:hint="eastAsia"/>
          <w:color w:val="auto"/>
          <w:szCs w:val="21"/>
        </w:rPr>
        <w:t>人，营业 收入为</w:t>
      </w:r>
      <w:r>
        <w:rPr>
          <w:rFonts w:hint="eastAsia"/>
          <w:color w:val="auto"/>
          <w:szCs w:val="21"/>
          <w:u w:val="single"/>
        </w:rPr>
        <w:t xml:space="preserve">  </w:t>
      </w:r>
      <w:r>
        <w:rPr>
          <w:rFonts w:hint="eastAsia"/>
          <w:color w:val="auto"/>
          <w:szCs w:val="21"/>
        </w:rPr>
        <w:t>万元，资产总额为</w:t>
      </w:r>
      <w:r>
        <w:rPr>
          <w:rFonts w:hint="eastAsia"/>
          <w:color w:val="auto"/>
          <w:szCs w:val="21"/>
          <w:u w:val="single"/>
        </w:rPr>
        <w:t xml:space="preserve">   </w:t>
      </w:r>
      <w:r>
        <w:rPr>
          <w:rFonts w:hint="eastAsia"/>
          <w:color w:val="auto"/>
          <w:szCs w:val="21"/>
        </w:rPr>
        <w:t xml:space="preserve">万元，属于 </w:t>
      </w:r>
      <w:r>
        <w:rPr>
          <w:rFonts w:hint="eastAsia"/>
          <w:i/>
          <w:color w:val="auto"/>
          <w:szCs w:val="21"/>
          <w:u w:val="single"/>
        </w:rPr>
        <w:t>（中型企业、小型企业、微型企业）</w:t>
      </w:r>
      <w:r>
        <w:rPr>
          <w:rFonts w:hint="eastAsia"/>
          <w:color w:val="auto"/>
          <w:szCs w:val="21"/>
        </w:rPr>
        <w:t xml:space="preserve">； </w:t>
      </w:r>
    </w:p>
    <w:p>
      <w:pPr>
        <w:spacing w:line="492" w:lineRule="exact"/>
        <w:ind w:left="360" w:right="366" w:firstLine="480"/>
        <w:rPr>
          <w:color w:val="auto"/>
          <w:szCs w:val="21"/>
        </w:rPr>
      </w:pPr>
      <w:r>
        <w:rPr>
          <w:rFonts w:hint="eastAsia"/>
          <w:color w:val="auto"/>
          <w:szCs w:val="21"/>
        </w:rPr>
        <w:t>2.</w:t>
      </w:r>
      <w:r>
        <w:rPr>
          <w:rFonts w:hint="eastAsia"/>
          <w:i/>
          <w:color w:val="auto"/>
          <w:szCs w:val="21"/>
          <w:u w:val="single"/>
        </w:rPr>
        <w:t>（标的名称）</w:t>
      </w:r>
      <w:r>
        <w:rPr>
          <w:rFonts w:hint="eastAsia"/>
          <w:color w:val="auto"/>
          <w:szCs w:val="21"/>
          <w:u w:val="single"/>
        </w:rPr>
        <w:t xml:space="preserve"> </w:t>
      </w:r>
      <w:r>
        <w:rPr>
          <w:rFonts w:hint="eastAsia"/>
          <w:color w:val="auto"/>
          <w:szCs w:val="21"/>
        </w:rPr>
        <w:t>，属于</w:t>
      </w:r>
      <w:r>
        <w:rPr>
          <w:rFonts w:hint="eastAsia"/>
          <w:i/>
          <w:color w:val="auto"/>
          <w:szCs w:val="21"/>
          <w:u w:val="single"/>
        </w:rPr>
        <w:t>（采购文件中明确的所属行业）</w:t>
      </w:r>
      <w:r>
        <w:rPr>
          <w:rFonts w:hint="eastAsia"/>
          <w:color w:val="auto"/>
          <w:szCs w:val="21"/>
        </w:rPr>
        <w:t>；承接企业为</w:t>
      </w:r>
      <w:r>
        <w:rPr>
          <w:rFonts w:hint="eastAsia"/>
          <w:i/>
          <w:color w:val="auto"/>
          <w:szCs w:val="21"/>
          <w:u w:val="single"/>
        </w:rPr>
        <w:t>（企业名称）</w:t>
      </w:r>
      <w:r>
        <w:rPr>
          <w:rFonts w:hint="eastAsia"/>
          <w:color w:val="auto"/>
          <w:szCs w:val="21"/>
        </w:rPr>
        <w:t>，从业人员</w:t>
      </w:r>
      <w:r>
        <w:rPr>
          <w:rFonts w:hint="eastAsia"/>
          <w:color w:val="auto"/>
          <w:szCs w:val="21"/>
          <w:u w:val="single"/>
        </w:rPr>
        <w:t xml:space="preserve">   </w:t>
      </w:r>
      <w:r>
        <w:rPr>
          <w:rFonts w:hint="eastAsia"/>
          <w:color w:val="auto"/>
          <w:szCs w:val="21"/>
        </w:rPr>
        <w:t>人，营业 收入为</w:t>
      </w:r>
      <w:r>
        <w:rPr>
          <w:rFonts w:hint="eastAsia"/>
          <w:color w:val="auto"/>
          <w:szCs w:val="21"/>
          <w:u w:val="single"/>
        </w:rPr>
        <w:t xml:space="preserve">   </w:t>
      </w:r>
      <w:r>
        <w:rPr>
          <w:rFonts w:hint="eastAsia"/>
          <w:color w:val="auto"/>
          <w:szCs w:val="21"/>
        </w:rPr>
        <w:t>万元，资产总额为</w:t>
      </w:r>
      <w:r>
        <w:rPr>
          <w:rFonts w:hint="eastAsia"/>
          <w:color w:val="auto"/>
          <w:szCs w:val="21"/>
          <w:u w:val="single"/>
        </w:rPr>
        <w:t xml:space="preserve">   </w:t>
      </w:r>
      <w:r>
        <w:rPr>
          <w:rFonts w:hint="eastAsia"/>
          <w:color w:val="auto"/>
          <w:szCs w:val="21"/>
        </w:rPr>
        <w:t>万元，属于</w:t>
      </w:r>
      <w:r>
        <w:rPr>
          <w:rFonts w:hint="eastAsia"/>
          <w:i/>
          <w:color w:val="auto"/>
          <w:szCs w:val="21"/>
          <w:u w:val="single"/>
        </w:rPr>
        <w:t>（中型企业、小型企业、微型企业）</w:t>
      </w:r>
    </w:p>
    <w:p>
      <w:pPr>
        <w:spacing w:line="492" w:lineRule="exact"/>
        <w:ind w:left="360" w:right="366" w:firstLine="480"/>
        <w:rPr>
          <w:color w:val="auto"/>
          <w:szCs w:val="21"/>
        </w:rPr>
      </w:pPr>
      <w:r>
        <w:rPr>
          <w:rFonts w:hint="eastAsia"/>
          <w:color w:val="auto"/>
          <w:szCs w:val="21"/>
        </w:rPr>
        <w:t xml:space="preserve"> </w:t>
      </w:r>
      <w:r>
        <w:rPr>
          <w:color w:val="auto"/>
          <w:szCs w:val="21"/>
        </w:rPr>
        <w:t>……</w:t>
      </w:r>
    </w:p>
    <w:p>
      <w:pPr>
        <w:spacing w:line="455" w:lineRule="exact"/>
        <w:ind w:left="360" w:right="366" w:firstLine="480"/>
        <w:rPr>
          <w:color w:val="auto"/>
          <w:szCs w:val="21"/>
        </w:rPr>
      </w:pPr>
      <w:r>
        <w:rPr>
          <w:color w:val="auto"/>
          <w:szCs w:val="21"/>
        </w:rPr>
        <w:t>以上企业，不属于大企业的分支机构，不存在控股股东为大企业的情形，也不存在与大企业的负责人为同一人的情形。</w:t>
      </w:r>
    </w:p>
    <w:p>
      <w:pPr>
        <w:spacing w:line="196" w:lineRule="exact"/>
        <w:ind w:firstLine="480"/>
        <w:rPr>
          <w:color w:val="auto"/>
          <w:szCs w:val="21"/>
        </w:rPr>
      </w:pPr>
    </w:p>
    <w:p>
      <w:pPr>
        <w:spacing w:line="423" w:lineRule="exact"/>
        <w:ind w:left="360" w:right="366" w:firstLine="480"/>
        <w:rPr>
          <w:color w:val="auto"/>
          <w:szCs w:val="21"/>
        </w:rPr>
      </w:pPr>
      <w:r>
        <w:rPr>
          <w:color w:val="auto"/>
          <w:szCs w:val="21"/>
        </w:rPr>
        <w:t>本企业对上述声明内容的真实性负责。如有虚假，将依法承担相应责任。</w:t>
      </w:r>
    </w:p>
    <w:p>
      <w:pPr>
        <w:spacing w:line="188" w:lineRule="exact"/>
        <w:ind w:firstLine="480"/>
        <w:rPr>
          <w:color w:val="auto"/>
          <w:szCs w:val="21"/>
        </w:rPr>
      </w:pPr>
    </w:p>
    <w:p>
      <w:pPr>
        <w:spacing w:line="366" w:lineRule="exact"/>
        <w:ind w:left="4200" w:firstLine="480"/>
        <w:rPr>
          <w:color w:val="auto"/>
          <w:szCs w:val="21"/>
        </w:rPr>
      </w:pPr>
      <w:r>
        <w:rPr>
          <w:color w:val="auto"/>
          <w:szCs w:val="21"/>
        </w:rPr>
        <w:t>企业名称（盖章）：</w:t>
      </w:r>
    </w:p>
    <w:p>
      <w:pPr>
        <w:spacing w:line="175" w:lineRule="exact"/>
        <w:ind w:firstLine="480"/>
        <w:rPr>
          <w:color w:val="auto"/>
          <w:szCs w:val="21"/>
        </w:rPr>
      </w:pPr>
    </w:p>
    <w:p>
      <w:pPr>
        <w:spacing w:line="588" w:lineRule="exact"/>
        <w:ind w:firstLine="5400" w:firstLineChars="2250"/>
        <w:rPr>
          <w:color w:val="auto"/>
          <w:szCs w:val="21"/>
        </w:rPr>
      </w:pPr>
      <w:r>
        <w:rPr>
          <w:color w:val="auto"/>
          <w:szCs w:val="21"/>
        </w:rPr>
        <w:t>日期：</w:t>
      </w:r>
    </w:p>
    <w:p>
      <w:pPr>
        <w:ind w:firstLine="480"/>
        <w:rPr>
          <w:rFonts w:cs="宋体"/>
          <w:color w:val="auto"/>
        </w:rPr>
      </w:pPr>
      <w:r>
        <w:rPr>
          <w:rFonts w:cs="宋体"/>
          <w:color w:val="auto"/>
        </w:rPr>
        <w:t xml:space="preserve"> </w:t>
      </w:r>
    </w:p>
    <w:p>
      <w:pPr>
        <w:ind w:firstLine="360"/>
        <w:rPr>
          <w:rFonts w:cs="宋体"/>
          <w:color w:val="auto"/>
          <w:sz w:val="18"/>
          <w:szCs w:val="18"/>
        </w:rPr>
      </w:pPr>
    </w:p>
    <w:p>
      <w:pPr>
        <w:ind w:firstLine="360"/>
        <w:rPr>
          <w:rFonts w:cs="宋体"/>
          <w:color w:val="auto"/>
          <w:sz w:val="18"/>
          <w:szCs w:val="18"/>
        </w:rPr>
      </w:pPr>
    </w:p>
    <w:p>
      <w:pPr>
        <w:snapToGrid w:val="0"/>
        <w:spacing w:before="120" w:beforeLines="50" w:after="50"/>
        <w:ind w:firstLine="360"/>
        <w:rPr>
          <w:rFonts w:cs="宋体"/>
          <w:b/>
          <w:color w:val="auto"/>
        </w:rPr>
      </w:pPr>
      <w:r>
        <w:rPr>
          <w:rFonts w:cs="宋体"/>
          <w:color w:val="auto"/>
          <w:sz w:val="18"/>
          <w:szCs w:val="18"/>
        </w:rPr>
        <w:t>1 从业人员、营业收入、资产总额填报上一年度数据，无上一年度数据的新成立企业可不填报。</w:t>
      </w:r>
    </w:p>
    <w:p>
      <w:pPr>
        <w:spacing w:line="588" w:lineRule="exact"/>
        <w:ind w:firstLine="600"/>
        <w:jc w:val="center"/>
        <w:rPr>
          <w:rFonts w:cs="宋体"/>
          <w:b/>
          <w:color w:val="auto"/>
        </w:rPr>
      </w:pPr>
      <w:r>
        <w:rPr>
          <w:rFonts w:cs="Arial"/>
          <w:color w:val="auto"/>
          <w:sz w:val="30"/>
          <w:szCs w:val="30"/>
        </w:rPr>
        <w:br w:type="page"/>
      </w:r>
      <w:r>
        <w:rPr>
          <w:rFonts w:hint="eastAsia" w:cs="宋体"/>
          <w:b/>
          <w:color w:val="auto"/>
        </w:rPr>
        <w:t>A5残疾人福利性单位声明函</w:t>
      </w:r>
    </w:p>
    <w:p>
      <w:pPr>
        <w:spacing w:line="588" w:lineRule="exact"/>
        <w:ind w:firstLine="626"/>
        <w:rPr>
          <w:rFonts w:cs="Arial"/>
          <w:b/>
          <w:color w:val="auto"/>
          <w:spacing w:val="6"/>
          <w:sz w:val="30"/>
          <w:szCs w:val="30"/>
        </w:rPr>
      </w:pPr>
    </w:p>
    <w:p>
      <w:pPr>
        <w:snapToGrid w:val="0"/>
        <w:ind w:firstLine="480"/>
        <w:rPr>
          <w:rFonts w:cs="宋体"/>
          <w:color w:val="auto"/>
        </w:rPr>
      </w:pPr>
      <w:r>
        <w:rPr>
          <w:rFonts w:hint="eastAsia" w:cs="宋体"/>
          <w:color w:va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ind w:firstLine="480"/>
        <w:rPr>
          <w:rFonts w:cs="宋体"/>
          <w:color w:val="auto"/>
        </w:rPr>
      </w:pPr>
      <w:r>
        <w:rPr>
          <w:rFonts w:hint="eastAsia" w:cs="宋体"/>
          <w:color w:val="auto"/>
        </w:rPr>
        <w:t>本单位对上述声明的真实性负责。如有虚假，将依法承担相应责任。</w:t>
      </w:r>
    </w:p>
    <w:p>
      <w:pPr>
        <w:snapToGrid w:val="0"/>
        <w:ind w:firstLine="480"/>
        <w:rPr>
          <w:rFonts w:cs="宋体"/>
          <w:color w:val="auto"/>
        </w:rPr>
      </w:pPr>
    </w:p>
    <w:p>
      <w:pPr>
        <w:spacing w:line="588" w:lineRule="exact"/>
        <w:ind w:firstLine="504"/>
        <w:rPr>
          <w:rFonts w:cs="宋体"/>
          <w:color w:val="auto"/>
          <w:spacing w:val="6"/>
        </w:rPr>
      </w:pPr>
    </w:p>
    <w:p>
      <w:pPr>
        <w:snapToGrid w:val="0"/>
        <w:ind w:firstLine="480"/>
        <w:jc w:val="right"/>
        <w:rPr>
          <w:rFonts w:cs="宋体"/>
          <w:color w:val="auto"/>
        </w:rPr>
      </w:pPr>
      <w:r>
        <w:rPr>
          <w:rFonts w:hint="eastAsia" w:cs="宋体"/>
          <w:color w:val="auto"/>
        </w:rPr>
        <w:t xml:space="preserve">      单位名称（盖章）：</w:t>
      </w:r>
    </w:p>
    <w:p>
      <w:pPr>
        <w:snapToGrid w:val="0"/>
        <w:ind w:firstLine="480"/>
        <w:jc w:val="right"/>
        <w:rPr>
          <w:rFonts w:cs="宋体"/>
          <w:color w:val="auto"/>
        </w:rPr>
      </w:pPr>
      <w:r>
        <w:rPr>
          <w:rFonts w:hint="eastAsia" w:cs="宋体"/>
          <w:color w:val="auto"/>
        </w:rPr>
        <w:t xml:space="preserve">       日  期：</w:t>
      </w:r>
    </w:p>
    <w:p>
      <w:pPr>
        <w:tabs>
          <w:tab w:val="left" w:pos="4860"/>
        </w:tabs>
        <w:spacing w:line="588" w:lineRule="exact"/>
        <w:ind w:right="1560" w:firstLine="504"/>
        <w:rPr>
          <w:rFonts w:cs="宋体"/>
          <w:color w:val="auto"/>
          <w:spacing w:val="6"/>
        </w:rPr>
      </w:pPr>
      <w:r>
        <w:rPr>
          <w:rFonts w:hint="eastAsia" w:cs="宋体"/>
          <w:color w:val="auto"/>
          <w:spacing w:val="6"/>
        </w:rPr>
        <w:t>填写说明：</w:t>
      </w:r>
    </w:p>
    <w:p>
      <w:pPr>
        <w:numPr>
          <w:ilvl w:val="0"/>
          <w:numId w:val="15"/>
        </w:numPr>
        <w:tabs>
          <w:tab w:val="left" w:pos="4860"/>
        </w:tabs>
        <w:ind w:right="106" w:firstLine="506"/>
        <w:rPr>
          <w:rFonts w:cs="宋体"/>
          <w:b/>
          <w:bCs/>
          <w:color w:val="auto"/>
        </w:rPr>
      </w:pPr>
      <w:r>
        <w:rPr>
          <w:rFonts w:hint="eastAsia" w:cs="宋体"/>
          <w:b/>
          <w:bCs/>
          <w:color w:val="auto"/>
          <w:spacing w:val="6"/>
        </w:rPr>
        <w:t>本声明是残疾人福利性单位的提供，其他不符合规定的单位禁止提供，中标、成交单位提供《残疾人福利性单位声明函》的，代理机构将在发布中标、成交公告时同时公告其《残疾人福利性单位声明函》，接受社会监督。</w:t>
      </w:r>
    </w:p>
    <w:p>
      <w:pPr>
        <w:numPr>
          <w:ilvl w:val="0"/>
          <w:numId w:val="15"/>
        </w:numPr>
        <w:tabs>
          <w:tab w:val="left" w:pos="4860"/>
        </w:tabs>
        <w:ind w:right="251" w:firstLine="480"/>
        <w:rPr>
          <w:rFonts w:cs="宋体"/>
          <w:color w:val="auto"/>
        </w:rPr>
      </w:pPr>
      <w:r>
        <w:rPr>
          <w:rFonts w:hint="eastAsia" w:cs="宋体"/>
          <w:color w:val="auto"/>
        </w:rPr>
        <w:t>享受政府采购支持政策的残疾人福利性单位应当同时满足以下条件：</w:t>
      </w:r>
    </w:p>
    <w:p>
      <w:pPr>
        <w:pStyle w:val="35"/>
        <w:rPr>
          <w:color w:val="auto"/>
          <w:sz w:val="20"/>
          <w:szCs w:val="20"/>
        </w:rPr>
      </w:pPr>
      <w:r>
        <w:rPr>
          <w:rFonts w:hint="eastAsia"/>
          <w:color w:val="auto"/>
          <w:sz w:val="20"/>
          <w:szCs w:val="20"/>
        </w:rPr>
        <w:t>　　（1）安置的残疾人占本单位在职职工人数的比例不低于210%（含210%），并且安置的残疾人人数不少于10人（含10人）；</w:t>
      </w:r>
    </w:p>
    <w:p>
      <w:pPr>
        <w:pStyle w:val="35"/>
        <w:rPr>
          <w:color w:val="auto"/>
          <w:sz w:val="20"/>
          <w:szCs w:val="20"/>
        </w:rPr>
      </w:pPr>
      <w:r>
        <w:rPr>
          <w:rFonts w:hint="eastAsia"/>
          <w:color w:val="auto"/>
          <w:sz w:val="20"/>
          <w:szCs w:val="20"/>
        </w:rPr>
        <w:t>　　（2）依法与安置的每位残疾人签订了一年以上（含一年）的劳动合同或服务协议；</w:t>
      </w:r>
    </w:p>
    <w:p>
      <w:pPr>
        <w:pStyle w:val="35"/>
        <w:rPr>
          <w:color w:val="auto"/>
          <w:sz w:val="20"/>
          <w:szCs w:val="20"/>
        </w:rPr>
      </w:pPr>
      <w:r>
        <w:rPr>
          <w:rFonts w:hint="eastAsia"/>
          <w:color w:val="auto"/>
          <w:sz w:val="20"/>
          <w:szCs w:val="20"/>
        </w:rPr>
        <w:t>　　（3）为安置的每位残疾人按月足额缴纳了基本养老保险、基本医疗保险、失业保险、工伤保险和生育保险等社会保险费；</w:t>
      </w:r>
    </w:p>
    <w:p>
      <w:pPr>
        <w:pStyle w:val="35"/>
        <w:rPr>
          <w:color w:val="auto"/>
          <w:sz w:val="20"/>
          <w:szCs w:val="20"/>
        </w:rPr>
      </w:pPr>
      <w:r>
        <w:rPr>
          <w:rFonts w:hint="eastAsia"/>
          <w:color w:val="auto"/>
          <w:sz w:val="20"/>
          <w:szCs w:val="20"/>
        </w:rPr>
        <w:t>　　（4）通过银行等金融机构向安置的每位残疾人，按月支付了不低于单位所在区县适用的经省级人民政府批准的月最低工资标准的工资；</w:t>
      </w:r>
    </w:p>
    <w:p>
      <w:pPr>
        <w:pStyle w:val="35"/>
        <w:rPr>
          <w:color w:val="auto"/>
          <w:sz w:val="20"/>
          <w:szCs w:val="20"/>
        </w:rPr>
      </w:pPr>
      <w:r>
        <w:rPr>
          <w:rFonts w:hint="eastAsia"/>
          <w:color w:val="auto"/>
          <w:sz w:val="20"/>
          <w:szCs w:val="20"/>
        </w:rPr>
        <w:t>　　（5）提供本单位制造的货物、承担的工程或者服务（以下简称产品），或者提供其他残疾人福利性单位制造的货物（不包括使用非残疾人福利性单位注册商标的货物）。</w:t>
      </w:r>
    </w:p>
    <w:p>
      <w:pPr>
        <w:pStyle w:val="35"/>
        <w:rPr>
          <w:rFonts w:cs="宋体"/>
          <w:color w:val="auto"/>
          <w:szCs w:val="21"/>
        </w:rPr>
      </w:pPr>
      <w:r>
        <w:rPr>
          <w:rFonts w:hint="eastAsia"/>
          <w:color w:val="auto"/>
          <w:sz w:val="20"/>
          <w:szCs w:val="20"/>
        </w:rPr>
        <w:t>　　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tabs>
          <w:tab w:val="left" w:pos="4860"/>
        </w:tabs>
        <w:spacing w:line="588" w:lineRule="exact"/>
        <w:ind w:right="1560" w:firstLine="480"/>
        <w:rPr>
          <w:rFonts w:cs="宋体"/>
          <w:color w:val="auto"/>
          <w:szCs w:val="21"/>
        </w:rPr>
        <w:sectPr>
          <w:pgSz w:w="11906" w:h="16838"/>
          <w:pgMar w:top="1440" w:right="1106" w:bottom="1440" w:left="1622" w:header="851" w:footer="851" w:gutter="0"/>
          <w:pgBorders>
            <w:top w:val="none" w:sz="0" w:space="0"/>
            <w:left w:val="none" w:sz="0" w:space="0"/>
            <w:bottom w:val="none" w:sz="0" w:space="0"/>
            <w:right w:val="none" w:sz="0" w:space="0"/>
          </w:pgBorders>
          <w:cols w:space="720" w:num="1"/>
          <w:docGrid w:linePitch="312" w:charSpace="0"/>
        </w:sectPr>
      </w:pPr>
    </w:p>
    <w:tbl>
      <w:tblPr>
        <w:tblStyle w:val="39"/>
        <w:tblW w:w="0" w:type="auto"/>
        <w:tblInd w:w="-176" w:type="dxa"/>
        <w:tblLayout w:type="fixed"/>
        <w:tblCellMar>
          <w:top w:w="0" w:type="dxa"/>
          <w:left w:w="108" w:type="dxa"/>
          <w:bottom w:w="0" w:type="dxa"/>
          <w:right w:w="108" w:type="dxa"/>
        </w:tblCellMar>
      </w:tblPr>
      <w:tblGrid>
        <w:gridCol w:w="1985"/>
        <w:gridCol w:w="1498"/>
        <w:gridCol w:w="1763"/>
        <w:gridCol w:w="1660"/>
        <w:gridCol w:w="1240"/>
        <w:gridCol w:w="1562"/>
        <w:gridCol w:w="1590"/>
        <w:gridCol w:w="1285"/>
        <w:gridCol w:w="1275"/>
        <w:gridCol w:w="1069"/>
        <w:gridCol w:w="152"/>
      </w:tblGrid>
      <w:tr>
        <w:tblPrEx>
          <w:tblCellMar>
            <w:top w:w="0" w:type="dxa"/>
            <w:left w:w="108" w:type="dxa"/>
            <w:bottom w:w="0" w:type="dxa"/>
            <w:right w:w="108" w:type="dxa"/>
          </w:tblCellMar>
        </w:tblPrEx>
        <w:trPr>
          <w:gridAfter w:val="1"/>
          <w:wAfter w:w="152" w:type="dxa"/>
          <w:trHeight w:val="420" w:hRule="atLeast"/>
        </w:trPr>
        <w:tc>
          <w:tcPr>
            <w:tcW w:w="14927" w:type="dxa"/>
            <w:gridSpan w:val="10"/>
            <w:tcBorders>
              <w:top w:val="nil"/>
              <w:left w:val="nil"/>
              <w:bottom w:val="nil"/>
              <w:right w:val="nil"/>
            </w:tcBorders>
            <w:noWrap w:val="0"/>
            <w:vAlign w:val="bottom"/>
          </w:tcPr>
          <w:p>
            <w:pPr>
              <w:ind w:firstLine="281"/>
              <w:jc w:val="center"/>
              <w:rPr>
                <w:rFonts w:cs="宋体"/>
                <w:b/>
                <w:bCs/>
                <w:color w:val="auto"/>
                <w:sz w:val="14"/>
                <w:szCs w:val="14"/>
              </w:rPr>
            </w:pPr>
            <w:r>
              <w:rPr>
                <w:rFonts w:hint="eastAsia" w:cs="宋体"/>
                <w:b/>
                <w:bCs/>
                <w:color w:val="auto"/>
                <w:sz w:val="14"/>
                <w:szCs w:val="14"/>
              </w:rPr>
              <w:t>中小微行业划型标准规定（根据工信部联企业〔2011〕300号制定）</w:t>
            </w:r>
          </w:p>
        </w:tc>
      </w:tr>
      <w:tr>
        <w:tblPrEx>
          <w:tblCellMar>
            <w:top w:w="0" w:type="dxa"/>
            <w:left w:w="108" w:type="dxa"/>
            <w:bottom w:w="0" w:type="dxa"/>
            <w:right w:w="108" w:type="dxa"/>
          </w:tblCellMar>
        </w:tblPrEx>
        <w:trPr>
          <w:trHeight w:val="465" w:hRule="atLeast"/>
        </w:trPr>
        <w:tc>
          <w:tcPr>
            <w:tcW w:w="1985" w:type="dxa"/>
            <w:vMerge w:val="restart"/>
            <w:tcBorders>
              <w:top w:val="single" w:color="auto" w:sz="8" w:space="0"/>
              <w:left w:val="single" w:color="auto" w:sz="8" w:space="0"/>
              <w:bottom w:val="single" w:color="000000" w:sz="4" w:space="0"/>
              <w:right w:val="single" w:color="auto" w:sz="8" w:space="0"/>
            </w:tcBorders>
            <w:noWrap w:val="0"/>
            <w:vAlign w:val="center"/>
          </w:tcPr>
          <w:p>
            <w:pPr>
              <w:ind w:firstLine="281"/>
              <w:jc w:val="center"/>
              <w:rPr>
                <w:rFonts w:cs="宋体"/>
                <w:b/>
                <w:bCs/>
                <w:color w:val="auto"/>
                <w:sz w:val="14"/>
                <w:szCs w:val="14"/>
              </w:rPr>
            </w:pPr>
            <w:r>
              <w:rPr>
                <w:rFonts w:hint="eastAsia" w:cs="宋体"/>
                <w:b/>
                <w:bCs/>
                <w:color w:val="auto"/>
                <w:sz w:val="14"/>
                <w:szCs w:val="14"/>
              </w:rPr>
              <w:t>行业</w:t>
            </w:r>
          </w:p>
        </w:tc>
        <w:tc>
          <w:tcPr>
            <w:tcW w:w="4921" w:type="dxa"/>
            <w:gridSpan w:val="3"/>
            <w:tcBorders>
              <w:top w:val="single" w:color="auto" w:sz="8" w:space="0"/>
              <w:left w:val="nil"/>
              <w:bottom w:val="single" w:color="auto" w:sz="4" w:space="0"/>
              <w:right w:val="single" w:color="000000" w:sz="8" w:space="0"/>
            </w:tcBorders>
            <w:noWrap w:val="0"/>
            <w:vAlign w:val="bottom"/>
          </w:tcPr>
          <w:p>
            <w:pPr>
              <w:ind w:firstLine="281"/>
              <w:jc w:val="center"/>
              <w:rPr>
                <w:rFonts w:cs="宋体"/>
                <w:b/>
                <w:bCs/>
                <w:color w:val="auto"/>
                <w:sz w:val="14"/>
                <w:szCs w:val="14"/>
              </w:rPr>
            </w:pPr>
            <w:r>
              <w:rPr>
                <w:rFonts w:hint="eastAsia" w:cs="宋体"/>
                <w:b/>
                <w:bCs/>
                <w:color w:val="auto"/>
                <w:sz w:val="14"/>
                <w:szCs w:val="14"/>
              </w:rPr>
              <w:t>中型企业</w:t>
            </w:r>
          </w:p>
        </w:tc>
        <w:tc>
          <w:tcPr>
            <w:tcW w:w="4392" w:type="dxa"/>
            <w:gridSpan w:val="3"/>
            <w:tcBorders>
              <w:top w:val="single" w:color="auto" w:sz="8" w:space="0"/>
              <w:left w:val="nil"/>
              <w:bottom w:val="single" w:color="auto" w:sz="4" w:space="0"/>
              <w:right w:val="single" w:color="000000" w:sz="8" w:space="0"/>
            </w:tcBorders>
            <w:noWrap w:val="0"/>
            <w:vAlign w:val="bottom"/>
          </w:tcPr>
          <w:p>
            <w:pPr>
              <w:ind w:firstLine="281"/>
              <w:jc w:val="center"/>
              <w:rPr>
                <w:rFonts w:cs="宋体"/>
                <w:b/>
                <w:bCs/>
                <w:color w:val="auto"/>
                <w:sz w:val="14"/>
                <w:szCs w:val="14"/>
              </w:rPr>
            </w:pPr>
            <w:r>
              <w:rPr>
                <w:rFonts w:hint="eastAsia" w:cs="宋体"/>
                <w:b/>
                <w:bCs/>
                <w:color w:val="auto"/>
                <w:sz w:val="14"/>
                <w:szCs w:val="14"/>
              </w:rPr>
              <w:t>小型企业</w:t>
            </w:r>
          </w:p>
        </w:tc>
        <w:tc>
          <w:tcPr>
            <w:tcW w:w="3781" w:type="dxa"/>
            <w:gridSpan w:val="4"/>
            <w:tcBorders>
              <w:top w:val="single" w:color="auto" w:sz="8" w:space="0"/>
              <w:left w:val="nil"/>
              <w:bottom w:val="single" w:color="auto" w:sz="4" w:space="0"/>
              <w:right w:val="single" w:color="000000" w:sz="8" w:space="0"/>
            </w:tcBorders>
            <w:noWrap w:val="0"/>
            <w:vAlign w:val="bottom"/>
          </w:tcPr>
          <w:p>
            <w:pPr>
              <w:ind w:firstLine="281"/>
              <w:jc w:val="center"/>
              <w:rPr>
                <w:rFonts w:cs="宋体"/>
                <w:b/>
                <w:bCs/>
                <w:color w:val="auto"/>
                <w:sz w:val="14"/>
                <w:szCs w:val="14"/>
              </w:rPr>
            </w:pPr>
            <w:r>
              <w:rPr>
                <w:rFonts w:hint="eastAsia" w:cs="宋体"/>
                <w:b/>
                <w:bCs/>
                <w:color w:val="auto"/>
                <w:sz w:val="14"/>
                <w:szCs w:val="14"/>
              </w:rPr>
              <w:t>微型企业</w:t>
            </w:r>
          </w:p>
        </w:tc>
      </w:tr>
      <w:tr>
        <w:tblPrEx>
          <w:tblCellMar>
            <w:top w:w="0" w:type="dxa"/>
            <w:left w:w="108" w:type="dxa"/>
            <w:bottom w:w="0" w:type="dxa"/>
            <w:right w:w="108" w:type="dxa"/>
          </w:tblCellMar>
        </w:tblPrEx>
        <w:trPr>
          <w:trHeight w:val="525" w:hRule="atLeast"/>
        </w:trPr>
        <w:tc>
          <w:tcPr>
            <w:tcW w:w="1985" w:type="dxa"/>
            <w:vMerge w:val="continue"/>
            <w:tcBorders>
              <w:top w:val="single" w:color="auto" w:sz="8" w:space="0"/>
              <w:left w:val="single" w:color="auto" w:sz="8" w:space="0"/>
              <w:bottom w:val="single" w:color="000000" w:sz="4" w:space="0"/>
              <w:right w:val="single" w:color="auto" w:sz="8" w:space="0"/>
            </w:tcBorders>
            <w:noWrap w:val="0"/>
            <w:vAlign w:val="center"/>
          </w:tcPr>
          <w:p>
            <w:pPr>
              <w:ind w:firstLine="281"/>
              <w:rPr>
                <w:rFonts w:cs="宋体"/>
                <w:b/>
                <w:bCs/>
                <w:color w:val="auto"/>
                <w:sz w:val="14"/>
                <w:szCs w:val="14"/>
              </w:rPr>
            </w:pPr>
          </w:p>
        </w:tc>
        <w:tc>
          <w:tcPr>
            <w:tcW w:w="1498" w:type="dxa"/>
            <w:tcBorders>
              <w:top w:val="nil"/>
              <w:left w:val="nil"/>
              <w:bottom w:val="single" w:color="auto" w:sz="4" w:space="0"/>
              <w:right w:val="single" w:color="auto" w:sz="4" w:space="0"/>
            </w:tcBorders>
            <w:noWrap w:val="0"/>
            <w:vAlign w:val="bottom"/>
          </w:tcPr>
          <w:p>
            <w:pPr>
              <w:ind w:firstLine="280"/>
              <w:jc w:val="center"/>
              <w:rPr>
                <w:rFonts w:cs="宋体"/>
                <w:color w:val="auto"/>
                <w:sz w:val="14"/>
                <w:szCs w:val="14"/>
              </w:rPr>
            </w:pPr>
            <w:r>
              <w:rPr>
                <w:rFonts w:hint="eastAsia" w:cs="宋体"/>
                <w:color w:val="auto"/>
                <w:sz w:val="14"/>
                <w:szCs w:val="14"/>
              </w:rPr>
              <w:t>从业人员X（人）</w:t>
            </w:r>
          </w:p>
        </w:tc>
        <w:tc>
          <w:tcPr>
            <w:tcW w:w="1763" w:type="dxa"/>
            <w:tcBorders>
              <w:top w:val="nil"/>
              <w:left w:val="nil"/>
              <w:bottom w:val="single" w:color="auto" w:sz="4" w:space="0"/>
              <w:right w:val="single" w:color="auto" w:sz="4" w:space="0"/>
            </w:tcBorders>
            <w:noWrap w:val="0"/>
            <w:vAlign w:val="bottom"/>
          </w:tcPr>
          <w:p>
            <w:pPr>
              <w:ind w:firstLine="280"/>
              <w:jc w:val="center"/>
              <w:rPr>
                <w:rFonts w:cs="宋体"/>
                <w:color w:val="auto"/>
                <w:sz w:val="14"/>
                <w:szCs w:val="14"/>
              </w:rPr>
            </w:pPr>
            <w:r>
              <w:rPr>
                <w:rFonts w:hint="eastAsia" w:cs="宋体"/>
                <w:color w:val="auto"/>
                <w:sz w:val="14"/>
                <w:szCs w:val="14"/>
              </w:rPr>
              <w:t>营业收入Y</w:t>
            </w:r>
          </w:p>
          <w:p>
            <w:pPr>
              <w:ind w:firstLine="280"/>
              <w:jc w:val="center"/>
              <w:rPr>
                <w:rFonts w:cs="宋体"/>
                <w:color w:val="auto"/>
                <w:sz w:val="14"/>
                <w:szCs w:val="14"/>
              </w:rPr>
            </w:pPr>
            <w:r>
              <w:rPr>
                <w:rFonts w:hint="eastAsia" w:cs="宋体"/>
                <w:color w:val="auto"/>
                <w:sz w:val="14"/>
                <w:szCs w:val="14"/>
              </w:rPr>
              <w:t>（万元）</w:t>
            </w:r>
          </w:p>
        </w:tc>
        <w:tc>
          <w:tcPr>
            <w:tcW w:w="1660" w:type="dxa"/>
            <w:tcBorders>
              <w:top w:val="nil"/>
              <w:left w:val="nil"/>
              <w:bottom w:val="single" w:color="auto" w:sz="4" w:space="0"/>
              <w:right w:val="single" w:color="auto" w:sz="8" w:space="0"/>
            </w:tcBorders>
            <w:noWrap w:val="0"/>
            <w:vAlign w:val="bottom"/>
          </w:tcPr>
          <w:p>
            <w:pPr>
              <w:ind w:firstLine="280"/>
              <w:jc w:val="center"/>
              <w:rPr>
                <w:rFonts w:cs="宋体"/>
                <w:color w:val="auto"/>
                <w:sz w:val="14"/>
                <w:szCs w:val="14"/>
              </w:rPr>
            </w:pPr>
            <w:r>
              <w:rPr>
                <w:rFonts w:hint="eastAsia" w:cs="宋体"/>
                <w:color w:val="auto"/>
                <w:sz w:val="14"/>
                <w:szCs w:val="14"/>
              </w:rPr>
              <w:t>资产总额Z</w:t>
            </w:r>
          </w:p>
          <w:p>
            <w:pPr>
              <w:ind w:firstLine="280"/>
              <w:jc w:val="center"/>
              <w:rPr>
                <w:rFonts w:cs="宋体"/>
                <w:color w:val="auto"/>
                <w:sz w:val="14"/>
                <w:szCs w:val="14"/>
              </w:rPr>
            </w:pPr>
            <w:r>
              <w:rPr>
                <w:rFonts w:hint="eastAsia" w:cs="宋体"/>
                <w:color w:val="auto"/>
                <w:sz w:val="14"/>
                <w:szCs w:val="14"/>
              </w:rPr>
              <w:t>（万元）</w:t>
            </w:r>
          </w:p>
        </w:tc>
        <w:tc>
          <w:tcPr>
            <w:tcW w:w="1240" w:type="dxa"/>
            <w:tcBorders>
              <w:top w:val="nil"/>
              <w:left w:val="nil"/>
              <w:bottom w:val="single" w:color="auto" w:sz="4" w:space="0"/>
              <w:right w:val="single" w:color="auto" w:sz="4" w:space="0"/>
            </w:tcBorders>
            <w:noWrap w:val="0"/>
            <w:vAlign w:val="bottom"/>
          </w:tcPr>
          <w:p>
            <w:pPr>
              <w:ind w:firstLine="280"/>
              <w:jc w:val="center"/>
              <w:rPr>
                <w:rFonts w:cs="宋体"/>
                <w:color w:val="auto"/>
                <w:sz w:val="14"/>
                <w:szCs w:val="14"/>
              </w:rPr>
            </w:pPr>
            <w:r>
              <w:rPr>
                <w:rFonts w:hint="eastAsia" w:cs="宋体"/>
                <w:color w:val="auto"/>
                <w:sz w:val="14"/>
                <w:szCs w:val="14"/>
              </w:rPr>
              <w:t>从业人员X（人）</w:t>
            </w:r>
          </w:p>
        </w:tc>
        <w:tc>
          <w:tcPr>
            <w:tcW w:w="1562" w:type="dxa"/>
            <w:tcBorders>
              <w:top w:val="nil"/>
              <w:left w:val="nil"/>
              <w:bottom w:val="single" w:color="auto" w:sz="4" w:space="0"/>
              <w:right w:val="single" w:color="auto" w:sz="4" w:space="0"/>
            </w:tcBorders>
            <w:noWrap w:val="0"/>
            <w:vAlign w:val="bottom"/>
          </w:tcPr>
          <w:p>
            <w:pPr>
              <w:ind w:firstLine="280"/>
              <w:jc w:val="center"/>
              <w:rPr>
                <w:rFonts w:cs="宋体"/>
                <w:color w:val="auto"/>
                <w:sz w:val="14"/>
                <w:szCs w:val="14"/>
              </w:rPr>
            </w:pPr>
            <w:r>
              <w:rPr>
                <w:rFonts w:hint="eastAsia" w:cs="宋体"/>
                <w:color w:val="auto"/>
                <w:sz w:val="14"/>
                <w:szCs w:val="14"/>
              </w:rPr>
              <w:t>营业收入Y</w:t>
            </w:r>
          </w:p>
          <w:p>
            <w:pPr>
              <w:ind w:firstLine="280"/>
              <w:jc w:val="center"/>
              <w:rPr>
                <w:rFonts w:cs="宋体"/>
                <w:color w:val="auto"/>
                <w:sz w:val="14"/>
                <w:szCs w:val="14"/>
              </w:rPr>
            </w:pPr>
            <w:r>
              <w:rPr>
                <w:rFonts w:hint="eastAsia" w:cs="宋体"/>
                <w:color w:val="auto"/>
                <w:sz w:val="14"/>
                <w:szCs w:val="14"/>
              </w:rPr>
              <w:t>（万元）</w:t>
            </w:r>
          </w:p>
        </w:tc>
        <w:tc>
          <w:tcPr>
            <w:tcW w:w="1590" w:type="dxa"/>
            <w:tcBorders>
              <w:top w:val="nil"/>
              <w:left w:val="nil"/>
              <w:bottom w:val="single" w:color="auto" w:sz="4" w:space="0"/>
              <w:right w:val="single" w:color="auto" w:sz="8" w:space="0"/>
            </w:tcBorders>
            <w:noWrap w:val="0"/>
            <w:vAlign w:val="bottom"/>
          </w:tcPr>
          <w:p>
            <w:pPr>
              <w:ind w:firstLine="280"/>
              <w:jc w:val="center"/>
              <w:rPr>
                <w:rFonts w:cs="宋体"/>
                <w:color w:val="auto"/>
                <w:sz w:val="14"/>
                <w:szCs w:val="14"/>
              </w:rPr>
            </w:pPr>
            <w:r>
              <w:rPr>
                <w:rFonts w:hint="eastAsia" w:cs="宋体"/>
                <w:color w:val="auto"/>
                <w:sz w:val="14"/>
                <w:szCs w:val="14"/>
              </w:rPr>
              <w:t>资产总额Z</w:t>
            </w:r>
          </w:p>
          <w:p>
            <w:pPr>
              <w:ind w:firstLine="280"/>
              <w:jc w:val="center"/>
              <w:rPr>
                <w:rFonts w:cs="宋体"/>
                <w:color w:val="auto"/>
                <w:sz w:val="14"/>
                <w:szCs w:val="14"/>
              </w:rPr>
            </w:pPr>
            <w:r>
              <w:rPr>
                <w:rFonts w:hint="eastAsia" w:cs="宋体"/>
                <w:color w:val="auto"/>
                <w:sz w:val="14"/>
                <w:szCs w:val="14"/>
              </w:rPr>
              <w:t>（万元）</w:t>
            </w:r>
          </w:p>
        </w:tc>
        <w:tc>
          <w:tcPr>
            <w:tcW w:w="1285" w:type="dxa"/>
            <w:tcBorders>
              <w:top w:val="nil"/>
              <w:left w:val="nil"/>
              <w:bottom w:val="single" w:color="auto" w:sz="4" w:space="0"/>
              <w:right w:val="single" w:color="auto" w:sz="4" w:space="0"/>
            </w:tcBorders>
            <w:noWrap w:val="0"/>
            <w:vAlign w:val="bottom"/>
          </w:tcPr>
          <w:p>
            <w:pPr>
              <w:ind w:firstLine="280"/>
              <w:jc w:val="center"/>
              <w:rPr>
                <w:rFonts w:cs="宋体"/>
                <w:color w:val="auto"/>
                <w:sz w:val="14"/>
                <w:szCs w:val="14"/>
              </w:rPr>
            </w:pPr>
            <w:r>
              <w:rPr>
                <w:rFonts w:hint="eastAsia" w:cs="宋体"/>
                <w:color w:val="auto"/>
                <w:sz w:val="14"/>
                <w:szCs w:val="14"/>
              </w:rPr>
              <w:t>从业人员X（人）</w:t>
            </w:r>
          </w:p>
        </w:tc>
        <w:tc>
          <w:tcPr>
            <w:tcW w:w="1275" w:type="dxa"/>
            <w:tcBorders>
              <w:top w:val="nil"/>
              <w:left w:val="nil"/>
              <w:bottom w:val="single" w:color="auto" w:sz="4" w:space="0"/>
              <w:right w:val="single" w:color="auto" w:sz="4" w:space="0"/>
            </w:tcBorders>
            <w:noWrap w:val="0"/>
            <w:vAlign w:val="bottom"/>
          </w:tcPr>
          <w:p>
            <w:pPr>
              <w:ind w:firstLine="280"/>
              <w:jc w:val="center"/>
              <w:rPr>
                <w:rFonts w:cs="宋体"/>
                <w:color w:val="auto"/>
                <w:sz w:val="14"/>
                <w:szCs w:val="14"/>
              </w:rPr>
            </w:pPr>
            <w:r>
              <w:rPr>
                <w:rFonts w:hint="eastAsia" w:cs="宋体"/>
                <w:color w:val="auto"/>
                <w:sz w:val="14"/>
                <w:szCs w:val="14"/>
              </w:rPr>
              <w:t>营业收入Y（万元）</w:t>
            </w:r>
          </w:p>
        </w:tc>
        <w:tc>
          <w:tcPr>
            <w:tcW w:w="1221" w:type="dxa"/>
            <w:gridSpan w:val="2"/>
            <w:tcBorders>
              <w:top w:val="nil"/>
              <w:left w:val="nil"/>
              <w:bottom w:val="single" w:color="auto" w:sz="4" w:space="0"/>
              <w:right w:val="single" w:color="auto" w:sz="8" w:space="0"/>
            </w:tcBorders>
            <w:noWrap w:val="0"/>
            <w:vAlign w:val="bottom"/>
          </w:tcPr>
          <w:p>
            <w:pPr>
              <w:ind w:firstLine="280"/>
              <w:jc w:val="center"/>
              <w:rPr>
                <w:rFonts w:cs="宋体"/>
                <w:color w:val="auto"/>
                <w:sz w:val="14"/>
                <w:szCs w:val="14"/>
              </w:rPr>
            </w:pPr>
            <w:r>
              <w:rPr>
                <w:rFonts w:hint="eastAsia" w:cs="宋体"/>
                <w:color w:val="auto"/>
                <w:sz w:val="14"/>
                <w:szCs w:val="14"/>
              </w:rPr>
              <w:t>资产总额Z（万元）</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1、农林牧渔业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xml:space="preserve"> 500≤Y＜20000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xml:space="preserve"> 50≤Y＜500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Y＜50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2、工业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300≤X＜1000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2000≤Y＜40000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20≤X＜300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300≤Y＜2000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X＜20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Y＜300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3、建筑业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6000≤Y＜80000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5000≤Z＜80000</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300≤Y＜6000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300≤Z＜5000</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Y＜300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Z＜300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4、批发业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xml:space="preserve"> 20≤X＜200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5000≤Y＜40000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xml:space="preserve"> 5≤X＜20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1000≤Y＜5000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X＜5</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Y＜1000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5、零售业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xml:space="preserve"> 50≤X＜300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xml:space="preserve"> 500≤Y＜20000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10≤X＜50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100≤Y＜500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6、交通运输业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300≤X＜1000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3000≤Y＜30000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20≤X＜300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200≤Y＜3000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X＜20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V＜200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7、仓储业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100≤X＜200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1000≤Y＜30000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20≤X＜100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100≤Y＜1000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X＜20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8、邮政业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300≤X＜1000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2000≤Y＜30000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20≤X＜300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100≤Y＜2000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X＜20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9、住宿业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100≤X＜300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2000≤Y＜10000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100≤Y＜2000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10、餐饮业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100≤X＜300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2000≤Y＜10000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100≤Y＜2000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V＜100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11、信息传输业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100≤X＜2000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1000≤Y＜100000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100≤Y＜1000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12、软件和信息技术服务业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100≤X＜300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1000≤Y＜10000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xml:space="preserve"> 50≤Y＜1000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Y＜50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13、房地产开发经营</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1000≤Y＜200000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5000≤Z＜10000</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100≤Y＜1000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2000≤Z＜5000</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Y＜100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Z＜2000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14、物业管理</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300≤X＜1000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1000≤Y＜5000</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4" w:space="0"/>
              <w:right w:val="single" w:color="auto" w:sz="4" w:space="0"/>
            </w:tcBorders>
            <w:noWrap w:val="0"/>
            <w:vAlign w:val="bottom"/>
          </w:tcPr>
          <w:p>
            <w:pPr>
              <w:ind w:left="0" w:leftChars="0" w:firstLine="0" w:firstLineChars="0"/>
              <w:rPr>
                <w:rFonts w:cs="宋体"/>
                <w:color w:val="auto"/>
                <w:sz w:val="14"/>
                <w:szCs w:val="14"/>
              </w:rPr>
            </w:pPr>
            <w:r>
              <w:rPr>
                <w:rFonts w:hint="eastAsia" w:cs="宋体"/>
                <w:color w:val="auto"/>
                <w:sz w:val="14"/>
                <w:szCs w:val="14"/>
              </w:rPr>
              <w:t>100≤X＜300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500≤Y＜1000</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X＜100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Y＜500</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15、租赁和商务服务业</w:t>
            </w:r>
          </w:p>
        </w:tc>
        <w:tc>
          <w:tcPr>
            <w:tcW w:w="1498"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100≤X＜300</w:t>
            </w:r>
          </w:p>
        </w:tc>
        <w:tc>
          <w:tcPr>
            <w:tcW w:w="1763"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66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8000≤Z＜120000</w:t>
            </w:r>
          </w:p>
        </w:tc>
        <w:tc>
          <w:tcPr>
            <w:tcW w:w="1240"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590" w:type="dxa"/>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xml:space="preserve"> 100≤Z＜8000</w:t>
            </w:r>
          </w:p>
        </w:tc>
        <w:tc>
          <w:tcPr>
            <w:tcW w:w="128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4"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221" w:type="dxa"/>
            <w:gridSpan w:val="2"/>
            <w:tcBorders>
              <w:top w:val="nil"/>
              <w:left w:val="nil"/>
              <w:bottom w:val="single" w:color="auto" w:sz="4"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Z＜100</w:t>
            </w:r>
          </w:p>
        </w:tc>
      </w:tr>
      <w:tr>
        <w:tblPrEx>
          <w:tblCellMar>
            <w:top w:w="0" w:type="dxa"/>
            <w:left w:w="108" w:type="dxa"/>
            <w:bottom w:w="0" w:type="dxa"/>
            <w:right w:w="108" w:type="dxa"/>
          </w:tblCellMar>
        </w:tblPrEx>
        <w:trPr>
          <w:trHeight w:val="360" w:hRule="atLeast"/>
        </w:trPr>
        <w:tc>
          <w:tcPr>
            <w:tcW w:w="1985" w:type="dxa"/>
            <w:tcBorders>
              <w:top w:val="nil"/>
              <w:left w:val="single" w:color="auto" w:sz="8" w:space="0"/>
              <w:bottom w:val="single" w:color="auto" w:sz="8"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16、其他未列明行业</w:t>
            </w:r>
          </w:p>
        </w:tc>
        <w:tc>
          <w:tcPr>
            <w:tcW w:w="1498" w:type="dxa"/>
            <w:tcBorders>
              <w:top w:val="nil"/>
              <w:left w:val="nil"/>
              <w:bottom w:val="single" w:color="auto" w:sz="8"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100≤X＜300</w:t>
            </w:r>
          </w:p>
        </w:tc>
        <w:tc>
          <w:tcPr>
            <w:tcW w:w="1763" w:type="dxa"/>
            <w:tcBorders>
              <w:top w:val="nil"/>
              <w:left w:val="nil"/>
              <w:bottom w:val="single" w:color="auto" w:sz="8"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660" w:type="dxa"/>
            <w:tcBorders>
              <w:top w:val="nil"/>
              <w:left w:val="nil"/>
              <w:bottom w:val="single" w:color="auto" w:sz="8"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40" w:type="dxa"/>
            <w:tcBorders>
              <w:top w:val="nil"/>
              <w:left w:val="nil"/>
              <w:bottom w:val="single" w:color="auto" w:sz="8"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10≤X＜100</w:t>
            </w:r>
          </w:p>
        </w:tc>
        <w:tc>
          <w:tcPr>
            <w:tcW w:w="1562" w:type="dxa"/>
            <w:tcBorders>
              <w:top w:val="nil"/>
              <w:left w:val="nil"/>
              <w:bottom w:val="single" w:color="auto" w:sz="8"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590" w:type="dxa"/>
            <w:tcBorders>
              <w:top w:val="nil"/>
              <w:left w:val="nil"/>
              <w:bottom w:val="single" w:color="auto" w:sz="8"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c>
          <w:tcPr>
            <w:tcW w:w="1285" w:type="dxa"/>
            <w:tcBorders>
              <w:top w:val="nil"/>
              <w:left w:val="nil"/>
              <w:bottom w:val="single" w:color="auto" w:sz="8"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X＜10</w:t>
            </w:r>
          </w:p>
        </w:tc>
        <w:tc>
          <w:tcPr>
            <w:tcW w:w="1275" w:type="dxa"/>
            <w:tcBorders>
              <w:top w:val="nil"/>
              <w:left w:val="nil"/>
              <w:bottom w:val="single" w:color="auto" w:sz="8" w:space="0"/>
              <w:right w:val="single" w:color="auto" w:sz="4" w:space="0"/>
            </w:tcBorders>
            <w:noWrap w:val="0"/>
            <w:vAlign w:val="bottom"/>
          </w:tcPr>
          <w:p>
            <w:pPr>
              <w:ind w:firstLine="280"/>
              <w:rPr>
                <w:rFonts w:cs="宋体"/>
                <w:color w:val="auto"/>
                <w:sz w:val="14"/>
                <w:szCs w:val="14"/>
              </w:rPr>
            </w:pPr>
            <w:r>
              <w:rPr>
                <w:rFonts w:hint="eastAsia" w:cs="宋体"/>
                <w:color w:val="auto"/>
                <w:sz w:val="14"/>
                <w:szCs w:val="14"/>
              </w:rPr>
              <w:t>　</w:t>
            </w:r>
          </w:p>
        </w:tc>
        <w:tc>
          <w:tcPr>
            <w:tcW w:w="1221" w:type="dxa"/>
            <w:gridSpan w:val="2"/>
            <w:tcBorders>
              <w:top w:val="nil"/>
              <w:left w:val="nil"/>
              <w:bottom w:val="single" w:color="auto" w:sz="8" w:space="0"/>
              <w:right w:val="single" w:color="auto" w:sz="8" w:space="0"/>
            </w:tcBorders>
            <w:noWrap w:val="0"/>
            <w:vAlign w:val="bottom"/>
          </w:tcPr>
          <w:p>
            <w:pPr>
              <w:ind w:firstLine="280"/>
              <w:rPr>
                <w:rFonts w:cs="宋体"/>
                <w:color w:val="auto"/>
                <w:sz w:val="14"/>
                <w:szCs w:val="14"/>
              </w:rPr>
            </w:pPr>
            <w:r>
              <w:rPr>
                <w:rFonts w:hint="eastAsia" w:cs="宋体"/>
                <w:color w:val="auto"/>
                <w:sz w:val="14"/>
                <w:szCs w:val="14"/>
              </w:rPr>
              <w:t>　</w:t>
            </w:r>
          </w:p>
        </w:tc>
      </w:tr>
      <w:tr>
        <w:tblPrEx>
          <w:tblCellMar>
            <w:top w:w="0" w:type="dxa"/>
            <w:left w:w="108" w:type="dxa"/>
            <w:bottom w:w="0" w:type="dxa"/>
            <w:right w:w="108" w:type="dxa"/>
          </w:tblCellMar>
        </w:tblPrEx>
        <w:trPr>
          <w:gridAfter w:val="1"/>
          <w:wAfter w:w="152" w:type="dxa"/>
          <w:trHeight w:val="285" w:hRule="atLeast"/>
        </w:trPr>
        <w:tc>
          <w:tcPr>
            <w:tcW w:w="14927" w:type="dxa"/>
            <w:gridSpan w:val="10"/>
            <w:tcBorders>
              <w:top w:val="nil"/>
              <w:left w:val="nil"/>
              <w:bottom w:val="nil"/>
              <w:right w:val="nil"/>
            </w:tcBorders>
            <w:noWrap w:val="0"/>
            <w:vAlign w:val="bottom"/>
          </w:tcPr>
          <w:p>
            <w:pPr>
              <w:ind w:firstLine="280"/>
              <w:rPr>
                <w:rFonts w:cs="宋体"/>
                <w:color w:val="auto"/>
                <w:sz w:val="14"/>
                <w:szCs w:val="14"/>
              </w:rPr>
            </w:pPr>
            <w:r>
              <w:rPr>
                <w:rFonts w:hint="eastAsia" w:cs="宋体"/>
                <w:color w:val="auto"/>
                <w:sz w:val="14"/>
                <w:szCs w:val="14"/>
              </w:rPr>
              <w:t>说明　1、企业类型的划分以统计部门的统计数据为依据。</w:t>
            </w:r>
          </w:p>
          <w:p>
            <w:pPr>
              <w:numPr>
                <w:ilvl w:val="0"/>
                <w:numId w:val="16"/>
              </w:numPr>
              <w:ind w:firstLine="420" w:firstLineChars="300"/>
              <w:rPr>
                <w:rFonts w:cs="宋体"/>
                <w:color w:val="auto"/>
                <w:sz w:val="14"/>
                <w:szCs w:val="14"/>
              </w:rPr>
            </w:pPr>
            <w:r>
              <w:rPr>
                <w:rFonts w:hint="eastAsia" w:cs="宋体"/>
                <w:color w:val="auto"/>
                <w:sz w:val="14"/>
                <w:szCs w:val="14"/>
              </w:rPr>
              <w:t>个体工商户和本规定以外的行业，参照本规定进行划型。</w:t>
            </w:r>
          </w:p>
          <w:p>
            <w:pPr>
              <w:numPr>
                <w:ilvl w:val="0"/>
                <w:numId w:val="16"/>
              </w:numPr>
              <w:ind w:firstLine="420" w:firstLineChars="300"/>
              <w:rPr>
                <w:rFonts w:cs="宋体"/>
                <w:color w:val="auto"/>
                <w:sz w:val="14"/>
                <w:szCs w:val="14"/>
              </w:rPr>
            </w:pPr>
            <w:r>
              <w:rPr>
                <w:rFonts w:hint="eastAsia" w:cs="宋体"/>
                <w:color w:val="auto"/>
                <w:sz w:val="14"/>
                <w:szCs w:val="14"/>
              </w:rPr>
              <w:t>本规定的中型企业标准上限即为大型企业标准的下限。</w:t>
            </w:r>
          </w:p>
        </w:tc>
      </w:tr>
    </w:tbl>
    <w:p>
      <w:pPr>
        <w:ind w:firstLine="600"/>
        <w:rPr>
          <w:rFonts w:cs="宋体"/>
          <w:i/>
          <w:iCs/>
          <w:color w:val="auto"/>
          <w:sz w:val="30"/>
        </w:rPr>
        <w:sectPr>
          <w:type w:val="continuous"/>
          <w:pgSz w:w="16838" w:h="11906" w:orient="landscape"/>
          <w:pgMar w:top="1417" w:right="1701" w:bottom="1417" w:left="1134" w:header="851" w:footer="992" w:gutter="0"/>
          <w:pgBorders>
            <w:top w:val="none" w:sz="0" w:space="0"/>
            <w:left w:val="none" w:sz="0" w:space="0"/>
            <w:bottom w:val="none" w:sz="0" w:space="0"/>
            <w:right w:val="none" w:sz="0" w:space="0"/>
          </w:pgBorders>
          <w:cols w:space="720" w:num="1"/>
          <w:docGrid w:linePitch="312" w:charSpace="0"/>
        </w:sectPr>
      </w:pPr>
    </w:p>
    <w:p>
      <w:pPr>
        <w:ind w:firstLine="643"/>
        <w:jc w:val="center"/>
        <w:rPr>
          <w:rFonts w:cs="宋体"/>
          <w:b/>
          <w:bCs/>
          <w:color w:val="auto"/>
          <w:sz w:val="32"/>
        </w:rPr>
      </w:pPr>
      <w:r>
        <w:rPr>
          <w:rFonts w:hint="eastAsia" w:cs="宋体"/>
          <w:b/>
          <w:bCs/>
          <w:color w:val="auto"/>
          <w:sz w:val="32"/>
        </w:rPr>
        <w:t>B商务技术文件</w:t>
      </w: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pStyle w:val="2"/>
        <w:tabs>
          <w:tab w:val="left" w:pos="0"/>
          <w:tab w:val="left" w:pos="1260"/>
          <w:tab w:val="left" w:pos="1365"/>
        </w:tabs>
        <w:ind w:firstLine="643"/>
        <w:rPr>
          <w:rFonts w:cs="宋体"/>
          <w:b/>
          <w:bCs/>
          <w:color w:val="auto"/>
          <w:sz w:val="32"/>
        </w:rPr>
      </w:pPr>
    </w:p>
    <w:p>
      <w:pPr>
        <w:ind w:firstLine="643"/>
        <w:rPr>
          <w:rFonts w:cs="宋体"/>
          <w:b/>
          <w:bCs/>
          <w:color w:val="auto"/>
          <w:sz w:val="32"/>
        </w:rPr>
      </w:pPr>
      <w:r>
        <w:rPr>
          <w:rFonts w:hint="eastAsia" w:cs="宋体"/>
          <w:b/>
          <w:bCs/>
          <w:color w:val="auto"/>
          <w:sz w:val="32"/>
        </w:rPr>
        <w:t>封面</w:t>
      </w:r>
    </w:p>
    <w:p>
      <w:pPr>
        <w:ind w:firstLine="640"/>
        <w:jc w:val="right"/>
        <w:rPr>
          <w:rFonts w:cs="宋体"/>
          <w:color w:val="auto"/>
          <w:sz w:val="32"/>
        </w:rPr>
      </w:pPr>
    </w:p>
    <w:p>
      <w:pPr>
        <w:ind w:firstLine="961" w:firstLineChars="299"/>
        <w:jc w:val="center"/>
        <w:rPr>
          <w:rFonts w:hint="eastAsia" w:cs="宋体"/>
          <w:b/>
          <w:color w:val="auto"/>
          <w:sz w:val="32"/>
          <w:szCs w:val="32"/>
        </w:rPr>
      </w:pPr>
      <w:r>
        <w:rPr>
          <w:rFonts w:hint="eastAsia" w:cs="宋体"/>
          <w:b/>
          <w:color w:val="auto"/>
          <w:sz w:val="32"/>
          <w:szCs w:val="32"/>
        </w:rPr>
        <w:t>项目名称:</w:t>
      </w:r>
      <w:r>
        <w:rPr>
          <w:rFonts w:hint="eastAsia" w:cs="宋体"/>
          <w:b/>
          <w:color w:val="auto"/>
          <w:sz w:val="32"/>
          <w:szCs w:val="32"/>
          <w:lang w:eastAsia="zh-CN"/>
        </w:rPr>
        <w:t>宁波行知中等职业学校</w:t>
      </w:r>
    </w:p>
    <w:p>
      <w:pPr>
        <w:ind w:firstLine="961" w:firstLineChars="299"/>
        <w:jc w:val="center"/>
        <w:rPr>
          <w:rFonts w:hint="eastAsia" w:cs="宋体"/>
          <w:b/>
          <w:color w:val="auto"/>
          <w:sz w:val="32"/>
          <w:szCs w:val="32"/>
        </w:rPr>
      </w:pPr>
      <w:r>
        <w:rPr>
          <w:rFonts w:hint="eastAsia" w:cs="宋体"/>
          <w:b/>
          <w:color w:val="auto"/>
          <w:sz w:val="32"/>
          <w:szCs w:val="32"/>
          <w:lang w:eastAsia="zh-CN"/>
        </w:rPr>
        <w:t>保安服务采购</w:t>
      </w:r>
      <w:r>
        <w:rPr>
          <w:rFonts w:hint="eastAsia" w:cs="宋体"/>
          <w:b/>
          <w:color w:val="auto"/>
          <w:sz w:val="32"/>
          <w:szCs w:val="32"/>
        </w:rPr>
        <w:t>项目</w:t>
      </w:r>
    </w:p>
    <w:p>
      <w:pPr>
        <w:ind w:firstLine="961" w:firstLineChars="299"/>
        <w:jc w:val="center"/>
        <w:rPr>
          <w:rFonts w:cs="宋体"/>
          <w:b/>
          <w:color w:val="auto"/>
          <w:sz w:val="32"/>
          <w:szCs w:val="32"/>
        </w:rPr>
      </w:pPr>
      <w:r>
        <w:rPr>
          <w:rFonts w:hint="eastAsia" w:cs="宋体"/>
          <w:b/>
          <w:color w:val="auto"/>
          <w:sz w:val="32"/>
          <w:szCs w:val="32"/>
        </w:rPr>
        <w:t>招标编号:ZJWS-202101</w:t>
      </w:r>
      <w:r>
        <w:rPr>
          <w:rFonts w:hint="eastAsia" w:cs="宋体"/>
          <w:b/>
          <w:color w:val="auto"/>
          <w:sz w:val="32"/>
          <w:szCs w:val="32"/>
          <w:lang w:eastAsia="zh-CN"/>
        </w:rPr>
        <w:t>62G</w:t>
      </w:r>
    </w:p>
    <w:p>
      <w:pPr>
        <w:ind w:firstLine="643"/>
        <w:jc w:val="center"/>
        <w:rPr>
          <w:rFonts w:cs="宋体"/>
          <w:b/>
          <w:color w:val="auto"/>
          <w:sz w:val="32"/>
          <w:szCs w:val="32"/>
        </w:rPr>
      </w:pPr>
    </w:p>
    <w:p>
      <w:pPr>
        <w:ind w:firstLine="640"/>
        <w:jc w:val="center"/>
        <w:rPr>
          <w:rFonts w:cs="宋体"/>
          <w:color w:val="auto"/>
          <w:sz w:val="32"/>
          <w:szCs w:val="32"/>
        </w:rPr>
      </w:pPr>
      <w:r>
        <w:rPr>
          <w:rFonts w:hint="eastAsia" w:cs="宋体"/>
          <w:color w:val="auto"/>
          <w:sz w:val="32"/>
          <w:szCs w:val="32"/>
        </w:rPr>
        <w:t>（商务技术文件）</w:t>
      </w:r>
    </w:p>
    <w:p>
      <w:pPr>
        <w:ind w:firstLine="480"/>
        <w:rPr>
          <w:rFonts w:cs="宋体"/>
          <w:color w:val="auto"/>
        </w:rPr>
      </w:pPr>
    </w:p>
    <w:p>
      <w:pPr>
        <w:ind w:firstLine="480"/>
        <w:rPr>
          <w:rFonts w:cs="宋体"/>
          <w:color w:val="auto"/>
        </w:rPr>
      </w:pPr>
    </w:p>
    <w:p>
      <w:pPr>
        <w:ind w:firstLine="1446"/>
        <w:jc w:val="center"/>
        <w:rPr>
          <w:rFonts w:cs="宋体"/>
          <w:b/>
          <w:color w:val="auto"/>
          <w:sz w:val="72"/>
          <w:szCs w:val="72"/>
        </w:rPr>
      </w:pPr>
      <w:r>
        <w:rPr>
          <w:rFonts w:hint="eastAsia" w:cs="宋体"/>
          <w:b/>
          <w:color w:val="auto"/>
          <w:sz w:val="72"/>
          <w:szCs w:val="72"/>
        </w:rPr>
        <w:t>投</w:t>
      </w:r>
    </w:p>
    <w:p>
      <w:pPr>
        <w:ind w:firstLine="1446"/>
        <w:jc w:val="center"/>
        <w:rPr>
          <w:rFonts w:cs="宋体"/>
          <w:b/>
          <w:color w:val="auto"/>
          <w:sz w:val="72"/>
          <w:szCs w:val="72"/>
        </w:rPr>
      </w:pPr>
      <w:r>
        <w:rPr>
          <w:rFonts w:hint="eastAsia" w:cs="宋体"/>
          <w:b/>
          <w:color w:val="auto"/>
          <w:sz w:val="72"/>
          <w:szCs w:val="72"/>
        </w:rPr>
        <w:t>标</w:t>
      </w:r>
    </w:p>
    <w:p>
      <w:pPr>
        <w:ind w:firstLine="1446"/>
        <w:jc w:val="center"/>
        <w:rPr>
          <w:rFonts w:cs="宋体"/>
          <w:b/>
          <w:color w:val="auto"/>
          <w:sz w:val="72"/>
          <w:szCs w:val="72"/>
        </w:rPr>
      </w:pPr>
      <w:r>
        <w:rPr>
          <w:rFonts w:hint="eastAsia" w:cs="宋体"/>
          <w:b/>
          <w:color w:val="auto"/>
          <w:sz w:val="72"/>
          <w:szCs w:val="72"/>
        </w:rPr>
        <w:t>文</w:t>
      </w:r>
    </w:p>
    <w:p>
      <w:pPr>
        <w:ind w:firstLine="1446"/>
        <w:jc w:val="center"/>
        <w:rPr>
          <w:rFonts w:cs="宋体"/>
          <w:b/>
          <w:color w:val="auto"/>
          <w:sz w:val="72"/>
          <w:szCs w:val="72"/>
        </w:rPr>
      </w:pPr>
      <w:r>
        <w:rPr>
          <w:rFonts w:hint="eastAsia" w:cs="宋体"/>
          <w:b/>
          <w:color w:val="auto"/>
          <w:sz w:val="72"/>
          <w:szCs w:val="72"/>
        </w:rPr>
        <w:t>件</w:t>
      </w:r>
    </w:p>
    <w:p>
      <w:pPr>
        <w:ind w:firstLine="480"/>
        <w:rPr>
          <w:rFonts w:cs="宋体"/>
          <w:color w:val="auto"/>
        </w:rPr>
      </w:pPr>
    </w:p>
    <w:p>
      <w:pPr>
        <w:ind w:firstLine="560"/>
        <w:rPr>
          <w:rFonts w:hint="eastAsia" w:cs="宋体"/>
          <w:color w:val="auto"/>
          <w:sz w:val="28"/>
          <w:szCs w:val="28"/>
        </w:rPr>
      </w:pPr>
      <w:r>
        <w:rPr>
          <w:rFonts w:hint="eastAsia" w:cs="宋体"/>
          <w:color w:val="auto"/>
          <w:sz w:val="28"/>
          <w:szCs w:val="28"/>
        </w:rPr>
        <w:t>项目名称:________________________</w:t>
      </w:r>
    </w:p>
    <w:p>
      <w:pPr>
        <w:ind w:firstLine="560"/>
        <w:rPr>
          <w:rFonts w:hint="eastAsia" w:cs="宋体"/>
          <w:color w:val="auto"/>
          <w:sz w:val="28"/>
          <w:szCs w:val="28"/>
        </w:rPr>
      </w:pPr>
      <w:r>
        <w:rPr>
          <w:rFonts w:hint="eastAsia" w:cs="宋体"/>
          <w:color w:val="auto"/>
          <w:sz w:val="28"/>
          <w:szCs w:val="28"/>
        </w:rPr>
        <w:t>投 标 人:________________________</w:t>
      </w:r>
    </w:p>
    <w:p>
      <w:pPr>
        <w:ind w:firstLine="560"/>
        <w:rPr>
          <w:rFonts w:hint="eastAsia" w:cs="宋体"/>
          <w:color w:val="auto"/>
          <w:sz w:val="28"/>
          <w:szCs w:val="28"/>
        </w:rPr>
      </w:pPr>
      <w:r>
        <w:rPr>
          <w:rFonts w:hint="eastAsia" w:cs="宋体"/>
          <w:color w:val="auto"/>
          <w:sz w:val="28"/>
          <w:szCs w:val="28"/>
        </w:rPr>
        <w:t>投标人地址：_____________________</w:t>
      </w:r>
    </w:p>
    <w:p>
      <w:pPr>
        <w:ind w:left="3825" w:firstLine="560"/>
        <w:rPr>
          <w:rFonts w:hint="eastAsia" w:cs="宋体"/>
          <w:color w:val="auto"/>
          <w:sz w:val="28"/>
          <w:szCs w:val="28"/>
        </w:rPr>
      </w:pPr>
      <w:r>
        <w:rPr>
          <w:rFonts w:hint="eastAsia" w:cs="宋体"/>
          <w:color w:val="auto"/>
          <w:sz w:val="28"/>
          <w:szCs w:val="28"/>
        </w:rPr>
        <w:t>年月日</w:t>
      </w:r>
    </w:p>
    <w:p>
      <w:pPr>
        <w:spacing w:line="400" w:lineRule="exact"/>
        <w:ind w:firstLine="480"/>
        <w:jc w:val="center"/>
        <w:rPr>
          <w:rFonts w:hint="eastAsia"/>
          <w:color w:val="auto"/>
        </w:rPr>
      </w:pPr>
      <w:r>
        <w:rPr>
          <w:rFonts w:hint="eastAsia"/>
          <w:color w:val="auto"/>
        </w:rPr>
        <w:t>打分索引表</w:t>
      </w:r>
    </w:p>
    <w:p>
      <w:pPr>
        <w:ind w:firstLine="480"/>
        <w:rPr>
          <w:rFonts w:hint="eastAsia"/>
          <w:color w:val="auto"/>
        </w:rPr>
      </w:pP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3"/>
        <w:gridCol w:w="1187"/>
        <w:gridCol w:w="6182"/>
        <w:gridCol w:w="578"/>
        <w:gridCol w:w="570"/>
        <w:gridCol w:w="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93"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r>
              <w:rPr>
                <w:rFonts w:hint="eastAsia" w:cs="宋体"/>
                <w:bCs/>
                <w:color w:val="auto"/>
                <w:kern w:val="0"/>
                <w:sz w:val="21"/>
                <w:szCs w:val="21"/>
              </w:rPr>
              <w:t>评分因素</w:t>
            </w:r>
          </w:p>
        </w:tc>
        <w:tc>
          <w:tcPr>
            <w:tcW w:w="1187"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kern w:val="0"/>
                <w:sz w:val="21"/>
                <w:szCs w:val="21"/>
              </w:rPr>
            </w:pPr>
            <w:r>
              <w:rPr>
                <w:rFonts w:hint="eastAsia" w:cs="宋体"/>
                <w:bCs/>
                <w:color w:val="auto"/>
                <w:kern w:val="0"/>
                <w:sz w:val="21"/>
                <w:szCs w:val="21"/>
              </w:rPr>
              <w:t>评分内容</w:t>
            </w:r>
          </w:p>
        </w:tc>
        <w:tc>
          <w:tcPr>
            <w:tcW w:w="6182"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r>
              <w:rPr>
                <w:rFonts w:hint="eastAsia" w:cs="宋体"/>
                <w:bCs/>
                <w:color w:val="auto"/>
                <w:kern w:val="0"/>
                <w:sz w:val="21"/>
                <w:szCs w:val="21"/>
              </w:rPr>
              <w:t>评分标准</w:t>
            </w:r>
          </w:p>
        </w:tc>
        <w:tc>
          <w:tcPr>
            <w:tcW w:w="578"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r>
              <w:rPr>
                <w:rFonts w:hint="eastAsia" w:cs="宋体"/>
                <w:bCs/>
                <w:color w:val="auto"/>
                <w:sz w:val="21"/>
                <w:szCs w:val="21"/>
              </w:rPr>
              <w:t>分值</w:t>
            </w:r>
          </w:p>
        </w:tc>
        <w:tc>
          <w:tcPr>
            <w:tcW w:w="57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r>
              <w:rPr>
                <w:rFonts w:hint="eastAsia" w:cs="宋体"/>
                <w:bCs/>
                <w:color w:val="auto"/>
                <w:sz w:val="21"/>
                <w:szCs w:val="21"/>
              </w:rPr>
              <w:t>自评分</w:t>
            </w:r>
          </w:p>
        </w:tc>
        <w:tc>
          <w:tcPr>
            <w:tcW w:w="563"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r>
              <w:rPr>
                <w:rFonts w:hint="eastAsia" w:cs="宋体"/>
                <w:bCs/>
                <w:color w:val="auto"/>
                <w:sz w:val="21"/>
                <w:szCs w:val="21"/>
              </w:rPr>
              <w:t>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1093" w:type="dxa"/>
            <w:vMerge w:val="restart"/>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r>
              <w:rPr>
                <w:rFonts w:hint="eastAsia" w:cs="宋体"/>
                <w:bCs/>
                <w:color w:val="auto"/>
                <w:kern w:val="0"/>
                <w:sz w:val="21"/>
                <w:szCs w:val="21"/>
              </w:rPr>
              <w:t>一、技术（</w:t>
            </w:r>
            <w:r>
              <w:rPr>
                <w:rFonts w:hint="eastAsia" w:cs="宋体"/>
                <w:bCs/>
                <w:color w:val="auto"/>
                <w:kern w:val="0"/>
                <w:sz w:val="21"/>
                <w:szCs w:val="21"/>
                <w:lang w:val="en-US" w:eastAsia="zh-CN"/>
              </w:rPr>
              <w:t>70</w:t>
            </w:r>
            <w:r>
              <w:rPr>
                <w:rFonts w:hint="eastAsia" w:cs="宋体"/>
                <w:bCs/>
                <w:color w:val="auto"/>
                <w:kern w:val="0"/>
                <w:sz w:val="21"/>
                <w:szCs w:val="21"/>
              </w:rPr>
              <w:t>分）</w:t>
            </w:r>
          </w:p>
        </w:tc>
        <w:tc>
          <w:tcPr>
            <w:tcW w:w="1187"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kern w:val="0"/>
                <w:sz w:val="21"/>
                <w:szCs w:val="21"/>
              </w:rPr>
            </w:pPr>
          </w:p>
        </w:tc>
        <w:tc>
          <w:tcPr>
            <w:tcW w:w="6182" w:type="dxa"/>
            <w:noWrap w:val="0"/>
            <w:tcMar>
              <w:top w:w="15" w:type="dxa"/>
              <w:left w:w="15" w:type="dxa"/>
              <w:right w:w="15" w:type="dxa"/>
            </w:tcMar>
            <w:vAlign w:val="center"/>
          </w:tcPr>
          <w:p>
            <w:pPr>
              <w:widowControl/>
              <w:spacing w:line="216" w:lineRule="auto"/>
              <w:ind w:firstLine="0" w:firstLineChars="0"/>
              <w:jc w:val="left"/>
              <w:textAlignment w:val="center"/>
              <w:rPr>
                <w:rFonts w:hint="eastAsia" w:cs="宋体"/>
                <w:color w:val="auto"/>
                <w:sz w:val="21"/>
                <w:szCs w:val="21"/>
              </w:rPr>
            </w:pPr>
          </w:p>
        </w:tc>
        <w:tc>
          <w:tcPr>
            <w:tcW w:w="578"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7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63"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jc w:val="center"/>
        </w:trPr>
        <w:tc>
          <w:tcPr>
            <w:tcW w:w="1093" w:type="dxa"/>
            <w:vMerge w:val="continue"/>
            <w:noWrap w:val="0"/>
            <w:tcMar>
              <w:top w:w="15" w:type="dxa"/>
              <w:left w:w="15" w:type="dxa"/>
              <w:right w:w="15" w:type="dxa"/>
            </w:tcMar>
            <w:vAlign w:val="center"/>
          </w:tcPr>
          <w:p>
            <w:pPr>
              <w:widowControl/>
              <w:spacing w:line="240" w:lineRule="auto"/>
              <w:ind w:firstLine="0" w:firstLineChars="0"/>
              <w:jc w:val="center"/>
              <w:rPr>
                <w:rFonts w:hint="eastAsia" w:cs="宋体"/>
                <w:bCs/>
                <w:color w:val="auto"/>
                <w:sz w:val="21"/>
                <w:szCs w:val="21"/>
              </w:rPr>
            </w:pPr>
          </w:p>
        </w:tc>
        <w:tc>
          <w:tcPr>
            <w:tcW w:w="1187"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kern w:val="0"/>
                <w:sz w:val="21"/>
                <w:szCs w:val="21"/>
              </w:rPr>
            </w:pPr>
          </w:p>
        </w:tc>
        <w:tc>
          <w:tcPr>
            <w:tcW w:w="6182" w:type="dxa"/>
            <w:noWrap w:val="0"/>
            <w:tcMar>
              <w:top w:w="15" w:type="dxa"/>
              <w:left w:w="15" w:type="dxa"/>
              <w:right w:w="15" w:type="dxa"/>
            </w:tcMar>
            <w:vAlign w:val="center"/>
          </w:tcPr>
          <w:p>
            <w:pPr>
              <w:widowControl/>
              <w:spacing w:line="216" w:lineRule="auto"/>
              <w:ind w:firstLine="0" w:firstLineChars="0"/>
              <w:jc w:val="left"/>
              <w:textAlignment w:val="center"/>
              <w:rPr>
                <w:rFonts w:hint="eastAsia" w:cs="宋体"/>
                <w:color w:val="auto"/>
                <w:sz w:val="21"/>
                <w:szCs w:val="21"/>
              </w:rPr>
            </w:pPr>
          </w:p>
        </w:tc>
        <w:tc>
          <w:tcPr>
            <w:tcW w:w="578"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7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63"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93" w:type="dxa"/>
            <w:vMerge w:val="continue"/>
            <w:noWrap w:val="0"/>
            <w:tcMar>
              <w:top w:w="15" w:type="dxa"/>
              <w:left w:w="15" w:type="dxa"/>
              <w:right w:w="15" w:type="dxa"/>
            </w:tcMar>
            <w:vAlign w:val="center"/>
          </w:tcPr>
          <w:p>
            <w:pPr>
              <w:widowControl/>
              <w:spacing w:line="240" w:lineRule="auto"/>
              <w:ind w:firstLine="0" w:firstLineChars="0"/>
              <w:jc w:val="center"/>
              <w:rPr>
                <w:rFonts w:hint="eastAsia" w:cs="宋体"/>
                <w:bCs/>
                <w:color w:val="auto"/>
                <w:sz w:val="21"/>
                <w:szCs w:val="21"/>
              </w:rPr>
            </w:pPr>
          </w:p>
        </w:tc>
        <w:tc>
          <w:tcPr>
            <w:tcW w:w="1187"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kern w:val="0"/>
                <w:sz w:val="21"/>
                <w:szCs w:val="21"/>
              </w:rPr>
            </w:pPr>
          </w:p>
        </w:tc>
        <w:tc>
          <w:tcPr>
            <w:tcW w:w="6182" w:type="dxa"/>
            <w:noWrap w:val="0"/>
            <w:tcMar>
              <w:top w:w="15" w:type="dxa"/>
              <w:left w:w="15" w:type="dxa"/>
              <w:right w:w="15" w:type="dxa"/>
            </w:tcMar>
            <w:vAlign w:val="center"/>
          </w:tcPr>
          <w:p>
            <w:pPr>
              <w:widowControl/>
              <w:spacing w:line="216" w:lineRule="auto"/>
              <w:ind w:firstLine="0" w:firstLineChars="0"/>
              <w:jc w:val="left"/>
              <w:textAlignment w:val="center"/>
              <w:rPr>
                <w:rFonts w:hint="eastAsia" w:cs="宋体"/>
                <w:color w:val="auto"/>
                <w:sz w:val="21"/>
                <w:szCs w:val="21"/>
              </w:rPr>
            </w:pPr>
          </w:p>
        </w:tc>
        <w:tc>
          <w:tcPr>
            <w:tcW w:w="578"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7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63"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93" w:type="dxa"/>
            <w:vMerge w:val="continue"/>
            <w:noWrap w:val="0"/>
            <w:tcMar>
              <w:top w:w="15" w:type="dxa"/>
              <w:left w:w="15" w:type="dxa"/>
              <w:right w:w="15" w:type="dxa"/>
            </w:tcMar>
            <w:vAlign w:val="center"/>
          </w:tcPr>
          <w:p>
            <w:pPr>
              <w:widowControl/>
              <w:spacing w:line="240" w:lineRule="auto"/>
              <w:ind w:firstLine="0" w:firstLineChars="0"/>
              <w:jc w:val="center"/>
              <w:rPr>
                <w:rFonts w:hint="eastAsia" w:cs="宋体"/>
                <w:bCs/>
                <w:color w:val="auto"/>
                <w:sz w:val="21"/>
                <w:szCs w:val="21"/>
              </w:rPr>
            </w:pPr>
          </w:p>
        </w:tc>
        <w:tc>
          <w:tcPr>
            <w:tcW w:w="1187"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kern w:val="0"/>
                <w:sz w:val="21"/>
                <w:szCs w:val="21"/>
              </w:rPr>
            </w:pPr>
          </w:p>
        </w:tc>
        <w:tc>
          <w:tcPr>
            <w:tcW w:w="6182" w:type="dxa"/>
            <w:noWrap w:val="0"/>
            <w:tcMar>
              <w:top w:w="15" w:type="dxa"/>
              <w:left w:w="15" w:type="dxa"/>
              <w:right w:w="15" w:type="dxa"/>
            </w:tcMar>
            <w:vAlign w:val="center"/>
          </w:tcPr>
          <w:p>
            <w:pPr>
              <w:widowControl/>
              <w:spacing w:line="216" w:lineRule="auto"/>
              <w:ind w:firstLine="0" w:firstLineChars="0"/>
              <w:jc w:val="left"/>
              <w:textAlignment w:val="center"/>
              <w:rPr>
                <w:rFonts w:hint="eastAsia" w:cs="宋体"/>
                <w:color w:val="auto"/>
                <w:sz w:val="21"/>
                <w:szCs w:val="21"/>
              </w:rPr>
            </w:pPr>
          </w:p>
        </w:tc>
        <w:tc>
          <w:tcPr>
            <w:tcW w:w="578"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7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63"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93" w:type="dxa"/>
            <w:vMerge w:val="restart"/>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r>
              <w:rPr>
                <w:rFonts w:hint="eastAsia" w:cs="宋体"/>
                <w:bCs/>
                <w:color w:val="auto"/>
                <w:kern w:val="0"/>
                <w:sz w:val="21"/>
                <w:szCs w:val="21"/>
              </w:rPr>
              <w:t>二、商务（</w:t>
            </w:r>
            <w:r>
              <w:rPr>
                <w:rFonts w:hint="eastAsia" w:cs="宋体"/>
                <w:bCs/>
                <w:color w:val="auto"/>
                <w:kern w:val="0"/>
                <w:sz w:val="21"/>
                <w:szCs w:val="21"/>
                <w:lang w:val="en-US" w:eastAsia="zh-CN"/>
              </w:rPr>
              <w:t>15</w:t>
            </w:r>
            <w:r>
              <w:rPr>
                <w:rFonts w:hint="eastAsia" w:cs="宋体"/>
                <w:bCs/>
                <w:color w:val="auto"/>
                <w:kern w:val="0"/>
                <w:sz w:val="21"/>
                <w:szCs w:val="21"/>
              </w:rPr>
              <w:t>分）</w:t>
            </w:r>
          </w:p>
        </w:tc>
        <w:tc>
          <w:tcPr>
            <w:tcW w:w="1187"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kern w:val="0"/>
                <w:sz w:val="21"/>
                <w:szCs w:val="21"/>
              </w:rPr>
            </w:pPr>
          </w:p>
        </w:tc>
        <w:tc>
          <w:tcPr>
            <w:tcW w:w="6182" w:type="dxa"/>
            <w:noWrap w:val="0"/>
            <w:tcMar>
              <w:top w:w="15" w:type="dxa"/>
              <w:left w:w="15" w:type="dxa"/>
              <w:right w:w="15" w:type="dxa"/>
            </w:tcMar>
            <w:vAlign w:val="center"/>
          </w:tcPr>
          <w:p>
            <w:pPr>
              <w:widowControl/>
              <w:spacing w:line="216" w:lineRule="auto"/>
              <w:ind w:firstLine="0" w:firstLineChars="0"/>
              <w:jc w:val="left"/>
              <w:textAlignment w:val="center"/>
              <w:rPr>
                <w:rFonts w:hint="eastAsia" w:cs="宋体"/>
                <w:color w:val="auto"/>
                <w:sz w:val="21"/>
                <w:szCs w:val="21"/>
              </w:rPr>
            </w:pPr>
          </w:p>
        </w:tc>
        <w:tc>
          <w:tcPr>
            <w:tcW w:w="578"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7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63"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093" w:type="dxa"/>
            <w:vMerge w:val="continue"/>
            <w:noWrap w:val="0"/>
            <w:tcMar>
              <w:top w:w="15" w:type="dxa"/>
              <w:left w:w="15" w:type="dxa"/>
              <w:right w:w="15" w:type="dxa"/>
            </w:tcMar>
            <w:vAlign w:val="center"/>
          </w:tcPr>
          <w:p>
            <w:pPr>
              <w:widowControl/>
              <w:spacing w:line="240" w:lineRule="auto"/>
              <w:ind w:firstLine="0" w:firstLineChars="0"/>
              <w:jc w:val="center"/>
              <w:rPr>
                <w:rFonts w:hint="eastAsia" w:cs="宋体"/>
                <w:bCs/>
                <w:color w:val="auto"/>
                <w:sz w:val="21"/>
                <w:szCs w:val="21"/>
              </w:rPr>
            </w:pPr>
          </w:p>
        </w:tc>
        <w:tc>
          <w:tcPr>
            <w:tcW w:w="1187"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kern w:val="0"/>
                <w:sz w:val="21"/>
                <w:szCs w:val="21"/>
              </w:rPr>
            </w:pPr>
          </w:p>
        </w:tc>
        <w:tc>
          <w:tcPr>
            <w:tcW w:w="6182" w:type="dxa"/>
            <w:noWrap w:val="0"/>
            <w:tcMar>
              <w:top w:w="15" w:type="dxa"/>
              <w:left w:w="15" w:type="dxa"/>
              <w:right w:w="15" w:type="dxa"/>
            </w:tcMar>
            <w:vAlign w:val="center"/>
          </w:tcPr>
          <w:p>
            <w:pPr>
              <w:widowControl/>
              <w:spacing w:line="216" w:lineRule="auto"/>
              <w:ind w:firstLine="0" w:firstLineChars="0"/>
              <w:jc w:val="left"/>
              <w:textAlignment w:val="center"/>
              <w:rPr>
                <w:rFonts w:hint="eastAsia" w:cs="宋体"/>
                <w:color w:val="auto"/>
                <w:sz w:val="21"/>
                <w:szCs w:val="21"/>
              </w:rPr>
            </w:pPr>
          </w:p>
        </w:tc>
        <w:tc>
          <w:tcPr>
            <w:tcW w:w="578"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7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63"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093" w:type="dxa"/>
            <w:vMerge w:val="continue"/>
            <w:noWrap w:val="0"/>
            <w:tcMar>
              <w:top w:w="15" w:type="dxa"/>
              <w:left w:w="15" w:type="dxa"/>
              <w:right w:w="15" w:type="dxa"/>
            </w:tcMar>
            <w:vAlign w:val="center"/>
          </w:tcPr>
          <w:p>
            <w:pPr>
              <w:widowControl/>
              <w:spacing w:line="240" w:lineRule="auto"/>
              <w:ind w:firstLine="0" w:firstLineChars="0"/>
              <w:jc w:val="center"/>
              <w:rPr>
                <w:rFonts w:hint="eastAsia" w:cs="宋体"/>
                <w:bCs/>
                <w:color w:val="auto"/>
                <w:sz w:val="21"/>
                <w:szCs w:val="21"/>
              </w:rPr>
            </w:pPr>
          </w:p>
        </w:tc>
        <w:tc>
          <w:tcPr>
            <w:tcW w:w="1187"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kern w:val="0"/>
                <w:sz w:val="21"/>
                <w:szCs w:val="21"/>
              </w:rPr>
            </w:pPr>
          </w:p>
        </w:tc>
        <w:tc>
          <w:tcPr>
            <w:tcW w:w="6182" w:type="dxa"/>
            <w:noWrap w:val="0"/>
            <w:tcMar>
              <w:top w:w="15" w:type="dxa"/>
              <w:left w:w="15" w:type="dxa"/>
              <w:right w:w="15" w:type="dxa"/>
            </w:tcMar>
            <w:vAlign w:val="center"/>
          </w:tcPr>
          <w:p>
            <w:pPr>
              <w:widowControl/>
              <w:spacing w:line="216" w:lineRule="auto"/>
              <w:ind w:firstLine="0" w:firstLineChars="0"/>
              <w:jc w:val="left"/>
              <w:textAlignment w:val="center"/>
              <w:rPr>
                <w:rFonts w:hint="eastAsia" w:cs="宋体"/>
                <w:color w:val="auto"/>
                <w:sz w:val="21"/>
                <w:szCs w:val="21"/>
              </w:rPr>
            </w:pPr>
          </w:p>
        </w:tc>
        <w:tc>
          <w:tcPr>
            <w:tcW w:w="578"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7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63"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1093" w:type="dxa"/>
            <w:vMerge w:val="continue"/>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1187"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kern w:val="0"/>
                <w:sz w:val="21"/>
                <w:szCs w:val="21"/>
              </w:rPr>
            </w:pPr>
          </w:p>
        </w:tc>
        <w:tc>
          <w:tcPr>
            <w:tcW w:w="6182" w:type="dxa"/>
            <w:noWrap w:val="0"/>
            <w:tcMar>
              <w:top w:w="15" w:type="dxa"/>
              <w:left w:w="15" w:type="dxa"/>
              <w:right w:w="15" w:type="dxa"/>
            </w:tcMar>
            <w:vAlign w:val="center"/>
          </w:tcPr>
          <w:p>
            <w:pPr>
              <w:widowControl/>
              <w:spacing w:line="216" w:lineRule="auto"/>
              <w:ind w:firstLine="0" w:firstLineChars="0"/>
              <w:jc w:val="left"/>
              <w:textAlignment w:val="center"/>
              <w:rPr>
                <w:rFonts w:hint="eastAsia" w:cs="宋体"/>
                <w:color w:val="auto"/>
                <w:sz w:val="21"/>
                <w:szCs w:val="21"/>
              </w:rPr>
            </w:pPr>
          </w:p>
        </w:tc>
        <w:tc>
          <w:tcPr>
            <w:tcW w:w="578"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70"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c>
          <w:tcPr>
            <w:tcW w:w="563" w:type="dxa"/>
            <w:noWrap w:val="0"/>
            <w:tcMar>
              <w:top w:w="15" w:type="dxa"/>
              <w:left w:w="15" w:type="dxa"/>
              <w:right w:w="15" w:type="dxa"/>
            </w:tcMar>
            <w:vAlign w:val="center"/>
          </w:tcPr>
          <w:p>
            <w:pPr>
              <w:widowControl/>
              <w:spacing w:line="240" w:lineRule="auto"/>
              <w:ind w:firstLine="0" w:firstLineChars="0"/>
              <w:jc w:val="center"/>
              <w:textAlignment w:val="center"/>
              <w:rPr>
                <w:rFonts w:hint="eastAsia" w:cs="宋体"/>
                <w:bCs/>
                <w:color w:val="auto"/>
                <w:sz w:val="21"/>
                <w:szCs w:val="21"/>
              </w:rPr>
            </w:pPr>
          </w:p>
        </w:tc>
      </w:tr>
    </w:tbl>
    <w:p>
      <w:pPr>
        <w:spacing w:line="400" w:lineRule="exact"/>
        <w:ind w:firstLine="482"/>
        <w:jc w:val="center"/>
        <w:rPr>
          <w:rFonts w:hint="eastAsia" w:cs="宋体"/>
          <w:b/>
          <w:color w:val="auto"/>
        </w:rPr>
      </w:pPr>
    </w:p>
    <w:p>
      <w:pPr>
        <w:spacing w:line="400" w:lineRule="exact"/>
        <w:ind w:firstLine="482"/>
        <w:jc w:val="center"/>
        <w:rPr>
          <w:rFonts w:hint="eastAsia" w:cs="宋体"/>
          <w:b/>
          <w:color w:val="auto"/>
        </w:rPr>
      </w:pPr>
    </w:p>
    <w:p>
      <w:pPr>
        <w:ind w:firstLine="482"/>
        <w:rPr>
          <w:rFonts w:cs="宋体"/>
          <w:b/>
          <w:bCs/>
          <w:color w:val="auto"/>
        </w:rPr>
      </w:pPr>
      <w:r>
        <w:rPr>
          <w:rFonts w:hint="eastAsia" w:cs="宋体"/>
          <w:b/>
          <w:bCs/>
          <w:color w:val="auto"/>
        </w:rPr>
        <w:br w:type="page"/>
      </w:r>
      <w:r>
        <w:rPr>
          <w:rFonts w:hint="eastAsia" w:cs="宋体"/>
          <w:b/>
          <w:bCs/>
          <w:color w:val="auto"/>
          <w:lang w:val="en-US" w:eastAsia="zh-CN"/>
        </w:rPr>
        <w:t>B</w:t>
      </w:r>
      <w:r>
        <w:rPr>
          <w:rFonts w:hint="eastAsia" w:cs="宋体"/>
          <w:b/>
          <w:bCs/>
          <w:color w:val="auto"/>
        </w:rPr>
        <w:t>1营业执照副本复印件（加盖投标人公章）</w:t>
      </w:r>
    </w:p>
    <w:p>
      <w:pPr>
        <w:spacing w:line="400" w:lineRule="exact"/>
        <w:ind w:firstLine="0" w:firstLineChars="0"/>
        <w:rPr>
          <w:rFonts w:cs="宋体"/>
          <w:b/>
          <w:color w:val="auto"/>
        </w:rPr>
      </w:pPr>
    </w:p>
    <w:p>
      <w:pPr>
        <w:spacing w:line="400" w:lineRule="exact"/>
        <w:ind w:firstLine="482"/>
        <w:jc w:val="center"/>
        <w:rPr>
          <w:rFonts w:cs="宋体"/>
          <w:b/>
          <w:color w:val="auto"/>
        </w:rPr>
      </w:pPr>
      <w:r>
        <w:rPr>
          <w:rFonts w:hint="eastAsia" w:cs="宋体"/>
          <w:b/>
          <w:color w:val="auto"/>
          <w:lang w:val="en-US" w:eastAsia="zh-CN"/>
        </w:rPr>
        <w:t>B</w:t>
      </w:r>
      <w:r>
        <w:rPr>
          <w:rFonts w:hint="eastAsia" w:cs="宋体"/>
          <w:b/>
          <w:color w:val="auto"/>
        </w:rPr>
        <w:t>2法定代表人身份证明</w:t>
      </w:r>
    </w:p>
    <w:p>
      <w:pPr>
        <w:adjustRightInd w:val="0"/>
        <w:ind w:firstLine="482"/>
        <w:rPr>
          <w:rFonts w:cs="宋体"/>
          <w:b/>
          <w:color w:val="auto"/>
        </w:rPr>
      </w:pPr>
    </w:p>
    <w:p>
      <w:pPr>
        <w:ind w:firstLine="480"/>
        <w:rPr>
          <w:rFonts w:cs="宋体"/>
          <w:color w:val="auto"/>
        </w:rPr>
      </w:pPr>
      <w:r>
        <w:rPr>
          <w:rFonts w:hint="eastAsia" w:cs="宋体"/>
          <w:color w:val="auto"/>
        </w:rPr>
        <w:t>单位名称：</w:t>
      </w:r>
    </w:p>
    <w:p>
      <w:pPr>
        <w:ind w:firstLine="480"/>
        <w:rPr>
          <w:rFonts w:cs="宋体"/>
          <w:color w:val="auto"/>
        </w:rPr>
      </w:pPr>
      <w:r>
        <w:rPr>
          <w:rFonts w:hint="eastAsia" w:cs="宋体"/>
          <w:color w:val="auto"/>
        </w:rPr>
        <w:t>地    址：</w:t>
      </w:r>
    </w:p>
    <w:p>
      <w:pPr>
        <w:ind w:firstLine="480"/>
        <w:rPr>
          <w:rFonts w:cs="宋体"/>
          <w:color w:val="auto"/>
        </w:rPr>
      </w:pPr>
      <w:r>
        <w:rPr>
          <w:rFonts w:hint="eastAsia" w:cs="宋体"/>
          <w:color w:val="auto"/>
        </w:rPr>
        <w:t>姓    名： 性    别：</w:t>
      </w:r>
    </w:p>
    <w:p>
      <w:pPr>
        <w:ind w:firstLine="480"/>
        <w:rPr>
          <w:rFonts w:cs="宋体"/>
          <w:color w:val="auto"/>
          <w:u w:val="single"/>
        </w:rPr>
      </w:pPr>
      <w:r>
        <w:rPr>
          <w:rFonts w:hint="eastAsia" w:cs="宋体"/>
          <w:color w:val="auto"/>
        </w:rPr>
        <w:t>年    龄： 职    务：</w:t>
      </w:r>
    </w:p>
    <w:p>
      <w:pPr>
        <w:ind w:firstLine="480"/>
        <w:rPr>
          <w:rFonts w:cs="宋体"/>
          <w:color w:val="auto"/>
        </w:rPr>
      </w:pPr>
      <w:r>
        <w:rPr>
          <w:rFonts w:hint="eastAsia" w:cs="宋体"/>
          <w:color w:val="auto"/>
        </w:rPr>
        <w:t>身份证号码：</w:t>
      </w:r>
    </w:p>
    <w:p>
      <w:pPr>
        <w:ind w:firstLine="480"/>
        <w:rPr>
          <w:rFonts w:cs="宋体"/>
          <w:color w:val="auto"/>
        </w:rPr>
      </w:pPr>
      <w:r>
        <w:rPr>
          <w:rFonts w:hint="eastAsia" w:cs="宋体"/>
          <w:color w:val="auto"/>
        </w:rPr>
        <w:t xml:space="preserve">    系</w:t>
      </w:r>
      <w:r>
        <w:rPr>
          <w:rFonts w:hint="eastAsia" w:cs="宋体"/>
          <w:color w:val="auto"/>
          <w:u w:val="single"/>
        </w:rPr>
        <w:t xml:space="preserve">         （投标人名称）      </w:t>
      </w:r>
      <w:r>
        <w:rPr>
          <w:rFonts w:hint="eastAsia" w:cs="宋体"/>
          <w:color w:val="auto"/>
        </w:rPr>
        <w:t>的法定代表人，为</w:t>
      </w:r>
      <w:r>
        <w:rPr>
          <w:rFonts w:hint="eastAsia" w:cs="宋体"/>
          <w:color w:val="auto"/>
          <w:u w:val="single"/>
        </w:rPr>
        <w:t xml:space="preserve">     （招标编号、项目名称）   </w:t>
      </w:r>
      <w:r>
        <w:rPr>
          <w:rFonts w:hint="eastAsia" w:cs="宋体"/>
          <w:color w:val="auto"/>
        </w:rPr>
        <w:t>项目，签署上述项目的投标文件，进行合同谈判、签署合同和处理与之有关的一切事宜。</w:t>
      </w:r>
    </w:p>
    <w:p>
      <w:pPr>
        <w:ind w:firstLine="480"/>
        <w:rPr>
          <w:rFonts w:cs="宋体"/>
          <w:color w:val="auto"/>
        </w:rPr>
      </w:pPr>
      <w:r>
        <w:rPr>
          <w:rFonts w:hint="eastAsia" w:cs="宋体"/>
          <w:color w:val="auto"/>
        </w:rPr>
        <w:t xml:space="preserve">    特此证明。</w:t>
      </w:r>
    </w:p>
    <w:p>
      <w:pPr>
        <w:ind w:firstLine="480"/>
        <w:rPr>
          <w:rFonts w:cs="宋体"/>
          <w:color w:val="auto"/>
        </w:rPr>
      </w:pPr>
    </w:p>
    <w:p>
      <w:pPr>
        <w:ind w:firstLine="480"/>
        <w:rPr>
          <w:rFonts w:cs="宋体"/>
          <w:color w:val="auto"/>
        </w:rPr>
      </w:pPr>
      <w:r>
        <w:rPr>
          <w:rFonts w:hint="eastAsia" w:cs="宋体"/>
          <w:color w:val="auto"/>
        </w:rPr>
        <w:t>后附法定代表人身份证正反面复印件，加盖投标人公章。</w:t>
      </w: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adjustRightInd w:val="0"/>
        <w:ind w:firstLine="480"/>
        <w:rPr>
          <w:rFonts w:cs="宋体"/>
          <w:color w:val="auto"/>
        </w:rPr>
      </w:pPr>
      <w:r>
        <w:rPr>
          <w:rFonts w:hint="eastAsia" w:cs="宋体"/>
          <w:color w:val="auto"/>
        </w:rPr>
        <w:t>投标人（盖章）：</w:t>
      </w:r>
    </w:p>
    <w:p>
      <w:pPr>
        <w:adjustRightInd w:val="0"/>
        <w:ind w:firstLine="480"/>
        <w:rPr>
          <w:rFonts w:cs="宋体"/>
          <w:color w:val="auto"/>
        </w:rPr>
      </w:pPr>
      <w:r>
        <w:rPr>
          <w:rFonts w:hint="eastAsia" w:cs="宋体"/>
          <w:color w:val="auto"/>
        </w:rPr>
        <w:t xml:space="preserve">法定代表人(签字或盖章)：                   </w:t>
      </w:r>
    </w:p>
    <w:p>
      <w:pPr>
        <w:ind w:firstLine="480"/>
        <w:rPr>
          <w:rFonts w:cs="宋体"/>
          <w:color w:val="auto"/>
        </w:rPr>
      </w:pPr>
      <w:r>
        <w:rPr>
          <w:rFonts w:hint="eastAsia" w:cs="宋体"/>
          <w:color w:val="auto"/>
        </w:rPr>
        <w:t>日  期：</w:t>
      </w:r>
    </w:p>
    <w:p>
      <w:pPr>
        <w:ind w:firstLine="480"/>
        <w:rPr>
          <w:rFonts w:cs="宋体"/>
          <w:color w:val="auto"/>
        </w:rPr>
      </w:pPr>
    </w:p>
    <w:p>
      <w:pPr>
        <w:ind w:firstLine="0" w:firstLineChars="0"/>
        <w:rPr>
          <w:rFonts w:hint="eastAsia" w:cs="宋体"/>
          <w:i/>
          <w:iCs/>
          <w:color w:val="auto"/>
        </w:rPr>
      </w:pPr>
      <w:r>
        <w:rPr>
          <w:rFonts w:hint="eastAsia" w:cs="宋体"/>
          <w:i/>
          <w:iCs/>
          <w:color w:val="auto"/>
        </w:rPr>
        <w:t>注：可打印签字后扫描上传</w:t>
      </w: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ind w:firstLine="480"/>
        <w:rPr>
          <w:rFonts w:cs="宋体"/>
          <w:color w:val="auto"/>
        </w:rPr>
      </w:pPr>
    </w:p>
    <w:p>
      <w:pPr>
        <w:spacing w:line="400" w:lineRule="exact"/>
        <w:ind w:firstLine="482"/>
        <w:jc w:val="center"/>
        <w:rPr>
          <w:rFonts w:cs="宋体"/>
          <w:b/>
          <w:color w:val="auto"/>
        </w:rPr>
      </w:pPr>
      <w:r>
        <w:rPr>
          <w:rFonts w:hint="eastAsia" w:cs="宋体"/>
          <w:b/>
          <w:color w:val="auto"/>
          <w:lang w:val="en-US" w:eastAsia="zh-CN"/>
        </w:rPr>
        <w:t>B</w:t>
      </w:r>
      <w:r>
        <w:rPr>
          <w:rFonts w:hint="eastAsia" w:cs="宋体"/>
          <w:b/>
          <w:color w:val="auto"/>
        </w:rPr>
        <w:t>3法定代表人授权委托书</w:t>
      </w:r>
    </w:p>
    <w:p>
      <w:pPr>
        <w:pStyle w:val="3"/>
        <w:spacing w:line="360" w:lineRule="auto"/>
        <w:jc w:val="center"/>
        <w:rPr>
          <w:rFonts w:cs="宋体"/>
          <w:b/>
          <w:color w:val="auto"/>
          <w:szCs w:val="24"/>
        </w:rPr>
      </w:pPr>
    </w:p>
    <w:p>
      <w:pPr>
        <w:pStyle w:val="3"/>
        <w:spacing w:line="360" w:lineRule="auto"/>
        <w:ind w:firstLine="0"/>
        <w:rPr>
          <w:rFonts w:cs="宋体"/>
          <w:color w:val="auto"/>
          <w:szCs w:val="24"/>
        </w:rPr>
      </w:pPr>
      <w:r>
        <w:rPr>
          <w:rFonts w:hint="eastAsia" w:cs="宋体"/>
          <w:color w:val="auto"/>
          <w:szCs w:val="24"/>
          <w:u w:val="single"/>
        </w:rPr>
        <w:t>致 （采购代理机构）</w:t>
      </w:r>
      <w:r>
        <w:rPr>
          <w:rFonts w:hint="eastAsia" w:cs="宋体"/>
          <w:color w:val="auto"/>
          <w:szCs w:val="24"/>
        </w:rPr>
        <w:t>：</w:t>
      </w:r>
    </w:p>
    <w:p>
      <w:pPr>
        <w:pStyle w:val="3"/>
        <w:spacing w:line="360" w:lineRule="auto"/>
        <w:rPr>
          <w:rFonts w:cs="宋体"/>
          <w:color w:val="auto"/>
          <w:szCs w:val="24"/>
        </w:rPr>
      </w:pPr>
    </w:p>
    <w:p>
      <w:pPr>
        <w:pStyle w:val="3"/>
        <w:spacing w:line="360" w:lineRule="auto"/>
        <w:ind w:firstLine="0"/>
        <w:rPr>
          <w:rFonts w:cs="宋体"/>
          <w:color w:val="auto"/>
          <w:szCs w:val="24"/>
        </w:rPr>
      </w:pPr>
      <w:r>
        <w:rPr>
          <w:rFonts w:hint="eastAsia" w:cs="宋体"/>
          <w:color w:val="auto"/>
          <w:szCs w:val="24"/>
          <w:u w:val="single"/>
        </w:rPr>
        <w:t>（投标人全称）</w:t>
      </w:r>
      <w:r>
        <w:rPr>
          <w:rFonts w:hint="eastAsia" w:cs="宋体"/>
          <w:color w:val="auto"/>
          <w:szCs w:val="24"/>
        </w:rPr>
        <w:t>法定代表人</w:t>
      </w:r>
      <w:r>
        <w:rPr>
          <w:rFonts w:hint="eastAsia" w:cs="宋体"/>
          <w:color w:val="auto"/>
          <w:szCs w:val="24"/>
          <w:u w:val="single"/>
        </w:rPr>
        <w:t xml:space="preserve">（姓名、职务） </w:t>
      </w:r>
      <w:r>
        <w:rPr>
          <w:rFonts w:hint="eastAsia" w:cs="宋体"/>
          <w:color w:val="auto"/>
          <w:szCs w:val="24"/>
        </w:rPr>
        <w:t>授权</w:t>
      </w:r>
      <w:r>
        <w:rPr>
          <w:rFonts w:hint="eastAsia" w:cs="宋体"/>
          <w:color w:val="auto"/>
          <w:szCs w:val="24"/>
          <w:u w:val="single"/>
        </w:rPr>
        <w:t>（授权代表姓名、职务）</w:t>
      </w:r>
      <w:r>
        <w:rPr>
          <w:rFonts w:hint="eastAsia" w:cs="宋体"/>
          <w:color w:val="auto"/>
          <w:szCs w:val="24"/>
        </w:rPr>
        <w:t>为本公司合法代理人，参加贵招标代理公司组织的</w:t>
      </w:r>
      <w:r>
        <w:rPr>
          <w:rFonts w:hint="eastAsia" w:cs="宋体"/>
          <w:color w:val="auto"/>
          <w:szCs w:val="24"/>
          <w:u w:val="single"/>
        </w:rPr>
        <w:t>（招标编号、项目名称)</w:t>
      </w:r>
      <w:r>
        <w:rPr>
          <w:rFonts w:hint="eastAsia" w:cs="宋体"/>
          <w:color w:val="auto"/>
          <w:szCs w:val="24"/>
        </w:rPr>
        <w:t>项目的招标投标活动，代表本公司处理招标投标活动中的一切事宜。</w:t>
      </w:r>
    </w:p>
    <w:p>
      <w:pPr>
        <w:pStyle w:val="3"/>
        <w:spacing w:line="360" w:lineRule="auto"/>
        <w:rPr>
          <w:rFonts w:cs="宋体"/>
          <w:color w:val="auto"/>
          <w:szCs w:val="24"/>
        </w:rPr>
      </w:pPr>
      <w:r>
        <w:rPr>
          <w:rFonts w:hint="eastAsia" w:cs="宋体"/>
          <w:color w:val="auto"/>
          <w:szCs w:val="24"/>
        </w:rPr>
        <w:t xml:space="preserve">     本授权书于年月日签字生效，特此声明。</w:t>
      </w:r>
    </w:p>
    <w:p>
      <w:pPr>
        <w:pStyle w:val="3"/>
        <w:spacing w:line="360" w:lineRule="auto"/>
        <w:ind w:firstLine="0"/>
        <w:rPr>
          <w:rFonts w:cs="宋体"/>
          <w:color w:val="auto"/>
          <w:szCs w:val="24"/>
        </w:rPr>
      </w:pPr>
      <w:r>
        <w:rPr>
          <w:rFonts w:hint="eastAsia" w:cs="宋体"/>
          <w:color w:val="auto"/>
          <w:szCs w:val="24"/>
        </w:rPr>
        <w:t xml:space="preserve">    后附授权代表身份证正反面复印件</w:t>
      </w:r>
      <w:r>
        <w:rPr>
          <w:rFonts w:hint="eastAsia" w:cs="宋体"/>
          <w:bCs/>
          <w:color w:val="auto"/>
          <w:szCs w:val="24"/>
        </w:rPr>
        <w:t>及授权代表</w:t>
      </w:r>
      <w:r>
        <w:rPr>
          <w:rFonts w:hint="eastAsia" w:cs="宋体"/>
          <w:color w:val="auto"/>
          <w:szCs w:val="24"/>
        </w:rPr>
        <w:t>近三个月</w:t>
      </w:r>
      <w:r>
        <w:rPr>
          <w:rFonts w:hint="eastAsia" w:cs="宋体"/>
          <w:bCs/>
          <w:color w:val="auto"/>
          <w:szCs w:val="24"/>
        </w:rPr>
        <w:t>社保证明</w:t>
      </w:r>
      <w:r>
        <w:rPr>
          <w:rFonts w:hint="eastAsia" w:cs="宋体"/>
          <w:color w:val="auto"/>
          <w:szCs w:val="24"/>
        </w:rPr>
        <w:t>，加盖投标人公章。</w:t>
      </w:r>
    </w:p>
    <w:p>
      <w:pPr>
        <w:pStyle w:val="3"/>
        <w:spacing w:line="360" w:lineRule="auto"/>
        <w:rPr>
          <w:rFonts w:cs="宋体"/>
          <w:color w:val="auto"/>
          <w:szCs w:val="24"/>
        </w:rPr>
      </w:pPr>
    </w:p>
    <w:p>
      <w:pPr>
        <w:pStyle w:val="3"/>
        <w:spacing w:line="360" w:lineRule="auto"/>
        <w:ind w:left="3846" w:leftChars="1600" w:hanging="6"/>
        <w:rPr>
          <w:rFonts w:cs="宋体"/>
          <w:color w:val="auto"/>
          <w:szCs w:val="24"/>
        </w:rPr>
      </w:pPr>
      <w:r>
        <w:rPr>
          <w:rFonts w:hint="eastAsia" w:cs="宋体"/>
          <w:color w:val="auto"/>
          <w:szCs w:val="24"/>
        </w:rPr>
        <w:t>法定代表人(签字或盖章)：</w:t>
      </w:r>
    </w:p>
    <w:p>
      <w:pPr>
        <w:pStyle w:val="3"/>
        <w:spacing w:line="360" w:lineRule="auto"/>
        <w:ind w:left="3846" w:leftChars="1600" w:hanging="6"/>
        <w:rPr>
          <w:rFonts w:cs="宋体"/>
          <w:color w:val="auto"/>
          <w:szCs w:val="24"/>
        </w:rPr>
      </w:pPr>
      <w:r>
        <w:rPr>
          <w:rFonts w:hint="eastAsia" w:cs="宋体"/>
          <w:color w:val="auto"/>
          <w:szCs w:val="24"/>
        </w:rPr>
        <w:t xml:space="preserve">投标人单位全称（盖章）： </w:t>
      </w:r>
    </w:p>
    <w:p>
      <w:pPr>
        <w:pStyle w:val="3"/>
        <w:spacing w:line="360" w:lineRule="auto"/>
        <w:ind w:left="3846" w:leftChars="1600" w:hanging="6"/>
        <w:rPr>
          <w:rFonts w:cs="宋体"/>
          <w:color w:val="auto"/>
          <w:szCs w:val="24"/>
        </w:rPr>
      </w:pPr>
      <w:r>
        <w:rPr>
          <w:rFonts w:hint="eastAsia" w:cs="宋体"/>
          <w:color w:val="auto"/>
          <w:szCs w:val="24"/>
        </w:rPr>
        <w:t>日  期：</w:t>
      </w:r>
    </w:p>
    <w:p>
      <w:pPr>
        <w:pStyle w:val="3"/>
        <w:spacing w:line="360" w:lineRule="auto"/>
        <w:rPr>
          <w:rFonts w:cs="宋体"/>
          <w:color w:val="auto"/>
          <w:szCs w:val="24"/>
        </w:rPr>
      </w:pPr>
    </w:p>
    <w:p>
      <w:pPr>
        <w:pStyle w:val="3"/>
        <w:spacing w:line="360" w:lineRule="auto"/>
        <w:rPr>
          <w:rFonts w:cs="宋体"/>
          <w:color w:val="auto"/>
          <w:szCs w:val="24"/>
        </w:rPr>
      </w:pPr>
      <w:r>
        <w:rPr>
          <w:rFonts w:hint="eastAsia" w:cs="宋体"/>
          <w:color w:val="auto"/>
          <w:szCs w:val="24"/>
        </w:rPr>
        <w:t>附：</w:t>
      </w:r>
    </w:p>
    <w:p>
      <w:pPr>
        <w:pStyle w:val="3"/>
        <w:spacing w:line="360" w:lineRule="auto"/>
        <w:rPr>
          <w:rFonts w:cs="宋体"/>
          <w:color w:val="auto"/>
          <w:szCs w:val="24"/>
        </w:rPr>
      </w:pPr>
      <w:r>
        <w:rPr>
          <w:rFonts w:hint="eastAsia" w:cs="宋体"/>
          <w:color w:val="auto"/>
          <w:szCs w:val="24"/>
        </w:rPr>
        <w:t xml:space="preserve">  授权代表姓名：（印刷体）</w:t>
      </w:r>
    </w:p>
    <w:p>
      <w:pPr>
        <w:pStyle w:val="3"/>
        <w:spacing w:line="360" w:lineRule="auto"/>
        <w:rPr>
          <w:rFonts w:cs="宋体"/>
          <w:color w:val="auto"/>
          <w:szCs w:val="24"/>
        </w:rPr>
      </w:pPr>
      <w:r>
        <w:rPr>
          <w:rFonts w:hint="eastAsia" w:cs="宋体"/>
          <w:color w:val="auto"/>
          <w:szCs w:val="24"/>
        </w:rPr>
        <w:t xml:space="preserve">  职          务：</w:t>
      </w:r>
    </w:p>
    <w:p>
      <w:pPr>
        <w:pStyle w:val="3"/>
        <w:spacing w:line="360" w:lineRule="auto"/>
        <w:rPr>
          <w:rFonts w:cs="宋体"/>
          <w:color w:val="auto"/>
          <w:szCs w:val="24"/>
        </w:rPr>
      </w:pPr>
      <w:r>
        <w:rPr>
          <w:rFonts w:hint="eastAsia" w:cs="宋体"/>
          <w:color w:val="auto"/>
          <w:szCs w:val="24"/>
        </w:rPr>
        <w:t xml:space="preserve">  授权代表签字：</w:t>
      </w:r>
    </w:p>
    <w:p>
      <w:pPr>
        <w:pStyle w:val="3"/>
        <w:spacing w:line="360" w:lineRule="auto"/>
        <w:rPr>
          <w:rFonts w:cs="宋体"/>
          <w:color w:val="auto"/>
          <w:szCs w:val="24"/>
        </w:rPr>
      </w:pPr>
      <w:r>
        <w:rPr>
          <w:rFonts w:hint="eastAsia" w:cs="宋体"/>
          <w:color w:val="auto"/>
          <w:szCs w:val="24"/>
        </w:rPr>
        <w:t xml:space="preserve">  详细通讯地址：</w:t>
      </w:r>
    </w:p>
    <w:p>
      <w:pPr>
        <w:pStyle w:val="3"/>
        <w:spacing w:line="360" w:lineRule="auto"/>
        <w:rPr>
          <w:rFonts w:cs="宋体"/>
          <w:color w:val="auto"/>
          <w:szCs w:val="24"/>
        </w:rPr>
      </w:pPr>
      <w:r>
        <w:rPr>
          <w:rFonts w:hint="eastAsia" w:cs="宋体"/>
          <w:color w:val="auto"/>
          <w:szCs w:val="24"/>
        </w:rPr>
        <w:t xml:space="preserve">  邮 政 编  码：</w:t>
      </w:r>
    </w:p>
    <w:p>
      <w:pPr>
        <w:pStyle w:val="3"/>
        <w:spacing w:line="360" w:lineRule="auto"/>
        <w:rPr>
          <w:rFonts w:cs="宋体"/>
          <w:color w:val="auto"/>
          <w:szCs w:val="24"/>
        </w:rPr>
      </w:pPr>
      <w:r>
        <w:rPr>
          <w:rFonts w:hint="eastAsia" w:cs="宋体"/>
          <w:color w:val="auto"/>
          <w:szCs w:val="24"/>
        </w:rPr>
        <w:t xml:space="preserve">  传        真：</w:t>
      </w:r>
    </w:p>
    <w:p>
      <w:pPr>
        <w:ind w:firstLine="480"/>
        <w:rPr>
          <w:rFonts w:hint="eastAsia" w:cs="宋体"/>
          <w:color w:val="auto"/>
        </w:rPr>
      </w:pPr>
      <w:r>
        <w:rPr>
          <w:rFonts w:hint="eastAsia" w:cs="宋体"/>
          <w:color w:val="auto"/>
        </w:rPr>
        <w:t xml:space="preserve">  电        话：</w:t>
      </w:r>
    </w:p>
    <w:p>
      <w:pPr>
        <w:ind w:firstLine="0" w:firstLineChars="0"/>
        <w:rPr>
          <w:rFonts w:hint="eastAsia" w:cs="宋体"/>
          <w:i/>
          <w:iCs/>
          <w:color w:val="auto"/>
        </w:rPr>
      </w:pPr>
    </w:p>
    <w:p>
      <w:pPr>
        <w:ind w:firstLine="0" w:firstLineChars="0"/>
        <w:rPr>
          <w:rFonts w:hint="eastAsia" w:cs="宋体"/>
          <w:i/>
          <w:iCs/>
          <w:color w:val="auto"/>
        </w:rPr>
      </w:pPr>
      <w:r>
        <w:rPr>
          <w:rFonts w:hint="eastAsia" w:cs="宋体"/>
          <w:i/>
          <w:iCs/>
          <w:color w:val="auto"/>
        </w:rPr>
        <w:t>注：可打印签字后扫描上传</w:t>
      </w:r>
    </w:p>
    <w:p>
      <w:pPr>
        <w:spacing w:line="400" w:lineRule="exact"/>
        <w:ind w:firstLine="482"/>
        <w:jc w:val="center"/>
        <w:rPr>
          <w:rFonts w:hint="eastAsia" w:cs="宋体"/>
          <w:b/>
          <w:color w:val="auto"/>
        </w:rPr>
      </w:pPr>
      <w:r>
        <w:rPr>
          <w:rFonts w:hint="eastAsia" w:cs="宋体"/>
          <w:b/>
          <w:color w:val="auto"/>
        </w:rPr>
        <w:t>B</w:t>
      </w:r>
      <w:r>
        <w:rPr>
          <w:rFonts w:hint="eastAsia" w:cs="宋体"/>
          <w:b/>
          <w:color w:val="auto"/>
          <w:lang w:val="en-US" w:eastAsia="zh-CN"/>
        </w:rPr>
        <w:t>4</w:t>
      </w:r>
      <w:r>
        <w:rPr>
          <w:rFonts w:hint="eastAsia" w:cs="宋体"/>
          <w:b/>
          <w:color w:val="auto"/>
        </w:rPr>
        <w:t>技术规范偏离表</w:t>
      </w:r>
    </w:p>
    <w:p>
      <w:pPr>
        <w:spacing w:line="400" w:lineRule="exact"/>
        <w:ind w:firstLine="480"/>
        <w:rPr>
          <w:rFonts w:hint="eastAsia" w:cs="宋体"/>
          <w:color w:val="auto"/>
        </w:rPr>
      </w:pPr>
    </w:p>
    <w:p>
      <w:pPr>
        <w:spacing w:line="400" w:lineRule="exact"/>
        <w:ind w:firstLine="480"/>
        <w:rPr>
          <w:rFonts w:hint="eastAsia" w:cs="宋体"/>
          <w:color w:val="auto"/>
        </w:rPr>
      </w:pPr>
      <w:r>
        <w:rPr>
          <w:rFonts w:hint="eastAsia" w:cs="宋体"/>
          <w:color w:val="auto"/>
        </w:rPr>
        <w:t xml:space="preserve">招标项目名称：                   招标编号：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center"/>
          </w:tcPr>
          <w:p>
            <w:pPr>
              <w:spacing w:line="500" w:lineRule="exact"/>
              <w:ind w:firstLine="0" w:firstLineChars="0"/>
              <w:jc w:val="center"/>
              <w:rPr>
                <w:rFonts w:hint="eastAsia" w:cs="宋体"/>
                <w:color w:val="auto"/>
              </w:rPr>
            </w:pPr>
            <w:r>
              <w:rPr>
                <w:rFonts w:hint="eastAsia" w:cs="宋体"/>
                <w:color w:val="auto"/>
              </w:rPr>
              <w:t>序号</w:t>
            </w:r>
          </w:p>
        </w:tc>
        <w:tc>
          <w:tcPr>
            <w:tcW w:w="1236" w:type="dxa"/>
            <w:noWrap w:val="0"/>
            <w:vAlign w:val="center"/>
          </w:tcPr>
          <w:p>
            <w:pPr>
              <w:spacing w:line="500" w:lineRule="exact"/>
              <w:ind w:firstLine="0" w:firstLineChars="0"/>
              <w:jc w:val="center"/>
              <w:rPr>
                <w:rFonts w:hint="eastAsia" w:cs="宋体"/>
                <w:color w:val="auto"/>
              </w:rPr>
            </w:pPr>
            <w:r>
              <w:rPr>
                <w:rFonts w:hint="eastAsia" w:cs="宋体"/>
                <w:color w:val="auto"/>
              </w:rPr>
              <w:t>产品名称</w:t>
            </w:r>
          </w:p>
        </w:tc>
        <w:tc>
          <w:tcPr>
            <w:tcW w:w="2100" w:type="dxa"/>
            <w:noWrap w:val="0"/>
            <w:vAlign w:val="center"/>
          </w:tcPr>
          <w:p>
            <w:pPr>
              <w:spacing w:line="500" w:lineRule="exact"/>
              <w:ind w:firstLine="0" w:firstLineChars="0"/>
              <w:jc w:val="center"/>
              <w:rPr>
                <w:rFonts w:hint="eastAsia" w:cs="宋体"/>
                <w:color w:val="auto"/>
              </w:rPr>
            </w:pPr>
            <w:r>
              <w:rPr>
                <w:rFonts w:hint="eastAsia" w:cs="宋体"/>
                <w:color w:val="auto"/>
              </w:rPr>
              <w:t>招标要求</w:t>
            </w:r>
          </w:p>
        </w:tc>
        <w:tc>
          <w:tcPr>
            <w:tcW w:w="2625" w:type="dxa"/>
            <w:noWrap w:val="0"/>
            <w:vAlign w:val="center"/>
          </w:tcPr>
          <w:p>
            <w:pPr>
              <w:spacing w:line="500" w:lineRule="exact"/>
              <w:ind w:firstLine="0" w:firstLineChars="0"/>
              <w:jc w:val="center"/>
              <w:rPr>
                <w:rFonts w:hint="eastAsia" w:cs="宋体"/>
                <w:color w:val="auto"/>
              </w:rPr>
            </w:pPr>
            <w:r>
              <w:rPr>
                <w:rFonts w:hint="eastAsia" w:cs="宋体"/>
                <w:color w:val="auto"/>
              </w:rPr>
              <w:t xml:space="preserve">  投标响应</w:t>
            </w:r>
          </w:p>
        </w:tc>
        <w:tc>
          <w:tcPr>
            <w:tcW w:w="1890" w:type="dxa"/>
            <w:noWrap w:val="0"/>
            <w:vAlign w:val="center"/>
          </w:tcPr>
          <w:p>
            <w:pPr>
              <w:spacing w:line="500" w:lineRule="exact"/>
              <w:ind w:firstLine="0" w:firstLineChars="0"/>
              <w:jc w:val="center"/>
              <w:rPr>
                <w:rFonts w:hint="eastAsia" w:cs="宋体"/>
                <w:color w:val="auto"/>
              </w:rPr>
            </w:pPr>
            <w:r>
              <w:rPr>
                <w:rFonts w:hint="eastAsia"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color w:val="auto"/>
              </w:rPr>
            </w:pPr>
          </w:p>
        </w:tc>
        <w:tc>
          <w:tcPr>
            <w:tcW w:w="1236" w:type="dxa"/>
            <w:noWrap w:val="0"/>
            <w:vAlign w:val="top"/>
          </w:tcPr>
          <w:p>
            <w:pPr>
              <w:spacing w:line="500" w:lineRule="exact"/>
              <w:ind w:firstLine="480"/>
              <w:rPr>
                <w:rFonts w:hint="eastAsia" w:cs="宋体"/>
                <w:color w:val="auto"/>
              </w:rPr>
            </w:pPr>
          </w:p>
        </w:tc>
        <w:tc>
          <w:tcPr>
            <w:tcW w:w="21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color w:val="auto"/>
              </w:rPr>
            </w:pPr>
          </w:p>
        </w:tc>
        <w:tc>
          <w:tcPr>
            <w:tcW w:w="1236" w:type="dxa"/>
            <w:noWrap w:val="0"/>
            <w:vAlign w:val="top"/>
          </w:tcPr>
          <w:p>
            <w:pPr>
              <w:spacing w:line="500" w:lineRule="exact"/>
              <w:ind w:firstLine="480"/>
              <w:rPr>
                <w:rFonts w:hint="eastAsia" w:cs="宋体"/>
                <w:color w:val="auto"/>
              </w:rPr>
            </w:pPr>
          </w:p>
        </w:tc>
        <w:tc>
          <w:tcPr>
            <w:tcW w:w="21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color w:val="auto"/>
              </w:rPr>
            </w:pPr>
          </w:p>
        </w:tc>
        <w:tc>
          <w:tcPr>
            <w:tcW w:w="1236" w:type="dxa"/>
            <w:noWrap w:val="0"/>
            <w:vAlign w:val="top"/>
          </w:tcPr>
          <w:p>
            <w:pPr>
              <w:spacing w:line="500" w:lineRule="exact"/>
              <w:ind w:firstLine="480"/>
              <w:rPr>
                <w:rFonts w:hint="eastAsia" w:cs="宋体"/>
                <w:color w:val="auto"/>
              </w:rPr>
            </w:pPr>
          </w:p>
        </w:tc>
        <w:tc>
          <w:tcPr>
            <w:tcW w:w="21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color w:val="auto"/>
              </w:rPr>
            </w:pPr>
          </w:p>
        </w:tc>
        <w:tc>
          <w:tcPr>
            <w:tcW w:w="1236" w:type="dxa"/>
            <w:noWrap w:val="0"/>
            <w:vAlign w:val="top"/>
          </w:tcPr>
          <w:p>
            <w:pPr>
              <w:spacing w:line="500" w:lineRule="exact"/>
              <w:ind w:firstLine="480"/>
              <w:rPr>
                <w:rFonts w:hint="eastAsia" w:cs="宋体"/>
                <w:color w:val="auto"/>
              </w:rPr>
            </w:pPr>
          </w:p>
        </w:tc>
        <w:tc>
          <w:tcPr>
            <w:tcW w:w="21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color w:val="auto"/>
              </w:rPr>
            </w:pPr>
          </w:p>
        </w:tc>
        <w:tc>
          <w:tcPr>
            <w:tcW w:w="1236" w:type="dxa"/>
            <w:noWrap w:val="0"/>
            <w:vAlign w:val="top"/>
          </w:tcPr>
          <w:p>
            <w:pPr>
              <w:spacing w:line="500" w:lineRule="exact"/>
              <w:ind w:firstLine="480"/>
              <w:rPr>
                <w:rFonts w:hint="eastAsia" w:cs="宋体"/>
                <w:color w:val="auto"/>
              </w:rPr>
            </w:pPr>
          </w:p>
        </w:tc>
        <w:tc>
          <w:tcPr>
            <w:tcW w:w="21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color w:val="auto"/>
              </w:rPr>
            </w:pPr>
          </w:p>
        </w:tc>
        <w:tc>
          <w:tcPr>
            <w:tcW w:w="1236" w:type="dxa"/>
            <w:noWrap w:val="0"/>
            <w:vAlign w:val="top"/>
          </w:tcPr>
          <w:p>
            <w:pPr>
              <w:spacing w:line="500" w:lineRule="exact"/>
              <w:ind w:firstLine="480"/>
              <w:rPr>
                <w:rFonts w:hint="eastAsia" w:cs="宋体"/>
                <w:color w:val="auto"/>
              </w:rPr>
            </w:pPr>
          </w:p>
        </w:tc>
        <w:tc>
          <w:tcPr>
            <w:tcW w:w="21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color w:val="auto"/>
              </w:rPr>
            </w:pPr>
          </w:p>
        </w:tc>
        <w:tc>
          <w:tcPr>
            <w:tcW w:w="1236" w:type="dxa"/>
            <w:noWrap w:val="0"/>
            <w:vAlign w:val="top"/>
          </w:tcPr>
          <w:p>
            <w:pPr>
              <w:spacing w:line="500" w:lineRule="exact"/>
              <w:ind w:firstLine="480"/>
              <w:rPr>
                <w:rFonts w:hint="eastAsia" w:cs="宋体"/>
                <w:color w:val="auto"/>
              </w:rPr>
            </w:pPr>
          </w:p>
        </w:tc>
        <w:tc>
          <w:tcPr>
            <w:tcW w:w="21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color w:val="auto"/>
              </w:rPr>
            </w:pPr>
          </w:p>
        </w:tc>
        <w:tc>
          <w:tcPr>
            <w:tcW w:w="1236" w:type="dxa"/>
            <w:noWrap w:val="0"/>
            <w:vAlign w:val="top"/>
          </w:tcPr>
          <w:p>
            <w:pPr>
              <w:spacing w:line="500" w:lineRule="exact"/>
              <w:ind w:firstLine="480"/>
              <w:rPr>
                <w:rFonts w:hint="eastAsia" w:cs="宋体"/>
                <w:color w:val="auto"/>
              </w:rPr>
            </w:pPr>
          </w:p>
        </w:tc>
        <w:tc>
          <w:tcPr>
            <w:tcW w:w="21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color w:val="auto"/>
              </w:rPr>
            </w:pPr>
          </w:p>
        </w:tc>
        <w:tc>
          <w:tcPr>
            <w:tcW w:w="1236" w:type="dxa"/>
            <w:noWrap w:val="0"/>
            <w:vAlign w:val="top"/>
          </w:tcPr>
          <w:p>
            <w:pPr>
              <w:spacing w:line="500" w:lineRule="exact"/>
              <w:ind w:firstLine="480"/>
              <w:rPr>
                <w:rFonts w:hint="eastAsia" w:cs="宋体"/>
                <w:color w:val="auto"/>
              </w:rPr>
            </w:pPr>
          </w:p>
        </w:tc>
        <w:tc>
          <w:tcPr>
            <w:tcW w:w="21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38" w:type="dxa"/>
            <w:noWrap w:val="0"/>
            <w:vAlign w:val="top"/>
          </w:tcPr>
          <w:p>
            <w:pPr>
              <w:spacing w:line="500" w:lineRule="exact"/>
              <w:ind w:firstLine="480"/>
              <w:rPr>
                <w:rFonts w:hint="eastAsia" w:cs="宋体"/>
                <w:color w:val="auto"/>
              </w:rPr>
            </w:pPr>
          </w:p>
        </w:tc>
        <w:tc>
          <w:tcPr>
            <w:tcW w:w="1236" w:type="dxa"/>
            <w:noWrap w:val="0"/>
            <w:vAlign w:val="top"/>
          </w:tcPr>
          <w:p>
            <w:pPr>
              <w:spacing w:line="500" w:lineRule="exact"/>
              <w:ind w:firstLine="480"/>
              <w:rPr>
                <w:rFonts w:hint="eastAsia" w:cs="宋体"/>
                <w:color w:val="auto"/>
              </w:rPr>
            </w:pPr>
          </w:p>
        </w:tc>
        <w:tc>
          <w:tcPr>
            <w:tcW w:w="21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bl>
    <w:p>
      <w:pPr>
        <w:spacing w:line="500" w:lineRule="exact"/>
        <w:ind w:firstLine="480"/>
        <w:rPr>
          <w:rFonts w:hint="eastAsia" w:cs="宋体"/>
          <w:color w:val="auto"/>
        </w:rPr>
      </w:pPr>
      <w:r>
        <w:rPr>
          <w:rFonts w:hint="eastAsia" w:cs="宋体"/>
          <w:color w:val="auto"/>
        </w:rPr>
        <w:t>投标人（盖章）：</w:t>
      </w:r>
    </w:p>
    <w:p>
      <w:pPr>
        <w:spacing w:line="500" w:lineRule="exact"/>
        <w:ind w:firstLine="480"/>
        <w:rPr>
          <w:rFonts w:hint="eastAsia" w:cs="宋体"/>
          <w:color w:val="auto"/>
        </w:rPr>
      </w:pPr>
    </w:p>
    <w:p>
      <w:pPr>
        <w:spacing w:line="500" w:lineRule="exact"/>
        <w:ind w:firstLine="480"/>
        <w:rPr>
          <w:rFonts w:hint="eastAsia" w:cs="宋体"/>
          <w:color w:val="auto"/>
        </w:rPr>
      </w:pPr>
    </w:p>
    <w:p>
      <w:pPr>
        <w:ind w:firstLine="480"/>
        <w:rPr>
          <w:rFonts w:hint="eastAsia" w:cs="宋体"/>
          <w:color w:val="auto"/>
        </w:rPr>
      </w:pPr>
      <w:r>
        <w:rPr>
          <w:rFonts w:hint="eastAsia" w:cs="宋体"/>
          <w:color w:val="auto"/>
        </w:rPr>
        <w:t>日  期：</w:t>
      </w:r>
    </w:p>
    <w:p>
      <w:pPr>
        <w:ind w:firstLine="480"/>
        <w:rPr>
          <w:rFonts w:hint="eastAsia" w:cs="宋体"/>
          <w:color w:val="auto"/>
        </w:rPr>
      </w:pPr>
    </w:p>
    <w:p>
      <w:pPr>
        <w:ind w:firstLine="480"/>
        <w:rPr>
          <w:rFonts w:hint="eastAsia" w:cs="宋体"/>
          <w:color w:val="auto"/>
        </w:rPr>
      </w:pPr>
    </w:p>
    <w:p>
      <w:pPr>
        <w:pStyle w:val="2"/>
        <w:tabs>
          <w:tab w:val="left" w:pos="0"/>
          <w:tab w:val="left" w:pos="1260"/>
          <w:tab w:val="left" w:pos="1365"/>
        </w:tabs>
        <w:ind w:firstLine="480"/>
        <w:rPr>
          <w:rFonts w:hint="eastAsia" w:cs="宋体"/>
          <w:color w:val="auto"/>
          <w:szCs w:val="24"/>
        </w:rPr>
      </w:pPr>
    </w:p>
    <w:p>
      <w:pPr>
        <w:spacing w:line="400" w:lineRule="exact"/>
        <w:ind w:firstLine="482"/>
        <w:jc w:val="center"/>
        <w:rPr>
          <w:rFonts w:hint="eastAsia" w:cs="宋体"/>
          <w:b/>
          <w:color w:val="auto"/>
        </w:rPr>
      </w:pPr>
    </w:p>
    <w:p>
      <w:pPr>
        <w:pStyle w:val="19"/>
        <w:rPr>
          <w:rFonts w:hint="eastAsia" w:hAnsi="宋体" w:cs="宋体"/>
          <w:b/>
          <w:color w:val="auto"/>
          <w:sz w:val="24"/>
          <w:szCs w:val="24"/>
        </w:rPr>
      </w:pPr>
    </w:p>
    <w:p>
      <w:pPr>
        <w:pStyle w:val="19"/>
        <w:rPr>
          <w:rFonts w:hint="eastAsia" w:hAnsi="宋体" w:cs="宋体"/>
          <w:b/>
          <w:color w:val="auto"/>
          <w:sz w:val="24"/>
          <w:szCs w:val="24"/>
        </w:rPr>
      </w:pPr>
    </w:p>
    <w:p>
      <w:pPr>
        <w:pStyle w:val="19"/>
        <w:rPr>
          <w:rFonts w:hint="eastAsia" w:hAnsi="宋体" w:cs="宋体"/>
          <w:b/>
          <w:color w:val="auto"/>
          <w:sz w:val="24"/>
          <w:szCs w:val="24"/>
        </w:rPr>
      </w:pPr>
    </w:p>
    <w:p>
      <w:pPr>
        <w:pStyle w:val="19"/>
        <w:rPr>
          <w:rFonts w:hint="eastAsia" w:hAnsi="宋体" w:cs="宋体"/>
          <w:b/>
          <w:color w:val="auto"/>
          <w:sz w:val="24"/>
          <w:szCs w:val="24"/>
        </w:rPr>
      </w:pPr>
    </w:p>
    <w:p>
      <w:pPr>
        <w:pStyle w:val="19"/>
        <w:rPr>
          <w:rFonts w:hint="eastAsia" w:hAnsi="宋体" w:cs="宋体"/>
          <w:b/>
          <w:color w:val="auto"/>
          <w:sz w:val="24"/>
          <w:szCs w:val="24"/>
        </w:rPr>
      </w:pPr>
    </w:p>
    <w:p>
      <w:pPr>
        <w:pStyle w:val="19"/>
        <w:rPr>
          <w:rFonts w:hint="eastAsia" w:hAnsi="宋体" w:cs="宋体"/>
          <w:b/>
          <w:color w:val="auto"/>
          <w:sz w:val="24"/>
          <w:szCs w:val="24"/>
        </w:rPr>
      </w:pPr>
    </w:p>
    <w:p>
      <w:pPr>
        <w:pStyle w:val="19"/>
        <w:rPr>
          <w:rFonts w:hint="eastAsia" w:hAnsi="宋体" w:cs="宋体"/>
          <w:b/>
          <w:color w:val="auto"/>
          <w:sz w:val="24"/>
          <w:szCs w:val="24"/>
        </w:rPr>
      </w:pPr>
    </w:p>
    <w:p>
      <w:pPr>
        <w:pStyle w:val="19"/>
        <w:rPr>
          <w:rFonts w:hint="eastAsia" w:hAnsi="宋体" w:cs="宋体"/>
          <w:b/>
          <w:color w:val="auto"/>
          <w:sz w:val="24"/>
          <w:szCs w:val="24"/>
        </w:rPr>
      </w:pPr>
    </w:p>
    <w:p>
      <w:pPr>
        <w:spacing w:line="400" w:lineRule="exact"/>
        <w:ind w:firstLine="482"/>
        <w:jc w:val="center"/>
        <w:rPr>
          <w:rFonts w:hint="eastAsia" w:cs="宋体"/>
          <w:b/>
          <w:color w:val="auto"/>
        </w:rPr>
      </w:pPr>
    </w:p>
    <w:p>
      <w:pPr>
        <w:spacing w:line="400" w:lineRule="exact"/>
        <w:ind w:firstLine="482"/>
        <w:jc w:val="center"/>
        <w:rPr>
          <w:rFonts w:hint="eastAsia" w:cs="宋体"/>
          <w:b/>
          <w:color w:val="auto"/>
        </w:rPr>
      </w:pPr>
      <w:r>
        <w:rPr>
          <w:rFonts w:hint="eastAsia" w:cs="宋体"/>
          <w:b/>
          <w:color w:val="auto"/>
        </w:rPr>
        <w:t>B</w:t>
      </w:r>
      <w:r>
        <w:rPr>
          <w:rFonts w:hint="eastAsia" w:cs="宋体"/>
          <w:b/>
          <w:color w:val="auto"/>
          <w:lang w:val="en-US" w:eastAsia="zh-CN"/>
        </w:rPr>
        <w:t>5</w:t>
      </w:r>
      <w:r>
        <w:rPr>
          <w:rFonts w:hint="eastAsia" w:cs="宋体"/>
          <w:b/>
          <w:color w:val="auto"/>
        </w:rPr>
        <w:t>商务条款偏离表</w:t>
      </w:r>
    </w:p>
    <w:p>
      <w:pPr>
        <w:ind w:firstLine="560"/>
        <w:jc w:val="center"/>
        <w:rPr>
          <w:rFonts w:hint="eastAsia" w:cs="宋体"/>
          <w:color w:val="auto"/>
          <w:sz w:val="28"/>
        </w:rPr>
      </w:pPr>
    </w:p>
    <w:p>
      <w:pPr>
        <w:spacing w:line="400" w:lineRule="exact"/>
        <w:ind w:firstLine="480"/>
        <w:rPr>
          <w:rFonts w:hint="eastAsia" w:cs="宋体"/>
          <w:color w:val="auto"/>
        </w:rPr>
      </w:pPr>
      <w:r>
        <w:rPr>
          <w:rFonts w:hint="eastAsia" w:cs="宋体"/>
          <w:color w:val="auto"/>
        </w:rPr>
        <w:t xml:space="preserve">招标项目名称：                   招标编号：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center"/>
          </w:tcPr>
          <w:p>
            <w:pPr>
              <w:spacing w:line="500" w:lineRule="exact"/>
              <w:ind w:firstLine="0" w:firstLineChars="0"/>
              <w:jc w:val="center"/>
              <w:rPr>
                <w:rFonts w:hint="eastAsia" w:cs="宋体"/>
                <w:color w:val="auto"/>
              </w:rPr>
            </w:pPr>
            <w:r>
              <w:rPr>
                <w:rFonts w:hint="eastAsia" w:cs="宋体"/>
                <w:color w:val="auto"/>
              </w:rPr>
              <w:t>序号</w:t>
            </w:r>
          </w:p>
        </w:tc>
        <w:tc>
          <w:tcPr>
            <w:tcW w:w="2700" w:type="dxa"/>
            <w:noWrap w:val="0"/>
            <w:vAlign w:val="center"/>
          </w:tcPr>
          <w:p>
            <w:pPr>
              <w:spacing w:line="500" w:lineRule="exact"/>
              <w:ind w:firstLine="0" w:firstLineChars="0"/>
              <w:jc w:val="center"/>
              <w:rPr>
                <w:rFonts w:hint="eastAsia" w:cs="宋体"/>
                <w:color w:val="auto"/>
              </w:rPr>
            </w:pPr>
            <w:r>
              <w:rPr>
                <w:rFonts w:hint="eastAsia" w:cs="宋体"/>
                <w:color w:val="auto"/>
              </w:rPr>
              <w:t>招标要求</w:t>
            </w:r>
          </w:p>
        </w:tc>
        <w:tc>
          <w:tcPr>
            <w:tcW w:w="2625" w:type="dxa"/>
            <w:noWrap w:val="0"/>
            <w:vAlign w:val="center"/>
          </w:tcPr>
          <w:p>
            <w:pPr>
              <w:spacing w:line="500" w:lineRule="exact"/>
              <w:ind w:firstLine="0" w:firstLineChars="0"/>
              <w:jc w:val="center"/>
              <w:rPr>
                <w:rFonts w:hint="eastAsia" w:cs="宋体"/>
                <w:color w:val="auto"/>
              </w:rPr>
            </w:pPr>
            <w:r>
              <w:rPr>
                <w:rFonts w:hint="eastAsia" w:cs="宋体"/>
                <w:color w:val="auto"/>
              </w:rPr>
              <w:t xml:space="preserve">  投标响应</w:t>
            </w:r>
          </w:p>
        </w:tc>
        <w:tc>
          <w:tcPr>
            <w:tcW w:w="1890" w:type="dxa"/>
            <w:noWrap w:val="0"/>
            <w:vAlign w:val="center"/>
          </w:tcPr>
          <w:p>
            <w:pPr>
              <w:spacing w:line="500" w:lineRule="exact"/>
              <w:ind w:firstLine="0" w:firstLineChars="0"/>
              <w:jc w:val="center"/>
              <w:rPr>
                <w:rFonts w:hint="eastAsia" w:cs="宋体"/>
                <w:color w:val="auto"/>
              </w:rPr>
            </w:pPr>
            <w:r>
              <w:rPr>
                <w:rFonts w:hint="eastAsia" w:cs="宋体"/>
                <w:color w:val="auto"/>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color w:val="auto"/>
              </w:rPr>
            </w:pPr>
          </w:p>
        </w:tc>
        <w:tc>
          <w:tcPr>
            <w:tcW w:w="27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color w:val="auto"/>
              </w:rPr>
            </w:pPr>
          </w:p>
        </w:tc>
        <w:tc>
          <w:tcPr>
            <w:tcW w:w="27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color w:val="auto"/>
              </w:rPr>
            </w:pPr>
          </w:p>
        </w:tc>
        <w:tc>
          <w:tcPr>
            <w:tcW w:w="27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color w:val="auto"/>
              </w:rPr>
            </w:pPr>
          </w:p>
        </w:tc>
        <w:tc>
          <w:tcPr>
            <w:tcW w:w="27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color w:val="auto"/>
              </w:rPr>
            </w:pPr>
          </w:p>
        </w:tc>
        <w:tc>
          <w:tcPr>
            <w:tcW w:w="27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color w:val="auto"/>
              </w:rPr>
            </w:pPr>
          </w:p>
        </w:tc>
        <w:tc>
          <w:tcPr>
            <w:tcW w:w="27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color w:val="auto"/>
              </w:rPr>
            </w:pPr>
          </w:p>
        </w:tc>
        <w:tc>
          <w:tcPr>
            <w:tcW w:w="27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color w:val="auto"/>
              </w:rPr>
            </w:pPr>
          </w:p>
        </w:tc>
        <w:tc>
          <w:tcPr>
            <w:tcW w:w="27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color w:val="auto"/>
              </w:rPr>
            </w:pPr>
          </w:p>
        </w:tc>
        <w:tc>
          <w:tcPr>
            <w:tcW w:w="27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8" w:type="dxa"/>
            <w:noWrap w:val="0"/>
            <w:vAlign w:val="top"/>
          </w:tcPr>
          <w:p>
            <w:pPr>
              <w:spacing w:line="500" w:lineRule="exact"/>
              <w:ind w:firstLine="480"/>
              <w:rPr>
                <w:rFonts w:hint="eastAsia" w:cs="宋体"/>
                <w:color w:val="auto"/>
              </w:rPr>
            </w:pPr>
          </w:p>
        </w:tc>
        <w:tc>
          <w:tcPr>
            <w:tcW w:w="2700" w:type="dxa"/>
            <w:noWrap w:val="0"/>
            <w:vAlign w:val="top"/>
          </w:tcPr>
          <w:p>
            <w:pPr>
              <w:spacing w:line="500" w:lineRule="exact"/>
              <w:ind w:firstLine="480"/>
              <w:rPr>
                <w:rFonts w:hint="eastAsia" w:cs="宋体"/>
                <w:color w:val="auto"/>
              </w:rPr>
            </w:pPr>
          </w:p>
        </w:tc>
        <w:tc>
          <w:tcPr>
            <w:tcW w:w="2625" w:type="dxa"/>
            <w:noWrap w:val="0"/>
            <w:vAlign w:val="top"/>
          </w:tcPr>
          <w:p>
            <w:pPr>
              <w:spacing w:line="500" w:lineRule="exact"/>
              <w:ind w:firstLine="480"/>
              <w:rPr>
                <w:rFonts w:hint="eastAsia" w:cs="宋体"/>
                <w:color w:val="auto"/>
              </w:rPr>
            </w:pPr>
          </w:p>
        </w:tc>
        <w:tc>
          <w:tcPr>
            <w:tcW w:w="1890" w:type="dxa"/>
            <w:noWrap w:val="0"/>
            <w:vAlign w:val="top"/>
          </w:tcPr>
          <w:p>
            <w:pPr>
              <w:spacing w:line="500" w:lineRule="exact"/>
              <w:ind w:firstLine="480"/>
              <w:rPr>
                <w:rFonts w:hint="eastAsia" w:cs="宋体"/>
                <w:color w:val="auto"/>
              </w:rPr>
            </w:pPr>
          </w:p>
        </w:tc>
      </w:tr>
    </w:tbl>
    <w:p>
      <w:pPr>
        <w:spacing w:line="500" w:lineRule="exact"/>
        <w:ind w:firstLine="480"/>
        <w:rPr>
          <w:rFonts w:hint="eastAsia" w:cs="宋体"/>
          <w:color w:val="auto"/>
        </w:rPr>
      </w:pPr>
    </w:p>
    <w:p>
      <w:pPr>
        <w:spacing w:line="500" w:lineRule="exact"/>
        <w:ind w:firstLine="480"/>
        <w:rPr>
          <w:rFonts w:hint="eastAsia" w:cs="宋体"/>
          <w:color w:val="auto"/>
        </w:rPr>
      </w:pPr>
      <w:r>
        <w:rPr>
          <w:rFonts w:hint="eastAsia" w:cs="宋体"/>
          <w:color w:val="auto"/>
        </w:rPr>
        <w:t>投标人（盖章）：</w:t>
      </w:r>
    </w:p>
    <w:p>
      <w:pPr>
        <w:spacing w:line="500" w:lineRule="exact"/>
        <w:ind w:firstLine="480"/>
        <w:rPr>
          <w:rFonts w:hint="eastAsia" w:cs="宋体"/>
          <w:color w:val="auto"/>
        </w:rPr>
      </w:pPr>
    </w:p>
    <w:p>
      <w:pPr>
        <w:spacing w:line="500" w:lineRule="exact"/>
        <w:ind w:firstLine="480"/>
        <w:rPr>
          <w:rFonts w:hint="eastAsia" w:cs="宋体"/>
          <w:color w:val="auto"/>
        </w:rPr>
      </w:pPr>
    </w:p>
    <w:p>
      <w:pPr>
        <w:spacing w:line="500" w:lineRule="exact"/>
        <w:ind w:firstLine="480"/>
        <w:rPr>
          <w:rFonts w:hint="eastAsia" w:cs="宋体"/>
          <w:color w:val="auto"/>
        </w:rPr>
      </w:pPr>
      <w:r>
        <w:rPr>
          <w:rFonts w:hint="eastAsia" w:cs="宋体"/>
          <w:color w:val="auto"/>
        </w:rPr>
        <w:t>日  期：</w:t>
      </w:r>
    </w:p>
    <w:p>
      <w:pPr>
        <w:ind w:firstLine="600"/>
        <w:rPr>
          <w:rFonts w:hint="eastAsia" w:cs="宋体"/>
          <w:i/>
          <w:iCs/>
          <w:color w:val="auto"/>
          <w:sz w:val="30"/>
        </w:rPr>
      </w:pPr>
    </w:p>
    <w:p>
      <w:pPr>
        <w:pStyle w:val="2"/>
        <w:tabs>
          <w:tab w:val="left" w:pos="0"/>
          <w:tab w:val="left" w:pos="1260"/>
          <w:tab w:val="left" w:pos="1365"/>
        </w:tabs>
        <w:ind w:firstLine="600"/>
        <w:rPr>
          <w:rFonts w:hint="eastAsia" w:cs="宋体"/>
          <w:i/>
          <w:iCs/>
          <w:color w:val="auto"/>
          <w:sz w:val="30"/>
        </w:rPr>
      </w:pPr>
    </w:p>
    <w:p>
      <w:pPr>
        <w:pStyle w:val="2"/>
        <w:tabs>
          <w:tab w:val="left" w:pos="0"/>
          <w:tab w:val="left" w:pos="1260"/>
          <w:tab w:val="left" w:pos="1365"/>
        </w:tabs>
        <w:ind w:firstLine="600"/>
        <w:rPr>
          <w:rFonts w:hint="eastAsia" w:cs="宋体"/>
          <w:i/>
          <w:iCs/>
          <w:color w:val="auto"/>
          <w:sz w:val="30"/>
        </w:rPr>
      </w:pPr>
    </w:p>
    <w:p>
      <w:pPr>
        <w:pStyle w:val="2"/>
        <w:tabs>
          <w:tab w:val="left" w:pos="0"/>
          <w:tab w:val="left" w:pos="1260"/>
          <w:tab w:val="left" w:pos="1365"/>
        </w:tabs>
        <w:ind w:firstLine="600"/>
        <w:rPr>
          <w:rFonts w:hint="eastAsia" w:cs="宋体"/>
          <w:i/>
          <w:iCs/>
          <w:color w:val="auto"/>
          <w:sz w:val="30"/>
        </w:rPr>
      </w:pPr>
    </w:p>
    <w:p>
      <w:pPr>
        <w:ind w:firstLine="482"/>
        <w:jc w:val="center"/>
        <w:rPr>
          <w:rFonts w:hint="eastAsia" w:cs="宋体"/>
          <w:b/>
          <w:bCs/>
          <w:color w:val="auto"/>
        </w:rPr>
      </w:pPr>
    </w:p>
    <w:p>
      <w:pPr>
        <w:pStyle w:val="14"/>
        <w:rPr>
          <w:rFonts w:ascii="宋体" w:cs="宋体"/>
          <w:b/>
          <w:bCs/>
          <w:color w:val="auto"/>
          <w:szCs w:val="24"/>
        </w:rPr>
      </w:pPr>
    </w:p>
    <w:p>
      <w:pPr>
        <w:ind w:firstLine="480"/>
        <w:rPr>
          <w:color w:val="auto"/>
        </w:rPr>
      </w:pPr>
    </w:p>
    <w:p>
      <w:pPr>
        <w:pStyle w:val="14"/>
        <w:rPr>
          <w:rFonts w:ascii="宋体" w:cs="宋体"/>
          <w:b/>
          <w:bCs/>
          <w:color w:val="auto"/>
          <w:szCs w:val="24"/>
        </w:rPr>
      </w:pPr>
    </w:p>
    <w:p>
      <w:pPr>
        <w:ind w:firstLine="482"/>
        <w:jc w:val="center"/>
        <w:rPr>
          <w:rFonts w:hint="eastAsia" w:cs="宋体"/>
          <w:b/>
          <w:bCs/>
          <w:color w:val="auto"/>
        </w:rPr>
      </w:pPr>
    </w:p>
    <w:p>
      <w:pPr>
        <w:pStyle w:val="3"/>
        <w:rPr>
          <w:rFonts w:hint="eastAsia"/>
          <w:color w:val="auto"/>
        </w:rPr>
      </w:pPr>
    </w:p>
    <w:p>
      <w:pPr>
        <w:tabs>
          <w:tab w:val="left" w:pos="945"/>
        </w:tabs>
        <w:ind w:firstLine="482"/>
        <w:rPr>
          <w:rFonts w:hint="eastAsia" w:cs="宋体"/>
          <w:b/>
          <w:bCs/>
          <w:color w:val="auto"/>
        </w:rPr>
      </w:pPr>
      <w:r>
        <w:rPr>
          <w:rFonts w:hint="eastAsia" w:cs="宋体"/>
          <w:b/>
          <w:bCs/>
          <w:color w:val="auto"/>
        </w:rPr>
        <w:t>B</w:t>
      </w:r>
      <w:r>
        <w:rPr>
          <w:rFonts w:hint="eastAsia" w:cs="宋体"/>
          <w:b/>
          <w:bCs/>
          <w:color w:val="auto"/>
          <w:lang w:val="en-US" w:eastAsia="zh-CN"/>
        </w:rPr>
        <w:t>6</w:t>
      </w:r>
      <w:r>
        <w:rPr>
          <w:rFonts w:hint="eastAsia" w:cs="宋体"/>
          <w:b/>
          <w:bCs/>
          <w:color w:val="auto"/>
        </w:rPr>
        <w:t>服务管理整体设想及策划；</w:t>
      </w:r>
    </w:p>
    <w:p>
      <w:pPr>
        <w:pStyle w:val="2"/>
        <w:rPr>
          <w:rFonts w:hint="eastAsia" w:cs="宋体"/>
          <w:b w:val="0"/>
          <w:bCs w:val="0"/>
          <w:i/>
          <w:iCs/>
          <w:color w:val="auto"/>
          <w:lang w:eastAsia="zh-CN"/>
        </w:rPr>
      </w:pPr>
      <w:r>
        <w:rPr>
          <w:rFonts w:hint="eastAsia" w:cs="宋体"/>
          <w:b w:val="0"/>
          <w:bCs w:val="0"/>
          <w:i/>
          <w:iCs/>
          <w:color w:val="auto"/>
          <w:lang w:eastAsia="zh-CN"/>
        </w:rPr>
        <w:t>内容、格式自拟</w:t>
      </w:r>
    </w:p>
    <w:p>
      <w:pPr>
        <w:rPr>
          <w:rFonts w:hint="eastAsia"/>
          <w:color w:val="auto"/>
          <w:lang w:eastAsia="zh-CN"/>
        </w:rPr>
      </w:pPr>
    </w:p>
    <w:p>
      <w:pPr>
        <w:pStyle w:val="2"/>
        <w:rPr>
          <w:rFonts w:hint="eastAsia" w:cs="宋体"/>
          <w:b/>
          <w:bCs/>
          <w:color w:val="auto"/>
        </w:rPr>
      </w:pPr>
      <w:r>
        <w:rPr>
          <w:rFonts w:hint="eastAsia" w:cs="宋体"/>
          <w:b/>
          <w:bCs/>
          <w:color w:val="auto"/>
        </w:rPr>
        <w:t>B</w:t>
      </w:r>
      <w:r>
        <w:rPr>
          <w:rFonts w:hint="eastAsia" w:cs="宋体"/>
          <w:b/>
          <w:bCs/>
          <w:color w:val="auto"/>
          <w:lang w:val="en-US" w:eastAsia="zh-CN"/>
        </w:rPr>
        <w:t>7</w:t>
      </w:r>
      <w:r>
        <w:rPr>
          <w:rFonts w:hint="eastAsia" w:cs="宋体"/>
          <w:b/>
          <w:bCs/>
          <w:color w:val="auto"/>
        </w:rPr>
        <w:t>设备装备计划；</w:t>
      </w:r>
    </w:p>
    <w:p>
      <w:pPr>
        <w:pStyle w:val="2"/>
        <w:rPr>
          <w:rFonts w:hint="eastAsia" w:eastAsia="宋体"/>
          <w:b w:val="0"/>
          <w:bCs w:val="0"/>
          <w:i/>
          <w:iCs/>
          <w:color w:val="auto"/>
          <w:lang w:eastAsia="zh-CN"/>
        </w:rPr>
      </w:pPr>
      <w:r>
        <w:rPr>
          <w:rFonts w:hint="eastAsia" w:cs="宋体"/>
          <w:b w:val="0"/>
          <w:bCs w:val="0"/>
          <w:i/>
          <w:iCs/>
          <w:color w:val="auto"/>
          <w:lang w:eastAsia="zh-CN"/>
        </w:rPr>
        <w:t>内容、格式自拟</w:t>
      </w:r>
    </w:p>
    <w:p>
      <w:pPr>
        <w:tabs>
          <w:tab w:val="left" w:pos="945"/>
        </w:tabs>
        <w:ind w:firstLine="482"/>
        <w:rPr>
          <w:rFonts w:hint="eastAsia" w:cs="宋体"/>
          <w:b/>
          <w:bCs/>
          <w:color w:val="auto"/>
        </w:rPr>
      </w:pPr>
    </w:p>
    <w:p>
      <w:pPr>
        <w:tabs>
          <w:tab w:val="left" w:pos="945"/>
        </w:tabs>
        <w:ind w:firstLine="482"/>
        <w:rPr>
          <w:rFonts w:hint="eastAsia" w:cs="宋体"/>
          <w:b/>
          <w:bCs/>
          <w:color w:val="auto"/>
        </w:rPr>
      </w:pPr>
      <w:r>
        <w:rPr>
          <w:rFonts w:hint="eastAsia" w:cs="宋体"/>
          <w:b/>
          <w:bCs/>
          <w:color w:val="auto"/>
        </w:rPr>
        <w:t>B</w:t>
      </w:r>
      <w:r>
        <w:rPr>
          <w:rFonts w:hint="eastAsia" w:cs="宋体"/>
          <w:b/>
          <w:bCs/>
          <w:color w:val="auto"/>
          <w:lang w:val="en-US" w:eastAsia="zh-CN"/>
        </w:rPr>
        <w:t>8</w:t>
      </w:r>
      <w:r>
        <w:rPr>
          <w:rFonts w:hint="eastAsia" w:cs="宋体"/>
          <w:b/>
          <w:bCs/>
          <w:color w:val="auto"/>
        </w:rPr>
        <w:t>制度和档案的建立与管理；</w:t>
      </w:r>
    </w:p>
    <w:p>
      <w:pPr>
        <w:pStyle w:val="2"/>
        <w:rPr>
          <w:rFonts w:hint="eastAsia" w:eastAsia="宋体"/>
          <w:b w:val="0"/>
          <w:bCs w:val="0"/>
          <w:i/>
          <w:iCs/>
          <w:color w:val="auto"/>
          <w:lang w:eastAsia="zh-CN"/>
        </w:rPr>
      </w:pPr>
      <w:r>
        <w:rPr>
          <w:rFonts w:hint="eastAsia" w:cs="宋体"/>
          <w:b w:val="0"/>
          <w:bCs w:val="0"/>
          <w:i/>
          <w:iCs/>
          <w:color w:val="auto"/>
          <w:lang w:eastAsia="zh-CN"/>
        </w:rPr>
        <w:t>内容、格式自拟</w:t>
      </w:r>
    </w:p>
    <w:p>
      <w:pPr>
        <w:pStyle w:val="2"/>
        <w:rPr>
          <w:rFonts w:hint="eastAsia"/>
          <w:color w:val="auto"/>
        </w:rPr>
      </w:pPr>
    </w:p>
    <w:p>
      <w:pPr>
        <w:tabs>
          <w:tab w:val="left" w:pos="945"/>
        </w:tabs>
        <w:ind w:firstLine="482"/>
        <w:rPr>
          <w:rFonts w:hint="eastAsia" w:cs="宋体"/>
          <w:b/>
          <w:bCs/>
          <w:color w:val="auto"/>
        </w:rPr>
      </w:pPr>
      <w:r>
        <w:rPr>
          <w:rFonts w:hint="eastAsia" w:cs="宋体"/>
          <w:b/>
          <w:bCs/>
          <w:color w:val="auto"/>
        </w:rPr>
        <w:t>B</w:t>
      </w:r>
      <w:r>
        <w:rPr>
          <w:rFonts w:hint="eastAsia" w:cs="宋体"/>
          <w:b/>
          <w:bCs/>
          <w:color w:val="auto"/>
          <w:lang w:val="en-US" w:eastAsia="zh-CN"/>
        </w:rPr>
        <w:t>9</w:t>
      </w:r>
      <w:r>
        <w:rPr>
          <w:rFonts w:hint="eastAsia" w:cs="宋体"/>
          <w:b/>
          <w:bCs/>
          <w:color w:val="auto"/>
        </w:rPr>
        <w:t>项目的服务与管理；</w:t>
      </w:r>
    </w:p>
    <w:p>
      <w:pPr>
        <w:pStyle w:val="2"/>
        <w:rPr>
          <w:rFonts w:hint="eastAsia" w:eastAsia="宋体"/>
          <w:b w:val="0"/>
          <w:bCs w:val="0"/>
          <w:i/>
          <w:iCs/>
          <w:color w:val="auto"/>
          <w:lang w:eastAsia="zh-CN"/>
        </w:rPr>
      </w:pPr>
      <w:r>
        <w:rPr>
          <w:rFonts w:hint="eastAsia" w:cs="宋体"/>
          <w:b w:val="0"/>
          <w:bCs w:val="0"/>
          <w:i/>
          <w:iCs/>
          <w:color w:val="auto"/>
          <w:lang w:eastAsia="zh-CN"/>
        </w:rPr>
        <w:t>内容、格式自拟</w:t>
      </w:r>
    </w:p>
    <w:p>
      <w:pPr>
        <w:pStyle w:val="2"/>
        <w:rPr>
          <w:rFonts w:hint="eastAsia"/>
          <w:color w:val="auto"/>
        </w:rPr>
      </w:pPr>
    </w:p>
    <w:p>
      <w:pPr>
        <w:tabs>
          <w:tab w:val="left" w:pos="945"/>
        </w:tabs>
        <w:ind w:firstLine="482"/>
        <w:rPr>
          <w:rFonts w:hint="eastAsia" w:cs="宋体"/>
          <w:b/>
          <w:bCs/>
          <w:color w:val="auto"/>
        </w:rPr>
      </w:pPr>
      <w:r>
        <w:rPr>
          <w:rFonts w:hint="eastAsia" w:cs="宋体"/>
          <w:b/>
          <w:bCs/>
          <w:color w:val="auto"/>
        </w:rPr>
        <w:t>B</w:t>
      </w:r>
      <w:r>
        <w:rPr>
          <w:rFonts w:hint="eastAsia" w:cs="宋体"/>
          <w:b/>
          <w:bCs/>
          <w:color w:val="auto"/>
          <w:lang w:val="en-US" w:eastAsia="zh-CN"/>
        </w:rPr>
        <w:t>10</w:t>
      </w:r>
      <w:r>
        <w:rPr>
          <w:rFonts w:hint="eastAsia" w:cs="宋体"/>
          <w:b/>
          <w:bCs/>
          <w:color w:val="auto"/>
        </w:rPr>
        <w:t>突发事件应急处理措施；</w:t>
      </w:r>
    </w:p>
    <w:p>
      <w:pPr>
        <w:pStyle w:val="2"/>
        <w:rPr>
          <w:rFonts w:hint="eastAsia" w:eastAsia="宋体"/>
          <w:b w:val="0"/>
          <w:bCs w:val="0"/>
          <w:i/>
          <w:iCs/>
          <w:color w:val="auto"/>
          <w:lang w:eastAsia="zh-CN"/>
        </w:rPr>
      </w:pPr>
      <w:r>
        <w:rPr>
          <w:rFonts w:hint="eastAsia" w:cs="宋体"/>
          <w:b w:val="0"/>
          <w:bCs w:val="0"/>
          <w:i/>
          <w:iCs/>
          <w:color w:val="auto"/>
          <w:lang w:eastAsia="zh-CN"/>
        </w:rPr>
        <w:t>内容、格式自拟</w:t>
      </w:r>
    </w:p>
    <w:p>
      <w:pPr>
        <w:pStyle w:val="2"/>
        <w:rPr>
          <w:rFonts w:hint="eastAsia"/>
          <w:color w:val="auto"/>
        </w:rPr>
      </w:pPr>
    </w:p>
    <w:p>
      <w:pPr>
        <w:tabs>
          <w:tab w:val="left" w:pos="945"/>
        </w:tabs>
        <w:ind w:firstLine="482"/>
        <w:rPr>
          <w:rFonts w:hint="eastAsia" w:cs="宋体"/>
          <w:b/>
          <w:bCs/>
          <w:color w:val="auto"/>
          <w:lang w:eastAsia="zh-CN"/>
        </w:rPr>
      </w:pPr>
      <w:r>
        <w:rPr>
          <w:rFonts w:hint="eastAsia" w:cs="宋体"/>
          <w:b/>
          <w:bCs/>
          <w:color w:val="auto"/>
        </w:rPr>
        <w:t>B</w:t>
      </w:r>
      <w:r>
        <w:rPr>
          <w:rFonts w:hint="eastAsia" w:cs="宋体"/>
          <w:b/>
          <w:bCs/>
          <w:color w:val="auto"/>
          <w:lang w:val="en-US" w:eastAsia="zh-CN"/>
        </w:rPr>
        <w:t>11</w:t>
      </w:r>
      <w:r>
        <w:rPr>
          <w:rFonts w:hint="eastAsia" w:cs="宋体"/>
          <w:b/>
          <w:bCs/>
          <w:color w:val="auto"/>
        </w:rPr>
        <w:t>服务管理承诺</w:t>
      </w:r>
      <w:r>
        <w:rPr>
          <w:rFonts w:hint="eastAsia" w:cs="宋体"/>
          <w:b/>
          <w:bCs/>
          <w:color w:val="auto"/>
          <w:lang w:eastAsia="zh-CN"/>
        </w:rPr>
        <w:t>；</w:t>
      </w:r>
    </w:p>
    <w:p>
      <w:pPr>
        <w:pStyle w:val="2"/>
        <w:rPr>
          <w:rFonts w:hint="eastAsia" w:cs="宋体"/>
          <w:b w:val="0"/>
          <w:bCs w:val="0"/>
          <w:i/>
          <w:iCs/>
          <w:color w:val="auto"/>
          <w:lang w:eastAsia="zh-CN"/>
        </w:rPr>
      </w:pPr>
      <w:r>
        <w:rPr>
          <w:rFonts w:hint="eastAsia" w:cs="宋体"/>
          <w:b w:val="0"/>
          <w:bCs w:val="0"/>
          <w:i/>
          <w:iCs/>
          <w:color w:val="auto"/>
          <w:lang w:eastAsia="zh-CN"/>
        </w:rPr>
        <w:t>内容、格式自拟</w:t>
      </w:r>
    </w:p>
    <w:p>
      <w:pPr>
        <w:rPr>
          <w:rFonts w:hint="eastAsia"/>
          <w:color w:val="auto"/>
          <w:lang w:eastAsia="zh-CN"/>
        </w:rPr>
      </w:pPr>
    </w:p>
    <w:p>
      <w:pPr>
        <w:tabs>
          <w:tab w:val="left" w:pos="945"/>
        </w:tabs>
        <w:ind w:firstLine="482"/>
        <w:rPr>
          <w:rFonts w:hint="eastAsia" w:cs="宋体"/>
          <w:b/>
          <w:bCs/>
          <w:color w:val="auto"/>
        </w:rPr>
      </w:pPr>
      <w:r>
        <w:rPr>
          <w:rFonts w:hint="eastAsia" w:cs="宋体"/>
          <w:b/>
          <w:bCs/>
          <w:color w:val="auto"/>
        </w:rPr>
        <w:t>B</w:t>
      </w:r>
      <w:r>
        <w:rPr>
          <w:rFonts w:hint="eastAsia" w:cs="宋体"/>
          <w:b/>
          <w:bCs/>
          <w:color w:val="auto"/>
          <w:lang w:val="en-US" w:eastAsia="zh-CN"/>
        </w:rPr>
        <w:t>12</w:t>
      </w:r>
      <w:r>
        <w:rPr>
          <w:rFonts w:hint="eastAsia" w:cs="宋体"/>
          <w:b/>
          <w:bCs/>
          <w:color w:val="auto"/>
        </w:rPr>
        <w:t>人员管理</w:t>
      </w:r>
    </w:p>
    <w:p>
      <w:pPr>
        <w:pStyle w:val="2"/>
        <w:rPr>
          <w:rFonts w:hint="eastAsia" w:eastAsia="宋体"/>
          <w:b w:val="0"/>
          <w:bCs w:val="0"/>
          <w:i/>
          <w:iCs/>
          <w:color w:val="auto"/>
          <w:lang w:eastAsia="zh-CN"/>
        </w:rPr>
      </w:pPr>
      <w:r>
        <w:rPr>
          <w:rFonts w:hint="eastAsia" w:cs="宋体"/>
          <w:b w:val="0"/>
          <w:bCs w:val="0"/>
          <w:i/>
          <w:iCs/>
          <w:color w:val="auto"/>
          <w:lang w:eastAsia="zh-CN"/>
        </w:rPr>
        <w:t>内容、格式自拟</w:t>
      </w:r>
    </w:p>
    <w:p>
      <w:pPr>
        <w:pStyle w:val="2"/>
        <w:rPr>
          <w:rFonts w:hint="eastAsia"/>
          <w:color w:val="auto"/>
        </w:rPr>
      </w:pPr>
    </w:p>
    <w:p>
      <w:pPr>
        <w:ind w:firstLine="482"/>
        <w:jc w:val="center"/>
        <w:rPr>
          <w:rFonts w:hint="eastAsia" w:cs="宋体"/>
          <w:b/>
          <w:bCs/>
          <w:color w:val="auto"/>
        </w:rPr>
      </w:pPr>
    </w:p>
    <w:p>
      <w:pPr>
        <w:ind w:firstLine="482"/>
        <w:jc w:val="center"/>
        <w:rPr>
          <w:rFonts w:hint="eastAsia" w:cs="宋体"/>
          <w:b/>
          <w:bCs/>
          <w:color w:val="auto"/>
        </w:rPr>
      </w:pPr>
    </w:p>
    <w:p>
      <w:pPr>
        <w:ind w:firstLine="482"/>
        <w:jc w:val="center"/>
        <w:rPr>
          <w:rFonts w:hint="eastAsia" w:cs="宋体"/>
          <w:b/>
          <w:bCs/>
          <w:color w:val="auto"/>
        </w:rPr>
      </w:pPr>
    </w:p>
    <w:p>
      <w:pPr>
        <w:ind w:firstLine="482"/>
        <w:jc w:val="center"/>
        <w:rPr>
          <w:rFonts w:hint="eastAsia" w:cs="宋体"/>
          <w:b/>
          <w:bCs/>
          <w:color w:val="auto"/>
        </w:rPr>
      </w:pPr>
    </w:p>
    <w:p>
      <w:pPr>
        <w:ind w:firstLine="482"/>
        <w:jc w:val="center"/>
        <w:rPr>
          <w:rFonts w:hint="eastAsia" w:cs="宋体"/>
          <w:b/>
          <w:bCs/>
          <w:color w:val="auto"/>
        </w:rPr>
      </w:pPr>
    </w:p>
    <w:p>
      <w:pPr>
        <w:ind w:firstLine="482"/>
        <w:jc w:val="center"/>
        <w:rPr>
          <w:rFonts w:hint="eastAsia" w:cs="宋体"/>
          <w:b/>
          <w:bCs/>
          <w:color w:val="auto"/>
        </w:rPr>
      </w:pPr>
    </w:p>
    <w:p>
      <w:pPr>
        <w:ind w:firstLine="482"/>
        <w:jc w:val="center"/>
        <w:rPr>
          <w:rFonts w:hint="eastAsia" w:cs="宋体"/>
          <w:b/>
          <w:bCs/>
          <w:color w:val="auto"/>
        </w:rPr>
      </w:pPr>
      <w:r>
        <w:rPr>
          <w:rFonts w:hint="eastAsia" w:cs="宋体"/>
          <w:b/>
          <w:bCs/>
          <w:color w:val="auto"/>
        </w:rPr>
        <w:t>B</w:t>
      </w:r>
      <w:r>
        <w:rPr>
          <w:rFonts w:hint="eastAsia" w:cs="宋体"/>
          <w:b/>
          <w:bCs/>
          <w:color w:val="auto"/>
          <w:lang w:val="en-US" w:eastAsia="zh-CN"/>
        </w:rPr>
        <w:t>13</w:t>
      </w:r>
      <w:r>
        <w:rPr>
          <w:rFonts w:hint="eastAsia" w:cs="宋体"/>
          <w:b/>
          <w:bCs/>
          <w:color w:val="auto"/>
        </w:rPr>
        <w:t>人员</w:t>
      </w:r>
      <w:r>
        <w:rPr>
          <w:rFonts w:hint="eastAsia" w:cs="宋体"/>
          <w:b/>
          <w:bCs/>
          <w:color w:val="auto"/>
          <w:lang w:eastAsia="zh-CN"/>
        </w:rPr>
        <w:t>配备</w:t>
      </w:r>
      <w:r>
        <w:rPr>
          <w:rFonts w:hint="eastAsia" w:cs="宋体"/>
          <w:b/>
          <w:bCs/>
          <w:color w:val="auto"/>
        </w:rPr>
        <w:t>一览表</w:t>
      </w:r>
    </w:p>
    <w:p>
      <w:pPr>
        <w:spacing w:line="200" w:lineRule="atLeast"/>
        <w:ind w:left="-720" w:right="-965" w:firstLine="763"/>
        <w:jc w:val="center"/>
        <w:rPr>
          <w:rFonts w:hint="eastAsia"/>
          <w:b/>
          <w:bCs/>
          <w:color w:val="auto"/>
          <w:spacing w:val="30"/>
          <w:sz w:val="32"/>
        </w:rPr>
      </w:pPr>
    </w:p>
    <w:p>
      <w:pPr>
        <w:spacing w:line="400" w:lineRule="exact"/>
        <w:ind w:firstLine="960" w:firstLineChars="400"/>
        <w:rPr>
          <w:rFonts w:hint="eastAsia"/>
          <w:color w:val="auto"/>
        </w:rPr>
      </w:pPr>
      <w:r>
        <w:rPr>
          <w:rFonts w:hint="eastAsia"/>
          <w:color w:val="auto"/>
        </w:rPr>
        <w:t xml:space="preserve">招标项目名称：                   招标编号：           </w:t>
      </w:r>
    </w:p>
    <w:tbl>
      <w:tblPr>
        <w:tblStyle w:val="39"/>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lang w:val="zh-CN"/>
              </w:rPr>
            </w:pPr>
            <w:r>
              <w:rPr>
                <w:rFonts w:hint="eastAsia"/>
                <w:color w:val="auto"/>
                <w:lang w:val="zh-CN"/>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lang w:val="zh-CN"/>
              </w:rPr>
            </w:pPr>
            <w:r>
              <w:rPr>
                <w:rFonts w:hint="eastAsia"/>
                <w:color w:val="auto"/>
                <w:lang w:val="zh-CN"/>
              </w:rPr>
              <w:t>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lang w:val="zh-CN"/>
              </w:rPr>
            </w:pPr>
            <w:r>
              <w:rPr>
                <w:rFonts w:hint="eastAsia"/>
                <w:color w:val="auto"/>
                <w:lang w:val="zh-CN"/>
              </w:rPr>
              <w:t>职位</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lang w:val="zh-CN"/>
              </w:rPr>
            </w:pPr>
            <w:r>
              <w:rPr>
                <w:rFonts w:hint="eastAsia"/>
                <w:color w:val="auto"/>
                <w:lang w:val="zh-CN"/>
              </w:rPr>
              <w:t>负责工作任务</w:t>
            </w:r>
          </w:p>
        </w:tc>
        <w:tc>
          <w:tcPr>
            <w:tcW w:w="239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lang w:val="zh-CN"/>
              </w:rPr>
            </w:pPr>
            <w:r>
              <w:rPr>
                <w:rFonts w:hint="eastAsia"/>
                <w:color w:val="auto"/>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auto"/>
                <w:lang w:val="zh-CN"/>
              </w:rPr>
            </w:pPr>
            <w:r>
              <w:rPr>
                <w:rFonts w:hint="eastAsia"/>
                <w:color w:val="auto"/>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olor w:val="auto"/>
                <w:lang w:val="zh-CN"/>
              </w:rPr>
            </w:pPr>
            <w:r>
              <w:rPr>
                <w:rFonts w:hint="eastAsia"/>
                <w:color w:val="auto"/>
                <w:lang w:val="zh-CN"/>
              </w:rPr>
              <w:t>1</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olor w:val="auto"/>
                <w:lang w:val="zh-CN"/>
              </w:rPr>
            </w:pPr>
            <w:r>
              <w:rPr>
                <w:rFonts w:hint="eastAsia"/>
                <w:color w:val="auto"/>
                <w:lang w:val="zh-CN"/>
              </w:rPr>
              <w:t>2</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olor w:val="auto"/>
                <w:lang w:val="zh-CN"/>
              </w:rPr>
            </w:pPr>
            <w:r>
              <w:rPr>
                <w:rFonts w:hint="eastAsia"/>
                <w:color w:val="auto"/>
                <w:lang w:val="zh-CN"/>
              </w:rPr>
              <w:t>3</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olor w:val="auto"/>
                <w:lang w:val="zh-CN"/>
              </w:rPr>
            </w:pPr>
            <w:r>
              <w:rPr>
                <w:rFonts w:hint="eastAsia"/>
                <w:color w:val="auto"/>
                <w:lang w:val="zh-CN"/>
              </w:rPr>
              <w:t>4</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olor w:val="auto"/>
                <w:lang w:val="zh-CN"/>
              </w:rPr>
            </w:pPr>
            <w:r>
              <w:rPr>
                <w:rFonts w:hint="eastAsia"/>
                <w:color w:val="auto"/>
                <w:lang w:val="zh-CN"/>
              </w:rPr>
              <w:t>5</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olor w:val="auto"/>
                <w:lang w:val="zh-CN"/>
              </w:rPr>
            </w:pPr>
            <w:r>
              <w:rPr>
                <w:rFonts w:hint="eastAsia"/>
                <w:color w:val="auto"/>
                <w:lang w:val="zh-CN"/>
              </w:rPr>
              <w:t>6</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olor w:val="auto"/>
                <w:lang w:val="zh-CN"/>
              </w:rPr>
            </w:pPr>
            <w:r>
              <w:rPr>
                <w:rFonts w:hint="eastAsia"/>
                <w:color w:val="auto"/>
                <w:lang w:val="zh-CN"/>
              </w:rPr>
              <w:t>7</w:t>
            </w:r>
          </w:p>
        </w:tc>
        <w:tc>
          <w:tcPr>
            <w:tcW w:w="126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520"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2396"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480"/>
              <w:rPr>
                <w:color w:val="auto"/>
              </w:rPr>
            </w:pPr>
          </w:p>
        </w:tc>
      </w:tr>
    </w:tbl>
    <w:p>
      <w:pPr>
        <w:ind w:firstLine="480"/>
        <w:rPr>
          <w:color w:val="auto"/>
        </w:rPr>
      </w:pPr>
    </w:p>
    <w:p>
      <w:pPr>
        <w:spacing w:line="240" w:lineRule="atLeast"/>
        <w:ind w:left="-720" w:right="-960" w:firstLine="496"/>
        <w:rPr>
          <w:rFonts w:hint="eastAsia"/>
          <w:color w:val="auto"/>
          <w:spacing w:val="4"/>
        </w:rPr>
      </w:pPr>
    </w:p>
    <w:p>
      <w:pPr>
        <w:spacing w:line="240" w:lineRule="atLeast"/>
        <w:ind w:left="-823" w:leftChars="-343" w:right="-960" w:firstLine="480"/>
        <w:rPr>
          <w:rFonts w:hint="eastAsia"/>
          <w:color w:val="auto"/>
        </w:rPr>
      </w:pPr>
      <w:r>
        <w:rPr>
          <w:rFonts w:hint="eastAsia"/>
          <w:color w:val="auto"/>
        </w:rPr>
        <w:t>投标方（盖章）：</w:t>
      </w:r>
    </w:p>
    <w:p>
      <w:pPr>
        <w:spacing w:line="240" w:lineRule="atLeast"/>
        <w:ind w:left="-823" w:leftChars="-343" w:right="-960" w:firstLine="480"/>
        <w:rPr>
          <w:rFonts w:hint="eastAsia"/>
          <w:color w:val="auto"/>
        </w:rPr>
      </w:pPr>
    </w:p>
    <w:p>
      <w:pPr>
        <w:spacing w:line="240" w:lineRule="atLeast"/>
        <w:ind w:left="-823" w:leftChars="-343" w:right="-960" w:firstLine="480"/>
        <w:rPr>
          <w:rFonts w:hint="eastAsia"/>
          <w:color w:val="auto"/>
        </w:rPr>
      </w:pPr>
    </w:p>
    <w:p>
      <w:pPr>
        <w:spacing w:line="240" w:lineRule="atLeast"/>
        <w:ind w:left="-823" w:leftChars="-343" w:right="-960" w:firstLine="480"/>
        <w:rPr>
          <w:rFonts w:hint="eastAsia"/>
          <w:color w:val="auto"/>
        </w:rPr>
      </w:pPr>
      <w:r>
        <w:rPr>
          <w:rFonts w:hint="eastAsia"/>
          <w:color w:val="auto"/>
        </w:rPr>
        <w:t>日  期：</w:t>
      </w:r>
    </w:p>
    <w:p>
      <w:pPr>
        <w:spacing w:line="240" w:lineRule="atLeast"/>
        <w:ind w:left="-823" w:leftChars="-343" w:right="-960" w:firstLine="480"/>
        <w:rPr>
          <w:rFonts w:hint="eastAsia" w:cs="宋体"/>
          <w:b/>
          <w:bCs/>
          <w:color w:val="auto"/>
        </w:rPr>
      </w:pPr>
      <w:r>
        <w:rPr>
          <w:rFonts w:hint="eastAsia"/>
          <w:color w:val="auto"/>
        </w:rPr>
        <w:br w:type="page"/>
      </w:r>
      <w:r>
        <w:rPr>
          <w:rFonts w:hint="eastAsia" w:cs="宋体"/>
          <w:b/>
          <w:bCs/>
          <w:color w:val="auto"/>
          <w:lang w:val="en-US" w:eastAsia="zh-CN"/>
        </w:rPr>
        <w:t>B14</w:t>
      </w:r>
      <w:r>
        <w:rPr>
          <w:rFonts w:hint="eastAsia" w:cs="宋体"/>
          <w:b/>
          <w:bCs/>
          <w:color w:val="auto"/>
        </w:rPr>
        <w:t>体系认证</w:t>
      </w:r>
      <w:r>
        <w:rPr>
          <w:rFonts w:hint="eastAsia" w:cs="宋体"/>
          <w:b/>
          <w:bCs/>
          <w:color w:val="auto"/>
          <w:lang w:eastAsia="zh-CN"/>
        </w:rPr>
        <w:t>；</w:t>
      </w:r>
    </w:p>
    <w:p>
      <w:pPr>
        <w:ind w:firstLine="482"/>
        <w:jc w:val="center"/>
        <w:rPr>
          <w:rFonts w:hint="eastAsia" w:cs="宋体"/>
          <w:b/>
          <w:bCs/>
          <w:color w:val="auto"/>
        </w:rPr>
      </w:pPr>
    </w:p>
    <w:p>
      <w:pPr>
        <w:ind w:firstLine="482"/>
        <w:jc w:val="center"/>
        <w:rPr>
          <w:rFonts w:hint="eastAsia" w:cs="宋体"/>
          <w:b/>
          <w:bCs/>
          <w:color w:val="auto"/>
        </w:rPr>
      </w:pPr>
    </w:p>
    <w:p>
      <w:pPr>
        <w:ind w:firstLine="482"/>
        <w:jc w:val="center"/>
        <w:rPr>
          <w:rFonts w:hint="eastAsia" w:cs="宋体"/>
          <w:b/>
          <w:bCs/>
          <w:color w:val="auto"/>
        </w:rPr>
      </w:pPr>
      <w:r>
        <w:rPr>
          <w:rFonts w:hint="eastAsia" w:cs="宋体"/>
          <w:b/>
          <w:bCs/>
          <w:color w:val="auto"/>
        </w:rPr>
        <w:t>B1</w:t>
      </w:r>
      <w:r>
        <w:rPr>
          <w:rFonts w:hint="eastAsia" w:cs="宋体"/>
          <w:b/>
          <w:bCs/>
          <w:color w:val="auto"/>
          <w:lang w:val="en-US" w:eastAsia="zh-CN"/>
        </w:rPr>
        <w:t>5</w:t>
      </w:r>
      <w:r>
        <w:rPr>
          <w:rFonts w:hint="eastAsia" w:cs="宋体"/>
          <w:b/>
          <w:bCs/>
          <w:color w:val="auto"/>
        </w:rPr>
        <w:t>完成的类似项目一览表</w:t>
      </w:r>
    </w:p>
    <w:p>
      <w:pPr>
        <w:spacing w:line="200" w:lineRule="atLeast"/>
        <w:ind w:left="-720" w:right="-965" w:firstLine="763"/>
        <w:jc w:val="center"/>
        <w:rPr>
          <w:rFonts w:hint="eastAsia" w:cs="宋体"/>
          <w:b/>
          <w:bCs/>
          <w:color w:val="auto"/>
          <w:spacing w:val="30"/>
          <w:sz w:val="32"/>
        </w:rPr>
      </w:pPr>
    </w:p>
    <w:p>
      <w:pPr>
        <w:ind w:firstLine="960" w:firstLineChars="400"/>
        <w:rPr>
          <w:rFonts w:hint="eastAsia" w:cs="宋体"/>
          <w:b/>
          <w:bCs/>
          <w:color w:val="auto"/>
          <w:lang w:val="zh-CN"/>
        </w:rPr>
      </w:pPr>
      <w:r>
        <w:rPr>
          <w:rFonts w:hint="eastAsia" w:cs="宋体"/>
          <w:color w:val="auto"/>
        </w:rPr>
        <w:t xml:space="preserve">招标项目名称：                   招标编号：              </w:t>
      </w:r>
    </w:p>
    <w:tbl>
      <w:tblPr>
        <w:tblStyle w:val="39"/>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color w:val="auto"/>
                <w:lang w:val="zh-CN"/>
              </w:rPr>
            </w:pPr>
            <w:r>
              <w:rPr>
                <w:rFonts w:hint="eastAsia" w:cs="宋体"/>
                <w:color w:val="auto"/>
                <w:lang w:val="zh-CN"/>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color w:val="auto"/>
                <w:lang w:val="zh-CN"/>
              </w:rPr>
            </w:pPr>
            <w:r>
              <w:rPr>
                <w:rFonts w:hint="eastAsia" w:cs="宋体"/>
                <w:color w:val="auto"/>
                <w:lang w:val="zh-CN"/>
              </w:rPr>
              <w:t>项目名称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color w:val="auto"/>
                <w:lang w:val="zh-CN"/>
              </w:rPr>
            </w:pPr>
            <w:r>
              <w:rPr>
                <w:rFonts w:hint="eastAsia" w:cs="宋体"/>
                <w:color w:val="auto"/>
                <w:lang w:val="zh-CN"/>
              </w:rPr>
              <w:t>项目时间</w:t>
            </w:r>
          </w:p>
          <w:p>
            <w:pPr>
              <w:ind w:firstLine="0" w:firstLineChars="0"/>
              <w:jc w:val="center"/>
              <w:rPr>
                <w:rFonts w:hint="eastAsia" w:cs="宋体"/>
                <w:color w:val="auto"/>
                <w:lang w:val="zh-CN"/>
              </w:rPr>
            </w:pPr>
            <w:r>
              <w:rPr>
                <w:rFonts w:hint="eastAsia" w:cs="宋体"/>
                <w:color w:val="auto"/>
                <w:lang w:val="zh-CN"/>
              </w:rPr>
              <w:t>年/月</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color w:val="auto"/>
                <w:lang w:val="zh-CN"/>
              </w:rPr>
            </w:pPr>
            <w:r>
              <w:rPr>
                <w:rFonts w:hint="eastAsia" w:cs="宋体"/>
                <w:color w:val="auto"/>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color w:val="auto"/>
                <w:lang w:val="zh-CN"/>
              </w:rPr>
            </w:pPr>
            <w:r>
              <w:rPr>
                <w:rFonts w:hint="eastAsia" w:cs="宋体"/>
                <w:color w:val="auto"/>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s="宋体"/>
                <w:color w:val="auto"/>
                <w:lang w:val="zh-CN"/>
              </w:rPr>
            </w:pPr>
            <w:r>
              <w:rPr>
                <w:rFonts w:hint="eastAsia" w:cs="宋体"/>
                <w:color w:val="auto"/>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r>
              <w:rPr>
                <w:rFonts w:hint="eastAsia" w:cs="宋体"/>
                <w:color w:val="auto"/>
                <w:lang w:val="zh-CN"/>
              </w:rPr>
              <w:t>1</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r>
              <w:rPr>
                <w:rFonts w:hint="eastAsia" w:cs="宋体"/>
                <w:color w:val="auto"/>
                <w:lang w:val="zh-CN"/>
              </w:rPr>
              <w:t>2</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r>
              <w:rPr>
                <w:rFonts w:hint="eastAsia" w:cs="宋体"/>
                <w:color w:val="auto"/>
                <w:lang w:val="zh-CN"/>
              </w:rPr>
              <w:t>3</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r>
              <w:rPr>
                <w:rFonts w:hint="eastAsia" w:cs="宋体"/>
                <w:color w:val="auto"/>
                <w:lang w:val="zh-CN"/>
              </w:rPr>
              <w:t>4</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r>
              <w:rPr>
                <w:rFonts w:hint="eastAsia" w:cs="宋体"/>
                <w:color w:val="auto"/>
                <w:lang w:val="zh-CN"/>
              </w:rPr>
              <w:t>5</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r>
              <w:rPr>
                <w:rFonts w:hint="eastAsia" w:cs="宋体"/>
                <w:color w:val="auto"/>
                <w:lang w:val="zh-CN"/>
              </w:rPr>
              <w:t>6</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trPr>
        <w:tc>
          <w:tcPr>
            <w:tcW w:w="72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r>
              <w:rPr>
                <w:rFonts w:hint="eastAsia" w:cs="宋体"/>
                <w:color w:val="auto"/>
                <w:lang w:val="zh-CN"/>
              </w:rPr>
              <w:t>7</w:t>
            </w:r>
          </w:p>
        </w:tc>
        <w:tc>
          <w:tcPr>
            <w:tcW w:w="216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67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c>
          <w:tcPr>
            <w:tcW w:w="1024"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hint="eastAsia" w:cs="宋体"/>
                <w:color w:val="auto"/>
                <w:lang w:val="zh-CN"/>
              </w:rPr>
            </w:pPr>
          </w:p>
        </w:tc>
      </w:tr>
    </w:tbl>
    <w:p>
      <w:pPr>
        <w:ind w:firstLine="480"/>
        <w:rPr>
          <w:rFonts w:hint="eastAsia" w:cs="宋体"/>
          <w:color w:val="auto"/>
        </w:rPr>
      </w:pPr>
      <w:r>
        <w:rPr>
          <w:rFonts w:hint="eastAsia" w:cs="宋体"/>
          <w:color w:val="auto"/>
        </w:rPr>
        <w:t>投标人（盖章）：</w:t>
      </w:r>
    </w:p>
    <w:p>
      <w:pPr>
        <w:ind w:firstLine="480"/>
        <w:rPr>
          <w:rFonts w:hint="eastAsia" w:cs="宋体"/>
          <w:color w:val="auto"/>
        </w:rPr>
      </w:pPr>
      <w:r>
        <w:rPr>
          <w:rFonts w:hint="eastAsia" w:cs="宋体"/>
          <w:color w:val="auto"/>
        </w:rPr>
        <w:t>日  期：</w:t>
      </w:r>
    </w:p>
    <w:p>
      <w:pPr>
        <w:pStyle w:val="14"/>
        <w:rPr>
          <w:color w:val="auto"/>
        </w:rPr>
      </w:pPr>
    </w:p>
    <w:p>
      <w:pPr>
        <w:tabs>
          <w:tab w:val="left" w:pos="945"/>
        </w:tabs>
        <w:ind w:firstLine="482"/>
        <w:rPr>
          <w:rFonts w:hint="eastAsia" w:cs="宋体"/>
          <w:b/>
          <w:bCs/>
          <w:color w:val="auto"/>
        </w:rPr>
      </w:pPr>
      <w:r>
        <w:rPr>
          <w:rFonts w:hint="eastAsia" w:cs="宋体"/>
          <w:b/>
          <w:bCs/>
          <w:color w:val="auto"/>
        </w:rPr>
        <w:t>B1</w:t>
      </w:r>
      <w:r>
        <w:rPr>
          <w:rFonts w:hint="eastAsia" w:cs="宋体"/>
          <w:b/>
          <w:bCs/>
          <w:color w:val="auto"/>
          <w:lang w:val="en-US" w:eastAsia="zh-CN"/>
        </w:rPr>
        <w:t>6</w:t>
      </w:r>
      <w:r>
        <w:rPr>
          <w:rFonts w:hint="eastAsia" w:cs="宋体"/>
          <w:b/>
          <w:bCs/>
          <w:color w:val="auto"/>
        </w:rPr>
        <w:t>政府采购政策分</w:t>
      </w:r>
    </w:p>
    <w:p>
      <w:pPr>
        <w:ind w:firstLine="480"/>
        <w:rPr>
          <w:rFonts w:hint="eastAsia" w:cs="宋体"/>
          <w:i/>
          <w:iCs/>
          <w:color w:val="auto"/>
        </w:rPr>
      </w:pPr>
      <w:r>
        <w:rPr>
          <w:rFonts w:hint="eastAsia" w:cs="宋体"/>
          <w:i/>
          <w:iCs/>
          <w:color w:val="auto"/>
        </w:rPr>
        <w:t>详见评分标准</w:t>
      </w:r>
    </w:p>
    <w:p>
      <w:pPr>
        <w:spacing w:line="400" w:lineRule="exact"/>
        <w:ind w:firstLine="420"/>
        <w:jc w:val="center"/>
        <w:rPr>
          <w:rFonts w:cs="宋体"/>
          <w:b/>
          <w:color w:val="auto"/>
        </w:rPr>
      </w:pPr>
      <w:r>
        <w:rPr>
          <w:rFonts w:hint="eastAsia" w:cs="宋体"/>
          <w:b/>
          <w:color w:val="auto"/>
        </w:rPr>
        <w:br w:type="page"/>
      </w:r>
      <w:r>
        <w:rPr>
          <w:rFonts w:hint="eastAsia" w:cs="宋体"/>
          <w:b/>
          <w:color w:val="auto"/>
          <w:lang w:val="en-US" w:eastAsia="zh-CN"/>
        </w:rPr>
        <w:t>B</w:t>
      </w:r>
      <w:r>
        <w:rPr>
          <w:rFonts w:hint="eastAsia" w:cs="宋体"/>
          <w:b/>
          <w:color w:val="auto"/>
        </w:rPr>
        <w:t>1</w:t>
      </w:r>
      <w:r>
        <w:rPr>
          <w:rFonts w:hint="eastAsia" w:cs="宋体"/>
          <w:b/>
          <w:color w:val="auto"/>
          <w:lang w:val="en-US" w:eastAsia="zh-CN"/>
        </w:rPr>
        <w:t>7</w:t>
      </w:r>
      <w:r>
        <w:rPr>
          <w:rFonts w:hint="eastAsia" w:cs="宋体"/>
          <w:b/>
          <w:color w:val="auto"/>
        </w:rPr>
        <w:t>投标人一般情况</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461"/>
        <w:gridCol w:w="1491"/>
        <w:gridCol w:w="207"/>
        <w:gridCol w:w="1276"/>
        <w:gridCol w:w="8"/>
        <w:gridCol w:w="529"/>
        <w:gridCol w:w="97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485" w:type="dxa"/>
            <w:noWrap w:val="0"/>
            <w:vAlign w:val="center"/>
          </w:tcPr>
          <w:p>
            <w:pPr>
              <w:spacing w:line="460" w:lineRule="exact"/>
              <w:ind w:firstLine="0" w:firstLineChars="0"/>
              <w:rPr>
                <w:rFonts w:hint="eastAsia" w:cs="宋体"/>
                <w:bCs/>
                <w:color w:val="auto"/>
              </w:rPr>
            </w:pPr>
            <w:r>
              <w:rPr>
                <w:rFonts w:hint="eastAsia" w:cs="宋体"/>
                <w:bCs/>
                <w:color w:val="auto"/>
              </w:rPr>
              <w:t>企业名称</w:t>
            </w:r>
          </w:p>
        </w:tc>
        <w:tc>
          <w:tcPr>
            <w:tcW w:w="7462" w:type="dxa"/>
            <w:gridSpan w:val="8"/>
            <w:noWrap w:val="0"/>
            <w:vAlign w:val="center"/>
          </w:tcPr>
          <w:p>
            <w:pPr>
              <w:spacing w:line="460" w:lineRule="exact"/>
              <w:ind w:firstLine="0" w:firstLineChars="0"/>
              <w:rPr>
                <w:rFonts w:hint="eastAsia"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485" w:type="dxa"/>
            <w:noWrap w:val="0"/>
            <w:vAlign w:val="center"/>
          </w:tcPr>
          <w:p>
            <w:pPr>
              <w:spacing w:line="460" w:lineRule="exact"/>
              <w:ind w:firstLine="0" w:firstLineChars="0"/>
              <w:rPr>
                <w:rFonts w:hint="eastAsia" w:cs="宋体"/>
                <w:bCs/>
                <w:color w:val="auto"/>
              </w:rPr>
            </w:pPr>
            <w:r>
              <w:rPr>
                <w:rFonts w:hint="eastAsia" w:cs="宋体"/>
                <w:bCs/>
                <w:color w:val="auto"/>
              </w:rPr>
              <w:t>地    址</w:t>
            </w:r>
          </w:p>
        </w:tc>
        <w:tc>
          <w:tcPr>
            <w:tcW w:w="7462" w:type="dxa"/>
            <w:gridSpan w:val="8"/>
            <w:noWrap w:val="0"/>
            <w:vAlign w:val="center"/>
          </w:tcPr>
          <w:p>
            <w:pPr>
              <w:spacing w:line="460" w:lineRule="exact"/>
              <w:ind w:firstLine="0" w:firstLineChars="0"/>
              <w:rPr>
                <w:rFonts w:hint="eastAsia"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485" w:type="dxa"/>
            <w:noWrap w:val="0"/>
            <w:vAlign w:val="center"/>
          </w:tcPr>
          <w:p>
            <w:pPr>
              <w:spacing w:line="460" w:lineRule="exact"/>
              <w:ind w:firstLine="0" w:firstLineChars="0"/>
              <w:rPr>
                <w:rFonts w:hint="eastAsia" w:cs="宋体"/>
                <w:bCs/>
                <w:color w:val="auto"/>
              </w:rPr>
            </w:pPr>
            <w:r>
              <w:rPr>
                <w:rFonts w:hint="eastAsia" w:cs="宋体"/>
                <w:bCs/>
                <w:color w:val="auto"/>
              </w:rPr>
              <w:t>主管部门</w:t>
            </w:r>
          </w:p>
        </w:tc>
        <w:tc>
          <w:tcPr>
            <w:tcW w:w="1461" w:type="dxa"/>
            <w:noWrap w:val="0"/>
            <w:vAlign w:val="center"/>
          </w:tcPr>
          <w:p>
            <w:pPr>
              <w:spacing w:line="460" w:lineRule="exact"/>
              <w:ind w:firstLine="0" w:firstLineChars="0"/>
              <w:rPr>
                <w:rFonts w:hint="eastAsia" w:cs="宋体"/>
                <w:bCs/>
                <w:color w:val="auto"/>
              </w:rPr>
            </w:pPr>
          </w:p>
        </w:tc>
        <w:tc>
          <w:tcPr>
            <w:tcW w:w="1698" w:type="dxa"/>
            <w:gridSpan w:val="2"/>
            <w:noWrap w:val="0"/>
            <w:vAlign w:val="center"/>
          </w:tcPr>
          <w:p>
            <w:pPr>
              <w:spacing w:line="460" w:lineRule="exact"/>
              <w:ind w:firstLine="0" w:firstLineChars="0"/>
              <w:rPr>
                <w:rFonts w:hint="eastAsia" w:cs="宋体"/>
                <w:bCs/>
                <w:color w:val="auto"/>
              </w:rPr>
            </w:pPr>
            <w:r>
              <w:rPr>
                <w:rFonts w:hint="eastAsia" w:cs="宋体"/>
                <w:bCs/>
                <w:color w:val="auto"/>
              </w:rPr>
              <w:t>法定代表人</w:t>
            </w:r>
          </w:p>
        </w:tc>
        <w:tc>
          <w:tcPr>
            <w:tcW w:w="1284" w:type="dxa"/>
            <w:gridSpan w:val="2"/>
            <w:noWrap w:val="0"/>
            <w:vAlign w:val="center"/>
          </w:tcPr>
          <w:p>
            <w:pPr>
              <w:spacing w:line="460" w:lineRule="exact"/>
              <w:ind w:firstLine="0" w:firstLineChars="0"/>
              <w:rPr>
                <w:rFonts w:hint="eastAsia" w:cs="宋体"/>
                <w:bCs/>
                <w:color w:val="auto"/>
              </w:rPr>
            </w:pPr>
          </w:p>
        </w:tc>
        <w:tc>
          <w:tcPr>
            <w:tcW w:w="1503" w:type="dxa"/>
            <w:gridSpan w:val="2"/>
            <w:noWrap w:val="0"/>
            <w:vAlign w:val="center"/>
          </w:tcPr>
          <w:p>
            <w:pPr>
              <w:spacing w:line="460" w:lineRule="exact"/>
              <w:ind w:firstLine="0" w:firstLineChars="0"/>
              <w:rPr>
                <w:rFonts w:hint="eastAsia" w:cs="宋体"/>
                <w:bCs/>
                <w:color w:val="auto"/>
              </w:rPr>
            </w:pPr>
            <w:r>
              <w:rPr>
                <w:rFonts w:hint="eastAsia" w:cs="宋体"/>
                <w:bCs/>
                <w:color w:val="auto"/>
              </w:rPr>
              <w:t>职    务</w:t>
            </w:r>
          </w:p>
        </w:tc>
        <w:tc>
          <w:tcPr>
            <w:tcW w:w="1516" w:type="dxa"/>
            <w:noWrap w:val="0"/>
            <w:vAlign w:val="top"/>
          </w:tcPr>
          <w:p>
            <w:pPr>
              <w:spacing w:line="460" w:lineRule="exact"/>
              <w:ind w:firstLine="0" w:firstLineChars="0"/>
              <w:rPr>
                <w:rFonts w:hint="eastAsia"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485" w:type="dxa"/>
            <w:noWrap w:val="0"/>
            <w:vAlign w:val="center"/>
          </w:tcPr>
          <w:p>
            <w:pPr>
              <w:spacing w:line="460" w:lineRule="exact"/>
              <w:ind w:firstLine="0" w:firstLineChars="0"/>
              <w:rPr>
                <w:rFonts w:hint="eastAsia" w:cs="宋体"/>
                <w:bCs/>
                <w:color w:val="auto"/>
              </w:rPr>
            </w:pPr>
            <w:r>
              <w:rPr>
                <w:rFonts w:hint="eastAsia" w:cs="宋体"/>
                <w:bCs/>
                <w:color w:val="auto"/>
              </w:rPr>
              <w:t>注册时间</w:t>
            </w:r>
          </w:p>
        </w:tc>
        <w:tc>
          <w:tcPr>
            <w:tcW w:w="3159" w:type="dxa"/>
            <w:gridSpan w:val="3"/>
            <w:noWrap w:val="0"/>
            <w:vAlign w:val="top"/>
          </w:tcPr>
          <w:p>
            <w:pPr>
              <w:spacing w:line="460" w:lineRule="exact"/>
              <w:ind w:firstLine="0" w:firstLineChars="0"/>
              <w:rPr>
                <w:rFonts w:hint="eastAsia" w:cs="宋体"/>
                <w:bCs/>
                <w:color w:val="auto"/>
              </w:rPr>
            </w:pPr>
          </w:p>
        </w:tc>
        <w:tc>
          <w:tcPr>
            <w:tcW w:w="1284" w:type="dxa"/>
            <w:gridSpan w:val="2"/>
            <w:noWrap w:val="0"/>
            <w:vAlign w:val="top"/>
          </w:tcPr>
          <w:p>
            <w:pPr>
              <w:spacing w:line="460" w:lineRule="exact"/>
              <w:ind w:firstLine="0" w:firstLineChars="0"/>
              <w:rPr>
                <w:rFonts w:hint="eastAsia" w:cs="宋体"/>
                <w:bCs/>
                <w:color w:val="auto"/>
              </w:rPr>
            </w:pPr>
            <w:r>
              <w:rPr>
                <w:rFonts w:hint="eastAsia" w:cs="宋体"/>
                <w:bCs/>
                <w:color w:val="auto"/>
              </w:rPr>
              <w:t>经济类型</w:t>
            </w:r>
          </w:p>
        </w:tc>
        <w:tc>
          <w:tcPr>
            <w:tcW w:w="3019" w:type="dxa"/>
            <w:gridSpan w:val="3"/>
            <w:noWrap w:val="0"/>
            <w:vAlign w:val="top"/>
          </w:tcPr>
          <w:p>
            <w:pPr>
              <w:spacing w:line="460" w:lineRule="exact"/>
              <w:ind w:firstLine="0" w:firstLineChars="0"/>
              <w:rPr>
                <w:rFonts w:hint="eastAsia"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4644" w:type="dxa"/>
            <w:gridSpan w:val="4"/>
            <w:noWrap w:val="0"/>
            <w:vAlign w:val="center"/>
          </w:tcPr>
          <w:p>
            <w:pPr>
              <w:spacing w:line="460" w:lineRule="exact"/>
              <w:ind w:firstLine="0" w:firstLineChars="0"/>
              <w:rPr>
                <w:rFonts w:hint="eastAsia" w:cs="宋体"/>
                <w:bCs/>
                <w:color w:val="auto"/>
              </w:rPr>
            </w:pPr>
            <w:r>
              <w:rPr>
                <w:rFonts w:hint="eastAsia" w:cs="宋体"/>
                <w:bCs/>
                <w:color w:val="auto"/>
              </w:rPr>
              <w:t>近三年内有经营活动中有无重大违法纪录</w:t>
            </w:r>
          </w:p>
        </w:tc>
        <w:tc>
          <w:tcPr>
            <w:tcW w:w="4303" w:type="dxa"/>
            <w:gridSpan w:val="5"/>
            <w:noWrap w:val="0"/>
            <w:vAlign w:val="center"/>
          </w:tcPr>
          <w:p>
            <w:pPr>
              <w:spacing w:line="460" w:lineRule="exact"/>
              <w:ind w:firstLine="0" w:firstLineChars="0"/>
              <w:rPr>
                <w:rFonts w:hint="eastAsia"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485" w:type="dxa"/>
            <w:noWrap w:val="0"/>
            <w:vAlign w:val="center"/>
          </w:tcPr>
          <w:p>
            <w:pPr>
              <w:spacing w:line="460" w:lineRule="exact"/>
              <w:ind w:firstLine="0" w:firstLineChars="0"/>
              <w:rPr>
                <w:rFonts w:hint="eastAsia" w:cs="宋体"/>
                <w:bCs/>
                <w:color w:val="auto"/>
              </w:rPr>
            </w:pPr>
            <w:r>
              <w:rPr>
                <w:rFonts w:hint="eastAsia" w:cs="宋体"/>
                <w:bCs/>
                <w:color w:val="auto"/>
              </w:rPr>
              <w:t>是否依法</w:t>
            </w:r>
          </w:p>
          <w:p>
            <w:pPr>
              <w:spacing w:line="460" w:lineRule="exact"/>
              <w:ind w:firstLine="0" w:firstLineChars="0"/>
              <w:rPr>
                <w:rFonts w:hint="eastAsia" w:cs="宋体"/>
                <w:bCs/>
                <w:color w:val="auto"/>
              </w:rPr>
            </w:pPr>
            <w:r>
              <w:rPr>
                <w:rFonts w:hint="eastAsia" w:cs="宋体"/>
                <w:bCs/>
                <w:color w:val="auto"/>
              </w:rPr>
              <w:t>缴纳税收</w:t>
            </w:r>
          </w:p>
        </w:tc>
        <w:tc>
          <w:tcPr>
            <w:tcW w:w="3159" w:type="dxa"/>
            <w:gridSpan w:val="3"/>
            <w:noWrap w:val="0"/>
            <w:vAlign w:val="top"/>
          </w:tcPr>
          <w:p>
            <w:pPr>
              <w:spacing w:line="460" w:lineRule="exact"/>
              <w:ind w:firstLine="0" w:firstLineChars="0"/>
              <w:rPr>
                <w:rFonts w:hint="eastAsia" w:cs="宋体"/>
                <w:bCs/>
                <w:color w:val="auto"/>
              </w:rPr>
            </w:pPr>
          </w:p>
        </w:tc>
        <w:tc>
          <w:tcPr>
            <w:tcW w:w="1813" w:type="dxa"/>
            <w:gridSpan w:val="3"/>
            <w:noWrap w:val="0"/>
            <w:vAlign w:val="top"/>
          </w:tcPr>
          <w:p>
            <w:pPr>
              <w:spacing w:line="460" w:lineRule="exact"/>
              <w:ind w:firstLine="0" w:firstLineChars="0"/>
              <w:rPr>
                <w:rFonts w:hint="eastAsia" w:cs="宋体"/>
                <w:bCs/>
                <w:color w:val="auto"/>
              </w:rPr>
            </w:pPr>
            <w:r>
              <w:rPr>
                <w:rFonts w:hint="eastAsia" w:cs="宋体"/>
                <w:bCs/>
                <w:color w:val="auto"/>
              </w:rPr>
              <w:t>是否依法缴纳</w:t>
            </w:r>
          </w:p>
          <w:p>
            <w:pPr>
              <w:spacing w:line="460" w:lineRule="exact"/>
              <w:ind w:firstLine="0" w:firstLineChars="0"/>
              <w:rPr>
                <w:rFonts w:hint="eastAsia" w:cs="宋体"/>
                <w:bCs/>
                <w:color w:val="auto"/>
              </w:rPr>
            </w:pPr>
            <w:r>
              <w:rPr>
                <w:rFonts w:hint="eastAsia" w:cs="宋体"/>
                <w:bCs/>
                <w:color w:val="auto"/>
              </w:rPr>
              <w:t>社会保障资金</w:t>
            </w:r>
          </w:p>
        </w:tc>
        <w:tc>
          <w:tcPr>
            <w:tcW w:w="2490" w:type="dxa"/>
            <w:gridSpan w:val="2"/>
            <w:noWrap w:val="0"/>
            <w:vAlign w:val="top"/>
          </w:tcPr>
          <w:p>
            <w:pPr>
              <w:spacing w:line="460" w:lineRule="exact"/>
              <w:ind w:firstLine="0" w:firstLineChars="0"/>
              <w:rPr>
                <w:rFonts w:hint="eastAsia"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485" w:type="dxa"/>
            <w:vMerge w:val="restart"/>
            <w:noWrap w:val="0"/>
            <w:vAlign w:val="top"/>
          </w:tcPr>
          <w:p>
            <w:pPr>
              <w:spacing w:line="460" w:lineRule="exact"/>
              <w:ind w:firstLine="0" w:firstLineChars="0"/>
              <w:rPr>
                <w:rFonts w:hint="eastAsia" w:cs="宋体"/>
                <w:bCs/>
                <w:color w:val="auto"/>
              </w:rPr>
            </w:pPr>
            <w:r>
              <w:rPr>
                <w:rFonts w:hint="eastAsia" w:cs="宋体"/>
                <w:bCs/>
                <w:color w:val="auto"/>
              </w:rPr>
              <w:t>单</w:t>
            </w:r>
          </w:p>
          <w:p>
            <w:pPr>
              <w:spacing w:line="460" w:lineRule="exact"/>
              <w:ind w:firstLine="0" w:firstLineChars="0"/>
              <w:rPr>
                <w:rFonts w:hint="eastAsia" w:cs="宋体"/>
                <w:bCs/>
                <w:color w:val="auto"/>
              </w:rPr>
            </w:pPr>
            <w:r>
              <w:rPr>
                <w:rFonts w:hint="eastAsia" w:cs="宋体"/>
                <w:bCs/>
                <w:color w:val="auto"/>
              </w:rPr>
              <w:t>位</w:t>
            </w:r>
          </w:p>
          <w:p>
            <w:pPr>
              <w:spacing w:line="460" w:lineRule="exact"/>
              <w:ind w:firstLine="0" w:firstLineChars="0"/>
              <w:rPr>
                <w:rFonts w:hint="eastAsia" w:cs="宋体"/>
                <w:bCs/>
                <w:color w:val="auto"/>
              </w:rPr>
            </w:pPr>
            <w:r>
              <w:rPr>
                <w:rFonts w:hint="eastAsia" w:cs="宋体"/>
                <w:bCs/>
                <w:color w:val="auto"/>
              </w:rPr>
              <w:t>概</w:t>
            </w:r>
          </w:p>
          <w:p>
            <w:pPr>
              <w:spacing w:line="460" w:lineRule="exact"/>
              <w:ind w:firstLine="0" w:firstLineChars="0"/>
              <w:rPr>
                <w:rFonts w:hint="eastAsia" w:cs="宋体"/>
                <w:bCs/>
                <w:color w:val="auto"/>
              </w:rPr>
            </w:pPr>
            <w:r>
              <w:rPr>
                <w:rFonts w:hint="eastAsia" w:cs="宋体"/>
                <w:bCs/>
                <w:color w:val="auto"/>
              </w:rPr>
              <w:t>况</w:t>
            </w:r>
          </w:p>
        </w:tc>
        <w:tc>
          <w:tcPr>
            <w:tcW w:w="1461" w:type="dxa"/>
            <w:noWrap w:val="0"/>
            <w:vAlign w:val="center"/>
          </w:tcPr>
          <w:p>
            <w:pPr>
              <w:spacing w:line="460" w:lineRule="exact"/>
              <w:ind w:firstLine="0" w:firstLineChars="0"/>
              <w:rPr>
                <w:rFonts w:hint="eastAsia" w:cs="宋体"/>
                <w:bCs/>
                <w:color w:val="auto"/>
              </w:rPr>
            </w:pPr>
            <w:r>
              <w:rPr>
                <w:rFonts w:hint="eastAsia" w:cs="宋体"/>
                <w:bCs/>
                <w:color w:val="auto"/>
              </w:rPr>
              <w:t>注册资本</w:t>
            </w:r>
          </w:p>
        </w:tc>
        <w:tc>
          <w:tcPr>
            <w:tcW w:w="1698" w:type="dxa"/>
            <w:gridSpan w:val="2"/>
            <w:noWrap w:val="0"/>
            <w:vAlign w:val="top"/>
          </w:tcPr>
          <w:p>
            <w:pPr>
              <w:spacing w:line="460" w:lineRule="exact"/>
              <w:ind w:firstLine="0" w:firstLineChars="0"/>
              <w:rPr>
                <w:rFonts w:hint="eastAsia" w:cs="宋体"/>
                <w:bCs/>
                <w:color w:val="auto"/>
              </w:rPr>
            </w:pPr>
            <w:r>
              <w:rPr>
                <w:rFonts w:hint="eastAsia" w:cs="宋体"/>
                <w:bCs/>
                <w:color w:val="auto"/>
              </w:rPr>
              <w:t xml:space="preserve">      万元</w:t>
            </w:r>
          </w:p>
        </w:tc>
        <w:tc>
          <w:tcPr>
            <w:tcW w:w="1276" w:type="dxa"/>
            <w:noWrap w:val="0"/>
            <w:vAlign w:val="top"/>
          </w:tcPr>
          <w:p>
            <w:pPr>
              <w:spacing w:line="460" w:lineRule="exact"/>
              <w:ind w:firstLine="0" w:firstLineChars="0"/>
              <w:rPr>
                <w:rFonts w:hint="eastAsia" w:cs="宋体"/>
                <w:bCs/>
                <w:color w:val="auto"/>
              </w:rPr>
            </w:pPr>
            <w:r>
              <w:rPr>
                <w:rFonts w:hint="eastAsia" w:cs="宋体"/>
                <w:bCs/>
                <w:color w:val="auto"/>
              </w:rPr>
              <w:t>占地面积</w:t>
            </w:r>
          </w:p>
        </w:tc>
        <w:tc>
          <w:tcPr>
            <w:tcW w:w="3027" w:type="dxa"/>
            <w:gridSpan w:val="4"/>
            <w:noWrap w:val="0"/>
            <w:vAlign w:val="top"/>
          </w:tcPr>
          <w:p>
            <w:pPr>
              <w:spacing w:line="460" w:lineRule="exact"/>
              <w:ind w:firstLine="0" w:firstLineChars="0"/>
              <w:rPr>
                <w:rFonts w:hint="eastAsia" w:cs="宋体"/>
                <w:bCs/>
                <w:color w:val="auto"/>
              </w:rPr>
            </w:pPr>
            <w:r>
              <w:rPr>
                <w:rFonts w:hint="eastAsia" w:cs="宋体"/>
                <w:bCs/>
                <w:color w:val="auto"/>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485" w:type="dxa"/>
            <w:vMerge w:val="continue"/>
            <w:noWrap w:val="0"/>
            <w:vAlign w:val="top"/>
          </w:tcPr>
          <w:p>
            <w:pPr>
              <w:spacing w:line="460" w:lineRule="exact"/>
              <w:ind w:firstLine="0" w:firstLineChars="0"/>
              <w:rPr>
                <w:rFonts w:hint="eastAsia" w:cs="宋体"/>
                <w:bCs/>
                <w:color w:val="auto"/>
              </w:rPr>
            </w:pPr>
          </w:p>
        </w:tc>
        <w:tc>
          <w:tcPr>
            <w:tcW w:w="1461" w:type="dxa"/>
            <w:noWrap w:val="0"/>
            <w:vAlign w:val="center"/>
          </w:tcPr>
          <w:p>
            <w:pPr>
              <w:spacing w:line="460" w:lineRule="exact"/>
              <w:ind w:firstLine="0" w:firstLineChars="0"/>
              <w:rPr>
                <w:rFonts w:hint="eastAsia" w:cs="宋体"/>
                <w:bCs/>
                <w:color w:val="auto"/>
              </w:rPr>
            </w:pPr>
            <w:r>
              <w:rPr>
                <w:rFonts w:hint="eastAsia" w:cs="宋体"/>
                <w:bCs/>
                <w:color w:val="auto"/>
              </w:rPr>
              <w:t>职工总数</w:t>
            </w:r>
          </w:p>
        </w:tc>
        <w:tc>
          <w:tcPr>
            <w:tcW w:w="1698" w:type="dxa"/>
            <w:gridSpan w:val="2"/>
            <w:noWrap w:val="0"/>
            <w:vAlign w:val="top"/>
          </w:tcPr>
          <w:p>
            <w:pPr>
              <w:spacing w:line="460" w:lineRule="exact"/>
              <w:ind w:firstLine="0" w:firstLineChars="0"/>
              <w:rPr>
                <w:rFonts w:hint="eastAsia" w:cs="宋体"/>
                <w:bCs/>
                <w:color w:val="auto"/>
              </w:rPr>
            </w:pPr>
            <w:r>
              <w:rPr>
                <w:rFonts w:hint="eastAsia" w:cs="宋体"/>
                <w:bCs/>
                <w:color w:val="auto"/>
              </w:rPr>
              <w:t xml:space="preserve">        人</w:t>
            </w:r>
          </w:p>
        </w:tc>
        <w:tc>
          <w:tcPr>
            <w:tcW w:w="1276" w:type="dxa"/>
            <w:noWrap w:val="0"/>
            <w:vAlign w:val="top"/>
          </w:tcPr>
          <w:p>
            <w:pPr>
              <w:spacing w:line="460" w:lineRule="exact"/>
              <w:ind w:firstLine="0" w:firstLineChars="0"/>
              <w:rPr>
                <w:rFonts w:hint="eastAsia" w:cs="宋体"/>
                <w:bCs/>
                <w:color w:val="auto"/>
              </w:rPr>
            </w:pPr>
            <w:r>
              <w:rPr>
                <w:rFonts w:hint="eastAsia" w:cs="宋体"/>
                <w:bCs/>
                <w:color w:val="auto"/>
              </w:rPr>
              <w:t>建筑面积</w:t>
            </w:r>
          </w:p>
        </w:tc>
        <w:tc>
          <w:tcPr>
            <w:tcW w:w="3027" w:type="dxa"/>
            <w:gridSpan w:val="4"/>
            <w:noWrap w:val="0"/>
            <w:vAlign w:val="top"/>
          </w:tcPr>
          <w:p>
            <w:pPr>
              <w:spacing w:line="460" w:lineRule="exact"/>
              <w:ind w:firstLine="0" w:firstLineChars="0"/>
              <w:rPr>
                <w:rFonts w:hint="eastAsia" w:cs="宋体"/>
                <w:bCs/>
                <w:color w:val="auto"/>
              </w:rPr>
            </w:pPr>
            <w:r>
              <w:rPr>
                <w:rFonts w:hint="eastAsia" w:cs="宋体"/>
                <w:bCs/>
                <w:color w:val="auto"/>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485" w:type="dxa"/>
            <w:vMerge w:val="continue"/>
            <w:noWrap w:val="0"/>
            <w:vAlign w:val="top"/>
          </w:tcPr>
          <w:p>
            <w:pPr>
              <w:spacing w:line="460" w:lineRule="exact"/>
              <w:ind w:firstLine="0" w:firstLineChars="0"/>
              <w:rPr>
                <w:rFonts w:hint="eastAsia" w:cs="宋体"/>
                <w:bCs/>
                <w:color w:val="auto"/>
              </w:rPr>
            </w:pPr>
          </w:p>
        </w:tc>
        <w:tc>
          <w:tcPr>
            <w:tcW w:w="1461" w:type="dxa"/>
            <w:vMerge w:val="restart"/>
            <w:noWrap w:val="0"/>
            <w:vAlign w:val="center"/>
          </w:tcPr>
          <w:p>
            <w:pPr>
              <w:spacing w:line="460" w:lineRule="exact"/>
              <w:ind w:firstLine="0" w:firstLineChars="0"/>
              <w:rPr>
                <w:rFonts w:hint="eastAsia" w:cs="宋体"/>
                <w:bCs/>
                <w:color w:val="auto"/>
              </w:rPr>
            </w:pPr>
            <w:r>
              <w:rPr>
                <w:rFonts w:hint="eastAsia" w:cs="宋体"/>
                <w:bCs/>
                <w:color w:val="auto"/>
              </w:rPr>
              <w:t>资产情况</w:t>
            </w:r>
          </w:p>
        </w:tc>
        <w:tc>
          <w:tcPr>
            <w:tcW w:w="2974" w:type="dxa"/>
            <w:gridSpan w:val="3"/>
            <w:noWrap w:val="0"/>
            <w:vAlign w:val="center"/>
          </w:tcPr>
          <w:p>
            <w:pPr>
              <w:spacing w:line="460" w:lineRule="exact"/>
              <w:ind w:firstLine="0" w:firstLineChars="0"/>
              <w:rPr>
                <w:rFonts w:hint="eastAsia" w:cs="宋体"/>
                <w:bCs/>
                <w:color w:val="auto"/>
              </w:rPr>
            </w:pPr>
            <w:r>
              <w:rPr>
                <w:rFonts w:hint="eastAsia" w:cs="宋体"/>
                <w:bCs/>
                <w:color w:val="auto"/>
              </w:rPr>
              <w:t>净资产         万元</w:t>
            </w:r>
          </w:p>
        </w:tc>
        <w:tc>
          <w:tcPr>
            <w:tcW w:w="3027" w:type="dxa"/>
            <w:gridSpan w:val="4"/>
            <w:vMerge w:val="restart"/>
            <w:noWrap w:val="0"/>
            <w:vAlign w:val="top"/>
          </w:tcPr>
          <w:p>
            <w:pPr>
              <w:spacing w:line="460" w:lineRule="exact"/>
              <w:ind w:firstLine="0" w:firstLineChars="0"/>
              <w:rPr>
                <w:rFonts w:hint="eastAsia" w:cs="宋体"/>
                <w:bCs/>
                <w:color w:val="auto"/>
              </w:rPr>
            </w:pPr>
            <w:r>
              <w:rPr>
                <w:rFonts w:hint="eastAsia" w:cs="宋体"/>
                <w:bCs/>
                <w:color w:val="auto"/>
              </w:rPr>
              <w:t>固定资产原值：     万元</w:t>
            </w:r>
          </w:p>
          <w:p>
            <w:pPr>
              <w:spacing w:line="460" w:lineRule="exact"/>
              <w:ind w:firstLine="0" w:firstLineChars="0"/>
              <w:rPr>
                <w:rFonts w:hint="eastAsia" w:cs="宋体"/>
                <w:bCs/>
                <w:color w:val="auto"/>
              </w:rPr>
            </w:pPr>
            <w:r>
              <w:rPr>
                <w:rFonts w:hint="eastAsia" w:cs="宋体"/>
                <w:bCs/>
                <w:color w:val="auto"/>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485" w:type="dxa"/>
            <w:vMerge w:val="continue"/>
            <w:noWrap w:val="0"/>
            <w:vAlign w:val="top"/>
          </w:tcPr>
          <w:p>
            <w:pPr>
              <w:spacing w:line="460" w:lineRule="exact"/>
              <w:ind w:firstLine="0" w:firstLineChars="0"/>
              <w:rPr>
                <w:rFonts w:hint="eastAsia" w:cs="宋体"/>
                <w:bCs/>
                <w:color w:val="auto"/>
              </w:rPr>
            </w:pPr>
          </w:p>
        </w:tc>
        <w:tc>
          <w:tcPr>
            <w:tcW w:w="1461" w:type="dxa"/>
            <w:vMerge w:val="continue"/>
            <w:noWrap w:val="0"/>
            <w:vAlign w:val="top"/>
          </w:tcPr>
          <w:p>
            <w:pPr>
              <w:spacing w:line="460" w:lineRule="exact"/>
              <w:ind w:firstLine="0" w:firstLineChars="0"/>
              <w:rPr>
                <w:rFonts w:hint="eastAsia" w:cs="宋体"/>
                <w:bCs/>
                <w:color w:val="auto"/>
              </w:rPr>
            </w:pPr>
          </w:p>
        </w:tc>
        <w:tc>
          <w:tcPr>
            <w:tcW w:w="2974" w:type="dxa"/>
            <w:gridSpan w:val="3"/>
            <w:noWrap w:val="0"/>
            <w:vAlign w:val="center"/>
          </w:tcPr>
          <w:p>
            <w:pPr>
              <w:spacing w:line="460" w:lineRule="exact"/>
              <w:ind w:firstLine="0" w:firstLineChars="0"/>
              <w:rPr>
                <w:rFonts w:hint="eastAsia" w:cs="宋体"/>
                <w:bCs/>
                <w:color w:val="auto"/>
              </w:rPr>
            </w:pPr>
            <w:r>
              <w:rPr>
                <w:rFonts w:hint="eastAsia" w:cs="宋体"/>
                <w:bCs/>
                <w:color w:val="auto"/>
              </w:rPr>
              <w:t>负 债          万元</w:t>
            </w:r>
          </w:p>
        </w:tc>
        <w:tc>
          <w:tcPr>
            <w:tcW w:w="3027" w:type="dxa"/>
            <w:gridSpan w:val="4"/>
            <w:vMerge w:val="continue"/>
            <w:noWrap w:val="0"/>
            <w:vAlign w:val="top"/>
          </w:tcPr>
          <w:p>
            <w:pPr>
              <w:spacing w:line="460" w:lineRule="exact"/>
              <w:ind w:firstLine="0" w:firstLineChars="0"/>
              <w:rPr>
                <w:rFonts w:hint="eastAsia"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485" w:type="dxa"/>
            <w:vMerge w:val="restart"/>
            <w:noWrap w:val="0"/>
            <w:vAlign w:val="center"/>
          </w:tcPr>
          <w:p>
            <w:pPr>
              <w:spacing w:line="460" w:lineRule="exact"/>
              <w:ind w:firstLine="0" w:firstLineChars="0"/>
              <w:rPr>
                <w:rFonts w:hint="eastAsia" w:cs="宋体"/>
                <w:bCs/>
                <w:color w:val="auto"/>
              </w:rPr>
            </w:pPr>
            <w:r>
              <w:rPr>
                <w:rFonts w:hint="eastAsia" w:cs="宋体"/>
                <w:bCs/>
                <w:color w:val="auto"/>
              </w:rPr>
              <w:t>财务状况</w:t>
            </w:r>
          </w:p>
          <w:p>
            <w:pPr>
              <w:spacing w:line="460" w:lineRule="exact"/>
              <w:ind w:firstLine="0" w:firstLineChars="0"/>
              <w:rPr>
                <w:rFonts w:hint="eastAsia" w:cs="宋体"/>
                <w:bCs/>
                <w:color w:val="auto"/>
              </w:rPr>
            </w:pPr>
            <w:r>
              <w:rPr>
                <w:rFonts w:hint="eastAsia" w:cs="宋体"/>
                <w:bCs/>
                <w:color w:val="auto"/>
              </w:rPr>
              <w:t>(最近三年)</w:t>
            </w:r>
          </w:p>
        </w:tc>
        <w:tc>
          <w:tcPr>
            <w:tcW w:w="1461" w:type="dxa"/>
            <w:noWrap w:val="0"/>
            <w:vAlign w:val="top"/>
          </w:tcPr>
          <w:p>
            <w:pPr>
              <w:spacing w:line="460" w:lineRule="exact"/>
              <w:ind w:firstLine="0" w:firstLineChars="0"/>
              <w:rPr>
                <w:rFonts w:hint="eastAsia" w:cs="宋体"/>
                <w:bCs/>
                <w:color w:val="auto"/>
              </w:rPr>
            </w:pPr>
          </w:p>
        </w:tc>
        <w:tc>
          <w:tcPr>
            <w:tcW w:w="1491" w:type="dxa"/>
            <w:noWrap w:val="0"/>
            <w:vAlign w:val="center"/>
          </w:tcPr>
          <w:p>
            <w:pPr>
              <w:spacing w:line="460" w:lineRule="exact"/>
              <w:ind w:firstLine="0" w:firstLineChars="0"/>
              <w:rPr>
                <w:rFonts w:hint="eastAsia" w:cs="宋体"/>
                <w:bCs/>
                <w:color w:val="auto"/>
              </w:rPr>
            </w:pPr>
            <w:r>
              <w:rPr>
                <w:rFonts w:hint="eastAsia" w:cs="宋体"/>
                <w:bCs/>
                <w:color w:val="auto"/>
              </w:rPr>
              <w:t>主营收入</w:t>
            </w:r>
          </w:p>
          <w:p>
            <w:pPr>
              <w:spacing w:line="460" w:lineRule="exact"/>
              <w:ind w:firstLine="0" w:firstLineChars="0"/>
              <w:rPr>
                <w:rFonts w:hint="eastAsia" w:cs="宋体"/>
                <w:bCs/>
                <w:color w:val="auto"/>
              </w:rPr>
            </w:pPr>
            <w:r>
              <w:rPr>
                <w:rFonts w:hint="eastAsia" w:cs="宋体"/>
                <w:bCs/>
                <w:color w:val="auto"/>
              </w:rPr>
              <w:t>（万元）</w:t>
            </w:r>
          </w:p>
        </w:tc>
        <w:tc>
          <w:tcPr>
            <w:tcW w:w="1483" w:type="dxa"/>
            <w:gridSpan w:val="2"/>
            <w:noWrap w:val="0"/>
            <w:vAlign w:val="center"/>
          </w:tcPr>
          <w:p>
            <w:pPr>
              <w:spacing w:line="460" w:lineRule="exact"/>
              <w:ind w:firstLine="0" w:firstLineChars="0"/>
              <w:rPr>
                <w:rFonts w:hint="eastAsia" w:cs="宋体"/>
                <w:bCs/>
                <w:color w:val="auto"/>
              </w:rPr>
            </w:pPr>
            <w:r>
              <w:rPr>
                <w:rFonts w:hint="eastAsia" w:cs="宋体"/>
                <w:bCs/>
                <w:color w:val="auto"/>
              </w:rPr>
              <w:t>收入总额</w:t>
            </w:r>
          </w:p>
          <w:p>
            <w:pPr>
              <w:spacing w:line="460" w:lineRule="exact"/>
              <w:ind w:firstLine="0" w:firstLineChars="0"/>
              <w:rPr>
                <w:rFonts w:hint="eastAsia" w:cs="宋体"/>
                <w:bCs/>
                <w:color w:val="auto"/>
              </w:rPr>
            </w:pPr>
            <w:r>
              <w:rPr>
                <w:rFonts w:hint="eastAsia" w:cs="宋体"/>
                <w:bCs/>
                <w:color w:val="auto"/>
              </w:rPr>
              <w:t>（万元）</w:t>
            </w:r>
          </w:p>
        </w:tc>
        <w:tc>
          <w:tcPr>
            <w:tcW w:w="1511" w:type="dxa"/>
            <w:gridSpan w:val="3"/>
            <w:noWrap w:val="0"/>
            <w:vAlign w:val="center"/>
          </w:tcPr>
          <w:p>
            <w:pPr>
              <w:spacing w:line="460" w:lineRule="exact"/>
              <w:ind w:firstLine="0" w:firstLineChars="0"/>
              <w:rPr>
                <w:rFonts w:hint="eastAsia" w:cs="宋体"/>
                <w:bCs/>
                <w:color w:val="auto"/>
              </w:rPr>
            </w:pPr>
            <w:r>
              <w:rPr>
                <w:rFonts w:hint="eastAsia" w:cs="宋体"/>
                <w:bCs/>
                <w:color w:val="auto"/>
              </w:rPr>
              <w:t>利润总额</w:t>
            </w:r>
          </w:p>
          <w:p>
            <w:pPr>
              <w:spacing w:line="460" w:lineRule="exact"/>
              <w:ind w:firstLine="0" w:firstLineChars="0"/>
              <w:rPr>
                <w:rFonts w:hint="eastAsia" w:cs="宋体"/>
                <w:bCs/>
                <w:color w:val="auto"/>
              </w:rPr>
            </w:pPr>
            <w:r>
              <w:rPr>
                <w:rFonts w:hint="eastAsia" w:cs="宋体"/>
                <w:bCs/>
                <w:color w:val="auto"/>
              </w:rPr>
              <w:t>（万元）</w:t>
            </w:r>
          </w:p>
        </w:tc>
        <w:tc>
          <w:tcPr>
            <w:tcW w:w="1516" w:type="dxa"/>
            <w:noWrap w:val="0"/>
            <w:vAlign w:val="center"/>
          </w:tcPr>
          <w:p>
            <w:pPr>
              <w:spacing w:line="460" w:lineRule="exact"/>
              <w:ind w:firstLine="0" w:firstLineChars="0"/>
              <w:rPr>
                <w:rFonts w:hint="eastAsia" w:cs="宋体"/>
                <w:bCs/>
                <w:color w:val="auto"/>
              </w:rPr>
            </w:pPr>
            <w:r>
              <w:rPr>
                <w:rFonts w:hint="eastAsia" w:cs="宋体"/>
                <w:bCs/>
                <w:color w:val="auto"/>
              </w:rPr>
              <w:t>净 利 润</w:t>
            </w:r>
          </w:p>
          <w:p>
            <w:pPr>
              <w:spacing w:line="460" w:lineRule="exact"/>
              <w:ind w:firstLine="0" w:firstLineChars="0"/>
              <w:rPr>
                <w:rFonts w:hint="eastAsia" w:cs="宋体"/>
                <w:bCs/>
                <w:color w:val="auto"/>
              </w:rPr>
            </w:pPr>
            <w:r>
              <w:rPr>
                <w:rFonts w:hint="eastAsia" w:cs="宋体"/>
                <w:bCs/>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485" w:type="dxa"/>
            <w:vMerge w:val="continue"/>
            <w:noWrap w:val="0"/>
            <w:vAlign w:val="center"/>
          </w:tcPr>
          <w:p>
            <w:pPr>
              <w:spacing w:line="460" w:lineRule="exact"/>
              <w:ind w:firstLine="0" w:firstLineChars="0"/>
              <w:rPr>
                <w:rFonts w:hint="eastAsia" w:cs="宋体"/>
                <w:bCs/>
                <w:color w:val="auto"/>
              </w:rPr>
            </w:pPr>
          </w:p>
        </w:tc>
        <w:tc>
          <w:tcPr>
            <w:tcW w:w="1461" w:type="dxa"/>
            <w:noWrap w:val="0"/>
            <w:vAlign w:val="center"/>
          </w:tcPr>
          <w:p>
            <w:pPr>
              <w:spacing w:line="460" w:lineRule="exact"/>
              <w:ind w:firstLine="0" w:firstLineChars="0"/>
              <w:rPr>
                <w:rFonts w:hint="eastAsia" w:cs="宋体"/>
                <w:bCs/>
                <w:color w:val="auto"/>
              </w:rPr>
            </w:pPr>
            <w:r>
              <w:rPr>
                <w:rFonts w:hint="eastAsia" w:cs="宋体"/>
                <w:bCs/>
                <w:color w:val="auto"/>
              </w:rPr>
              <w:t>2018年</w:t>
            </w:r>
          </w:p>
        </w:tc>
        <w:tc>
          <w:tcPr>
            <w:tcW w:w="1491" w:type="dxa"/>
            <w:noWrap w:val="0"/>
            <w:vAlign w:val="center"/>
          </w:tcPr>
          <w:p>
            <w:pPr>
              <w:spacing w:line="460" w:lineRule="exact"/>
              <w:ind w:firstLine="0" w:firstLineChars="0"/>
              <w:rPr>
                <w:rFonts w:hint="eastAsia" w:cs="宋体"/>
                <w:bCs/>
                <w:color w:val="auto"/>
              </w:rPr>
            </w:pPr>
          </w:p>
        </w:tc>
        <w:tc>
          <w:tcPr>
            <w:tcW w:w="1483" w:type="dxa"/>
            <w:gridSpan w:val="2"/>
            <w:noWrap w:val="0"/>
            <w:vAlign w:val="center"/>
          </w:tcPr>
          <w:p>
            <w:pPr>
              <w:spacing w:line="460" w:lineRule="exact"/>
              <w:ind w:firstLine="0" w:firstLineChars="0"/>
              <w:rPr>
                <w:rFonts w:hint="eastAsia" w:cs="宋体"/>
                <w:bCs/>
                <w:color w:val="auto"/>
              </w:rPr>
            </w:pPr>
          </w:p>
        </w:tc>
        <w:tc>
          <w:tcPr>
            <w:tcW w:w="1511" w:type="dxa"/>
            <w:gridSpan w:val="3"/>
            <w:noWrap w:val="0"/>
            <w:vAlign w:val="center"/>
          </w:tcPr>
          <w:p>
            <w:pPr>
              <w:spacing w:line="460" w:lineRule="exact"/>
              <w:ind w:firstLine="0" w:firstLineChars="0"/>
              <w:rPr>
                <w:rFonts w:hint="eastAsia" w:cs="宋体"/>
                <w:bCs/>
                <w:color w:val="auto"/>
              </w:rPr>
            </w:pPr>
          </w:p>
        </w:tc>
        <w:tc>
          <w:tcPr>
            <w:tcW w:w="1516" w:type="dxa"/>
            <w:noWrap w:val="0"/>
            <w:vAlign w:val="center"/>
          </w:tcPr>
          <w:p>
            <w:pPr>
              <w:spacing w:line="460" w:lineRule="exact"/>
              <w:ind w:firstLine="0" w:firstLineChars="0"/>
              <w:rPr>
                <w:rFonts w:hint="eastAsia"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485" w:type="dxa"/>
            <w:vMerge w:val="continue"/>
            <w:noWrap w:val="0"/>
            <w:vAlign w:val="top"/>
          </w:tcPr>
          <w:p>
            <w:pPr>
              <w:spacing w:line="460" w:lineRule="exact"/>
              <w:ind w:firstLine="0" w:firstLineChars="0"/>
              <w:rPr>
                <w:rFonts w:hint="eastAsia" w:cs="宋体"/>
                <w:bCs/>
                <w:color w:val="auto"/>
              </w:rPr>
            </w:pPr>
          </w:p>
        </w:tc>
        <w:tc>
          <w:tcPr>
            <w:tcW w:w="1461" w:type="dxa"/>
            <w:noWrap w:val="0"/>
            <w:vAlign w:val="center"/>
          </w:tcPr>
          <w:p>
            <w:pPr>
              <w:spacing w:line="460" w:lineRule="exact"/>
              <w:ind w:firstLine="0" w:firstLineChars="0"/>
              <w:rPr>
                <w:rFonts w:hint="eastAsia" w:cs="宋体"/>
                <w:bCs/>
                <w:color w:val="auto"/>
              </w:rPr>
            </w:pPr>
            <w:r>
              <w:rPr>
                <w:rFonts w:hint="eastAsia" w:cs="宋体"/>
                <w:bCs/>
                <w:color w:val="auto"/>
              </w:rPr>
              <w:t>2019年</w:t>
            </w:r>
          </w:p>
        </w:tc>
        <w:tc>
          <w:tcPr>
            <w:tcW w:w="1491" w:type="dxa"/>
            <w:noWrap w:val="0"/>
            <w:vAlign w:val="top"/>
          </w:tcPr>
          <w:p>
            <w:pPr>
              <w:spacing w:line="460" w:lineRule="exact"/>
              <w:ind w:firstLine="0" w:firstLineChars="0"/>
              <w:rPr>
                <w:rFonts w:hint="eastAsia" w:cs="宋体"/>
                <w:bCs/>
                <w:color w:val="auto"/>
              </w:rPr>
            </w:pPr>
          </w:p>
        </w:tc>
        <w:tc>
          <w:tcPr>
            <w:tcW w:w="1483" w:type="dxa"/>
            <w:gridSpan w:val="2"/>
            <w:noWrap w:val="0"/>
            <w:vAlign w:val="top"/>
          </w:tcPr>
          <w:p>
            <w:pPr>
              <w:spacing w:line="460" w:lineRule="exact"/>
              <w:ind w:firstLine="0" w:firstLineChars="0"/>
              <w:rPr>
                <w:rFonts w:hint="eastAsia" w:cs="宋体"/>
                <w:bCs/>
                <w:color w:val="auto"/>
              </w:rPr>
            </w:pPr>
          </w:p>
        </w:tc>
        <w:tc>
          <w:tcPr>
            <w:tcW w:w="1511" w:type="dxa"/>
            <w:gridSpan w:val="3"/>
            <w:noWrap w:val="0"/>
            <w:vAlign w:val="top"/>
          </w:tcPr>
          <w:p>
            <w:pPr>
              <w:spacing w:line="460" w:lineRule="exact"/>
              <w:ind w:firstLine="0" w:firstLineChars="0"/>
              <w:rPr>
                <w:rFonts w:hint="eastAsia" w:cs="宋体"/>
                <w:bCs/>
                <w:color w:val="auto"/>
              </w:rPr>
            </w:pPr>
          </w:p>
        </w:tc>
        <w:tc>
          <w:tcPr>
            <w:tcW w:w="1516" w:type="dxa"/>
            <w:noWrap w:val="0"/>
            <w:vAlign w:val="top"/>
          </w:tcPr>
          <w:p>
            <w:pPr>
              <w:spacing w:line="460" w:lineRule="exact"/>
              <w:ind w:firstLine="0" w:firstLineChars="0"/>
              <w:rPr>
                <w:rFonts w:hint="eastAsia"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485" w:type="dxa"/>
            <w:vMerge w:val="continue"/>
            <w:noWrap w:val="0"/>
            <w:vAlign w:val="top"/>
          </w:tcPr>
          <w:p>
            <w:pPr>
              <w:spacing w:line="460" w:lineRule="exact"/>
              <w:ind w:firstLine="0" w:firstLineChars="0"/>
              <w:rPr>
                <w:rFonts w:hint="eastAsia" w:cs="宋体"/>
                <w:bCs/>
                <w:color w:val="auto"/>
              </w:rPr>
            </w:pPr>
          </w:p>
        </w:tc>
        <w:tc>
          <w:tcPr>
            <w:tcW w:w="1461" w:type="dxa"/>
            <w:noWrap w:val="0"/>
            <w:vAlign w:val="center"/>
          </w:tcPr>
          <w:p>
            <w:pPr>
              <w:spacing w:line="460" w:lineRule="exact"/>
              <w:ind w:firstLine="0" w:firstLineChars="0"/>
              <w:rPr>
                <w:rFonts w:hint="eastAsia" w:cs="宋体"/>
                <w:bCs/>
                <w:color w:val="auto"/>
              </w:rPr>
            </w:pPr>
            <w:r>
              <w:rPr>
                <w:rFonts w:hint="eastAsia" w:cs="宋体"/>
                <w:bCs/>
                <w:color w:val="auto"/>
              </w:rPr>
              <w:t>2020年</w:t>
            </w:r>
          </w:p>
        </w:tc>
        <w:tc>
          <w:tcPr>
            <w:tcW w:w="1491" w:type="dxa"/>
            <w:noWrap w:val="0"/>
            <w:vAlign w:val="top"/>
          </w:tcPr>
          <w:p>
            <w:pPr>
              <w:spacing w:line="460" w:lineRule="exact"/>
              <w:ind w:firstLine="0" w:firstLineChars="0"/>
              <w:rPr>
                <w:rFonts w:hint="eastAsia" w:cs="宋体"/>
                <w:bCs/>
                <w:color w:val="auto"/>
              </w:rPr>
            </w:pPr>
          </w:p>
        </w:tc>
        <w:tc>
          <w:tcPr>
            <w:tcW w:w="1483" w:type="dxa"/>
            <w:gridSpan w:val="2"/>
            <w:noWrap w:val="0"/>
            <w:vAlign w:val="top"/>
          </w:tcPr>
          <w:p>
            <w:pPr>
              <w:spacing w:line="460" w:lineRule="exact"/>
              <w:ind w:firstLine="0" w:firstLineChars="0"/>
              <w:rPr>
                <w:rFonts w:hint="eastAsia" w:cs="宋体"/>
                <w:bCs/>
                <w:color w:val="auto"/>
              </w:rPr>
            </w:pPr>
          </w:p>
        </w:tc>
        <w:tc>
          <w:tcPr>
            <w:tcW w:w="1511" w:type="dxa"/>
            <w:gridSpan w:val="3"/>
            <w:noWrap w:val="0"/>
            <w:vAlign w:val="top"/>
          </w:tcPr>
          <w:p>
            <w:pPr>
              <w:spacing w:line="460" w:lineRule="exact"/>
              <w:ind w:firstLine="0" w:firstLineChars="0"/>
              <w:rPr>
                <w:rFonts w:hint="eastAsia" w:cs="宋体"/>
                <w:bCs/>
                <w:color w:val="auto"/>
              </w:rPr>
            </w:pPr>
          </w:p>
        </w:tc>
        <w:tc>
          <w:tcPr>
            <w:tcW w:w="1516" w:type="dxa"/>
            <w:noWrap w:val="0"/>
            <w:vAlign w:val="top"/>
          </w:tcPr>
          <w:p>
            <w:pPr>
              <w:spacing w:line="460" w:lineRule="exact"/>
              <w:ind w:firstLine="0" w:firstLineChars="0"/>
              <w:rPr>
                <w:rFonts w:hint="eastAsia"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1485" w:type="dxa"/>
            <w:noWrap w:val="0"/>
            <w:vAlign w:val="center"/>
          </w:tcPr>
          <w:p>
            <w:pPr>
              <w:spacing w:line="460" w:lineRule="exact"/>
              <w:ind w:firstLine="0" w:firstLineChars="0"/>
              <w:rPr>
                <w:rFonts w:hint="eastAsia" w:cs="宋体"/>
                <w:bCs/>
                <w:color w:val="auto"/>
              </w:rPr>
            </w:pPr>
            <w:r>
              <w:rPr>
                <w:rFonts w:hint="eastAsia" w:cs="宋体"/>
                <w:bCs/>
                <w:color w:val="auto"/>
              </w:rPr>
              <w:t>主营业务范围</w:t>
            </w:r>
          </w:p>
        </w:tc>
        <w:tc>
          <w:tcPr>
            <w:tcW w:w="7462" w:type="dxa"/>
            <w:gridSpan w:val="8"/>
            <w:noWrap w:val="0"/>
            <w:vAlign w:val="center"/>
          </w:tcPr>
          <w:p>
            <w:pPr>
              <w:spacing w:line="460" w:lineRule="exact"/>
              <w:ind w:firstLine="0" w:firstLineChars="0"/>
              <w:rPr>
                <w:rFonts w:hint="eastAsia" w:cs="宋体"/>
                <w:bCs/>
                <w:color w:val="auto"/>
              </w:rPr>
            </w:pPr>
            <w:r>
              <w:rPr>
                <w:rFonts w:hint="eastAsia" w:cs="宋体"/>
                <w:bCs/>
                <w:color w:val="auto"/>
              </w:rPr>
              <w:t>1、</w:t>
            </w:r>
          </w:p>
          <w:p>
            <w:pPr>
              <w:spacing w:line="460" w:lineRule="exact"/>
              <w:ind w:firstLine="0" w:firstLineChars="0"/>
              <w:rPr>
                <w:rFonts w:hint="eastAsia" w:cs="宋体"/>
                <w:bCs/>
                <w:color w:val="auto"/>
              </w:rPr>
            </w:pPr>
            <w:r>
              <w:rPr>
                <w:rFonts w:hint="eastAsia" w:cs="宋体"/>
                <w:bCs/>
                <w:color w:val="auto"/>
              </w:rPr>
              <w:t>2、</w:t>
            </w:r>
          </w:p>
          <w:p>
            <w:pPr>
              <w:spacing w:line="460" w:lineRule="exact"/>
              <w:ind w:firstLine="0" w:firstLineChars="0"/>
              <w:rPr>
                <w:rFonts w:hint="eastAsia" w:cs="宋体"/>
                <w:bCs/>
                <w:color w:val="auto"/>
              </w:rPr>
            </w:pPr>
            <w:r>
              <w:rPr>
                <w:rFonts w:hint="eastAsia"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1485" w:type="dxa"/>
            <w:noWrap w:val="0"/>
            <w:vAlign w:val="center"/>
          </w:tcPr>
          <w:p>
            <w:pPr>
              <w:spacing w:line="460" w:lineRule="exact"/>
              <w:ind w:firstLine="0" w:firstLineChars="0"/>
              <w:rPr>
                <w:rFonts w:hint="eastAsia" w:cs="宋体"/>
                <w:bCs/>
                <w:color w:val="auto"/>
              </w:rPr>
            </w:pPr>
            <w:r>
              <w:rPr>
                <w:rFonts w:hint="eastAsia" w:cs="宋体"/>
                <w:bCs/>
                <w:color w:val="auto"/>
              </w:rPr>
              <w:t>其它需要说明的情况</w:t>
            </w:r>
          </w:p>
        </w:tc>
        <w:tc>
          <w:tcPr>
            <w:tcW w:w="7462" w:type="dxa"/>
            <w:gridSpan w:val="8"/>
            <w:noWrap w:val="0"/>
            <w:vAlign w:val="top"/>
          </w:tcPr>
          <w:p>
            <w:pPr>
              <w:spacing w:line="460" w:lineRule="exact"/>
              <w:ind w:firstLine="0" w:firstLineChars="0"/>
              <w:rPr>
                <w:rFonts w:hint="eastAsia" w:cs="宋体"/>
                <w:bCs/>
                <w:color w:val="auto"/>
              </w:rPr>
            </w:pPr>
            <w:r>
              <w:rPr>
                <w:rFonts w:hint="eastAsia" w:cs="宋体"/>
                <w:bCs/>
                <w:color w:val="auto"/>
              </w:rPr>
              <w:t>内容应包含但不限于：企业规模、生产技术水平，投标产品的月供货能力，本次总供货量，运输能力。</w:t>
            </w:r>
          </w:p>
          <w:p>
            <w:pPr>
              <w:spacing w:line="460" w:lineRule="exact"/>
              <w:ind w:firstLine="0" w:firstLineChars="0"/>
              <w:rPr>
                <w:rFonts w:hint="eastAsia" w:cs="宋体"/>
                <w:bCs/>
                <w:color w:val="auto"/>
              </w:rPr>
            </w:pPr>
          </w:p>
          <w:p>
            <w:pPr>
              <w:spacing w:line="460" w:lineRule="exact"/>
              <w:ind w:firstLine="0" w:firstLineChars="0"/>
              <w:rPr>
                <w:rFonts w:hint="eastAsia" w:cs="宋体"/>
                <w:bCs/>
                <w:color w:val="auto"/>
              </w:rPr>
            </w:pPr>
          </w:p>
        </w:tc>
      </w:tr>
    </w:tbl>
    <w:p>
      <w:pPr>
        <w:ind w:firstLine="3840" w:firstLineChars="1600"/>
        <w:rPr>
          <w:rFonts w:cs="宋体"/>
          <w:color w:val="auto"/>
        </w:rPr>
      </w:pPr>
      <w:r>
        <w:rPr>
          <w:rFonts w:hint="eastAsia" w:cs="宋体"/>
          <w:color w:val="auto"/>
        </w:rPr>
        <w:t>投标人盖章：</w:t>
      </w:r>
      <w:r>
        <w:rPr>
          <w:rFonts w:hint="eastAsia" w:cs="宋体"/>
          <w:color w:val="auto"/>
          <w:u w:val="single"/>
        </w:rPr>
        <w:t xml:space="preserve">   （公章）　</w:t>
      </w:r>
    </w:p>
    <w:p>
      <w:pPr>
        <w:pStyle w:val="14"/>
        <w:jc w:val="center"/>
        <w:rPr>
          <w:color w:val="auto"/>
        </w:rPr>
      </w:pPr>
      <w:r>
        <w:rPr>
          <w:rFonts w:hint="eastAsia" w:cs="宋体"/>
          <w:color w:val="auto"/>
        </w:rPr>
        <w:t>年月日</w:t>
      </w:r>
    </w:p>
    <w:p>
      <w:pPr>
        <w:pStyle w:val="14"/>
        <w:rPr>
          <w:color w:val="auto"/>
        </w:rPr>
      </w:pPr>
    </w:p>
    <w:p>
      <w:pPr>
        <w:ind w:firstLine="482"/>
        <w:rPr>
          <w:rFonts w:hint="eastAsia" w:cs="宋体"/>
          <w:b/>
          <w:bCs/>
          <w:color w:val="auto"/>
        </w:rPr>
      </w:pPr>
      <w:r>
        <w:rPr>
          <w:rFonts w:hint="eastAsia" w:cs="宋体"/>
          <w:b/>
          <w:bCs/>
          <w:color w:val="auto"/>
        </w:rPr>
        <w:t>B1</w:t>
      </w:r>
      <w:r>
        <w:rPr>
          <w:rFonts w:hint="eastAsia" w:cs="宋体"/>
          <w:b/>
          <w:bCs/>
          <w:color w:val="auto"/>
          <w:lang w:val="en-US" w:eastAsia="zh-CN"/>
        </w:rPr>
        <w:t>8</w:t>
      </w:r>
      <w:r>
        <w:rPr>
          <w:rFonts w:hint="eastAsia" w:cs="宋体"/>
          <w:b/>
          <w:bCs/>
          <w:color w:val="auto"/>
        </w:rPr>
        <w:t>第四部分“评分标准（兼评委打分表）”中要求提供的资料。</w:t>
      </w:r>
    </w:p>
    <w:p>
      <w:pPr>
        <w:pStyle w:val="2"/>
        <w:tabs>
          <w:tab w:val="left" w:pos="0"/>
          <w:tab w:val="left" w:pos="1260"/>
          <w:tab w:val="left" w:pos="1365"/>
        </w:tabs>
        <w:ind w:firstLine="602"/>
        <w:jc w:val="center"/>
        <w:rPr>
          <w:rFonts w:cs="宋体"/>
          <w:b/>
          <w:bCs/>
          <w:color w:val="auto"/>
          <w:sz w:val="30"/>
          <w:szCs w:val="30"/>
        </w:rPr>
      </w:pPr>
      <w:r>
        <w:rPr>
          <w:rFonts w:hint="eastAsia" w:cs="宋体"/>
          <w:b/>
          <w:bCs/>
          <w:color w:val="auto"/>
          <w:sz w:val="30"/>
          <w:szCs w:val="30"/>
        </w:rPr>
        <w:br w:type="page"/>
      </w:r>
      <w:r>
        <w:rPr>
          <w:rFonts w:hint="eastAsia" w:cs="宋体"/>
          <w:b/>
          <w:bCs/>
          <w:color w:val="auto"/>
          <w:sz w:val="30"/>
          <w:szCs w:val="30"/>
        </w:rPr>
        <w:t>C资格审查文件</w:t>
      </w: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ind w:firstLine="602"/>
        <w:rPr>
          <w:rFonts w:cs="宋体"/>
          <w:b/>
          <w:bCs/>
          <w:color w:val="auto"/>
          <w:sz w:val="30"/>
          <w:szCs w:val="30"/>
        </w:rPr>
      </w:pPr>
    </w:p>
    <w:p>
      <w:pPr>
        <w:pStyle w:val="24"/>
        <w:ind w:firstLine="602"/>
        <w:rPr>
          <w:rFonts w:cs="宋体"/>
          <w:b/>
          <w:bCs/>
          <w:color w:val="auto"/>
          <w:sz w:val="30"/>
          <w:szCs w:val="30"/>
        </w:rPr>
      </w:pPr>
    </w:p>
    <w:p>
      <w:pPr>
        <w:pStyle w:val="24"/>
        <w:ind w:firstLine="602"/>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ind w:firstLine="480"/>
        <w:rPr>
          <w:color w:val="auto"/>
        </w:rPr>
      </w:pPr>
    </w:p>
    <w:p>
      <w:pPr>
        <w:pStyle w:val="2"/>
        <w:tabs>
          <w:tab w:val="left" w:pos="0"/>
          <w:tab w:val="left" w:pos="1260"/>
          <w:tab w:val="left" w:pos="1365"/>
        </w:tabs>
        <w:ind w:firstLine="602"/>
        <w:jc w:val="center"/>
        <w:rPr>
          <w:rFonts w:cs="宋体"/>
          <w:b/>
          <w:bCs/>
          <w:color w:val="auto"/>
          <w:sz w:val="30"/>
          <w:szCs w:val="30"/>
        </w:rPr>
      </w:pPr>
    </w:p>
    <w:p>
      <w:pPr>
        <w:pStyle w:val="2"/>
        <w:tabs>
          <w:tab w:val="left" w:pos="0"/>
          <w:tab w:val="left" w:pos="1260"/>
          <w:tab w:val="left" w:pos="1365"/>
        </w:tabs>
        <w:ind w:firstLine="602"/>
        <w:jc w:val="center"/>
        <w:rPr>
          <w:rFonts w:cs="宋体"/>
          <w:b/>
          <w:bCs/>
          <w:color w:val="auto"/>
          <w:sz w:val="30"/>
          <w:szCs w:val="30"/>
        </w:rPr>
      </w:pPr>
    </w:p>
    <w:p>
      <w:pPr>
        <w:ind w:firstLine="480"/>
        <w:rPr>
          <w:color w:val="auto"/>
        </w:rPr>
      </w:pPr>
    </w:p>
    <w:p>
      <w:pPr>
        <w:ind w:firstLine="643"/>
        <w:rPr>
          <w:rFonts w:cs="宋体"/>
          <w:b/>
          <w:bCs/>
          <w:color w:val="auto"/>
          <w:sz w:val="32"/>
        </w:rPr>
      </w:pPr>
      <w:r>
        <w:rPr>
          <w:rFonts w:hint="eastAsia" w:cs="宋体"/>
          <w:b/>
          <w:bCs/>
          <w:color w:val="auto"/>
          <w:sz w:val="32"/>
        </w:rPr>
        <w:t>封面</w:t>
      </w:r>
    </w:p>
    <w:p>
      <w:pPr>
        <w:ind w:firstLine="640"/>
        <w:jc w:val="right"/>
        <w:rPr>
          <w:rFonts w:cs="宋体"/>
          <w:color w:val="auto"/>
          <w:sz w:val="32"/>
        </w:rPr>
      </w:pPr>
    </w:p>
    <w:p>
      <w:pPr>
        <w:ind w:firstLine="961" w:firstLineChars="299"/>
        <w:jc w:val="center"/>
        <w:rPr>
          <w:rFonts w:hint="eastAsia" w:cs="宋体"/>
          <w:b/>
          <w:color w:val="auto"/>
          <w:sz w:val="32"/>
          <w:szCs w:val="32"/>
        </w:rPr>
      </w:pPr>
      <w:r>
        <w:rPr>
          <w:rFonts w:hint="eastAsia" w:cs="宋体"/>
          <w:b/>
          <w:color w:val="auto"/>
          <w:sz w:val="32"/>
          <w:szCs w:val="32"/>
        </w:rPr>
        <w:t>项目名称:</w:t>
      </w:r>
      <w:r>
        <w:rPr>
          <w:rFonts w:hint="eastAsia" w:cs="宋体"/>
          <w:b/>
          <w:color w:val="auto"/>
          <w:sz w:val="32"/>
          <w:szCs w:val="32"/>
          <w:lang w:eastAsia="zh-CN"/>
        </w:rPr>
        <w:t>宁波行知中等职业学校</w:t>
      </w:r>
    </w:p>
    <w:p>
      <w:pPr>
        <w:ind w:firstLine="961" w:firstLineChars="299"/>
        <w:jc w:val="center"/>
        <w:rPr>
          <w:rFonts w:hint="eastAsia" w:cs="宋体"/>
          <w:b/>
          <w:color w:val="auto"/>
          <w:sz w:val="32"/>
          <w:szCs w:val="32"/>
        </w:rPr>
      </w:pPr>
      <w:r>
        <w:rPr>
          <w:rFonts w:hint="eastAsia" w:cs="宋体"/>
          <w:b/>
          <w:color w:val="auto"/>
          <w:sz w:val="32"/>
          <w:szCs w:val="32"/>
          <w:lang w:eastAsia="zh-CN"/>
        </w:rPr>
        <w:t>保安服务采购</w:t>
      </w:r>
      <w:r>
        <w:rPr>
          <w:rFonts w:hint="eastAsia" w:cs="宋体"/>
          <w:b/>
          <w:color w:val="auto"/>
          <w:sz w:val="32"/>
          <w:szCs w:val="32"/>
        </w:rPr>
        <w:t>项目</w:t>
      </w:r>
    </w:p>
    <w:p>
      <w:pPr>
        <w:ind w:firstLine="961" w:firstLineChars="299"/>
        <w:jc w:val="center"/>
        <w:rPr>
          <w:rFonts w:cs="宋体"/>
          <w:b/>
          <w:color w:val="auto"/>
          <w:sz w:val="32"/>
          <w:szCs w:val="32"/>
        </w:rPr>
      </w:pPr>
      <w:r>
        <w:rPr>
          <w:rFonts w:hint="eastAsia" w:cs="宋体"/>
          <w:b/>
          <w:color w:val="auto"/>
          <w:sz w:val="32"/>
          <w:szCs w:val="32"/>
        </w:rPr>
        <w:t>招标编号:ZJWS-202101</w:t>
      </w:r>
      <w:r>
        <w:rPr>
          <w:rFonts w:hint="eastAsia" w:cs="宋体"/>
          <w:b/>
          <w:color w:val="auto"/>
          <w:sz w:val="32"/>
          <w:szCs w:val="32"/>
          <w:lang w:eastAsia="zh-CN"/>
        </w:rPr>
        <w:t>62G</w:t>
      </w:r>
    </w:p>
    <w:p>
      <w:pPr>
        <w:ind w:firstLine="643"/>
        <w:jc w:val="center"/>
        <w:rPr>
          <w:rFonts w:cs="宋体"/>
          <w:b/>
          <w:color w:val="auto"/>
          <w:sz w:val="32"/>
          <w:szCs w:val="32"/>
        </w:rPr>
      </w:pPr>
    </w:p>
    <w:p>
      <w:pPr>
        <w:ind w:firstLine="640"/>
        <w:jc w:val="center"/>
        <w:rPr>
          <w:rFonts w:cs="宋体"/>
          <w:color w:val="auto"/>
          <w:sz w:val="32"/>
          <w:szCs w:val="32"/>
        </w:rPr>
      </w:pPr>
      <w:r>
        <w:rPr>
          <w:rFonts w:hint="eastAsia" w:cs="宋体"/>
          <w:color w:val="auto"/>
          <w:sz w:val="32"/>
          <w:szCs w:val="32"/>
        </w:rPr>
        <w:t>（资格审查文件）</w:t>
      </w:r>
    </w:p>
    <w:p>
      <w:pPr>
        <w:ind w:firstLine="480"/>
        <w:rPr>
          <w:rFonts w:cs="宋体"/>
          <w:color w:val="auto"/>
        </w:rPr>
      </w:pPr>
    </w:p>
    <w:p>
      <w:pPr>
        <w:ind w:firstLine="480"/>
        <w:rPr>
          <w:rFonts w:cs="宋体"/>
          <w:color w:val="auto"/>
        </w:rPr>
      </w:pPr>
    </w:p>
    <w:p>
      <w:pPr>
        <w:ind w:firstLine="1446"/>
        <w:jc w:val="center"/>
        <w:rPr>
          <w:rFonts w:cs="宋体"/>
          <w:b/>
          <w:color w:val="auto"/>
          <w:sz w:val="72"/>
          <w:szCs w:val="72"/>
        </w:rPr>
      </w:pPr>
      <w:r>
        <w:rPr>
          <w:rFonts w:hint="eastAsia" w:cs="宋体"/>
          <w:b/>
          <w:color w:val="auto"/>
          <w:sz w:val="72"/>
          <w:szCs w:val="72"/>
        </w:rPr>
        <w:t>投</w:t>
      </w:r>
    </w:p>
    <w:p>
      <w:pPr>
        <w:ind w:firstLine="1446"/>
        <w:jc w:val="center"/>
        <w:rPr>
          <w:rFonts w:cs="宋体"/>
          <w:b/>
          <w:color w:val="auto"/>
          <w:sz w:val="72"/>
          <w:szCs w:val="72"/>
        </w:rPr>
      </w:pPr>
      <w:r>
        <w:rPr>
          <w:rFonts w:hint="eastAsia" w:cs="宋体"/>
          <w:b/>
          <w:color w:val="auto"/>
          <w:sz w:val="72"/>
          <w:szCs w:val="72"/>
        </w:rPr>
        <w:t>标</w:t>
      </w:r>
    </w:p>
    <w:p>
      <w:pPr>
        <w:ind w:firstLine="1446"/>
        <w:jc w:val="center"/>
        <w:rPr>
          <w:rFonts w:cs="宋体"/>
          <w:b/>
          <w:color w:val="auto"/>
          <w:sz w:val="72"/>
          <w:szCs w:val="72"/>
        </w:rPr>
      </w:pPr>
      <w:r>
        <w:rPr>
          <w:rFonts w:hint="eastAsia" w:cs="宋体"/>
          <w:b/>
          <w:color w:val="auto"/>
          <w:sz w:val="72"/>
          <w:szCs w:val="72"/>
        </w:rPr>
        <w:t>文</w:t>
      </w:r>
    </w:p>
    <w:p>
      <w:pPr>
        <w:ind w:firstLine="1446"/>
        <w:jc w:val="center"/>
        <w:rPr>
          <w:rFonts w:cs="宋体"/>
          <w:b/>
          <w:color w:val="auto"/>
          <w:sz w:val="72"/>
          <w:szCs w:val="72"/>
        </w:rPr>
      </w:pPr>
      <w:r>
        <w:rPr>
          <w:rFonts w:hint="eastAsia" w:cs="宋体"/>
          <w:b/>
          <w:color w:val="auto"/>
          <w:sz w:val="72"/>
          <w:szCs w:val="72"/>
        </w:rPr>
        <w:t>件</w:t>
      </w:r>
    </w:p>
    <w:p>
      <w:pPr>
        <w:ind w:firstLine="480"/>
        <w:rPr>
          <w:rFonts w:cs="宋体"/>
          <w:color w:val="auto"/>
        </w:rPr>
      </w:pPr>
    </w:p>
    <w:p>
      <w:pPr>
        <w:ind w:firstLine="560"/>
        <w:rPr>
          <w:rFonts w:hint="eastAsia" w:cs="宋体"/>
          <w:color w:val="auto"/>
          <w:sz w:val="28"/>
          <w:szCs w:val="28"/>
        </w:rPr>
      </w:pPr>
      <w:r>
        <w:rPr>
          <w:rFonts w:hint="eastAsia" w:cs="宋体"/>
          <w:color w:val="auto"/>
          <w:sz w:val="28"/>
          <w:szCs w:val="28"/>
        </w:rPr>
        <w:t>项目名称:________________________</w:t>
      </w:r>
    </w:p>
    <w:p>
      <w:pPr>
        <w:ind w:firstLine="560"/>
        <w:rPr>
          <w:rFonts w:hint="eastAsia" w:cs="宋体"/>
          <w:color w:val="auto"/>
          <w:sz w:val="28"/>
          <w:szCs w:val="28"/>
        </w:rPr>
      </w:pPr>
      <w:r>
        <w:rPr>
          <w:rFonts w:hint="eastAsia" w:cs="宋体"/>
          <w:color w:val="auto"/>
          <w:sz w:val="28"/>
          <w:szCs w:val="28"/>
        </w:rPr>
        <w:t>投 标 人:________________________</w:t>
      </w:r>
    </w:p>
    <w:p>
      <w:pPr>
        <w:ind w:firstLine="560"/>
        <w:rPr>
          <w:rFonts w:hint="eastAsia" w:cs="宋体"/>
          <w:color w:val="auto"/>
          <w:sz w:val="28"/>
          <w:szCs w:val="28"/>
        </w:rPr>
      </w:pPr>
      <w:r>
        <w:rPr>
          <w:rFonts w:hint="eastAsia" w:cs="宋体"/>
          <w:color w:val="auto"/>
          <w:sz w:val="28"/>
          <w:szCs w:val="28"/>
        </w:rPr>
        <w:t>投标人地址：_____________________</w:t>
      </w:r>
    </w:p>
    <w:p>
      <w:pPr>
        <w:ind w:left="3825" w:firstLine="560"/>
        <w:rPr>
          <w:rFonts w:hint="eastAsia" w:cs="宋体"/>
          <w:color w:val="auto"/>
          <w:sz w:val="28"/>
          <w:szCs w:val="28"/>
        </w:rPr>
      </w:pPr>
      <w:r>
        <w:rPr>
          <w:rFonts w:hint="eastAsia" w:cs="宋体"/>
          <w:color w:val="auto"/>
          <w:sz w:val="28"/>
          <w:szCs w:val="28"/>
        </w:rPr>
        <w:t>年月日</w:t>
      </w:r>
    </w:p>
    <w:p>
      <w:pPr>
        <w:spacing w:line="400" w:lineRule="exact"/>
        <w:ind w:firstLine="482"/>
        <w:rPr>
          <w:rFonts w:hint="eastAsia" w:cs="宋体"/>
          <w:b/>
          <w:bCs/>
          <w:color w:val="auto"/>
        </w:rPr>
      </w:pPr>
      <w:r>
        <w:rPr>
          <w:rFonts w:hint="eastAsia" w:cs="宋体"/>
          <w:b/>
          <w:bCs/>
          <w:color w:val="auto"/>
        </w:rPr>
        <w:t>C1营业执照副本复印件（加盖投标人公章）</w:t>
      </w:r>
    </w:p>
    <w:p>
      <w:pPr>
        <w:spacing w:line="400" w:lineRule="exact"/>
        <w:ind w:firstLine="482"/>
        <w:rPr>
          <w:rFonts w:cs="宋体"/>
          <w:b/>
          <w:color w:val="auto"/>
        </w:rPr>
      </w:pPr>
      <w:r>
        <w:rPr>
          <w:rFonts w:hint="eastAsia" w:cs="宋体"/>
          <w:b/>
          <w:color w:val="auto"/>
        </w:rPr>
        <w:t>C</w:t>
      </w:r>
      <w:r>
        <w:rPr>
          <w:rFonts w:hint="eastAsia" w:cs="宋体"/>
          <w:b/>
          <w:color w:val="auto"/>
          <w:lang w:val="en-US" w:eastAsia="zh-CN"/>
        </w:rPr>
        <w:t>2</w:t>
      </w:r>
      <w:r>
        <w:rPr>
          <w:rFonts w:hint="eastAsia" w:cs="宋体"/>
          <w:b/>
          <w:color w:val="auto"/>
        </w:rPr>
        <w:t xml:space="preserve"> 2020年度财务会计报表复印件加盖投标人公章（投标人注册成立不足一年的，应提供投标人成立至今的财务会计报表复印件加盖投标人公章）；</w:t>
      </w:r>
    </w:p>
    <w:p>
      <w:pPr>
        <w:spacing w:line="400" w:lineRule="exact"/>
        <w:ind w:firstLine="482"/>
        <w:rPr>
          <w:rFonts w:cs="宋体"/>
          <w:b/>
          <w:color w:val="auto"/>
        </w:rPr>
      </w:pPr>
      <w:r>
        <w:rPr>
          <w:rFonts w:hint="eastAsia" w:cs="宋体"/>
          <w:b/>
          <w:color w:val="auto"/>
        </w:rPr>
        <w:t>C</w:t>
      </w:r>
      <w:r>
        <w:rPr>
          <w:rFonts w:hint="eastAsia" w:cs="宋体"/>
          <w:b/>
          <w:color w:val="auto"/>
          <w:lang w:val="en-US" w:eastAsia="zh-CN"/>
        </w:rPr>
        <w:t>3</w:t>
      </w:r>
      <w:r>
        <w:rPr>
          <w:rFonts w:hint="eastAsia" w:cs="宋体"/>
          <w:b/>
          <w:color w:val="auto"/>
        </w:rPr>
        <w:t>近六个月任意一月缴纳社保的证明资料复印件加盖投标人公章；</w:t>
      </w:r>
    </w:p>
    <w:p>
      <w:pPr>
        <w:spacing w:line="400" w:lineRule="exact"/>
        <w:ind w:firstLine="482"/>
        <w:rPr>
          <w:rFonts w:cs="宋体"/>
          <w:b/>
          <w:color w:val="auto"/>
        </w:rPr>
      </w:pPr>
      <w:r>
        <w:rPr>
          <w:rFonts w:hint="eastAsia" w:cs="宋体"/>
          <w:b/>
          <w:color w:val="auto"/>
        </w:rPr>
        <w:t>C</w:t>
      </w:r>
      <w:r>
        <w:rPr>
          <w:rFonts w:hint="eastAsia" w:cs="宋体"/>
          <w:b/>
          <w:color w:val="auto"/>
          <w:lang w:val="en-US" w:eastAsia="zh-CN"/>
        </w:rPr>
        <w:t>4</w:t>
      </w:r>
      <w:r>
        <w:rPr>
          <w:rFonts w:hint="eastAsia" w:cs="宋体"/>
          <w:b/>
          <w:color w:val="auto"/>
        </w:rPr>
        <w:t>近六个月任意一月缴纳税收的证明资料复印件加盖投标人公章；</w:t>
      </w:r>
    </w:p>
    <w:p>
      <w:pPr>
        <w:ind w:firstLine="600"/>
        <w:rPr>
          <w:rFonts w:cs="宋体"/>
          <w:i/>
          <w:iCs/>
          <w:color w:val="auto"/>
          <w:sz w:val="30"/>
        </w:rPr>
      </w:pPr>
    </w:p>
    <w:p>
      <w:pPr>
        <w:spacing w:line="400" w:lineRule="exact"/>
        <w:ind w:firstLine="482"/>
        <w:jc w:val="center"/>
        <w:rPr>
          <w:rFonts w:cs="宋体"/>
          <w:b/>
          <w:color w:val="auto"/>
        </w:rPr>
      </w:pPr>
      <w:r>
        <w:rPr>
          <w:rFonts w:hint="eastAsia" w:cs="宋体"/>
          <w:b/>
          <w:color w:val="auto"/>
        </w:rPr>
        <w:t>C</w:t>
      </w:r>
      <w:r>
        <w:rPr>
          <w:rFonts w:hint="eastAsia" w:cs="宋体"/>
          <w:b/>
          <w:color w:val="auto"/>
          <w:lang w:val="en-US" w:eastAsia="zh-CN"/>
        </w:rPr>
        <w:t>5</w:t>
      </w:r>
      <w:r>
        <w:rPr>
          <w:rFonts w:hint="eastAsia" w:cs="宋体"/>
          <w:b/>
          <w:color w:val="auto"/>
        </w:rPr>
        <w:t>关于资格的声明函</w:t>
      </w:r>
    </w:p>
    <w:p>
      <w:pPr>
        <w:ind w:left="540" w:firstLine="482"/>
        <w:jc w:val="center"/>
        <w:rPr>
          <w:rFonts w:cs="宋体"/>
          <w:b/>
          <w:color w:val="auto"/>
        </w:rPr>
      </w:pPr>
    </w:p>
    <w:p>
      <w:pPr>
        <w:ind w:firstLine="480"/>
        <w:rPr>
          <w:rFonts w:cs="宋体"/>
          <w:color w:val="auto"/>
        </w:rPr>
      </w:pPr>
      <w:r>
        <w:rPr>
          <w:rFonts w:hint="eastAsia" w:cs="宋体"/>
          <w:color w:val="auto"/>
        </w:rPr>
        <w:t>致：</w:t>
      </w:r>
      <w:r>
        <w:rPr>
          <w:rFonts w:hint="eastAsia" w:cs="宋体"/>
          <w:i/>
          <w:color w:val="auto"/>
        </w:rPr>
        <w:t>（招标人）</w:t>
      </w:r>
    </w:p>
    <w:p>
      <w:pPr>
        <w:tabs>
          <w:tab w:val="left" w:pos="540"/>
        </w:tabs>
        <w:adjustRightInd w:val="0"/>
        <w:snapToGrid w:val="0"/>
        <w:spacing w:line="520" w:lineRule="exact"/>
        <w:ind w:firstLine="480"/>
        <w:rPr>
          <w:rFonts w:cs="宋体"/>
          <w:color w:val="auto"/>
        </w:rPr>
      </w:pPr>
      <w:r>
        <w:rPr>
          <w:rFonts w:hint="eastAsia" w:cs="宋体"/>
          <w:color w:val="auto"/>
        </w:rPr>
        <w:t xml:space="preserve">   于贵方对采购编号为的发出的投标邀请，本单位申明如下： </w:t>
      </w:r>
    </w:p>
    <w:p>
      <w:pPr>
        <w:spacing w:line="400" w:lineRule="exact"/>
        <w:ind w:firstLine="480"/>
        <w:rPr>
          <w:rFonts w:cs="宋体"/>
          <w:color w:val="auto"/>
        </w:rPr>
      </w:pPr>
      <w:r>
        <w:rPr>
          <w:rFonts w:hint="eastAsia" w:cs="宋体"/>
          <w:color w:val="auto"/>
        </w:rPr>
        <w:t>1、我单位符合《中华人民共和国政府采购法》第22条的一般资格条件的规定：</w:t>
      </w:r>
    </w:p>
    <w:p>
      <w:pPr>
        <w:spacing w:line="400" w:lineRule="exact"/>
        <w:ind w:firstLine="480"/>
        <w:rPr>
          <w:rFonts w:cs="宋体"/>
          <w:color w:val="auto"/>
        </w:rPr>
      </w:pPr>
      <w:r>
        <w:rPr>
          <w:rFonts w:hint="eastAsia" w:cs="宋体"/>
          <w:color w:val="auto"/>
        </w:rPr>
        <w:t>1.1具有独立承担民事责任的能力；</w:t>
      </w:r>
    </w:p>
    <w:p>
      <w:pPr>
        <w:spacing w:line="400" w:lineRule="exact"/>
        <w:ind w:firstLine="480"/>
        <w:rPr>
          <w:rFonts w:cs="宋体"/>
          <w:color w:val="auto"/>
        </w:rPr>
      </w:pPr>
      <w:r>
        <w:rPr>
          <w:rFonts w:hint="eastAsia" w:cs="宋体"/>
          <w:color w:val="auto"/>
        </w:rPr>
        <w:t>1.2具有良好的商业信誉和健全的财务会计制度；</w:t>
      </w:r>
    </w:p>
    <w:p>
      <w:pPr>
        <w:spacing w:line="400" w:lineRule="exact"/>
        <w:ind w:firstLine="480"/>
        <w:rPr>
          <w:rFonts w:cs="宋体"/>
          <w:color w:val="auto"/>
        </w:rPr>
      </w:pPr>
      <w:r>
        <w:rPr>
          <w:rFonts w:hint="eastAsia" w:cs="宋体"/>
          <w:color w:val="auto"/>
        </w:rPr>
        <w:t>1.3具有履行合同所必需的设备和专业技术能力；</w:t>
      </w:r>
    </w:p>
    <w:p>
      <w:pPr>
        <w:spacing w:line="400" w:lineRule="exact"/>
        <w:ind w:firstLine="480"/>
        <w:rPr>
          <w:rFonts w:cs="宋体"/>
          <w:color w:val="auto"/>
        </w:rPr>
      </w:pPr>
      <w:r>
        <w:rPr>
          <w:rFonts w:hint="eastAsia" w:cs="宋体"/>
          <w:color w:val="auto"/>
        </w:rPr>
        <w:t>1.4有依法缴纳税收和社会保障资金的良好记录；</w:t>
      </w:r>
    </w:p>
    <w:p>
      <w:pPr>
        <w:spacing w:line="400" w:lineRule="exact"/>
        <w:ind w:firstLine="480"/>
        <w:rPr>
          <w:rFonts w:cs="宋体"/>
          <w:color w:val="auto"/>
        </w:rPr>
      </w:pPr>
      <w:r>
        <w:rPr>
          <w:rFonts w:hint="eastAsia" w:cs="宋体"/>
          <w:color w:val="auto"/>
        </w:rPr>
        <w:t>1.5参加政府采购活动前三年内，在经营活动中没有重大违法记录；</w:t>
      </w:r>
    </w:p>
    <w:p>
      <w:pPr>
        <w:spacing w:line="400" w:lineRule="exact"/>
        <w:ind w:firstLine="480"/>
        <w:rPr>
          <w:rFonts w:cs="宋体"/>
          <w:color w:val="auto"/>
        </w:rPr>
      </w:pPr>
      <w:r>
        <w:rPr>
          <w:rFonts w:hint="eastAsia" w:cs="宋体"/>
          <w:color w:val="auto"/>
        </w:rPr>
        <w:t>1.6法律、行政法规规定的其他条件。</w:t>
      </w:r>
    </w:p>
    <w:p>
      <w:pPr>
        <w:spacing w:line="400" w:lineRule="exact"/>
        <w:ind w:firstLine="480"/>
        <w:rPr>
          <w:rFonts w:cs="宋体"/>
          <w:color w:val="auto"/>
        </w:rPr>
      </w:pPr>
      <w:r>
        <w:rPr>
          <w:rFonts w:hint="eastAsia" w:cs="宋体"/>
          <w:color w:val="auto"/>
        </w:rPr>
        <w:t>2、未被列入失信被执行人、重大税收违法案件当事人名单、政府采购严重违法失信行为记录名单。</w:t>
      </w:r>
    </w:p>
    <w:p>
      <w:pPr>
        <w:ind w:firstLine="480"/>
        <w:rPr>
          <w:rFonts w:cs="宋体"/>
          <w:color w:val="auto"/>
        </w:rPr>
      </w:pPr>
    </w:p>
    <w:p>
      <w:pPr>
        <w:ind w:firstLine="480"/>
        <w:jc w:val="center"/>
        <w:rPr>
          <w:rFonts w:cs="宋体"/>
          <w:color w:val="auto"/>
        </w:rPr>
      </w:pPr>
    </w:p>
    <w:p>
      <w:pPr>
        <w:ind w:firstLine="3840" w:firstLineChars="1600"/>
        <w:rPr>
          <w:rFonts w:cs="宋体"/>
          <w:color w:val="auto"/>
        </w:rPr>
      </w:pPr>
      <w:r>
        <w:rPr>
          <w:rFonts w:hint="eastAsia" w:cs="宋体"/>
          <w:color w:val="auto"/>
        </w:rPr>
        <w:t>投标人盖章：</w:t>
      </w:r>
      <w:r>
        <w:rPr>
          <w:rFonts w:hint="eastAsia" w:cs="宋体"/>
          <w:color w:val="auto"/>
          <w:u w:val="single"/>
        </w:rPr>
        <w:t xml:space="preserve">   （公章）　</w:t>
      </w:r>
    </w:p>
    <w:p>
      <w:pPr>
        <w:ind w:firstLine="480"/>
        <w:rPr>
          <w:rFonts w:cs="宋体"/>
          <w:color w:val="auto"/>
        </w:rPr>
      </w:pPr>
      <w:r>
        <w:rPr>
          <w:rFonts w:hint="eastAsia" w:cs="宋体"/>
          <w:color w:val="auto"/>
        </w:rPr>
        <w:t xml:space="preserve">                              年月日</w:t>
      </w: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ind w:firstLine="420"/>
        <w:rPr>
          <w:rFonts w:cs="宋体"/>
          <w:color w:val="auto"/>
          <w:sz w:val="21"/>
          <w:szCs w:val="21"/>
        </w:rPr>
      </w:pPr>
    </w:p>
    <w:p>
      <w:pPr>
        <w:pStyle w:val="3"/>
        <w:tabs>
          <w:tab w:val="left" w:pos="0"/>
          <w:tab w:val="left" w:pos="1260"/>
          <w:tab w:val="left" w:pos="1365"/>
        </w:tabs>
        <w:rPr>
          <w:color w:val="auto"/>
        </w:rPr>
      </w:pPr>
    </w:p>
    <w:p>
      <w:pPr>
        <w:spacing w:line="400" w:lineRule="exact"/>
        <w:ind w:firstLine="482"/>
        <w:jc w:val="center"/>
        <w:rPr>
          <w:rFonts w:cs="宋体"/>
          <w:b/>
          <w:color w:val="auto"/>
        </w:rPr>
      </w:pPr>
      <w:r>
        <w:rPr>
          <w:rFonts w:hint="eastAsia" w:cs="宋体"/>
          <w:b/>
          <w:color w:val="auto"/>
        </w:rPr>
        <w:t>C</w:t>
      </w:r>
      <w:r>
        <w:rPr>
          <w:rFonts w:hint="eastAsia" w:cs="宋体"/>
          <w:b/>
          <w:color w:val="auto"/>
          <w:lang w:val="en-US" w:eastAsia="zh-CN"/>
        </w:rPr>
        <w:t>6</w:t>
      </w:r>
      <w:r>
        <w:rPr>
          <w:rFonts w:hint="eastAsia" w:cs="宋体"/>
          <w:b/>
          <w:color w:val="auto"/>
        </w:rPr>
        <w:t>无重大违法记录声明函</w:t>
      </w:r>
    </w:p>
    <w:p>
      <w:pPr>
        <w:spacing w:line="400" w:lineRule="exact"/>
        <w:ind w:firstLine="420"/>
        <w:rPr>
          <w:rFonts w:cs="宋体"/>
          <w:color w:val="auto"/>
          <w:sz w:val="21"/>
          <w:szCs w:val="21"/>
        </w:rPr>
      </w:pPr>
    </w:p>
    <w:p>
      <w:pPr>
        <w:spacing w:line="400" w:lineRule="exact"/>
        <w:ind w:firstLine="420"/>
        <w:rPr>
          <w:rFonts w:cs="宋体"/>
          <w:b/>
          <w:color w:val="auto"/>
          <w:sz w:val="21"/>
          <w:szCs w:val="21"/>
        </w:rPr>
      </w:pPr>
      <w:r>
        <w:rPr>
          <w:rFonts w:hint="eastAsia" w:cs="宋体"/>
          <w:color w:val="auto"/>
          <w:sz w:val="21"/>
          <w:szCs w:val="21"/>
        </w:rPr>
        <w:t>致：采购人</w:t>
      </w:r>
    </w:p>
    <w:p>
      <w:pPr>
        <w:spacing w:line="400" w:lineRule="exact"/>
        <w:ind w:firstLine="420"/>
        <w:rPr>
          <w:rFonts w:cs="宋体"/>
          <w:color w:val="auto"/>
          <w:sz w:val="21"/>
          <w:szCs w:val="21"/>
        </w:rPr>
      </w:pPr>
      <w:r>
        <w:rPr>
          <w:rFonts w:hint="eastAsia" w:cs="宋体"/>
          <w:bCs/>
          <w:color w:val="auto"/>
          <w:sz w:val="21"/>
          <w:szCs w:val="21"/>
        </w:rPr>
        <w:t>我单位承诺：</w:t>
      </w:r>
    </w:p>
    <w:p>
      <w:pPr>
        <w:spacing w:line="400" w:lineRule="exact"/>
        <w:ind w:firstLine="420"/>
        <w:rPr>
          <w:rFonts w:cs="宋体"/>
          <w:color w:val="auto"/>
          <w:sz w:val="21"/>
          <w:szCs w:val="21"/>
        </w:rPr>
      </w:pPr>
      <w:r>
        <w:rPr>
          <w:rFonts w:hint="eastAsia" w:cs="宋体"/>
          <w:color w:val="auto"/>
          <w:sz w:val="21"/>
          <w:szCs w:val="21"/>
        </w:rPr>
        <w:t>我单位参与本次采购活动前三年内，在经营活动中没有重大违法记录。</w:t>
      </w:r>
    </w:p>
    <w:p>
      <w:pPr>
        <w:spacing w:line="400" w:lineRule="exact"/>
        <w:ind w:firstLine="420"/>
        <w:rPr>
          <w:rFonts w:cs="宋体"/>
          <w:color w:val="auto"/>
          <w:sz w:val="21"/>
          <w:szCs w:val="21"/>
        </w:rPr>
      </w:pPr>
      <w:r>
        <w:rPr>
          <w:rFonts w:hint="eastAsia" w:cs="宋体"/>
          <w:color w:val="auto"/>
          <w:sz w:val="21"/>
          <w:szCs w:val="21"/>
        </w:rPr>
        <w:t>我单位对上述声明的真实性负责。如有虚假，将依法承担相应法律责任。</w:t>
      </w:r>
    </w:p>
    <w:p>
      <w:pPr>
        <w:spacing w:line="400" w:lineRule="exact"/>
        <w:ind w:firstLine="420"/>
        <w:rPr>
          <w:rFonts w:cs="宋体"/>
          <w:color w:val="auto"/>
          <w:sz w:val="21"/>
          <w:szCs w:val="21"/>
        </w:rPr>
      </w:pPr>
      <w:r>
        <w:rPr>
          <w:rFonts w:hint="eastAsia" w:cs="宋体"/>
          <w:color w:val="auto"/>
          <w:sz w:val="21"/>
          <w:szCs w:val="21"/>
        </w:rPr>
        <w:t>特此承诺。</w:t>
      </w:r>
    </w:p>
    <w:p>
      <w:pPr>
        <w:pStyle w:val="35"/>
        <w:spacing w:before="0" w:beforeAutospacing="0" w:after="0" w:afterAutospacing="0" w:line="400" w:lineRule="exact"/>
        <w:ind w:right="159" w:firstLine="660"/>
        <w:jc w:val="both"/>
        <w:rPr>
          <w:bCs/>
          <w:color w:val="auto"/>
          <w:sz w:val="21"/>
          <w:szCs w:val="21"/>
        </w:rPr>
      </w:pPr>
    </w:p>
    <w:p>
      <w:pPr>
        <w:pStyle w:val="35"/>
        <w:spacing w:before="0" w:beforeAutospacing="0" w:after="0" w:afterAutospacing="0" w:line="400" w:lineRule="exact"/>
        <w:ind w:right="159" w:firstLine="660"/>
        <w:jc w:val="both"/>
        <w:rPr>
          <w:bCs/>
          <w:color w:val="auto"/>
          <w:sz w:val="21"/>
          <w:szCs w:val="21"/>
        </w:rPr>
      </w:pPr>
    </w:p>
    <w:p>
      <w:pPr>
        <w:spacing w:line="400" w:lineRule="exact"/>
        <w:ind w:firstLine="420"/>
        <w:rPr>
          <w:rFonts w:cs="宋体"/>
          <w:color w:val="auto"/>
          <w:sz w:val="21"/>
          <w:szCs w:val="21"/>
        </w:rPr>
      </w:pPr>
    </w:p>
    <w:p>
      <w:pPr>
        <w:spacing w:line="400" w:lineRule="exact"/>
        <w:ind w:firstLine="420"/>
        <w:rPr>
          <w:rFonts w:cs="宋体"/>
          <w:color w:val="auto"/>
          <w:sz w:val="21"/>
          <w:szCs w:val="21"/>
        </w:rPr>
      </w:pPr>
    </w:p>
    <w:p>
      <w:pPr>
        <w:spacing w:line="400" w:lineRule="exact"/>
        <w:ind w:firstLine="420"/>
        <w:rPr>
          <w:rFonts w:cs="宋体"/>
          <w:color w:val="auto"/>
          <w:sz w:val="21"/>
          <w:szCs w:val="21"/>
        </w:rPr>
      </w:pPr>
    </w:p>
    <w:p>
      <w:pPr>
        <w:spacing w:line="400" w:lineRule="atLeast"/>
        <w:ind w:firstLine="420"/>
        <w:rPr>
          <w:rFonts w:cs="宋体"/>
          <w:color w:val="auto"/>
          <w:sz w:val="21"/>
          <w:szCs w:val="21"/>
        </w:rPr>
      </w:pPr>
      <w:r>
        <w:rPr>
          <w:rFonts w:hint="eastAsia" w:cs="宋体"/>
          <w:color w:val="auto"/>
          <w:sz w:val="21"/>
          <w:szCs w:val="21"/>
        </w:rPr>
        <w:t>投标人（盖章）：</w:t>
      </w:r>
    </w:p>
    <w:p>
      <w:pPr>
        <w:spacing w:line="400" w:lineRule="atLeast"/>
        <w:ind w:firstLine="420"/>
        <w:rPr>
          <w:rFonts w:cs="宋体"/>
          <w:color w:val="auto"/>
          <w:sz w:val="21"/>
          <w:szCs w:val="21"/>
          <w:u w:val="single"/>
        </w:rPr>
      </w:pPr>
      <w:r>
        <w:rPr>
          <w:rFonts w:hint="eastAsia" w:cs="宋体"/>
          <w:color w:val="auto"/>
          <w:sz w:val="21"/>
          <w:szCs w:val="21"/>
        </w:rPr>
        <w:t>日            期：</w:t>
      </w:r>
    </w:p>
    <w:p>
      <w:pPr>
        <w:pStyle w:val="35"/>
        <w:spacing w:before="0" w:beforeAutospacing="0" w:after="0" w:afterAutospacing="0" w:line="400" w:lineRule="exact"/>
        <w:ind w:right="159" w:firstLine="660"/>
        <w:jc w:val="both"/>
        <w:rPr>
          <w:bCs/>
          <w:color w:val="auto"/>
          <w:sz w:val="21"/>
          <w:szCs w:val="21"/>
        </w:rPr>
      </w:pPr>
    </w:p>
    <w:p>
      <w:pPr>
        <w:pStyle w:val="35"/>
        <w:spacing w:before="0" w:beforeAutospacing="0" w:after="0" w:afterAutospacing="0" w:line="400" w:lineRule="exact"/>
        <w:ind w:right="159" w:firstLine="660"/>
        <w:jc w:val="both"/>
        <w:rPr>
          <w:bCs/>
          <w:color w:val="auto"/>
          <w:sz w:val="21"/>
          <w:szCs w:val="21"/>
        </w:rPr>
      </w:pPr>
    </w:p>
    <w:p>
      <w:pPr>
        <w:spacing w:line="400" w:lineRule="exact"/>
        <w:ind w:firstLine="420"/>
        <w:rPr>
          <w:rFonts w:cs="宋体"/>
          <w:bCs/>
          <w:color w:val="auto"/>
          <w:sz w:val="21"/>
          <w:szCs w:val="21"/>
        </w:rPr>
      </w:pPr>
      <w:r>
        <w:rPr>
          <w:rFonts w:hint="eastAsia" w:cs="宋体"/>
          <w:bCs/>
          <w:color w:val="auto"/>
          <w:sz w:val="21"/>
          <w:szCs w:val="21"/>
        </w:rPr>
        <w:t>注：1、投标人注册成立不足三年的，应就投标人成立至参加政府采购活动时段进行承诺。</w:t>
      </w:r>
    </w:p>
    <w:p>
      <w:pPr>
        <w:pStyle w:val="35"/>
        <w:spacing w:before="0" w:beforeAutospacing="0" w:after="0" w:afterAutospacing="0" w:line="400" w:lineRule="exact"/>
        <w:ind w:right="159" w:firstLine="420" w:firstLineChars="200"/>
        <w:jc w:val="both"/>
        <w:rPr>
          <w:bCs/>
          <w:color w:val="auto"/>
          <w:sz w:val="21"/>
          <w:szCs w:val="21"/>
        </w:rPr>
      </w:pPr>
      <w:r>
        <w:rPr>
          <w:rFonts w:hint="eastAsia"/>
          <w:bCs/>
          <w:color w:val="auto"/>
          <w:sz w:val="21"/>
          <w:szCs w:val="21"/>
        </w:rPr>
        <w:t>2、政府采购法所称重大违法记录：是指投标人因违法经营受到刑事处罚或者责令停产停业、吊销许可证或者执照、较大数额罚款等行政处罚。</w:t>
      </w:r>
    </w:p>
    <w:p>
      <w:pPr>
        <w:ind w:firstLine="562"/>
        <w:rPr>
          <w:rFonts w:cs="宋体"/>
          <w:b/>
          <w:bCs/>
          <w:iCs/>
          <w:color w:val="auto"/>
          <w:spacing w:val="20"/>
        </w:rPr>
        <w:sectPr>
          <w:pgSz w:w="11906" w:h="16838"/>
          <w:pgMar w:top="1701" w:right="1418" w:bottom="1134" w:left="1418" w:header="851" w:footer="992" w:gutter="0"/>
          <w:pgBorders>
            <w:top w:val="none" w:sz="0" w:space="0"/>
            <w:left w:val="none" w:sz="0" w:space="0"/>
            <w:bottom w:val="none" w:sz="0" w:space="0"/>
            <w:right w:val="none" w:sz="0" w:space="0"/>
          </w:pgBorders>
          <w:cols w:space="720" w:num="1"/>
          <w:docGrid w:linePitch="312" w:charSpace="0"/>
        </w:sectPr>
      </w:pPr>
    </w:p>
    <w:p>
      <w:pPr>
        <w:spacing w:line="400" w:lineRule="exact"/>
        <w:ind w:firstLine="482"/>
        <w:jc w:val="center"/>
        <w:rPr>
          <w:rFonts w:cs="宋体"/>
          <w:b/>
          <w:color w:val="auto"/>
        </w:rPr>
      </w:pPr>
      <w:r>
        <w:rPr>
          <w:rFonts w:hint="eastAsia" w:cs="宋体"/>
          <w:b/>
          <w:color w:val="auto"/>
        </w:rPr>
        <w:t>C</w:t>
      </w:r>
      <w:r>
        <w:rPr>
          <w:rFonts w:hint="eastAsia" w:cs="宋体"/>
          <w:b/>
          <w:color w:val="auto"/>
          <w:lang w:val="en-US" w:eastAsia="zh-CN"/>
        </w:rPr>
        <w:t>7</w:t>
      </w:r>
      <w:r>
        <w:rPr>
          <w:rFonts w:hint="eastAsia" w:cs="宋体"/>
          <w:b/>
          <w:color w:val="auto"/>
        </w:rPr>
        <w:t>具备履行合同所需的设备和专业技术能力的声明</w:t>
      </w:r>
    </w:p>
    <w:p>
      <w:pPr>
        <w:ind w:firstLine="480"/>
        <w:rPr>
          <w:rFonts w:cs="宋体"/>
          <w:color w:val="auto"/>
        </w:rPr>
      </w:pPr>
    </w:p>
    <w:p>
      <w:pPr>
        <w:spacing w:line="400" w:lineRule="exact"/>
        <w:ind w:firstLine="420"/>
        <w:rPr>
          <w:rFonts w:cs="宋体"/>
          <w:color w:val="auto"/>
          <w:sz w:val="21"/>
          <w:szCs w:val="21"/>
        </w:rPr>
      </w:pPr>
      <w:r>
        <w:rPr>
          <w:rFonts w:hint="eastAsia" w:cs="宋体"/>
          <w:color w:val="auto"/>
          <w:sz w:val="21"/>
          <w:szCs w:val="21"/>
        </w:rPr>
        <w:t xml:space="preserve"> 致： </w:t>
      </w:r>
    </w:p>
    <w:p>
      <w:pPr>
        <w:spacing w:line="400" w:lineRule="exact"/>
        <w:ind w:firstLine="420"/>
        <w:rPr>
          <w:rFonts w:cs="宋体"/>
          <w:color w:val="auto"/>
          <w:sz w:val="21"/>
          <w:szCs w:val="21"/>
        </w:rPr>
      </w:pPr>
    </w:p>
    <w:p>
      <w:pPr>
        <w:spacing w:line="400" w:lineRule="exact"/>
        <w:ind w:firstLine="420"/>
        <w:rPr>
          <w:rFonts w:cs="宋体"/>
          <w:color w:val="auto"/>
          <w:sz w:val="21"/>
          <w:szCs w:val="21"/>
        </w:rPr>
      </w:pPr>
      <w:r>
        <w:rPr>
          <w:rFonts w:hint="eastAsia" w:cs="宋体"/>
          <w:color w:val="auto"/>
          <w:sz w:val="21"/>
          <w:szCs w:val="21"/>
        </w:rPr>
        <w:t>我公司（单位）具备履行合同所需的设备和专业技术能力，具体情况介绍如下：</w:t>
      </w:r>
    </w:p>
    <w:p>
      <w:pPr>
        <w:spacing w:line="400" w:lineRule="exact"/>
        <w:ind w:firstLine="420"/>
        <w:rPr>
          <w:rFonts w:cs="宋体"/>
          <w:color w:val="auto"/>
          <w:sz w:val="21"/>
          <w:szCs w:val="21"/>
        </w:rPr>
      </w:pPr>
      <w:r>
        <w:rPr>
          <w:rFonts w:hint="eastAsia" w:cs="宋体"/>
          <w:color w:val="auto"/>
          <w:sz w:val="21"/>
          <w:szCs w:val="21"/>
        </w:rPr>
        <w:t xml:space="preserve">        （内容包括：主要设备、专业技术人员、公司资质等）                                          </w:t>
      </w:r>
    </w:p>
    <w:p>
      <w:pPr>
        <w:spacing w:line="400" w:lineRule="exact"/>
        <w:ind w:firstLine="420"/>
        <w:rPr>
          <w:rFonts w:cs="宋体"/>
          <w:color w:val="auto"/>
          <w:sz w:val="21"/>
          <w:szCs w:val="21"/>
        </w:rPr>
      </w:pPr>
    </w:p>
    <w:p>
      <w:pPr>
        <w:spacing w:line="400" w:lineRule="exact"/>
        <w:ind w:firstLine="420"/>
        <w:rPr>
          <w:rFonts w:cs="宋体"/>
          <w:color w:val="auto"/>
          <w:sz w:val="21"/>
          <w:szCs w:val="21"/>
        </w:rPr>
      </w:pPr>
      <w:r>
        <w:rPr>
          <w:rFonts w:hint="eastAsia" w:cs="宋体"/>
          <w:color w:val="auto"/>
          <w:sz w:val="21"/>
          <w:szCs w:val="21"/>
        </w:rPr>
        <w:t>……..</w:t>
      </w:r>
    </w:p>
    <w:p>
      <w:pPr>
        <w:spacing w:line="400" w:lineRule="exact"/>
        <w:ind w:firstLine="420"/>
        <w:rPr>
          <w:rFonts w:cs="宋体"/>
          <w:color w:val="auto"/>
          <w:sz w:val="21"/>
          <w:szCs w:val="21"/>
        </w:rPr>
      </w:pPr>
      <w:r>
        <w:rPr>
          <w:rFonts w:hint="eastAsia" w:cs="宋体"/>
          <w:color w:val="auto"/>
          <w:sz w:val="21"/>
          <w:szCs w:val="21"/>
        </w:rPr>
        <w:t xml:space="preserve">     特此承诺。</w:t>
      </w:r>
    </w:p>
    <w:p>
      <w:pPr>
        <w:spacing w:line="400" w:lineRule="exact"/>
        <w:ind w:firstLine="420"/>
        <w:rPr>
          <w:rFonts w:cs="宋体"/>
          <w:color w:val="auto"/>
          <w:sz w:val="21"/>
          <w:szCs w:val="21"/>
        </w:rPr>
      </w:pPr>
    </w:p>
    <w:p>
      <w:pPr>
        <w:spacing w:line="400" w:lineRule="exact"/>
        <w:ind w:firstLine="420"/>
        <w:rPr>
          <w:rFonts w:cs="宋体"/>
          <w:color w:val="auto"/>
          <w:sz w:val="21"/>
          <w:szCs w:val="21"/>
        </w:rPr>
      </w:pPr>
    </w:p>
    <w:p>
      <w:pPr>
        <w:spacing w:line="400" w:lineRule="exact"/>
        <w:ind w:firstLine="420"/>
        <w:rPr>
          <w:rFonts w:cs="宋体"/>
          <w:color w:val="auto"/>
          <w:sz w:val="21"/>
          <w:szCs w:val="21"/>
        </w:rPr>
      </w:pPr>
      <w:r>
        <w:rPr>
          <w:rFonts w:hint="eastAsia" w:cs="宋体"/>
          <w:color w:val="auto"/>
          <w:sz w:val="21"/>
          <w:szCs w:val="21"/>
        </w:rPr>
        <w:t>投标人（盖章）</w:t>
      </w:r>
    </w:p>
    <w:p>
      <w:pPr>
        <w:pStyle w:val="6"/>
        <w:rPr>
          <w:rFonts w:ascii="宋体" w:hAnsi="宋体" w:cs="宋体"/>
          <w:color w:val="auto"/>
        </w:rPr>
      </w:pPr>
      <w:r>
        <w:rPr>
          <w:rFonts w:hint="eastAsia" w:cs="宋体"/>
          <w:color w:val="auto"/>
          <w:sz w:val="21"/>
          <w:szCs w:val="21"/>
        </w:rPr>
        <w:t>日期：</w:t>
      </w:r>
      <w:r>
        <w:rPr>
          <w:rFonts w:hint="eastAsia" w:cs="宋体"/>
          <w:color w:val="auto"/>
          <w:sz w:val="21"/>
          <w:szCs w:val="21"/>
        </w:rPr>
        <w:br w:type="page"/>
      </w:r>
      <w:r>
        <w:rPr>
          <w:rFonts w:hint="eastAsia" w:ascii="宋体" w:hAnsi="宋体" w:cs="宋体"/>
          <w:color w:val="auto"/>
        </w:rPr>
        <w:t>附件 质疑函</w:t>
      </w:r>
    </w:p>
    <w:p>
      <w:pPr>
        <w:ind w:firstLine="562"/>
        <w:jc w:val="center"/>
        <w:rPr>
          <w:rFonts w:cs="宋体"/>
          <w:b/>
          <w:color w:val="auto"/>
          <w:sz w:val="32"/>
        </w:rPr>
      </w:pPr>
      <w:r>
        <w:rPr>
          <w:rFonts w:hint="eastAsia" w:cs="宋体"/>
          <w:b/>
          <w:color w:val="auto"/>
          <w:sz w:val="28"/>
          <w:szCs w:val="28"/>
        </w:rPr>
        <w:t>质疑函</w:t>
      </w:r>
    </w:p>
    <w:p>
      <w:pPr>
        <w:adjustRightInd w:val="0"/>
        <w:snapToGrid w:val="0"/>
        <w:spacing w:before="312" w:beforeLines="100"/>
        <w:ind w:firstLine="482"/>
        <w:rPr>
          <w:rFonts w:cs="宋体"/>
          <w:b/>
          <w:color w:val="auto"/>
        </w:rPr>
      </w:pPr>
      <w:r>
        <w:rPr>
          <w:rFonts w:hint="eastAsia" w:cs="宋体"/>
          <w:b/>
          <w:color w:val="auto"/>
        </w:rPr>
        <w:t>一、质疑供应商基本信息</w:t>
      </w:r>
    </w:p>
    <w:p>
      <w:pPr>
        <w:adjustRightInd w:val="0"/>
        <w:snapToGrid w:val="0"/>
        <w:ind w:firstLine="480"/>
        <w:rPr>
          <w:rFonts w:cs="宋体"/>
          <w:color w:val="auto"/>
          <w:u w:val="dotted"/>
        </w:rPr>
      </w:pPr>
      <w:r>
        <w:rPr>
          <w:rFonts w:hint="eastAsia" w:cs="宋体"/>
          <w:color w:val="auto"/>
        </w:rPr>
        <w:t>质疑供应商：</w:t>
      </w:r>
    </w:p>
    <w:p>
      <w:pPr>
        <w:adjustRightInd w:val="0"/>
        <w:snapToGrid w:val="0"/>
        <w:ind w:firstLine="480"/>
        <w:rPr>
          <w:rFonts w:cs="宋体"/>
          <w:color w:val="auto"/>
        </w:rPr>
      </w:pPr>
      <w:r>
        <w:rPr>
          <w:rFonts w:hint="eastAsia" w:cs="宋体"/>
          <w:color w:val="auto"/>
        </w:rPr>
        <w:t>地址：                          邮编：</w:t>
      </w:r>
    </w:p>
    <w:p>
      <w:pPr>
        <w:adjustRightInd w:val="0"/>
        <w:snapToGrid w:val="0"/>
        <w:ind w:firstLine="480"/>
        <w:rPr>
          <w:rFonts w:cs="宋体"/>
          <w:color w:val="auto"/>
        </w:rPr>
      </w:pPr>
      <w:r>
        <w:rPr>
          <w:rFonts w:hint="eastAsia" w:cs="宋体"/>
          <w:color w:val="auto"/>
        </w:rPr>
        <w:t>联系人：                        联系电话：</w:t>
      </w:r>
    </w:p>
    <w:p>
      <w:pPr>
        <w:adjustRightInd w:val="0"/>
        <w:snapToGrid w:val="0"/>
        <w:ind w:firstLine="480"/>
        <w:rPr>
          <w:rFonts w:cs="宋体"/>
          <w:color w:val="auto"/>
          <w:u w:val="dotted"/>
        </w:rPr>
      </w:pPr>
      <w:r>
        <w:rPr>
          <w:rFonts w:hint="eastAsia" w:cs="宋体"/>
          <w:color w:val="auto"/>
        </w:rPr>
        <w:t>授权代表：</w:t>
      </w:r>
    </w:p>
    <w:p>
      <w:pPr>
        <w:adjustRightInd w:val="0"/>
        <w:snapToGrid w:val="0"/>
        <w:ind w:firstLine="480"/>
        <w:rPr>
          <w:rFonts w:cs="宋体"/>
          <w:color w:val="auto"/>
        </w:rPr>
      </w:pPr>
      <w:r>
        <w:rPr>
          <w:rFonts w:hint="eastAsia" w:cs="宋体"/>
          <w:color w:val="auto"/>
        </w:rPr>
        <w:t>联系电话：</w:t>
      </w:r>
    </w:p>
    <w:p>
      <w:pPr>
        <w:adjustRightInd w:val="0"/>
        <w:snapToGrid w:val="0"/>
        <w:ind w:firstLine="480"/>
        <w:rPr>
          <w:rFonts w:cs="宋体"/>
          <w:color w:val="auto"/>
        </w:rPr>
      </w:pPr>
      <w:r>
        <w:rPr>
          <w:rFonts w:hint="eastAsia" w:cs="宋体"/>
          <w:color w:val="auto"/>
        </w:rPr>
        <w:t>地址：                          邮编：</w:t>
      </w:r>
    </w:p>
    <w:p>
      <w:pPr>
        <w:adjustRightInd w:val="0"/>
        <w:snapToGrid w:val="0"/>
        <w:ind w:firstLine="482"/>
        <w:rPr>
          <w:rFonts w:cs="宋体"/>
          <w:b/>
          <w:color w:val="auto"/>
        </w:rPr>
      </w:pPr>
      <w:r>
        <w:rPr>
          <w:rFonts w:hint="eastAsia" w:cs="宋体"/>
          <w:b/>
          <w:color w:val="auto"/>
        </w:rPr>
        <w:t>二、质疑项目基本情况</w:t>
      </w:r>
    </w:p>
    <w:p>
      <w:pPr>
        <w:adjustRightInd w:val="0"/>
        <w:snapToGrid w:val="0"/>
        <w:ind w:firstLine="480"/>
        <w:rPr>
          <w:rFonts w:cs="宋体"/>
          <w:color w:val="auto"/>
        </w:rPr>
      </w:pPr>
      <w:r>
        <w:rPr>
          <w:rFonts w:hint="eastAsia" w:cs="宋体"/>
          <w:color w:val="auto"/>
        </w:rPr>
        <w:t>质疑项目的名称：</w:t>
      </w:r>
    </w:p>
    <w:p>
      <w:pPr>
        <w:adjustRightInd w:val="0"/>
        <w:snapToGrid w:val="0"/>
        <w:ind w:firstLine="480"/>
        <w:rPr>
          <w:rFonts w:cs="宋体"/>
          <w:color w:val="auto"/>
        </w:rPr>
      </w:pPr>
      <w:r>
        <w:rPr>
          <w:rFonts w:hint="eastAsia" w:cs="宋体"/>
          <w:color w:val="auto"/>
        </w:rPr>
        <w:t>质疑项目的编号：                包号：</w:t>
      </w:r>
    </w:p>
    <w:p>
      <w:pPr>
        <w:adjustRightInd w:val="0"/>
        <w:snapToGrid w:val="0"/>
        <w:ind w:firstLine="480"/>
        <w:rPr>
          <w:rFonts w:cs="宋体"/>
          <w:color w:val="auto"/>
          <w:u w:val="dotted"/>
        </w:rPr>
      </w:pPr>
      <w:r>
        <w:rPr>
          <w:rFonts w:hint="eastAsia" w:cs="宋体"/>
          <w:color w:val="auto"/>
        </w:rPr>
        <w:t>采购人名称：</w:t>
      </w:r>
    </w:p>
    <w:p>
      <w:pPr>
        <w:adjustRightInd w:val="0"/>
        <w:snapToGrid w:val="0"/>
        <w:ind w:firstLine="480"/>
        <w:rPr>
          <w:rFonts w:cs="宋体"/>
          <w:color w:val="auto"/>
        </w:rPr>
      </w:pPr>
      <w:r>
        <w:rPr>
          <w:rFonts w:hint="eastAsia" w:cs="宋体"/>
          <w:color w:val="auto"/>
        </w:rPr>
        <w:t>采购文件获取日期：</w:t>
      </w:r>
    </w:p>
    <w:p>
      <w:pPr>
        <w:adjustRightInd w:val="0"/>
        <w:snapToGrid w:val="0"/>
        <w:ind w:firstLine="482"/>
        <w:rPr>
          <w:rFonts w:cs="宋体"/>
          <w:b/>
          <w:color w:val="auto"/>
        </w:rPr>
      </w:pPr>
      <w:r>
        <w:rPr>
          <w:rFonts w:hint="eastAsia" w:cs="宋体"/>
          <w:b/>
          <w:color w:val="auto"/>
        </w:rPr>
        <w:t>三、质疑事项具体内容</w:t>
      </w:r>
    </w:p>
    <w:p>
      <w:pPr>
        <w:adjustRightInd w:val="0"/>
        <w:snapToGrid w:val="0"/>
        <w:ind w:firstLine="480"/>
        <w:rPr>
          <w:rFonts w:cs="宋体"/>
          <w:color w:val="auto"/>
          <w:u w:val="single"/>
        </w:rPr>
      </w:pPr>
      <w:r>
        <w:rPr>
          <w:rFonts w:hint="eastAsia" w:cs="宋体"/>
          <w:color w:val="auto"/>
        </w:rPr>
        <w:t>质疑事项1：</w:t>
      </w:r>
    </w:p>
    <w:p>
      <w:pPr>
        <w:adjustRightInd w:val="0"/>
        <w:snapToGrid w:val="0"/>
        <w:ind w:firstLine="480"/>
        <w:rPr>
          <w:rFonts w:cs="宋体"/>
          <w:color w:val="auto"/>
          <w:u w:val="dotted"/>
        </w:rPr>
      </w:pPr>
      <w:r>
        <w:rPr>
          <w:rFonts w:hint="eastAsia" w:cs="宋体"/>
          <w:color w:val="auto"/>
        </w:rPr>
        <w:t>事实依据：</w:t>
      </w:r>
    </w:p>
    <w:p>
      <w:pPr>
        <w:adjustRightInd w:val="0"/>
        <w:snapToGrid w:val="0"/>
        <w:ind w:firstLine="480"/>
        <w:rPr>
          <w:rFonts w:cs="宋体"/>
          <w:color w:val="auto"/>
          <w:u w:val="dotted"/>
        </w:rPr>
      </w:pPr>
      <w:r>
        <w:rPr>
          <w:rFonts w:hint="eastAsia" w:cs="宋体"/>
          <w:color w:val="auto"/>
        </w:rPr>
        <w:t>法律依据：</w:t>
      </w:r>
    </w:p>
    <w:p>
      <w:pPr>
        <w:adjustRightInd w:val="0"/>
        <w:snapToGrid w:val="0"/>
        <w:ind w:firstLine="480"/>
        <w:rPr>
          <w:rFonts w:cs="宋体"/>
          <w:color w:val="auto"/>
          <w:u w:val="dotted"/>
        </w:rPr>
      </w:pPr>
      <w:r>
        <w:rPr>
          <w:rFonts w:hint="eastAsia" w:cs="宋体"/>
          <w:color w:val="auto"/>
        </w:rPr>
        <w:t>质疑事项2</w:t>
      </w:r>
    </w:p>
    <w:p>
      <w:pPr>
        <w:adjustRightInd w:val="0"/>
        <w:snapToGrid w:val="0"/>
        <w:ind w:firstLine="480"/>
        <w:rPr>
          <w:rFonts w:cs="宋体"/>
          <w:color w:val="auto"/>
        </w:rPr>
      </w:pPr>
      <w:r>
        <w:rPr>
          <w:rFonts w:hint="eastAsia" w:cs="宋体"/>
          <w:color w:val="auto"/>
        </w:rPr>
        <w:t>……</w:t>
      </w:r>
    </w:p>
    <w:p>
      <w:pPr>
        <w:adjustRightInd w:val="0"/>
        <w:snapToGrid w:val="0"/>
        <w:ind w:firstLine="482"/>
        <w:rPr>
          <w:rFonts w:cs="宋体"/>
          <w:b/>
          <w:color w:val="auto"/>
        </w:rPr>
      </w:pPr>
      <w:r>
        <w:rPr>
          <w:rFonts w:hint="eastAsia" w:cs="宋体"/>
          <w:b/>
          <w:color w:val="auto"/>
        </w:rPr>
        <w:t>四、与质疑事项相关的质疑请求</w:t>
      </w:r>
    </w:p>
    <w:p>
      <w:pPr>
        <w:adjustRightInd w:val="0"/>
        <w:snapToGrid w:val="0"/>
        <w:ind w:firstLine="480"/>
        <w:rPr>
          <w:rFonts w:cs="宋体"/>
          <w:color w:val="auto"/>
          <w:u w:val="dotted"/>
        </w:rPr>
      </w:pPr>
      <w:r>
        <w:rPr>
          <w:rFonts w:hint="eastAsia" w:cs="宋体"/>
          <w:color w:val="auto"/>
        </w:rPr>
        <w:t>请求：</w:t>
      </w:r>
    </w:p>
    <w:p>
      <w:pPr>
        <w:ind w:firstLine="480"/>
        <w:rPr>
          <w:rFonts w:cs="宋体"/>
          <w:color w:val="auto"/>
        </w:rPr>
      </w:pPr>
      <w:r>
        <w:rPr>
          <w:rFonts w:hint="eastAsia" w:cs="宋体"/>
          <w:color w:val="auto"/>
        </w:rPr>
        <w:t xml:space="preserve">签字(签章)：                    公章：                      </w:t>
      </w:r>
    </w:p>
    <w:p>
      <w:pPr>
        <w:ind w:firstLine="480"/>
        <w:rPr>
          <w:rFonts w:cs="宋体"/>
          <w:color w:val="auto"/>
        </w:rPr>
      </w:pPr>
      <w:r>
        <w:rPr>
          <w:rFonts w:hint="eastAsia" w:cs="宋体"/>
          <w:color w:val="auto"/>
        </w:rPr>
        <w:t xml:space="preserve">日期：     </w:t>
      </w:r>
    </w:p>
    <w:p>
      <w:pPr>
        <w:ind w:firstLine="643"/>
        <w:jc w:val="left"/>
        <w:rPr>
          <w:rFonts w:cs="宋体"/>
          <w:b/>
          <w:color w:val="auto"/>
          <w:sz w:val="32"/>
        </w:rPr>
      </w:pPr>
    </w:p>
    <w:p>
      <w:pPr>
        <w:spacing w:line="500" w:lineRule="exact"/>
        <w:ind w:firstLine="442"/>
        <w:rPr>
          <w:rFonts w:cs="宋体"/>
          <w:b/>
          <w:bCs/>
          <w:i/>
          <w:color w:val="auto"/>
          <w:sz w:val="22"/>
          <w:szCs w:val="22"/>
        </w:rPr>
      </w:pPr>
      <w:r>
        <w:rPr>
          <w:rFonts w:hint="eastAsia" w:cs="宋体"/>
          <w:b/>
          <w:bCs/>
          <w:i/>
          <w:color w:val="auto"/>
          <w:sz w:val="22"/>
          <w:szCs w:val="22"/>
        </w:rPr>
        <w:t>质疑函制作说明：</w:t>
      </w:r>
    </w:p>
    <w:p>
      <w:pPr>
        <w:spacing w:line="500" w:lineRule="exact"/>
        <w:ind w:firstLine="440"/>
        <w:rPr>
          <w:rFonts w:cs="宋体"/>
          <w:i/>
          <w:color w:val="auto"/>
          <w:sz w:val="22"/>
          <w:szCs w:val="22"/>
        </w:rPr>
      </w:pPr>
      <w:r>
        <w:rPr>
          <w:rFonts w:hint="eastAsia" w:cs="宋体"/>
          <w:i/>
          <w:color w:val="auto"/>
          <w:sz w:val="22"/>
          <w:szCs w:val="22"/>
        </w:rPr>
        <w:t>1.供应商提出质疑时，应提交质疑函和必要的证明材料。</w:t>
      </w:r>
    </w:p>
    <w:p>
      <w:pPr>
        <w:spacing w:line="500" w:lineRule="exact"/>
        <w:ind w:firstLine="440"/>
        <w:rPr>
          <w:rFonts w:cs="宋体"/>
          <w:i/>
          <w:color w:val="auto"/>
          <w:sz w:val="22"/>
          <w:szCs w:val="22"/>
        </w:rPr>
      </w:pPr>
      <w:r>
        <w:rPr>
          <w:rFonts w:hint="eastAsia" w:cs="宋体"/>
          <w:i/>
          <w:color w:val="auto"/>
          <w:sz w:val="22"/>
          <w:szCs w:val="22"/>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cs="宋体"/>
          <w:i/>
          <w:color w:val="auto"/>
          <w:sz w:val="22"/>
          <w:szCs w:val="22"/>
        </w:rPr>
      </w:pPr>
      <w:r>
        <w:rPr>
          <w:rFonts w:hint="eastAsia" w:cs="宋体"/>
          <w:i/>
          <w:color w:val="auto"/>
          <w:sz w:val="22"/>
          <w:szCs w:val="22"/>
        </w:rPr>
        <w:t>3.质疑供应商若对项目的某一分包进行质疑，质疑函中应列明具体分包号。</w:t>
      </w:r>
    </w:p>
    <w:p>
      <w:pPr>
        <w:spacing w:line="500" w:lineRule="exact"/>
        <w:ind w:firstLine="440"/>
        <w:rPr>
          <w:rFonts w:cs="宋体"/>
          <w:i/>
          <w:color w:val="auto"/>
          <w:sz w:val="22"/>
          <w:szCs w:val="22"/>
        </w:rPr>
      </w:pPr>
      <w:r>
        <w:rPr>
          <w:rFonts w:hint="eastAsia" w:cs="宋体"/>
          <w:i/>
          <w:color w:val="auto"/>
          <w:sz w:val="22"/>
          <w:szCs w:val="22"/>
        </w:rPr>
        <w:t>4.质疑函的质疑事项应具体、明确，并有必要的事实依据和法律依据。</w:t>
      </w:r>
    </w:p>
    <w:p>
      <w:pPr>
        <w:spacing w:line="500" w:lineRule="exact"/>
        <w:ind w:firstLine="440"/>
        <w:rPr>
          <w:rFonts w:cs="宋体"/>
          <w:i/>
          <w:color w:val="auto"/>
          <w:sz w:val="22"/>
          <w:szCs w:val="22"/>
        </w:rPr>
      </w:pPr>
      <w:r>
        <w:rPr>
          <w:rFonts w:hint="eastAsia" w:cs="宋体"/>
          <w:i/>
          <w:color w:val="auto"/>
          <w:sz w:val="22"/>
          <w:szCs w:val="22"/>
        </w:rPr>
        <w:t>5.质疑函的质疑请求应与质疑事项相关。</w:t>
      </w:r>
    </w:p>
    <w:p>
      <w:pPr>
        <w:spacing w:line="500" w:lineRule="exact"/>
        <w:ind w:firstLine="440"/>
        <w:rPr>
          <w:rFonts w:cs="宋体"/>
          <w:i/>
          <w:color w:val="auto"/>
          <w:sz w:val="22"/>
          <w:szCs w:val="22"/>
        </w:rPr>
      </w:pPr>
      <w:r>
        <w:rPr>
          <w:rFonts w:hint="eastAsia" w:cs="宋体"/>
          <w:i/>
          <w:color w:val="auto"/>
          <w:sz w:val="22"/>
          <w:szCs w:val="22"/>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auto"/>
        </w:rPr>
      </w:pPr>
    </w:p>
    <w:p>
      <w:pPr>
        <w:ind w:firstLine="0" w:firstLineChars="0"/>
        <w:rPr>
          <w:rFonts w:hint="eastAsia" w:cs="宋体"/>
          <w:color w:val="auto"/>
        </w:rPr>
      </w:pPr>
    </w:p>
    <w:sectPr>
      <w:headerReference r:id="rId18" w:type="default"/>
      <w:footerReference r:id="rId19" w:type="default"/>
      <w:pgSz w:w="11906" w:h="16838"/>
      <w:pgMar w:top="1440" w:right="1304" w:bottom="1020"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Trebuchet MS"/>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PN6+ckBAACaAwAADgAAAGRycy9lMm9Eb2MueG1srVPNjtMwEL4j8Q6W 79RpBaiKmq5A1SIkBEjLPoDr2I0l/8njNukLwBtw4sKd5+pzMHaSLiyXPXBxxjPjb+b7ZrK5Gawh JxlBe9fQ5aKiRDrhW+0ODb3/cvtiTQkk7lpuvJMNPUugN9vnzzZ9qOXKd960MhIEcVD3oaFdSqFm DEQnLYeFD9JhUPloecJrPLA28h7RrWGrqnrNeh/bEL2QAOjdjUE6IcanAHqltJA7L45WujSiRml4 QkrQ6QB0W7pVSor0SSmQiZiGItNUTiyC9j6fbLvh9SHy0GkxtcCf0sIjTpZrh0WvUDueODlG/Q+U 1SJ68CothLdsJFIUQRbL6pE2dx0PsnBBqSFcRYf/Bys+nj5HotuGvqTEcYsDv3z/dvnx6/LzK1m+ yv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Bg83r5yQEAAJoDAAAOAAAAAAAAAAEAIAAAAB4BAABkcnMvZTJvRG9j LnhtbFBLBQYAAAAABgAGAFkBAABZBQAAAAA= ">
              <v:fill on="f" focussize="0,0"/>
              <v:stroke on="f"/>
              <v:imagedata o:title=""/>
              <o:lock v:ext="edit" aspectratio="f"/>
              <v:textbox inset="0mm,0mm,0mm,0mm" style="mso-fit-shape-to-text:t;">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-20734020</wp:posOffset>
              </wp:positionV>
              <wp:extent cx="1828800" cy="1828800"/>
              <wp:effectExtent l="0" t="0" r="0" b="0"/>
              <wp:wrapNone/>
              <wp:docPr id="1"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rPr>
                            <w:t>2</w:t>
                          </w:r>
                          <w:r>
                            <w:rPr>
                              <w:rFonts w:hint="eastAsia"/>
                              <w:lang w:eastAsia="zh-CN"/>
                            </w:rPr>
                            <w:fldChar w:fldCharType="end"/>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center;mso-position-horizontal-relative:margin;mso-wrap-style:none;z-index:251659264;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fpnBxzwEAAHwDAAAOAAAAZHJzL2Uyb0RvYy54bWysU81u2zAMvg/YOwi6L3YMbAiMOEV/0GFA sQ3o+gCKLNtCLVGglNh5ge0Ndtpl9z1XnmOUEifdeit6kSmS+vh9JL28GE3Ptgq9Blvx+SznTFkJ tbZtxR++3b5bcOaDsLXowaqK75TnF6u3b5aDK1UBHfS1QkYg1peDq3gXgiuzzMtOGeFn4JSlYANo RKArtlmNYiB002dFnn/IBsDaIUjlPXlvDkG+SvhNo2T40jReBdZXnLiFdGI61/HMVktRtihcp+WR hngBCyO0paInqBsRBNugfgZltETw0ISZBJNB02ipkgZSM8//U3PfCaeSFmqOd6c2+deDlZ+3X5Hp uuLvObPC0Ij2P3/sf/3Z//7OiiL2Z3C+pLR7R4lhvIKR5py0encH8tEzC9edsK26RIShU6ImfvP4 Mnvy9IDjCSS2aWzQxC81gBEeTWZ3moYaA5OxyKJYLHIKSYpNl4h6fu7Qh48KDItGxZHGnZiJ7Z0P h9QpJVazcKv7nvyi7O0/DsKMnkT4wDFSD+N6pOxorqHekf6BNqXillaZs/6TJaFxqSYDJ2M9GRuH uu2I2tSxy00gEonbGfZYmEac1B3XMe7Q03vKOv80q78AAAD//wMAUEsDBBQABgAIAAAAIQCnjcQH 4wAAABEBAAAPAAAAZHJzL2Rvd25yZXYueG1sTI9PT8MwDMXvSHyHyEjctpQg1tI1ndAQF24MhMQt a7ymIn+qJOvab485wcWSn+3n92t2s7NswpiG4CXcrQtg6LugB99L+Hh/WVXAUlZeKxs8Slgwwa69 vmpUrcPFv+F0yD0jE59qJcHkPNacp86gU2kdRvQ0O4XoVKY29lxHdSFzZ7koig13avD0wagR9wa7 78PZSSjnz4Bjwj1+naYummGp7Osi5e3N/Lyl8rQFlnHOfxfwy0D5oaVgx3D2OjErgWiyhNW92DwI YLQgqoq0I2nisSwF8Lbh/0naHwAAAP//AwBQSwECLQAUAAYACAAAACEAtoM4kv4AAADhAQAAEwAA AAAAAAAAAAAAAAAAAAAAW0NvbnRlbnRfVHlwZXNdLnhtbFBLAQItABQABgAIAAAAIQA4/SH/1gAA AJQBAAALAAAAAAAAAAAAAAAAAC8BAABfcmVscy8ucmVsc1BLAQItABQABgAIAAAAIQBfpnBxzwEA AHwDAAAOAAAAAAAAAAAAAAAAAC4CAABkcnMvZTJvRG9jLnhtbFBLAQItABQABgAIAAAAIQCnjcQH 4wAAABEBAAAPAAAAAAAAAAAAAAAAACkEAABkcnMvZG93bnJldi54bWxQSwUGAAAAAAQABADzAAAA OQUAAAAA ">
              <v:fill on="f" focussize="0,0"/>
              <v:stroke on="f"/>
              <v:imagedata o:title=""/>
              <o:lock v:ext="edit" aspectratio="f"/>
              <v:textbox inset="0mm,0mm,0mm,0mm" style="mso-fit-shape-to-text:t;">
                <w:txbxContent>
                  <w:p>
                    <w:pPr>
                      <w:pStyle w:val="24"/>
                      <w:ind w:firstLine="36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ind w:right="360" w:firstLine="0" w:firstLineChars="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31</w:t>
                          </w:r>
                          <w:r>
                            <w:rPr>
                              <w:rFonts w:hint="eastAsia"/>
                              <w:sz w:val="18"/>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y19KBckBAACaAwAADgAAAGRycy9lMm9Eb2MueG1srVPNjtMwEL4j8Q6W 79RpJaCKmq5A1SIkBEjLPoDr2I0l/8njNukLwBtw4sKd5+pzMHaSLiyXPXBxxjPjb+b7ZrK5Gawh JxlBe9fQ5aKiRDrhW+0ODb3/cvtiTQkk7lpuvJMNPUugN9vnzzZ9qOXKd960MhIEcVD3oaFdSqFm DEQnLYeFD9JhUPloecJrPLA28h7RrWGrqnrFeh/bEL2QAOjdjUE6IcanAHqltJA7L45WujSiRml4 QkrQ6QB0W7pVSor0SSmQiZiGItNUTiyC9j6fbLvh9SHy0GkxtcCf0sIjTpZrh0WvUDueODlG/Q+U 1SJ68CothLdsJFIUQRbL6pE2dx0PsnBBqSFcRYf/Bys+nj5HotuGvqTEcYsDv3z/dvnx6/LzK1m+ zvr0AWpMuwuYmIa3fsCtmf2Azkx7UNHmLxIiGEd1z1d15ZCIyI/Wq/W6wpDA2HxBfPbwPERI76S3 JBsNjTi+oio/fYA0ps4puZrzt9qYMkLj/nIgZvaw3PvYY7bSsB8mQnvfnpFPj5NvqMNFp8S8dyhs XpLZiLOxn41jiPrQlS3K9SC8OSZsovSWK4ywU2EcWWE3rVfeiT/vJevhl9r+B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M6pebnPAAAABQEAAA8AAAAAAAAAAQAgAAAAIgAAAGRycy9kb3ducmV2Lnht bFBLAQIUABQAAAAIAIdO4kDLX0oFyQEAAJoDAAAOAAAAAAAAAAEAIAAAAB4BAABkcnMvZTJvRG9j LnhtbFBLBQYAAAAABgAGAFkBAABZBQAAAAA= ">
              <v:fill on="f" focussize="0,0"/>
              <v:stroke on="f"/>
              <v:imagedata o:title=""/>
              <o:lock v:ext="edit" aspectratio="f"/>
              <v:textbox inset="0mm,0mm,0mm,0mm" style="mso-fit-shape-to-text:t;">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31</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rPr>
        <w:lang/>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rPr>
                            <w:t>37</w:t>
                          </w:r>
                          <w:r>
                            <w:rPr>
                              <w:rFonts w:hint="eastAsia"/>
                              <w:lang w:eastAsia="zh-CN"/>
                            </w:rPr>
                            <w:fldChar w:fldCharType="end"/>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bszlZ0wEAAIMDAAAOAAAAZHJzL2Uyb0RvYy54bWysU8GO0zAQvSPxD5bvNGmFUIiarhZWi5BW gLTsB7iOk1jEHmvsNukPwB9w4sKd7+p3MHaa7i7cVntxxjPjN2/eTNYXo+nZXqHXYCu+XOScKSuh 1rat+N3X61cFZz4IW4serKr4QXl+sXn5Yj24Uq2gg75WyAjE+nJwFe9CcGWWedkpI/wCnLIUbACN CHTFNqtRDIRu+myV52+yAbB2CFJ5T96rKcg3Cb9plAyfm8arwPqKE7eQTkznNp7ZZi3KFoXrtDzR EE9gYYS2VPQMdSWCYDvU/0EZLRE8NGEhwWTQNFqq1AN1s8z/6ea2E06lXkgc784y+eeDlZ/2X5Dp uuJvObPC0IiOP38cf/05/v7OlkXUZ3C+pLRbR4lhfAcjzTn16t0NyG+eWXjfCduqS0QYOiVq4reM L7MHTyccTyBRprFBE78kACM8mszhPA01BiZjkWJVFDmFJMXmS0S9f+7Qhw8KDItGxZHGnZiJ/Y0P U+qcEqtZuNZ9T35R9vaRgzCjJxGeOEbqYdyOSZvXsw5bqA8kw0ALU3FLG81Z/9FSv3G3ZgNnYzsb O4e67YjhLNzlLhCXRDEWmmBP9WnSqcnTVsZVenhPWff/zuYvAAAA//8DAFBLAwQUAAYACAAAACEA ApWt79gAAAAKAQAADwAAAGRycy9kb3ducmV2LnhtbExPQWrDMBC8F/oHsYXcGrk5pMaxHEpCLr01 LYXeFGtjmUorIymO/ftuS6G9DDsMMztTbyfvxIgx9YEUPCwLEEhtMD11Ct5eD/cliJQ1Ge0CoYIZ E2yb25taVyZc6QXHY+4Eh1CqtAKb81BJmVqLXqdlGJBYO4fodWYaO2mivnK4d3JVFGvpdU/8weoB dxbbz+PFK3ic3gMOCXf4cR7baPu5dM+zUou7ab9heNqAyDjlPwd8b+D+0HCxU7iQScIp4DX5B1lb lSXT0+8hm1r+n9B8AQAA//8DAFBLAQItABQABgAIAAAAIQC2gziS/gAAAOEBAAATAAAAAAAAAAAA AAAAAAAAAABbQ29udGVudF9UeXBlc10ueG1sUEsBAi0AFAAGAAgAAAAhADj9If/WAAAAlAEAAAsA AAAAAAAAAAAAAAAALwEAAF9yZWxzLy5yZWxzUEsBAi0AFAAGAAgAAAAhAJuzOVnTAQAAgwMAAA4A AAAAAAAAAAAAAAAALgIAAGRycy9lMm9Eb2MueG1sUEsBAi0AFAAGAAgAAAAhAAKVre/YAAAACgEA AA8AAAAAAAAAAAAAAAAALQQAAGRycy9kb3ducmV2LnhtbFBLBQYAAAAABAAEAPMAAAAyBQAAAAA= ">
              <v:fill on="f" focussize="0,0"/>
              <v:stroke on="f"/>
              <v:imagedata o:title=""/>
              <o:lock v:ext="edit" aspectratio="f"/>
              <v:textbox inset="0mm,0mm,0mm,0mm" style="mso-fit-shape-to-text:t;">
                <w:txbxContent>
                  <w:p>
                    <w:pPr>
                      <w:pStyle w:val="24"/>
                      <w:ind w:firstLine="36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rPr>
                      <w:t>37</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center"/>
    </w:pPr>
    <w:r>
      <w:rPr>
        <w:lang/>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36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rPr>
                            <w:t>69</w:t>
                          </w:r>
                          <w:r>
                            <w:rPr>
                              <w:rFonts w:hint="eastAsia"/>
                              <w:lang w:eastAsia="zh-CN"/>
                            </w:rPr>
                            <w:fldChar w:fldCharType="end"/>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kd2H0gEAAIQDAAAOAAAAZHJzL2Uyb0RvYy54bWysU8GO0zAQvSPxD5bvNGkPqERNVwurRUgr QFr2A1zHTixijzV2m/QH4A84ceHOd/U7GLtNu7C3FRdnPDN+8+bNZHU12p7tFAYDrubzWcmZchIa 49qaP3y5fbXkLEThGtGDUzXfq8Cv1i9frAZfqQV00DcKGYG4UA2+5l2MviqKIDtlRZiBV46CGtCK SFdsiwbFQOi2LxZl+boYABuPIFUI5L05Bvk642utZPykdVCR9TUnbjGfmM9NOov1SlQtCt8ZeaIh nsHCCuOo6BnqRkTBtmieQFkjEQLoOJNgC9DaSJV7oG7m5T/d3HfCq9wLiRP8Wabw/2Dlx91nZKah 2c05c8LSjA4/vh9+/j78+sYWWaDBh4ry7j1lxvEtjJScmw3+DuTXwBy864Rr1TUiDJ0SDRGcJ2mL R0/TSEIVCCTpNGq06UsKMMKj0ezP41BjZDIVWS6Wy5JCkmLTJaFennsM8b0Cy5JRc6R5Z2Zidxfi MXVKSdUc3Jq+zzPv3V8OwkyeTPjIMbGN42bM4rxJ3STPBpo9yTDQxtTc0Upz1n9w1G9arsnAydhM xtajaTtiOAl3vY3EJVO8wJ7q06hzk6e1TLv0+J6zLj/P+g8AAAD//wMAUEsDBBQABgAIAAAAIQAC la3v2AAAAAoBAAAPAAAAZHJzL2Rvd25yZXYueG1sTE9BasMwELwX+gexhdwauTmkxrEcSkIuvTUt hd4Ua2OZSisjKY79+25Lob0MOwwzO1NvJ+/EiDH1gRQ8LAsQSG0wPXUK3l4P9yWIlDUZ7QKhghkT bJvbm1pXJlzpBcdj7gSHUKq0ApvzUEmZWotep2UYkFg7h+h1Zho7aaK+crh3clUUa+l1T/zB6gF3 FtvP48UreJzeAw4Jd/hxHtto+7l0z7NSi7tpv2F42oDIOOU/B3xv4P7QcLFTuJBJwingNfkHWVuV JdPT7yGbWv6f0HwBAAD//wMAUEsBAi0AFAAGAAgAAAAhALaDOJL+AAAA4QEAABMAAAAAAAAAAAAA AAAAAAAAAFtDb250ZW50X1R5cGVzXS54bWxQSwECLQAUAAYACAAAACEAOP0h/9YAAACUAQAACwAA AAAAAAAAAAAAAAAvAQAAX3JlbHMvLnJlbHNQSwECLQAUAAYACAAAACEAcJHdh9IBAACEAwAADgAA AAAAAAAAAAAAAAAuAgAAZHJzL2Uyb0RvYy54bWxQSwECLQAUAAYACAAAACEAApWt79gAAAAKAQAA DwAAAAAAAAAAAAAAAAAsBAAAZHJzL2Rvd25yZXYueG1sUEsFBgAAAAAEAAQA8wAAADEFAAAAAA== ">
              <v:fill on="f" focussize="0,0"/>
              <v:stroke on="f"/>
              <v:imagedata o:title=""/>
              <o:lock v:ext="edit" aspectratio="f"/>
              <v:textbox inset="0mm,0mm,0mm,0mm" style="mso-fit-shape-to-text:t;">
                <w:txbxContent>
                  <w:p>
                    <w:pPr>
                      <w:pStyle w:val="24"/>
                      <w:ind w:firstLine="360"/>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rPr>
                      <w:t>69</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sz w:val="24"/>
        <w:szCs w:val="24"/>
      </w:rPr>
    </w:pPr>
    <w:r>
      <w:rPr>
        <w:rFonts w:hint="eastAsia"/>
        <w:i/>
        <w:iCs/>
        <w:sz w:val="24"/>
        <w:szCs w:val="24"/>
      </w:rPr>
      <w:t>浙江五石工程咨询有限公司</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w:rPr>
        <w:rFonts w:hint="eastAsia"/>
        <w:lang w:eastAsia="zh-CN"/>
      </w:rPr>
      <w:t>宁波行知中等职业学校</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pPr>
    <w:r>
      <w:rPr>
        <w:rFonts w:hint="eastAsia"/>
        <w:i/>
        <w:iCs/>
        <w:sz w:val="24"/>
        <w:szCs w:val="24"/>
      </w:rPr>
      <w:t>浙江五石工程咨询有限公司</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rPr>
        <w:rFonts w:hint="eastAsia"/>
        <w:i/>
        <w:iCs/>
        <w:sz w:val="24"/>
        <w:szCs w:val="24"/>
      </w:rPr>
    </w:pPr>
  </w:p>
  <w:p>
    <w:pPr>
      <w:pStyle w:val="24"/>
      <w:ind w:firstLine="0" w:firstLineChars="0"/>
    </w:pPr>
    <w:r>
      <w:rPr>
        <w:rFonts w:hint="eastAsia"/>
        <w:i/>
        <w:iCs/>
        <w:sz w:val="24"/>
        <w:szCs w:val="24"/>
      </w:rPr>
      <w:t>浙江五石工程咨询有限公司</w:t>
    </w:r>
    <w:r>
      <w:rPr>
        <w:rFonts w:hint="eastAsia"/>
        <w:sz w:val="24"/>
        <w:szCs w:val="24"/>
      </w:rPr>
      <w:t xml:space="preserve">                              </w:t>
    </w:r>
    <w:r>
      <w:rPr>
        <w:rFonts w:hint="eastAsia"/>
        <w:i/>
        <w:iCs/>
        <w:sz w:val="24"/>
        <w:szCs w:val="24"/>
      </w:rPr>
      <w:t>精细 专业 高效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3208E"/>
    <w:multiLevelType w:val="singleLevel"/>
    <w:tmpl w:val="A523208E"/>
    <w:lvl w:ilvl="0" w:tentative="0">
      <w:start w:val="1"/>
      <w:numFmt w:val="decimal"/>
      <w:suff w:val="nothing"/>
      <w:lvlText w:val="（%1）"/>
      <w:lvlJc w:val="left"/>
    </w:lvl>
  </w:abstractNum>
  <w:abstractNum w:abstractNumId="1">
    <w:nsid w:val="F56FB2D7"/>
    <w:multiLevelType w:val="singleLevel"/>
    <w:tmpl w:val="F56FB2D7"/>
    <w:lvl w:ilvl="0" w:tentative="0">
      <w:start w:val="4"/>
      <w:numFmt w:val="decimal"/>
      <w:suff w:val="nothing"/>
      <w:lvlText w:val="（%1）"/>
      <w:lvlJc w:val="left"/>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00000004"/>
    <w:multiLevelType w:val="singleLevel"/>
    <w:tmpl w:val="00000004"/>
    <w:lvl w:ilvl="0" w:tentative="0">
      <w:start w:val="2"/>
      <w:numFmt w:val="decimal"/>
      <w:suff w:val="nothing"/>
      <w:lvlText w:val="%1、"/>
      <w:lvlJc w:val="left"/>
    </w:lvl>
  </w:abstractNum>
  <w:abstractNum w:abstractNumId="4">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B1A34EB"/>
    <w:multiLevelType w:val="multilevel"/>
    <w:tmpl w:val="2B1A34EB"/>
    <w:lvl w:ilvl="0" w:tentative="0">
      <w:start w:val="1"/>
      <w:numFmt w:val="decimal"/>
      <w:lvlText w:val="%1."/>
      <w:lvlJc w:val="left"/>
      <w:pPr>
        <w:ind w:left="420" w:hanging="420"/>
      </w:pPr>
    </w:lvl>
    <w:lvl w:ilvl="1" w:tentative="0">
      <w:start w:val="1"/>
      <w:numFmt w:val="lowerLetter"/>
      <w:pStyle w:val="153"/>
      <w:lvlText w:val="%2)"/>
      <w:lvlJc w:val="left"/>
      <w:pPr>
        <w:ind w:left="840" w:hanging="420"/>
      </w:pPr>
    </w:lvl>
    <w:lvl w:ilvl="2" w:tentative="0">
      <w:start w:val="1"/>
      <w:numFmt w:val="lowerRoman"/>
      <w:pStyle w:val="121"/>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C5F5BA"/>
    <w:multiLevelType w:val="singleLevel"/>
    <w:tmpl w:val="41C5F5BA"/>
    <w:lvl w:ilvl="0" w:tentative="0">
      <w:start w:val="1"/>
      <w:numFmt w:val="decimal"/>
      <w:lvlText w:val="%1."/>
      <w:lvlJc w:val="left"/>
      <w:pPr>
        <w:ind w:left="425" w:hanging="425"/>
      </w:pPr>
      <w:rPr>
        <w:rFonts w:hint="default"/>
      </w:rPr>
    </w:lvl>
  </w:abstractNum>
  <w:abstractNum w:abstractNumId="7">
    <w:nsid w:val="4BFDDBFF"/>
    <w:multiLevelType w:val="singleLevel"/>
    <w:tmpl w:val="4BFDDBFF"/>
    <w:lvl w:ilvl="0" w:tentative="0">
      <w:start w:val="1"/>
      <w:numFmt w:val="decimal"/>
      <w:suff w:val="nothing"/>
      <w:lvlText w:val="（%1）"/>
      <w:lvlJc w:val="left"/>
    </w:lvl>
  </w:abstractNum>
  <w:abstractNum w:abstractNumId="8">
    <w:nsid w:val="59ACBEE7"/>
    <w:multiLevelType w:val="singleLevel"/>
    <w:tmpl w:val="59ACBEE7"/>
    <w:lvl w:ilvl="0" w:tentative="0">
      <w:start w:val="1"/>
      <w:numFmt w:val="decimal"/>
      <w:suff w:val="nothing"/>
      <w:lvlText w:val="%1、"/>
      <w:lvlJc w:val="left"/>
      <w:rPr>
        <w:rFonts w:cs="Times New Roman"/>
      </w:rPr>
    </w:lvl>
  </w:abstractNum>
  <w:abstractNum w:abstractNumId="9">
    <w:nsid w:val="5B4DA1BC"/>
    <w:multiLevelType w:val="singleLevel"/>
    <w:tmpl w:val="5B4DA1BC"/>
    <w:lvl w:ilvl="0" w:tentative="0">
      <w:start w:val="2"/>
      <w:numFmt w:val="decimal"/>
      <w:suff w:val="nothing"/>
      <w:lvlText w:val="%1、"/>
      <w:lvlJc w:val="left"/>
    </w:lvl>
  </w:abstractNum>
  <w:abstractNum w:abstractNumId="10">
    <w:nsid w:val="60332A33"/>
    <w:multiLevelType w:val="singleLevel"/>
    <w:tmpl w:val="60332A33"/>
    <w:lvl w:ilvl="0" w:tentative="0">
      <w:start w:val="1"/>
      <w:numFmt w:val="decimal"/>
      <w:suff w:val="nothing"/>
      <w:lvlText w:val="%1．"/>
      <w:lvlJc w:val="left"/>
      <w:pPr>
        <w:ind w:left="0" w:firstLine="400"/>
      </w:pPr>
      <w:rPr>
        <w:rFonts w:hint="default"/>
      </w:rPr>
    </w:lvl>
  </w:abstractNum>
  <w:abstractNum w:abstractNumId="11">
    <w:nsid w:val="60332A54"/>
    <w:multiLevelType w:val="singleLevel"/>
    <w:tmpl w:val="60332A54"/>
    <w:lvl w:ilvl="0" w:tentative="0">
      <w:start w:val="1"/>
      <w:numFmt w:val="decimal"/>
      <w:suff w:val="nothing"/>
      <w:lvlText w:val="%1．"/>
      <w:lvlJc w:val="left"/>
      <w:pPr>
        <w:ind w:left="0" w:firstLine="400"/>
      </w:pPr>
      <w:rPr>
        <w:rFonts w:hint="default"/>
      </w:rPr>
    </w:lvl>
  </w:abstractNum>
  <w:abstractNum w:abstractNumId="12">
    <w:nsid w:val="6038A978"/>
    <w:multiLevelType w:val="singleLevel"/>
    <w:tmpl w:val="6038A978"/>
    <w:lvl w:ilvl="0" w:tentative="0">
      <w:start w:val="1"/>
      <w:numFmt w:val="decimal"/>
      <w:suff w:val="nothing"/>
      <w:lvlText w:val="%1．"/>
      <w:lvlJc w:val="left"/>
      <w:pPr>
        <w:ind w:left="0" w:firstLine="400"/>
      </w:pPr>
      <w:rPr>
        <w:rFonts w:hint="default"/>
      </w:rPr>
    </w:lvl>
  </w:abstractNum>
  <w:abstractNum w:abstractNumId="13">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DE11870"/>
    <w:multiLevelType w:val="multilevel"/>
    <w:tmpl w:val="6DE11870"/>
    <w:lvl w:ilvl="0" w:tentative="0">
      <w:start w:val="1"/>
      <w:numFmt w:val="decimal"/>
      <w:pStyle w:val="1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7C3D0680"/>
    <w:multiLevelType w:val="singleLevel"/>
    <w:tmpl w:val="7C3D0680"/>
    <w:lvl w:ilvl="0" w:tentative="0">
      <w:start w:val="3"/>
      <w:numFmt w:val="chineseCounting"/>
      <w:suff w:val="nothing"/>
      <w:lvlText w:val="%1、"/>
      <w:lvlJc w:val="left"/>
      <w:rPr>
        <w:rFonts w:hint="eastAsia"/>
      </w:rPr>
    </w:lvl>
  </w:abstractNum>
  <w:num w:numId="1">
    <w:abstractNumId w:val="13"/>
  </w:num>
  <w:num w:numId="2">
    <w:abstractNumId w:val="14"/>
  </w:num>
  <w:num w:numId="3">
    <w:abstractNumId w:val="5"/>
  </w:num>
  <w:num w:numId="4">
    <w:abstractNumId w:val="6"/>
  </w:num>
  <w:num w:numId="5">
    <w:abstractNumId w:val="7"/>
  </w:num>
  <w:num w:numId="6">
    <w:abstractNumId w:val="1"/>
  </w:num>
  <w:num w:numId="7">
    <w:abstractNumId w:val="0"/>
  </w:num>
  <w:num w:numId="8">
    <w:abstractNumId w:val="4"/>
  </w:num>
  <w:num w:numId="9">
    <w:abstractNumId w:val="10"/>
  </w:num>
  <w:num w:numId="10">
    <w:abstractNumId w:val="11"/>
  </w:num>
  <w:num w:numId="11">
    <w:abstractNumId w:val="12"/>
  </w:num>
  <w:num w:numId="12">
    <w:abstractNumId w:val="15"/>
  </w:num>
  <w:num w:numId="13">
    <w:abstractNumId w:val="3"/>
  </w:num>
  <w:num w:numId="14">
    <w:abstractNumId w:val="2"/>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02BD"/>
    <w:rsid w:val="00025F4A"/>
    <w:rsid w:val="00026A02"/>
    <w:rsid w:val="00030E74"/>
    <w:rsid w:val="00031467"/>
    <w:rsid w:val="0003254D"/>
    <w:rsid w:val="00032E39"/>
    <w:rsid w:val="00034AF2"/>
    <w:rsid w:val="00034EC3"/>
    <w:rsid w:val="00035B41"/>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3D6"/>
    <w:rsid w:val="001148C6"/>
    <w:rsid w:val="00115094"/>
    <w:rsid w:val="001162E0"/>
    <w:rsid w:val="001200F0"/>
    <w:rsid w:val="0012516A"/>
    <w:rsid w:val="001266F7"/>
    <w:rsid w:val="00127E3B"/>
    <w:rsid w:val="0013455A"/>
    <w:rsid w:val="00134E45"/>
    <w:rsid w:val="0013792B"/>
    <w:rsid w:val="00140519"/>
    <w:rsid w:val="001443A3"/>
    <w:rsid w:val="0014477F"/>
    <w:rsid w:val="00144E22"/>
    <w:rsid w:val="00145FC1"/>
    <w:rsid w:val="001528B6"/>
    <w:rsid w:val="00153938"/>
    <w:rsid w:val="00154FA3"/>
    <w:rsid w:val="001568D6"/>
    <w:rsid w:val="001603BB"/>
    <w:rsid w:val="00160F1A"/>
    <w:rsid w:val="001613F6"/>
    <w:rsid w:val="00161742"/>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97084"/>
    <w:rsid w:val="001A0A45"/>
    <w:rsid w:val="001A1F36"/>
    <w:rsid w:val="001A24A9"/>
    <w:rsid w:val="001A5AD8"/>
    <w:rsid w:val="001A6304"/>
    <w:rsid w:val="001B0AEC"/>
    <w:rsid w:val="001B4607"/>
    <w:rsid w:val="001B51FE"/>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238F"/>
    <w:rsid w:val="001E4700"/>
    <w:rsid w:val="001E6BA1"/>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28A"/>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7043"/>
    <w:rsid w:val="002A0D60"/>
    <w:rsid w:val="002A1458"/>
    <w:rsid w:val="002A2966"/>
    <w:rsid w:val="002A2D74"/>
    <w:rsid w:val="002A350A"/>
    <w:rsid w:val="002A5605"/>
    <w:rsid w:val="002B0321"/>
    <w:rsid w:val="002B1E3C"/>
    <w:rsid w:val="002B4EEF"/>
    <w:rsid w:val="002B510A"/>
    <w:rsid w:val="002B5196"/>
    <w:rsid w:val="002B5982"/>
    <w:rsid w:val="002B6139"/>
    <w:rsid w:val="002C1486"/>
    <w:rsid w:val="002C2656"/>
    <w:rsid w:val="002C549E"/>
    <w:rsid w:val="002C55D2"/>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32C9"/>
    <w:rsid w:val="003034D2"/>
    <w:rsid w:val="00305221"/>
    <w:rsid w:val="00306305"/>
    <w:rsid w:val="0030784B"/>
    <w:rsid w:val="00311320"/>
    <w:rsid w:val="00312109"/>
    <w:rsid w:val="00313655"/>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C72"/>
    <w:rsid w:val="00367ED7"/>
    <w:rsid w:val="003751EF"/>
    <w:rsid w:val="00375E93"/>
    <w:rsid w:val="003977AF"/>
    <w:rsid w:val="00397FCB"/>
    <w:rsid w:val="003A118C"/>
    <w:rsid w:val="003A17D7"/>
    <w:rsid w:val="003A1A9B"/>
    <w:rsid w:val="003A21C4"/>
    <w:rsid w:val="003A3CE9"/>
    <w:rsid w:val="003A4E7B"/>
    <w:rsid w:val="003A52B2"/>
    <w:rsid w:val="003B0382"/>
    <w:rsid w:val="003B73EE"/>
    <w:rsid w:val="003C0650"/>
    <w:rsid w:val="003C0693"/>
    <w:rsid w:val="003C3F65"/>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3001F"/>
    <w:rsid w:val="004323CA"/>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641F"/>
    <w:rsid w:val="0048657A"/>
    <w:rsid w:val="00486775"/>
    <w:rsid w:val="0049040C"/>
    <w:rsid w:val="00492413"/>
    <w:rsid w:val="00492B7F"/>
    <w:rsid w:val="00492C6B"/>
    <w:rsid w:val="00492E09"/>
    <w:rsid w:val="00493CA6"/>
    <w:rsid w:val="004943E8"/>
    <w:rsid w:val="00495E2B"/>
    <w:rsid w:val="00495E3C"/>
    <w:rsid w:val="004A020F"/>
    <w:rsid w:val="004A2044"/>
    <w:rsid w:val="004B067B"/>
    <w:rsid w:val="004B2E62"/>
    <w:rsid w:val="004B5EC6"/>
    <w:rsid w:val="004B6762"/>
    <w:rsid w:val="004B6CFF"/>
    <w:rsid w:val="004B79F0"/>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302"/>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19B3"/>
    <w:rsid w:val="00503042"/>
    <w:rsid w:val="00503AA5"/>
    <w:rsid w:val="00504E09"/>
    <w:rsid w:val="005070CE"/>
    <w:rsid w:val="00516B63"/>
    <w:rsid w:val="005206C3"/>
    <w:rsid w:val="00521C7F"/>
    <w:rsid w:val="00522CAF"/>
    <w:rsid w:val="00526755"/>
    <w:rsid w:val="00526C59"/>
    <w:rsid w:val="00530109"/>
    <w:rsid w:val="00530BB1"/>
    <w:rsid w:val="0053248E"/>
    <w:rsid w:val="00532B43"/>
    <w:rsid w:val="00533248"/>
    <w:rsid w:val="005345B3"/>
    <w:rsid w:val="00537959"/>
    <w:rsid w:val="00537FA7"/>
    <w:rsid w:val="00541249"/>
    <w:rsid w:val="00541A28"/>
    <w:rsid w:val="00543072"/>
    <w:rsid w:val="005507B7"/>
    <w:rsid w:val="0055158F"/>
    <w:rsid w:val="005527B8"/>
    <w:rsid w:val="00557FFD"/>
    <w:rsid w:val="005618A8"/>
    <w:rsid w:val="00561DC5"/>
    <w:rsid w:val="005630BA"/>
    <w:rsid w:val="00565484"/>
    <w:rsid w:val="00565C25"/>
    <w:rsid w:val="005661C0"/>
    <w:rsid w:val="00566D88"/>
    <w:rsid w:val="005701DE"/>
    <w:rsid w:val="0057111D"/>
    <w:rsid w:val="00574EF9"/>
    <w:rsid w:val="00576E2C"/>
    <w:rsid w:val="005770DF"/>
    <w:rsid w:val="00577127"/>
    <w:rsid w:val="00580F00"/>
    <w:rsid w:val="005827EF"/>
    <w:rsid w:val="00583761"/>
    <w:rsid w:val="0058503E"/>
    <w:rsid w:val="0058622B"/>
    <w:rsid w:val="00587A9A"/>
    <w:rsid w:val="00591ABC"/>
    <w:rsid w:val="005964EA"/>
    <w:rsid w:val="005A002A"/>
    <w:rsid w:val="005A010C"/>
    <w:rsid w:val="005A130D"/>
    <w:rsid w:val="005A1ACF"/>
    <w:rsid w:val="005A1B31"/>
    <w:rsid w:val="005A7C49"/>
    <w:rsid w:val="005B06FB"/>
    <w:rsid w:val="005B350D"/>
    <w:rsid w:val="005B6142"/>
    <w:rsid w:val="005B681E"/>
    <w:rsid w:val="005C0C63"/>
    <w:rsid w:val="005C0E04"/>
    <w:rsid w:val="005C19C0"/>
    <w:rsid w:val="005C6B3F"/>
    <w:rsid w:val="005D46CD"/>
    <w:rsid w:val="005D4A96"/>
    <w:rsid w:val="005D5E1B"/>
    <w:rsid w:val="005D7FC7"/>
    <w:rsid w:val="005E654C"/>
    <w:rsid w:val="005E7132"/>
    <w:rsid w:val="005F26B4"/>
    <w:rsid w:val="005F2D62"/>
    <w:rsid w:val="005F2D88"/>
    <w:rsid w:val="005F4D1B"/>
    <w:rsid w:val="005F4FB8"/>
    <w:rsid w:val="005F6C39"/>
    <w:rsid w:val="005F79FD"/>
    <w:rsid w:val="00600060"/>
    <w:rsid w:val="00600341"/>
    <w:rsid w:val="00602009"/>
    <w:rsid w:val="00602E21"/>
    <w:rsid w:val="00603612"/>
    <w:rsid w:val="0060380C"/>
    <w:rsid w:val="00603FC0"/>
    <w:rsid w:val="0060545C"/>
    <w:rsid w:val="00605AF4"/>
    <w:rsid w:val="00606E06"/>
    <w:rsid w:val="00607AAE"/>
    <w:rsid w:val="00613372"/>
    <w:rsid w:val="0062425C"/>
    <w:rsid w:val="00624392"/>
    <w:rsid w:val="00624B56"/>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776D"/>
    <w:rsid w:val="0066048B"/>
    <w:rsid w:val="006607A7"/>
    <w:rsid w:val="00664BDC"/>
    <w:rsid w:val="00665DFD"/>
    <w:rsid w:val="00682742"/>
    <w:rsid w:val="0068504F"/>
    <w:rsid w:val="00690CFF"/>
    <w:rsid w:val="00690F83"/>
    <w:rsid w:val="0069131A"/>
    <w:rsid w:val="006923A1"/>
    <w:rsid w:val="006923E4"/>
    <w:rsid w:val="00693444"/>
    <w:rsid w:val="006938F3"/>
    <w:rsid w:val="006A06BA"/>
    <w:rsid w:val="006A31FD"/>
    <w:rsid w:val="006A482E"/>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4513"/>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2CCB"/>
    <w:rsid w:val="007238B9"/>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4AB3"/>
    <w:rsid w:val="00756186"/>
    <w:rsid w:val="007647EC"/>
    <w:rsid w:val="0076514B"/>
    <w:rsid w:val="00765AAB"/>
    <w:rsid w:val="00770034"/>
    <w:rsid w:val="00771DDD"/>
    <w:rsid w:val="0077232D"/>
    <w:rsid w:val="00772782"/>
    <w:rsid w:val="00772943"/>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B16DD"/>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2188"/>
    <w:rsid w:val="00813D5B"/>
    <w:rsid w:val="008143A5"/>
    <w:rsid w:val="008153C6"/>
    <w:rsid w:val="00816D37"/>
    <w:rsid w:val="00817EFC"/>
    <w:rsid w:val="00820225"/>
    <w:rsid w:val="00824D2A"/>
    <w:rsid w:val="00825638"/>
    <w:rsid w:val="00831D3E"/>
    <w:rsid w:val="00834967"/>
    <w:rsid w:val="00834AB9"/>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77D"/>
    <w:rsid w:val="00862E74"/>
    <w:rsid w:val="008630CF"/>
    <w:rsid w:val="00863205"/>
    <w:rsid w:val="00863AA6"/>
    <w:rsid w:val="0086405A"/>
    <w:rsid w:val="00864EE8"/>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01AE"/>
    <w:rsid w:val="008B0EAE"/>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D7DB6"/>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6DFB"/>
    <w:rsid w:val="009073FB"/>
    <w:rsid w:val="009145A2"/>
    <w:rsid w:val="009153BC"/>
    <w:rsid w:val="00915E4E"/>
    <w:rsid w:val="0091775E"/>
    <w:rsid w:val="009178D0"/>
    <w:rsid w:val="00917E73"/>
    <w:rsid w:val="00917EF0"/>
    <w:rsid w:val="00921EB3"/>
    <w:rsid w:val="0092282C"/>
    <w:rsid w:val="00923A58"/>
    <w:rsid w:val="009249F8"/>
    <w:rsid w:val="00930BA8"/>
    <w:rsid w:val="0093281F"/>
    <w:rsid w:val="009352BD"/>
    <w:rsid w:val="0093785D"/>
    <w:rsid w:val="00940BBF"/>
    <w:rsid w:val="00943BC8"/>
    <w:rsid w:val="009442AF"/>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97A29"/>
    <w:rsid w:val="009A0068"/>
    <w:rsid w:val="009A0C37"/>
    <w:rsid w:val="009A1381"/>
    <w:rsid w:val="009A22B8"/>
    <w:rsid w:val="009A3005"/>
    <w:rsid w:val="009A5355"/>
    <w:rsid w:val="009A627B"/>
    <w:rsid w:val="009A6797"/>
    <w:rsid w:val="009A6D84"/>
    <w:rsid w:val="009A7882"/>
    <w:rsid w:val="009B22B7"/>
    <w:rsid w:val="009B3A51"/>
    <w:rsid w:val="009B7465"/>
    <w:rsid w:val="009C3C81"/>
    <w:rsid w:val="009C6164"/>
    <w:rsid w:val="009C6AB8"/>
    <w:rsid w:val="009C761C"/>
    <w:rsid w:val="009D0232"/>
    <w:rsid w:val="009D0EC8"/>
    <w:rsid w:val="009D34ED"/>
    <w:rsid w:val="009D436A"/>
    <w:rsid w:val="009D7FCF"/>
    <w:rsid w:val="009E09CB"/>
    <w:rsid w:val="009E22E7"/>
    <w:rsid w:val="009E25ED"/>
    <w:rsid w:val="009E3BB3"/>
    <w:rsid w:val="009E4587"/>
    <w:rsid w:val="009E5E84"/>
    <w:rsid w:val="009E6073"/>
    <w:rsid w:val="009F1945"/>
    <w:rsid w:val="009F1FBA"/>
    <w:rsid w:val="009F2A5C"/>
    <w:rsid w:val="009F4B23"/>
    <w:rsid w:val="009F4DCC"/>
    <w:rsid w:val="009F51EC"/>
    <w:rsid w:val="009F5A70"/>
    <w:rsid w:val="009F636D"/>
    <w:rsid w:val="00A02599"/>
    <w:rsid w:val="00A0280C"/>
    <w:rsid w:val="00A03400"/>
    <w:rsid w:val="00A06D5A"/>
    <w:rsid w:val="00A07964"/>
    <w:rsid w:val="00A1043F"/>
    <w:rsid w:val="00A12827"/>
    <w:rsid w:val="00A15FDB"/>
    <w:rsid w:val="00A208F6"/>
    <w:rsid w:val="00A220E2"/>
    <w:rsid w:val="00A26FA5"/>
    <w:rsid w:val="00A27D3E"/>
    <w:rsid w:val="00A27F2E"/>
    <w:rsid w:val="00A31392"/>
    <w:rsid w:val="00A35E28"/>
    <w:rsid w:val="00A416A5"/>
    <w:rsid w:val="00A41CDC"/>
    <w:rsid w:val="00A4648E"/>
    <w:rsid w:val="00A4744B"/>
    <w:rsid w:val="00A47B0E"/>
    <w:rsid w:val="00A52FA5"/>
    <w:rsid w:val="00A558DC"/>
    <w:rsid w:val="00A6086B"/>
    <w:rsid w:val="00A60970"/>
    <w:rsid w:val="00A61171"/>
    <w:rsid w:val="00A6337F"/>
    <w:rsid w:val="00A63477"/>
    <w:rsid w:val="00A63F84"/>
    <w:rsid w:val="00A64FF4"/>
    <w:rsid w:val="00A71092"/>
    <w:rsid w:val="00A72D91"/>
    <w:rsid w:val="00A767E4"/>
    <w:rsid w:val="00A775F2"/>
    <w:rsid w:val="00A7767F"/>
    <w:rsid w:val="00A825C8"/>
    <w:rsid w:val="00A82E91"/>
    <w:rsid w:val="00A82F39"/>
    <w:rsid w:val="00A83F86"/>
    <w:rsid w:val="00A8460B"/>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6E1F"/>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3B9"/>
    <w:rsid w:val="00B16BAF"/>
    <w:rsid w:val="00B21805"/>
    <w:rsid w:val="00B219E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4DD"/>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054F"/>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C61"/>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5722"/>
    <w:rsid w:val="00C47B02"/>
    <w:rsid w:val="00C5040F"/>
    <w:rsid w:val="00C53349"/>
    <w:rsid w:val="00C54AAD"/>
    <w:rsid w:val="00C564FA"/>
    <w:rsid w:val="00C5747E"/>
    <w:rsid w:val="00C57981"/>
    <w:rsid w:val="00C62C73"/>
    <w:rsid w:val="00C6573F"/>
    <w:rsid w:val="00C66F21"/>
    <w:rsid w:val="00C713DA"/>
    <w:rsid w:val="00C72AF5"/>
    <w:rsid w:val="00C75619"/>
    <w:rsid w:val="00C75EF1"/>
    <w:rsid w:val="00C7782D"/>
    <w:rsid w:val="00C82B0E"/>
    <w:rsid w:val="00C82F96"/>
    <w:rsid w:val="00C8440C"/>
    <w:rsid w:val="00C8580C"/>
    <w:rsid w:val="00C860FF"/>
    <w:rsid w:val="00C90A69"/>
    <w:rsid w:val="00C912AB"/>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DDE"/>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D18"/>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47DE8"/>
    <w:rsid w:val="00D50258"/>
    <w:rsid w:val="00D51912"/>
    <w:rsid w:val="00D51D81"/>
    <w:rsid w:val="00D5294D"/>
    <w:rsid w:val="00D551C7"/>
    <w:rsid w:val="00D56D8B"/>
    <w:rsid w:val="00D57109"/>
    <w:rsid w:val="00D57421"/>
    <w:rsid w:val="00D575E6"/>
    <w:rsid w:val="00D61D10"/>
    <w:rsid w:val="00D62454"/>
    <w:rsid w:val="00D70AC4"/>
    <w:rsid w:val="00D74CF3"/>
    <w:rsid w:val="00D75DB5"/>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48EE"/>
    <w:rsid w:val="00DF6A10"/>
    <w:rsid w:val="00E00EA5"/>
    <w:rsid w:val="00E0462E"/>
    <w:rsid w:val="00E059D1"/>
    <w:rsid w:val="00E061C1"/>
    <w:rsid w:val="00E06CCA"/>
    <w:rsid w:val="00E116B6"/>
    <w:rsid w:val="00E127AF"/>
    <w:rsid w:val="00E1516B"/>
    <w:rsid w:val="00E16DE7"/>
    <w:rsid w:val="00E16F67"/>
    <w:rsid w:val="00E20612"/>
    <w:rsid w:val="00E221EF"/>
    <w:rsid w:val="00E27ED1"/>
    <w:rsid w:val="00E30ACB"/>
    <w:rsid w:val="00E32B9F"/>
    <w:rsid w:val="00E33708"/>
    <w:rsid w:val="00E35027"/>
    <w:rsid w:val="00E36879"/>
    <w:rsid w:val="00E36B29"/>
    <w:rsid w:val="00E37772"/>
    <w:rsid w:val="00E37FA9"/>
    <w:rsid w:val="00E40758"/>
    <w:rsid w:val="00E40F88"/>
    <w:rsid w:val="00E45E27"/>
    <w:rsid w:val="00E479F6"/>
    <w:rsid w:val="00E50C26"/>
    <w:rsid w:val="00E51177"/>
    <w:rsid w:val="00E521C8"/>
    <w:rsid w:val="00E544B2"/>
    <w:rsid w:val="00E57012"/>
    <w:rsid w:val="00E666C3"/>
    <w:rsid w:val="00E66AD8"/>
    <w:rsid w:val="00E66E4D"/>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6E50"/>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E7739"/>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5506"/>
    <w:rsid w:val="00F46C8C"/>
    <w:rsid w:val="00F46F3A"/>
    <w:rsid w:val="00F47E49"/>
    <w:rsid w:val="00F51A4B"/>
    <w:rsid w:val="00F524F2"/>
    <w:rsid w:val="00F5451B"/>
    <w:rsid w:val="00F54B05"/>
    <w:rsid w:val="00F54B6A"/>
    <w:rsid w:val="00F555FF"/>
    <w:rsid w:val="00F57BC7"/>
    <w:rsid w:val="00F57ED1"/>
    <w:rsid w:val="00F609CD"/>
    <w:rsid w:val="00F61148"/>
    <w:rsid w:val="00F62199"/>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4374"/>
    <w:rsid w:val="00FF5002"/>
    <w:rsid w:val="00FF60BC"/>
    <w:rsid w:val="00FF6519"/>
    <w:rsid w:val="01000B08"/>
    <w:rsid w:val="010B6B80"/>
    <w:rsid w:val="015F4B95"/>
    <w:rsid w:val="01A01AFA"/>
    <w:rsid w:val="01A9153E"/>
    <w:rsid w:val="01B70F5F"/>
    <w:rsid w:val="01CB5453"/>
    <w:rsid w:val="01D62E7D"/>
    <w:rsid w:val="020C6AC4"/>
    <w:rsid w:val="02132159"/>
    <w:rsid w:val="025F5776"/>
    <w:rsid w:val="02644C33"/>
    <w:rsid w:val="0269067C"/>
    <w:rsid w:val="02857F1F"/>
    <w:rsid w:val="02A91AE0"/>
    <w:rsid w:val="02C62FD6"/>
    <w:rsid w:val="02C741EC"/>
    <w:rsid w:val="02D70676"/>
    <w:rsid w:val="02E21C6A"/>
    <w:rsid w:val="02E423D5"/>
    <w:rsid w:val="02F01C71"/>
    <w:rsid w:val="02F95629"/>
    <w:rsid w:val="03210061"/>
    <w:rsid w:val="034657EF"/>
    <w:rsid w:val="034F488B"/>
    <w:rsid w:val="03CB7A12"/>
    <w:rsid w:val="03D21196"/>
    <w:rsid w:val="043B11C4"/>
    <w:rsid w:val="043E6937"/>
    <w:rsid w:val="04415EE3"/>
    <w:rsid w:val="046B6B89"/>
    <w:rsid w:val="047775AF"/>
    <w:rsid w:val="04882999"/>
    <w:rsid w:val="04B749ED"/>
    <w:rsid w:val="04CE27B5"/>
    <w:rsid w:val="04D12AAC"/>
    <w:rsid w:val="04DD2267"/>
    <w:rsid w:val="05273450"/>
    <w:rsid w:val="05430EC4"/>
    <w:rsid w:val="054B15E0"/>
    <w:rsid w:val="056F500B"/>
    <w:rsid w:val="05B01605"/>
    <w:rsid w:val="06476B91"/>
    <w:rsid w:val="066A7233"/>
    <w:rsid w:val="06C705E9"/>
    <w:rsid w:val="06D870A8"/>
    <w:rsid w:val="06D909EF"/>
    <w:rsid w:val="06F32C4C"/>
    <w:rsid w:val="07221759"/>
    <w:rsid w:val="07222A96"/>
    <w:rsid w:val="072860FC"/>
    <w:rsid w:val="072E5B90"/>
    <w:rsid w:val="0755005F"/>
    <w:rsid w:val="07845EBA"/>
    <w:rsid w:val="078E7909"/>
    <w:rsid w:val="0793203C"/>
    <w:rsid w:val="07974C46"/>
    <w:rsid w:val="07996EB4"/>
    <w:rsid w:val="079E733B"/>
    <w:rsid w:val="07A94598"/>
    <w:rsid w:val="07C9294D"/>
    <w:rsid w:val="07D945DC"/>
    <w:rsid w:val="080C5025"/>
    <w:rsid w:val="08107785"/>
    <w:rsid w:val="082D669C"/>
    <w:rsid w:val="088912F7"/>
    <w:rsid w:val="08CF797B"/>
    <w:rsid w:val="092D4ADB"/>
    <w:rsid w:val="094B0040"/>
    <w:rsid w:val="096B7ED1"/>
    <w:rsid w:val="096D0679"/>
    <w:rsid w:val="09A13A7B"/>
    <w:rsid w:val="09C02513"/>
    <w:rsid w:val="09C943AD"/>
    <w:rsid w:val="09D51869"/>
    <w:rsid w:val="09E06DF4"/>
    <w:rsid w:val="0A260B3A"/>
    <w:rsid w:val="0A5A0A93"/>
    <w:rsid w:val="0A676977"/>
    <w:rsid w:val="0A6952B7"/>
    <w:rsid w:val="0ACF7D96"/>
    <w:rsid w:val="0ADF4BE4"/>
    <w:rsid w:val="0AE36BBE"/>
    <w:rsid w:val="0AEB2A60"/>
    <w:rsid w:val="0AF461CA"/>
    <w:rsid w:val="0AFE662A"/>
    <w:rsid w:val="0B1947E1"/>
    <w:rsid w:val="0B504A69"/>
    <w:rsid w:val="0B5673B8"/>
    <w:rsid w:val="0B6C28C5"/>
    <w:rsid w:val="0BA33880"/>
    <w:rsid w:val="0BA9021D"/>
    <w:rsid w:val="0BCD178F"/>
    <w:rsid w:val="0BDE2E9A"/>
    <w:rsid w:val="0C317937"/>
    <w:rsid w:val="0C4A595B"/>
    <w:rsid w:val="0C94198B"/>
    <w:rsid w:val="0C974616"/>
    <w:rsid w:val="0C9B6E50"/>
    <w:rsid w:val="0CA8083B"/>
    <w:rsid w:val="0CA83953"/>
    <w:rsid w:val="0CBA4F1F"/>
    <w:rsid w:val="0CD26A47"/>
    <w:rsid w:val="0CE64047"/>
    <w:rsid w:val="0CF1324D"/>
    <w:rsid w:val="0D180B64"/>
    <w:rsid w:val="0D5B3709"/>
    <w:rsid w:val="0D6E4554"/>
    <w:rsid w:val="0D890DDC"/>
    <w:rsid w:val="0DA11273"/>
    <w:rsid w:val="0DC55C20"/>
    <w:rsid w:val="0DCA0B7C"/>
    <w:rsid w:val="0DDE177A"/>
    <w:rsid w:val="0E034057"/>
    <w:rsid w:val="0E1359FA"/>
    <w:rsid w:val="0E1B53A5"/>
    <w:rsid w:val="0E3777BE"/>
    <w:rsid w:val="0E6E1C90"/>
    <w:rsid w:val="0E8A4737"/>
    <w:rsid w:val="0EB05D52"/>
    <w:rsid w:val="0ED512A6"/>
    <w:rsid w:val="0EE1399D"/>
    <w:rsid w:val="0EE43718"/>
    <w:rsid w:val="0EE761E5"/>
    <w:rsid w:val="0EE90B68"/>
    <w:rsid w:val="0EEC50BC"/>
    <w:rsid w:val="0F2531A4"/>
    <w:rsid w:val="0F333C8A"/>
    <w:rsid w:val="0F441053"/>
    <w:rsid w:val="0F5B5FE8"/>
    <w:rsid w:val="0F6415F3"/>
    <w:rsid w:val="0F6D01FB"/>
    <w:rsid w:val="0FBC0D1A"/>
    <w:rsid w:val="102927A5"/>
    <w:rsid w:val="102942B6"/>
    <w:rsid w:val="10303AE2"/>
    <w:rsid w:val="10377139"/>
    <w:rsid w:val="10475F34"/>
    <w:rsid w:val="104C58A2"/>
    <w:rsid w:val="10555A83"/>
    <w:rsid w:val="106C05A0"/>
    <w:rsid w:val="10B07161"/>
    <w:rsid w:val="10C770AD"/>
    <w:rsid w:val="113548EC"/>
    <w:rsid w:val="1140059F"/>
    <w:rsid w:val="118E4CF5"/>
    <w:rsid w:val="11970C71"/>
    <w:rsid w:val="11A842FF"/>
    <w:rsid w:val="120B1F32"/>
    <w:rsid w:val="120E0E48"/>
    <w:rsid w:val="121A2C8B"/>
    <w:rsid w:val="123F4C14"/>
    <w:rsid w:val="1283698F"/>
    <w:rsid w:val="12952E88"/>
    <w:rsid w:val="12B1627A"/>
    <w:rsid w:val="12BD24FD"/>
    <w:rsid w:val="12BF6630"/>
    <w:rsid w:val="12CB1F54"/>
    <w:rsid w:val="12F12AA5"/>
    <w:rsid w:val="136A4311"/>
    <w:rsid w:val="13953125"/>
    <w:rsid w:val="13B8461E"/>
    <w:rsid w:val="13F61959"/>
    <w:rsid w:val="1402655C"/>
    <w:rsid w:val="14122368"/>
    <w:rsid w:val="141A42B8"/>
    <w:rsid w:val="14376E43"/>
    <w:rsid w:val="14541696"/>
    <w:rsid w:val="147A2410"/>
    <w:rsid w:val="147F0A75"/>
    <w:rsid w:val="14852C6F"/>
    <w:rsid w:val="1488358C"/>
    <w:rsid w:val="148F2F85"/>
    <w:rsid w:val="149C602B"/>
    <w:rsid w:val="14A37CE7"/>
    <w:rsid w:val="14A502EF"/>
    <w:rsid w:val="14AE6AE1"/>
    <w:rsid w:val="14B8335B"/>
    <w:rsid w:val="14C64C59"/>
    <w:rsid w:val="152B4D84"/>
    <w:rsid w:val="155301FE"/>
    <w:rsid w:val="15592FF6"/>
    <w:rsid w:val="1569426E"/>
    <w:rsid w:val="15871E93"/>
    <w:rsid w:val="15930009"/>
    <w:rsid w:val="15F003C1"/>
    <w:rsid w:val="15F61009"/>
    <w:rsid w:val="15F913A0"/>
    <w:rsid w:val="15FC3115"/>
    <w:rsid w:val="16774D91"/>
    <w:rsid w:val="168A004B"/>
    <w:rsid w:val="168C3435"/>
    <w:rsid w:val="168C48D6"/>
    <w:rsid w:val="16A27000"/>
    <w:rsid w:val="16AB5309"/>
    <w:rsid w:val="16C83D17"/>
    <w:rsid w:val="16E952DD"/>
    <w:rsid w:val="17252E73"/>
    <w:rsid w:val="173D752B"/>
    <w:rsid w:val="173E3BF5"/>
    <w:rsid w:val="17445402"/>
    <w:rsid w:val="17CA2B8F"/>
    <w:rsid w:val="17CA37B9"/>
    <w:rsid w:val="17E52E27"/>
    <w:rsid w:val="17E65EE9"/>
    <w:rsid w:val="18AA2CAF"/>
    <w:rsid w:val="18B951B3"/>
    <w:rsid w:val="18C35170"/>
    <w:rsid w:val="18CD35E1"/>
    <w:rsid w:val="18E00489"/>
    <w:rsid w:val="19282791"/>
    <w:rsid w:val="192C2D7A"/>
    <w:rsid w:val="194574AA"/>
    <w:rsid w:val="19810432"/>
    <w:rsid w:val="19BA2109"/>
    <w:rsid w:val="19C25667"/>
    <w:rsid w:val="19E21D1C"/>
    <w:rsid w:val="19F45009"/>
    <w:rsid w:val="1A11341F"/>
    <w:rsid w:val="1A496B8A"/>
    <w:rsid w:val="1A5E1863"/>
    <w:rsid w:val="1A84474A"/>
    <w:rsid w:val="1AB83062"/>
    <w:rsid w:val="1ABD14EC"/>
    <w:rsid w:val="1AC502CF"/>
    <w:rsid w:val="1AF22896"/>
    <w:rsid w:val="1B1B7B9B"/>
    <w:rsid w:val="1B200375"/>
    <w:rsid w:val="1B550FE4"/>
    <w:rsid w:val="1B762D9C"/>
    <w:rsid w:val="1B87118E"/>
    <w:rsid w:val="1BD20383"/>
    <w:rsid w:val="1BEB2419"/>
    <w:rsid w:val="1BFF3FFC"/>
    <w:rsid w:val="1C51557D"/>
    <w:rsid w:val="1CCD1E3C"/>
    <w:rsid w:val="1CDF1F57"/>
    <w:rsid w:val="1D282B44"/>
    <w:rsid w:val="1D635978"/>
    <w:rsid w:val="1D7C153E"/>
    <w:rsid w:val="1D866B79"/>
    <w:rsid w:val="1D9B6B93"/>
    <w:rsid w:val="1DE35CF5"/>
    <w:rsid w:val="1E055C9E"/>
    <w:rsid w:val="1E060BD3"/>
    <w:rsid w:val="1E4069E2"/>
    <w:rsid w:val="1E646060"/>
    <w:rsid w:val="1E806719"/>
    <w:rsid w:val="1E895CEE"/>
    <w:rsid w:val="1E8D072E"/>
    <w:rsid w:val="1EBB25B9"/>
    <w:rsid w:val="1ECF77D0"/>
    <w:rsid w:val="1F0136F8"/>
    <w:rsid w:val="1F0565C7"/>
    <w:rsid w:val="1F1C1A13"/>
    <w:rsid w:val="1F3F6C23"/>
    <w:rsid w:val="1F4A727D"/>
    <w:rsid w:val="1F740C95"/>
    <w:rsid w:val="1F8A0112"/>
    <w:rsid w:val="1FC4602C"/>
    <w:rsid w:val="20015A6D"/>
    <w:rsid w:val="200C3AA1"/>
    <w:rsid w:val="201C4B7A"/>
    <w:rsid w:val="20211C45"/>
    <w:rsid w:val="20654C19"/>
    <w:rsid w:val="206B546A"/>
    <w:rsid w:val="20974516"/>
    <w:rsid w:val="20AE211E"/>
    <w:rsid w:val="20CB3924"/>
    <w:rsid w:val="20ED63C9"/>
    <w:rsid w:val="20F12941"/>
    <w:rsid w:val="21220D3E"/>
    <w:rsid w:val="214A3DCF"/>
    <w:rsid w:val="217C182D"/>
    <w:rsid w:val="2189394D"/>
    <w:rsid w:val="21BF72A1"/>
    <w:rsid w:val="21C3592D"/>
    <w:rsid w:val="21C55F53"/>
    <w:rsid w:val="21FC530F"/>
    <w:rsid w:val="22160FF0"/>
    <w:rsid w:val="2256647C"/>
    <w:rsid w:val="225A2932"/>
    <w:rsid w:val="22A84E37"/>
    <w:rsid w:val="22B4304D"/>
    <w:rsid w:val="232E4270"/>
    <w:rsid w:val="233A2E59"/>
    <w:rsid w:val="23594B35"/>
    <w:rsid w:val="23655DFC"/>
    <w:rsid w:val="237B78F4"/>
    <w:rsid w:val="237D2501"/>
    <w:rsid w:val="23815AAD"/>
    <w:rsid w:val="23EA5690"/>
    <w:rsid w:val="23F430A5"/>
    <w:rsid w:val="23FC0AA0"/>
    <w:rsid w:val="240F127A"/>
    <w:rsid w:val="244157BB"/>
    <w:rsid w:val="247240E4"/>
    <w:rsid w:val="24806C83"/>
    <w:rsid w:val="249027F9"/>
    <w:rsid w:val="24D54DB0"/>
    <w:rsid w:val="24DD44A9"/>
    <w:rsid w:val="24E625D6"/>
    <w:rsid w:val="24E9134E"/>
    <w:rsid w:val="24F82B87"/>
    <w:rsid w:val="259078B3"/>
    <w:rsid w:val="259879AE"/>
    <w:rsid w:val="25B732F2"/>
    <w:rsid w:val="25D27E7B"/>
    <w:rsid w:val="25E777B3"/>
    <w:rsid w:val="26700C16"/>
    <w:rsid w:val="270F5095"/>
    <w:rsid w:val="27144105"/>
    <w:rsid w:val="274F2171"/>
    <w:rsid w:val="275E0F3C"/>
    <w:rsid w:val="276A16ED"/>
    <w:rsid w:val="27797DE0"/>
    <w:rsid w:val="277C5C08"/>
    <w:rsid w:val="277D7312"/>
    <w:rsid w:val="27965B8B"/>
    <w:rsid w:val="27992D09"/>
    <w:rsid w:val="27B96E4E"/>
    <w:rsid w:val="27E00A6E"/>
    <w:rsid w:val="28026CB5"/>
    <w:rsid w:val="282657F7"/>
    <w:rsid w:val="2845665E"/>
    <w:rsid w:val="287F59EE"/>
    <w:rsid w:val="28FC2B68"/>
    <w:rsid w:val="2907043D"/>
    <w:rsid w:val="29147CD7"/>
    <w:rsid w:val="29172B11"/>
    <w:rsid w:val="29223179"/>
    <w:rsid w:val="29523F82"/>
    <w:rsid w:val="297F63E2"/>
    <w:rsid w:val="29AA4023"/>
    <w:rsid w:val="29D506B9"/>
    <w:rsid w:val="29FF498C"/>
    <w:rsid w:val="2A007E9E"/>
    <w:rsid w:val="2A3B1864"/>
    <w:rsid w:val="2A456589"/>
    <w:rsid w:val="2A5B4807"/>
    <w:rsid w:val="2A67780B"/>
    <w:rsid w:val="2A837B23"/>
    <w:rsid w:val="2ABD64F0"/>
    <w:rsid w:val="2AC46B39"/>
    <w:rsid w:val="2AD311B2"/>
    <w:rsid w:val="2ADE0C2E"/>
    <w:rsid w:val="2B0717DF"/>
    <w:rsid w:val="2B16314B"/>
    <w:rsid w:val="2B2A598A"/>
    <w:rsid w:val="2B53670E"/>
    <w:rsid w:val="2B7B1662"/>
    <w:rsid w:val="2B8C17C6"/>
    <w:rsid w:val="2B943CD4"/>
    <w:rsid w:val="2B977626"/>
    <w:rsid w:val="2BD37CF5"/>
    <w:rsid w:val="2C010002"/>
    <w:rsid w:val="2C0E274C"/>
    <w:rsid w:val="2C1864B9"/>
    <w:rsid w:val="2C3042EA"/>
    <w:rsid w:val="2C4063F4"/>
    <w:rsid w:val="2C5466FC"/>
    <w:rsid w:val="2C741E97"/>
    <w:rsid w:val="2CBE6BE4"/>
    <w:rsid w:val="2CDA7A1A"/>
    <w:rsid w:val="2D2F5557"/>
    <w:rsid w:val="2D4477EE"/>
    <w:rsid w:val="2D7C3386"/>
    <w:rsid w:val="2D7E7EA2"/>
    <w:rsid w:val="2D9F19A0"/>
    <w:rsid w:val="2DAE6D54"/>
    <w:rsid w:val="2DC41DAC"/>
    <w:rsid w:val="2DD4300E"/>
    <w:rsid w:val="2DD61217"/>
    <w:rsid w:val="2E175D83"/>
    <w:rsid w:val="2E274388"/>
    <w:rsid w:val="2E41129A"/>
    <w:rsid w:val="2E413F38"/>
    <w:rsid w:val="2EC14611"/>
    <w:rsid w:val="2F1F63D3"/>
    <w:rsid w:val="2F6F2F9B"/>
    <w:rsid w:val="2FC16D53"/>
    <w:rsid w:val="30277C8E"/>
    <w:rsid w:val="30300320"/>
    <w:rsid w:val="305E4CC4"/>
    <w:rsid w:val="30906FF3"/>
    <w:rsid w:val="30E44E75"/>
    <w:rsid w:val="31070840"/>
    <w:rsid w:val="311A734D"/>
    <w:rsid w:val="3157644A"/>
    <w:rsid w:val="315B6D60"/>
    <w:rsid w:val="31914894"/>
    <w:rsid w:val="31BC6580"/>
    <w:rsid w:val="31DA45C8"/>
    <w:rsid w:val="31EE4BAA"/>
    <w:rsid w:val="31F5436E"/>
    <w:rsid w:val="320107D3"/>
    <w:rsid w:val="32243194"/>
    <w:rsid w:val="32375040"/>
    <w:rsid w:val="3263631F"/>
    <w:rsid w:val="32A355BC"/>
    <w:rsid w:val="32C00D78"/>
    <w:rsid w:val="32C25066"/>
    <w:rsid w:val="32F653B6"/>
    <w:rsid w:val="330A62C4"/>
    <w:rsid w:val="331825B9"/>
    <w:rsid w:val="33222A9A"/>
    <w:rsid w:val="33273336"/>
    <w:rsid w:val="332D1CBE"/>
    <w:rsid w:val="33480719"/>
    <w:rsid w:val="335F1874"/>
    <w:rsid w:val="336A6CF6"/>
    <w:rsid w:val="336D05B7"/>
    <w:rsid w:val="3370375F"/>
    <w:rsid w:val="338D6656"/>
    <w:rsid w:val="33901EA9"/>
    <w:rsid w:val="339D5261"/>
    <w:rsid w:val="33A50149"/>
    <w:rsid w:val="33CC032C"/>
    <w:rsid w:val="33F80816"/>
    <w:rsid w:val="33FC36DC"/>
    <w:rsid w:val="34421DAE"/>
    <w:rsid w:val="34955EDA"/>
    <w:rsid w:val="349A334C"/>
    <w:rsid w:val="34A960E7"/>
    <w:rsid w:val="34CA78C0"/>
    <w:rsid w:val="34E7352B"/>
    <w:rsid w:val="354D799B"/>
    <w:rsid w:val="35586223"/>
    <w:rsid w:val="355B6364"/>
    <w:rsid w:val="355F4F6C"/>
    <w:rsid w:val="35A418C4"/>
    <w:rsid w:val="35CA3004"/>
    <w:rsid w:val="35D55562"/>
    <w:rsid w:val="35FA68B7"/>
    <w:rsid w:val="360907DC"/>
    <w:rsid w:val="36130454"/>
    <w:rsid w:val="36253B84"/>
    <w:rsid w:val="36401A4A"/>
    <w:rsid w:val="366027B7"/>
    <w:rsid w:val="368920CF"/>
    <w:rsid w:val="36FE5573"/>
    <w:rsid w:val="374005A2"/>
    <w:rsid w:val="376533BD"/>
    <w:rsid w:val="378B2E6F"/>
    <w:rsid w:val="378E38FD"/>
    <w:rsid w:val="37D078F7"/>
    <w:rsid w:val="37F76452"/>
    <w:rsid w:val="380E52E1"/>
    <w:rsid w:val="38635718"/>
    <w:rsid w:val="38735C94"/>
    <w:rsid w:val="38CE707C"/>
    <w:rsid w:val="38DD2EEF"/>
    <w:rsid w:val="38FB1132"/>
    <w:rsid w:val="38FB4AF5"/>
    <w:rsid w:val="39104B12"/>
    <w:rsid w:val="393A06DF"/>
    <w:rsid w:val="39C16CB7"/>
    <w:rsid w:val="39E21623"/>
    <w:rsid w:val="3A1B760C"/>
    <w:rsid w:val="3A7D171B"/>
    <w:rsid w:val="3A890EC3"/>
    <w:rsid w:val="3ACC75AF"/>
    <w:rsid w:val="3ACD10F0"/>
    <w:rsid w:val="3AF0613B"/>
    <w:rsid w:val="3B03762C"/>
    <w:rsid w:val="3B216441"/>
    <w:rsid w:val="3B381527"/>
    <w:rsid w:val="3B866206"/>
    <w:rsid w:val="3B917707"/>
    <w:rsid w:val="3BA15D36"/>
    <w:rsid w:val="3BCC5D0A"/>
    <w:rsid w:val="3BDF17BD"/>
    <w:rsid w:val="3BE060F4"/>
    <w:rsid w:val="3BFB42C7"/>
    <w:rsid w:val="3C2D6E50"/>
    <w:rsid w:val="3C3079FF"/>
    <w:rsid w:val="3C513234"/>
    <w:rsid w:val="3CAA46F7"/>
    <w:rsid w:val="3CCB77E5"/>
    <w:rsid w:val="3CE57D2D"/>
    <w:rsid w:val="3CE77BA9"/>
    <w:rsid w:val="3CEC30A6"/>
    <w:rsid w:val="3D07311F"/>
    <w:rsid w:val="3D1D2CE1"/>
    <w:rsid w:val="3D5170E9"/>
    <w:rsid w:val="3D624AD0"/>
    <w:rsid w:val="3DAB3D40"/>
    <w:rsid w:val="3E1E05A3"/>
    <w:rsid w:val="3E217459"/>
    <w:rsid w:val="3E2805F5"/>
    <w:rsid w:val="3E2A4E15"/>
    <w:rsid w:val="3F055097"/>
    <w:rsid w:val="3F255D56"/>
    <w:rsid w:val="3F416A26"/>
    <w:rsid w:val="3F4A3E88"/>
    <w:rsid w:val="3F761504"/>
    <w:rsid w:val="3FA54CBA"/>
    <w:rsid w:val="4012569B"/>
    <w:rsid w:val="401D6BD0"/>
    <w:rsid w:val="40223FBC"/>
    <w:rsid w:val="4082593F"/>
    <w:rsid w:val="40843549"/>
    <w:rsid w:val="41474308"/>
    <w:rsid w:val="41681941"/>
    <w:rsid w:val="416E4242"/>
    <w:rsid w:val="4192762D"/>
    <w:rsid w:val="41A46743"/>
    <w:rsid w:val="41C96887"/>
    <w:rsid w:val="41DE1FD5"/>
    <w:rsid w:val="41E06904"/>
    <w:rsid w:val="41E47D60"/>
    <w:rsid w:val="41ED37E7"/>
    <w:rsid w:val="421E7906"/>
    <w:rsid w:val="422024E8"/>
    <w:rsid w:val="422E6A18"/>
    <w:rsid w:val="423D6569"/>
    <w:rsid w:val="423F3D1C"/>
    <w:rsid w:val="426B2CB9"/>
    <w:rsid w:val="42796D6D"/>
    <w:rsid w:val="43410AEC"/>
    <w:rsid w:val="437B3C36"/>
    <w:rsid w:val="43A6733A"/>
    <w:rsid w:val="43C33B78"/>
    <w:rsid w:val="43CA5F37"/>
    <w:rsid w:val="43D94D02"/>
    <w:rsid w:val="43DB21A0"/>
    <w:rsid w:val="442973EA"/>
    <w:rsid w:val="44560F40"/>
    <w:rsid w:val="44720E16"/>
    <w:rsid w:val="44B40707"/>
    <w:rsid w:val="44C41913"/>
    <w:rsid w:val="44CB2674"/>
    <w:rsid w:val="44CE1408"/>
    <w:rsid w:val="44D619FA"/>
    <w:rsid w:val="44F4553C"/>
    <w:rsid w:val="450A7A4F"/>
    <w:rsid w:val="45476EA5"/>
    <w:rsid w:val="456C26EB"/>
    <w:rsid w:val="45A51F09"/>
    <w:rsid w:val="45CC2621"/>
    <w:rsid w:val="45E54860"/>
    <w:rsid w:val="461203B6"/>
    <w:rsid w:val="466C6EAA"/>
    <w:rsid w:val="469F108B"/>
    <w:rsid w:val="46B936B6"/>
    <w:rsid w:val="46BC46A1"/>
    <w:rsid w:val="46E85FDE"/>
    <w:rsid w:val="47006D45"/>
    <w:rsid w:val="473D6B0A"/>
    <w:rsid w:val="476E4CA0"/>
    <w:rsid w:val="4784369C"/>
    <w:rsid w:val="47B8471E"/>
    <w:rsid w:val="47F7482B"/>
    <w:rsid w:val="48216BFC"/>
    <w:rsid w:val="482B2304"/>
    <w:rsid w:val="4853715D"/>
    <w:rsid w:val="48857FBF"/>
    <w:rsid w:val="48A5122F"/>
    <w:rsid w:val="48AB513B"/>
    <w:rsid w:val="48B41520"/>
    <w:rsid w:val="48C21E3A"/>
    <w:rsid w:val="48DE11B8"/>
    <w:rsid w:val="491A3B93"/>
    <w:rsid w:val="49205619"/>
    <w:rsid w:val="4922547B"/>
    <w:rsid w:val="4923483E"/>
    <w:rsid w:val="49336412"/>
    <w:rsid w:val="4969756D"/>
    <w:rsid w:val="497A1477"/>
    <w:rsid w:val="49862A25"/>
    <w:rsid w:val="4996256D"/>
    <w:rsid w:val="49AE4A8C"/>
    <w:rsid w:val="49D54F3C"/>
    <w:rsid w:val="4A174236"/>
    <w:rsid w:val="4A1F67CA"/>
    <w:rsid w:val="4A5E0E3F"/>
    <w:rsid w:val="4A7B772D"/>
    <w:rsid w:val="4AB7573A"/>
    <w:rsid w:val="4AC63524"/>
    <w:rsid w:val="4AC97099"/>
    <w:rsid w:val="4B3512FE"/>
    <w:rsid w:val="4B564E78"/>
    <w:rsid w:val="4B6D2420"/>
    <w:rsid w:val="4B7F3A41"/>
    <w:rsid w:val="4B8A72CF"/>
    <w:rsid w:val="4B972445"/>
    <w:rsid w:val="4BCF2F6E"/>
    <w:rsid w:val="4BDE0AF8"/>
    <w:rsid w:val="4C1065B5"/>
    <w:rsid w:val="4C217E66"/>
    <w:rsid w:val="4C6C4B2C"/>
    <w:rsid w:val="4C70027F"/>
    <w:rsid w:val="4C7D222A"/>
    <w:rsid w:val="4C8937D3"/>
    <w:rsid w:val="4C987B90"/>
    <w:rsid w:val="4CDD791C"/>
    <w:rsid w:val="4D943011"/>
    <w:rsid w:val="4DC608DA"/>
    <w:rsid w:val="4DDF3F73"/>
    <w:rsid w:val="4E14421E"/>
    <w:rsid w:val="4E632BB2"/>
    <w:rsid w:val="4EB0535F"/>
    <w:rsid w:val="4EDC13F9"/>
    <w:rsid w:val="4EF6509B"/>
    <w:rsid w:val="4F522D7B"/>
    <w:rsid w:val="4F8046F1"/>
    <w:rsid w:val="4F8119B1"/>
    <w:rsid w:val="4F92238A"/>
    <w:rsid w:val="4FC7629C"/>
    <w:rsid w:val="4FE062A3"/>
    <w:rsid w:val="501D0B2D"/>
    <w:rsid w:val="50223E9C"/>
    <w:rsid w:val="5043798C"/>
    <w:rsid w:val="50731BAF"/>
    <w:rsid w:val="50892AE1"/>
    <w:rsid w:val="50BF2BEC"/>
    <w:rsid w:val="50C4340E"/>
    <w:rsid w:val="50CB5A53"/>
    <w:rsid w:val="51062F9A"/>
    <w:rsid w:val="510E0E2A"/>
    <w:rsid w:val="51570B9A"/>
    <w:rsid w:val="515B5BAE"/>
    <w:rsid w:val="5181226D"/>
    <w:rsid w:val="51B8400A"/>
    <w:rsid w:val="51C25525"/>
    <w:rsid w:val="52107F84"/>
    <w:rsid w:val="522D5337"/>
    <w:rsid w:val="5298489A"/>
    <w:rsid w:val="52BA55EF"/>
    <w:rsid w:val="52E223AA"/>
    <w:rsid w:val="530206E2"/>
    <w:rsid w:val="532E512D"/>
    <w:rsid w:val="53856F36"/>
    <w:rsid w:val="53960DB8"/>
    <w:rsid w:val="53A2481C"/>
    <w:rsid w:val="53C66CAA"/>
    <w:rsid w:val="53E91DA0"/>
    <w:rsid w:val="53FD089E"/>
    <w:rsid w:val="54227763"/>
    <w:rsid w:val="54321EEE"/>
    <w:rsid w:val="543956D9"/>
    <w:rsid w:val="54453B17"/>
    <w:rsid w:val="5454117F"/>
    <w:rsid w:val="54692C53"/>
    <w:rsid w:val="54707003"/>
    <w:rsid w:val="54765614"/>
    <w:rsid w:val="54875982"/>
    <w:rsid w:val="54963849"/>
    <w:rsid w:val="54DF2E0B"/>
    <w:rsid w:val="54E76C3E"/>
    <w:rsid w:val="5518177A"/>
    <w:rsid w:val="552B7818"/>
    <w:rsid w:val="55323649"/>
    <w:rsid w:val="556A2FD5"/>
    <w:rsid w:val="55784745"/>
    <w:rsid w:val="55B115F1"/>
    <w:rsid w:val="55CA3EEC"/>
    <w:rsid w:val="55D634ED"/>
    <w:rsid w:val="55E62651"/>
    <w:rsid w:val="564C06F4"/>
    <w:rsid w:val="567C6F44"/>
    <w:rsid w:val="568434F3"/>
    <w:rsid w:val="56B332E9"/>
    <w:rsid w:val="56C32ED4"/>
    <w:rsid w:val="56F96C3B"/>
    <w:rsid w:val="57146412"/>
    <w:rsid w:val="571826D1"/>
    <w:rsid w:val="572B6330"/>
    <w:rsid w:val="57436AF9"/>
    <w:rsid w:val="578204BE"/>
    <w:rsid w:val="57C62622"/>
    <w:rsid w:val="57CE7657"/>
    <w:rsid w:val="585D5FB5"/>
    <w:rsid w:val="58873B25"/>
    <w:rsid w:val="58AA2980"/>
    <w:rsid w:val="591C0F62"/>
    <w:rsid w:val="593B0594"/>
    <w:rsid w:val="5961766F"/>
    <w:rsid w:val="59950669"/>
    <w:rsid w:val="59BF3C49"/>
    <w:rsid w:val="59F51CED"/>
    <w:rsid w:val="5A311AF1"/>
    <w:rsid w:val="5A437242"/>
    <w:rsid w:val="5A641965"/>
    <w:rsid w:val="5B0C31E8"/>
    <w:rsid w:val="5B192BCD"/>
    <w:rsid w:val="5B252510"/>
    <w:rsid w:val="5BC270D8"/>
    <w:rsid w:val="5BD67A58"/>
    <w:rsid w:val="5BE24E20"/>
    <w:rsid w:val="5BFF7AE6"/>
    <w:rsid w:val="5C0B789C"/>
    <w:rsid w:val="5C372F37"/>
    <w:rsid w:val="5CA95EEB"/>
    <w:rsid w:val="5CAB7727"/>
    <w:rsid w:val="5CC441E1"/>
    <w:rsid w:val="5CD43216"/>
    <w:rsid w:val="5CE760ED"/>
    <w:rsid w:val="5D474E14"/>
    <w:rsid w:val="5D637C1E"/>
    <w:rsid w:val="5D673A5A"/>
    <w:rsid w:val="5D8D5661"/>
    <w:rsid w:val="5DE84907"/>
    <w:rsid w:val="5E2A7441"/>
    <w:rsid w:val="5E5837B4"/>
    <w:rsid w:val="5E851E72"/>
    <w:rsid w:val="5EA26718"/>
    <w:rsid w:val="5EA62EF7"/>
    <w:rsid w:val="5EAC7737"/>
    <w:rsid w:val="5EBA517D"/>
    <w:rsid w:val="5EBD202B"/>
    <w:rsid w:val="5EE43E9B"/>
    <w:rsid w:val="5EE80432"/>
    <w:rsid w:val="5EEC4DA1"/>
    <w:rsid w:val="5F0F22B9"/>
    <w:rsid w:val="5F281498"/>
    <w:rsid w:val="5F5D1986"/>
    <w:rsid w:val="5F5D73D3"/>
    <w:rsid w:val="5F985885"/>
    <w:rsid w:val="5FA81A4B"/>
    <w:rsid w:val="5FDF5910"/>
    <w:rsid w:val="5FFA1888"/>
    <w:rsid w:val="600960AF"/>
    <w:rsid w:val="60BC5D21"/>
    <w:rsid w:val="60E31112"/>
    <w:rsid w:val="611469BA"/>
    <w:rsid w:val="61454633"/>
    <w:rsid w:val="616A39E8"/>
    <w:rsid w:val="617B0BB5"/>
    <w:rsid w:val="61BE7D2A"/>
    <w:rsid w:val="61DC5D35"/>
    <w:rsid w:val="622B2988"/>
    <w:rsid w:val="626A2F2A"/>
    <w:rsid w:val="627511AF"/>
    <w:rsid w:val="62CE0974"/>
    <w:rsid w:val="62E0024A"/>
    <w:rsid w:val="62E02E1C"/>
    <w:rsid w:val="63463232"/>
    <w:rsid w:val="634D48DE"/>
    <w:rsid w:val="636B19CD"/>
    <w:rsid w:val="6384606A"/>
    <w:rsid w:val="63A22ADD"/>
    <w:rsid w:val="63BA5239"/>
    <w:rsid w:val="63BC247E"/>
    <w:rsid w:val="64045B83"/>
    <w:rsid w:val="64087C56"/>
    <w:rsid w:val="641724DD"/>
    <w:rsid w:val="644F09B6"/>
    <w:rsid w:val="64516D3E"/>
    <w:rsid w:val="648D4DC3"/>
    <w:rsid w:val="64937B40"/>
    <w:rsid w:val="64A7189D"/>
    <w:rsid w:val="64A94D11"/>
    <w:rsid w:val="64C10B7B"/>
    <w:rsid w:val="64C72A0B"/>
    <w:rsid w:val="64E414E0"/>
    <w:rsid w:val="64E82C7D"/>
    <w:rsid w:val="652C15E3"/>
    <w:rsid w:val="65447356"/>
    <w:rsid w:val="656B25DE"/>
    <w:rsid w:val="65965311"/>
    <w:rsid w:val="65991807"/>
    <w:rsid w:val="65A0142C"/>
    <w:rsid w:val="65CF0FB8"/>
    <w:rsid w:val="663228BD"/>
    <w:rsid w:val="665F1C74"/>
    <w:rsid w:val="66730C34"/>
    <w:rsid w:val="66A43656"/>
    <w:rsid w:val="66C806BD"/>
    <w:rsid w:val="66D23FC3"/>
    <w:rsid w:val="66D932AA"/>
    <w:rsid w:val="66EF7312"/>
    <w:rsid w:val="66F44D63"/>
    <w:rsid w:val="671204E1"/>
    <w:rsid w:val="67627379"/>
    <w:rsid w:val="67822F4A"/>
    <w:rsid w:val="67A04650"/>
    <w:rsid w:val="67BB06F6"/>
    <w:rsid w:val="67D544FF"/>
    <w:rsid w:val="67F50961"/>
    <w:rsid w:val="68014D26"/>
    <w:rsid w:val="680F0D3C"/>
    <w:rsid w:val="68297331"/>
    <w:rsid w:val="68631F9E"/>
    <w:rsid w:val="6866311A"/>
    <w:rsid w:val="688E73B1"/>
    <w:rsid w:val="68AC0F3B"/>
    <w:rsid w:val="68CC734F"/>
    <w:rsid w:val="68F63773"/>
    <w:rsid w:val="69010518"/>
    <w:rsid w:val="69176E8B"/>
    <w:rsid w:val="69272D88"/>
    <w:rsid w:val="69440073"/>
    <w:rsid w:val="69533CC4"/>
    <w:rsid w:val="699D4263"/>
    <w:rsid w:val="699F4AAF"/>
    <w:rsid w:val="69BA6CE6"/>
    <w:rsid w:val="69C81951"/>
    <w:rsid w:val="69E105C7"/>
    <w:rsid w:val="69EC4309"/>
    <w:rsid w:val="6A042D58"/>
    <w:rsid w:val="6A1A1BF7"/>
    <w:rsid w:val="6A5E7CD3"/>
    <w:rsid w:val="6A8E441C"/>
    <w:rsid w:val="6AA07058"/>
    <w:rsid w:val="6AAC6B9E"/>
    <w:rsid w:val="6B0D754B"/>
    <w:rsid w:val="6B287EA8"/>
    <w:rsid w:val="6B2B5BD2"/>
    <w:rsid w:val="6B342A60"/>
    <w:rsid w:val="6B865118"/>
    <w:rsid w:val="6B871777"/>
    <w:rsid w:val="6B8826E1"/>
    <w:rsid w:val="6BA33D7F"/>
    <w:rsid w:val="6BCB7818"/>
    <w:rsid w:val="6BF32268"/>
    <w:rsid w:val="6BFC2786"/>
    <w:rsid w:val="6C0D5A20"/>
    <w:rsid w:val="6C1E03F6"/>
    <w:rsid w:val="6C2C2459"/>
    <w:rsid w:val="6C354350"/>
    <w:rsid w:val="6C3D3F2D"/>
    <w:rsid w:val="6C4B7810"/>
    <w:rsid w:val="6C7D613B"/>
    <w:rsid w:val="6C87240B"/>
    <w:rsid w:val="6C887360"/>
    <w:rsid w:val="6CD27CEA"/>
    <w:rsid w:val="6D0965B1"/>
    <w:rsid w:val="6D46263C"/>
    <w:rsid w:val="6D476454"/>
    <w:rsid w:val="6D484037"/>
    <w:rsid w:val="6D987395"/>
    <w:rsid w:val="6DB07064"/>
    <w:rsid w:val="6E133661"/>
    <w:rsid w:val="6E39307B"/>
    <w:rsid w:val="6E875598"/>
    <w:rsid w:val="6E947415"/>
    <w:rsid w:val="6ED36561"/>
    <w:rsid w:val="6F0247A4"/>
    <w:rsid w:val="6F0C2BFB"/>
    <w:rsid w:val="6F17672B"/>
    <w:rsid w:val="6F18155A"/>
    <w:rsid w:val="6F1A1308"/>
    <w:rsid w:val="6F1B2BD3"/>
    <w:rsid w:val="6F2C13F5"/>
    <w:rsid w:val="6F2C770E"/>
    <w:rsid w:val="6F613B42"/>
    <w:rsid w:val="6FB91458"/>
    <w:rsid w:val="6FFA1703"/>
    <w:rsid w:val="70151F71"/>
    <w:rsid w:val="70206BB3"/>
    <w:rsid w:val="706135FC"/>
    <w:rsid w:val="70730315"/>
    <w:rsid w:val="7077692E"/>
    <w:rsid w:val="709A551D"/>
    <w:rsid w:val="70B10BBB"/>
    <w:rsid w:val="71000A51"/>
    <w:rsid w:val="71A65FB6"/>
    <w:rsid w:val="71E963C9"/>
    <w:rsid w:val="7242273F"/>
    <w:rsid w:val="725D082B"/>
    <w:rsid w:val="727C1491"/>
    <w:rsid w:val="72B27DED"/>
    <w:rsid w:val="72B566B1"/>
    <w:rsid w:val="72BC0BF9"/>
    <w:rsid w:val="72D14842"/>
    <w:rsid w:val="72D37761"/>
    <w:rsid w:val="730456BB"/>
    <w:rsid w:val="736A47A3"/>
    <w:rsid w:val="73A078A8"/>
    <w:rsid w:val="73CF5E6E"/>
    <w:rsid w:val="74425093"/>
    <w:rsid w:val="746D17A9"/>
    <w:rsid w:val="74B533C2"/>
    <w:rsid w:val="74C55558"/>
    <w:rsid w:val="74F47858"/>
    <w:rsid w:val="75032CBA"/>
    <w:rsid w:val="75101554"/>
    <w:rsid w:val="751D2BEE"/>
    <w:rsid w:val="75726BF2"/>
    <w:rsid w:val="757C7A9C"/>
    <w:rsid w:val="758461E8"/>
    <w:rsid w:val="75A042AA"/>
    <w:rsid w:val="75DC2DB7"/>
    <w:rsid w:val="75E32B1D"/>
    <w:rsid w:val="76031A8A"/>
    <w:rsid w:val="7606767D"/>
    <w:rsid w:val="760D3BF5"/>
    <w:rsid w:val="766E3BB5"/>
    <w:rsid w:val="76724C72"/>
    <w:rsid w:val="76C84CCD"/>
    <w:rsid w:val="76E267FD"/>
    <w:rsid w:val="76E66408"/>
    <w:rsid w:val="76F01E2B"/>
    <w:rsid w:val="76F22868"/>
    <w:rsid w:val="774F0625"/>
    <w:rsid w:val="77672932"/>
    <w:rsid w:val="778F6400"/>
    <w:rsid w:val="77A43B09"/>
    <w:rsid w:val="78087C0A"/>
    <w:rsid w:val="780F5A95"/>
    <w:rsid w:val="78595B08"/>
    <w:rsid w:val="7892463D"/>
    <w:rsid w:val="78B92C62"/>
    <w:rsid w:val="78DA641E"/>
    <w:rsid w:val="78E131DA"/>
    <w:rsid w:val="79026409"/>
    <w:rsid w:val="795F5CCF"/>
    <w:rsid w:val="79825BC7"/>
    <w:rsid w:val="798B17AD"/>
    <w:rsid w:val="79F124F2"/>
    <w:rsid w:val="7A102E3F"/>
    <w:rsid w:val="7A6A62A4"/>
    <w:rsid w:val="7A777A16"/>
    <w:rsid w:val="7A7D43E3"/>
    <w:rsid w:val="7AA01F48"/>
    <w:rsid w:val="7AA37705"/>
    <w:rsid w:val="7ADB1D8A"/>
    <w:rsid w:val="7B0A05EE"/>
    <w:rsid w:val="7B1D7382"/>
    <w:rsid w:val="7C053EEA"/>
    <w:rsid w:val="7C4D5033"/>
    <w:rsid w:val="7C660A57"/>
    <w:rsid w:val="7C6B6D07"/>
    <w:rsid w:val="7C705BAC"/>
    <w:rsid w:val="7C8B5068"/>
    <w:rsid w:val="7CDE1C69"/>
    <w:rsid w:val="7CEC7841"/>
    <w:rsid w:val="7D082E8B"/>
    <w:rsid w:val="7D2F14F1"/>
    <w:rsid w:val="7D3301D8"/>
    <w:rsid w:val="7D6169DB"/>
    <w:rsid w:val="7D745D83"/>
    <w:rsid w:val="7D8442D2"/>
    <w:rsid w:val="7D95465E"/>
    <w:rsid w:val="7D9A6D7A"/>
    <w:rsid w:val="7DA5350B"/>
    <w:rsid w:val="7DD93383"/>
    <w:rsid w:val="7DDD333F"/>
    <w:rsid w:val="7E192C83"/>
    <w:rsid w:val="7E2A13A3"/>
    <w:rsid w:val="7E4C0F0F"/>
    <w:rsid w:val="7E5F5A22"/>
    <w:rsid w:val="7EB4068F"/>
    <w:rsid w:val="7F394244"/>
    <w:rsid w:val="7F3D0996"/>
    <w:rsid w:val="7F5D2459"/>
    <w:rsid w:val="7F6535CA"/>
    <w:rsid w:val="7F6711ED"/>
    <w:rsid w:val="7F753532"/>
    <w:rsid w:val="7FCD59AE"/>
    <w:rsid w:val="7FD562D7"/>
    <w:rsid w:val="7FEC1005"/>
    <w:rsid w:val="7FF31F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kern w:val="2"/>
      <w:sz w:val="24"/>
      <w:szCs w:val="24"/>
      <w:lang w:val="en-US" w:eastAsia="zh-CN" w:bidi="ar-SA"/>
    </w:rPr>
  </w:style>
  <w:style w:type="paragraph" w:styleId="4">
    <w:name w:val="heading 1"/>
    <w:basedOn w:val="1"/>
    <w:next w:val="1"/>
    <w:link w:val="53"/>
    <w:qFormat/>
    <w:uiPriority w:val="0"/>
    <w:pPr>
      <w:keepNext/>
      <w:keepLines/>
      <w:ind w:firstLine="0" w:firstLineChars="0"/>
      <w:jc w:val="center"/>
      <w:outlineLvl w:val="0"/>
    </w:pPr>
    <w:rPr>
      <w:b/>
      <w:bCs/>
      <w:kern w:val="44"/>
      <w:sz w:val="32"/>
      <w:szCs w:val="52"/>
    </w:rPr>
  </w:style>
  <w:style w:type="paragraph" w:styleId="5">
    <w:name w:val="heading 2"/>
    <w:basedOn w:val="1"/>
    <w:next w:val="1"/>
    <w:link w:val="111"/>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63"/>
    <w:qFormat/>
    <w:uiPriority w:val="0"/>
    <w:pPr>
      <w:keepNext/>
      <w:keepLines/>
      <w:ind w:firstLine="0" w:firstLineChars="0"/>
      <w:outlineLvl w:val="2"/>
    </w:pPr>
    <w:rPr>
      <w:rFonts w:ascii="Times New Roman" w:hAnsi="Times New Roman"/>
      <w:b/>
      <w:bCs/>
      <w:szCs w:val="32"/>
    </w:rPr>
  </w:style>
  <w:style w:type="paragraph" w:styleId="7">
    <w:name w:val="heading 4"/>
    <w:basedOn w:val="1"/>
    <w:next w:val="1"/>
    <w:link w:val="58"/>
    <w:qFormat/>
    <w:uiPriority w:val="9"/>
    <w:pPr>
      <w:keepNext/>
      <w:keepLines/>
      <w:outlineLvl w:val="3"/>
    </w:pPr>
    <w:rPr>
      <w:rFonts w:ascii="Cambria" w:hAnsi="Cambria"/>
      <w:b/>
      <w:bCs/>
      <w:sz w:val="21"/>
      <w:szCs w:val="28"/>
    </w:rPr>
  </w:style>
  <w:style w:type="character" w:default="1" w:styleId="41">
    <w:name w:val="Default Paragraph Font"/>
    <w:unhideWhenUsed/>
    <w:qFormat/>
    <w:uiPriority w:val="1"/>
  </w:style>
  <w:style w:type="table" w:default="1" w:styleId="39">
    <w:name w:val="Normal Table"/>
    <w:unhideWhenUsed/>
    <w:qFormat/>
    <w:uiPriority w:val="99"/>
    <w:tblPr>
      <w:tblStyle w:val="39"/>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link w:val="93"/>
    <w:unhideWhenUsed/>
    <w:qFormat/>
    <w:uiPriority w:val="0"/>
    <w:pPr>
      <w:widowControl/>
      <w:autoSpaceDE w:val="0"/>
      <w:autoSpaceDN w:val="0"/>
      <w:snapToGrid w:val="0"/>
      <w:spacing w:before="120" w:line="400" w:lineRule="atLeast"/>
      <w:ind w:firstLine="570" w:firstLineChars="0"/>
    </w:pPr>
    <w:rPr>
      <w:rFonts w:hAnsi="Times New Roman"/>
      <w:kern w:val="0"/>
      <w:szCs w:val="20"/>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98"/>
    <w:unhideWhenUsed/>
    <w:qFormat/>
    <w:uiPriority w:val="0"/>
    <w:pPr>
      <w:spacing w:line="240" w:lineRule="auto"/>
      <w:ind w:firstLine="420" w:firstLineChars="0"/>
    </w:pPr>
    <w:rPr>
      <w:rFonts w:ascii="Times New Roman" w:hAnsi="Times New Roman"/>
      <w:sz w:val="21"/>
    </w:rPr>
  </w:style>
  <w:style w:type="paragraph" w:styleId="10">
    <w:name w:val="Document Map"/>
    <w:basedOn w:val="1"/>
    <w:link w:val="67"/>
    <w:unhideWhenUsed/>
    <w:qFormat/>
    <w:uiPriority w:val="0"/>
    <w:rPr>
      <w:rFonts w:hAnsi="Times New Roman"/>
      <w:kern w:val="0"/>
      <w:sz w:val="18"/>
      <w:szCs w:val="18"/>
    </w:rPr>
  </w:style>
  <w:style w:type="paragraph" w:styleId="11">
    <w:name w:val="annotation text"/>
    <w:basedOn w:val="1"/>
    <w:link w:val="105"/>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87"/>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w:basedOn w:val="1"/>
    <w:next w:val="1"/>
    <w:link w:val="107"/>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7">
    <w:name w:val="toc 5"/>
    <w:basedOn w:val="1"/>
    <w:next w:val="1"/>
    <w:unhideWhenUsed/>
    <w:qFormat/>
    <w:uiPriority w:val="39"/>
    <w:pPr>
      <w:spacing w:line="240" w:lineRule="auto"/>
      <w:ind w:left="840" w:firstLine="0" w:firstLineChars="0"/>
      <w:jc w:val="left"/>
    </w:pPr>
    <w:rPr>
      <w:szCs w:val="21"/>
    </w:rPr>
  </w:style>
  <w:style w:type="paragraph" w:styleId="18">
    <w:name w:val="toc 3"/>
    <w:basedOn w:val="1"/>
    <w:next w:val="1"/>
    <w:unhideWhenUsed/>
    <w:qFormat/>
    <w:uiPriority w:val="39"/>
    <w:pPr>
      <w:spacing w:line="240" w:lineRule="auto"/>
      <w:ind w:left="420" w:firstLine="0" w:firstLineChars="0"/>
      <w:jc w:val="left"/>
    </w:pPr>
    <w:rPr>
      <w:i/>
      <w:iCs/>
    </w:rPr>
  </w:style>
  <w:style w:type="paragraph" w:styleId="19">
    <w:name w:val="Plain Text"/>
    <w:basedOn w:val="1"/>
    <w:link w:val="109"/>
    <w:unhideWhenUsed/>
    <w:qFormat/>
    <w:uiPriority w:val="0"/>
    <w:pPr>
      <w:spacing w:line="240" w:lineRule="auto"/>
      <w:ind w:firstLine="0" w:firstLineChars="0"/>
    </w:pPr>
    <w:rPr>
      <w:rFonts w:hAnsi="Courier New"/>
      <w:sz w:val="21"/>
      <w:szCs w:val="20"/>
    </w:rPr>
  </w:style>
  <w:style w:type="paragraph" w:styleId="20">
    <w:name w:val="toc 8"/>
    <w:basedOn w:val="1"/>
    <w:next w:val="1"/>
    <w:unhideWhenUsed/>
    <w:qFormat/>
    <w:uiPriority w:val="39"/>
    <w:pPr>
      <w:spacing w:line="240" w:lineRule="auto"/>
      <w:ind w:left="1470" w:firstLine="0" w:firstLineChars="0"/>
      <w:jc w:val="left"/>
    </w:pPr>
    <w:rPr>
      <w:szCs w:val="21"/>
    </w:rPr>
  </w:style>
  <w:style w:type="paragraph" w:styleId="21">
    <w:name w:val="Date"/>
    <w:basedOn w:val="1"/>
    <w:next w:val="1"/>
    <w:link w:val="48"/>
    <w:unhideWhenUsed/>
    <w:qFormat/>
    <w:uiPriority w:val="0"/>
    <w:pPr>
      <w:spacing w:line="240" w:lineRule="auto"/>
      <w:ind w:left="100" w:leftChars="2500" w:firstLine="0" w:firstLineChars="0"/>
    </w:pPr>
    <w:rPr>
      <w:rFonts w:ascii="Times New Roman" w:hAnsi="Times New Roman"/>
      <w:color w:val="000000"/>
    </w:rPr>
  </w:style>
  <w:style w:type="paragraph" w:styleId="22">
    <w:name w:val="Body Text Indent 2"/>
    <w:basedOn w:val="1"/>
    <w:link w:val="94"/>
    <w:unhideWhenUsed/>
    <w:qFormat/>
    <w:uiPriority w:val="0"/>
    <w:pPr>
      <w:widowControl/>
      <w:spacing w:line="480" w:lineRule="atLeast"/>
      <w:ind w:firstLine="480" w:firstLineChars="0"/>
    </w:pPr>
    <w:rPr>
      <w:rFonts w:hAnsi="Times New Roman"/>
      <w:kern w:val="0"/>
      <w:szCs w:val="20"/>
    </w:rPr>
  </w:style>
  <w:style w:type="paragraph" w:styleId="23">
    <w:name w:val="Balloon Text"/>
    <w:basedOn w:val="1"/>
    <w:link w:val="86"/>
    <w:unhideWhenUsed/>
    <w:qFormat/>
    <w:uiPriority w:val="0"/>
    <w:rPr>
      <w:rFonts w:ascii="Times New Roman" w:hAnsi="Times New Roman"/>
      <w:kern w:val="0"/>
      <w:sz w:val="18"/>
      <w:szCs w:val="18"/>
    </w:rPr>
  </w:style>
  <w:style w:type="paragraph" w:styleId="24">
    <w:name w:val="footer"/>
    <w:basedOn w:val="1"/>
    <w:link w:val="66"/>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25">
    <w:name w:val="header"/>
    <w:basedOn w:val="1"/>
    <w:link w:val="6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6">
    <w:name w:val="toc 1"/>
    <w:basedOn w:val="1"/>
    <w:next w:val="1"/>
    <w:unhideWhenUsed/>
    <w:qFormat/>
    <w:uiPriority w:val="39"/>
    <w:pPr>
      <w:tabs>
        <w:tab w:val="right" w:leader="dot" w:pos="8296"/>
      </w:tabs>
      <w:ind w:firstLine="0" w:firstLineChars="0"/>
    </w:pPr>
  </w:style>
  <w:style w:type="paragraph" w:styleId="27">
    <w:name w:val="toc 4"/>
    <w:basedOn w:val="1"/>
    <w:next w:val="1"/>
    <w:unhideWhenUsed/>
    <w:qFormat/>
    <w:uiPriority w:val="39"/>
    <w:pPr>
      <w:spacing w:line="240" w:lineRule="auto"/>
      <w:ind w:left="630" w:firstLine="0" w:firstLineChars="0"/>
      <w:jc w:val="left"/>
    </w:pPr>
    <w:rPr>
      <w:szCs w:val="21"/>
    </w:rPr>
  </w:style>
  <w:style w:type="paragraph" w:styleId="28">
    <w:name w:val="List"/>
    <w:basedOn w:val="1"/>
    <w:unhideWhenUsed/>
    <w:qFormat/>
    <w:uiPriority w:val="0"/>
    <w:pPr>
      <w:spacing w:line="240" w:lineRule="auto"/>
      <w:ind w:left="420" w:hanging="420" w:firstLineChars="0"/>
    </w:pPr>
    <w:rPr>
      <w:szCs w:val="20"/>
    </w:rPr>
  </w:style>
  <w:style w:type="paragraph" w:styleId="29">
    <w:name w:val="toc 6"/>
    <w:basedOn w:val="1"/>
    <w:next w:val="1"/>
    <w:unhideWhenUsed/>
    <w:qFormat/>
    <w:uiPriority w:val="39"/>
    <w:pPr>
      <w:spacing w:line="240" w:lineRule="auto"/>
      <w:ind w:left="1050" w:firstLine="0" w:firstLineChars="0"/>
      <w:jc w:val="left"/>
    </w:pPr>
    <w:rPr>
      <w:szCs w:val="21"/>
    </w:rPr>
  </w:style>
  <w:style w:type="paragraph" w:styleId="30">
    <w:name w:val="Body Text Indent 3"/>
    <w:basedOn w:val="1"/>
    <w:link w:val="47"/>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1">
    <w:name w:val="toc 2"/>
    <w:basedOn w:val="1"/>
    <w:next w:val="1"/>
    <w:unhideWhenUsed/>
    <w:qFormat/>
    <w:uiPriority w:val="39"/>
    <w:pPr>
      <w:tabs>
        <w:tab w:val="right" w:leader="dot" w:pos="8296"/>
      </w:tabs>
      <w:ind w:left="420" w:leftChars="200" w:firstLine="0" w:firstLineChars="0"/>
    </w:pPr>
  </w:style>
  <w:style w:type="paragraph" w:styleId="32">
    <w:name w:val="toc 9"/>
    <w:basedOn w:val="1"/>
    <w:next w:val="1"/>
    <w:unhideWhenUsed/>
    <w:qFormat/>
    <w:uiPriority w:val="39"/>
    <w:pPr>
      <w:spacing w:line="240" w:lineRule="auto"/>
      <w:ind w:left="1680" w:firstLine="0" w:firstLineChars="0"/>
      <w:jc w:val="left"/>
    </w:pPr>
    <w:rPr>
      <w:szCs w:val="21"/>
    </w:rPr>
  </w:style>
  <w:style w:type="paragraph" w:styleId="33">
    <w:name w:val="Body Text 2"/>
    <w:basedOn w:val="1"/>
    <w:link w:val="95"/>
    <w:unhideWhenUsed/>
    <w:qFormat/>
    <w:uiPriority w:val="0"/>
    <w:pPr>
      <w:spacing w:line="240" w:lineRule="auto"/>
      <w:ind w:firstLine="0" w:firstLineChars="0"/>
    </w:pPr>
    <w:rPr>
      <w:rFonts w:ascii="Times New Roman" w:hAnsi="Times New Roman"/>
      <w:b/>
      <w:bCs/>
      <w:color w:val="000000"/>
      <w:sz w:val="28"/>
    </w:rPr>
  </w:style>
  <w:style w:type="paragraph" w:styleId="34">
    <w:name w:val="HTML Preformatted"/>
    <w:basedOn w:val="1"/>
    <w:link w:val="10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6">
    <w:name w:val="Title"/>
    <w:basedOn w:val="1"/>
    <w:next w:val="1"/>
    <w:link w:val="50"/>
    <w:qFormat/>
    <w:uiPriority w:val="0"/>
    <w:pPr>
      <w:spacing w:line="240" w:lineRule="auto"/>
      <w:ind w:firstLine="0" w:firstLineChars="0"/>
      <w:jc w:val="center"/>
    </w:pPr>
    <w:rPr>
      <w:rFonts w:ascii="Times New Roman" w:hAnsi="Times New Roman"/>
      <w:sz w:val="30"/>
    </w:rPr>
  </w:style>
  <w:style w:type="paragraph" w:styleId="37">
    <w:name w:val="annotation subject"/>
    <w:basedOn w:val="11"/>
    <w:next w:val="11"/>
    <w:link w:val="88"/>
    <w:unhideWhenUsed/>
    <w:qFormat/>
    <w:uiPriority w:val="0"/>
    <w:rPr>
      <w:b/>
      <w:bCs/>
    </w:rPr>
  </w:style>
  <w:style w:type="paragraph" w:styleId="38">
    <w:name w:val="Body Text First Indent"/>
    <w:basedOn w:val="14"/>
    <w:unhideWhenUsed/>
    <w:uiPriority w:val="0"/>
    <w:pPr>
      <w:spacing w:line="400" w:lineRule="atLeast"/>
      <w:ind w:firstLine="426"/>
    </w:pPr>
    <w:rPr>
      <w:szCs w:val="20"/>
    </w:rPr>
  </w:style>
  <w:style w:type="table" w:styleId="40">
    <w:name w:val="Table Grid"/>
    <w:basedOn w:val="39"/>
    <w:qFormat/>
    <w:uiPriority w:val="59"/>
    <w:tblPr>
      <w:tblStyle w:val="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22"/>
    <w:rPr>
      <w:b/>
    </w:rPr>
  </w:style>
  <w:style w:type="character" w:styleId="43">
    <w:name w:val="page number"/>
    <w:qFormat/>
    <w:uiPriority w:val="0"/>
  </w:style>
  <w:style w:type="character" w:styleId="44">
    <w:name w:val="FollowedHyperlink"/>
    <w:unhideWhenUsed/>
    <w:qFormat/>
    <w:uiPriority w:val="0"/>
    <w:rPr>
      <w:color w:val="800080"/>
      <w:u w:val="single"/>
    </w:rPr>
  </w:style>
  <w:style w:type="character" w:styleId="45">
    <w:name w:val="Hyperlink"/>
    <w:unhideWhenUsed/>
    <w:qFormat/>
    <w:uiPriority w:val="99"/>
    <w:rPr>
      <w:color w:val="0000FF"/>
      <w:u w:val="single"/>
    </w:rPr>
  </w:style>
  <w:style w:type="character" w:styleId="46">
    <w:name w:val="annotation reference"/>
    <w:unhideWhenUsed/>
    <w:qFormat/>
    <w:uiPriority w:val="0"/>
    <w:rPr>
      <w:sz w:val="21"/>
      <w:szCs w:val="21"/>
    </w:rPr>
  </w:style>
  <w:style w:type="character" w:customStyle="1" w:styleId="47">
    <w:name w:val="正文文本缩进 3 Char"/>
    <w:link w:val="30"/>
    <w:semiHidden/>
    <w:qFormat/>
    <w:uiPriority w:val="0"/>
    <w:rPr>
      <w:rFonts w:ascii="Times New Roman" w:hAnsi="Times New Roman" w:eastAsia="黑体"/>
      <w:color w:val="000000"/>
      <w:kern w:val="2"/>
      <w:sz w:val="24"/>
      <w:szCs w:val="24"/>
    </w:rPr>
  </w:style>
  <w:style w:type="character" w:customStyle="1" w:styleId="48">
    <w:name w:val="日期 Char"/>
    <w:link w:val="21"/>
    <w:semiHidden/>
    <w:qFormat/>
    <w:uiPriority w:val="0"/>
    <w:rPr>
      <w:rFonts w:ascii="Times New Roman" w:hAnsi="Times New Roman"/>
      <w:color w:val="000000"/>
      <w:kern w:val="2"/>
      <w:sz w:val="24"/>
      <w:szCs w:val="24"/>
    </w:rPr>
  </w:style>
  <w:style w:type="character" w:customStyle="1" w:styleId="49">
    <w:name w:val="页眉 字符"/>
    <w:qFormat/>
    <w:locked/>
    <w:uiPriority w:val="0"/>
    <w:rPr>
      <w:rFonts w:eastAsia="宋体"/>
      <w:kern w:val="2"/>
      <w:sz w:val="18"/>
      <w:lang w:val="en-US" w:eastAsia="zh-CN" w:bidi="ar-SA"/>
    </w:rPr>
  </w:style>
  <w:style w:type="character" w:customStyle="1" w:styleId="50">
    <w:name w:val="标题 Char1"/>
    <w:link w:val="36"/>
    <w:qFormat/>
    <w:locked/>
    <w:uiPriority w:val="0"/>
    <w:rPr>
      <w:rFonts w:ascii="Times New Roman" w:hAnsi="Times New Roman"/>
      <w:kern w:val="2"/>
      <w:sz w:val="30"/>
      <w:szCs w:val="24"/>
    </w:rPr>
  </w:style>
  <w:style w:type="character" w:customStyle="1" w:styleId="51">
    <w:name w:val="font11"/>
    <w:qFormat/>
    <w:uiPriority w:val="0"/>
    <w:rPr>
      <w:rFonts w:hint="eastAsia" w:ascii="宋体" w:hAnsi="宋体" w:eastAsia="宋体" w:cs="宋体"/>
      <w:color w:val="000000"/>
      <w:sz w:val="40"/>
      <w:szCs w:val="40"/>
      <w:u w:val="none"/>
    </w:rPr>
  </w:style>
  <w:style w:type="character" w:customStyle="1" w:styleId="52">
    <w:name w:val="font71"/>
    <w:qFormat/>
    <w:uiPriority w:val="0"/>
    <w:rPr>
      <w:rFonts w:ascii="Arial" w:hAnsi="Arial" w:cs="Arial"/>
      <w:b/>
      <w:color w:val="333333"/>
      <w:sz w:val="20"/>
      <w:szCs w:val="20"/>
      <w:u w:val="none"/>
    </w:rPr>
  </w:style>
  <w:style w:type="character" w:customStyle="1" w:styleId="53">
    <w:name w:val="标题 1 Char"/>
    <w:link w:val="4"/>
    <w:qFormat/>
    <w:uiPriority w:val="0"/>
    <w:rPr>
      <w:rFonts w:ascii="宋体" w:hAnsi="宋体" w:cs="宋体"/>
      <w:b/>
      <w:bCs/>
      <w:kern w:val="44"/>
      <w:sz w:val="32"/>
      <w:szCs w:val="52"/>
    </w:rPr>
  </w:style>
  <w:style w:type="character" w:customStyle="1" w:styleId="54">
    <w:name w:val="search_content1"/>
    <w:qFormat/>
    <w:uiPriority w:val="0"/>
    <w:rPr>
      <w:sz w:val="20"/>
      <w:szCs w:val="20"/>
    </w:rPr>
  </w:style>
  <w:style w:type="character" w:customStyle="1" w:styleId="55">
    <w:name w:val="s"/>
    <w:qFormat/>
    <w:uiPriority w:val="0"/>
  </w:style>
  <w:style w:type="character" w:customStyle="1" w:styleId="56">
    <w:name w:val="不明显强调1"/>
    <w:qFormat/>
    <w:uiPriority w:val="0"/>
    <w:rPr>
      <w:i/>
      <w:iCs/>
      <w:color w:val="808080"/>
    </w:rPr>
  </w:style>
  <w:style w:type="character" w:customStyle="1" w:styleId="57">
    <w:name w:val="button1"/>
    <w:qFormat/>
    <w:uiPriority w:val="0"/>
    <w:rPr>
      <w:rFonts w:hint="default" w:ascii="Verdana" w:hAnsi="Verdana"/>
      <w:b/>
      <w:bCs/>
      <w:sz w:val="20"/>
      <w:szCs w:val="20"/>
    </w:rPr>
  </w:style>
  <w:style w:type="character" w:customStyle="1" w:styleId="58">
    <w:name w:val="标题 4 Char1"/>
    <w:link w:val="7"/>
    <w:qFormat/>
    <w:uiPriority w:val="9"/>
    <w:rPr>
      <w:rFonts w:ascii="Cambria" w:hAnsi="Cambria" w:eastAsia="宋体" w:cs="Times New Roman"/>
      <w:b/>
      <w:bCs/>
      <w:kern w:val="2"/>
      <w:sz w:val="21"/>
      <w:szCs w:val="28"/>
    </w:rPr>
  </w:style>
  <w:style w:type="character" w:customStyle="1" w:styleId="59">
    <w:name w:val="unnamed1"/>
    <w:qFormat/>
    <w:uiPriority w:val="0"/>
  </w:style>
  <w:style w:type="character" w:customStyle="1" w:styleId="60">
    <w:name w:val="hei16b1"/>
    <w:qFormat/>
    <w:uiPriority w:val="0"/>
    <w:rPr>
      <w:rFonts w:hint="default" w:ascii="Arial" w:hAnsi="Arial" w:cs="Arial"/>
      <w:b/>
      <w:bCs/>
      <w:color w:val="000000"/>
      <w:sz w:val="24"/>
      <w:szCs w:val="24"/>
    </w:rPr>
  </w:style>
  <w:style w:type="character" w:customStyle="1" w:styleId="61">
    <w:name w:val="无间隔 Char"/>
    <w:link w:val="62"/>
    <w:qFormat/>
    <w:locked/>
    <w:uiPriority w:val="0"/>
    <w:rPr>
      <w:rFonts w:cs="Calibri"/>
      <w:kern w:val="2"/>
      <w:sz w:val="21"/>
      <w:szCs w:val="22"/>
      <w:lang w:val="en-US" w:eastAsia="zh-CN" w:bidi="ar-SA"/>
    </w:rPr>
  </w:style>
  <w:style w:type="paragraph" w:styleId="62">
    <w:name w:val="No Spacing"/>
    <w:link w:val="61"/>
    <w:qFormat/>
    <w:uiPriority w:val="0"/>
    <w:pPr>
      <w:widowControl w:val="0"/>
      <w:jc w:val="both"/>
    </w:pPr>
    <w:rPr>
      <w:rFonts w:cs="Calibri"/>
      <w:kern w:val="2"/>
      <w:sz w:val="21"/>
      <w:szCs w:val="22"/>
      <w:lang w:val="en-US" w:eastAsia="zh-CN" w:bidi="ar-SA"/>
    </w:rPr>
  </w:style>
  <w:style w:type="character" w:customStyle="1" w:styleId="63">
    <w:name w:val="标题 3 Char1"/>
    <w:link w:val="6"/>
    <w:qFormat/>
    <w:uiPriority w:val="0"/>
    <w:rPr>
      <w:rFonts w:ascii="Times New Roman" w:hAnsi="Times New Roman" w:eastAsia="宋体"/>
      <w:b/>
      <w:bCs/>
      <w:kern w:val="2"/>
      <w:sz w:val="24"/>
      <w:szCs w:val="32"/>
    </w:rPr>
  </w:style>
  <w:style w:type="character" w:customStyle="1" w:styleId="64">
    <w:name w:val="批注文字 Char"/>
    <w:semiHidden/>
    <w:qFormat/>
    <w:uiPriority w:val="0"/>
    <w:rPr>
      <w:rFonts w:ascii="Times New Roman" w:hAnsi="Times New Roman"/>
      <w:kern w:val="2"/>
      <w:sz w:val="21"/>
      <w:szCs w:val="24"/>
    </w:rPr>
  </w:style>
  <w:style w:type="character" w:customStyle="1" w:styleId="65">
    <w:name w:val="纯文本 字符"/>
    <w:qFormat/>
    <w:uiPriority w:val="0"/>
    <w:rPr>
      <w:rFonts w:ascii="宋体" w:hAnsi="Courier New" w:eastAsia="宋体" w:cs="Courier New"/>
      <w:kern w:val="2"/>
      <w:sz w:val="21"/>
      <w:szCs w:val="21"/>
      <w:lang w:val="en-US" w:eastAsia="zh-CN" w:bidi="ar-SA"/>
    </w:rPr>
  </w:style>
  <w:style w:type="character" w:customStyle="1" w:styleId="66">
    <w:name w:val="页脚 Char"/>
    <w:link w:val="24"/>
    <w:qFormat/>
    <w:uiPriority w:val="99"/>
    <w:rPr>
      <w:sz w:val="18"/>
      <w:szCs w:val="18"/>
    </w:rPr>
  </w:style>
  <w:style w:type="character" w:customStyle="1" w:styleId="67">
    <w:name w:val="文档结构图 Char"/>
    <w:link w:val="10"/>
    <w:semiHidden/>
    <w:qFormat/>
    <w:uiPriority w:val="0"/>
    <w:rPr>
      <w:rFonts w:ascii="宋体" w:hAnsi="Times New Roman" w:eastAsia="宋体" w:cs="Times New Roman"/>
      <w:sz w:val="18"/>
      <w:szCs w:val="18"/>
    </w:rPr>
  </w:style>
  <w:style w:type="character" w:customStyle="1" w:styleId="68">
    <w:name w:val="style1"/>
    <w:qFormat/>
    <w:uiPriority w:val="0"/>
  </w:style>
  <w:style w:type="character" w:customStyle="1" w:styleId="69">
    <w:name w:val="页眉 Char"/>
    <w:link w:val="25"/>
    <w:qFormat/>
    <w:uiPriority w:val="99"/>
    <w:rPr>
      <w:sz w:val="18"/>
      <w:szCs w:val="18"/>
    </w:rPr>
  </w:style>
  <w:style w:type="character" w:customStyle="1" w:styleId="70">
    <w:name w:val="content"/>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Char Char3"/>
    <w:qFormat/>
    <w:uiPriority w:val="0"/>
    <w:rPr>
      <w:rFonts w:hint="eastAsia" w:ascii="宋体" w:hAnsi="Courier New" w:eastAsia="宋体"/>
      <w:kern w:val="2"/>
      <w:sz w:val="21"/>
      <w:lang w:val="en-US" w:eastAsia="zh-CN" w:bidi="ar-SA"/>
    </w:rPr>
  </w:style>
  <w:style w:type="character" w:customStyle="1" w:styleId="73">
    <w:name w:val="标题 3 Char"/>
    <w:qFormat/>
    <w:uiPriority w:val="0"/>
    <w:rPr>
      <w:rFonts w:ascii="Times New Roman" w:hAnsi="Times New Roman"/>
      <w:b/>
      <w:bCs/>
      <w:kern w:val="2"/>
      <w:sz w:val="21"/>
      <w:szCs w:val="32"/>
    </w:rPr>
  </w:style>
  <w:style w:type="character" w:customStyle="1" w:styleId="74">
    <w:name w:val="unnamed51"/>
    <w:qFormat/>
    <w:uiPriority w:val="0"/>
    <w:rPr>
      <w:sz w:val="22"/>
      <w:szCs w:val="22"/>
    </w:rPr>
  </w:style>
  <w:style w:type="character" w:customStyle="1" w:styleId="75">
    <w:name w:val="标题 3 字符"/>
    <w:qFormat/>
    <w:uiPriority w:val="0"/>
    <w:rPr>
      <w:b/>
      <w:bCs/>
      <w:kern w:val="2"/>
      <w:sz w:val="24"/>
      <w:szCs w:val="32"/>
    </w:rPr>
  </w:style>
  <w:style w:type="character" w:customStyle="1" w:styleId="76">
    <w:name w:val="font101"/>
    <w:qFormat/>
    <w:uiPriority w:val="0"/>
    <w:rPr>
      <w:rFonts w:hint="eastAsia" w:ascii="宋体" w:hAnsi="宋体" w:eastAsia="宋体" w:cs="宋体"/>
      <w:color w:val="000000"/>
      <w:sz w:val="18"/>
      <w:szCs w:val="18"/>
      <w:u w:val="none"/>
    </w:rPr>
  </w:style>
  <w:style w:type="character" w:customStyle="1" w:styleId="77">
    <w:name w:val="正文文本首行缩进 字符"/>
    <w:link w:val="78"/>
    <w:semiHidden/>
    <w:qFormat/>
    <w:uiPriority w:val="0"/>
    <w:rPr>
      <w:rFonts w:ascii="Times New Roman" w:hAnsi="Times New Roman" w:eastAsia="仿宋_GB2312"/>
      <w:kern w:val="2"/>
      <w:sz w:val="21"/>
      <w:szCs w:val="24"/>
    </w:rPr>
  </w:style>
  <w:style w:type="paragraph" w:customStyle="1" w:styleId="78">
    <w:name w:val="正文文本首行缩进1"/>
    <w:basedOn w:val="14"/>
    <w:link w:val="77"/>
    <w:unhideWhenUsed/>
    <w:qFormat/>
    <w:uiPriority w:val="0"/>
    <w:pPr>
      <w:adjustRightInd/>
      <w:spacing w:after="120" w:line="240" w:lineRule="auto"/>
      <w:ind w:firstLine="420" w:firstLineChars="100"/>
      <w:jc w:val="both"/>
    </w:pPr>
    <w:rPr>
      <w:rFonts w:ascii="Times New Roman" w:hAnsi="Times New Roman"/>
      <w:kern w:val="2"/>
      <w:sz w:val="21"/>
      <w:szCs w:val="24"/>
    </w:rPr>
  </w:style>
  <w:style w:type="character" w:customStyle="1" w:styleId="79">
    <w:name w:val="l17"/>
    <w:qFormat/>
    <w:uiPriority w:val="0"/>
  </w:style>
  <w:style w:type="character" w:customStyle="1" w:styleId="80">
    <w:name w:val="body001"/>
    <w:qFormat/>
    <w:uiPriority w:val="0"/>
    <w:rPr>
      <w:rFonts w:hint="default" w:ascii="ˎ̥" w:hAnsi="ˎ̥"/>
      <w:color w:val="333333"/>
      <w:sz w:val="18"/>
      <w:szCs w:val="18"/>
    </w:rPr>
  </w:style>
  <w:style w:type="character" w:customStyle="1" w:styleId="81">
    <w:name w:val="纯文本 Char"/>
    <w:qFormat/>
    <w:uiPriority w:val="0"/>
    <w:rPr>
      <w:rFonts w:ascii="宋体" w:hAnsi="Courier New" w:cs="Courier New"/>
      <w:kern w:val="2"/>
      <w:sz w:val="21"/>
      <w:szCs w:val="21"/>
    </w:rPr>
  </w:style>
  <w:style w:type="character" w:customStyle="1" w:styleId="82">
    <w:name w:val="wz1"/>
    <w:qFormat/>
    <w:uiPriority w:val="0"/>
  </w:style>
  <w:style w:type="character" w:customStyle="1" w:styleId="83">
    <w:name w:val="标题 Char"/>
    <w:qFormat/>
    <w:uiPriority w:val="0"/>
    <w:rPr>
      <w:rFonts w:ascii="Cambria" w:hAnsi="Cambria" w:cs="Times New Roman"/>
      <w:b/>
      <w:bCs/>
      <w:kern w:val="2"/>
      <w:sz w:val="32"/>
      <w:szCs w:val="32"/>
    </w:rPr>
  </w:style>
  <w:style w:type="character" w:customStyle="1" w:styleId="84">
    <w:name w:val="段落文字 Char1"/>
    <w:link w:val="85"/>
    <w:qFormat/>
    <w:uiPriority w:val="0"/>
    <w:rPr>
      <w:szCs w:val="20"/>
    </w:rPr>
  </w:style>
  <w:style w:type="paragraph" w:customStyle="1" w:styleId="85">
    <w:name w:val="段落文字"/>
    <w:basedOn w:val="1"/>
    <w:link w:val="84"/>
    <w:qFormat/>
    <w:uiPriority w:val="0"/>
    <w:pPr>
      <w:adjustRightInd/>
      <w:snapToGrid/>
      <w:ind w:firstLine="420" w:firstLineChars="200"/>
    </w:pPr>
    <w:rPr>
      <w:rFonts w:ascii="Times New Roman" w:hAnsi="Times New Roman"/>
      <w:kern w:val="0"/>
      <w:sz w:val="20"/>
      <w:szCs w:val="20"/>
    </w:rPr>
  </w:style>
  <w:style w:type="character" w:customStyle="1" w:styleId="86">
    <w:name w:val="批注框文本 Char"/>
    <w:link w:val="23"/>
    <w:semiHidden/>
    <w:qFormat/>
    <w:uiPriority w:val="0"/>
    <w:rPr>
      <w:rFonts w:ascii="Times New Roman" w:hAnsi="Times New Roman" w:eastAsia="宋体" w:cs="Times New Roman"/>
      <w:sz w:val="18"/>
      <w:szCs w:val="18"/>
    </w:rPr>
  </w:style>
  <w:style w:type="character" w:customStyle="1" w:styleId="87">
    <w:name w:val="正文文本 3 Char"/>
    <w:link w:val="12"/>
    <w:semiHidden/>
    <w:qFormat/>
    <w:uiPriority w:val="0"/>
    <w:rPr>
      <w:rFonts w:ascii="楷体_GB2312" w:hAnsi="Times New Roman" w:eastAsia="楷体_GB2312"/>
      <w:b/>
      <w:color w:val="000000"/>
      <w:kern w:val="2"/>
      <w:sz w:val="30"/>
      <w:szCs w:val="24"/>
    </w:rPr>
  </w:style>
  <w:style w:type="character" w:customStyle="1" w:styleId="88">
    <w:name w:val="批注主题 Char"/>
    <w:link w:val="37"/>
    <w:semiHidden/>
    <w:qFormat/>
    <w:uiPriority w:val="0"/>
    <w:rPr>
      <w:rFonts w:ascii="Times New Roman" w:hAnsi="Times New Roman"/>
      <w:b/>
      <w:bCs/>
      <w:kern w:val="2"/>
      <w:sz w:val="21"/>
      <w:szCs w:val="24"/>
    </w:rPr>
  </w:style>
  <w:style w:type="character" w:customStyle="1" w:styleId="89">
    <w:name w:val="huei12b1"/>
    <w:qFormat/>
    <w:uiPriority w:val="0"/>
    <w:rPr>
      <w:b/>
      <w:bCs/>
      <w:color w:val="333333"/>
      <w:sz w:val="20"/>
      <w:szCs w:val="20"/>
    </w:rPr>
  </w:style>
  <w:style w:type="character" w:customStyle="1" w:styleId="90">
    <w:name w:val="font41"/>
    <w:qFormat/>
    <w:uiPriority w:val="0"/>
    <w:rPr>
      <w:rFonts w:hint="eastAsia" w:ascii="仿宋" w:hAnsi="仿宋" w:eastAsia="仿宋" w:cs="仿宋"/>
      <w:color w:val="000000"/>
      <w:sz w:val="20"/>
      <w:szCs w:val="20"/>
      <w:u w:val="none"/>
    </w:rPr>
  </w:style>
  <w:style w:type="character" w:customStyle="1" w:styleId="91">
    <w:name w:val="font01"/>
    <w:qFormat/>
    <w:uiPriority w:val="0"/>
    <w:rPr>
      <w:rFonts w:hint="eastAsia" w:ascii="宋体" w:hAnsi="宋体" w:eastAsia="宋体" w:cs="宋体"/>
      <w:b/>
      <w:color w:val="333333"/>
      <w:sz w:val="20"/>
      <w:szCs w:val="20"/>
      <w:u w:val="none"/>
    </w:rPr>
  </w:style>
  <w:style w:type="character" w:customStyle="1" w:styleId="92">
    <w:name w:val="标题 4 Char"/>
    <w:qFormat/>
    <w:uiPriority w:val="9"/>
    <w:rPr>
      <w:rFonts w:ascii="Cambria" w:hAnsi="Cambria" w:eastAsia="宋体" w:cs="Times New Roman"/>
      <w:b/>
      <w:bCs/>
      <w:kern w:val="2"/>
      <w:sz w:val="21"/>
      <w:szCs w:val="28"/>
    </w:rPr>
  </w:style>
  <w:style w:type="character" w:customStyle="1" w:styleId="93">
    <w:name w:val="正文文本缩进 Char"/>
    <w:link w:val="3"/>
    <w:semiHidden/>
    <w:qFormat/>
    <w:uiPriority w:val="0"/>
    <w:rPr>
      <w:rFonts w:ascii="宋体" w:hAnsi="Times New Roman"/>
      <w:sz w:val="24"/>
    </w:rPr>
  </w:style>
  <w:style w:type="character" w:customStyle="1" w:styleId="94">
    <w:name w:val="正文文本缩进 2 Char"/>
    <w:link w:val="22"/>
    <w:semiHidden/>
    <w:qFormat/>
    <w:uiPriority w:val="0"/>
    <w:rPr>
      <w:rFonts w:ascii="宋体" w:hAnsi="Times New Roman"/>
      <w:sz w:val="24"/>
    </w:rPr>
  </w:style>
  <w:style w:type="character" w:customStyle="1" w:styleId="95">
    <w:name w:val="正文文本 2 Char"/>
    <w:link w:val="33"/>
    <w:semiHidden/>
    <w:qFormat/>
    <w:uiPriority w:val="0"/>
    <w:rPr>
      <w:rFonts w:ascii="Times New Roman" w:hAnsi="Times New Roman"/>
      <w:b/>
      <w:bCs/>
      <w:color w:val="000000"/>
      <w:kern w:val="2"/>
      <w:sz w:val="28"/>
      <w:szCs w:val="24"/>
    </w:rPr>
  </w:style>
  <w:style w:type="character" w:customStyle="1" w:styleId="96">
    <w:name w:val="tcnt3"/>
    <w:basedOn w:val="41"/>
    <w:uiPriority w:val="0"/>
  </w:style>
  <w:style w:type="character" w:customStyle="1" w:styleId="97">
    <w:name w:val="Char Char"/>
    <w:qFormat/>
    <w:uiPriority w:val="0"/>
    <w:rPr>
      <w:rFonts w:hint="eastAsia" w:ascii="宋体" w:hAnsi="Courier New" w:eastAsia="宋体"/>
      <w:kern w:val="2"/>
      <w:sz w:val="21"/>
      <w:lang w:val="en-US" w:eastAsia="zh-CN" w:bidi="ar-SA"/>
    </w:rPr>
  </w:style>
  <w:style w:type="character" w:customStyle="1" w:styleId="98">
    <w:name w:val="正文缩进 Char"/>
    <w:link w:val="9"/>
    <w:semiHidden/>
    <w:qFormat/>
    <w:locked/>
    <w:uiPriority w:val="0"/>
    <w:rPr>
      <w:kern w:val="2"/>
      <w:sz w:val="21"/>
      <w:szCs w:val="24"/>
    </w:rPr>
  </w:style>
  <w:style w:type="character" w:customStyle="1" w:styleId="99">
    <w:name w:val="apple-converted-space"/>
    <w:qFormat/>
    <w:uiPriority w:val="0"/>
  </w:style>
  <w:style w:type="character" w:customStyle="1" w:styleId="100">
    <w:name w:val="(aNormal) + 宋体 Char"/>
    <w:link w:val="101"/>
    <w:qFormat/>
    <w:locked/>
    <w:uiPriority w:val="0"/>
    <w:rPr>
      <w:rFonts w:ascii="宋体" w:hAnsi="宋体"/>
      <w:lang w:val="en-GB"/>
    </w:rPr>
  </w:style>
  <w:style w:type="paragraph" w:customStyle="1" w:styleId="101">
    <w:name w:val="(aNormal) + 宋体"/>
    <w:basedOn w:val="1"/>
    <w:link w:val="100"/>
    <w:qFormat/>
    <w:uiPriority w:val="0"/>
    <w:pPr>
      <w:widowControl/>
      <w:spacing w:before="240" w:after="120" w:line="240" w:lineRule="auto"/>
      <w:ind w:firstLine="0" w:firstLineChars="0"/>
    </w:pPr>
    <w:rPr>
      <w:kern w:val="0"/>
      <w:sz w:val="20"/>
      <w:szCs w:val="20"/>
      <w:lang w:val="en-GB"/>
    </w:rPr>
  </w:style>
  <w:style w:type="character" w:customStyle="1" w:styleId="102">
    <w:name w:val="Char Char2"/>
    <w:qFormat/>
    <w:uiPriority w:val="0"/>
    <w:rPr>
      <w:rFonts w:hint="eastAsia" w:ascii="宋体" w:hAnsi="Courier New" w:eastAsia="宋体"/>
      <w:kern w:val="2"/>
      <w:sz w:val="21"/>
    </w:rPr>
  </w:style>
  <w:style w:type="character" w:customStyle="1" w:styleId="103">
    <w:name w:val="search_result_snap1"/>
    <w:qFormat/>
    <w:uiPriority w:val="0"/>
    <w:rPr>
      <w:sz w:val="21"/>
      <w:szCs w:val="21"/>
    </w:rPr>
  </w:style>
  <w:style w:type="character" w:customStyle="1" w:styleId="104">
    <w:name w:val="fontstyle01"/>
    <w:basedOn w:val="41"/>
    <w:uiPriority w:val="0"/>
    <w:rPr>
      <w:rFonts w:ascii="仿宋" w:hAnsi="仿宋" w:eastAsia="仿宋" w:cs="仿宋"/>
      <w:color w:val="000000"/>
      <w:sz w:val="32"/>
      <w:szCs w:val="32"/>
    </w:rPr>
  </w:style>
  <w:style w:type="character" w:customStyle="1" w:styleId="105">
    <w:name w:val="批注文字 Char1"/>
    <w:link w:val="11"/>
    <w:semiHidden/>
    <w:qFormat/>
    <w:uiPriority w:val="0"/>
    <w:rPr>
      <w:rFonts w:ascii="Times New Roman" w:hAnsi="Times New Roman"/>
      <w:kern w:val="2"/>
      <w:sz w:val="21"/>
      <w:szCs w:val="24"/>
    </w:rPr>
  </w:style>
  <w:style w:type="character" w:customStyle="1" w:styleId="106">
    <w:name w:val="style8"/>
    <w:qFormat/>
    <w:uiPriority w:val="0"/>
  </w:style>
  <w:style w:type="character" w:customStyle="1" w:styleId="107">
    <w:name w:val="正文文本 Char"/>
    <w:link w:val="14"/>
    <w:semiHidden/>
    <w:qFormat/>
    <w:uiPriority w:val="0"/>
    <w:rPr>
      <w:rFonts w:ascii="仿宋_GB2312" w:hAnsi="Times New Roman" w:eastAsia="仿宋_GB2312"/>
      <w:sz w:val="28"/>
    </w:rPr>
  </w:style>
  <w:style w:type="character" w:customStyle="1" w:styleId="108">
    <w:name w:val="HTML 预设格式 Char"/>
    <w:link w:val="34"/>
    <w:semiHidden/>
    <w:qFormat/>
    <w:uiPriority w:val="0"/>
    <w:rPr>
      <w:rFonts w:ascii="Arial Unicode MS" w:hAnsi="Arial Unicode MS" w:eastAsia="Arial Unicode MS" w:cs="Arial Unicode MS"/>
    </w:rPr>
  </w:style>
  <w:style w:type="character" w:customStyle="1" w:styleId="109">
    <w:name w:val="纯文本 Char1"/>
    <w:link w:val="19"/>
    <w:qFormat/>
    <w:locked/>
    <w:uiPriority w:val="0"/>
    <w:rPr>
      <w:rFonts w:ascii="宋体" w:hAnsi="Courier New"/>
      <w:kern w:val="2"/>
      <w:sz w:val="21"/>
    </w:rPr>
  </w:style>
  <w:style w:type="character" w:customStyle="1" w:styleId="110">
    <w:name w:val="页脚 字符"/>
    <w:qFormat/>
    <w:uiPriority w:val="99"/>
    <w:rPr>
      <w:rFonts w:eastAsia="宋体"/>
      <w:kern w:val="2"/>
      <w:sz w:val="18"/>
      <w:lang w:val="en-US" w:eastAsia="zh-CN" w:bidi="ar-SA"/>
    </w:rPr>
  </w:style>
  <w:style w:type="character" w:customStyle="1" w:styleId="111">
    <w:name w:val="标题 2 Char"/>
    <w:link w:val="5"/>
    <w:qFormat/>
    <w:uiPriority w:val="0"/>
    <w:rPr>
      <w:rFonts w:ascii="Cambria" w:hAnsi="Cambria" w:eastAsia="宋体"/>
      <w:b/>
      <w:bCs/>
      <w:kern w:val="2"/>
      <w:sz w:val="28"/>
      <w:szCs w:val="32"/>
    </w:rPr>
  </w:style>
  <w:style w:type="paragraph" w:customStyle="1" w:styleId="112">
    <w:name w:val="TOC 标题1"/>
    <w:basedOn w:val="5"/>
    <w:next w:val="1"/>
    <w:qFormat/>
    <w:uiPriority w:val="39"/>
    <w:pPr>
      <w:widowControl/>
      <w:spacing w:line="240" w:lineRule="auto"/>
      <w:outlineLvl w:val="9"/>
    </w:pPr>
    <w:rPr>
      <w:kern w:val="0"/>
      <w:sz w:val="21"/>
      <w:szCs w:val="28"/>
    </w:rPr>
  </w:style>
  <w:style w:type="paragraph" w:customStyle="1" w:styleId="113">
    <w:name w:val="1"/>
    <w:basedOn w:val="1"/>
    <w:next w:val="35"/>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14">
    <w:name w:val="正文缩进1"/>
    <w:basedOn w:val="1"/>
    <w:next w:val="3"/>
    <w:qFormat/>
    <w:uiPriority w:val="0"/>
    <w:pPr>
      <w:autoSpaceDE w:val="0"/>
      <w:autoSpaceDN w:val="0"/>
      <w:adjustRightInd w:val="0"/>
      <w:snapToGrid w:val="0"/>
      <w:spacing w:after="120"/>
      <w:ind w:left="420" w:firstLine="480" w:firstLineChars="0"/>
    </w:pPr>
    <w:rPr>
      <w:szCs w:val="20"/>
    </w:rPr>
  </w:style>
  <w:style w:type="paragraph" w:customStyle="1" w:styleId="115">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styleId="116">
    <w:name w:val="List Paragraph"/>
    <w:basedOn w:val="1"/>
    <w:qFormat/>
    <w:uiPriority w:val="34"/>
    <w:pPr>
      <w:ind w:firstLine="420"/>
    </w:pPr>
    <w:rPr>
      <w:szCs w:val="22"/>
    </w:rPr>
  </w:style>
  <w:style w:type="paragraph" w:customStyle="1" w:styleId="117">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18">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9">
    <w:name w:val="Char Char Char Char Char Char"/>
    <w:basedOn w:val="1"/>
    <w:qFormat/>
    <w:uiPriority w:val="0"/>
    <w:pPr>
      <w:spacing w:line="240" w:lineRule="auto"/>
    </w:pPr>
    <w:rPr>
      <w:rFonts w:ascii="Tahoma" w:hAnsi="Tahoma"/>
      <w:szCs w:val="20"/>
    </w:rPr>
  </w:style>
  <w:style w:type="paragraph" w:customStyle="1" w:styleId="1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1">
    <w:name w:val="head 1.1.1"/>
    <w:basedOn w:val="122"/>
    <w:qFormat/>
    <w:uiPriority w:val="0"/>
    <w:pPr>
      <w:numPr>
        <w:ilvl w:val="2"/>
        <w:numId w:val="3"/>
      </w:numPr>
      <w:spacing w:line="240" w:lineRule="auto"/>
      <w:ind w:firstLine="0" w:firstLineChars="0"/>
    </w:pPr>
    <w:rPr>
      <w:bCs/>
      <w:szCs w:val="22"/>
    </w:rPr>
  </w:style>
  <w:style w:type="paragraph" w:customStyle="1" w:styleId="122">
    <w:name w:val="列表段落1"/>
    <w:basedOn w:val="1"/>
    <w:qFormat/>
    <w:uiPriority w:val="0"/>
    <w:pPr>
      <w:ind w:firstLine="420"/>
    </w:pPr>
  </w:style>
  <w:style w:type="paragraph" w:customStyle="1" w:styleId="123">
    <w:name w:val="正文 A"/>
    <w:qFormat/>
    <w:uiPriority w:val="0"/>
    <w:pPr>
      <w:widowControl w:val="0"/>
      <w:jc w:val="both"/>
    </w:pPr>
    <w:rPr>
      <w:rFonts w:eastAsia="Arial Unicode MS" w:cs="Arial Unicode MS"/>
      <w:color w:val="000000"/>
      <w:kern w:val="2"/>
      <w:sz w:val="21"/>
      <w:szCs w:val="21"/>
      <w:lang w:val="en-US" w:eastAsia="zh-CN" w:bidi="ar-SA"/>
    </w:rPr>
  </w:style>
  <w:style w:type="paragraph" w:customStyle="1" w:styleId="124">
    <w:name w:val="_Style 5"/>
    <w:basedOn w:val="1"/>
    <w:qFormat/>
    <w:uiPriority w:val="99"/>
    <w:pPr>
      <w:widowControl/>
      <w:spacing w:after="200" w:line="276" w:lineRule="auto"/>
      <w:ind w:left="720"/>
      <w:contextualSpacing/>
      <w:jc w:val="left"/>
    </w:pPr>
    <w:rPr>
      <w:rFonts w:ascii="Calibri" w:hAnsi="Calibri"/>
      <w:kern w:val="0"/>
      <w:sz w:val="22"/>
      <w:szCs w:val="22"/>
    </w:rPr>
  </w:style>
  <w:style w:type="paragraph" w:customStyle="1" w:styleId="125">
    <w:name w:val="Char"/>
    <w:basedOn w:val="1"/>
    <w:qFormat/>
    <w:uiPriority w:val="0"/>
    <w:pPr>
      <w:spacing w:line="240" w:lineRule="auto"/>
      <w:ind w:firstLine="0" w:firstLineChars="0"/>
    </w:pPr>
    <w:rPr>
      <w:rFonts w:ascii="仿宋_GB2312" w:eastAsia="仿宋_GB2312"/>
      <w:b/>
      <w:sz w:val="32"/>
      <w:szCs w:val="32"/>
    </w:rPr>
  </w:style>
  <w:style w:type="paragraph" w:customStyle="1" w:styleId="12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27">
    <w:name w:val="（符号）三标题1.1"/>
    <w:basedOn w:val="1"/>
    <w:qFormat/>
    <w:uiPriority w:val="0"/>
    <w:pPr>
      <w:tabs>
        <w:tab w:val="left" w:pos="700"/>
      </w:tabs>
      <w:spacing w:line="500" w:lineRule="exact"/>
    </w:pPr>
    <w:rPr>
      <w:rFonts w:ascii="宋体" w:hAnsi="宋体"/>
      <w:sz w:val="24"/>
    </w:rPr>
  </w:style>
  <w:style w:type="paragraph" w:customStyle="1" w:styleId="128">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30">
    <w:name w:val="默认段落字体 Para Char"/>
    <w:basedOn w:val="1"/>
    <w:qFormat/>
    <w:uiPriority w:val="0"/>
    <w:pPr>
      <w:spacing w:line="240" w:lineRule="auto"/>
      <w:ind w:firstLine="0" w:firstLineChars="0"/>
    </w:pPr>
  </w:style>
  <w:style w:type="paragraph" w:customStyle="1" w:styleId="131">
    <w:name w:val="部分1"/>
    <w:basedOn w:val="1"/>
    <w:qFormat/>
    <w:uiPriority w:val="99"/>
    <w:pPr>
      <w:keepNext/>
      <w:pageBreakBefore/>
      <w:tabs>
        <w:tab w:val="left" w:pos="720"/>
      </w:tabs>
      <w:jc w:val="center"/>
      <w:outlineLvl w:val="0"/>
    </w:pPr>
    <w:rPr>
      <w:rFonts w:eastAsia="黑体"/>
      <w:b/>
      <w:kern w:val="44"/>
      <w:sz w:val="36"/>
    </w:rPr>
  </w:style>
  <w:style w:type="paragraph" w:customStyle="1" w:styleId="132">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33">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34">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36">
    <w:name w:val="Blockquote"/>
    <w:basedOn w:val="1"/>
    <w:qFormat/>
    <w:uiPriority w:val="0"/>
    <w:pPr>
      <w:autoSpaceDE w:val="0"/>
      <w:autoSpaceDN w:val="0"/>
      <w:adjustRightInd w:val="0"/>
      <w:spacing w:before="100" w:after="100"/>
      <w:ind w:left="360" w:right="360"/>
      <w:jc w:val="left"/>
    </w:pPr>
    <w:rPr>
      <w:kern w:val="0"/>
    </w:rPr>
  </w:style>
  <w:style w:type="paragraph" w:customStyle="1" w:styleId="137">
    <w:name w:val="TOC 71"/>
    <w:next w:val="1"/>
    <w:qFormat/>
    <w:uiPriority w:val="0"/>
    <w:pPr>
      <w:wordWrap w:val="0"/>
      <w:ind w:left="2550"/>
      <w:jc w:val="both"/>
    </w:pPr>
    <w:rPr>
      <w:sz w:val="21"/>
      <w:szCs w:val="22"/>
      <w:lang w:val="en-US" w:eastAsia="zh-CN" w:bidi="ar-SA"/>
    </w:rPr>
  </w:style>
  <w:style w:type="paragraph" w:customStyle="1" w:styleId="13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39">
    <w:name w:val="四级目录 Char Char Char Char Char"/>
    <w:next w:val="1"/>
    <w:qFormat/>
    <w:uiPriority w:val="0"/>
    <w:pPr>
      <w:spacing w:line="360" w:lineRule="auto"/>
      <w:ind w:left="200" w:leftChars="200"/>
    </w:pPr>
    <w:rPr>
      <w:rFonts w:eastAsia="仿宋_GB2312"/>
      <w:sz w:val="30"/>
      <w:lang w:val="en-US" w:eastAsia="en-US" w:bidi="ar-SA"/>
    </w:rPr>
  </w:style>
  <w:style w:type="paragraph" w:customStyle="1" w:styleId="140">
    <w:name w:val="正文格式"/>
    <w:basedOn w:val="1"/>
    <w:qFormat/>
    <w:uiPriority w:val="0"/>
    <w:pPr>
      <w:widowControl/>
      <w:adjustRightInd w:val="0"/>
      <w:snapToGrid w:val="0"/>
      <w:ind w:firstLine="482" w:firstLineChars="0"/>
    </w:pPr>
    <w:rPr>
      <w:kern w:val="0"/>
      <w:szCs w:val="20"/>
    </w:rPr>
  </w:style>
  <w:style w:type="paragraph" w:customStyle="1" w:styleId="141">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42">
    <w:name w:val="正文2"/>
    <w:basedOn w:val="1"/>
    <w:qFormat/>
    <w:uiPriority w:val="0"/>
    <w:pPr>
      <w:spacing w:before="156"/>
      <w:ind w:firstLine="510"/>
    </w:pPr>
    <w:rPr>
      <w:rFonts w:ascii="MT Extra" w:hAnsi="MT Extra" w:cs="MT Extra"/>
    </w:rPr>
  </w:style>
  <w:style w:type="paragraph" w:customStyle="1" w:styleId="143">
    <w:name w:val="表格文字"/>
    <w:basedOn w:val="1"/>
    <w:next w:val="14"/>
    <w:qFormat/>
    <w:uiPriority w:val="0"/>
    <w:rPr>
      <w:rFonts w:ascii="Arial" w:hAnsi="Arial"/>
      <w:snapToGrid/>
      <w:kern w:val="2"/>
      <w:szCs w:val="21"/>
    </w:rPr>
  </w:style>
  <w:style w:type="paragraph" w:customStyle="1" w:styleId="1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5">
    <w:name w:val="p16"/>
    <w:basedOn w:val="1"/>
    <w:qFormat/>
    <w:uiPriority w:val="0"/>
    <w:pPr>
      <w:widowControl/>
      <w:spacing w:line="240" w:lineRule="auto"/>
      <w:ind w:left="420" w:hanging="420" w:firstLineChars="0"/>
    </w:pPr>
    <w:rPr>
      <w:kern w:val="0"/>
      <w:szCs w:val="21"/>
    </w:rPr>
  </w:style>
  <w:style w:type="paragraph" w:customStyle="1" w:styleId="1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47">
    <w:name w:val="p0"/>
    <w:basedOn w:val="1"/>
    <w:qFormat/>
    <w:uiPriority w:val="0"/>
    <w:pPr>
      <w:widowControl/>
      <w:spacing w:line="240" w:lineRule="auto"/>
      <w:ind w:firstLine="0" w:firstLineChars="0"/>
    </w:pPr>
    <w:rPr>
      <w:kern w:val="0"/>
      <w:szCs w:val="21"/>
    </w:rPr>
  </w:style>
  <w:style w:type="paragraph" w:customStyle="1" w:styleId="148">
    <w:name w:val="小标题"/>
    <w:basedOn w:val="1"/>
    <w:qFormat/>
    <w:uiPriority w:val="0"/>
    <w:pPr>
      <w:widowControl w:val="0"/>
      <w:autoSpaceDE w:val="0"/>
      <w:autoSpaceDN w:val="0"/>
      <w:snapToGrid/>
      <w:spacing w:before="240" w:line="300" w:lineRule="auto"/>
      <w:ind w:firstLine="480" w:firstLineChars="200"/>
      <w:textAlignment w:val="center"/>
    </w:pPr>
    <w:rPr>
      <w:rFonts w:ascii="仿宋" w:hAnsi="仿宋" w:eastAsia="仿宋" w:cs="宋体"/>
      <w:b/>
      <w:bCs/>
      <w:sz w:val="24"/>
      <w:szCs w:val="20"/>
    </w:rPr>
  </w:style>
  <w:style w:type="paragraph" w:customStyle="1" w:styleId="149">
    <w:name w:val="标题3"/>
    <w:basedOn w:val="6"/>
    <w:qFormat/>
    <w:uiPriority w:val="0"/>
    <w:pPr>
      <w:spacing w:before="260" w:after="260" w:line="415" w:lineRule="auto"/>
    </w:pPr>
    <w:rPr>
      <w:rFonts w:ascii="宋体" w:hAnsi="宋体"/>
      <w:sz w:val="28"/>
      <w:szCs w:val="28"/>
    </w:rPr>
  </w:style>
  <w:style w:type="paragraph" w:customStyle="1" w:styleId="150">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1">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53">
    <w:name w:val="head 1.1"/>
    <w:basedOn w:val="122"/>
    <w:qFormat/>
    <w:uiPriority w:val="0"/>
    <w:pPr>
      <w:numPr>
        <w:ilvl w:val="1"/>
        <w:numId w:val="3"/>
      </w:numPr>
      <w:spacing w:before="260" w:after="260" w:line="240" w:lineRule="auto"/>
      <w:ind w:firstLine="0" w:firstLineChars="0"/>
    </w:pPr>
    <w:rPr>
      <w:rFonts w:ascii="宋体" w:hAnsi="宋体"/>
      <w:bCs/>
      <w:szCs w:val="22"/>
    </w:rPr>
  </w:style>
  <w:style w:type="paragraph" w:customStyle="1" w:styleId="154">
    <w:name w:val="正文段"/>
    <w:basedOn w:val="1"/>
    <w:qFormat/>
    <w:uiPriority w:val="0"/>
    <w:pPr>
      <w:widowControl/>
      <w:snapToGrid w:val="0"/>
      <w:spacing w:after="50" w:afterLines="50"/>
      <w:ind w:firstLine="200" w:firstLineChars="200"/>
    </w:pPr>
    <w:rPr>
      <w:kern w:val="0"/>
      <w:sz w:val="24"/>
    </w:rPr>
  </w:style>
  <w:style w:type="paragraph" w:customStyle="1" w:styleId="155">
    <w:name w:val="无间隔1"/>
    <w:qFormat/>
    <w:uiPriority w:val="1"/>
    <w:pPr>
      <w:widowControl w:val="0"/>
      <w:jc w:val="both"/>
    </w:pPr>
    <w:rPr>
      <w:rFonts w:ascii="Calibri" w:hAnsi="Calibri"/>
      <w:kern w:val="2"/>
      <w:sz w:val="21"/>
      <w:szCs w:val="22"/>
      <w:lang w:val="en-US" w:eastAsia="zh-CN" w:bidi="ar-SA"/>
    </w:rPr>
  </w:style>
  <w:style w:type="paragraph" w:customStyle="1" w:styleId="156">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57">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5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60">
    <w:name w:val="_Style 40"/>
    <w:basedOn w:val="1"/>
    <w:qFormat/>
    <w:uiPriority w:val="0"/>
    <w:pPr>
      <w:spacing w:line="240" w:lineRule="auto"/>
      <w:ind w:firstLine="0" w:firstLineChars="0"/>
    </w:pPr>
  </w:style>
  <w:style w:type="paragraph" w:customStyle="1" w:styleId="161">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62">
    <w:name w:val="样式1"/>
    <w:basedOn w:val="1"/>
    <w:qFormat/>
    <w:uiPriority w:val="0"/>
    <w:pPr>
      <w:spacing w:line="360" w:lineRule="exact"/>
    </w:pPr>
    <w:rPr>
      <w:rFonts w:ascii="Arial" w:hAnsi="Arial"/>
      <w:sz w:val="21"/>
    </w:rPr>
  </w:style>
  <w:style w:type="paragraph" w:customStyle="1" w:styleId="163">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64">
    <w:name w:val="Char2"/>
    <w:basedOn w:val="1"/>
    <w:qFormat/>
    <w:uiPriority w:val="0"/>
    <w:pPr>
      <w:spacing w:line="240" w:lineRule="auto"/>
      <w:ind w:firstLine="0" w:firstLineChars="0"/>
    </w:pPr>
    <w:rPr>
      <w:rFonts w:ascii="仿宋_GB2312" w:eastAsia="仿宋_GB2312"/>
      <w:b/>
      <w:sz w:val="32"/>
      <w:szCs w:val="32"/>
    </w:rPr>
  </w:style>
  <w:style w:type="paragraph" w:customStyle="1" w:styleId="165">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166">
    <w:name w:val="目录 71"/>
    <w:next w:val="1"/>
    <w:qFormat/>
    <w:uiPriority w:val="0"/>
    <w:pPr>
      <w:wordWrap w:val="0"/>
      <w:ind w:left="2550"/>
      <w:jc w:val="both"/>
    </w:pPr>
    <w:rPr>
      <w:sz w:val="21"/>
      <w:szCs w:val="22"/>
      <w:lang w:val="en-US" w:eastAsia="zh-CN" w:bidi="ar-SA"/>
    </w:rPr>
  </w:style>
  <w:style w:type="paragraph" w:customStyle="1" w:styleId="167">
    <w:name w:val="_Style 3"/>
    <w:basedOn w:val="1"/>
    <w:next w:val="116"/>
    <w:qFormat/>
    <w:uiPriority w:val="34"/>
    <w:pPr>
      <w:ind w:firstLine="420"/>
    </w:pPr>
    <w:rPr>
      <w:szCs w:val="22"/>
    </w:rPr>
  </w:style>
  <w:style w:type="paragraph" w:customStyle="1" w:styleId="168">
    <w:name w:val="Char1"/>
    <w:basedOn w:val="1"/>
    <w:qFormat/>
    <w:uiPriority w:val="0"/>
    <w:rPr>
      <w:rFonts w:ascii="Tahoma" w:hAnsi="Tahoma"/>
      <w:szCs w:val="20"/>
    </w:rPr>
  </w:style>
  <w:style w:type="paragraph" w:customStyle="1" w:styleId="16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7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72">
    <w:name w:val="彩色列表 - 强调文字颜色 11"/>
    <w:basedOn w:val="1"/>
    <w:qFormat/>
    <w:uiPriority w:val="34"/>
    <w:pPr>
      <w:ind w:firstLine="420" w:firstLineChars="200"/>
    </w:pPr>
    <w:rPr>
      <w:rFonts w:ascii="Times New Roman" w:hAnsi="Times New Roman" w:eastAsia="宋体" w:cs="Times New Roman"/>
    </w:rPr>
  </w:style>
  <w:style w:type="paragraph" w:customStyle="1" w:styleId="173">
    <w:name w:val="_Style 54"/>
    <w:basedOn w:val="1"/>
    <w:qFormat/>
    <w:uiPriority w:val="0"/>
    <w:pPr>
      <w:spacing w:line="240" w:lineRule="auto"/>
      <w:ind w:firstLine="0" w:firstLineChars="0"/>
    </w:pPr>
  </w:style>
  <w:style w:type="paragraph" w:customStyle="1" w:styleId="1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75">
    <w:name w:val="Default"/>
    <w:next w:val="137"/>
    <w:qFormat/>
    <w:uiPriority w:val="0"/>
    <w:pPr>
      <w:widowControl w:val="0"/>
      <w:autoSpaceDE w:val="0"/>
      <w:autoSpaceDN w:val="0"/>
      <w:adjustRightInd w:val="0"/>
    </w:pPr>
    <w:rPr>
      <w:rFonts w:ascii="黑体" w:eastAsia="黑体" w:cs="黑体"/>
      <w:color w:val="000000"/>
      <w:sz w:val="24"/>
      <w:szCs w:val="24"/>
      <w:lang w:val="en-US" w:eastAsia="zh-CN" w:bidi="ar-SA"/>
    </w:rPr>
  </w:style>
  <w:style w:type="paragraph" w:customStyle="1" w:styleId="176">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77">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7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80">
    <w:name w:val="表格"/>
    <w:basedOn w:val="14"/>
    <w:next w:val="1"/>
    <w:qFormat/>
    <w:uiPriority w:val="0"/>
    <w:pPr>
      <w:spacing w:line="240" w:lineRule="auto"/>
      <w:ind w:firstLine="0" w:firstLineChars="0"/>
      <w:jc w:val="center"/>
    </w:pPr>
    <w:rPr>
      <w:rFonts w:ascii="Times New Roman" w:hAnsi="Times New Roman"/>
    </w:rPr>
  </w:style>
  <w:style w:type="paragraph" w:customStyle="1" w:styleId="1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82">
    <w:name w:val="正文－恩普"/>
    <w:basedOn w:val="9"/>
    <w:qFormat/>
    <w:uiPriority w:val="0"/>
    <w:pPr>
      <w:widowControl/>
      <w:spacing w:afterLines="50" w:line="360" w:lineRule="auto"/>
      <w:ind w:firstLine="480" w:firstLineChars="200"/>
      <w:jc w:val="left"/>
    </w:pPr>
  </w:style>
  <w:style w:type="paragraph" w:customStyle="1" w:styleId="183">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84">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styleId="186">
    <w:name w:val=""/>
    <w:unhideWhenUsed/>
    <w:uiPriority w:val="99"/>
    <w:rPr>
      <w:kern w:val="2"/>
      <w:sz w:val="24"/>
      <w:szCs w:val="24"/>
      <w:lang w:val="en-US" w:eastAsia="zh-CN" w:bidi="ar-SA"/>
    </w:rPr>
  </w:style>
  <w:style w:type="paragraph" w:customStyle="1" w:styleId="187">
    <w:name w:val="Char Char Char"/>
    <w:basedOn w:val="1"/>
    <w:qFormat/>
    <w:uiPriority w:val="0"/>
    <w:pPr>
      <w:spacing w:line="240" w:lineRule="auto"/>
      <w:ind w:firstLine="0" w:firstLineChars="0"/>
    </w:pPr>
    <w:rPr>
      <w:rFonts w:ascii="Tahoma" w:hAnsi="Tahoma"/>
      <w:szCs w:val="20"/>
    </w:rPr>
  </w:style>
  <w:style w:type="paragraph" w:customStyle="1" w:styleId="188">
    <w:name w:val="列出段落1"/>
    <w:basedOn w:val="1"/>
    <w:qFormat/>
    <w:uiPriority w:val="0"/>
    <w:pPr>
      <w:spacing w:line="240" w:lineRule="auto"/>
      <w:ind w:firstLine="420"/>
    </w:pPr>
  </w:style>
  <w:style w:type="paragraph" w:customStyle="1" w:styleId="18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90">
    <w:name w:val="小标题2"/>
    <w:basedOn w:val="1"/>
    <w:next w:val="1"/>
    <w:qFormat/>
    <w:uiPriority w:val="0"/>
    <w:pPr>
      <w:spacing w:beforeLines="20" w:afterLines="20" w:line="400" w:lineRule="exact"/>
    </w:pPr>
    <w:rPr>
      <w:rFonts w:eastAsia="楷体_GB2312"/>
    </w:rPr>
  </w:style>
  <w:style w:type="paragraph" w:customStyle="1" w:styleId="191">
    <w:name w:val="Char Char Char Char Char Char Char Char"/>
    <w:basedOn w:val="1"/>
    <w:qFormat/>
    <w:uiPriority w:val="0"/>
    <w:pPr>
      <w:tabs>
        <w:tab w:val="left" w:pos="360"/>
      </w:tabs>
      <w:spacing w:line="240" w:lineRule="auto"/>
      <w:ind w:firstLine="0" w:firstLineChars="0"/>
    </w:pPr>
    <w:rPr>
      <w:szCs w:val="20"/>
    </w:rPr>
  </w:style>
  <w:style w:type="paragraph" w:customStyle="1" w:styleId="192">
    <w:name w:val="默认段落字体 Para Char Char Char Char Char Char Char Char Char1 Char Char Char Char"/>
    <w:basedOn w:val="1"/>
    <w:qFormat/>
    <w:uiPriority w:val="0"/>
    <w:rPr>
      <w:rFonts w:ascii="Tahoma" w:hAnsi="Tahoma"/>
      <w:szCs w:val="20"/>
    </w:rPr>
  </w:style>
  <w:style w:type="paragraph" w:customStyle="1" w:styleId="193">
    <w:name w:val="本文正文"/>
    <w:basedOn w:val="1"/>
    <w:qFormat/>
    <w:uiPriority w:val="0"/>
    <w:pPr>
      <w:widowControl/>
      <w:spacing w:line="440" w:lineRule="exact"/>
      <w:ind w:firstLine="200" w:firstLineChars="200"/>
      <w:jc w:val="left"/>
    </w:pPr>
    <w:rPr>
      <w:rFonts w:ascii="宋体" w:hAnsi="宋体" w:eastAsia="宋体" w:cs="宋体"/>
    </w:rPr>
  </w:style>
  <w:style w:type="paragraph" w:customStyle="1" w:styleId="194">
    <w:name w:val="正文1"/>
    <w:basedOn w:val="1"/>
    <w:qFormat/>
    <w:uiPriority w:val="0"/>
    <w:pPr>
      <w:widowControl/>
      <w:spacing w:after="200" w:line="300" w:lineRule="atLeast"/>
      <w:jc w:val="left"/>
    </w:pPr>
    <w:rPr>
      <w:rFonts w:cs="宋体"/>
      <w:kern w:val="0"/>
      <w:sz w:val="22"/>
      <w:szCs w:val="2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3.xml" Type="http://schemas.openxmlformats.org/officeDocument/2006/relationships/footer"/><Relationship Id="rId11" Target="header4.xml" Type="http://schemas.openxmlformats.org/officeDocument/2006/relationships/header"/><Relationship Id="rId12" Target="header5.xml" Type="http://schemas.openxmlformats.org/officeDocument/2006/relationships/header"/><Relationship Id="rId13" Target="footer4.xml" Type="http://schemas.openxmlformats.org/officeDocument/2006/relationships/footer"/><Relationship Id="rId14" Target="footer5.xml" Type="http://schemas.openxmlformats.org/officeDocument/2006/relationships/footer"/><Relationship Id="rId15" Target="header6.xml" Type="http://schemas.openxmlformats.org/officeDocument/2006/relationships/header"/><Relationship Id="rId16" Target="footer6.xml" Type="http://schemas.openxmlformats.org/officeDocument/2006/relationships/footer"/><Relationship Id="rId17" Target="footer7.xml" Type="http://schemas.openxmlformats.org/officeDocument/2006/relationships/footer"/><Relationship Id="rId18" Target="header7.xml" Type="http://schemas.openxmlformats.org/officeDocument/2006/relationships/header"/><Relationship Id="rId19" Target="footer8.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numbering.xml" Type="http://schemas.openxmlformats.org/officeDocument/2006/relationships/numbering"/><Relationship Id="rId23" Target="fontTable.xml" Type="http://schemas.openxmlformats.org/officeDocument/2006/relationships/fontTable"/><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5925</Words>
  <Characters>33773</Characters>
  <Lines>281</Lines>
  <Paragraphs>79</Paragraphs>
  <TotalTime>0</TotalTime>
  <ScaleCrop>false</ScaleCrop>
  <LinksUpToDate>false</LinksUpToDate>
  <CharactersWithSpaces>39619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2021-05-12T07:01:00Z</dcterms:created>
  <dc:creator>Administrator</dc:creator>
  <cp:lastModifiedBy>WPS_1701756769</cp:lastModifiedBy>
  <cp:lastPrinted>2019-08-14T09:21:00Z</cp:lastPrinted>
  <dcterms:modified xsi:type="dcterms:W3CDTF">2024-02-26T02:07:29Z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C1558845EF9444C09582F514C3E65B92_13</vt:lpwstr>
  </property>
</Properties>
</file>