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0"/>
        </w:tabs>
        <w:jc w:val="center"/>
        <w:rPr>
          <w:rFonts w:ascii="黑体" w:eastAsia="黑体"/>
          <w:b/>
          <w:color w:val="auto"/>
          <w:sz w:val="48"/>
          <w:szCs w:val="48"/>
          <w:highlight w:val="none"/>
        </w:rPr>
      </w:pPr>
    </w:p>
    <w:p>
      <w:pPr>
        <w:tabs>
          <w:tab w:val="left" w:pos="0"/>
        </w:tabs>
        <w:jc w:val="center"/>
        <w:rPr>
          <w:rFonts w:ascii="宋体" w:hAnsi="宋体" w:cs="仿宋_GB2312"/>
          <w:b/>
          <w:bCs/>
          <w:color w:val="auto"/>
          <w:sz w:val="52"/>
          <w:szCs w:val="52"/>
          <w:highlight w:val="none"/>
        </w:rPr>
      </w:pPr>
      <w:r>
        <w:rPr>
          <w:rFonts w:hint="eastAsia" w:ascii="宋体" w:hAnsi="宋体" w:cs="仿宋_GB2312"/>
          <w:b/>
          <w:bCs/>
          <w:color w:val="auto"/>
          <w:sz w:val="52"/>
          <w:szCs w:val="52"/>
          <w:highlight w:val="none"/>
        </w:rPr>
        <w:t>杭州市拱墅区城市管理局</w:t>
      </w:r>
    </w:p>
    <w:p>
      <w:pPr>
        <w:tabs>
          <w:tab w:val="left" w:pos="0"/>
        </w:tabs>
        <w:jc w:val="center"/>
        <w:rPr>
          <w:rFonts w:ascii="楷体_GB2312" w:eastAsia="楷体_GB2312"/>
          <w:b/>
          <w:color w:val="auto"/>
          <w:sz w:val="48"/>
          <w:szCs w:val="48"/>
          <w:highlight w:val="none"/>
        </w:rPr>
      </w:pPr>
    </w:p>
    <w:p>
      <w:pPr>
        <w:tabs>
          <w:tab w:val="left" w:pos="0"/>
        </w:tabs>
        <w:jc w:val="center"/>
        <w:rPr>
          <w:rFonts w:ascii="黑体" w:eastAsia="黑体"/>
          <w:bCs/>
          <w:color w:val="auto"/>
          <w:spacing w:val="110"/>
          <w:sz w:val="84"/>
          <w:szCs w:val="84"/>
          <w:highlight w:val="none"/>
        </w:rPr>
      </w:pPr>
      <w:r>
        <w:rPr>
          <w:rFonts w:hint="eastAsia" w:ascii="黑体" w:eastAsia="黑体"/>
          <w:bCs/>
          <w:color w:val="auto"/>
          <w:spacing w:val="110"/>
          <w:sz w:val="84"/>
          <w:szCs w:val="84"/>
          <w:highlight w:val="none"/>
        </w:rPr>
        <w:t>招 标 文 件</w:t>
      </w:r>
    </w:p>
    <w:p>
      <w:pPr>
        <w:pStyle w:val="44"/>
        <w:snapToGrid w:val="0"/>
        <w:spacing w:line="300" w:lineRule="auto"/>
        <w:rPr>
          <w:rFonts w:ascii="Arial" w:hAnsi="Arial" w:cs="Arial"/>
          <w:bCs/>
          <w:color w:val="auto"/>
          <w:sz w:val="21"/>
          <w:szCs w:val="21"/>
          <w:highlight w:val="none"/>
        </w:rPr>
      </w:pPr>
      <w:r>
        <w:rPr>
          <w:rFonts w:hint="eastAsia" w:hAnsi="宋体"/>
          <w:color w:val="auto"/>
          <w:sz w:val="36"/>
          <w:highlight w:val="none"/>
        </w:rPr>
        <w:t>（线上电子招投标）</w:t>
      </w:r>
    </w:p>
    <w:p>
      <w:pPr>
        <w:spacing w:line="720" w:lineRule="auto"/>
        <w:jc w:val="center"/>
        <w:rPr>
          <w:rFonts w:ascii="楷体_GB2312" w:hAnsi="???|CS?o｡ﾀ?" w:eastAsia="楷体_GB2312"/>
          <w:b/>
          <w:color w:val="auto"/>
          <w:sz w:val="32"/>
          <w:highlight w:val="none"/>
        </w:rPr>
      </w:pPr>
      <w:r>
        <w:rPr>
          <w:bCs/>
          <w:color w:val="auto"/>
          <w:sz w:val="44"/>
          <w:szCs w:val="44"/>
          <w:highlight w:val="none"/>
        </w:rPr>
        <w:drawing>
          <wp:inline distT="0" distB="0" distL="0" distR="0">
            <wp:extent cx="5268595" cy="2708275"/>
            <wp:effectExtent l="0" t="0" r="0" b="0"/>
            <wp:docPr id="2" name="图片 1" descr="成套招标-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成套招标-01"/>
                    <pic:cNvPicPr>
                      <a:picLocks noChangeAspect="1" noChangeArrowheads="1"/>
                    </pic:cNvPicPr>
                  </pic:nvPicPr>
                  <pic:blipFill>
                    <a:blip r:embed="rId7" cstate="print"/>
                    <a:srcRect/>
                    <a:stretch>
                      <a:fillRect/>
                    </a:stretch>
                  </pic:blipFill>
                  <pic:spPr>
                    <a:xfrm>
                      <a:off x="0" y="0"/>
                      <a:ext cx="5268595" cy="2708275"/>
                    </a:xfrm>
                    <a:prstGeom prst="rect">
                      <a:avLst/>
                    </a:prstGeom>
                    <a:noFill/>
                    <a:ln w="9525">
                      <a:noFill/>
                      <a:miter lim="800000"/>
                      <a:headEnd/>
                      <a:tailEnd/>
                    </a:ln>
                  </pic:spPr>
                </pic:pic>
              </a:graphicData>
            </a:graphic>
          </wp:inline>
        </w:drawing>
      </w:r>
    </w:p>
    <w:p>
      <w:pPr>
        <w:spacing w:beforeLines="100" w:afterLines="100" w:line="360" w:lineRule="auto"/>
        <w:ind w:firstLine="993"/>
        <w:rPr>
          <w:rFonts w:hint="eastAsia" w:ascii="宋体" w:hAnsi="宋体" w:eastAsia="宋体"/>
          <w:bCs/>
          <w:color w:val="auto"/>
          <w:sz w:val="32"/>
          <w:szCs w:val="32"/>
          <w:highlight w:val="none"/>
          <w:lang w:eastAsia="zh-CN"/>
        </w:rPr>
      </w:pPr>
      <w:r>
        <w:rPr>
          <w:rFonts w:hint="eastAsia" w:ascii="宋体" w:hAnsi="宋体"/>
          <w:bCs/>
          <w:color w:val="auto"/>
          <w:sz w:val="32"/>
          <w:szCs w:val="32"/>
          <w:highlight w:val="none"/>
        </w:rPr>
        <w:t>招标编号：</w:t>
      </w:r>
      <w:r>
        <w:rPr>
          <w:rFonts w:hint="eastAsia" w:ascii="宋体" w:hAnsi="宋体"/>
          <w:bCs/>
          <w:color w:val="auto"/>
          <w:sz w:val="32"/>
          <w:szCs w:val="32"/>
          <w:highlight w:val="none"/>
          <w:u w:val="single"/>
          <w:lang w:eastAsia="zh-CN"/>
        </w:rPr>
        <w:t>CTZB-2020040466</w:t>
      </w:r>
    </w:p>
    <w:p>
      <w:pPr>
        <w:spacing w:beforeLines="100" w:afterLines="100" w:line="360" w:lineRule="auto"/>
        <w:ind w:firstLine="993"/>
        <w:rPr>
          <w:rFonts w:ascii="宋体" w:hAnsi="宋体"/>
          <w:bCs/>
          <w:color w:val="auto"/>
          <w:sz w:val="32"/>
          <w:szCs w:val="32"/>
          <w:highlight w:val="none"/>
          <w:u w:val="single"/>
        </w:rPr>
      </w:pPr>
      <w:r>
        <w:rPr>
          <w:rFonts w:hint="eastAsia" w:ascii="宋体" w:hAnsi="宋体"/>
          <w:bCs/>
          <w:color w:val="auto"/>
          <w:sz w:val="32"/>
          <w:szCs w:val="32"/>
          <w:highlight w:val="none"/>
        </w:rPr>
        <w:t>项目名称：</w:t>
      </w:r>
      <w:r>
        <w:rPr>
          <w:rFonts w:hint="eastAsia" w:ascii="宋体" w:hAnsi="宋体"/>
          <w:bCs/>
          <w:color w:val="auto"/>
          <w:w w:val="86"/>
          <w:kern w:val="0"/>
          <w:sz w:val="32"/>
          <w:szCs w:val="32"/>
          <w:highlight w:val="none"/>
          <w:u w:val="single"/>
          <w:fitText w:val="6400" w:id="0"/>
        </w:rPr>
        <w:t>2020年拱墅区“峰会”亮灯工程第二次运行维护项</w:t>
      </w:r>
      <w:r>
        <w:rPr>
          <w:rFonts w:hint="eastAsia" w:ascii="宋体" w:hAnsi="宋体"/>
          <w:bCs/>
          <w:color w:val="auto"/>
          <w:spacing w:val="3"/>
          <w:w w:val="86"/>
          <w:kern w:val="0"/>
          <w:sz w:val="32"/>
          <w:szCs w:val="32"/>
          <w:highlight w:val="none"/>
          <w:u w:val="single"/>
          <w:fitText w:val="6400" w:id="0"/>
        </w:rPr>
        <w:t>目</w:t>
      </w:r>
    </w:p>
    <w:p>
      <w:pPr>
        <w:spacing w:beforeLines="100" w:afterLines="100" w:line="360" w:lineRule="auto"/>
        <w:ind w:firstLine="993"/>
        <w:rPr>
          <w:rFonts w:ascii="宋体" w:hAnsi="宋体"/>
          <w:bCs/>
          <w:color w:val="auto"/>
          <w:sz w:val="32"/>
          <w:szCs w:val="32"/>
          <w:highlight w:val="none"/>
        </w:rPr>
      </w:pPr>
      <w:r>
        <w:rPr>
          <w:rFonts w:hint="eastAsia" w:ascii="宋体" w:hAnsi="宋体"/>
          <w:bCs/>
          <w:color w:val="auto"/>
          <w:sz w:val="32"/>
          <w:szCs w:val="32"/>
          <w:highlight w:val="none"/>
        </w:rPr>
        <w:t>招 标 人：</w:t>
      </w:r>
      <w:r>
        <w:rPr>
          <w:rFonts w:hint="eastAsia" w:ascii="宋体" w:hAnsi="宋体"/>
          <w:bCs/>
          <w:color w:val="auto"/>
          <w:sz w:val="32"/>
          <w:szCs w:val="32"/>
          <w:highlight w:val="none"/>
          <w:u w:val="single"/>
        </w:rPr>
        <w:t>杭州市拱墅区城市管理局</w:t>
      </w:r>
    </w:p>
    <w:p>
      <w:pPr>
        <w:spacing w:beforeLines="100" w:afterLines="100" w:line="360" w:lineRule="auto"/>
        <w:ind w:firstLine="993"/>
        <w:rPr>
          <w:rFonts w:ascii="宋体" w:hAnsi="宋体"/>
          <w:bCs/>
          <w:color w:val="auto"/>
          <w:sz w:val="32"/>
          <w:szCs w:val="32"/>
          <w:highlight w:val="none"/>
          <w:u w:val="single"/>
        </w:rPr>
      </w:pPr>
      <w:r>
        <w:rPr>
          <w:rFonts w:hint="eastAsia" w:ascii="宋体" w:hAnsi="宋体"/>
          <w:bCs/>
          <w:color w:val="auto"/>
          <w:sz w:val="32"/>
          <w:szCs w:val="32"/>
          <w:highlight w:val="none"/>
        </w:rPr>
        <w:t>招标代理机构：</w:t>
      </w:r>
      <w:r>
        <w:rPr>
          <w:rFonts w:hint="eastAsia" w:ascii="宋体" w:hAnsi="宋体"/>
          <w:bCs/>
          <w:color w:val="auto"/>
          <w:sz w:val="32"/>
          <w:szCs w:val="32"/>
          <w:highlight w:val="none"/>
          <w:u w:val="single"/>
        </w:rPr>
        <w:t>浙江省成套招标代理有限公司</w:t>
      </w:r>
    </w:p>
    <w:p>
      <w:pPr>
        <w:spacing w:line="360" w:lineRule="auto"/>
        <w:jc w:val="center"/>
        <w:rPr>
          <w:rFonts w:ascii="Arial" w:hAnsi="Arial" w:cs="Arial"/>
          <w:bCs/>
          <w:color w:val="auto"/>
          <w:szCs w:val="21"/>
          <w:highlight w:val="none"/>
        </w:rPr>
      </w:pPr>
      <w:r>
        <w:rPr>
          <w:rFonts w:hint="eastAsia" w:ascii="宋体" w:hAnsi="宋体"/>
          <w:bCs/>
          <w:color w:val="auto"/>
          <w:sz w:val="36"/>
          <w:szCs w:val="36"/>
          <w:highlight w:val="none"/>
        </w:rPr>
        <w:t>日  期：</w:t>
      </w:r>
      <w:r>
        <w:rPr>
          <w:rFonts w:hint="eastAsia" w:ascii="宋体" w:hAnsi="宋体"/>
          <w:bCs/>
          <w:color w:val="auto"/>
          <w:sz w:val="36"/>
          <w:szCs w:val="36"/>
          <w:highlight w:val="none"/>
          <w:u w:val="single"/>
        </w:rPr>
        <w:t>2020年04月</w:t>
      </w:r>
    </w:p>
    <w:p>
      <w:pPr>
        <w:snapToGrid w:val="0"/>
        <w:spacing w:line="300" w:lineRule="auto"/>
        <w:rPr>
          <w:rFonts w:ascii="Arial" w:hAnsi="Arial" w:cs="Arial"/>
          <w:b/>
          <w:color w:val="auto"/>
          <w:szCs w:val="21"/>
          <w:highlight w:val="none"/>
        </w:rPr>
      </w:pPr>
      <w:r>
        <w:rPr>
          <w:rFonts w:ascii="Arial" w:hAnsi="Arial" w:cs="Arial"/>
          <w:b/>
          <w:color w:val="auto"/>
          <w:szCs w:val="21"/>
          <w:highlight w:val="none"/>
        </w:rPr>
        <w:br w:type="page"/>
      </w:r>
    </w:p>
    <w:p>
      <w:pPr>
        <w:pStyle w:val="3"/>
        <w:spacing w:before="120"/>
        <w:rPr>
          <w:rFonts w:ascii="Arial" w:hAnsi="Arial" w:cs="Arial"/>
          <w:color w:val="auto"/>
          <w:highlight w:val="none"/>
        </w:rPr>
      </w:pPr>
      <w:bookmarkStart w:id="0" w:name="_Toc32471"/>
      <w:bookmarkStart w:id="1" w:name="_Toc497919818"/>
      <w:r>
        <w:rPr>
          <w:rFonts w:ascii="Arial" w:hAnsi="Arial" w:cs="Arial"/>
          <w:color w:val="auto"/>
          <w:highlight w:val="none"/>
        </w:rPr>
        <w:t>目录</w:t>
      </w:r>
      <w:bookmarkEnd w:id="0"/>
      <w:bookmarkEnd w:id="1"/>
    </w:p>
    <w:p>
      <w:pPr>
        <w:pStyle w:val="30"/>
        <w:tabs>
          <w:tab w:val="right" w:leader="dot" w:pos="9185"/>
          <w:tab w:val="clear" w:pos="9403"/>
        </w:tabs>
        <w:rPr>
          <w:color w:val="auto"/>
          <w:highlight w:val="none"/>
        </w:rPr>
      </w:pPr>
      <w:r>
        <w:rPr>
          <w:rFonts w:cs="Arial"/>
          <w:b w:val="0"/>
          <w:bCs w:val="0"/>
          <w:caps w:val="0"/>
          <w:color w:val="auto"/>
          <w:sz w:val="24"/>
          <w:highlight w:val="none"/>
        </w:rPr>
        <w:fldChar w:fldCharType="begin"/>
      </w:r>
      <w:r>
        <w:rPr>
          <w:rFonts w:cs="Arial"/>
          <w:b w:val="0"/>
          <w:bCs w:val="0"/>
          <w:caps w:val="0"/>
          <w:color w:val="auto"/>
          <w:sz w:val="24"/>
          <w:highlight w:val="none"/>
        </w:rPr>
        <w:instrText xml:space="preserve"> TOC \o "1-1" \h \z </w:instrText>
      </w:r>
      <w:r>
        <w:rPr>
          <w:rFonts w:cs="Arial"/>
          <w:b w:val="0"/>
          <w:bCs w:val="0"/>
          <w:caps w:val="0"/>
          <w:color w:val="auto"/>
          <w:sz w:val="24"/>
          <w:highlight w:val="none"/>
        </w:rPr>
        <w:fldChar w:fldCharType="separate"/>
      </w:r>
      <w:r>
        <w:rPr>
          <w:color w:val="auto"/>
          <w:highlight w:val="none"/>
        </w:rPr>
        <w:fldChar w:fldCharType="begin"/>
      </w:r>
      <w:r>
        <w:rPr>
          <w:color w:val="auto"/>
          <w:highlight w:val="none"/>
        </w:rPr>
        <w:instrText xml:space="preserve"> HYPERLINK \l "_Toc32471" </w:instrText>
      </w:r>
      <w:r>
        <w:rPr>
          <w:color w:val="auto"/>
          <w:highlight w:val="none"/>
        </w:rPr>
        <w:fldChar w:fldCharType="separate"/>
      </w:r>
      <w:r>
        <w:rPr>
          <w:rFonts w:cs="Arial"/>
          <w:color w:val="auto"/>
          <w:highlight w:val="none"/>
        </w:rPr>
        <w:t>目录</w:t>
      </w:r>
      <w:r>
        <w:rPr>
          <w:color w:val="auto"/>
          <w:highlight w:val="none"/>
        </w:rPr>
        <w:tab/>
      </w:r>
      <w:r>
        <w:rPr>
          <w:color w:val="auto"/>
          <w:highlight w:val="none"/>
        </w:rPr>
        <w:fldChar w:fldCharType="begin"/>
      </w:r>
      <w:r>
        <w:rPr>
          <w:color w:val="auto"/>
          <w:highlight w:val="none"/>
        </w:rPr>
        <w:instrText xml:space="preserve"> PAGEREF _Toc32471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30"/>
        <w:tabs>
          <w:tab w:val="right" w:leader="dot" w:pos="9185"/>
          <w:tab w:val="clear" w:pos="9403"/>
        </w:tabs>
        <w:rPr>
          <w:color w:val="auto"/>
          <w:highlight w:val="none"/>
        </w:rPr>
      </w:pPr>
      <w:r>
        <w:rPr>
          <w:color w:val="auto"/>
          <w:highlight w:val="none"/>
        </w:rPr>
        <w:fldChar w:fldCharType="begin"/>
      </w:r>
      <w:r>
        <w:rPr>
          <w:color w:val="auto"/>
          <w:highlight w:val="none"/>
        </w:rPr>
        <w:instrText xml:space="preserve"> HYPERLINK \l "_Toc3756" </w:instrText>
      </w:r>
      <w:r>
        <w:rPr>
          <w:color w:val="auto"/>
          <w:highlight w:val="none"/>
        </w:rPr>
        <w:fldChar w:fldCharType="separate"/>
      </w:r>
      <w:r>
        <w:rPr>
          <w:rFonts w:cs="Arial"/>
          <w:color w:val="auto"/>
          <w:highlight w:val="none"/>
        </w:rPr>
        <w:t>第一部分招标公告</w:t>
      </w:r>
      <w:r>
        <w:rPr>
          <w:color w:val="auto"/>
          <w:highlight w:val="none"/>
        </w:rPr>
        <w:tab/>
      </w:r>
      <w:r>
        <w:rPr>
          <w:color w:val="auto"/>
          <w:highlight w:val="none"/>
        </w:rPr>
        <w:fldChar w:fldCharType="begin"/>
      </w:r>
      <w:r>
        <w:rPr>
          <w:color w:val="auto"/>
          <w:highlight w:val="none"/>
        </w:rPr>
        <w:instrText xml:space="preserve"> PAGEREF _Toc3756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30"/>
        <w:tabs>
          <w:tab w:val="right" w:leader="dot" w:pos="9185"/>
          <w:tab w:val="clear" w:pos="9403"/>
        </w:tabs>
        <w:rPr>
          <w:color w:val="auto"/>
          <w:highlight w:val="none"/>
        </w:rPr>
      </w:pPr>
      <w:r>
        <w:rPr>
          <w:color w:val="auto"/>
          <w:highlight w:val="none"/>
        </w:rPr>
        <w:fldChar w:fldCharType="begin"/>
      </w:r>
      <w:r>
        <w:rPr>
          <w:color w:val="auto"/>
          <w:highlight w:val="none"/>
        </w:rPr>
        <w:instrText xml:space="preserve"> HYPERLINK \l "_Toc7044" </w:instrText>
      </w:r>
      <w:r>
        <w:rPr>
          <w:color w:val="auto"/>
          <w:highlight w:val="none"/>
        </w:rPr>
        <w:fldChar w:fldCharType="separate"/>
      </w:r>
      <w:r>
        <w:rPr>
          <w:rFonts w:cs="Arial"/>
          <w:color w:val="auto"/>
          <w:highlight w:val="none"/>
        </w:rPr>
        <w:t>第二部分编制和提交投标文件须知</w:t>
      </w:r>
      <w:r>
        <w:rPr>
          <w:color w:val="auto"/>
          <w:highlight w:val="none"/>
        </w:rPr>
        <w:tab/>
      </w:r>
      <w:r>
        <w:rPr>
          <w:color w:val="auto"/>
          <w:highlight w:val="none"/>
        </w:rPr>
        <w:fldChar w:fldCharType="begin"/>
      </w:r>
      <w:r>
        <w:rPr>
          <w:color w:val="auto"/>
          <w:highlight w:val="none"/>
        </w:rPr>
        <w:instrText xml:space="preserve"> PAGEREF _Toc7044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0"/>
        <w:tabs>
          <w:tab w:val="right" w:leader="dot" w:pos="9185"/>
          <w:tab w:val="clear" w:pos="9403"/>
        </w:tabs>
        <w:rPr>
          <w:color w:val="auto"/>
          <w:highlight w:val="none"/>
        </w:rPr>
      </w:pPr>
      <w:r>
        <w:rPr>
          <w:color w:val="auto"/>
          <w:highlight w:val="none"/>
        </w:rPr>
        <w:fldChar w:fldCharType="begin"/>
      </w:r>
      <w:r>
        <w:rPr>
          <w:color w:val="auto"/>
          <w:highlight w:val="none"/>
        </w:rPr>
        <w:instrText xml:space="preserve"> HYPERLINK \l "_Toc16869" </w:instrText>
      </w:r>
      <w:r>
        <w:rPr>
          <w:color w:val="auto"/>
          <w:highlight w:val="none"/>
        </w:rPr>
        <w:fldChar w:fldCharType="separate"/>
      </w:r>
      <w:r>
        <w:rPr>
          <w:rFonts w:cs="Arial"/>
          <w:color w:val="auto"/>
          <w:highlight w:val="none"/>
        </w:rPr>
        <w:t>第三部分评标办法</w:t>
      </w:r>
      <w:r>
        <w:rPr>
          <w:color w:val="auto"/>
          <w:highlight w:val="none"/>
        </w:rPr>
        <w:tab/>
      </w:r>
      <w:r>
        <w:rPr>
          <w:color w:val="auto"/>
          <w:highlight w:val="none"/>
        </w:rPr>
        <w:fldChar w:fldCharType="begin"/>
      </w:r>
      <w:r>
        <w:rPr>
          <w:color w:val="auto"/>
          <w:highlight w:val="none"/>
        </w:rPr>
        <w:instrText xml:space="preserve"> PAGEREF _Toc16869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30"/>
        <w:tabs>
          <w:tab w:val="right" w:leader="dot" w:pos="9185"/>
          <w:tab w:val="clear" w:pos="9403"/>
        </w:tabs>
        <w:rPr>
          <w:color w:val="auto"/>
          <w:highlight w:val="none"/>
        </w:rPr>
      </w:pPr>
      <w:r>
        <w:rPr>
          <w:color w:val="auto"/>
          <w:highlight w:val="none"/>
        </w:rPr>
        <w:fldChar w:fldCharType="begin"/>
      </w:r>
      <w:r>
        <w:rPr>
          <w:color w:val="auto"/>
          <w:highlight w:val="none"/>
        </w:rPr>
        <w:instrText xml:space="preserve"> HYPERLINK \l "_Toc8758" </w:instrText>
      </w:r>
      <w:r>
        <w:rPr>
          <w:color w:val="auto"/>
          <w:highlight w:val="none"/>
        </w:rPr>
        <w:fldChar w:fldCharType="separate"/>
      </w:r>
      <w:r>
        <w:rPr>
          <w:rFonts w:cs="Arial"/>
          <w:color w:val="auto"/>
          <w:highlight w:val="none"/>
        </w:rPr>
        <w:t>第四部分项目技术规范和服务要求</w:t>
      </w:r>
      <w:r>
        <w:rPr>
          <w:color w:val="auto"/>
          <w:highlight w:val="none"/>
        </w:rPr>
        <w:tab/>
      </w:r>
      <w:r>
        <w:rPr>
          <w:color w:val="auto"/>
          <w:highlight w:val="none"/>
        </w:rPr>
        <w:fldChar w:fldCharType="begin"/>
      </w:r>
      <w:r>
        <w:rPr>
          <w:color w:val="auto"/>
          <w:highlight w:val="none"/>
        </w:rPr>
        <w:instrText xml:space="preserve"> PAGEREF _Toc8758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30"/>
        <w:tabs>
          <w:tab w:val="right" w:leader="dot" w:pos="9185"/>
          <w:tab w:val="clear" w:pos="9403"/>
        </w:tabs>
        <w:rPr>
          <w:color w:val="auto"/>
          <w:highlight w:val="none"/>
        </w:rPr>
      </w:pPr>
      <w:r>
        <w:rPr>
          <w:color w:val="auto"/>
          <w:highlight w:val="none"/>
        </w:rPr>
        <w:fldChar w:fldCharType="begin"/>
      </w:r>
      <w:r>
        <w:rPr>
          <w:color w:val="auto"/>
          <w:highlight w:val="none"/>
        </w:rPr>
        <w:instrText xml:space="preserve"> HYPERLINK \l "_Toc6228" </w:instrText>
      </w:r>
      <w:r>
        <w:rPr>
          <w:color w:val="auto"/>
          <w:highlight w:val="none"/>
        </w:rPr>
        <w:fldChar w:fldCharType="separate"/>
      </w:r>
      <w:r>
        <w:rPr>
          <w:rFonts w:cs="Arial"/>
          <w:color w:val="auto"/>
          <w:highlight w:val="none"/>
        </w:rPr>
        <w:t>第五部分合同条款</w:t>
      </w:r>
      <w:r>
        <w:rPr>
          <w:color w:val="auto"/>
          <w:highlight w:val="none"/>
        </w:rPr>
        <w:tab/>
      </w:r>
      <w:r>
        <w:rPr>
          <w:color w:val="auto"/>
          <w:highlight w:val="none"/>
        </w:rPr>
        <w:fldChar w:fldCharType="begin"/>
      </w:r>
      <w:r>
        <w:rPr>
          <w:color w:val="auto"/>
          <w:highlight w:val="none"/>
        </w:rPr>
        <w:instrText xml:space="preserve"> PAGEREF _Toc6228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30"/>
        <w:tabs>
          <w:tab w:val="right" w:leader="dot" w:pos="9185"/>
          <w:tab w:val="clear" w:pos="9403"/>
        </w:tabs>
        <w:rPr>
          <w:color w:val="auto"/>
          <w:highlight w:val="none"/>
        </w:rPr>
      </w:pPr>
      <w:r>
        <w:rPr>
          <w:color w:val="auto"/>
          <w:highlight w:val="none"/>
        </w:rPr>
        <w:fldChar w:fldCharType="begin"/>
      </w:r>
      <w:r>
        <w:rPr>
          <w:color w:val="auto"/>
          <w:highlight w:val="none"/>
        </w:rPr>
        <w:instrText xml:space="preserve"> HYPERLINK \l "_Toc31867" </w:instrText>
      </w:r>
      <w:r>
        <w:rPr>
          <w:color w:val="auto"/>
          <w:highlight w:val="none"/>
        </w:rPr>
        <w:fldChar w:fldCharType="separate"/>
      </w:r>
      <w:r>
        <w:rPr>
          <w:rFonts w:cs="Arial"/>
          <w:color w:val="auto"/>
          <w:highlight w:val="none"/>
        </w:rPr>
        <w:t>第六部分应提交的有关格式范例</w:t>
      </w:r>
      <w:r>
        <w:rPr>
          <w:color w:val="auto"/>
          <w:highlight w:val="none"/>
        </w:rPr>
        <w:tab/>
      </w:r>
      <w:r>
        <w:rPr>
          <w:color w:val="auto"/>
          <w:highlight w:val="none"/>
        </w:rPr>
        <w:fldChar w:fldCharType="begin"/>
      </w:r>
      <w:r>
        <w:rPr>
          <w:color w:val="auto"/>
          <w:highlight w:val="none"/>
        </w:rPr>
        <w:instrText xml:space="preserve"> PAGEREF _Toc31867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snapToGrid w:val="0"/>
        <w:spacing w:line="300" w:lineRule="auto"/>
        <w:rPr>
          <w:rFonts w:ascii="Arial" w:hAnsi="Arial" w:cs="Arial"/>
          <w:color w:val="auto"/>
          <w:highlight w:val="none"/>
        </w:rPr>
      </w:pPr>
      <w:r>
        <w:rPr>
          <w:rFonts w:ascii="Arial" w:hAnsi="Arial" w:cs="Arial"/>
          <w:bCs/>
          <w:caps/>
          <w:color w:val="auto"/>
          <w:highlight w:val="none"/>
        </w:rPr>
        <w:fldChar w:fldCharType="end"/>
      </w:r>
    </w:p>
    <w:p>
      <w:pPr>
        <w:snapToGrid w:val="0"/>
        <w:spacing w:line="300" w:lineRule="auto"/>
        <w:rPr>
          <w:rFonts w:ascii="Arial" w:hAnsi="Arial" w:cs="Arial"/>
          <w:color w:val="auto"/>
          <w:sz w:val="28"/>
          <w:highlight w:val="none"/>
        </w:rPr>
      </w:pPr>
    </w:p>
    <w:p>
      <w:pPr>
        <w:snapToGrid w:val="0"/>
        <w:spacing w:line="300" w:lineRule="auto"/>
        <w:rPr>
          <w:rFonts w:ascii="Arial" w:hAnsi="Arial" w:cs="Arial"/>
          <w:color w:val="auto"/>
          <w:sz w:val="28"/>
          <w:highlight w:val="none"/>
        </w:rPr>
      </w:pPr>
    </w:p>
    <w:p>
      <w:pPr>
        <w:snapToGrid w:val="0"/>
        <w:spacing w:line="300" w:lineRule="auto"/>
        <w:ind w:firstLine="480" w:firstLineChars="229"/>
        <w:rPr>
          <w:rFonts w:ascii="Arial" w:hAnsi="Arial" w:cs="Arial"/>
          <w:color w:val="auto"/>
          <w:szCs w:val="21"/>
          <w:highlight w:val="none"/>
        </w:rPr>
      </w:pPr>
      <w:bookmarkStart w:id="2" w:name="_Toc91899869"/>
    </w:p>
    <w:p>
      <w:pPr>
        <w:snapToGrid w:val="0"/>
        <w:spacing w:line="300" w:lineRule="auto"/>
        <w:ind w:firstLine="480" w:firstLineChars="229"/>
        <w:rPr>
          <w:rFonts w:ascii="Arial" w:hAnsi="Arial" w:cs="Arial"/>
          <w:color w:val="auto"/>
          <w:szCs w:val="21"/>
          <w:highlight w:val="none"/>
        </w:rPr>
      </w:pPr>
    </w:p>
    <w:p>
      <w:pPr>
        <w:snapToGrid w:val="0"/>
        <w:spacing w:line="300" w:lineRule="auto"/>
        <w:ind w:firstLine="480" w:firstLineChars="229"/>
        <w:rPr>
          <w:rFonts w:ascii="Arial" w:hAnsi="Arial" w:cs="Arial"/>
          <w:color w:val="auto"/>
          <w:szCs w:val="21"/>
          <w:highlight w:val="none"/>
        </w:rPr>
      </w:pPr>
    </w:p>
    <w:p>
      <w:pPr>
        <w:snapToGrid w:val="0"/>
        <w:spacing w:line="300" w:lineRule="auto"/>
        <w:ind w:firstLine="480" w:firstLineChars="229"/>
        <w:rPr>
          <w:rFonts w:ascii="Arial" w:hAnsi="Arial" w:cs="Arial"/>
          <w:color w:val="auto"/>
          <w:szCs w:val="21"/>
          <w:highlight w:val="none"/>
        </w:rPr>
      </w:pPr>
    </w:p>
    <w:p>
      <w:pPr>
        <w:snapToGrid w:val="0"/>
        <w:spacing w:line="300" w:lineRule="auto"/>
        <w:ind w:firstLine="480" w:firstLineChars="229"/>
        <w:rPr>
          <w:rFonts w:ascii="Arial" w:hAnsi="Arial" w:cs="Arial"/>
          <w:color w:val="auto"/>
          <w:szCs w:val="21"/>
          <w:highlight w:val="none"/>
        </w:rPr>
      </w:pPr>
    </w:p>
    <w:p>
      <w:pPr>
        <w:snapToGrid w:val="0"/>
        <w:spacing w:line="300" w:lineRule="auto"/>
        <w:ind w:firstLine="480" w:firstLineChars="229"/>
        <w:rPr>
          <w:rFonts w:ascii="Arial" w:hAnsi="Arial" w:cs="Arial"/>
          <w:color w:val="auto"/>
          <w:szCs w:val="21"/>
          <w:highlight w:val="none"/>
        </w:rPr>
      </w:pPr>
    </w:p>
    <w:p>
      <w:pPr>
        <w:snapToGrid w:val="0"/>
        <w:spacing w:line="300" w:lineRule="auto"/>
        <w:ind w:firstLine="480" w:firstLineChars="229"/>
        <w:rPr>
          <w:rFonts w:ascii="Arial" w:hAnsi="Arial" w:cs="Arial"/>
          <w:color w:val="auto"/>
          <w:szCs w:val="21"/>
          <w:highlight w:val="none"/>
        </w:rPr>
      </w:pPr>
    </w:p>
    <w:p>
      <w:pPr>
        <w:snapToGrid w:val="0"/>
        <w:spacing w:line="300" w:lineRule="auto"/>
        <w:ind w:firstLine="480" w:firstLineChars="229"/>
        <w:rPr>
          <w:rFonts w:ascii="Arial" w:hAnsi="Arial" w:cs="Arial"/>
          <w:color w:val="auto"/>
          <w:szCs w:val="21"/>
          <w:highlight w:val="none"/>
        </w:rPr>
      </w:pPr>
    </w:p>
    <w:p>
      <w:pPr>
        <w:snapToGrid w:val="0"/>
        <w:spacing w:line="300" w:lineRule="auto"/>
        <w:ind w:firstLine="480" w:firstLineChars="229"/>
        <w:rPr>
          <w:rFonts w:ascii="Arial" w:hAnsi="Arial" w:cs="Arial"/>
          <w:color w:val="auto"/>
          <w:szCs w:val="21"/>
          <w:highlight w:val="none"/>
        </w:rPr>
      </w:pPr>
    </w:p>
    <w:p>
      <w:pPr>
        <w:snapToGrid w:val="0"/>
        <w:spacing w:line="300" w:lineRule="auto"/>
        <w:ind w:firstLine="480" w:firstLineChars="229"/>
        <w:rPr>
          <w:rFonts w:ascii="Arial" w:hAnsi="Arial" w:cs="Arial"/>
          <w:color w:val="auto"/>
          <w:szCs w:val="21"/>
          <w:highlight w:val="none"/>
        </w:rPr>
      </w:pPr>
    </w:p>
    <w:p>
      <w:pPr>
        <w:snapToGrid w:val="0"/>
        <w:spacing w:line="300" w:lineRule="auto"/>
        <w:rPr>
          <w:rFonts w:ascii="Arial" w:hAnsi="Arial" w:cs="Arial"/>
          <w:color w:val="auto"/>
          <w:szCs w:val="21"/>
          <w:highlight w:val="none"/>
        </w:rPr>
      </w:pPr>
      <w:r>
        <w:rPr>
          <w:rFonts w:ascii="Arial" w:hAnsi="Arial" w:cs="Arial"/>
          <w:color w:val="auto"/>
          <w:szCs w:val="21"/>
          <w:highlight w:val="none"/>
        </w:rPr>
        <w:br w:type="page"/>
      </w:r>
    </w:p>
    <w:p>
      <w:pPr>
        <w:pStyle w:val="3"/>
        <w:spacing w:before="120"/>
        <w:rPr>
          <w:rFonts w:ascii="Arial" w:hAnsi="Arial" w:cs="Arial"/>
          <w:color w:val="auto"/>
          <w:highlight w:val="none"/>
        </w:rPr>
      </w:pPr>
      <w:bookmarkStart w:id="3" w:name="_Toc3756"/>
      <w:bookmarkStart w:id="4" w:name="_Toc497919819"/>
      <w:r>
        <w:rPr>
          <w:rFonts w:ascii="Arial" w:hAnsi="Arial" w:cs="Arial"/>
          <w:color w:val="auto"/>
          <w:highlight w:val="none"/>
        </w:rPr>
        <w:t>第一部分招标公告</w:t>
      </w:r>
      <w:bookmarkEnd w:id="2"/>
      <w:bookmarkEnd w:id="3"/>
      <w:bookmarkEnd w:id="4"/>
    </w:p>
    <w:p>
      <w:pPr>
        <w:widowControl/>
        <w:adjustRightInd w:val="0"/>
        <w:snapToGrid w:val="0"/>
        <w:spacing w:line="300" w:lineRule="auto"/>
        <w:ind w:firstLine="420" w:firstLineChars="200"/>
        <w:jc w:val="left"/>
        <w:rPr>
          <w:rFonts w:ascii="Arial" w:hAnsi="Arial" w:cs="Arial"/>
          <w:color w:val="auto"/>
          <w:kern w:val="0"/>
          <w:szCs w:val="21"/>
          <w:highlight w:val="none"/>
        </w:rPr>
      </w:pPr>
      <w:bookmarkStart w:id="5" w:name="_Toc91899870"/>
      <w:bookmarkStart w:id="6" w:name="_Toc91899871"/>
      <w:r>
        <w:rPr>
          <w:rFonts w:ascii="Arial" w:hAnsi="Arial" w:cs="Arial"/>
          <w:color w:val="auto"/>
          <w:kern w:val="0"/>
          <w:szCs w:val="21"/>
          <w:highlight w:val="none"/>
        </w:rPr>
        <w:t>根据《中华人民共和国政府采购法》等有关规定，浙江省成套招标代理有限公司受杭州市拱墅区城市管理局委托，就</w:t>
      </w:r>
      <w:r>
        <w:rPr>
          <w:rFonts w:hint="eastAsia" w:ascii="Arial" w:hAnsi="Arial" w:cs="Arial"/>
          <w:color w:val="auto"/>
          <w:szCs w:val="21"/>
          <w:highlight w:val="none"/>
        </w:rPr>
        <w:t>2020年拱墅区“峰会”亮灯工程</w:t>
      </w:r>
      <w:r>
        <w:rPr>
          <w:rFonts w:hint="eastAsia" w:cs="Arial" w:asciiTheme="minorEastAsia" w:hAnsiTheme="minorEastAsia" w:eastAsiaTheme="minorEastAsia"/>
          <w:color w:val="auto"/>
          <w:szCs w:val="21"/>
          <w:highlight w:val="none"/>
        </w:rPr>
        <w:t>第</w:t>
      </w:r>
      <w:r>
        <w:rPr>
          <w:rFonts w:hint="eastAsia" w:ascii="Arial" w:hAnsi="Arial" w:cs="Arial"/>
          <w:color w:val="auto"/>
          <w:szCs w:val="21"/>
          <w:highlight w:val="none"/>
        </w:rPr>
        <w:t>二次运行维护项目</w:t>
      </w:r>
      <w:r>
        <w:rPr>
          <w:rFonts w:ascii="Arial" w:hAnsi="Arial" w:cs="Arial"/>
          <w:color w:val="auto"/>
          <w:kern w:val="0"/>
          <w:szCs w:val="21"/>
          <w:highlight w:val="none"/>
        </w:rPr>
        <w:t>进行公开招标，欢迎国内合格的投标人前来投标。</w:t>
      </w:r>
    </w:p>
    <w:p>
      <w:pPr>
        <w:widowControl/>
        <w:adjustRightInd w:val="0"/>
        <w:snapToGrid w:val="0"/>
        <w:spacing w:line="300" w:lineRule="auto"/>
        <w:ind w:firstLine="422" w:firstLineChars="200"/>
        <w:jc w:val="left"/>
        <w:rPr>
          <w:rFonts w:cs="Arial" w:asciiTheme="minorEastAsia" w:hAnsiTheme="minorEastAsia" w:eastAsiaTheme="minorEastAsia"/>
          <w:color w:val="auto"/>
          <w:kern w:val="0"/>
          <w:szCs w:val="21"/>
          <w:highlight w:val="none"/>
        </w:rPr>
      </w:pPr>
      <w:r>
        <w:rPr>
          <w:rFonts w:cs="Arial" w:asciiTheme="minorEastAsia" w:hAnsiTheme="minorEastAsia" w:eastAsiaTheme="minorEastAsia"/>
          <w:b/>
          <w:bCs/>
          <w:color w:val="auto"/>
          <w:kern w:val="0"/>
          <w:szCs w:val="21"/>
          <w:highlight w:val="none"/>
        </w:rPr>
        <w:t>一、项目名称：</w:t>
      </w:r>
      <w:r>
        <w:rPr>
          <w:rFonts w:hint="eastAsia" w:cs="Arial" w:asciiTheme="minorEastAsia" w:hAnsiTheme="minorEastAsia" w:eastAsiaTheme="minorEastAsia"/>
          <w:color w:val="auto"/>
          <w:szCs w:val="21"/>
          <w:highlight w:val="none"/>
        </w:rPr>
        <w:t>2020年拱墅区“峰会”亮灯工程第二次运行维护项目</w:t>
      </w:r>
    </w:p>
    <w:p>
      <w:pPr>
        <w:widowControl/>
        <w:adjustRightInd w:val="0"/>
        <w:snapToGrid w:val="0"/>
        <w:spacing w:line="300" w:lineRule="auto"/>
        <w:ind w:firstLine="422" w:firstLineChars="200"/>
        <w:jc w:val="left"/>
        <w:rPr>
          <w:rFonts w:hint="eastAsia" w:ascii="Arial" w:hAnsi="Arial" w:eastAsia="宋体" w:cs="Arial"/>
          <w:color w:val="auto"/>
          <w:kern w:val="0"/>
          <w:szCs w:val="21"/>
          <w:highlight w:val="none"/>
          <w:lang w:eastAsia="zh-CN"/>
        </w:rPr>
      </w:pPr>
      <w:r>
        <w:rPr>
          <w:rFonts w:ascii="Arial" w:hAnsi="Arial" w:cs="Arial"/>
          <w:b/>
          <w:bCs/>
          <w:color w:val="auto"/>
          <w:kern w:val="0"/>
          <w:szCs w:val="21"/>
          <w:highlight w:val="none"/>
        </w:rPr>
        <w:t>二、项目编号：</w:t>
      </w:r>
      <w:r>
        <w:rPr>
          <w:rFonts w:hint="eastAsia" w:ascii="Arial" w:hAnsi="Arial" w:cs="Arial"/>
          <w:color w:val="auto"/>
          <w:kern w:val="0"/>
          <w:szCs w:val="21"/>
          <w:highlight w:val="none"/>
          <w:lang w:eastAsia="zh-CN"/>
        </w:rPr>
        <w:t>CTZB-2020040466</w:t>
      </w:r>
    </w:p>
    <w:p>
      <w:pPr>
        <w:widowControl/>
        <w:adjustRightInd w:val="0"/>
        <w:snapToGrid w:val="0"/>
        <w:spacing w:line="300" w:lineRule="auto"/>
        <w:ind w:firstLine="422" w:firstLineChars="200"/>
        <w:jc w:val="left"/>
        <w:rPr>
          <w:rFonts w:ascii="Arial" w:hAnsi="Arial" w:cs="Arial"/>
          <w:color w:val="auto"/>
          <w:kern w:val="0"/>
          <w:szCs w:val="21"/>
          <w:highlight w:val="none"/>
        </w:rPr>
      </w:pPr>
      <w:r>
        <w:rPr>
          <w:rFonts w:ascii="Arial" w:hAnsi="Arial" w:cs="Arial"/>
          <w:b/>
          <w:bCs/>
          <w:color w:val="auto"/>
          <w:kern w:val="0"/>
          <w:szCs w:val="21"/>
          <w:highlight w:val="none"/>
        </w:rPr>
        <w:t>三、采购方式：</w:t>
      </w:r>
      <w:r>
        <w:rPr>
          <w:rFonts w:ascii="Arial" w:hAnsi="Arial" w:cs="Arial"/>
          <w:color w:val="auto"/>
          <w:kern w:val="0"/>
          <w:szCs w:val="21"/>
          <w:highlight w:val="none"/>
        </w:rPr>
        <w:t>公开招标</w:t>
      </w:r>
    </w:p>
    <w:p>
      <w:pPr>
        <w:widowControl/>
        <w:adjustRightInd w:val="0"/>
        <w:snapToGrid w:val="0"/>
        <w:spacing w:line="300" w:lineRule="auto"/>
        <w:ind w:firstLine="422" w:firstLineChars="200"/>
        <w:jc w:val="left"/>
        <w:rPr>
          <w:rFonts w:ascii="Arial" w:hAnsi="Arial" w:cs="Arial"/>
          <w:color w:val="auto"/>
          <w:kern w:val="0"/>
          <w:szCs w:val="21"/>
          <w:highlight w:val="none"/>
        </w:rPr>
      </w:pPr>
      <w:r>
        <w:rPr>
          <w:rFonts w:ascii="Arial" w:hAnsi="Arial" w:cs="Arial"/>
          <w:b/>
          <w:bCs/>
          <w:color w:val="auto"/>
          <w:kern w:val="0"/>
          <w:szCs w:val="21"/>
          <w:highlight w:val="none"/>
        </w:rPr>
        <w:t>四、交易方式：</w:t>
      </w:r>
      <w:r>
        <w:rPr>
          <w:rFonts w:ascii="Arial" w:hAnsi="Arial" w:cs="Arial"/>
          <w:color w:val="auto"/>
          <w:kern w:val="0"/>
          <w:szCs w:val="21"/>
          <w:highlight w:val="none"/>
        </w:rPr>
        <w:t>政府采购电子交易</w:t>
      </w:r>
    </w:p>
    <w:p>
      <w:pPr>
        <w:widowControl/>
        <w:adjustRightInd w:val="0"/>
        <w:snapToGrid w:val="0"/>
        <w:spacing w:line="300" w:lineRule="auto"/>
        <w:ind w:firstLine="422" w:firstLineChars="200"/>
        <w:jc w:val="left"/>
        <w:rPr>
          <w:rFonts w:ascii="Arial" w:hAnsi="Arial" w:cs="Arial"/>
          <w:color w:val="auto"/>
          <w:kern w:val="0"/>
          <w:szCs w:val="21"/>
          <w:highlight w:val="none"/>
        </w:rPr>
      </w:pPr>
      <w:r>
        <w:rPr>
          <w:rFonts w:ascii="Arial" w:hAnsi="Arial" w:cs="Arial"/>
          <w:b/>
          <w:bCs/>
          <w:color w:val="auto"/>
          <w:kern w:val="0"/>
          <w:szCs w:val="21"/>
          <w:highlight w:val="none"/>
        </w:rPr>
        <w:t>五、公告期限（招标文件公告期限）：</w:t>
      </w:r>
      <w:r>
        <w:rPr>
          <w:rFonts w:ascii="Arial" w:hAnsi="Arial" w:cs="Arial"/>
          <w:color w:val="auto"/>
          <w:kern w:val="0"/>
          <w:szCs w:val="21"/>
          <w:highlight w:val="none"/>
        </w:rPr>
        <w:t>本公告发布之日起5个工作日</w:t>
      </w:r>
    </w:p>
    <w:p>
      <w:pPr>
        <w:widowControl/>
        <w:adjustRightInd w:val="0"/>
        <w:snapToGrid w:val="0"/>
        <w:spacing w:line="300" w:lineRule="auto"/>
        <w:ind w:firstLine="422" w:firstLineChars="200"/>
        <w:jc w:val="left"/>
        <w:rPr>
          <w:rFonts w:ascii="Arial" w:hAnsi="Arial" w:cs="Arial"/>
          <w:color w:val="auto"/>
          <w:kern w:val="0"/>
          <w:szCs w:val="21"/>
          <w:highlight w:val="none"/>
        </w:rPr>
      </w:pPr>
      <w:r>
        <w:rPr>
          <w:rFonts w:ascii="Arial" w:hAnsi="Arial" w:cs="Arial"/>
          <w:b/>
          <w:bCs/>
          <w:color w:val="auto"/>
          <w:kern w:val="0"/>
          <w:szCs w:val="21"/>
          <w:highlight w:val="none"/>
        </w:rPr>
        <w:t>六、招标</w:t>
      </w:r>
      <w:r>
        <w:rPr>
          <w:rFonts w:hint="eastAsia" w:ascii="Arial" w:hAnsi="Arial" w:cs="Arial"/>
          <w:b/>
          <w:bCs/>
          <w:color w:val="auto"/>
          <w:kern w:val="0"/>
          <w:szCs w:val="21"/>
          <w:highlight w:val="none"/>
        </w:rPr>
        <w:t>项</w:t>
      </w:r>
      <w:r>
        <w:rPr>
          <w:rFonts w:ascii="Arial" w:hAnsi="Arial" w:cs="Arial"/>
          <w:b/>
          <w:bCs/>
          <w:color w:val="auto"/>
          <w:kern w:val="0"/>
          <w:szCs w:val="21"/>
          <w:highlight w:val="none"/>
        </w:rPr>
        <w:t>目概况（内容、用途、数量、简要技术要求等）：</w:t>
      </w:r>
    </w:p>
    <w:tbl>
      <w:tblPr>
        <w:tblStyle w:val="47"/>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703"/>
        <w:gridCol w:w="750"/>
        <w:gridCol w:w="770"/>
        <w:gridCol w:w="1160"/>
        <w:gridCol w:w="2427"/>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标</w:t>
            </w:r>
            <w:r>
              <w:rPr>
                <w:rFonts w:hint="eastAsia" w:ascii="Arial" w:hAnsi="Arial" w:cs="Arial"/>
                <w:color w:val="auto"/>
                <w:kern w:val="0"/>
                <w:szCs w:val="21"/>
                <w:highlight w:val="none"/>
              </w:rPr>
              <w:t>段</w:t>
            </w:r>
            <w:r>
              <w:rPr>
                <w:rFonts w:ascii="Arial" w:hAnsi="Arial" w:cs="Arial"/>
                <w:color w:val="auto"/>
                <w:kern w:val="0"/>
                <w:szCs w:val="21"/>
                <w:highlight w:val="none"/>
              </w:rPr>
              <w:t>名称</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数量</w:t>
            </w:r>
          </w:p>
        </w:tc>
        <w:tc>
          <w:tcPr>
            <w:tcW w:w="7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单位</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预算金额</w:t>
            </w:r>
          </w:p>
        </w:tc>
        <w:tc>
          <w:tcPr>
            <w:tcW w:w="2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简要技术要求</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auto"/>
                <w:kern w:val="0"/>
                <w:szCs w:val="21"/>
                <w:highlight w:val="none"/>
              </w:rPr>
            </w:pPr>
            <w:r>
              <w:rPr>
                <w:rFonts w:ascii="Arial" w:hAnsi="Arial" w:cs="Arial"/>
                <w:color w:val="auto"/>
                <w:kern w:val="0"/>
                <w:szCs w:val="21"/>
                <w:highlight w:val="none"/>
              </w:rPr>
              <w:t>1</w:t>
            </w:r>
          </w:p>
        </w:tc>
        <w:tc>
          <w:tcPr>
            <w:tcW w:w="17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auto"/>
                <w:kern w:val="0"/>
                <w:szCs w:val="21"/>
                <w:highlight w:val="none"/>
              </w:rPr>
            </w:pPr>
            <w:r>
              <w:rPr>
                <w:rFonts w:ascii="Arial" w:hAnsi="Arial" w:cs="Arial"/>
                <w:color w:val="auto"/>
                <w:highlight w:val="none"/>
              </w:rPr>
              <w:t>20</w:t>
            </w:r>
            <w:r>
              <w:rPr>
                <w:rFonts w:hint="eastAsia" w:ascii="Arial" w:hAnsi="Arial" w:cs="Arial"/>
                <w:color w:val="auto"/>
                <w:highlight w:val="none"/>
              </w:rPr>
              <w:t>20</w:t>
            </w:r>
            <w:r>
              <w:rPr>
                <w:rFonts w:ascii="Arial" w:hAnsi="Arial" w:cs="Arial"/>
                <w:color w:val="auto"/>
                <w:highlight w:val="none"/>
              </w:rPr>
              <w:t>年拱墅区“峰会”亮灯工程第</w:t>
            </w:r>
            <w:r>
              <w:rPr>
                <w:rFonts w:hint="eastAsia" w:ascii="Arial" w:hAnsi="Arial" w:cs="Arial"/>
                <w:color w:val="auto"/>
                <w:highlight w:val="none"/>
              </w:rPr>
              <w:t>二</w:t>
            </w:r>
            <w:r>
              <w:rPr>
                <w:rFonts w:ascii="Arial" w:hAnsi="Arial" w:cs="Arial"/>
                <w:color w:val="auto"/>
                <w:highlight w:val="none"/>
              </w:rPr>
              <w:t>次运行维护项目</w:t>
            </w:r>
            <w:r>
              <w:rPr>
                <w:rFonts w:hint="eastAsia" w:ascii="Arial" w:hAnsi="Arial" w:cs="Arial"/>
                <w:color w:val="auto"/>
                <w:highlight w:val="none"/>
              </w:rPr>
              <w:t>（标段一）</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snapToGrid w:val="0"/>
                <w:color w:val="auto"/>
                <w:kern w:val="0"/>
                <w:szCs w:val="21"/>
                <w:highlight w:val="none"/>
              </w:rPr>
            </w:pPr>
            <w:r>
              <w:rPr>
                <w:rFonts w:ascii="Arial" w:hAnsi="Arial" w:cs="Arial"/>
                <w:snapToGrid w:val="0"/>
                <w:color w:val="auto"/>
                <w:kern w:val="0"/>
                <w:szCs w:val="21"/>
                <w:highlight w:val="none"/>
              </w:rPr>
              <w:t>1</w:t>
            </w: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snapToGrid w:val="0"/>
                <w:color w:val="auto"/>
                <w:kern w:val="0"/>
                <w:szCs w:val="21"/>
                <w:highlight w:val="none"/>
              </w:rPr>
            </w:pPr>
            <w:r>
              <w:rPr>
                <w:rFonts w:ascii="Arial" w:hAnsi="Arial" w:cs="Arial"/>
                <w:snapToGrid w:val="0"/>
                <w:color w:val="auto"/>
                <w:kern w:val="0"/>
                <w:szCs w:val="21"/>
                <w:highlight w:val="none"/>
              </w:rPr>
              <w:t>项</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snapToGrid w:val="0"/>
                <w:color w:val="auto"/>
                <w:kern w:val="0"/>
                <w:szCs w:val="21"/>
                <w:highlight w:val="none"/>
              </w:rPr>
            </w:pPr>
            <w:r>
              <w:rPr>
                <w:rFonts w:hint="eastAsia" w:ascii="Arial" w:hAnsi="Arial" w:cs="Arial"/>
                <w:snapToGrid w:val="0"/>
                <w:color w:val="auto"/>
                <w:kern w:val="0"/>
                <w:szCs w:val="21"/>
                <w:highlight w:val="none"/>
              </w:rPr>
              <w:t xml:space="preserve"> 309</w:t>
            </w:r>
            <w:r>
              <w:rPr>
                <w:rFonts w:ascii="Arial" w:hAnsi="Arial" w:cs="Arial"/>
                <w:snapToGrid w:val="0"/>
                <w:color w:val="auto"/>
                <w:kern w:val="0"/>
                <w:szCs w:val="21"/>
                <w:highlight w:val="none"/>
              </w:rPr>
              <w:t>万元</w:t>
            </w:r>
          </w:p>
        </w:tc>
        <w:tc>
          <w:tcPr>
            <w:tcW w:w="2427"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Arial" w:hAnsi="Arial" w:cs="Arial"/>
                <w:snapToGrid w:val="0"/>
                <w:color w:val="auto"/>
                <w:szCs w:val="21"/>
                <w:highlight w:val="none"/>
              </w:rPr>
            </w:pPr>
            <w:r>
              <w:rPr>
                <w:rFonts w:hint="eastAsia" w:ascii="Arial" w:hAnsi="Arial" w:cs="Arial"/>
                <w:color w:val="auto"/>
                <w:highlight w:val="none"/>
              </w:rPr>
              <w:t>主要养护内容：包括灯具、光源、电器、灯杆、标识牌、照明节能设施、配电设施及相关电线电缆等日常养护，防汛、抗雪防冻应急保障工作、智慧亮灯等。</w:t>
            </w:r>
            <w:r>
              <w:rPr>
                <w:rFonts w:ascii="Arial" w:hAnsi="Arial" w:cs="Arial"/>
                <w:color w:val="auto"/>
                <w:highlight w:val="none"/>
              </w:rPr>
              <w:t>详见采购内容及需求</w:t>
            </w:r>
          </w:p>
        </w:tc>
        <w:tc>
          <w:tcPr>
            <w:tcW w:w="1819" w:type="dxa"/>
            <w:vAlign w:val="center"/>
          </w:tcPr>
          <w:p>
            <w:pPr>
              <w:widowControl/>
              <w:snapToGrid w:val="0"/>
              <w:spacing w:line="300" w:lineRule="auto"/>
              <w:jc w:val="center"/>
              <w:rPr>
                <w:rFonts w:ascii="Arial" w:hAnsi="Arial" w:cs="Arial"/>
                <w:color w:val="auto"/>
                <w:highlight w:val="none"/>
              </w:rPr>
            </w:pPr>
            <w:r>
              <w:rPr>
                <w:rFonts w:ascii="Arial" w:hAnsi="Arial" w:cs="Arial"/>
                <w:color w:val="auto"/>
                <w:highlight w:val="none"/>
              </w:rPr>
              <w:t>拱政采分-2020-00124[GSZFCG-YS-2020-02969]，</w:t>
            </w:r>
            <w:r>
              <w:rPr>
                <w:rFonts w:hint="eastAsia" w:ascii="Arial" w:hAnsi="Arial" w:cs="Arial"/>
                <w:color w:val="auto"/>
                <w:highlight w:val="none"/>
              </w:rPr>
              <w:t>最高限价309万元/年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auto"/>
                <w:kern w:val="0"/>
                <w:szCs w:val="21"/>
                <w:highlight w:val="none"/>
              </w:rPr>
            </w:pPr>
            <w:r>
              <w:rPr>
                <w:rFonts w:hint="eastAsia" w:ascii="Arial" w:hAnsi="Arial" w:cs="Arial"/>
                <w:color w:val="auto"/>
                <w:kern w:val="0"/>
                <w:szCs w:val="21"/>
                <w:highlight w:val="none"/>
              </w:rPr>
              <w:t>2</w:t>
            </w:r>
          </w:p>
        </w:tc>
        <w:tc>
          <w:tcPr>
            <w:tcW w:w="17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auto"/>
                <w:highlight w:val="none"/>
              </w:rPr>
            </w:pPr>
            <w:r>
              <w:rPr>
                <w:rFonts w:ascii="Arial" w:hAnsi="Arial" w:cs="Arial"/>
                <w:color w:val="auto"/>
                <w:highlight w:val="none"/>
              </w:rPr>
              <w:t>20</w:t>
            </w:r>
            <w:r>
              <w:rPr>
                <w:rFonts w:hint="eastAsia" w:ascii="Arial" w:hAnsi="Arial" w:cs="Arial"/>
                <w:color w:val="auto"/>
                <w:highlight w:val="none"/>
              </w:rPr>
              <w:t>20</w:t>
            </w:r>
            <w:r>
              <w:rPr>
                <w:rFonts w:ascii="Arial" w:hAnsi="Arial" w:cs="Arial"/>
                <w:color w:val="auto"/>
                <w:highlight w:val="none"/>
              </w:rPr>
              <w:t>年拱墅区“峰会”亮灯工程第</w:t>
            </w:r>
            <w:r>
              <w:rPr>
                <w:rFonts w:hint="eastAsia" w:ascii="Arial" w:hAnsi="Arial" w:cs="Arial"/>
                <w:color w:val="auto"/>
                <w:highlight w:val="none"/>
              </w:rPr>
              <w:t>二</w:t>
            </w:r>
            <w:r>
              <w:rPr>
                <w:rFonts w:ascii="Arial" w:hAnsi="Arial" w:cs="Arial"/>
                <w:color w:val="auto"/>
                <w:highlight w:val="none"/>
              </w:rPr>
              <w:t>次运行维护项目</w:t>
            </w:r>
            <w:r>
              <w:rPr>
                <w:rFonts w:hint="eastAsia" w:ascii="Arial" w:hAnsi="Arial" w:cs="Arial"/>
                <w:color w:val="auto"/>
                <w:highlight w:val="none"/>
              </w:rPr>
              <w:t>（标段二）</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snapToGrid w:val="0"/>
                <w:color w:val="auto"/>
                <w:kern w:val="0"/>
                <w:szCs w:val="21"/>
                <w:highlight w:val="none"/>
              </w:rPr>
            </w:pPr>
            <w:r>
              <w:rPr>
                <w:rFonts w:hint="eastAsia" w:ascii="Arial" w:hAnsi="Arial" w:cs="Arial"/>
                <w:snapToGrid w:val="0"/>
                <w:color w:val="auto"/>
                <w:kern w:val="0"/>
                <w:szCs w:val="21"/>
                <w:highlight w:val="none"/>
              </w:rPr>
              <w:t>1</w:t>
            </w: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snapToGrid w:val="0"/>
                <w:color w:val="auto"/>
                <w:kern w:val="0"/>
                <w:szCs w:val="21"/>
                <w:highlight w:val="none"/>
              </w:rPr>
            </w:pPr>
            <w:r>
              <w:rPr>
                <w:rFonts w:hint="eastAsia" w:ascii="Arial" w:hAnsi="Arial" w:cs="Arial"/>
                <w:snapToGrid w:val="0"/>
                <w:color w:val="auto"/>
                <w:kern w:val="0"/>
                <w:szCs w:val="21"/>
                <w:highlight w:val="none"/>
              </w:rPr>
              <w:t>项</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snapToGrid w:val="0"/>
                <w:color w:val="auto"/>
                <w:kern w:val="0"/>
                <w:szCs w:val="21"/>
                <w:highlight w:val="none"/>
              </w:rPr>
            </w:pPr>
            <w:r>
              <w:rPr>
                <w:rFonts w:hint="eastAsia" w:ascii="Arial" w:hAnsi="Arial" w:cs="Arial"/>
                <w:snapToGrid w:val="0"/>
                <w:color w:val="auto"/>
                <w:kern w:val="0"/>
                <w:szCs w:val="21"/>
                <w:highlight w:val="none"/>
              </w:rPr>
              <w:t>241万元</w:t>
            </w:r>
          </w:p>
        </w:tc>
        <w:tc>
          <w:tcPr>
            <w:tcW w:w="2427"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Arial" w:hAnsi="Arial" w:cs="Arial"/>
                <w:snapToGrid w:val="0"/>
                <w:color w:val="auto"/>
                <w:szCs w:val="21"/>
                <w:highlight w:val="none"/>
              </w:rPr>
            </w:pPr>
            <w:r>
              <w:rPr>
                <w:rFonts w:hint="eastAsia" w:ascii="Arial" w:hAnsi="Arial" w:cs="Arial"/>
                <w:color w:val="auto"/>
                <w:highlight w:val="none"/>
              </w:rPr>
              <w:t>主要养护内容：包括灯具、光源、电器、灯杆、标识牌、照明节能设施、配电设施及相关电线电缆等日常养护，防汛、抗雪防冻应急保障工作、媒体播放等。</w:t>
            </w:r>
            <w:r>
              <w:rPr>
                <w:rFonts w:ascii="Arial" w:hAnsi="Arial" w:cs="Arial"/>
                <w:color w:val="auto"/>
                <w:highlight w:val="none"/>
              </w:rPr>
              <w:t>详见采购内容及需求</w:t>
            </w:r>
          </w:p>
        </w:tc>
        <w:tc>
          <w:tcPr>
            <w:tcW w:w="1819" w:type="dxa"/>
            <w:vAlign w:val="center"/>
          </w:tcPr>
          <w:p>
            <w:pPr>
              <w:widowControl/>
              <w:snapToGrid w:val="0"/>
              <w:spacing w:line="300" w:lineRule="auto"/>
              <w:jc w:val="center"/>
              <w:rPr>
                <w:rFonts w:ascii="Arial" w:hAnsi="Arial" w:cs="Arial"/>
                <w:color w:val="auto"/>
                <w:highlight w:val="none"/>
              </w:rPr>
            </w:pPr>
            <w:r>
              <w:rPr>
                <w:color w:val="auto"/>
                <w:highlight w:val="none"/>
              </w:rPr>
              <w:fldChar w:fldCharType="begin"/>
            </w:r>
            <w:r>
              <w:rPr>
                <w:color w:val="auto"/>
                <w:highlight w:val="none"/>
              </w:rPr>
              <w:instrText xml:space="preserve"> HYPERLINK "https://pay.zcygov.cn/purchaseplan_front/" \l "/plan/list/detail?id=1000000000002371463&amp;encrypt=09bbca69bd56b8fd3234af30b70c6b8c" \t "_blank" </w:instrText>
            </w:r>
            <w:r>
              <w:rPr>
                <w:color w:val="auto"/>
                <w:highlight w:val="none"/>
              </w:rPr>
              <w:fldChar w:fldCharType="separate"/>
            </w:r>
            <w:r>
              <w:rPr>
                <w:rFonts w:hint="eastAsia" w:ascii="Arial" w:hAnsi="Arial" w:cs="Arial"/>
                <w:color w:val="auto"/>
                <w:highlight w:val="none"/>
              </w:rPr>
              <w:t>拱政采分-2020-00124[GSZFCG-YS-2020-00292]</w:t>
            </w:r>
            <w:r>
              <w:rPr>
                <w:rFonts w:hint="eastAsia" w:ascii="Arial" w:hAnsi="Arial" w:cs="Arial"/>
                <w:color w:val="auto"/>
                <w:highlight w:val="none"/>
              </w:rPr>
              <w:fldChar w:fldCharType="end"/>
            </w:r>
            <w:r>
              <w:rPr>
                <w:color w:val="auto"/>
                <w:highlight w:val="none"/>
              </w:rPr>
              <w:t>，</w:t>
            </w:r>
            <w:r>
              <w:rPr>
                <w:rFonts w:hint="eastAsia" w:ascii="Arial" w:hAnsi="Arial" w:cs="Arial"/>
                <w:color w:val="auto"/>
                <w:highlight w:val="none"/>
              </w:rPr>
              <w:t>最高限价241万元/年</w:t>
            </w:r>
          </w:p>
        </w:tc>
      </w:tr>
    </w:tbl>
    <w:p>
      <w:pPr>
        <w:widowControl/>
        <w:adjustRightInd w:val="0"/>
        <w:snapToGrid w:val="0"/>
        <w:spacing w:line="300" w:lineRule="auto"/>
        <w:ind w:firstLine="422" w:firstLineChars="200"/>
        <w:rPr>
          <w:rFonts w:ascii="Arial" w:hAnsi="Arial" w:cs="Arial"/>
          <w:b/>
          <w:bCs/>
          <w:color w:val="auto"/>
          <w:kern w:val="0"/>
          <w:szCs w:val="21"/>
          <w:highlight w:val="none"/>
        </w:rPr>
      </w:pPr>
      <w:r>
        <w:rPr>
          <w:rFonts w:ascii="Arial" w:hAnsi="Arial" w:cs="Arial"/>
          <w:b/>
          <w:bCs/>
          <w:color w:val="auto"/>
          <w:kern w:val="0"/>
          <w:szCs w:val="21"/>
          <w:highlight w:val="none"/>
        </w:rPr>
        <w:t>七、投标人资格要求：</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1. 基本资格要求：</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（1）具有独立承担民事责任的能力；</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（2）具有良好的商业信誉和健全的财务会计制度；</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（3）具有履行合同所必需的设备和专业技术能力；</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（4）有依法缴纳税收和社会保障资金的良好记录；</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（5）参加政府采购活动前三年内，在经营活动中没有重大违法记录；</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（6）未被“信用中国”（www.creditchina.gov.cn）、中国政府采购网（www.ccgp.gov.cn）列入失信被执行人、重大税收违法案件当事人名单、政府采购严重违法失信行为记录名单。</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（7）单位负责人为同一人或者存在直接控股、管理关系的不同投标人，不得参加同一合同项下的政府采购活动；</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2. 特定资格要求：</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1）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（2）非联合体</w:t>
      </w:r>
      <w:r>
        <w:rPr>
          <w:rFonts w:hint="eastAsia" w:ascii="Arial" w:hAnsi="Arial" w:cs="Arial"/>
          <w:color w:val="auto"/>
          <w:kern w:val="0"/>
          <w:szCs w:val="21"/>
          <w:highlight w:val="none"/>
        </w:rPr>
        <w:t>；</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（3）具有建筑机电安装工程专业承包叁级及以上资质或城市及道路照明工程专业承包叁级及以上资质。</w:t>
      </w:r>
    </w:p>
    <w:p>
      <w:pPr>
        <w:widowControl/>
        <w:adjustRightInd w:val="0"/>
        <w:snapToGrid w:val="0"/>
        <w:spacing w:line="300" w:lineRule="auto"/>
        <w:ind w:firstLine="422" w:firstLineChars="200"/>
        <w:jc w:val="left"/>
        <w:rPr>
          <w:rFonts w:ascii="Arial" w:hAnsi="Arial" w:cs="Arial"/>
          <w:color w:val="auto"/>
          <w:kern w:val="0"/>
          <w:szCs w:val="21"/>
          <w:highlight w:val="none"/>
        </w:rPr>
      </w:pPr>
      <w:r>
        <w:rPr>
          <w:rFonts w:ascii="Arial" w:hAnsi="Arial" w:cs="Arial"/>
          <w:b/>
          <w:bCs/>
          <w:color w:val="auto"/>
          <w:kern w:val="0"/>
          <w:szCs w:val="21"/>
          <w:highlight w:val="none"/>
        </w:rPr>
        <w:t>八、招标文件的获取时间及地点等：</w:t>
      </w:r>
    </w:p>
    <w:p>
      <w:pPr>
        <w:widowControl/>
        <w:adjustRightInd w:val="0"/>
        <w:snapToGrid w:val="0"/>
        <w:spacing w:line="300" w:lineRule="auto"/>
        <w:ind w:firstLine="420" w:firstLineChars="200"/>
        <w:jc w:val="left"/>
        <w:rPr>
          <w:rFonts w:ascii="Arial" w:hAnsi="Arial" w:cs="Arial"/>
          <w:color w:val="auto"/>
          <w:szCs w:val="21"/>
          <w:highlight w:val="none"/>
        </w:rPr>
      </w:pPr>
      <w:r>
        <w:rPr>
          <w:rFonts w:ascii="Arial" w:hAnsi="Arial" w:cs="Arial"/>
          <w:color w:val="auto"/>
          <w:kern w:val="0"/>
          <w:szCs w:val="21"/>
          <w:highlight w:val="none"/>
        </w:rPr>
        <w:t>1. 获取时间期限：</w:t>
      </w:r>
      <w:r>
        <w:rPr>
          <w:rFonts w:ascii="Arial" w:hAnsi="Arial" w:cs="Arial"/>
          <w:color w:val="auto"/>
          <w:szCs w:val="21"/>
          <w:highlight w:val="none"/>
        </w:rPr>
        <w:t>招标公告发布之日起至</w:t>
      </w:r>
      <w:r>
        <w:rPr>
          <w:rFonts w:ascii="Arial" w:hAnsi="Arial" w:cs="Arial"/>
          <w:color w:val="auto"/>
          <w:kern w:val="0"/>
          <w:szCs w:val="21"/>
          <w:highlight w:val="none"/>
        </w:rPr>
        <w:t>投标截止时间</w:t>
      </w:r>
      <w:r>
        <w:rPr>
          <w:rFonts w:ascii="Arial" w:hAnsi="Arial" w:cs="Arial"/>
          <w:color w:val="auto"/>
          <w:szCs w:val="21"/>
          <w:highlight w:val="none"/>
        </w:rPr>
        <w:t>前；</w:t>
      </w:r>
    </w:p>
    <w:p>
      <w:pPr>
        <w:widowControl/>
        <w:adjustRightInd w:val="0"/>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t>2. 获取地点：浙江政府采购网（http://zfcg.czt.zj.gov.cn/）；</w:t>
      </w:r>
    </w:p>
    <w:p>
      <w:pPr>
        <w:widowControl/>
        <w:adjustRightInd w:val="0"/>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t>3. 获取方式：供应商通过“浙江政府采购网”在线获取（招标公告下方选取“潜在供应商”处“获取采购文件”），不提供纸制版招标文件；供应商只有在“浙江政府采购网”完成获取采购文件申请并下载了采购文件后才视作依法获取采购文件。</w:t>
      </w:r>
    </w:p>
    <w:p>
      <w:pPr>
        <w:widowControl/>
        <w:adjustRightInd w:val="0"/>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t>4. 招标文件费用：免费提供招标文件；</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 xml:space="preserve">5. </w:t>
      </w:r>
      <w:r>
        <w:rPr>
          <w:rFonts w:ascii="Arial" w:hAnsi="Arial" w:cs="Arial"/>
          <w:color w:val="auto"/>
          <w:szCs w:val="21"/>
          <w:highlight w:val="none"/>
        </w:rPr>
        <w:t>通过本公告下方“游客，浏览采购文件”下载的</w:t>
      </w:r>
      <w:r>
        <w:rPr>
          <w:rFonts w:hint="eastAsia" w:ascii="Arial" w:hAnsi="Arial" w:cs="Arial"/>
          <w:color w:val="auto"/>
          <w:szCs w:val="21"/>
          <w:highlight w:val="none"/>
        </w:rPr>
        <w:t>招标</w:t>
      </w:r>
      <w:r>
        <w:rPr>
          <w:rFonts w:ascii="Arial" w:hAnsi="Arial" w:cs="Arial"/>
          <w:color w:val="auto"/>
          <w:szCs w:val="21"/>
          <w:highlight w:val="none"/>
        </w:rPr>
        <w:t>文件仅供浏览，不视作依法获取招标文件。</w:t>
      </w:r>
    </w:p>
    <w:p>
      <w:pPr>
        <w:widowControl/>
        <w:adjustRightInd w:val="0"/>
        <w:snapToGrid w:val="0"/>
        <w:spacing w:line="300" w:lineRule="auto"/>
        <w:ind w:firstLine="422" w:firstLineChars="200"/>
        <w:jc w:val="left"/>
        <w:rPr>
          <w:rFonts w:ascii="Arial" w:hAnsi="Arial" w:cs="Arial"/>
          <w:b/>
          <w:bCs/>
          <w:color w:val="auto"/>
          <w:kern w:val="0"/>
          <w:szCs w:val="21"/>
          <w:highlight w:val="none"/>
        </w:rPr>
      </w:pPr>
      <w:r>
        <w:rPr>
          <w:rFonts w:ascii="Arial" w:hAnsi="Arial" w:cs="Arial"/>
          <w:b/>
          <w:bCs/>
          <w:color w:val="auto"/>
          <w:kern w:val="0"/>
          <w:szCs w:val="21"/>
          <w:highlight w:val="none"/>
        </w:rPr>
        <w:t>九、</w:t>
      </w:r>
      <w:r>
        <w:rPr>
          <w:rFonts w:hint="eastAsia" w:ascii="Arial" w:hAnsi="Arial" w:cs="Arial"/>
          <w:b/>
          <w:bCs/>
          <w:color w:val="auto"/>
          <w:kern w:val="0"/>
          <w:szCs w:val="21"/>
          <w:highlight w:val="none"/>
        </w:rPr>
        <w:t>投标</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投标截止时间：</w:t>
      </w:r>
      <w:r>
        <w:rPr>
          <w:rFonts w:ascii="Arial" w:hAnsi="Arial" w:cs="Arial"/>
          <w:color w:val="auto"/>
          <w:szCs w:val="21"/>
          <w:highlight w:val="none"/>
        </w:rPr>
        <w:t>2020年【</w:t>
      </w:r>
      <w:r>
        <w:rPr>
          <w:rFonts w:hint="eastAsia" w:ascii="Arial" w:hAnsi="Arial" w:cs="Arial"/>
          <w:color w:val="auto"/>
          <w:szCs w:val="21"/>
          <w:highlight w:val="none"/>
          <w:lang w:val="en-US" w:eastAsia="zh-CN"/>
        </w:rPr>
        <w:t>5</w:t>
      </w:r>
      <w:r>
        <w:rPr>
          <w:rFonts w:ascii="Arial" w:hAnsi="Arial" w:cs="Arial"/>
          <w:color w:val="auto"/>
          <w:szCs w:val="21"/>
          <w:highlight w:val="none"/>
        </w:rPr>
        <w:t>】月【</w:t>
      </w:r>
      <w:r>
        <w:rPr>
          <w:rFonts w:hint="eastAsia" w:ascii="Arial" w:hAnsi="Arial" w:cs="Arial"/>
          <w:color w:val="auto"/>
          <w:szCs w:val="21"/>
          <w:highlight w:val="none"/>
          <w:lang w:val="en-US" w:eastAsia="zh-CN"/>
        </w:rPr>
        <w:t>20</w:t>
      </w:r>
      <w:r>
        <w:rPr>
          <w:rFonts w:ascii="Arial" w:hAnsi="Arial" w:cs="Arial"/>
          <w:color w:val="auto"/>
          <w:szCs w:val="21"/>
          <w:highlight w:val="none"/>
        </w:rPr>
        <w:t>】日【</w:t>
      </w:r>
      <w:r>
        <w:rPr>
          <w:rFonts w:hint="eastAsia" w:ascii="Arial" w:hAnsi="Arial" w:cs="Arial"/>
          <w:color w:val="auto"/>
          <w:szCs w:val="21"/>
          <w:highlight w:val="none"/>
          <w:lang w:val="en-US" w:eastAsia="zh-CN"/>
        </w:rPr>
        <w:t>10</w:t>
      </w:r>
      <w:r>
        <w:rPr>
          <w:rFonts w:ascii="Arial" w:hAnsi="Arial" w:cs="Arial"/>
          <w:color w:val="auto"/>
          <w:szCs w:val="21"/>
          <w:highlight w:val="none"/>
        </w:rPr>
        <w:t>】</w:t>
      </w:r>
      <w:r>
        <w:rPr>
          <w:rFonts w:ascii="Arial" w:hAnsi="Arial" w:cs="Arial"/>
          <w:color w:val="auto"/>
          <w:kern w:val="0"/>
          <w:szCs w:val="21"/>
          <w:highlight w:val="none"/>
        </w:rPr>
        <w:t>时【</w:t>
      </w:r>
      <w:r>
        <w:rPr>
          <w:rFonts w:hint="eastAsia" w:ascii="Arial" w:hAnsi="Arial" w:cs="Arial"/>
          <w:color w:val="auto"/>
          <w:kern w:val="0"/>
          <w:szCs w:val="21"/>
          <w:highlight w:val="none"/>
          <w:lang w:val="en-US" w:eastAsia="zh-CN"/>
        </w:rPr>
        <w:t>00</w:t>
      </w:r>
      <w:r>
        <w:rPr>
          <w:rFonts w:ascii="Arial" w:hAnsi="Arial" w:cs="Arial"/>
          <w:color w:val="auto"/>
          <w:kern w:val="0"/>
          <w:szCs w:val="21"/>
          <w:highlight w:val="none"/>
        </w:rPr>
        <w:t>】分；</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投标地点：政府采购云平台（https://www.zcygov.cn）</w:t>
      </w:r>
    </w:p>
    <w:p>
      <w:pPr>
        <w:widowControl/>
        <w:adjustRightInd w:val="0"/>
        <w:snapToGrid w:val="0"/>
        <w:spacing w:line="300" w:lineRule="auto"/>
        <w:ind w:firstLine="422" w:firstLineChars="200"/>
        <w:jc w:val="left"/>
        <w:rPr>
          <w:rFonts w:ascii="Arial" w:hAnsi="Arial" w:cs="Arial"/>
          <w:b/>
          <w:bCs/>
          <w:color w:val="auto"/>
          <w:kern w:val="0"/>
          <w:szCs w:val="21"/>
          <w:highlight w:val="none"/>
        </w:rPr>
      </w:pPr>
      <w:r>
        <w:rPr>
          <w:rFonts w:ascii="Arial" w:hAnsi="Arial" w:cs="Arial"/>
          <w:b/>
          <w:bCs/>
          <w:color w:val="auto"/>
          <w:kern w:val="0"/>
          <w:szCs w:val="21"/>
          <w:highlight w:val="none"/>
        </w:rPr>
        <w:t>十、开标时间和地点：</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开标时间：</w:t>
      </w:r>
      <w:r>
        <w:rPr>
          <w:rFonts w:ascii="Arial" w:hAnsi="Arial" w:cs="Arial"/>
          <w:color w:val="auto"/>
          <w:szCs w:val="21"/>
          <w:highlight w:val="none"/>
        </w:rPr>
        <w:t>2020年【</w:t>
      </w:r>
      <w:r>
        <w:rPr>
          <w:rFonts w:hint="eastAsia" w:ascii="Arial" w:hAnsi="Arial" w:cs="Arial"/>
          <w:color w:val="auto"/>
          <w:szCs w:val="21"/>
          <w:highlight w:val="none"/>
          <w:lang w:val="en-US" w:eastAsia="zh-CN"/>
        </w:rPr>
        <w:t>5</w:t>
      </w:r>
      <w:r>
        <w:rPr>
          <w:rFonts w:ascii="Arial" w:hAnsi="Arial" w:cs="Arial"/>
          <w:color w:val="auto"/>
          <w:szCs w:val="21"/>
          <w:highlight w:val="none"/>
        </w:rPr>
        <w:t>】月【</w:t>
      </w:r>
      <w:r>
        <w:rPr>
          <w:rFonts w:hint="eastAsia" w:ascii="Arial" w:hAnsi="Arial" w:cs="Arial"/>
          <w:color w:val="auto"/>
          <w:szCs w:val="21"/>
          <w:highlight w:val="none"/>
          <w:lang w:val="en-US" w:eastAsia="zh-CN"/>
        </w:rPr>
        <w:t>20</w:t>
      </w:r>
      <w:r>
        <w:rPr>
          <w:rFonts w:ascii="Arial" w:hAnsi="Arial" w:cs="Arial"/>
          <w:color w:val="auto"/>
          <w:szCs w:val="21"/>
          <w:highlight w:val="none"/>
        </w:rPr>
        <w:t>】日【</w:t>
      </w:r>
      <w:r>
        <w:rPr>
          <w:rFonts w:hint="eastAsia" w:ascii="Arial" w:hAnsi="Arial" w:cs="Arial"/>
          <w:color w:val="auto"/>
          <w:szCs w:val="21"/>
          <w:highlight w:val="none"/>
          <w:lang w:val="en-US" w:eastAsia="zh-CN"/>
        </w:rPr>
        <w:t>10</w:t>
      </w:r>
      <w:r>
        <w:rPr>
          <w:rFonts w:ascii="Arial" w:hAnsi="Arial" w:cs="Arial"/>
          <w:color w:val="auto"/>
          <w:szCs w:val="21"/>
          <w:highlight w:val="none"/>
        </w:rPr>
        <w:t>】</w:t>
      </w:r>
      <w:r>
        <w:rPr>
          <w:rFonts w:ascii="Arial" w:hAnsi="Arial" w:cs="Arial"/>
          <w:color w:val="auto"/>
          <w:kern w:val="0"/>
          <w:szCs w:val="21"/>
          <w:highlight w:val="none"/>
        </w:rPr>
        <w:t>时【</w:t>
      </w:r>
      <w:r>
        <w:rPr>
          <w:rFonts w:hint="eastAsia" w:ascii="Arial" w:hAnsi="Arial" w:cs="Arial"/>
          <w:color w:val="auto"/>
          <w:kern w:val="0"/>
          <w:szCs w:val="21"/>
          <w:highlight w:val="none"/>
          <w:lang w:val="en-US" w:eastAsia="zh-CN"/>
        </w:rPr>
        <w:t>00</w:t>
      </w:r>
      <w:r>
        <w:rPr>
          <w:rFonts w:ascii="Arial" w:hAnsi="Arial" w:cs="Arial"/>
          <w:color w:val="auto"/>
          <w:kern w:val="0"/>
          <w:szCs w:val="21"/>
          <w:highlight w:val="none"/>
        </w:rPr>
        <w:t>】分；</w:t>
      </w:r>
    </w:p>
    <w:p>
      <w:pPr>
        <w:pStyle w:val="2"/>
        <w:ind w:firstLine="420"/>
        <w:rPr>
          <w:rFonts w:ascii="Arial" w:hAnsi="Arial" w:cs="Arial"/>
          <w:color w:val="auto"/>
          <w:kern w:val="0"/>
          <w:highlight w:val="none"/>
          <w:lang w:val="en-US"/>
        </w:rPr>
      </w:pPr>
      <w:r>
        <w:rPr>
          <w:rFonts w:hint="eastAsia" w:ascii="Arial" w:hAnsi="Arial" w:cs="Arial"/>
          <w:color w:val="auto"/>
          <w:kern w:val="0"/>
          <w:highlight w:val="none"/>
          <w:lang w:val="en-US"/>
        </w:rPr>
        <w:t>开标地点：在</w:t>
      </w:r>
      <w:r>
        <w:rPr>
          <w:rFonts w:ascii="Arial" w:hAnsi="Arial" w:cs="Arial"/>
          <w:color w:val="auto"/>
          <w:kern w:val="0"/>
          <w:highlight w:val="none"/>
          <w:lang w:val="en-US"/>
        </w:rPr>
        <w:t>政府采购云平台（https://www.zcygov.cn）</w:t>
      </w:r>
      <w:r>
        <w:rPr>
          <w:rFonts w:hint="eastAsia" w:ascii="Arial" w:hAnsi="Arial" w:cs="Arial"/>
          <w:color w:val="auto"/>
          <w:kern w:val="0"/>
          <w:highlight w:val="none"/>
          <w:lang w:val="en-US"/>
        </w:rPr>
        <w:t>上开启投标文件</w:t>
      </w:r>
      <w:r>
        <w:rPr>
          <w:rFonts w:ascii="Arial" w:hAnsi="Arial" w:cs="Arial"/>
          <w:color w:val="auto"/>
          <w:kern w:val="0"/>
          <w:highlight w:val="none"/>
          <w:lang w:val="en-US"/>
        </w:rPr>
        <w:t>；</w:t>
      </w:r>
    </w:p>
    <w:p>
      <w:pPr>
        <w:pStyle w:val="144"/>
        <w:snapToGrid w:val="0"/>
        <w:spacing w:line="300" w:lineRule="auto"/>
        <w:ind w:firstLine="422"/>
        <w:rPr>
          <w:rFonts w:ascii="Arial" w:hAnsi="Arial" w:cs="Arial"/>
          <w:color w:val="auto"/>
          <w:szCs w:val="21"/>
          <w:highlight w:val="none"/>
        </w:rPr>
      </w:pPr>
      <w:r>
        <w:rPr>
          <w:rFonts w:ascii="Arial" w:hAnsi="Arial" w:cs="Arial"/>
          <w:b/>
          <w:bCs/>
          <w:color w:val="auto"/>
          <w:szCs w:val="21"/>
          <w:highlight w:val="none"/>
        </w:rPr>
        <w:t>十</w:t>
      </w:r>
      <w:r>
        <w:rPr>
          <w:rFonts w:hint="eastAsia" w:ascii="Arial" w:hAnsi="Arial" w:cs="Arial"/>
          <w:b/>
          <w:bCs/>
          <w:color w:val="auto"/>
          <w:szCs w:val="21"/>
          <w:highlight w:val="none"/>
        </w:rPr>
        <w:t>一</w:t>
      </w:r>
      <w:r>
        <w:rPr>
          <w:rFonts w:ascii="Arial" w:hAnsi="Arial" w:cs="Arial"/>
          <w:b/>
          <w:bCs/>
          <w:color w:val="auto"/>
          <w:szCs w:val="21"/>
          <w:highlight w:val="none"/>
        </w:rPr>
        <w:t>、投标保证金：</w:t>
      </w:r>
      <w:r>
        <w:rPr>
          <w:rFonts w:ascii="Arial" w:hAnsi="Arial" w:cs="Arial"/>
          <w:color w:val="auto"/>
          <w:szCs w:val="21"/>
          <w:highlight w:val="none"/>
        </w:rPr>
        <w:t>不需交纳投标保证金。</w:t>
      </w:r>
    </w:p>
    <w:p>
      <w:pPr>
        <w:widowControl/>
        <w:adjustRightInd w:val="0"/>
        <w:snapToGrid w:val="0"/>
        <w:spacing w:line="300" w:lineRule="auto"/>
        <w:ind w:firstLine="422" w:firstLineChars="200"/>
        <w:jc w:val="left"/>
        <w:rPr>
          <w:rFonts w:ascii="Arial" w:hAnsi="Arial" w:cs="Arial"/>
          <w:b/>
          <w:bCs/>
          <w:color w:val="auto"/>
          <w:kern w:val="0"/>
          <w:szCs w:val="21"/>
          <w:highlight w:val="none"/>
        </w:rPr>
      </w:pPr>
      <w:r>
        <w:rPr>
          <w:rFonts w:ascii="Arial" w:hAnsi="Arial" w:cs="Arial"/>
          <w:b/>
          <w:bCs/>
          <w:color w:val="auto"/>
          <w:kern w:val="0"/>
          <w:szCs w:val="21"/>
          <w:highlight w:val="none"/>
        </w:rPr>
        <w:t>十</w:t>
      </w:r>
      <w:r>
        <w:rPr>
          <w:rFonts w:hint="eastAsia" w:ascii="Arial" w:hAnsi="Arial" w:cs="Arial"/>
          <w:b/>
          <w:bCs/>
          <w:color w:val="auto"/>
          <w:kern w:val="0"/>
          <w:szCs w:val="21"/>
          <w:highlight w:val="none"/>
        </w:rPr>
        <w:t>二</w:t>
      </w:r>
      <w:r>
        <w:rPr>
          <w:rFonts w:ascii="Arial" w:hAnsi="Arial" w:cs="Arial"/>
          <w:b/>
          <w:bCs/>
          <w:color w:val="auto"/>
          <w:kern w:val="0"/>
          <w:szCs w:val="21"/>
          <w:highlight w:val="none"/>
        </w:rPr>
        <w:t>、</w:t>
      </w:r>
      <w:r>
        <w:rPr>
          <w:rFonts w:hint="eastAsia" w:ascii="Arial" w:hAnsi="Arial" w:cs="Arial"/>
          <w:b/>
          <w:bCs/>
          <w:color w:val="auto"/>
          <w:kern w:val="0"/>
          <w:szCs w:val="21"/>
          <w:highlight w:val="none"/>
        </w:rPr>
        <w:t>质疑和投诉</w:t>
      </w:r>
      <w:r>
        <w:rPr>
          <w:rFonts w:ascii="Arial" w:hAnsi="Arial" w:cs="Arial"/>
          <w:b/>
          <w:bCs/>
          <w:color w:val="auto"/>
          <w:kern w:val="0"/>
          <w:szCs w:val="21"/>
          <w:highlight w:val="none"/>
        </w:rPr>
        <w:t>：</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1</w:t>
      </w:r>
      <w:r>
        <w:rPr>
          <w:rFonts w:ascii="Arial" w:hAnsi="Arial" w:cs="Arial"/>
          <w:color w:val="auto"/>
          <w:kern w:val="0"/>
          <w:szCs w:val="21"/>
          <w:highlight w:val="none"/>
        </w:rPr>
        <w:t>. 未按招标公告规定获取招标文件的潜在投标人不得对招标文件提出质疑，其投标将被拒绝；</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2</w:t>
      </w:r>
      <w:r>
        <w:rPr>
          <w:rFonts w:ascii="Arial" w:hAnsi="Arial" w:cs="Arial"/>
          <w:color w:val="auto"/>
          <w:kern w:val="0"/>
          <w:szCs w:val="21"/>
          <w:highlight w:val="none"/>
        </w:rPr>
        <w:t>. 投标人认为招标文件使自己的权益受到损害的，可以自获取招标文件之日或者招标文件公告期限届满之日（在招标文件公告期限届满后获取招标文件的，以招标文件公告期限届满之日为准）起7个工作日内，以书面形式向采购人和采购代理机构提出质疑。提出质疑的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3</w:t>
      </w:r>
      <w:r>
        <w:rPr>
          <w:rFonts w:ascii="Arial" w:hAnsi="Arial" w:cs="Arial"/>
          <w:color w:val="auto"/>
          <w:kern w:val="0"/>
          <w:szCs w:val="21"/>
          <w:highlight w:val="none"/>
        </w:rPr>
        <w:t>. 质疑受理</w:t>
      </w:r>
    </w:p>
    <w:p>
      <w:pPr>
        <w:widowControl/>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3</w:t>
      </w:r>
      <w:r>
        <w:rPr>
          <w:rFonts w:ascii="Arial" w:hAnsi="Arial" w:cs="Arial"/>
          <w:color w:val="auto"/>
          <w:kern w:val="0"/>
          <w:szCs w:val="21"/>
          <w:highlight w:val="none"/>
        </w:rPr>
        <w:t>.1</w:t>
      </w:r>
      <w:r>
        <w:rPr>
          <w:rFonts w:ascii="Arial" w:hAnsi="Arial" w:cs="Arial"/>
          <w:color w:val="auto"/>
          <w:kern w:val="0"/>
          <w:szCs w:val="21"/>
          <w:highlight w:val="none"/>
        </w:rPr>
        <w:t>采购人质疑受理：</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接收质疑函的方式：</w:t>
      </w:r>
      <w:r>
        <w:rPr>
          <w:rFonts w:hint="eastAsia" w:ascii="Arial" w:hAnsi="Arial" w:cs="Arial"/>
          <w:color w:val="auto"/>
          <w:kern w:val="0"/>
          <w:szCs w:val="21"/>
          <w:highlight w:val="none"/>
        </w:rPr>
        <w:t>邮寄方式/直接送达</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w:t>
      </w:r>
      <w:r>
        <w:rPr>
          <w:rFonts w:hint="eastAsia" w:ascii="Arial" w:hAnsi="Arial" w:cs="Arial"/>
          <w:color w:val="auto"/>
          <w:kern w:val="0"/>
          <w:szCs w:val="21"/>
          <w:highlight w:val="none"/>
        </w:rPr>
        <w:t>人</w:t>
      </w:r>
      <w:r>
        <w:rPr>
          <w:rFonts w:ascii="Arial" w:hAnsi="Arial" w:cs="Arial"/>
          <w:color w:val="auto"/>
          <w:kern w:val="0"/>
          <w:szCs w:val="21"/>
          <w:highlight w:val="none"/>
        </w:rPr>
        <w:t>：</w:t>
      </w:r>
      <w:r>
        <w:rPr>
          <w:rFonts w:hint="eastAsia" w:ascii="Arial" w:hAnsi="Arial" w:cs="Arial"/>
          <w:color w:val="auto"/>
          <w:kern w:val="0"/>
          <w:szCs w:val="21"/>
          <w:highlight w:val="none"/>
        </w:rPr>
        <w:t>刘女士</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联系电话：</w:t>
      </w:r>
      <w:r>
        <w:rPr>
          <w:rFonts w:hint="eastAsia" w:ascii="Arial" w:hAnsi="Arial" w:cs="Arial"/>
          <w:color w:val="auto"/>
          <w:kern w:val="0"/>
          <w:szCs w:val="21"/>
          <w:highlight w:val="none"/>
        </w:rPr>
        <w:t xml:space="preserve"> 0571-88809799</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通讯地址地点：</w:t>
      </w:r>
      <w:r>
        <w:rPr>
          <w:rFonts w:hint="eastAsia" w:ascii="Arial" w:hAnsi="Arial" w:cs="Arial"/>
          <w:color w:val="auto"/>
          <w:kern w:val="0"/>
          <w:szCs w:val="21"/>
          <w:highlight w:val="none"/>
        </w:rPr>
        <w:t>杭州市拱墅区景苑路32号</w:t>
      </w:r>
    </w:p>
    <w:p>
      <w:pPr>
        <w:widowControl/>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3</w:t>
      </w:r>
      <w:r>
        <w:rPr>
          <w:rFonts w:ascii="Arial" w:hAnsi="Arial" w:cs="Arial"/>
          <w:color w:val="auto"/>
          <w:kern w:val="0"/>
          <w:szCs w:val="21"/>
          <w:highlight w:val="none"/>
        </w:rPr>
        <w:t>.2采购代理机构质疑受理：</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接收质疑函的方式：</w:t>
      </w:r>
      <w:r>
        <w:rPr>
          <w:rFonts w:hint="eastAsia" w:ascii="Arial" w:hAnsi="Arial" w:cs="Arial"/>
          <w:color w:val="auto"/>
          <w:kern w:val="0"/>
          <w:szCs w:val="21"/>
          <w:highlight w:val="none"/>
        </w:rPr>
        <w:t>邮寄方式/直接送达</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w:t>
      </w:r>
      <w:r>
        <w:rPr>
          <w:rFonts w:hint="eastAsia" w:ascii="Arial" w:hAnsi="Arial" w:cs="Arial"/>
          <w:color w:val="auto"/>
          <w:kern w:val="0"/>
          <w:szCs w:val="21"/>
          <w:highlight w:val="none"/>
        </w:rPr>
        <w:t>人</w:t>
      </w:r>
      <w:r>
        <w:rPr>
          <w:rFonts w:ascii="Arial" w:hAnsi="Arial" w:cs="Arial"/>
          <w:color w:val="auto"/>
          <w:kern w:val="0"/>
          <w:szCs w:val="21"/>
          <w:highlight w:val="none"/>
        </w:rPr>
        <w:t>：</w:t>
      </w:r>
      <w:r>
        <w:rPr>
          <w:rFonts w:hint="eastAsia" w:ascii="Arial" w:hAnsi="Arial" w:cs="Arial"/>
          <w:color w:val="auto"/>
          <w:kern w:val="0"/>
          <w:szCs w:val="21"/>
          <w:highlight w:val="none"/>
        </w:rPr>
        <w:t>总师办（钱工、冯工）</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联系电话：</w:t>
      </w:r>
      <w:r>
        <w:rPr>
          <w:rFonts w:hint="eastAsia" w:ascii="Arial" w:hAnsi="Arial" w:cs="Arial"/>
          <w:color w:val="auto"/>
          <w:kern w:val="0"/>
          <w:szCs w:val="21"/>
          <w:highlight w:val="none"/>
        </w:rPr>
        <w:t>0571-87631297、0571-85331293</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通讯地址地点：</w:t>
      </w:r>
      <w:r>
        <w:rPr>
          <w:rFonts w:hint="eastAsia" w:ascii="Arial" w:hAnsi="Arial" w:cs="Arial"/>
          <w:color w:val="auto"/>
          <w:kern w:val="0"/>
          <w:szCs w:val="21"/>
          <w:highlight w:val="none"/>
        </w:rPr>
        <w:t>杭州市文晖路42号现代置业大厦西楼17层1701室</w:t>
      </w:r>
    </w:p>
    <w:p>
      <w:pPr>
        <w:widowControl/>
        <w:adjustRightInd w:val="0"/>
        <w:snapToGrid w:val="0"/>
        <w:spacing w:line="324" w:lineRule="auto"/>
        <w:ind w:firstLine="422" w:firstLineChars="200"/>
        <w:jc w:val="left"/>
        <w:rPr>
          <w:rFonts w:ascii="Arial" w:hAnsi="宋体" w:cs="Arial"/>
          <w:b/>
          <w:color w:val="auto"/>
          <w:kern w:val="0"/>
          <w:szCs w:val="21"/>
          <w:highlight w:val="none"/>
        </w:rPr>
      </w:pPr>
      <w:r>
        <w:rPr>
          <w:rFonts w:hint="eastAsia" w:ascii="Arial" w:hAnsi="宋体" w:cs="Arial"/>
          <w:b/>
          <w:color w:val="auto"/>
          <w:kern w:val="0"/>
          <w:szCs w:val="21"/>
          <w:highlight w:val="none"/>
        </w:rPr>
        <w:t>十三、采购项目需要落实的政府采购政策：</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1</w:t>
      </w:r>
      <w:r>
        <w:rPr>
          <w:rFonts w:ascii="Arial" w:hAnsi="Arial" w:cs="Arial"/>
          <w:color w:val="auto"/>
          <w:kern w:val="0"/>
          <w:szCs w:val="21"/>
          <w:highlight w:val="none"/>
        </w:rPr>
        <w:t xml:space="preserve">. </w:t>
      </w:r>
      <w:r>
        <w:rPr>
          <w:rFonts w:ascii="Arial" w:hAnsi="Arial" w:cs="Arial"/>
          <w:color w:val="auto"/>
          <w:szCs w:val="21"/>
          <w:highlight w:val="none"/>
        </w:rPr>
        <w:t>本项目对符合政府采购扶持政策的小型、微型企业、监狱企业、残疾人福利性单位给予价格优惠扶持，执行节能产品政府强制采购和优先采购政策，执行环境标志产品政府优先采购政策；</w:t>
      </w:r>
    </w:p>
    <w:p>
      <w:pPr>
        <w:widowControl/>
        <w:adjustRightInd w:val="0"/>
        <w:snapToGrid w:val="0"/>
        <w:spacing w:line="324" w:lineRule="auto"/>
        <w:ind w:firstLine="422" w:firstLineChars="200"/>
        <w:jc w:val="left"/>
        <w:rPr>
          <w:rFonts w:ascii="Arial" w:hAnsi="宋体" w:cs="Arial"/>
          <w:b/>
          <w:color w:val="auto"/>
          <w:kern w:val="0"/>
          <w:szCs w:val="21"/>
          <w:highlight w:val="none"/>
        </w:rPr>
      </w:pPr>
      <w:r>
        <w:rPr>
          <w:rFonts w:ascii="Arial" w:hAnsi="宋体" w:cs="Arial"/>
          <w:b/>
          <w:color w:val="auto"/>
          <w:kern w:val="0"/>
          <w:szCs w:val="21"/>
          <w:highlight w:val="none"/>
        </w:rPr>
        <w:t>十</w:t>
      </w:r>
      <w:r>
        <w:rPr>
          <w:rFonts w:hint="eastAsia" w:ascii="Arial" w:hAnsi="宋体" w:cs="Arial"/>
          <w:b/>
          <w:color w:val="auto"/>
          <w:kern w:val="0"/>
          <w:szCs w:val="21"/>
          <w:highlight w:val="none"/>
        </w:rPr>
        <w:t>四</w:t>
      </w:r>
      <w:r>
        <w:rPr>
          <w:rFonts w:ascii="Arial" w:hAnsi="宋体" w:cs="Arial"/>
          <w:b/>
          <w:color w:val="auto"/>
          <w:kern w:val="0"/>
          <w:szCs w:val="21"/>
          <w:highlight w:val="none"/>
        </w:rPr>
        <w:t>、在线投标响应（电子投标）说明</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 xml:space="preserve">1. </w:t>
      </w:r>
      <w:r>
        <w:rPr>
          <w:rFonts w:ascii="Arial" w:hAnsi="Arial" w:cs="Arial"/>
          <w:color w:val="auto"/>
          <w:szCs w:val="21"/>
          <w:highlight w:val="none"/>
        </w:rPr>
        <w:t>投标人应在投标前完成CA数字证书办理。（办理流程详见http://zfcg.czt.zj.gov.cn/bidClientTemplate/2019-05-27/12945.html）。</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 xml:space="preserve">2. </w:t>
      </w:r>
      <w:r>
        <w:rPr>
          <w:rFonts w:ascii="Arial" w:hAnsi="Arial" w:cs="Arial"/>
          <w:color w:val="auto"/>
          <w:szCs w:val="21"/>
          <w:highlight w:val="none"/>
        </w:rPr>
        <w:t>投标人应安装“政采云投标客户端”，电子投标工具请投标人自行前往浙江政府采购网下载并安装，（下载网址：http://zfcg.czt.zj.gov.cn/bidClientTemplate/2019-09-24/12975.html）。</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 xml:space="preserve">3. </w:t>
      </w:r>
      <w:r>
        <w:rPr>
          <w:rFonts w:ascii="Arial" w:hAnsi="Arial" w:cs="Arial"/>
          <w:color w:val="auto"/>
          <w:szCs w:val="21"/>
          <w:highlight w:val="none"/>
        </w:rPr>
        <w:t>电子交易具体流程详见操作指南：登录政府采购云平台（https://www.zcygov.cn/），从首页-服务中心-帮助文档-项目采购-电子招投标，查看文档和视频。</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szCs w:val="21"/>
          <w:highlight w:val="none"/>
        </w:rPr>
        <w:t xml:space="preserve">4. </w:t>
      </w:r>
      <w:r>
        <w:rPr>
          <w:rFonts w:ascii="Arial" w:hAnsi="Arial" w:cs="Arial"/>
          <w:color w:val="auto"/>
          <w:szCs w:val="21"/>
          <w:highlight w:val="none"/>
        </w:rPr>
        <w:t>如有疑问，可致电政府采购云平台技术支持热线咨询，联系方式：400-881-7190。</w:t>
      </w:r>
    </w:p>
    <w:p>
      <w:pPr>
        <w:widowControl/>
        <w:adjustRightInd w:val="0"/>
        <w:snapToGrid w:val="0"/>
        <w:spacing w:line="324" w:lineRule="auto"/>
        <w:ind w:firstLine="422" w:firstLineChars="200"/>
        <w:jc w:val="left"/>
        <w:rPr>
          <w:rFonts w:ascii="Arial" w:hAnsi="宋体" w:cs="Arial"/>
          <w:b/>
          <w:color w:val="auto"/>
          <w:kern w:val="0"/>
          <w:szCs w:val="21"/>
          <w:highlight w:val="none"/>
        </w:rPr>
      </w:pPr>
      <w:r>
        <w:rPr>
          <w:rFonts w:hint="eastAsia" w:ascii="Arial" w:hAnsi="宋体" w:cs="Arial"/>
          <w:b/>
          <w:color w:val="auto"/>
          <w:kern w:val="0"/>
          <w:szCs w:val="21"/>
          <w:highlight w:val="none"/>
        </w:rPr>
        <w:t>十五、其他事项</w:t>
      </w:r>
    </w:p>
    <w:p>
      <w:pPr>
        <w:widowControl/>
        <w:adjustRightInd w:val="0"/>
        <w:snapToGrid w:val="0"/>
        <w:spacing w:line="300" w:lineRule="auto"/>
        <w:ind w:firstLine="420" w:firstLineChars="200"/>
        <w:jc w:val="left"/>
        <w:rPr>
          <w:rFonts w:ascii="Arial" w:hAnsi="Arial" w:cs="Arial"/>
          <w:bCs/>
          <w:color w:val="auto"/>
          <w:kern w:val="0"/>
          <w:szCs w:val="21"/>
          <w:highlight w:val="none"/>
        </w:rPr>
      </w:pPr>
      <w:r>
        <w:rPr>
          <w:rFonts w:hint="eastAsia" w:ascii="Arial" w:hAnsi="Arial" w:cs="Arial"/>
          <w:color w:val="auto"/>
          <w:kern w:val="0"/>
          <w:szCs w:val="21"/>
          <w:highlight w:val="none"/>
        </w:rPr>
        <w:t>1</w:t>
      </w:r>
      <w:r>
        <w:rPr>
          <w:rFonts w:ascii="Arial" w:hAnsi="Arial" w:cs="Arial"/>
          <w:color w:val="auto"/>
          <w:kern w:val="0"/>
          <w:szCs w:val="21"/>
          <w:highlight w:val="none"/>
        </w:rPr>
        <w:t>. 中标人应在合同签订前完成</w:t>
      </w:r>
      <w:r>
        <w:rPr>
          <w:rFonts w:ascii="Arial" w:hAnsi="Arial" w:cs="Arial"/>
          <w:color w:val="auto"/>
          <w:szCs w:val="21"/>
          <w:highlight w:val="none"/>
        </w:rPr>
        <w:t>政府采购云平台（https://www.zcygov.cn/）</w:t>
      </w:r>
      <w:r>
        <w:rPr>
          <w:rFonts w:ascii="Arial" w:hAnsi="Arial" w:cs="Arial"/>
          <w:color w:val="auto"/>
          <w:kern w:val="0"/>
          <w:szCs w:val="21"/>
          <w:highlight w:val="none"/>
        </w:rPr>
        <w:t>全部注册步骤并成为正式注册入库供应商，否则将导致合同款无法正常支付，责任由中标人承担。请投标人尽早完成注册。</w:t>
      </w:r>
      <w:r>
        <w:rPr>
          <w:rFonts w:ascii="Arial" w:hAnsi="Arial" w:cs="Arial"/>
          <w:bCs/>
          <w:color w:val="auto"/>
          <w:highlight w:val="none"/>
          <w:u w:val="single"/>
        </w:rPr>
        <w:t>https://middle.zcygov.cn/settle-front/#/registry。（供应商注册页面）</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2</w:t>
      </w:r>
      <w:r>
        <w:rPr>
          <w:rFonts w:ascii="Arial" w:hAnsi="Arial" w:cs="Arial"/>
          <w:color w:val="auto"/>
          <w:kern w:val="0"/>
          <w:szCs w:val="21"/>
          <w:highlight w:val="none"/>
        </w:rPr>
        <w:t>. 采购信息发布媒介：浙江政府采购网（</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Style w:val="54"/>
          <w:rFonts w:ascii="Arial" w:hAnsi="Arial" w:cs="Arial"/>
          <w:color w:val="auto"/>
          <w:szCs w:val="21"/>
          <w:highlight w:val="none"/>
        </w:rPr>
        <w:t>http://zfcg.czt.zj.gov.cn/</w:t>
      </w:r>
      <w:r>
        <w:rPr>
          <w:rStyle w:val="54"/>
          <w:rFonts w:ascii="Arial" w:hAnsi="Arial" w:cs="Arial"/>
          <w:color w:val="auto"/>
          <w:szCs w:val="21"/>
          <w:highlight w:val="none"/>
        </w:rPr>
        <w:fldChar w:fldCharType="end"/>
      </w:r>
      <w:r>
        <w:rPr>
          <w:rFonts w:ascii="Arial" w:hAnsi="Arial" w:cs="Arial"/>
          <w:color w:val="auto"/>
          <w:kern w:val="0"/>
          <w:szCs w:val="21"/>
          <w:highlight w:val="none"/>
        </w:rPr>
        <w:t>）；</w:t>
      </w:r>
    </w:p>
    <w:p>
      <w:pPr>
        <w:pStyle w:val="2"/>
        <w:ind w:firstLine="420"/>
        <w:rPr>
          <w:color w:val="auto"/>
          <w:highlight w:val="none"/>
          <w:lang w:val="en-US"/>
        </w:rPr>
      </w:pPr>
      <w:r>
        <w:rPr>
          <w:rFonts w:hint="eastAsia"/>
          <w:color w:val="auto"/>
          <w:highlight w:val="none"/>
          <w:lang w:val="en-US"/>
        </w:rPr>
        <w:t>3、投标单位可选择1个或2个标段参加投标，一家投标单位最多只能中一个标段，本项目评审顺序按标段一、标段二进行，被评标委员会推荐为标段一的第一中标候选人不参与标段二评审。</w:t>
      </w:r>
    </w:p>
    <w:p>
      <w:pPr>
        <w:widowControl/>
        <w:adjustRightInd w:val="0"/>
        <w:snapToGrid w:val="0"/>
        <w:spacing w:line="300" w:lineRule="auto"/>
        <w:ind w:firstLine="422" w:firstLineChars="200"/>
        <w:jc w:val="left"/>
        <w:rPr>
          <w:rFonts w:ascii="Arial" w:hAnsi="Arial" w:cs="Arial"/>
          <w:b/>
          <w:bCs/>
          <w:color w:val="auto"/>
          <w:kern w:val="0"/>
          <w:szCs w:val="21"/>
          <w:highlight w:val="none"/>
        </w:rPr>
      </w:pPr>
      <w:r>
        <w:rPr>
          <w:rFonts w:ascii="Arial" w:hAnsi="Arial" w:cs="Arial"/>
          <w:b/>
          <w:bCs/>
          <w:color w:val="auto"/>
          <w:kern w:val="0"/>
          <w:szCs w:val="21"/>
          <w:highlight w:val="none"/>
        </w:rPr>
        <w:t>十</w:t>
      </w:r>
      <w:r>
        <w:rPr>
          <w:rFonts w:hint="eastAsia" w:ascii="Arial" w:hAnsi="Arial" w:cs="Arial"/>
          <w:b/>
          <w:bCs/>
          <w:color w:val="auto"/>
          <w:kern w:val="0"/>
          <w:szCs w:val="21"/>
          <w:highlight w:val="none"/>
        </w:rPr>
        <w:t>六</w:t>
      </w:r>
      <w:r>
        <w:rPr>
          <w:rFonts w:ascii="Arial" w:hAnsi="Arial" w:cs="Arial"/>
          <w:b/>
          <w:bCs/>
          <w:color w:val="auto"/>
          <w:kern w:val="0"/>
          <w:szCs w:val="21"/>
          <w:highlight w:val="none"/>
        </w:rPr>
        <w:t>、联系方式：</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采购人名称：杭州市拱墅区城市管理局</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地点：</w:t>
      </w:r>
      <w:r>
        <w:rPr>
          <w:rFonts w:hint="eastAsia" w:ascii="Arial" w:hAnsi="Arial" w:cs="Arial"/>
          <w:color w:val="auto"/>
          <w:kern w:val="0"/>
          <w:szCs w:val="21"/>
          <w:highlight w:val="none"/>
        </w:rPr>
        <w:t>杭州市拱墅区景苑路32号</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联系人：</w:t>
      </w:r>
      <w:r>
        <w:rPr>
          <w:rFonts w:hint="eastAsia" w:ascii="Arial" w:hAnsi="Arial" w:cs="Arial"/>
          <w:color w:val="auto"/>
          <w:kern w:val="0"/>
          <w:szCs w:val="21"/>
          <w:highlight w:val="none"/>
        </w:rPr>
        <w:t>孙勇</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联系电话：</w:t>
      </w:r>
      <w:r>
        <w:rPr>
          <w:rFonts w:hint="eastAsia" w:ascii="Arial" w:hAnsi="Arial" w:cs="Arial"/>
          <w:color w:val="auto"/>
          <w:kern w:val="0"/>
          <w:szCs w:val="21"/>
          <w:highlight w:val="none"/>
        </w:rPr>
        <w:t xml:space="preserve"> 0571-88058236</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采购代理机构名称：浙江省成套招标代理有限公司</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地址：杭州市文晖路42号现代置业大厦西楼18层1802室</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项目采购联系人：古益仲</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联系电话：0571-8763112、85830315</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同级政府采购监督管理部门：</w:t>
      </w:r>
      <w:r>
        <w:rPr>
          <w:rFonts w:hint="eastAsia" w:ascii="Arial" w:hAnsi="Arial" w:cs="Arial"/>
          <w:color w:val="auto"/>
          <w:kern w:val="0"/>
          <w:szCs w:val="21"/>
          <w:highlight w:val="none"/>
        </w:rPr>
        <w:t>杭州市拱墅区财政局政府采购监管科</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地址：</w:t>
      </w:r>
      <w:r>
        <w:rPr>
          <w:rFonts w:ascii="宋体" w:hAnsi="宋体" w:cs="Arial"/>
          <w:color w:val="auto"/>
          <w:szCs w:val="21"/>
          <w:highlight w:val="none"/>
        </w:rPr>
        <w:t>杭州市霞湾巷杭办大厦2号楼6楼</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联系人：</w:t>
      </w:r>
      <w:r>
        <w:rPr>
          <w:rFonts w:ascii="宋体" w:hAnsi="宋体" w:cs="Arial"/>
          <w:color w:val="auto"/>
          <w:szCs w:val="21"/>
          <w:highlight w:val="none"/>
        </w:rPr>
        <w:t>王老师</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监督投诉电话：0571-88355203</w:t>
      </w:r>
    </w:p>
    <w:p>
      <w:pPr>
        <w:pStyle w:val="2"/>
        <w:ind w:firstLine="420"/>
        <w:rPr>
          <w:color w:val="auto"/>
          <w:highlight w:val="none"/>
          <w:lang w:val="en-US"/>
        </w:rPr>
      </w:pP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br w:type="page"/>
      </w:r>
    </w:p>
    <w:p>
      <w:pPr>
        <w:pStyle w:val="3"/>
        <w:spacing w:before="120"/>
        <w:rPr>
          <w:rFonts w:ascii="Arial" w:hAnsi="Arial" w:cs="Arial"/>
          <w:color w:val="auto"/>
          <w:sz w:val="24"/>
          <w:highlight w:val="none"/>
        </w:rPr>
      </w:pPr>
      <w:bookmarkStart w:id="7" w:name="_Toc497919820"/>
      <w:bookmarkStart w:id="8" w:name="_Toc7044"/>
      <w:r>
        <w:rPr>
          <w:rFonts w:ascii="Arial" w:hAnsi="Arial" w:cs="Arial"/>
          <w:color w:val="auto"/>
          <w:highlight w:val="none"/>
        </w:rPr>
        <w:t>第二部分编制和提交投标文件须知</w:t>
      </w:r>
      <w:bookmarkEnd w:id="5"/>
      <w:bookmarkEnd w:id="7"/>
      <w:bookmarkEnd w:id="8"/>
    </w:p>
    <w:p>
      <w:pPr>
        <w:pStyle w:val="4"/>
        <w:spacing w:before="120"/>
        <w:ind w:firstLine="422"/>
        <w:rPr>
          <w:color w:val="auto"/>
          <w:highlight w:val="none"/>
        </w:rPr>
      </w:pPr>
      <w:bookmarkStart w:id="9" w:name="_Toc497919821"/>
      <w:r>
        <w:rPr>
          <w:rFonts w:cs="Arial"/>
          <w:color w:val="auto"/>
          <w:highlight w:val="none"/>
        </w:rPr>
        <w:t>前附表</w:t>
      </w:r>
      <w:bookmarkEnd w:id="9"/>
    </w:p>
    <w:tbl>
      <w:tblPr>
        <w:tblStyle w:val="47"/>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8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trPr>
        <w:tc>
          <w:tcPr>
            <w:tcW w:w="828" w:type="dxa"/>
            <w:vAlign w:val="center"/>
          </w:tcPr>
          <w:p>
            <w:pPr>
              <w:tabs>
                <w:tab w:val="left" w:pos="3780"/>
              </w:tabs>
              <w:snapToGrid w:val="0"/>
              <w:spacing w:line="300" w:lineRule="auto"/>
              <w:jc w:val="center"/>
              <w:rPr>
                <w:rFonts w:ascii="Arial" w:hAnsi="Arial" w:cs="Arial"/>
                <w:b/>
                <w:color w:val="auto"/>
                <w:szCs w:val="21"/>
                <w:highlight w:val="none"/>
              </w:rPr>
            </w:pPr>
            <w:r>
              <w:rPr>
                <w:rFonts w:ascii="Arial" w:hAnsi="Arial" w:cs="Arial"/>
                <w:b/>
                <w:color w:val="auto"/>
                <w:szCs w:val="21"/>
                <w:highlight w:val="none"/>
              </w:rPr>
              <w:t>条款</w:t>
            </w:r>
          </w:p>
        </w:tc>
        <w:tc>
          <w:tcPr>
            <w:tcW w:w="8458" w:type="dxa"/>
            <w:vAlign w:val="center"/>
          </w:tcPr>
          <w:p>
            <w:pPr>
              <w:tabs>
                <w:tab w:val="left" w:pos="3780"/>
              </w:tabs>
              <w:snapToGrid w:val="0"/>
              <w:spacing w:line="300" w:lineRule="auto"/>
              <w:jc w:val="center"/>
              <w:rPr>
                <w:rFonts w:ascii="Arial" w:hAnsi="Arial" w:cs="Arial"/>
                <w:b/>
                <w:color w:val="auto"/>
                <w:szCs w:val="21"/>
                <w:highlight w:val="none"/>
              </w:rPr>
            </w:pPr>
            <w:r>
              <w:rPr>
                <w:rFonts w:ascii="Arial" w:hAnsi="Arial" w:cs="Arial"/>
                <w:b/>
                <w:color w:val="auto"/>
                <w:szCs w:val="21"/>
                <w:highlight w:val="none"/>
              </w:rPr>
              <w:t>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b/>
                <w:color w:val="auto"/>
                <w:szCs w:val="21"/>
                <w:highlight w:val="none"/>
              </w:rPr>
            </w:pPr>
            <w:r>
              <w:rPr>
                <w:rFonts w:ascii="Arial" w:hAnsi="Arial" w:cs="Arial"/>
                <w:color w:val="auto"/>
                <w:szCs w:val="21"/>
                <w:highlight w:val="none"/>
              </w:rPr>
              <w:t>1</w:t>
            </w:r>
          </w:p>
        </w:tc>
        <w:tc>
          <w:tcPr>
            <w:tcW w:w="8458" w:type="dxa"/>
            <w:vAlign w:val="center"/>
          </w:tcPr>
          <w:p>
            <w:pPr>
              <w:snapToGrid w:val="0"/>
              <w:spacing w:line="300" w:lineRule="auto"/>
              <w:rPr>
                <w:rFonts w:ascii="Arial" w:hAnsi="Arial" w:cs="Arial"/>
                <w:b/>
                <w:bCs/>
                <w:color w:val="auto"/>
                <w:szCs w:val="21"/>
                <w:highlight w:val="none"/>
              </w:rPr>
            </w:pPr>
            <w:r>
              <w:rPr>
                <w:rFonts w:ascii="Arial" w:hAnsi="Arial" w:cs="Arial"/>
                <w:b/>
                <w:bCs/>
                <w:color w:val="auto"/>
                <w:szCs w:val="21"/>
                <w:highlight w:val="none"/>
              </w:rPr>
              <w:t>项目说明</w:t>
            </w:r>
          </w:p>
          <w:p>
            <w:pPr>
              <w:snapToGrid w:val="0"/>
              <w:spacing w:line="300" w:lineRule="auto"/>
              <w:ind w:firstLine="422" w:firstLineChars="200"/>
              <w:rPr>
                <w:rFonts w:ascii="Arial" w:hAnsi="Arial" w:cs="Arial"/>
                <w:color w:val="auto"/>
                <w:szCs w:val="21"/>
                <w:highlight w:val="none"/>
              </w:rPr>
            </w:pPr>
            <w:r>
              <w:rPr>
                <w:rFonts w:ascii="Arial" w:hAnsi="Arial" w:cs="Arial"/>
                <w:b/>
                <w:bCs/>
                <w:color w:val="auto"/>
                <w:szCs w:val="21"/>
                <w:highlight w:val="none"/>
              </w:rPr>
              <w:t>（1）项目名称：</w:t>
            </w:r>
            <w:bookmarkStart w:id="10" w:name="_Hlt75139851"/>
            <w:bookmarkEnd w:id="10"/>
            <w:r>
              <w:rPr>
                <w:rFonts w:hint="eastAsia" w:ascii="Arial" w:hAnsi="Arial" w:cs="Arial"/>
                <w:color w:val="auto"/>
                <w:szCs w:val="21"/>
                <w:highlight w:val="none"/>
              </w:rPr>
              <w:t>2020年拱墅区“峰会”亮灯工程第二次运行维护项目</w:t>
            </w:r>
          </w:p>
          <w:p>
            <w:pPr>
              <w:adjustRightInd w:val="0"/>
              <w:snapToGrid w:val="0"/>
              <w:spacing w:line="300" w:lineRule="auto"/>
              <w:ind w:firstLine="422" w:firstLineChars="200"/>
              <w:rPr>
                <w:rFonts w:ascii="Arial" w:hAnsi="Arial" w:cs="Arial"/>
                <w:b/>
                <w:color w:val="auto"/>
                <w:szCs w:val="21"/>
                <w:highlight w:val="none"/>
              </w:rPr>
            </w:pPr>
            <w:r>
              <w:rPr>
                <w:rFonts w:ascii="Arial" w:hAnsi="Arial" w:cs="Arial"/>
                <w:b/>
                <w:color w:val="auto"/>
                <w:szCs w:val="21"/>
                <w:highlight w:val="none"/>
              </w:rPr>
              <w:t>（2）项目的实施范围：</w:t>
            </w:r>
            <w:r>
              <w:rPr>
                <w:rFonts w:hint="eastAsia" w:ascii="Arial" w:hAnsi="Arial" w:cs="Arial"/>
                <w:color w:val="auto"/>
                <w:szCs w:val="21"/>
                <w:highlight w:val="none"/>
              </w:rPr>
              <w:t>2020年拱墅区“峰会”亮灯工程第二次运行维护项目</w:t>
            </w:r>
            <w:r>
              <w:rPr>
                <w:rFonts w:ascii="Arial" w:hAnsi="Arial" w:cs="Arial"/>
                <w:color w:val="auto"/>
                <w:szCs w:val="21"/>
                <w:highlight w:val="none"/>
                <w:lang w:val="zh-CN"/>
              </w:rPr>
              <w:t>，详见招标文件。</w:t>
            </w:r>
          </w:p>
          <w:p>
            <w:pPr>
              <w:snapToGrid w:val="0"/>
              <w:spacing w:line="300" w:lineRule="auto"/>
              <w:ind w:firstLine="422" w:firstLineChars="200"/>
              <w:rPr>
                <w:rFonts w:ascii="Arial" w:hAnsi="Arial" w:cs="Arial"/>
                <w:color w:val="auto"/>
                <w:szCs w:val="21"/>
                <w:highlight w:val="none"/>
              </w:rPr>
            </w:pPr>
            <w:r>
              <w:rPr>
                <w:rFonts w:ascii="Arial" w:hAnsi="Arial" w:cs="Arial"/>
                <w:b/>
                <w:color w:val="auto"/>
                <w:szCs w:val="21"/>
                <w:highlight w:val="none"/>
              </w:rPr>
              <w:t>（3）项目实施地点：</w:t>
            </w:r>
            <w:r>
              <w:rPr>
                <w:rFonts w:ascii="Arial" w:hAnsi="Arial" w:cs="Arial"/>
                <w:color w:val="auto"/>
                <w:szCs w:val="21"/>
                <w:highlight w:val="none"/>
              </w:rPr>
              <w:t>杭州市拱墅区范</w:t>
            </w:r>
            <w:r>
              <w:rPr>
                <w:rFonts w:ascii="Arial" w:hAnsi="Arial" w:cs="Arial"/>
                <w:color w:val="auto"/>
                <w:szCs w:val="21"/>
                <w:highlight w:val="none"/>
              </w:rPr>
              <w:t>围</w:t>
            </w:r>
            <w:r>
              <w:rPr>
                <w:rFonts w:ascii="Arial" w:hAnsi="Arial" w:cs="Arial"/>
                <w:color w:val="auto"/>
                <w:szCs w:val="21"/>
                <w:highlight w:val="none"/>
              </w:rPr>
              <w:t>内</w:t>
            </w:r>
            <w:r>
              <w:rPr>
                <w:rFonts w:ascii="Arial" w:hAnsi="Arial" w:cs="Arial"/>
                <w:color w:val="auto"/>
                <w:szCs w:val="21"/>
                <w:highlight w:val="none"/>
                <w:lang w:val="zh-CN"/>
              </w:rPr>
              <w:t>，详见招标文件</w:t>
            </w:r>
            <w:r>
              <w:rPr>
                <w:rFonts w:ascii="Arial" w:hAnsi="Arial" w:cs="Arial"/>
                <w:color w:val="auto"/>
                <w:szCs w:val="21"/>
                <w:highlight w:val="none"/>
              </w:rPr>
              <w:t>。</w:t>
            </w:r>
          </w:p>
          <w:p>
            <w:pPr>
              <w:snapToGrid w:val="0"/>
              <w:spacing w:line="300" w:lineRule="auto"/>
              <w:ind w:firstLine="422" w:firstLineChars="200"/>
              <w:rPr>
                <w:rFonts w:ascii="Arial" w:hAnsi="Arial" w:cs="Arial"/>
                <w:color w:val="auto"/>
                <w:szCs w:val="21"/>
                <w:highlight w:val="none"/>
              </w:rPr>
            </w:pPr>
            <w:r>
              <w:rPr>
                <w:rFonts w:ascii="Arial" w:hAnsi="Arial" w:cs="Arial"/>
                <w:b/>
                <w:bCs/>
                <w:color w:val="auto"/>
                <w:szCs w:val="21"/>
                <w:highlight w:val="none"/>
              </w:rPr>
              <w:t>（4）服务期限：</w:t>
            </w:r>
            <w:r>
              <w:rPr>
                <w:rFonts w:ascii="Arial" w:hAnsi="Arial" w:cs="Arial"/>
                <w:color w:val="auto"/>
                <w:szCs w:val="21"/>
                <w:highlight w:val="none"/>
              </w:rPr>
              <w:t>合同签订期限2年</w:t>
            </w:r>
            <w:r>
              <w:rPr>
                <w:rFonts w:hint="eastAsia" w:ascii="Arial" w:hAnsi="Arial" w:cs="Arial"/>
                <w:color w:val="auto"/>
                <w:szCs w:val="21"/>
                <w:highlight w:val="none"/>
              </w:rPr>
              <w:t>(一年一签)</w:t>
            </w:r>
            <w:r>
              <w:rPr>
                <w:rFonts w:ascii="Arial" w:hAnsi="Arial" w:cs="Arial"/>
                <w:color w:val="auto"/>
                <w:szCs w:val="21"/>
                <w:highlight w:val="none"/>
              </w:rPr>
              <w:t>。</w:t>
            </w:r>
          </w:p>
          <w:p>
            <w:pPr>
              <w:snapToGrid w:val="0"/>
              <w:spacing w:line="300" w:lineRule="auto"/>
              <w:ind w:firstLine="422" w:firstLineChars="200"/>
              <w:rPr>
                <w:rFonts w:ascii="Arial" w:hAnsi="Arial" w:cs="Arial"/>
                <w:color w:val="auto"/>
                <w:szCs w:val="21"/>
                <w:highlight w:val="none"/>
              </w:rPr>
            </w:pPr>
            <w:r>
              <w:rPr>
                <w:rFonts w:ascii="Arial" w:hAnsi="Arial" w:cs="Arial"/>
                <w:b/>
                <w:bCs/>
                <w:color w:val="auto"/>
                <w:szCs w:val="21"/>
                <w:highlight w:val="none"/>
              </w:rPr>
              <w:t>（5）投资规模：</w:t>
            </w:r>
            <w:r>
              <w:rPr>
                <w:rFonts w:hint="eastAsia" w:ascii="Arial" w:hAnsi="Arial" w:cs="Arial"/>
                <w:color w:val="auto"/>
                <w:highlight w:val="none"/>
              </w:rPr>
              <w:t>标段一：</w:t>
            </w:r>
            <w:r>
              <w:rPr>
                <w:rFonts w:hint="eastAsia" w:ascii="Arial" w:hAnsi="Arial" w:cs="Arial"/>
                <w:snapToGrid w:val="0"/>
                <w:color w:val="auto"/>
                <w:kern w:val="0"/>
                <w:szCs w:val="21"/>
                <w:highlight w:val="none"/>
              </w:rPr>
              <w:t>309</w:t>
            </w:r>
            <w:r>
              <w:rPr>
                <w:rFonts w:ascii="Arial" w:hAnsi="Arial" w:cs="Arial"/>
                <w:snapToGrid w:val="0"/>
                <w:color w:val="auto"/>
                <w:kern w:val="0"/>
                <w:szCs w:val="21"/>
                <w:highlight w:val="none"/>
              </w:rPr>
              <w:t>万元/</w:t>
            </w:r>
            <w:r>
              <w:rPr>
                <w:rFonts w:hint="eastAsia" w:ascii="Arial" w:hAnsi="Arial" w:cs="Arial"/>
                <w:snapToGrid w:val="0"/>
                <w:color w:val="auto"/>
                <w:kern w:val="0"/>
                <w:szCs w:val="21"/>
                <w:highlight w:val="none"/>
              </w:rPr>
              <w:t>年，标段二241万元/年</w:t>
            </w:r>
            <w:r>
              <w:rPr>
                <w:rFonts w:ascii="Arial" w:hAnsi="Arial" w:cs="Arial"/>
                <w:color w:val="auto"/>
                <w:szCs w:val="21"/>
                <w:highlight w:val="none"/>
              </w:rPr>
              <w:t>。</w:t>
            </w:r>
          </w:p>
          <w:p>
            <w:pPr>
              <w:snapToGrid w:val="0"/>
              <w:spacing w:line="300" w:lineRule="auto"/>
              <w:ind w:firstLine="422" w:firstLineChars="200"/>
              <w:rPr>
                <w:rFonts w:ascii="Arial" w:hAnsi="Arial" w:cs="Arial"/>
                <w:color w:val="auto"/>
                <w:szCs w:val="21"/>
                <w:highlight w:val="none"/>
              </w:rPr>
            </w:pPr>
            <w:r>
              <w:rPr>
                <w:rFonts w:ascii="Arial" w:hAnsi="Arial" w:cs="Arial"/>
                <w:b/>
                <w:bCs/>
                <w:color w:val="auto"/>
                <w:szCs w:val="21"/>
                <w:highlight w:val="none"/>
              </w:rPr>
              <w:t>（6）投标最高限价：</w:t>
            </w:r>
            <w:r>
              <w:rPr>
                <w:rFonts w:ascii="Arial" w:hAnsi="Arial" w:cs="Arial"/>
                <w:color w:val="auto"/>
                <w:szCs w:val="21"/>
                <w:highlight w:val="none"/>
              </w:rPr>
              <w:t>投标最高限价即预算金额，投标人报价超过投标最高限价作无效处理。</w:t>
            </w:r>
          </w:p>
          <w:p>
            <w:pPr>
              <w:snapToGrid w:val="0"/>
              <w:spacing w:line="300" w:lineRule="auto"/>
              <w:ind w:firstLine="422" w:firstLineChars="200"/>
              <w:rPr>
                <w:rFonts w:ascii="Arial" w:hAnsi="Arial" w:cs="Arial"/>
                <w:color w:val="auto"/>
                <w:szCs w:val="21"/>
                <w:highlight w:val="none"/>
              </w:rPr>
            </w:pPr>
            <w:r>
              <w:rPr>
                <w:rFonts w:ascii="Arial" w:hAnsi="Arial" w:cs="Arial"/>
                <w:b/>
                <w:color w:val="auto"/>
                <w:szCs w:val="21"/>
                <w:highlight w:val="none"/>
              </w:rPr>
              <w:t>（7）具体要求：</w:t>
            </w:r>
            <w:r>
              <w:rPr>
                <w:rFonts w:ascii="Arial" w:hAnsi="Arial" w:cs="Arial"/>
                <w:color w:val="auto"/>
                <w:szCs w:val="21"/>
                <w:highlight w:val="none"/>
              </w:rPr>
              <w:t>详见第四部分</w:t>
            </w:r>
            <w:r>
              <w:rPr>
                <w:rFonts w:ascii="Arial" w:hAnsi="Arial" w:cs="Arial"/>
                <w:b/>
                <w:bCs/>
                <w:color w:val="auto"/>
                <w:szCs w:val="21"/>
                <w:highlight w:val="none"/>
              </w:rPr>
              <w:t>—</w:t>
            </w:r>
            <w:r>
              <w:rPr>
                <w:rFonts w:ascii="Arial" w:hAnsi="Arial" w:cs="Arial"/>
                <w:color w:val="auto"/>
                <w:szCs w:val="21"/>
                <w:highlight w:val="none"/>
              </w:rPr>
              <w:t>项目技术规范和服务要求。</w:t>
            </w:r>
          </w:p>
          <w:p>
            <w:pPr>
              <w:snapToGrid w:val="0"/>
              <w:spacing w:line="300" w:lineRule="auto"/>
              <w:ind w:firstLine="422" w:firstLineChars="200"/>
              <w:rPr>
                <w:rFonts w:ascii="Arial" w:hAnsi="Arial" w:cs="Arial"/>
                <w:color w:val="auto"/>
                <w:szCs w:val="21"/>
                <w:highlight w:val="none"/>
              </w:rPr>
            </w:pPr>
            <w:r>
              <w:rPr>
                <w:rFonts w:ascii="Arial" w:hAnsi="Arial" w:cs="Arial"/>
                <w:b/>
                <w:bCs/>
                <w:color w:val="auto"/>
                <w:szCs w:val="21"/>
                <w:highlight w:val="none"/>
              </w:rPr>
              <w:t>（8）项目现场踏勘：</w:t>
            </w:r>
            <w:r>
              <w:rPr>
                <w:rFonts w:ascii="Arial" w:hAnsi="Arial" w:cs="Arial"/>
                <w:color w:val="auto"/>
                <w:szCs w:val="21"/>
                <w:highlight w:val="none"/>
              </w:rPr>
              <w:t>不统一组织，投标人自行踏勘。</w:t>
            </w:r>
          </w:p>
          <w:p>
            <w:pPr>
              <w:snapToGrid w:val="0"/>
              <w:spacing w:line="300" w:lineRule="auto"/>
              <w:ind w:firstLine="422" w:firstLineChars="200"/>
              <w:rPr>
                <w:rFonts w:ascii="Arial" w:hAnsi="Arial" w:cs="Arial"/>
                <w:color w:val="auto"/>
                <w:szCs w:val="21"/>
                <w:highlight w:val="none"/>
              </w:rPr>
            </w:pPr>
            <w:r>
              <w:rPr>
                <w:rFonts w:ascii="Arial" w:hAnsi="Arial" w:cs="Arial"/>
                <w:b/>
                <w:bCs/>
                <w:color w:val="auto"/>
                <w:szCs w:val="21"/>
                <w:highlight w:val="none"/>
              </w:rPr>
              <w:t>（9）答疑会：</w:t>
            </w:r>
            <w:r>
              <w:rPr>
                <w:rFonts w:ascii="Arial" w:hAnsi="Arial" w:cs="Arial"/>
                <w:color w:val="auto"/>
                <w:szCs w:val="21"/>
                <w:highlight w:val="none"/>
              </w:rPr>
              <w:t>不召开。</w:t>
            </w:r>
          </w:p>
          <w:p>
            <w:pPr>
              <w:snapToGrid w:val="0"/>
              <w:spacing w:line="300" w:lineRule="auto"/>
              <w:ind w:firstLine="422" w:firstLineChars="200"/>
              <w:rPr>
                <w:rFonts w:ascii="Arial" w:hAnsi="Arial" w:cs="Arial"/>
                <w:color w:val="auto"/>
                <w:szCs w:val="21"/>
                <w:highlight w:val="none"/>
              </w:rPr>
            </w:pPr>
            <w:r>
              <w:rPr>
                <w:rFonts w:ascii="Arial" w:hAnsi="Arial" w:cs="Arial"/>
                <w:b/>
                <w:bCs/>
                <w:color w:val="auto"/>
                <w:szCs w:val="21"/>
                <w:highlight w:val="none"/>
              </w:rPr>
              <w:t>（10）项目内容分包：</w:t>
            </w:r>
            <w:r>
              <w:rPr>
                <w:rFonts w:ascii="Arial" w:hAnsi="Arial" w:cs="Arial"/>
                <w:color w:val="auto"/>
                <w:szCs w:val="21"/>
                <w:highlight w:val="none"/>
              </w:rPr>
              <w:t>不允许分包。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2</w:t>
            </w:r>
          </w:p>
        </w:tc>
        <w:tc>
          <w:tcPr>
            <w:tcW w:w="8458" w:type="dxa"/>
            <w:vAlign w:val="center"/>
          </w:tcPr>
          <w:p>
            <w:pPr>
              <w:snapToGrid w:val="0"/>
              <w:spacing w:line="300" w:lineRule="auto"/>
              <w:rPr>
                <w:rFonts w:ascii="Arial" w:hAnsi="Arial" w:cs="Arial"/>
                <w:color w:val="auto"/>
                <w:szCs w:val="21"/>
                <w:highlight w:val="none"/>
              </w:rPr>
            </w:pPr>
            <w:r>
              <w:rPr>
                <w:rFonts w:ascii="Arial" w:hAnsi="Arial" w:cs="Arial"/>
                <w:b/>
                <w:bCs/>
                <w:color w:val="auto"/>
                <w:szCs w:val="21"/>
                <w:highlight w:val="none"/>
              </w:rPr>
              <w:t>合同名称：</w:t>
            </w:r>
            <w:r>
              <w:rPr>
                <w:rFonts w:ascii="Arial" w:hAnsi="Arial" w:cs="Arial"/>
                <w:color w:val="auto"/>
                <w:szCs w:val="21"/>
                <w:highlight w:val="none"/>
              </w:rPr>
              <w:t>《</w:t>
            </w:r>
            <w:r>
              <w:rPr>
                <w:rFonts w:hint="eastAsia" w:ascii="Arial" w:hAnsi="Arial" w:cs="Arial"/>
                <w:color w:val="auto"/>
                <w:szCs w:val="21"/>
                <w:highlight w:val="none"/>
              </w:rPr>
              <w:t>2020年拱墅区“峰会”亮灯工程第二次运行维护项目</w:t>
            </w:r>
            <w:r>
              <w:rPr>
                <w:rFonts w:ascii="Arial" w:hAnsi="Arial" w:cs="Arial"/>
                <w:color w:val="auto"/>
                <w:szCs w:val="21"/>
                <w:highlight w:val="none"/>
              </w:rPr>
              <w:t>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3</w:t>
            </w:r>
          </w:p>
        </w:tc>
        <w:tc>
          <w:tcPr>
            <w:tcW w:w="8458" w:type="dxa"/>
            <w:vAlign w:val="center"/>
          </w:tcPr>
          <w:p>
            <w:pPr>
              <w:snapToGrid w:val="0"/>
              <w:spacing w:line="300" w:lineRule="auto"/>
              <w:rPr>
                <w:rFonts w:ascii="Arial" w:hAnsi="Arial" w:cs="Arial"/>
                <w:color w:val="auto"/>
                <w:szCs w:val="21"/>
                <w:highlight w:val="none"/>
              </w:rPr>
            </w:pPr>
            <w:r>
              <w:rPr>
                <w:rFonts w:ascii="Arial" w:hAnsi="Arial" w:cs="Arial"/>
                <w:b/>
                <w:bCs/>
                <w:color w:val="auto"/>
                <w:szCs w:val="21"/>
                <w:highlight w:val="none"/>
              </w:rPr>
              <w:t>投标报价及费用：</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（1）本项目投标应以人民币报价；</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（2）投标报价包括为完成本项目可能发生的全部费用；</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（3）不论投标结果如何，投标人均应自行承担所有与投标有关的全部费用。</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4）投标人的报价应包括为完成本项目各项服务可能发生的全部费用及投标人的利润和应交纳的税金等（包括人员工资、各种社会保险费、机械及工具、办公费等等）。投标人对合同内容的费用、质量、安全、文明服务等实行全面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4</w:t>
            </w:r>
          </w:p>
        </w:tc>
        <w:tc>
          <w:tcPr>
            <w:tcW w:w="8458" w:type="dxa"/>
            <w:vAlign w:val="center"/>
          </w:tcPr>
          <w:p>
            <w:pPr>
              <w:snapToGrid w:val="0"/>
              <w:spacing w:line="300" w:lineRule="auto"/>
              <w:rPr>
                <w:rFonts w:ascii="Arial" w:hAnsi="Arial" w:cs="Arial"/>
                <w:color w:val="auto"/>
                <w:szCs w:val="21"/>
                <w:highlight w:val="none"/>
              </w:rPr>
            </w:pPr>
            <w:r>
              <w:rPr>
                <w:rFonts w:ascii="Arial" w:hAnsi="Arial" w:cs="Arial"/>
                <w:b/>
                <w:bCs/>
                <w:color w:val="auto"/>
                <w:szCs w:val="21"/>
                <w:highlight w:val="none"/>
                <w:lang w:val="zh-CN"/>
              </w:rPr>
              <w:t>合格的投标人：</w:t>
            </w:r>
            <w:r>
              <w:rPr>
                <w:rFonts w:ascii="Arial" w:hAnsi="Arial" w:cs="Arial"/>
                <w:color w:val="auto"/>
                <w:szCs w:val="21"/>
                <w:highlight w:val="none"/>
              </w:rPr>
              <w:t>符合招标公告“</w:t>
            </w:r>
            <w:r>
              <w:rPr>
                <w:rFonts w:hint="eastAsia" w:ascii="Arial" w:hAnsi="Arial" w:cs="Arial"/>
                <w:b/>
                <w:bCs/>
                <w:color w:val="auto"/>
                <w:kern w:val="0"/>
                <w:szCs w:val="21"/>
                <w:highlight w:val="none"/>
              </w:rPr>
              <w:t>七</w:t>
            </w:r>
            <w:r>
              <w:rPr>
                <w:rFonts w:ascii="Arial" w:hAnsi="Arial" w:cs="Arial"/>
                <w:b/>
                <w:bCs/>
                <w:color w:val="auto"/>
                <w:kern w:val="0"/>
                <w:szCs w:val="21"/>
                <w:highlight w:val="none"/>
              </w:rPr>
              <w:t>、</w:t>
            </w:r>
            <w:r>
              <w:rPr>
                <w:rFonts w:ascii="Arial" w:hAnsi="Arial" w:cs="Arial"/>
                <w:b/>
                <w:bCs/>
                <w:color w:val="auto"/>
                <w:highlight w:val="none"/>
              </w:rPr>
              <w:t>投标人</w:t>
            </w:r>
            <w:r>
              <w:rPr>
                <w:rFonts w:ascii="Arial" w:hAnsi="Arial" w:cs="Arial"/>
                <w:b/>
                <w:bCs/>
                <w:color w:val="auto"/>
                <w:kern w:val="0"/>
                <w:szCs w:val="21"/>
                <w:highlight w:val="none"/>
              </w:rPr>
              <w:t>资格要求</w:t>
            </w:r>
            <w:r>
              <w:rPr>
                <w:rFonts w:ascii="Arial" w:hAnsi="Arial" w:cs="Arial"/>
                <w:color w:val="auto"/>
                <w:szCs w:val="21"/>
                <w:highlight w:val="none"/>
              </w:rPr>
              <w:t>”的投标人。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5</w:t>
            </w:r>
          </w:p>
        </w:tc>
        <w:tc>
          <w:tcPr>
            <w:tcW w:w="8458" w:type="dxa"/>
            <w:vAlign w:val="center"/>
          </w:tcPr>
          <w:p>
            <w:pPr>
              <w:tabs>
                <w:tab w:val="left" w:pos="3780"/>
              </w:tabs>
              <w:snapToGrid w:val="0"/>
              <w:spacing w:line="300" w:lineRule="auto"/>
              <w:rPr>
                <w:rFonts w:ascii="Arial" w:hAnsi="Arial" w:cs="Arial"/>
                <w:color w:val="auto"/>
                <w:szCs w:val="21"/>
                <w:highlight w:val="none"/>
              </w:rPr>
            </w:pPr>
            <w:r>
              <w:rPr>
                <w:rFonts w:ascii="Arial" w:hAnsi="Arial" w:cs="Arial"/>
                <w:b/>
                <w:bCs/>
                <w:color w:val="auto"/>
                <w:szCs w:val="21"/>
                <w:highlight w:val="none"/>
                <w:lang w:val="zh-CN"/>
              </w:rPr>
              <w:t>投标</w:t>
            </w:r>
            <w:r>
              <w:rPr>
                <w:rFonts w:ascii="Arial" w:hAnsi="Arial" w:cs="Arial"/>
                <w:b/>
                <w:bCs/>
                <w:color w:val="auto"/>
                <w:szCs w:val="21"/>
                <w:highlight w:val="none"/>
              </w:rPr>
              <w:t>有效期：</w:t>
            </w:r>
            <w:r>
              <w:rPr>
                <w:rFonts w:ascii="Arial" w:hAnsi="Arial" w:cs="Arial"/>
                <w:color w:val="auto"/>
                <w:szCs w:val="21"/>
                <w:highlight w:val="none"/>
              </w:rPr>
              <w:t>自投标截止日起</w:t>
            </w:r>
            <w:r>
              <w:rPr>
                <w:rFonts w:ascii="Arial" w:hAnsi="Arial" w:cs="Arial"/>
                <w:color w:val="auto"/>
                <w:szCs w:val="21"/>
                <w:highlight w:val="none"/>
                <w:u w:val="single"/>
              </w:rPr>
              <w:t>120</w:t>
            </w:r>
            <w:r>
              <w:rPr>
                <w:rFonts w:ascii="Arial" w:hAnsi="Arial" w:cs="Arial"/>
                <w:color w:val="auto"/>
                <w:szCs w:val="21"/>
                <w:highlight w:val="none"/>
              </w:rPr>
              <w:t>天。如采购人认为必要，可适当延长。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tcBorders>
              <w:bottom w:val="single" w:color="auto" w:sz="4" w:space="0"/>
            </w:tcBorders>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6</w:t>
            </w:r>
          </w:p>
        </w:tc>
        <w:tc>
          <w:tcPr>
            <w:tcW w:w="8458" w:type="dxa"/>
            <w:tcBorders>
              <w:bottom w:val="single" w:color="auto" w:sz="4" w:space="0"/>
            </w:tcBorders>
            <w:vAlign w:val="center"/>
          </w:tcPr>
          <w:p>
            <w:pPr>
              <w:pStyle w:val="23"/>
              <w:snapToGrid w:val="0"/>
              <w:spacing w:line="300" w:lineRule="auto"/>
              <w:rPr>
                <w:rFonts w:ascii="Arial" w:hAnsi="Arial" w:cs="Arial"/>
                <w:color w:val="auto"/>
                <w:szCs w:val="21"/>
                <w:highlight w:val="none"/>
              </w:rPr>
            </w:pPr>
            <w:r>
              <w:rPr>
                <w:rFonts w:ascii="Arial" w:hAnsi="Arial" w:cs="Arial"/>
                <w:b/>
                <w:color w:val="auto"/>
                <w:szCs w:val="21"/>
                <w:highlight w:val="none"/>
              </w:rPr>
              <w:t>投标保证金数额：不需交纳投标保证金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tcBorders>
              <w:bottom w:val="single" w:color="auto" w:sz="4" w:space="0"/>
            </w:tcBorders>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7</w:t>
            </w:r>
          </w:p>
        </w:tc>
        <w:tc>
          <w:tcPr>
            <w:tcW w:w="8458" w:type="dxa"/>
            <w:tcBorders>
              <w:bottom w:val="single" w:color="auto" w:sz="4" w:space="0"/>
            </w:tcBorders>
            <w:vAlign w:val="center"/>
          </w:tcPr>
          <w:p>
            <w:pPr>
              <w:pStyle w:val="23"/>
              <w:snapToGrid w:val="0"/>
              <w:spacing w:line="300" w:lineRule="auto"/>
              <w:rPr>
                <w:rFonts w:hint="eastAsia" w:ascii="Arial" w:hAnsi="Arial" w:eastAsia="宋体" w:cs="Arial"/>
                <w:bCs/>
                <w:color w:val="auto"/>
                <w:szCs w:val="21"/>
                <w:highlight w:val="none"/>
                <w:lang w:eastAsia="zh-CN"/>
              </w:rPr>
            </w:pPr>
            <w:r>
              <w:rPr>
                <w:rFonts w:ascii="Arial" w:hAnsi="Arial" w:cs="Arial"/>
                <w:b/>
                <w:color w:val="auto"/>
                <w:szCs w:val="21"/>
                <w:highlight w:val="none"/>
              </w:rPr>
              <w:t>投标文件组成：</w:t>
            </w:r>
            <w:r>
              <w:rPr>
                <w:rFonts w:ascii="Arial" w:hAnsi="Arial" w:cs="Arial"/>
                <w:bCs/>
                <w:color w:val="auto"/>
                <w:szCs w:val="21"/>
                <w:highlight w:val="none"/>
              </w:rPr>
              <w:t>电子投标文件分为资格文件、报价文件、商务技术文件三部分，投标人应分开编制资格文件、报价文件、商务技术文件。</w:t>
            </w:r>
          </w:p>
          <w:p>
            <w:pPr>
              <w:pStyle w:val="23"/>
              <w:snapToGrid w:val="0"/>
              <w:spacing w:line="300" w:lineRule="auto"/>
              <w:rPr>
                <w:rFonts w:ascii="Arial" w:hAnsi="Arial" w:cs="Arial"/>
                <w:color w:val="auto"/>
                <w:highlight w:val="none"/>
              </w:rPr>
            </w:pPr>
            <w:r>
              <w:rPr>
                <w:rFonts w:ascii="Arial" w:hAnsi="Arial" w:cs="Arial"/>
                <w:b/>
                <w:color w:val="auto"/>
                <w:highlight w:val="none"/>
              </w:rPr>
              <w:t>投标文件盖章要求：</w:t>
            </w:r>
            <w:r>
              <w:rPr>
                <w:rFonts w:ascii="Arial" w:hAnsi="Arial" w:cs="Arial"/>
                <w:bCs/>
                <w:color w:val="auto"/>
                <w:highlight w:val="none"/>
              </w:rPr>
              <w:t>电子</w:t>
            </w:r>
            <w:r>
              <w:rPr>
                <w:rFonts w:ascii="Arial" w:hAnsi="Arial" w:cs="Arial"/>
                <w:color w:val="auto"/>
                <w:highlight w:val="none"/>
              </w:rPr>
              <w:t>投标文件按“应提交的有关格式范例”中提供的格式盖章，公章采用单位CA章或单位公章。</w:t>
            </w:r>
          </w:p>
          <w:p>
            <w:pPr>
              <w:pStyle w:val="23"/>
              <w:snapToGrid w:val="0"/>
              <w:spacing w:line="300" w:lineRule="auto"/>
              <w:rPr>
                <w:rFonts w:ascii="Arial" w:hAnsi="Arial" w:cs="Arial"/>
                <w:bCs/>
                <w:color w:val="auto"/>
                <w:highlight w:val="none"/>
              </w:rPr>
            </w:pPr>
            <w:r>
              <w:rPr>
                <w:rFonts w:ascii="Arial" w:hAnsi="Arial" w:cs="Arial"/>
                <w:b/>
                <w:color w:val="auto"/>
                <w:highlight w:val="none"/>
              </w:rPr>
              <w:t>投标文件装订要求：</w:t>
            </w:r>
            <w:r>
              <w:rPr>
                <w:rFonts w:ascii="Arial" w:hAnsi="Arial" w:cs="Arial"/>
                <w:bCs/>
                <w:color w:val="auto"/>
                <w:highlight w:val="none"/>
              </w:rPr>
              <w:t>本项目投标时采用电子文件，不需提供纸质投标文件，无装订要求。</w:t>
            </w:r>
          </w:p>
          <w:p>
            <w:pPr>
              <w:pStyle w:val="23"/>
              <w:snapToGrid w:val="0"/>
              <w:spacing w:line="300" w:lineRule="auto"/>
              <w:rPr>
                <w:rFonts w:ascii="Arial" w:hAnsi="Arial" w:cs="Arial"/>
                <w:bCs/>
                <w:color w:val="auto"/>
                <w:highlight w:val="none"/>
              </w:rPr>
            </w:pPr>
            <w:r>
              <w:rPr>
                <w:rFonts w:ascii="Arial" w:hAnsi="Arial" w:cs="Arial"/>
                <w:b/>
                <w:bCs/>
                <w:color w:val="auto"/>
                <w:kern w:val="0"/>
                <w:szCs w:val="21"/>
                <w:highlight w:val="none"/>
              </w:rPr>
              <w:t>备份电子</w:t>
            </w:r>
            <w:r>
              <w:rPr>
                <w:rFonts w:ascii="Arial" w:hAnsi="Arial" w:cs="Arial"/>
                <w:b/>
                <w:bCs/>
                <w:color w:val="auto"/>
                <w:highlight w:val="none"/>
              </w:rPr>
              <w:t>投标文件提供：</w:t>
            </w:r>
            <w:r>
              <w:rPr>
                <w:rFonts w:ascii="Arial" w:hAnsi="Arial" w:cs="Arial"/>
                <w:b/>
                <w:bCs/>
                <w:color w:val="auto"/>
                <w:kern w:val="0"/>
                <w:szCs w:val="21"/>
                <w:highlight w:val="none"/>
                <w:u w:val="single"/>
              </w:rPr>
              <w:t>投标人如提交备份电子</w:t>
            </w:r>
            <w:r>
              <w:rPr>
                <w:rFonts w:ascii="Arial" w:hAnsi="Arial" w:cs="Arial"/>
                <w:b/>
                <w:bCs/>
                <w:color w:val="auto"/>
                <w:highlight w:val="none"/>
                <w:u w:val="single"/>
              </w:rPr>
              <w:t>投标文件</w:t>
            </w:r>
            <w:r>
              <w:rPr>
                <w:rFonts w:ascii="Arial" w:hAnsi="Arial" w:cs="Arial"/>
                <w:b/>
                <w:bCs/>
                <w:color w:val="auto"/>
                <w:kern w:val="0"/>
                <w:szCs w:val="21"/>
                <w:highlight w:val="none"/>
                <w:u w:val="single"/>
              </w:rPr>
              <w:t>，以介质存储的数据电文形式的备份电子</w:t>
            </w:r>
            <w:r>
              <w:rPr>
                <w:rFonts w:ascii="Arial" w:hAnsi="Arial" w:cs="Arial"/>
                <w:b/>
                <w:bCs/>
                <w:color w:val="auto"/>
                <w:highlight w:val="none"/>
                <w:u w:val="single"/>
              </w:rPr>
              <w:t>投标文件</w:t>
            </w:r>
            <w:r>
              <w:rPr>
                <w:rFonts w:ascii="Arial" w:hAnsi="Arial" w:cs="Arial"/>
                <w:b/>
                <w:bCs/>
                <w:color w:val="auto"/>
                <w:kern w:val="0"/>
                <w:szCs w:val="21"/>
                <w:highlight w:val="none"/>
                <w:u w:val="single"/>
              </w:rPr>
              <w:t>应密封，封皮应注明投标人名称、项目名称。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tcBorders>
              <w:bottom w:val="single" w:color="auto" w:sz="4" w:space="0"/>
            </w:tcBorders>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8</w:t>
            </w:r>
          </w:p>
        </w:tc>
        <w:tc>
          <w:tcPr>
            <w:tcW w:w="8458" w:type="dxa"/>
            <w:tcBorders>
              <w:bottom w:val="single" w:color="auto" w:sz="4" w:space="0"/>
            </w:tcBorders>
            <w:vAlign w:val="center"/>
          </w:tcPr>
          <w:p>
            <w:pPr>
              <w:tabs>
                <w:tab w:val="left" w:pos="3780"/>
              </w:tabs>
              <w:snapToGrid w:val="0"/>
              <w:spacing w:line="300" w:lineRule="auto"/>
              <w:rPr>
                <w:rFonts w:ascii="Arial" w:hAnsi="Arial" w:cs="Arial"/>
                <w:b/>
                <w:color w:val="auto"/>
                <w:highlight w:val="none"/>
              </w:rPr>
            </w:pPr>
            <w:r>
              <w:rPr>
                <w:rFonts w:ascii="Arial" w:hAnsi="Arial" w:cs="Arial"/>
                <w:b/>
                <w:color w:val="auto"/>
                <w:szCs w:val="21"/>
                <w:highlight w:val="none"/>
              </w:rPr>
              <w:t>投标截止时间：</w:t>
            </w:r>
            <w:r>
              <w:rPr>
                <w:rFonts w:ascii="Arial" w:hAnsi="Arial" w:cs="Arial"/>
                <w:color w:val="auto"/>
                <w:szCs w:val="21"/>
                <w:highlight w:val="none"/>
              </w:rPr>
              <w:t>同招标公告。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tcBorders>
              <w:top w:val="single" w:color="auto" w:sz="4" w:space="0"/>
            </w:tcBorders>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9</w:t>
            </w:r>
          </w:p>
        </w:tc>
        <w:tc>
          <w:tcPr>
            <w:tcW w:w="8458" w:type="dxa"/>
            <w:tcBorders>
              <w:top w:val="single" w:color="auto" w:sz="4" w:space="0"/>
            </w:tcBorders>
            <w:vAlign w:val="center"/>
          </w:tcPr>
          <w:p>
            <w:pPr>
              <w:pStyle w:val="23"/>
              <w:snapToGrid w:val="0"/>
              <w:spacing w:line="300" w:lineRule="auto"/>
              <w:rPr>
                <w:rFonts w:ascii="Arial" w:hAnsi="Arial" w:cs="Arial"/>
                <w:color w:val="auto"/>
                <w:szCs w:val="21"/>
                <w:highlight w:val="none"/>
              </w:rPr>
            </w:pPr>
            <w:r>
              <w:rPr>
                <w:rFonts w:ascii="Arial" w:hAnsi="Arial" w:cs="Arial"/>
                <w:b/>
                <w:color w:val="auto"/>
                <w:szCs w:val="21"/>
                <w:highlight w:val="none"/>
              </w:rPr>
              <w:t>投标文件接收单位：</w:t>
            </w:r>
            <w:r>
              <w:rPr>
                <w:rFonts w:ascii="Arial" w:hAnsi="Arial" w:cs="Arial"/>
                <w:color w:val="auto"/>
                <w:szCs w:val="21"/>
                <w:highlight w:val="none"/>
              </w:rPr>
              <w:t>浙江省成套招标代理有限公司</w:t>
            </w:r>
          </w:p>
          <w:p>
            <w:pPr>
              <w:tabs>
                <w:tab w:val="left" w:pos="3780"/>
              </w:tabs>
              <w:snapToGrid w:val="0"/>
              <w:spacing w:line="300" w:lineRule="auto"/>
              <w:rPr>
                <w:rFonts w:ascii="Arial" w:hAnsi="Arial" w:cs="Arial"/>
                <w:color w:val="auto"/>
                <w:szCs w:val="21"/>
                <w:highlight w:val="none"/>
              </w:rPr>
            </w:pPr>
            <w:r>
              <w:rPr>
                <w:rFonts w:ascii="Arial" w:hAnsi="Arial" w:cs="Arial"/>
                <w:b/>
                <w:bCs/>
                <w:color w:val="auto"/>
                <w:kern w:val="0"/>
                <w:szCs w:val="21"/>
                <w:highlight w:val="none"/>
              </w:rPr>
              <w:t>投标地点</w:t>
            </w:r>
            <w:r>
              <w:rPr>
                <w:rFonts w:ascii="Arial" w:hAnsi="Arial" w:cs="Arial"/>
                <w:b/>
                <w:color w:val="auto"/>
                <w:szCs w:val="21"/>
                <w:highlight w:val="none"/>
              </w:rPr>
              <w:t>：</w:t>
            </w:r>
            <w:r>
              <w:rPr>
                <w:rFonts w:ascii="Arial" w:hAnsi="Arial" w:cs="Arial"/>
                <w:color w:val="auto"/>
                <w:kern w:val="0"/>
                <w:szCs w:val="21"/>
                <w:highlight w:val="none"/>
              </w:rPr>
              <w:t>同招标公告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10</w:t>
            </w:r>
          </w:p>
        </w:tc>
        <w:tc>
          <w:tcPr>
            <w:tcW w:w="8458" w:type="dxa"/>
            <w:vAlign w:val="center"/>
          </w:tcPr>
          <w:p>
            <w:pPr>
              <w:pStyle w:val="14"/>
              <w:spacing w:line="300" w:lineRule="auto"/>
              <w:ind w:firstLine="0"/>
              <w:rPr>
                <w:rFonts w:ascii="Arial" w:hAnsi="Arial" w:cs="Arial"/>
                <w:snapToGrid/>
                <w:color w:val="auto"/>
                <w:kern w:val="2"/>
                <w:sz w:val="21"/>
                <w:szCs w:val="21"/>
                <w:highlight w:val="none"/>
              </w:rPr>
            </w:pPr>
            <w:r>
              <w:rPr>
                <w:rFonts w:ascii="Arial" w:hAnsi="Arial" w:cs="Arial"/>
                <w:b/>
                <w:color w:val="auto"/>
                <w:kern w:val="10"/>
                <w:sz w:val="21"/>
                <w:szCs w:val="21"/>
                <w:highlight w:val="none"/>
              </w:rPr>
              <w:t>开标时间</w:t>
            </w:r>
            <w:r>
              <w:rPr>
                <w:rFonts w:ascii="Arial" w:hAnsi="Arial" w:cs="Arial"/>
                <w:b/>
                <w:color w:val="auto"/>
                <w:sz w:val="21"/>
                <w:szCs w:val="21"/>
                <w:highlight w:val="none"/>
              </w:rPr>
              <w:t>：</w:t>
            </w:r>
            <w:r>
              <w:rPr>
                <w:rFonts w:ascii="Arial" w:hAnsi="Arial" w:cs="Arial"/>
                <w:snapToGrid/>
                <w:color w:val="auto"/>
                <w:kern w:val="2"/>
                <w:sz w:val="21"/>
                <w:szCs w:val="21"/>
                <w:highlight w:val="none"/>
              </w:rPr>
              <w:t>同招标公告</w:t>
            </w:r>
          </w:p>
          <w:p>
            <w:pPr>
              <w:tabs>
                <w:tab w:val="left" w:pos="3780"/>
              </w:tabs>
              <w:snapToGrid w:val="0"/>
              <w:spacing w:line="300" w:lineRule="auto"/>
              <w:rPr>
                <w:rFonts w:ascii="Arial" w:hAnsi="Arial" w:cs="Arial"/>
                <w:b/>
                <w:color w:val="auto"/>
                <w:szCs w:val="21"/>
                <w:highlight w:val="none"/>
              </w:rPr>
            </w:pPr>
            <w:r>
              <w:rPr>
                <w:rFonts w:ascii="Arial" w:hAnsi="Arial" w:cs="Arial"/>
                <w:b/>
                <w:color w:val="auto"/>
                <w:szCs w:val="21"/>
                <w:highlight w:val="none"/>
              </w:rPr>
              <w:t>开标地点：</w:t>
            </w:r>
            <w:r>
              <w:rPr>
                <w:rFonts w:ascii="Arial" w:hAnsi="Arial" w:cs="Arial"/>
                <w:color w:val="auto"/>
                <w:szCs w:val="21"/>
                <w:highlight w:val="none"/>
              </w:rPr>
              <w:t>同招标公告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11</w:t>
            </w:r>
          </w:p>
        </w:tc>
        <w:tc>
          <w:tcPr>
            <w:tcW w:w="8458" w:type="dxa"/>
            <w:vAlign w:val="center"/>
          </w:tcPr>
          <w:p>
            <w:pPr>
              <w:tabs>
                <w:tab w:val="left" w:pos="3780"/>
              </w:tabs>
              <w:snapToGrid w:val="0"/>
              <w:spacing w:line="300" w:lineRule="auto"/>
              <w:rPr>
                <w:rFonts w:ascii="Arial" w:hAnsi="Arial" w:cs="Arial"/>
                <w:b/>
                <w:color w:val="auto"/>
                <w:szCs w:val="21"/>
                <w:highlight w:val="none"/>
              </w:rPr>
            </w:pPr>
            <w:r>
              <w:rPr>
                <w:rFonts w:ascii="Arial" w:hAnsi="Arial" w:cs="Arial"/>
                <w:b/>
                <w:color w:val="auto"/>
                <w:kern w:val="10"/>
                <w:szCs w:val="21"/>
                <w:highlight w:val="none"/>
              </w:rPr>
              <w:t>评标办法：</w:t>
            </w:r>
            <w:r>
              <w:rPr>
                <w:rFonts w:ascii="Arial" w:hAnsi="Arial" w:cs="Arial"/>
                <w:color w:val="auto"/>
                <w:kern w:val="10"/>
                <w:szCs w:val="21"/>
                <w:highlight w:val="none"/>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12</w:t>
            </w:r>
          </w:p>
        </w:tc>
        <w:tc>
          <w:tcPr>
            <w:tcW w:w="8458" w:type="dxa"/>
            <w:vAlign w:val="center"/>
          </w:tcPr>
          <w:p>
            <w:pPr>
              <w:tabs>
                <w:tab w:val="left" w:pos="3780"/>
              </w:tabs>
              <w:snapToGrid w:val="0"/>
              <w:spacing w:line="300" w:lineRule="auto"/>
              <w:rPr>
                <w:rFonts w:ascii="Arial" w:hAnsi="Arial" w:cs="Arial"/>
                <w:color w:val="auto"/>
                <w:szCs w:val="21"/>
                <w:highlight w:val="none"/>
              </w:rPr>
            </w:pPr>
            <w:r>
              <w:rPr>
                <w:rFonts w:ascii="Arial" w:hAnsi="Arial" w:cs="Arial"/>
                <w:b/>
                <w:color w:val="auto"/>
                <w:kern w:val="10"/>
                <w:szCs w:val="21"/>
                <w:highlight w:val="none"/>
              </w:rPr>
              <w:t>招标公告和结果公告发布媒体：</w:t>
            </w:r>
            <w:r>
              <w:rPr>
                <w:rFonts w:ascii="Arial" w:hAnsi="Arial" w:cs="Arial"/>
                <w:color w:val="auto"/>
                <w:szCs w:val="21"/>
                <w:highlight w:val="none"/>
              </w:rPr>
              <w:t>浙江政府采购网。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13</w:t>
            </w:r>
          </w:p>
        </w:tc>
        <w:tc>
          <w:tcPr>
            <w:tcW w:w="8458" w:type="dxa"/>
            <w:vAlign w:val="center"/>
          </w:tcPr>
          <w:p>
            <w:pPr>
              <w:tabs>
                <w:tab w:val="left" w:pos="3780"/>
              </w:tabs>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中标通知书：</w:t>
            </w:r>
            <w:r>
              <w:rPr>
                <w:rFonts w:ascii="Arial" w:hAnsi="Arial" w:cs="Arial"/>
                <w:color w:val="auto"/>
                <w:szCs w:val="21"/>
                <w:highlight w:val="none"/>
              </w:rPr>
              <w:t>按照政府采购管理规定发中标通知书。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14</w:t>
            </w:r>
          </w:p>
        </w:tc>
        <w:tc>
          <w:tcPr>
            <w:tcW w:w="8458" w:type="dxa"/>
            <w:vAlign w:val="center"/>
          </w:tcPr>
          <w:p>
            <w:pPr>
              <w:tabs>
                <w:tab w:val="left" w:pos="3780"/>
              </w:tabs>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解释：</w:t>
            </w:r>
            <w:r>
              <w:rPr>
                <w:rFonts w:ascii="Arial" w:hAnsi="Arial" w:cs="Arial"/>
                <w:color w:val="auto"/>
                <w:szCs w:val="21"/>
                <w:highlight w:val="none"/>
              </w:rPr>
              <w:t>本招标文件的解释权属于采购人和采购代理机构。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15</w:t>
            </w:r>
          </w:p>
        </w:tc>
        <w:tc>
          <w:tcPr>
            <w:tcW w:w="8458" w:type="dxa"/>
            <w:vAlign w:val="center"/>
          </w:tcPr>
          <w:p>
            <w:pPr>
              <w:pStyle w:val="75"/>
              <w:snapToGrid w:val="0"/>
              <w:spacing w:line="300" w:lineRule="auto"/>
              <w:ind w:firstLine="0" w:firstLineChars="0"/>
              <w:rPr>
                <w:rFonts w:cs="Arial"/>
                <w:color w:val="auto"/>
                <w:highlight w:val="none"/>
              </w:rPr>
            </w:pPr>
            <w:r>
              <w:rPr>
                <w:rFonts w:cs="Arial"/>
                <w:color w:val="auto"/>
                <w:highlight w:val="none"/>
              </w:rPr>
              <w:t>采购代理服务费金额：以中标金额为计算基数，按以下标准费率计算值的</w:t>
            </w:r>
            <w:r>
              <w:rPr>
                <w:rFonts w:hint="eastAsia" w:cs="Arial"/>
                <w:color w:val="auto"/>
                <w:highlight w:val="none"/>
              </w:rPr>
              <w:t>6</w:t>
            </w:r>
            <w:r>
              <w:rPr>
                <w:rFonts w:cs="Arial"/>
                <w:color w:val="auto"/>
                <w:highlight w:val="none"/>
              </w:rPr>
              <w:t>0%收取。费率标准如下：</w:t>
            </w:r>
          </w:p>
          <w:tbl>
            <w:tblPr>
              <w:tblStyle w:val="47"/>
              <w:tblW w:w="5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75"/>
                    <w:snapToGrid w:val="0"/>
                    <w:spacing w:line="300" w:lineRule="auto"/>
                    <w:ind w:left="420" w:firstLine="0" w:firstLineChars="0"/>
                    <w:jc w:val="center"/>
                    <w:rPr>
                      <w:rFonts w:cs="Arial"/>
                      <w:color w:val="auto"/>
                      <w:szCs w:val="21"/>
                      <w:highlight w:val="none"/>
                    </w:rPr>
                  </w:pPr>
                  <w:r>
                    <w:rPr>
                      <w:rFonts w:cs="Arial"/>
                      <w:color w:val="auto"/>
                      <w:szCs w:val="21"/>
                      <w:highlight w:val="none"/>
                    </w:rPr>
                    <w:t>金额（万元）</w:t>
                  </w:r>
                </w:p>
              </w:tc>
              <w:tc>
                <w:tcPr>
                  <w:tcW w:w="2943" w:type="dxa"/>
                  <w:vAlign w:val="center"/>
                </w:tcPr>
                <w:p>
                  <w:pPr>
                    <w:pStyle w:val="75"/>
                    <w:snapToGrid w:val="0"/>
                    <w:spacing w:line="300" w:lineRule="auto"/>
                    <w:ind w:left="420" w:firstLine="0" w:firstLineChars="0"/>
                    <w:jc w:val="center"/>
                    <w:rPr>
                      <w:rFonts w:cs="Arial"/>
                      <w:color w:val="auto"/>
                      <w:szCs w:val="21"/>
                      <w:highlight w:val="none"/>
                    </w:rPr>
                  </w:pPr>
                  <w:r>
                    <w:rPr>
                      <w:rFonts w:cs="Arial"/>
                      <w:color w:val="auto"/>
                      <w:szCs w:val="21"/>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75"/>
                    <w:snapToGrid w:val="0"/>
                    <w:spacing w:line="300" w:lineRule="auto"/>
                    <w:ind w:left="420" w:firstLine="0" w:firstLineChars="0"/>
                    <w:jc w:val="center"/>
                    <w:rPr>
                      <w:rFonts w:cs="Arial"/>
                      <w:color w:val="auto"/>
                      <w:szCs w:val="21"/>
                      <w:highlight w:val="none"/>
                    </w:rPr>
                  </w:pPr>
                  <w:r>
                    <w:rPr>
                      <w:rFonts w:cs="Arial"/>
                      <w:color w:val="auto"/>
                      <w:szCs w:val="21"/>
                      <w:highlight w:val="none"/>
                    </w:rPr>
                    <w:t>100以下部分</w:t>
                  </w:r>
                </w:p>
              </w:tc>
              <w:tc>
                <w:tcPr>
                  <w:tcW w:w="2943" w:type="dxa"/>
                  <w:vAlign w:val="center"/>
                </w:tcPr>
                <w:p>
                  <w:pPr>
                    <w:pStyle w:val="75"/>
                    <w:snapToGrid w:val="0"/>
                    <w:spacing w:line="300" w:lineRule="auto"/>
                    <w:ind w:left="420" w:firstLine="0" w:firstLineChars="0"/>
                    <w:jc w:val="center"/>
                    <w:rPr>
                      <w:rFonts w:cs="Arial"/>
                      <w:color w:val="auto"/>
                      <w:szCs w:val="21"/>
                      <w:highlight w:val="none"/>
                    </w:rPr>
                  </w:pPr>
                  <w:r>
                    <w:rPr>
                      <w:rFonts w:cs="Arial"/>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75"/>
                    <w:snapToGrid w:val="0"/>
                    <w:spacing w:line="300" w:lineRule="auto"/>
                    <w:ind w:left="420" w:firstLine="0" w:firstLineChars="0"/>
                    <w:jc w:val="center"/>
                    <w:rPr>
                      <w:rFonts w:cs="Arial"/>
                      <w:color w:val="auto"/>
                      <w:szCs w:val="21"/>
                      <w:highlight w:val="none"/>
                    </w:rPr>
                  </w:pPr>
                  <w:r>
                    <w:rPr>
                      <w:rFonts w:cs="Arial"/>
                      <w:color w:val="auto"/>
                      <w:szCs w:val="21"/>
                      <w:highlight w:val="none"/>
                    </w:rPr>
                    <w:t>100~500之间部分</w:t>
                  </w:r>
                </w:p>
              </w:tc>
              <w:tc>
                <w:tcPr>
                  <w:tcW w:w="2943" w:type="dxa"/>
                  <w:vAlign w:val="center"/>
                </w:tcPr>
                <w:p>
                  <w:pPr>
                    <w:pStyle w:val="75"/>
                    <w:snapToGrid w:val="0"/>
                    <w:spacing w:line="300" w:lineRule="auto"/>
                    <w:ind w:left="420" w:firstLine="0" w:firstLineChars="0"/>
                    <w:jc w:val="center"/>
                    <w:rPr>
                      <w:rFonts w:cs="Arial"/>
                      <w:color w:val="auto"/>
                      <w:szCs w:val="21"/>
                      <w:highlight w:val="none"/>
                    </w:rPr>
                  </w:pPr>
                  <w:r>
                    <w:rPr>
                      <w:rFonts w:cs="Arial"/>
                      <w:color w:val="auto"/>
                      <w:szCs w:val="21"/>
                      <w:highlight w:val="none"/>
                    </w:rPr>
                    <w:t>0.8%</w:t>
                  </w:r>
                </w:p>
              </w:tc>
            </w:tr>
          </w:tbl>
          <w:p>
            <w:pPr>
              <w:pStyle w:val="75"/>
              <w:snapToGrid w:val="0"/>
              <w:spacing w:line="300" w:lineRule="auto"/>
              <w:ind w:firstLine="0" w:firstLineChars="0"/>
              <w:rPr>
                <w:rFonts w:cs="Arial"/>
                <w:color w:val="auto"/>
                <w:highlight w:val="none"/>
              </w:rPr>
            </w:pPr>
            <w:r>
              <w:rPr>
                <w:rFonts w:cs="Arial"/>
                <w:color w:val="auto"/>
                <w:highlight w:val="none"/>
              </w:rPr>
              <w:t>收费计算示例：（标段中标金额200万元）</w:t>
            </w:r>
          </w:p>
          <w:p>
            <w:pPr>
              <w:pStyle w:val="75"/>
              <w:snapToGrid w:val="0"/>
              <w:spacing w:line="300" w:lineRule="auto"/>
              <w:ind w:firstLine="0" w:firstLineChars="0"/>
              <w:rPr>
                <w:rFonts w:cs="Arial"/>
                <w:color w:val="auto"/>
                <w:highlight w:val="none"/>
              </w:rPr>
            </w:pPr>
            <w:r>
              <w:rPr>
                <w:rFonts w:cs="Arial"/>
                <w:color w:val="auto"/>
                <w:highlight w:val="none"/>
              </w:rPr>
              <w:t>【100*1.5%+100*0.8%】*</w:t>
            </w:r>
            <w:r>
              <w:rPr>
                <w:rFonts w:hint="eastAsia" w:cs="Arial"/>
                <w:color w:val="auto"/>
                <w:highlight w:val="none"/>
              </w:rPr>
              <w:t>6</w:t>
            </w:r>
            <w:r>
              <w:rPr>
                <w:rFonts w:cs="Arial"/>
                <w:color w:val="auto"/>
                <w:highlight w:val="none"/>
              </w:rPr>
              <w:t>0%=1.</w:t>
            </w:r>
            <w:r>
              <w:rPr>
                <w:rFonts w:hint="eastAsia" w:cs="Arial"/>
                <w:color w:val="auto"/>
                <w:highlight w:val="none"/>
              </w:rPr>
              <w:t>38</w:t>
            </w:r>
            <w:r>
              <w:rPr>
                <w:rFonts w:cs="Arial"/>
                <w:color w:val="auto"/>
                <w:highlight w:val="none"/>
              </w:rPr>
              <w:t>万元。</w:t>
            </w:r>
          </w:p>
          <w:p>
            <w:pPr>
              <w:pStyle w:val="75"/>
              <w:snapToGrid w:val="0"/>
              <w:spacing w:line="300" w:lineRule="auto"/>
              <w:ind w:firstLine="0" w:firstLineChars="0"/>
              <w:rPr>
                <w:rFonts w:cs="Arial"/>
                <w:color w:val="auto"/>
                <w:highlight w:val="none"/>
              </w:rPr>
            </w:pPr>
            <w:r>
              <w:rPr>
                <w:rFonts w:cs="Arial"/>
                <w:color w:val="auto"/>
                <w:highlight w:val="none"/>
              </w:rPr>
              <w:t>采购代理服务费交纳形式：汇票/支票/电汇/现金</w:t>
            </w:r>
          </w:p>
          <w:p>
            <w:pPr>
              <w:pStyle w:val="75"/>
              <w:snapToGrid w:val="0"/>
              <w:spacing w:line="300" w:lineRule="auto"/>
              <w:ind w:firstLine="0" w:firstLineChars="0"/>
              <w:rPr>
                <w:rFonts w:cs="Arial"/>
                <w:color w:val="auto"/>
                <w:highlight w:val="none"/>
              </w:rPr>
            </w:pPr>
            <w:r>
              <w:rPr>
                <w:rFonts w:cs="Arial"/>
                <w:color w:val="auto"/>
                <w:highlight w:val="none"/>
              </w:rPr>
              <w:t>采购代理服务费由中标人在收到中标通知书时以人民币方式向采购代理机构支付。汇入以下账户：</w:t>
            </w:r>
          </w:p>
          <w:p>
            <w:pPr>
              <w:pStyle w:val="75"/>
              <w:snapToGrid w:val="0"/>
              <w:spacing w:line="300" w:lineRule="auto"/>
              <w:ind w:firstLine="0" w:firstLineChars="0"/>
              <w:rPr>
                <w:rFonts w:cs="Arial"/>
                <w:color w:val="auto"/>
                <w:highlight w:val="none"/>
              </w:rPr>
            </w:pPr>
            <w:r>
              <w:rPr>
                <w:rFonts w:cs="Arial"/>
                <w:color w:val="auto"/>
                <w:highlight w:val="none"/>
              </w:rPr>
              <w:t>户名：浙江省成套招标代理有限公司</w:t>
            </w:r>
          </w:p>
          <w:p>
            <w:pPr>
              <w:pStyle w:val="75"/>
              <w:snapToGrid w:val="0"/>
              <w:spacing w:line="300" w:lineRule="auto"/>
              <w:ind w:firstLine="0" w:firstLineChars="0"/>
              <w:rPr>
                <w:rFonts w:cs="Arial"/>
                <w:color w:val="auto"/>
                <w:highlight w:val="none"/>
              </w:rPr>
            </w:pPr>
            <w:r>
              <w:rPr>
                <w:rFonts w:cs="Arial"/>
                <w:color w:val="auto"/>
                <w:highlight w:val="none"/>
              </w:rPr>
              <w:t>开户：中信银行杭州西湖支行</w:t>
            </w:r>
          </w:p>
          <w:p>
            <w:pPr>
              <w:pStyle w:val="75"/>
              <w:snapToGrid w:val="0"/>
              <w:spacing w:line="300" w:lineRule="auto"/>
              <w:ind w:firstLine="0" w:firstLineChars="0"/>
              <w:rPr>
                <w:rFonts w:cs="Arial"/>
                <w:b/>
                <w:color w:val="auto"/>
                <w:kern w:val="10"/>
                <w:szCs w:val="21"/>
                <w:highlight w:val="none"/>
              </w:rPr>
            </w:pPr>
            <w:r>
              <w:rPr>
                <w:rFonts w:cs="Arial"/>
                <w:color w:val="auto"/>
                <w:highlight w:val="none"/>
              </w:rPr>
              <w:t>账号：7331610182600126385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16</w:t>
            </w:r>
          </w:p>
        </w:tc>
        <w:tc>
          <w:tcPr>
            <w:tcW w:w="8458" w:type="dxa"/>
            <w:vAlign w:val="center"/>
          </w:tcPr>
          <w:p>
            <w:pPr>
              <w:pStyle w:val="23"/>
              <w:snapToGrid w:val="0"/>
              <w:spacing w:line="300" w:lineRule="auto"/>
              <w:rPr>
                <w:rFonts w:ascii="Arial" w:hAnsi="Arial" w:cs="Arial"/>
                <w:b/>
                <w:snapToGrid w:val="0"/>
                <w:color w:val="auto"/>
                <w:kern w:val="10"/>
                <w:szCs w:val="21"/>
                <w:highlight w:val="none"/>
              </w:rPr>
            </w:pPr>
            <w:r>
              <w:rPr>
                <w:rFonts w:ascii="Arial" w:hAnsi="Arial" w:cs="Arial"/>
                <w:b/>
                <w:snapToGrid w:val="0"/>
                <w:color w:val="auto"/>
                <w:kern w:val="10"/>
                <w:szCs w:val="21"/>
                <w:highlight w:val="none"/>
              </w:rPr>
              <w:t>政府采购扶持政策：</w:t>
            </w:r>
          </w:p>
          <w:p>
            <w:pPr>
              <w:pStyle w:val="23"/>
              <w:snapToGrid w:val="0"/>
              <w:spacing w:line="300" w:lineRule="auto"/>
              <w:rPr>
                <w:rFonts w:ascii="Arial" w:hAnsi="Arial" w:cs="Arial"/>
                <w:snapToGrid w:val="0"/>
                <w:color w:val="auto"/>
                <w:kern w:val="28"/>
                <w:szCs w:val="21"/>
                <w:highlight w:val="none"/>
              </w:rPr>
            </w:pPr>
            <w:r>
              <w:rPr>
                <w:rFonts w:ascii="Arial" w:hAnsi="Arial" w:cs="Arial"/>
                <w:snapToGrid w:val="0"/>
                <w:color w:val="auto"/>
                <w:kern w:val="28"/>
                <w:szCs w:val="21"/>
                <w:highlight w:val="none"/>
              </w:rPr>
              <w:t>根据工信部等部委发布的《关于印发中小企业划型标准规定的通知》（工信部联企业〔2011〕300号），根据具体品目确定相应标准。符合上述条件的小微型企业应按照招标文件“</w:t>
            </w:r>
            <w:r>
              <w:rPr>
                <w:rFonts w:ascii="Arial" w:hAnsi="Arial" w:cs="Arial"/>
                <w:b/>
                <w:bCs/>
                <w:snapToGrid w:val="0"/>
                <w:color w:val="auto"/>
                <w:kern w:val="28"/>
                <w:szCs w:val="21"/>
                <w:highlight w:val="none"/>
              </w:rPr>
              <w:t>第六部分</w:t>
            </w:r>
            <w:r>
              <w:rPr>
                <w:rFonts w:ascii="Arial" w:hAnsi="Arial" w:cs="Arial"/>
                <w:b/>
                <w:bCs/>
                <w:color w:val="auto"/>
                <w:highlight w:val="none"/>
              </w:rPr>
              <w:t>应提交的有关格式范例</w:t>
            </w:r>
            <w:r>
              <w:rPr>
                <w:rFonts w:ascii="Arial" w:hAnsi="Arial" w:cs="Arial"/>
                <w:snapToGrid w:val="0"/>
                <w:color w:val="auto"/>
                <w:kern w:val="28"/>
                <w:szCs w:val="21"/>
                <w:highlight w:val="none"/>
              </w:rPr>
              <w:t>”的格式要求提供《中小企业声明函》。符合《关于促进残疾人就业政府采购政策的通知》（财库〔2017〕141号）规定的条件的单位按照招标文件“</w:t>
            </w:r>
            <w:r>
              <w:rPr>
                <w:rFonts w:ascii="Arial" w:hAnsi="Arial" w:cs="Arial"/>
                <w:b/>
                <w:bCs/>
                <w:snapToGrid w:val="0"/>
                <w:color w:val="auto"/>
                <w:kern w:val="28"/>
                <w:szCs w:val="21"/>
                <w:highlight w:val="none"/>
              </w:rPr>
              <w:t>第六部分</w:t>
            </w:r>
            <w:r>
              <w:rPr>
                <w:rFonts w:ascii="Arial" w:hAnsi="Arial" w:cs="Arial"/>
                <w:b/>
                <w:bCs/>
                <w:color w:val="auto"/>
                <w:highlight w:val="none"/>
              </w:rPr>
              <w:t>应提交的有关格式范例</w:t>
            </w:r>
            <w:r>
              <w:rPr>
                <w:rFonts w:ascii="Arial" w:hAnsi="Arial" w:cs="Arial"/>
                <w:snapToGrid w:val="0"/>
                <w:color w:val="auto"/>
                <w:kern w:val="28"/>
                <w:szCs w:val="21"/>
                <w:highlight w:val="none"/>
              </w:rPr>
              <w:t>”的格式要求提供《残疾人福利性单位声明函》，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3"/>
              <w:snapToGrid w:val="0"/>
              <w:spacing w:line="300" w:lineRule="auto"/>
              <w:rPr>
                <w:rFonts w:ascii="Arial" w:hAnsi="Arial" w:cs="Arial"/>
                <w:color w:val="auto"/>
                <w:szCs w:val="21"/>
                <w:highlight w:val="none"/>
              </w:rPr>
            </w:pPr>
            <w:r>
              <w:rPr>
                <w:rFonts w:ascii="Arial" w:hAnsi="Arial" w:cs="Arial"/>
                <w:snapToGrid w:val="0"/>
                <w:color w:val="auto"/>
                <w:kern w:val="28"/>
                <w:szCs w:val="21"/>
                <w:highlight w:val="none"/>
              </w:rPr>
              <w:t>本项目</w:t>
            </w:r>
            <w:r>
              <w:rPr>
                <w:rFonts w:ascii="Arial" w:hAnsi="Arial" w:cs="Arial"/>
                <w:color w:val="auto"/>
                <w:szCs w:val="21"/>
                <w:highlight w:val="none"/>
              </w:rPr>
              <w:t>根据财政部发布的《政府采购促进中小企业发展暂行办法》规定，对小型和微型企业产品的投标价格给予6 %的扣除，用扣除后的价格参与评审。</w:t>
            </w:r>
          </w:p>
          <w:p>
            <w:pPr>
              <w:pStyle w:val="23"/>
              <w:snapToGrid w:val="0"/>
              <w:spacing w:line="300" w:lineRule="auto"/>
              <w:rPr>
                <w:rFonts w:ascii="Arial" w:hAnsi="Arial" w:cs="Arial"/>
                <w:snapToGrid w:val="0"/>
                <w:color w:val="auto"/>
                <w:kern w:val="28"/>
                <w:szCs w:val="21"/>
                <w:highlight w:val="none"/>
              </w:rPr>
            </w:pPr>
            <w:r>
              <w:rPr>
                <w:rFonts w:ascii="Arial" w:hAnsi="Arial" w:cs="Arial"/>
                <w:b/>
                <w:bCs/>
                <w:snapToGrid w:val="0"/>
                <w:color w:val="auto"/>
                <w:kern w:val="28"/>
                <w:szCs w:val="21"/>
                <w:highlight w:val="none"/>
              </w:rPr>
              <w:t>信用融资</w:t>
            </w:r>
            <w:r>
              <w:rPr>
                <w:rFonts w:hint="eastAsia" w:ascii="Arial" w:hAnsi="Arial" w:cs="Arial"/>
                <w:b/>
                <w:bCs/>
                <w:snapToGrid w:val="0"/>
                <w:color w:val="auto"/>
                <w:kern w:val="28"/>
                <w:szCs w:val="21"/>
                <w:highlight w:val="none"/>
              </w:rPr>
              <w:t>：</w:t>
            </w:r>
          </w:p>
          <w:p>
            <w:pPr>
              <w:pStyle w:val="23"/>
              <w:snapToGrid w:val="0"/>
              <w:spacing w:line="300" w:lineRule="auto"/>
              <w:rPr>
                <w:rFonts w:ascii="Arial" w:hAnsi="Arial" w:cs="Arial"/>
                <w:color w:val="auto"/>
                <w:szCs w:val="21"/>
                <w:highlight w:val="none"/>
              </w:rPr>
            </w:pPr>
            <w:r>
              <w:rPr>
                <w:rFonts w:ascii="Arial" w:hAnsi="Arial" w:cs="Arial"/>
                <w:color w:val="auto"/>
                <w:szCs w:val="21"/>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详见采购文件尾页），或登陆杭州市政府采购网“中小企业信用融资”模块，查看信用融资政策文件及各相关银行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17</w:t>
            </w:r>
          </w:p>
        </w:tc>
        <w:tc>
          <w:tcPr>
            <w:tcW w:w="8458" w:type="dxa"/>
            <w:vAlign w:val="center"/>
          </w:tcPr>
          <w:p>
            <w:pPr>
              <w:pStyle w:val="23"/>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排名第一的中标候选人拒绝与招标人签订合同的，招标人可以按评审报告推荐的中标候选人名单排序，确定下一候选人为中标供应商，也可以重新开展政府采购活动。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18</w:t>
            </w:r>
          </w:p>
        </w:tc>
        <w:tc>
          <w:tcPr>
            <w:tcW w:w="8458" w:type="dxa"/>
            <w:vAlign w:val="center"/>
          </w:tcPr>
          <w:p>
            <w:pPr>
              <w:pStyle w:val="75"/>
              <w:snapToGrid w:val="0"/>
              <w:spacing w:line="300" w:lineRule="auto"/>
              <w:ind w:firstLine="0" w:firstLineChars="0"/>
              <w:rPr>
                <w:rFonts w:cs="Arial"/>
                <w:color w:val="auto"/>
                <w:szCs w:val="21"/>
                <w:highlight w:val="none"/>
              </w:rPr>
            </w:pPr>
            <w:r>
              <w:rPr>
                <w:rFonts w:cs="Arial"/>
                <w:snapToGrid w:val="0"/>
                <w:color w:val="auto"/>
                <w:kern w:val="28"/>
                <w:szCs w:val="21"/>
                <w:highlight w:val="none"/>
              </w:rPr>
              <w:t>本招标文件中所引用的政府文件内容如有最新文件规定的按最新文件规定执行。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19</w:t>
            </w:r>
          </w:p>
        </w:tc>
        <w:tc>
          <w:tcPr>
            <w:tcW w:w="8458" w:type="dxa"/>
            <w:vAlign w:val="center"/>
          </w:tcPr>
          <w:p>
            <w:pPr>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根据《关于在政府采购活动中查询及使用信用记录有关问题的通知》财库[2016]125号的规定：</w:t>
            </w:r>
          </w:p>
          <w:p>
            <w:pPr>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1）采购人或采购代理机构将对本项目投标人的信用信息进行查询。</w:t>
            </w:r>
          </w:p>
          <w:p>
            <w:pPr>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2）查询渠道为信用中国网站（www.creditchina.gov.cn）、中国政府采购网（www.ccgp.gov.cn）。</w:t>
            </w:r>
          </w:p>
          <w:p>
            <w:pPr>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3）信用信息截止时点为从本项目投标截止日往前追溯三年，期间被列入失信被执行人名单、重大税收违法案件当事人名单、政府采购严重违法失信行为记录名单等投标人信用信息均将用于本项目。</w:t>
            </w:r>
          </w:p>
          <w:p>
            <w:pPr>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4）信用信息查询记录和证据以网页截图等方式留存。</w:t>
            </w:r>
          </w:p>
          <w:p>
            <w:pPr>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5）投标截止日当日网站显示的信用信息将作为评审和确定中标人的依据。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20</w:t>
            </w:r>
          </w:p>
        </w:tc>
        <w:tc>
          <w:tcPr>
            <w:tcW w:w="8458" w:type="dxa"/>
            <w:vAlign w:val="center"/>
          </w:tcPr>
          <w:p>
            <w:pPr>
              <w:snapToGrid w:val="0"/>
              <w:spacing w:line="300" w:lineRule="auto"/>
              <w:rPr>
                <w:rFonts w:ascii="Arial" w:hAnsi="Arial" w:cs="Arial"/>
                <w:b/>
                <w:color w:val="auto"/>
                <w:highlight w:val="none"/>
              </w:rPr>
            </w:pPr>
            <w:r>
              <w:rPr>
                <w:rFonts w:ascii="Arial" w:hAnsi="Arial" w:cs="Arial"/>
                <w:b/>
                <w:color w:val="auto"/>
                <w:highlight w:val="none"/>
              </w:rPr>
              <w:t>1、本招标文件共</w:t>
            </w:r>
            <w:r>
              <w:rPr>
                <w:color w:val="auto"/>
                <w:highlight w:val="none"/>
              </w:rPr>
              <w:t>79</w:t>
            </w:r>
            <w:r>
              <w:rPr>
                <w:rFonts w:ascii="Arial" w:hAnsi="Arial" w:cs="Arial"/>
                <w:b/>
                <w:color w:val="auto"/>
                <w:highlight w:val="none"/>
              </w:rPr>
              <w:t>页（含封面），请各投标人收到本文件后自行核对，如有缺页、错装等情况请于当日向采购代理机构提出，如未提出，所有责任及由此造成的后果由投标人自负。</w:t>
            </w:r>
          </w:p>
          <w:p>
            <w:pPr>
              <w:snapToGrid w:val="0"/>
              <w:spacing w:line="300" w:lineRule="auto"/>
              <w:rPr>
                <w:rFonts w:ascii="Arial" w:hAnsi="Arial" w:cs="Arial"/>
                <w:color w:val="auto"/>
                <w:highlight w:val="none"/>
              </w:rPr>
            </w:pPr>
            <w:r>
              <w:rPr>
                <w:rFonts w:ascii="Arial" w:hAnsi="Arial" w:cs="Arial"/>
                <w:b/>
                <w:color w:val="auto"/>
                <w:highlight w:val="none"/>
              </w:rPr>
              <w:t>2、请投标人仔细阅读本招标文件，其中带“▲”标记的条款为实质性内容，投标人须对带“▲”标记的条款作出实质性响应。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21</w:t>
            </w:r>
          </w:p>
        </w:tc>
        <w:tc>
          <w:tcPr>
            <w:tcW w:w="8458" w:type="dxa"/>
            <w:vAlign w:val="center"/>
          </w:tcPr>
          <w:p>
            <w:pPr>
              <w:adjustRightInd w:val="0"/>
              <w:snapToGrid w:val="0"/>
              <w:spacing w:line="300" w:lineRule="auto"/>
              <w:rPr>
                <w:rFonts w:ascii="Arial" w:hAnsi="Arial" w:cs="Arial"/>
                <w:b/>
                <w:color w:val="auto"/>
                <w:kern w:val="10"/>
                <w:szCs w:val="21"/>
                <w:highlight w:val="none"/>
              </w:rPr>
            </w:pPr>
            <w:r>
              <w:rPr>
                <w:rFonts w:ascii="Arial" w:hAnsi="Arial" w:cs="Arial"/>
                <w:b/>
                <w:color w:val="auto"/>
                <w:kern w:val="10"/>
                <w:szCs w:val="21"/>
                <w:highlight w:val="none"/>
              </w:rPr>
              <w:t>中标人应在合同签订前完成政府采购云平台（https://www.zcygov.cn/）全部注册步骤并成为正式注册入库供应商，否则将导致合同款无法正常支付，责任由中标人承担。请投标人尽早完成注册。</w:t>
            </w:r>
            <w:r>
              <w:rPr>
                <w:rFonts w:ascii="Arial" w:hAnsi="Arial" w:cs="Arial"/>
                <w:b/>
                <w:color w:val="auto"/>
                <w:highlight w:val="none"/>
                <w:u w:val="single"/>
              </w:rPr>
              <w:t>https://middle.zcygov.cn/settle-front/#/registry。（供应商注册页面）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22</w:t>
            </w:r>
          </w:p>
        </w:tc>
        <w:tc>
          <w:tcPr>
            <w:tcW w:w="8458" w:type="dxa"/>
            <w:vAlign w:val="center"/>
          </w:tcPr>
          <w:p>
            <w:pPr>
              <w:snapToGrid w:val="0"/>
              <w:spacing w:line="300" w:lineRule="auto"/>
              <w:jc w:val="left"/>
              <w:rPr>
                <w:rFonts w:ascii="Arial" w:hAnsi="Arial" w:cs="Arial"/>
                <w:b/>
                <w:color w:val="auto"/>
                <w:sz w:val="24"/>
                <w:highlight w:val="none"/>
                <w:u w:val="single"/>
              </w:rPr>
            </w:pPr>
            <w:r>
              <w:rPr>
                <w:rFonts w:ascii="Arial" w:hAnsi="Arial" w:cs="Arial"/>
                <w:b/>
                <w:color w:val="auto"/>
                <w:kern w:val="10"/>
                <w:szCs w:val="21"/>
                <w:highlight w:val="none"/>
              </w:rPr>
              <w:t>其他：为了节约社会资源，所有获取招标文件的潜在投标人如果放弃投标请务必在投标截止时间48小时前将盖章的放弃投标函发至采购代理机构（将扫描件发送至代理机构联系人邮箱：85830335@zjsct.cn）。谢谢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ascii="Arial" w:hAnsi="Arial" w:cs="Arial"/>
                <w:color w:val="auto"/>
                <w:szCs w:val="21"/>
                <w:highlight w:val="none"/>
              </w:rPr>
              <w:t>23</w:t>
            </w:r>
          </w:p>
        </w:tc>
        <w:tc>
          <w:tcPr>
            <w:tcW w:w="8458" w:type="dxa"/>
            <w:vAlign w:val="center"/>
          </w:tcPr>
          <w:p>
            <w:pPr>
              <w:pStyle w:val="75"/>
              <w:adjustRightInd w:val="0"/>
              <w:snapToGrid w:val="0"/>
              <w:spacing w:line="300" w:lineRule="auto"/>
              <w:ind w:firstLine="0" w:firstLineChars="0"/>
              <w:rPr>
                <w:rFonts w:cs="Arial"/>
                <w:b/>
                <w:color w:val="auto"/>
                <w:highlight w:val="none"/>
              </w:rPr>
            </w:pPr>
            <w:r>
              <w:rPr>
                <w:rFonts w:cs="Arial"/>
                <w:b/>
                <w:color w:val="auto"/>
                <w:highlight w:val="none"/>
              </w:rPr>
              <w:t>中标人应提供与电子投标文件内容一致的纸质投标文件一正二副，装订成册，采用胶订或线订，不得采用活页夹等可随时拆换的方式装订。（胶订或线订以外装订形式视为活页装订）</w:t>
            </w:r>
          </w:p>
          <w:p>
            <w:pPr>
              <w:pStyle w:val="75"/>
              <w:adjustRightInd w:val="0"/>
              <w:snapToGrid w:val="0"/>
              <w:spacing w:line="300" w:lineRule="auto"/>
              <w:ind w:firstLine="0" w:firstLineChars="0"/>
              <w:rPr>
                <w:rFonts w:cs="Arial"/>
                <w:b/>
                <w:color w:val="auto"/>
                <w:highlight w:val="none"/>
              </w:rPr>
            </w:pPr>
            <w:r>
              <w:rPr>
                <w:rFonts w:cs="Arial"/>
                <w:b/>
                <w:color w:val="auto"/>
                <w:highlight w:val="none"/>
              </w:rPr>
              <w:t>中标人在领取中标通知书时提供纸质投标文件。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28" w:type="dxa"/>
            <w:vAlign w:val="center"/>
          </w:tcPr>
          <w:p>
            <w:pPr>
              <w:tabs>
                <w:tab w:val="left" w:pos="3780"/>
              </w:tabs>
              <w:snapToGrid w:val="0"/>
              <w:spacing w:line="300" w:lineRule="auto"/>
              <w:jc w:val="center"/>
              <w:rPr>
                <w:rFonts w:ascii="Arial" w:hAnsi="Arial" w:cs="Arial"/>
                <w:color w:val="auto"/>
                <w:szCs w:val="21"/>
                <w:highlight w:val="none"/>
              </w:rPr>
            </w:pPr>
            <w:r>
              <w:rPr>
                <w:rFonts w:hint="eastAsia" w:ascii="Arial" w:hAnsi="Arial" w:cs="Arial"/>
                <w:color w:val="auto"/>
                <w:szCs w:val="21"/>
                <w:highlight w:val="none"/>
              </w:rPr>
              <w:t>24</w:t>
            </w:r>
          </w:p>
        </w:tc>
        <w:tc>
          <w:tcPr>
            <w:tcW w:w="8458" w:type="dxa"/>
            <w:vAlign w:val="center"/>
          </w:tcPr>
          <w:p>
            <w:pPr>
              <w:pStyle w:val="75"/>
              <w:adjustRightInd w:val="0"/>
              <w:snapToGrid w:val="0"/>
              <w:spacing w:line="300" w:lineRule="auto"/>
              <w:ind w:firstLine="0" w:firstLineChars="0"/>
              <w:rPr>
                <w:rFonts w:cs="Arial"/>
                <w:b/>
                <w:color w:val="auto"/>
                <w:highlight w:val="none"/>
              </w:rPr>
            </w:pPr>
            <w:r>
              <w:rPr>
                <w:rFonts w:cs="Arial"/>
                <w:b/>
                <w:color w:val="auto"/>
                <w:highlight w:val="none"/>
              </w:rPr>
              <w:t>联系方式：</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采购人名称：杭州市拱墅区城市管理局</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地点：</w:t>
            </w:r>
            <w:r>
              <w:rPr>
                <w:rFonts w:hint="eastAsia" w:ascii="Arial" w:hAnsi="Arial" w:cs="Arial"/>
                <w:color w:val="auto"/>
                <w:kern w:val="0"/>
                <w:szCs w:val="21"/>
                <w:highlight w:val="none"/>
              </w:rPr>
              <w:t>杭州市拱墅区景苑路32号</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联系人：</w:t>
            </w:r>
            <w:r>
              <w:rPr>
                <w:rFonts w:hint="eastAsia" w:ascii="Arial" w:hAnsi="Arial" w:cs="Arial"/>
                <w:color w:val="auto"/>
                <w:kern w:val="0"/>
                <w:szCs w:val="21"/>
                <w:highlight w:val="none"/>
              </w:rPr>
              <w:t>孙勇</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联系电话：</w:t>
            </w:r>
            <w:r>
              <w:rPr>
                <w:rFonts w:hint="eastAsia" w:ascii="Arial" w:hAnsi="Arial" w:cs="Arial"/>
                <w:color w:val="auto"/>
                <w:kern w:val="0"/>
                <w:szCs w:val="21"/>
                <w:highlight w:val="none"/>
              </w:rPr>
              <w:t xml:space="preserve"> 0571-88058236</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采购代理机构名称：浙江省成套招标代理有限公司</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地址：杭州市文晖路42号现代置业大厦西楼18层1802室</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项目采购联系人：古益仲、</w:t>
            </w:r>
            <w:r>
              <w:rPr>
                <w:rFonts w:hint="eastAsia" w:ascii="Arial" w:hAnsi="Arial" w:cs="Arial"/>
                <w:color w:val="auto"/>
                <w:kern w:val="0"/>
                <w:szCs w:val="21"/>
                <w:highlight w:val="none"/>
              </w:rPr>
              <w:t>刘敏</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联系电话：0571-8763112、85830315、13857197657</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同级政府采购监督管理部门：</w:t>
            </w:r>
            <w:r>
              <w:rPr>
                <w:rFonts w:hint="eastAsia" w:ascii="Arial" w:hAnsi="Arial" w:cs="Arial"/>
                <w:color w:val="auto"/>
                <w:kern w:val="0"/>
                <w:szCs w:val="21"/>
                <w:highlight w:val="none"/>
              </w:rPr>
              <w:t>杭州市拱墅区财政局政府采购监管科</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地址：</w:t>
            </w:r>
            <w:r>
              <w:rPr>
                <w:rFonts w:ascii="宋体" w:hAnsi="宋体" w:cs="Arial"/>
                <w:color w:val="auto"/>
                <w:szCs w:val="21"/>
                <w:highlight w:val="none"/>
              </w:rPr>
              <w:t>杭州市霞湾巷杭办大厦2号楼6楼</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联系人：</w:t>
            </w:r>
            <w:r>
              <w:rPr>
                <w:rFonts w:ascii="宋体" w:hAnsi="宋体" w:cs="Arial"/>
                <w:color w:val="auto"/>
                <w:szCs w:val="21"/>
                <w:highlight w:val="none"/>
              </w:rPr>
              <w:t>王老师</w:t>
            </w:r>
          </w:p>
          <w:p>
            <w:pPr>
              <w:widowControl/>
              <w:snapToGrid w:val="0"/>
              <w:spacing w:line="300" w:lineRule="auto"/>
              <w:ind w:firstLine="420" w:firstLineChars="200"/>
              <w:jc w:val="left"/>
              <w:rPr>
                <w:rFonts w:cs="Arial"/>
                <w:b/>
                <w:color w:val="auto"/>
                <w:highlight w:val="none"/>
              </w:rPr>
            </w:pPr>
            <w:r>
              <w:rPr>
                <w:rFonts w:ascii="Arial" w:hAnsi="Arial" w:cs="Arial"/>
                <w:color w:val="auto"/>
                <w:kern w:val="0"/>
                <w:szCs w:val="21"/>
                <w:highlight w:val="none"/>
              </w:rPr>
              <w:t>监督投诉电话：0571-88355203</w:t>
            </w:r>
          </w:p>
        </w:tc>
      </w:tr>
    </w:tbl>
    <w:p>
      <w:pPr>
        <w:pStyle w:val="4"/>
        <w:spacing w:before="120"/>
        <w:ind w:firstLine="420"/>
        <w:rPr>
          <w:color w:val="auto"/>
          <w:highlight w:val="none"/>
          <w:lang w:val="en-US"/>
        </w:rPr>
      </w:pPr>
      <w:r>
        <w:rPr>
          <w:rFonts w:cs="Arial"/>
          <w:b w:val="0"/>
          <w:color w:val="auto"/>
          <w:szCs w:val="21"/>
          <w:highlight w:val="none"/>
        </w:rPr>
        <w:br w:type="page"/>
      </w:r>
      <w:bookmarkEnd w:id="6"/>
      <w:bookmarkStart w:id="11" w:name="_Toc497919823"/>
      <w:bookmarkStart w:id="12" w:name="_Toc82873323"/>
      <w:bookmarkStart w:id="13" w:name="_Toc82338240"/>
      <w:bookmarkStart w:id="14" w:name="_Toc91899912"/>
      <w:bookmarkStart w:id="15" w:name="_Toc36110187"/>
      <w:r>
        <w:rPr>
          <w:rFonts w:hint="eastAsia"/>
          <w:color w:val="auto"/>
          <w:highlight w:val="none"/>
          <w:lang w:val="en-US"/>
        </w:rPr>
        <w:t>一、总则</w:t>
      </w:r>
    </w:p>
    <w:p>
      <w:pPr>
        <w:pStyle w:val="5"/>
        <w:ind w:firstLine="422"/>
        <w:rPr>
          <w:color w:val="auto"/>
          <w:highlight w:val="none"/>
        </w:rPr>
      </w:pPr>
      <w:r>
        <w:rPr>
          <w:color w:val="auto"/>
          <w:highlight w:val="none"/>
        </w:rPr>
        <w:t>1.1 实施依据</w:t>
      </w:r>
      <w:bookmarkEnd w:id="11"/>
    </w:p>
    <w:p>
      <w:pPr>
        <w:pStyle w:val="75"/>
        <w:snapToGrid w:val="0"/>
        <w:spacing w:line="300" w:lineRule="auto"/>
        <w:ind w:firstLine="420"/>
        <w:rPr>
          <w:rFonts w:cs="Arial"/>
          <w:color w:val="auto"/>
          <w:highlight w:val="none"/>
        </w:rPr>
      </w:pPr>
      <w:r>
        <w:rPr>
          <w:rFonts w:cs="Arial"/>
          <w:color w:val="auto"/>
          <w:highlight w:val="none"/>
        </w:rPr>
        <w:t>本次招标工作是按照《中华人民共和国政府采购法》等有关法律、法规、规章、文件的规定组织和实施。</w:t>
      </w:r>
    </w:p>
    <w:p>
      <w:pPr>
        <w:pStyle w:val="5"/>
        <w:spacing w:before="120"/>
        <w:ind w:firstLine="422"/>
        <w:rPr>
          <w:rFonts w:cs="Arial"/>
          <w:color w:val="auto"/>
          <w:highlight w:val="none"/>
        </w:rPr>
      </w:pPr>
      <w:bookmarkStart w:id="16" w:name="_Toc497919824"/>
      <w:r>
        <w:rPr>
          <w:rFonts w:cs="Arial"/>
          <w:color w:val="auto"/>
          <w:highlight w:val="none"/>
        </w:rPr>
        <w:t>1.2 采购方式</w:t>
      </w:r>
      <w:bookmarkEnd w:id="16"/>
    </w:p>
    <w:p>
      <w:pPr>
        <w:pStyle w:val="75"/>
        <w:snapToGrid w:val="0"/>
        <w:spacing w:line="300" w:lineRule="auto"/>
        <w:ind w:firstLine="420"/>
        <w:rPr>
          <w:rFonts w:cs="Arial"/>
          <w:color w:val="auto"/>
          <w:highlight w:val="none"/>
        </w:rPr>
      </w:pPr>
      <w:r>
        <w:rPr>
          <w:rFonts w:cs="Arial"/>
          <w:color w:val="auto"/>
          <w:szCs w:val="21"/>
          <w:highlight w:val="none"/>
        </w:rPr>
        <w:t>公开招标，是指招标采购单位依法以招标公告的方式邀请不特定的供应商参加投标。</w:t>
      </w:r>
    </w:p>
    <w:p>
      <w:pPr>
        <w:pStyle w:val="5"/>
        <w:spacing w:before="120"/>
        <w:ind w:firstLine="422"/>
        <w:rPr>
          <w:rFonts w:cs="Arial"/>
          <w:color w:val="auto"/>
          <w:highlight w:val="none"/>
        </w:rPr>
      </w:pPr>
      <w:bookmarkStart w:id="17" w:name="_Toc497919825"/>
      <w:r>
        <w:rPr>
          <w:rFonts w:cs="Arial"/>
          <w:color w:val="auto"/>
          <w:highlight w:val="none"/>
        </w:rPr>
        <w:t>1.3 定义</w:t>
      </w:r>
      <w:bookmarkEnd w:id="17"/>
    </w:p>
    <w:p>
      <w:pPr>
        <w:pStyle w:val="75"/>
        <w:snapToGrid w:val="0"/>
        <w:spacing w:line="300" w:lineRule="auto"/>
        <w:ind w:firstLine="420"/>
        <w:rPr>
          <w:rFonts w:cs="Arial"/>
          <w:color w:val="auto"/>
          <w:szCs w:val="21"/>
          <w:highlight w:val="none"/>
        </w:rPr>
      </w:pPr>
      <w:r>
        <w:rPr>
          <w:rFonts w:cs="Arial"/>
          <w:color w:val="auto"/>
          <w:szCs w:val="21"/>
          <w:highlight w:val="none"/>
        </w:rPr>
        <w:t>电子交易活动：是指以数据电文形式，依托政府采购项目电子交易平台进行的政府采购交易活动。</w:t>
      </w:r>
    </w:p>
    <w:p>
      <w:pPr>
        <w:pStyle w:val="75"/>
        <w:snapToGrid w:val="0"/>
        <w:spacing w:line="300" w:lineRule="auto"/>
        <w:ind w:firstLine="420"/>
        <w:rPr>
          <w:rFonts w:cs="Arial"/>
          <w:color w:val="auto"/>
          <w:highlight w:val="none"/>
        </w:rPr>
      </w:pPr>
      <w:r>
        <w:rPr>
          <w:rFonts w:cs="Arial"/>
          <w:color w:val="auto"/>
          <w:highlight w:val="none"/>
        </w:rPr>
        <w:t>采购人：是指依法进行政府采购的国家机关、事业单位、团体组织，见前附表；</w:t>
      </w:r>
    </w:p>
    <w:p>
      <w:pPr>
        <w:pStyle w:val="75"/>
        <w:snapToGrid w:val="0"/>
        <w:spacing w:line="300" w:lineRule="auto"/>
        <w:ind w:firstLine="420"/>
        <w:rPr>
          <w:rFonts w:cs="Arial"/>
          <w:color w:val="auto"/>
          <w:highlight w:val="none"/>
        </w:rPr>
      </w:pPr>
      <w:r>
        <w:rPr>
          <w:rFonts w:cs="Arial"/>
          <w:color w:val="auto"/>
          <w:highlight w:val="none"/>
        </w:rPr>
        <w:t>采购代理机构：受采购人委托，在委托的范围内办理政府采购事宜的机构，见前附表；</w:t>
      </w:r>
    </w:p>
    <w:p>
      <w:pPr>
        <w:pStyle w:val="75"/>
        <w:snapToGrid w:val="0"/>
        <w:spacing w:line="300" w:lineRule="auto"/>
        <w:ind w:firstLine="420"/>
        <w:rPr>
          <w:rFonts w:cs="Arial"/>
          <w:color w:val="auto"/>
          <w:highlight w:val="none"/>
        </w:rPr>
      </w:pPr>
      <w:r>
        <w:rPr>
          <w:rFonts w:cs="Arial"/>
          <w:color w:val="auto"/>
          <w:highlight w:val="none"/>
        </w:rPr>
        <w:t>投标人：是指参加本政府采购项目投标的供应商；</w:t>
      </w:r>
    </w:p>
    <w:p>
      <w:pPr>
        <w:pStyle w:val="75"/>
        <w:snapToGrid w:val="0"/>
        <w:spacing w:line="300" w:lineRule="auto"/>
        <w:ind w:firstLine="420"/>
        <w:rPr>
          <w:rFonts w:cs="Arial"/>
          <w:color w:val="auto"/>
          <w:highlight w:val="none"/>
        </w:rPr>
      </w:pPr>
      <w:r>
        <w:rPr>
          <w:rFonts w:cs="Arial"/>
          <w:color w:val="auto"/>
          <w:highlight w:val="none"/>
        </w:rPr>
        <w:t>投标人代表：是指参加本项目投标活动的投标人法定代表人或法定代表人授权代表；</w:t>
      </w:r>
    </w:p>
    <w:p>
      <w:pPr>
        <w:pStyle w:val="75"/>
        <w:snapToGrid w:val="0"/>
        <w:spacing w:line="300" w:lineRule="auto"/>
        <w:ind w:firstLine="420"/>
        <w:rPr>
          <w:rFonts w:cs="Arial"/>
          <w:color w:val="auto"/>
          <w:highlight w:val="none"/>
        </w:rPr>
      </w:pPr>
      <w:r>
        <w:rPr>
          <w:rFonts w:cs="Arial"/>
          <w:color w:val="auto"/>
          <w:highlight w:val="none"/>
        </w:rPr>
        <w:t>投标联合体：是指两个以上供应商组成联合体，以一个投标人的身份参加投标；</w:t>
      </w:r>
    </w:p>
    <w:p>
      <w:pPr>
        <w:pStyle w:val="75"/>
        <w:snapToGrid w:val="0"/>
        <w:spacing w:line="300" w:lineRule="auto"/>
        <w:ind w:firstLine="420"/>
        <w:rPr>
          <w:rFonts w:cs="Arial"/>
          <w:color w:val="auto"/>
          <w:highlight w:val="none"/>
        </w:rPr>
      </w:pPr>
      <w:r>
        <w:rPr>
          <w:rFonts w:cs="Arial"/>
          <w:color w:val="auto"/>
          <w:highlight w:val="none"/>
        </w:rPr>
        <w:t>甲方：是指合同签订的一方，一般与采购人、用户相同；</w:t>
      </w:r>
    </w:p>
    <w:p>
      <w:pPr>
        <w:pStyle w:val="75"/>
        <w:snapToGrid w:val="0"/>
        <w:spacing w:line="300" w:lineRule="auto"/>
        <w:ind w:firstLine="420"/>
        <w:rPr>
          <w:rFonts w:cs="Arial"/>
          <w:color w:val="auto"/>
          <w:highlight w:val="none"/>
        </w:rPr>
      </w:pPr>
      <w:r>
        <w:rPr>
          <w:rFonts w:cs="Arial"/>
          <w:color w:val="auto"/>
          <w:highlight w:val="none"/>
        </w:rPr>
        <w:t>乙方：是指合同签订的另一方，与中标人相同；</w:t>
      </w:r>
    </w:p>
    <w:p>
      <w:pPr>
        <w:pStyle w:val="75"/>
        <w:snapToGrid w:val="0"/>
        <w:spacing w:line="300" w:lineRule="auto"/>
        <w:ind w:firstLine="420"/>
        <w:rPr>
          <w:rFonts w:cs="Arial"/>
          <w:color w:val="auto"/>
          <w:highlight w:val="none"/>
        </w:rPr>
      </w:pPr>
      <w:r>
        <w:rPr>
          <w:rFonts w:cs="Arial"/>
          <w:color w:val="auto"/>
          <w:highlight w:val="none"/>
        </w:rPr>
        <w:t>中小企业（含中型、小型、微型）：符合中小企业划分标准（工信部联企业[2011]300号）的企业；</w:t>
      </w:r>
    </w:p>
    <w:p>
      <w:pPr>
        <w:pStyle w:val="75"/>
        <w:snapToGrid w:val="0"/>
        <w:spacing w:line="300" w:lineRule="auto"/>
        <w:ind w:firstLine="420"/>
        <w:rPr>
          <w:rFonts w:cs="Arial"/>
          <w:color w:val="auto"/>
          <w:kern w:val="0"/>
          <w:szCs w:val="21"/>
          <w:highlight w:val="none"/>
        </w:rPr>
      </w:pPr>
      <w:r>
        <w:rPr>
          <w:rFonts w:cs="Arial"/>
          <w:color w:val="auto"/>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75"/>
        <w:snapToGrid w:val="0"/>
        <w:spacing w:line="300" w:lineRule="auto"/>
        <w:ind w:firstLine="420"/>
        <w:rPr>
          <w:rFonts w:cs="Arial"/>
          <w:color w:val="auto"/>
          <w:highlight w:val="none"/>
        </w:rPr>
      </w:pPr>
      <w:r>
        <w:rPr>
          <w:rFonts w:cs="Arial"/>
          <w:color w:val="auto"/>
          <w:highlight w:val="none"/>
        </w:rPr>
        <w:t>残疾人福利性单位：符合《财政部民政部中国残疾人联合会关于促进残疾人就业政府采购政策的通知》（财库〔2017〕 141号）的规定单位；</w:t>
      </w:r>
    </w:p>
    <w:p>
      <w:pPr>
        <w:pStyle w:val="75"/>
        <w:snapToGrid w:val="0"/>
        <w:spacing w:line="300" w:lineRule="auto"/>
        <w:ind w:firstLine="420"/>
        <w:rPr>
          <w:rFonts w:cs="Arial"/>
          <w:color w:val="auto"/>
          <w:highlight w:val="none"/>
        </w:rPr>
      </w:pPr>
      <w:r>
        <w:rPr>
          <w:rFonts w:cs="Arial"/>
          <w:color w:val="auto"/>
          <w:highlight w:val="none"/>
        </w:rPr>
        <w:t>同级政府采购监督管理部门：杭州市拱墅区财政局；</w:t>
      </w:r>
    </w:p>
    <w:p>
      <w:pPr>
        <w:pStyle w:val="5"/>
        <w:spacing w:before="120"/>
        <w:ind w:firstLine="422"/>
        <w:rPr>
          <w:rFonts w:cs="Arial"/>
          <w:color w:val="auto"/>
          <w:highlight w:val="none"/>
        </w:rPr>
      </w:pPr>
      <w:bookmarkStart w:id="18" w:name="_Toc497919826"/>
      <w:r>
        <w:rPr>
          <w:rFonts w:cs="Arial"/>
          <w:color w:val="auto"/>
          <w:highlight w:val="none"/>
        </w:rPr>
        <w:t>1.4 联合体投标</w:t>
      </w:r>
      <w:bookmarkEnd w:id="18"/>
    </w:p>
    <w:p>
      <w:pPr>
        <w:pStyle w:val="75"/>
        <w:snapToGrid w:val="0"/>
        <w:spacing w:line="300" w:lineRule="auto"/>
        <w:ind w:firstLine="422"/>
        <w:rPr>
          <w:rFonts w:cs="Arial"/>
          <w:b/>
          <w:bCs/>
          <w:color w:val="auto"/>
          <w:highlight w:val="none"/>
          <w:u w:val="single"/>
        </w:rPr>
      </w:pPr>
      <w:r>
        <w:rPr>
          <w:rFonts w:cs="Arial"/>
          <w:b/>
          <w:bCs/>
          <w:color w:val="auto"/>
          <w:highlight w:val="none"/>
          <w:u w:val="single"/>
        </w:rPr>
        <w:t>【本项目不接受联合体投标，以下条款内容不适用】。</w:t>
      </w:r>
    </w:p>
    <w:p>
      <w:pPr>
        <w:pStyle w:val="75"/>
        <w:spacing w:line="300" w:lineRule="auto"/>
        <w:ind w:firstLine="420"/>
        <w:rPr>
          <w:rFonts w:cs="Arial"/>
          <w:color w:val="auto"/>
          <w:highlight w:val="none"/>
        </w:rPr>
      </w:pPr>
      <w:r>
        <w:rPr>
          <w:rFonts w:cs="Arial"/>
          <w:color w:val="auto"/>
          <w:highlight w:val="none"/>
        </w:rPr>
        <w:t>以联合体形式参加本项目采购活动的，联合体的主办方和成员单位均应当具备招标文件规定的条件，并在投标文件中分别提供主办方及成员单位的资格条件证明材料，在投标文件中提交联合体协议。</w:t>
      </w:r>
    </w:p>
    <w:p>
      <w:pPr>
        <w:pStyle w:val="75"/>
        <w:spacing w:line="300" w:lineRule="auto"/>
        <w:ind w:firstLine="420"/>
        <w:rPr>
          <w:rFonts w:cs="Arial"/>
          <w:color w:val="auto"/>
          <w:highlight w:val="none"/>
        </w:rPr>
      </w:pPr>
      <w:r>
        <w:rPr>
          <w:rFonts w:cs="Arial"/>
          <w:color w:val="auto"/>
          <w:highlight w:val="none"/>
        </w:rPr>
        <w:t>联合体协议中应载明联合体各方承担的工作和义务，内容应与《投标价格组成明细表》中内容相一致。中标后，联合体各方应当共同与采购人签订采购合同，就采购合同约定的事项对采购人承担连带责任。</w:t>
      </w:r>
    </w:p>
    <w:p>
      <w:pPr>
        <w:pStyle w:val="75"/>
        <w:spacing w:line="300" w:lineRule="auto"/>
        <w:ind w:firstLine="420"/>
        <w:rPr>
          <w:rFonts w:cs="Arial"/>
          <w:color w:val="auto"/>
          <w:highlight w:val="none"/>
        </w:rPr>
      </w:pPr>
      <w:r>
        <w:rPr>
          <w:rFonts w:cs="Arial"/>
          <w:color w:val="auto"/>
          <w:highlight w:val="none"/>
        </w:rPr>
        <w:t>投标文件应按联合体协议授权主办方盖章及主办方的法定代表人或其授权代表签署。也可由联合体所有成员单位盖章及成员单位各自的法定代表人或其授权代表签署，投标文件中应提供成员单位出具的法定代表人资格证明书、授权书。</w:t>
      </w:r>
    </w:p>
    <w:p>
      <w:pPr>
        <w:pStyle w:val="75"/>
        <w:spacing w:line="300" w:lineRule="auto"/>
        <w:ind w:firstLine="420"/>
        <w:rPr>
          <w:rFonts w:cs="Arial"/>
          <w:color w:val="auto"/>
          <w:highlight w:val="none"/>
        </w:rPr>
      </w:pPr>
      <w:r>
        <w:rPr>
          <w:rFonts w:cs="Arial"/>
          <w:color w:val="auto"/>
          <w:highlight w:val="none"/>
        </w:rPr>
        <w:t>联合体投标，投标人的全称为“</w:t>
      </w:r>
      <w:r>
        <w:rPr>
          <w:rFonts w:cs="Arial"/>
          <w:color w:val="auto"/>
          <w:highlight w:val="none"/>
          <w:u w:val="single"/>
        </w:rPr>
        <w:t>联合体主办方（单位名称）和成员单位（单位全称）的联合体</w:t>
      </w:r>
      <w:r>
        <w:rPr>
          <w:rFonts w:cs="Arial"/>
          <w:color w:val="auto"/>
          <w:highlight w:val="none"/>
        </w:rPr>
        <w:t>”</w:t>
      </w:r>
    </w:p>
    <w:p>
      <w:pPr>
        <w:pStyle w:val="75"/>
        <w:snapToGrid w:val="0"/>
        <w:spacing w:line="300" w:lineRule="auto"/>
        <w:ind w:firstLine="420"/>
        <w:rPr>
          <w:rFonts w:cs="Arial"/>
          <w:color w:val="auto"/>
          <w:highlight w:val="none"/>
        </w:rPr>
      </w:pPr>
      <w:r>
        <w:rPr>
          <w:rFonts w:cs="Arial"/>
          <w:color w:val="auto"/>
          <w:highlight w:val="none"/>
        </w:rPr>
        <w:t>联合体中标的，本项目的采购代理服务费由联合体主办方缴纳。</w:t>
      </w:r>
    </w:p>
    <w:p>
      <w:pPr>
        <w:pStyle w:val="5"/>
        <w:spacing w:before="120"/>
        <w:ind w:firstLine="422"/>
        <w:rPr>
          <w:rFonts w:cs="Arial"/>
          <w:color w:val="auto"/>
          <w:highlight w:val="none"/>
        </w:rPr>
      </w:pPr>
      <w:bookmarkStart w:id="19" w:name="_Toc497919827"/>
      <w:r>
        <w:rPr>
          <w:rFonts w:cs="Arial"/>
          <w:color w:val="auto"/>
          <w:highlight w:val="none"/>
        </w:rPr>
        <w:t>1.5 投标费用</w:t>
      </w:r>
      <w:bookmarkEnd w:id="19"/>
    </w:p>
    <w:p>
      <w:pPr>
        <w:adjustRightInd w:val="0"/>
        <w:snapToGrid w:val="0"/>
        <w:spacing w:line="300" w:lineRule="auto"/>
        <w:ind w:firstLine="420" w:firstLineChars="200"/>
        <w:rPr>
          <w:rFonts w:ascii="Arial" w:hAnsi="Arial" w:cs="Arial"/>
          <w:b/>
          <w:bCs/>
          <w:color w:val="auto"/>
          <w:highlight w:val="none"/>
        </w:rPr>
      </w:pPr>
      <w:r>
        <w:rPr>
          <w:rFonts w:ascii="Arial" w:hAnsi="Arial" w:cs="Arial"/>
          <w:color w:val="auto"/>
          <w:highlight w:val="none"/>
        </w:rPr>
        <w:t>无论招投标过程中的做法和结果如何，投标人自行承担招投标活动中所发生的全部费用。</w:t>
      </w:r>
    </w:p>
    <w:p>
      <w:pPr>
        <w:pStyle w:val="5"/>
        <w:spacing w:before="120"/>
        <w:ind w:firstLine="422"/>
        <w:rPr>
          <w:rFonts w:cs="Arial"/>
          <w:color w:val="auto"/>
          <w:highlight w:val="none"/>
        </w:rPr>
      </w:pPr>
      <w:bookmarkStart w:id="20" w:name="_Toc497919828"/>
      <w:r>
        <w:rPr>
          <w:rFonts w:cs="Arial"/>
          <w:color w:val="auto"/>
          <w:highlight w:val="none"/>
        </w:rPr>
        <w:t>1.6 保密</w:t>
      </w:r>
      <w:bookmarkEnd w:id="20"/>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参与招标投标活动的各方应对招标文件和投标文件中的商业和技术等秘密保密，违者应对此造成的后果承担法律责任。</w:t>
      </w:r>
    </w:p>
    <w:p>
      <w:pPr>
        <w:pStyle w:val="5"/>
        <w:spacing w:before="120"/>
        <w:ind w:firstLine="422"/>
        <w:rPr>
          <w:rFonts w:cs="Arial"/>
          <w:color w:val="auto"/>
          <w:highlight w:val="none"/>
        </w:rPr>
      </w:pPr>
      <w:bookmarkStart w:id="21" w:name="_Toc497919829"/>
      <w:r>
        <w:rPr>
          <w:rFonts w:cs="Arial"/>
          <w:color w:val="auto"/>
          <w:highlight w:val="none"/>
        </w:rPr>
        <w:t>1.7 语言文字</w:t>
      </w:r>
      <w:bookmarkEnd w:id="21"/>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除专用术语外，与招标投标有关的语言使用中文。专用术语应附有中文注释。</w:t>
      </w:r>
    </w:p>
    <w:p>
      <w:pPr>
        <w:pStyle w:val="5"/>
        <w:spacing w:before="120"/>
        <w:ind w:firstLine="422"/>
        <w:rPr>
          <w:rFonts w:cs="Arial"/>
          <w:color w:val="auto"/>
          <w:highlight w:val="none"/>
        </w:rPr>
      </w:pPr>
      <w:bookmarkStart w:id="22" w:name="_Toc497919830"/>
      <w:r>
        <w:rPr>
          <w:rFonts w:cs="Arial"/>
          <w:color w:val="auto"/>
          <w:highlight w:val="none"/>
        </w:rPr>
        <w:t>1.8 计量单位</w:t>
      </w:r>
      <w:bookmarkEnd w:id="22"/>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所有计量均采用中华人民共和国法定计量单位。</w:t>
      </w:r>
    </w:p>
    <w:p>
      <w:pPr>
        <w:pStyle w:val="5"/>
        <w:spacing w:before="120"/>
        <w:ind w:firstLine="422"/>
        <w:rPr>
          <w:rFonts w:cs="Arial"/>
          <w:color w:val="auto"/>
          <w:highlight w:val="none"/>
        </w:rPr>
      </w:pPr>
      <w:bookmarkStart w:id="23" w:name="_Toc497919831"/>
      <w:r>
        <w:rPr>
          <w:rFonts w:cs="Arial"/>
          <w:color w:val="auto"/>
          <w:highlight w:val="none"/>
        </w:rPr>
        <w:t>1.9 踏勘现场</w:t>
      </w:r>
      <w:bookmarkEnd w:id="23"/>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1.9.1前附表规定组织踏勘现场的，采购人按前附表规定的时间、地点组织投标人踏勘项目现场。</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1.9.2投标人踏勘现场发生的费用自理。</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1.9.3除采购人的原因外，投标人自行负责在踏勘现场中所发生的人员伤亡和财产损失。</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1.9.4采购人在踏勘现场中介绍的场地和相关的周边环境情况，供投标人在编制投标文件时参考，采购人不对投标人据此作出的判断和决策负责。</w:t>
      </w:r>
    </w:p>
    <w:p>
      <w:pPr>
        <w:pStyle w:val="5"/>
        <w:spacing w:before="120"/>
        <w:ind w:firstLine="422"/>
        <w:rPr>
          <w:rFonts w:cs="Arial"/>
          <w:color w:val="auto"/>
          <w:highlight w:val="none"/>
        </w:rPr>
      </w:pPr>
      <w:bookmarkStart w:id="24" w:name="_Toc497919832"/>
      <w:r>
        <w:rPr>
          <w:rFonts w:cs="Arial"/>
          <w:color w:val="auto"/>
          <w:highlight w:val="none"/>
        </w:rPr>
        <w:t>1.10 答疑会</w:t>
      </w:r>
      <w:bookmarkEnd w:id="24"/>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1.10.1前附表规定召开答疑会的，采购人按前附表规定的时间和地点召开答疑会，澄清投标人提出的问题。</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1.10.2投标人应在答疑会时间的前一天，以书面形式将提出的问题送达采购人，以便采购人在会议期间澄清。</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1.10.3答疑会后，采购人按本须知2.4款规定对投标人所提问题进行澄清答复。</w:t>
      </w:r>
    </w:p>
    <w:p>
      <w:pPr>
        <w:pStyle w:val="5"/>
        <w:spacing w:before="120"/>
        <w:ind w:firstLine="422"/>
        <w:rPr>
          <w:rFonts w:cs="Arial"/>
          <w:color w:val="auto"/>
          <w:highlight w:val="none"/>
        </w:rPr>
      </w:pPr>
      <w:bookmarkStart w:id="25" w:name="_Toc497919833"/>
      <w:r>
        <w:rPr>
          <w:rFonts w:cs="Arial"/>
          <w:color w:val="auto"/>
          <w:highlight w:val="none"/>
        </w:rPr>
        <w:t>1.11 分包</w:t>
      </w:r>
      <w:bookmarkEnd w:id="25"/>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前附表规定允许分包的，投标人应当在投标文件载明分包的具体情况，应符合采购人在前附表规定的分包内容、分包金额和接受分包的第三人资质要求等限制条件。</w:t>
      </w:r>
    </w:p>
    <w:p>
      <w:pPr>
        <w:pStyle w:val="5"/>
        <w:spacing w:before="120"/>
        <w:ind w:firstLine="422"/>
        <w:rPr>
          <w:rFonts w:cs="Arial"/>
          <w:color w:val="auto"/>
          <w:highlight w:val="none"/>
        </w:rPr>
      </w:pPr>
      <w:bookmarkStart w:id="26" w:name="_Toc497919834"/>
      <w:r>
        <w:rPr>
          <w:rFonts w:cs="Arial"/>
          <w:color w:val="auto"/>
          <w:highlight w:val="none"/>
        </w:rPr>
        <w:t>1.12 偏离</w:t>
      </w:r>
      <w:bookmarkEnd w:id="26"/>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投标文件应完全响应招标文件规定的实质性内容和条件。</w:t>
      </w:r>
    </w:p>
    <w:p>
      <w:pPr>
        <w:pStyle w:val="5"/>
        <w:spacing w:before="120"/>
        <w:ind w:firstLine="422"/>
        <w:rPr>
          <w:rFonts w:cs="Arial"/>
          <w:color w:val="auto"/>
          <w:highlight w:val="none"/>
        </w:rPr>
      </w:pPr>
      <w:bookmarkStart w:id="27" w:name="_Toc497919835"/>
      <w:r>
        <w:rPr>
          <w:rFonts w:cs="Arial"/>
          <w:color w:val="auto"/>
          <w:highlight w:val="none"/>
        </w:rPr>
        <w:t>1.13 其他说明</w:t>
      </w:r>
      <w:bookmarkEnd w:id="27"/>
    </w:p>
    <w:p>
      <w:pPr>
        <w:pStyle w:val="75"/>
        <w:snapToGrid w:val="0"/>
        <w:spacing w:line="300" w:lineRule="auto"/>
        <w:ind w:firstLine="420"/>
        <w:rPr>
          <w:rFonts w:cs="Arial"/>
          <w:color w:val="auto"/>
          <w:highlight w:val="none"/>
        </w:rPr>
      </w:pPr>
      <w:r>
        <w:rPr>
          <w:rFonts w:cs="Arial"/>
          <w:color w:val="auto"/>
          <w:highlight w:val="none"/>
        </w:rPr>
        <w:t xml:space="preserve">1.13.1 </w:t>
      </w:r>
      <w:r>
        <w:rPr>
          <w:rFonts w:cs="Arial"/>
          <w:b/>
          <w:color w:val="auto"/>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文件材料具有同等效力。</w:t>
      </w:r>
    </w:p>
    <w:p>
      <w:pPr>
        <w:pStyle w:val="75"/>
        <w:snapToGrid w:val="0"/>
        <w:spacing w:line="300" w:lineRule="auto"/>
        <w:ind w:firstLine="420"/>
        <w:rPr>
          <w:rFonts w:cs="Arial"/>
          <w:bCs/>
          <w:color w:val="auto"/>
          <w:highlight w:val="none"/>
        </w:rPr>
      </w:pPr>
      <w:r>
        <w:rPr>
          <w:rFonts w:cs="Arial"/>
          <w:color w:val="auto"/>
          <w:highlight w:val="none"/>
        </w:rPr>
        <w:t>1.13.2▲</w:t>
      </w:r>
      <w:r>
        <w:rPr>
          <w:rFonts w:cs="Arial"/>
          <w:b/>
          <w:bCs/>
          <w:color w:val="auto"/>
          <w:highlight w:val="none"/>
          <w:u w:val="single"/>
        </w:rPr>
        <w:t>投标人对所投标段内的采购内容必须全部进行投标。</w:t>
      </w:r>
    </w:p>
    <w:p>
      <w:pPr>
        <w:pStyle w:val="75"/>
        <w:snapToGrid w:val="0"/>
        <w:spacing w:line="300" w:lineRule="auto"/>
        <w:ind w:firstLine="420"/>
        <w:rPr>
          <w:rFonts w:cs="Arial"/>
          <w:bCs/>
          <w:color w:val="auto"/>
          <w:highlight w:val="none"/>
        </w:rPr>
      </w:pPr>
      <w:r>
        <w:rPr>
          <w:rFonts w:cs="Arial"/>
          <w:bCs/>
          <w:color w:val="auto"/>
          <w:highlight w:val="none"/>
        </w:rPr>
        <w:t>1.13.3 招标文件中如有描述歧义或前后不一致的地方，评标委员会有权按公平、合理的原则进行评判，但对同一条款的评判适用于每个投标人。</w:t>
      </w:r>
    </w:p>
    <w:p>
      <w:pPr>
        <w:pStyle w:val="75"/>
        <w:snapToGrid w:val="0"/>
        <w:spacing w:line="300" w:lineRule="auto"/>
        <w:ind w:firstLine="420"/>
        <w:rPr>
          <w:rFonts w:cs="Arial"/>
          <w:color w:val="auto"/>
          <w:highlight w:val="none"/>
        </w:rPr>
      </w:pPr>
      <w:r>
        <w:rPr>
          <w:rFonts w:cs="Arial"/>
          <w:bCs/>
          <w:color w:val="auto"/>
          <w:highlight w:val="none"/>
        </w:rPr>
        <w:t>1.13.4投标文件的响应内容必须真实、明确、准确。否则，评标委员会将对其作出不利的评审。</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w:t>
      </w:r>
      <w:r>
        <w:rPr>
          <w:rFonts w:ascii="Arial" w:hAnsi="Arial" w:cs="Arial"/>
          <w:bCs/>
          <w:color w:val="auto"/>
          <w:highlight w:val="none"/>
        </w:rPr>
        <w:t>13.5乙</w:t>
      </w:r>
      <w:r>
        <w:rPr>
          <w:rFonts w:ascii="Arial" w:hAnsi="Arial" w:cs="Arial"/>
          <w:color w:val="auto"/>
          <w:highlight w:val="none"/>
        </w:rPr>
        <w:t>方为履行合同引起的相关人员的差旅费、食宿费以及其它费用由乙方自理。合同实施过程中，须与甲方积极配合。</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1.13.6项目资金为财政性投资，资金已落实。</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1.13.7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pPr>
        <w:adjustRightInd w:val="0"/>
        <w:snapToGrid w:val="0"/>
        <w:spacing w:line="300" w:lineRule="auto"/>
        <w:ind w:firstLine="422" w:firstLineChars="200"/>
        <w:rPr>
          <w:rFonts w:ascii="Arial" w:hAnsi="Arial" w:cs="Arial"/>
          <w:b/>
          <w:color w:val="auto"/>
          <w:kern w:val="0"/>
          <w:szCs w:val="21"/>
          <w:highlight w:val="none"/>
          <w:u w:val="single"/>
        </w:rPr>
      </w:pPr>
      <w:r>
        <w:rPr>
          <w:rFonts w:ascii="Arial" w:hAnsi="Arial" w:cs="Arial"/>
          <w:b/>
          <w:color w:val="auto"/>
          <w:kern w:val="0"/>
          <w:szCs w:val="21"/>
          <w:highlight w:val="none"/>
          <w:u w:val="single"/>
        </w:rPr>
        <w:t>1.13.8投标人母公司（总机构）或者同一母公司下属的其他子公司（同一总机构下属的其他分支机构）的人员、业绩、荣誉、知识产权、项目案例等不作为投标人的资信文件。</w:t>
      </w:r>
    </w:p>
    <w:p>
      <w:pPr>
        <w:pStyle w:val="4"/>
        <w:spacing w:before="120"/>
        <w:ind w:firstLine="422"/>
        <w:rPr>
          <w:rFonts w:cs="Arial"/>
          <w:color w:val="auto"/>
          <w:highlight w:val="none"/>
        </w:rPr>
      </w:pPr>
      <w:bookmarkStart w:id="28" w:name="_Toc497919836"/>
      <w:r>
        <w:rPr>
          <w:rFonts w:cs="Arial"/>
          <w:color w:val="auto"/>
          <w:highlight w:val="none"/>
        </w:rPr>
        <w:t>二、招标文件</w:t>
      </w:r>
      <w:bookmarkEnd w:id="12"/>
      <w:bookmarkEnd w:id="13"/>
      <w:bookmarkEnd w:id="28"/>
    </w:p>
    <w:p>
      <w:pPr>
        <w:pStyle w:val="5"/>
        <w:spacing w:before="120"/>
        <w:ind w:firstLine="422"/>
        <w:rPr>
          <w:rFonts w:cs="Arial"/>
          <w:color w:val="auto"/>
          <w:highlight w:val="none"/>
        </w:rPr>
      </w:pPr>
      <w:bookmarkStart w:id="29" w:name="_Toc497919837"/>
      <w:bookmarkStart w:id="30" w:name="_Toc82873324"/>
      <w:bookmarkStart w:id="31" w:name="_Toc82338241"/>
      <w:r>
        <w:rPr>
          <w:rFonts w:cs="Arial"/>
          <w:color w:val="auto"/>
          <w:highlight w:val="none"/>
        </w:rPr>
        <w:t>2.1 招标文件组成</w:t>
      </w:r>
      <w:bookmarkEnd w:id="29"/>
    </w:p>
    <w:p>
      <w:pPr>
        <w:pStyle w:val="75"/>
        <w:snapToGrid w:val="0"/>
        <w:spacing w:line="300" w:lineRule="auto"/>
        <w:ind w:firstLine="420"/>
        <w:rPr>
          <w:rFonts w:cs="Arial"/>
          <w:color w:val="auto"/>
          <w:highlight w:val="none"/>
        </w:rPr>
      </w:pPr>
      <w:r>
        <w:rPr>
          <w:rFonts w:cs="Arial"/>
          <w:color w:val="auto"/>
          <w:highlight w:val="none"/>
        </w:rPr>
        <w:t>2.1.1第一部分招标公告</w:t>
      </w:r>
    </w:p>
    <w:p>
      <w:pPr>
        <w:pStyle w:val="75"/>
        <w:snapToGrid w:val="0"/>
        <w:spacing w:line="300" w:lineRule="auto"/>
        <w:ind w:firstLine="420"/>
        <w:rPr>
          <w:rFonts w:cs="Arial"/>
          <w:color w:val="auto"/>
          <w:highlight w:val="none"/>
        </w:rPr>
      </w:pPr>
      <w:r>
        <w:rPr>
          <w:rFonts w:cs="Arial"/>
          <w:color w:val="auto"/>
          <w:highlight w:val="none"/>
        </w:rPr>
        <w:t>2.1.2第二部分编制和提交投标文件须知</w:t>
      </w:r>
    </w:p>
    <w:p>
      <w:pPr>
        <w:pStyle w:val="75"/>
        <w:snapToGrid w:val="0"/>
        <w:spacing w:line="300" w:lineRule="auto"/>
        <w:ind w:firstLine="420"/>
        <w:rPr>
          <w:rFonts w:cs="Arial"/>
          <w:color w:val="auto"/>
          <w:highlight w:val="none"/>
        </w:rPr>
      </w:pPr>
      <w:r>
        <w:rPr>
          <w:rFonts w:cs="Arial"/>
          <w:color w:val="auto"/>
          <w:highlight w:val="none"/>
        </w:rPr>
        <w:t>2.1.3第三部分评标办法</w:t>
      </w:r>
    </w:p>
    <w:p>
      <w:pPr>
        <w:pStyle w:val="75"/>
        <w:snapToGrid w:val="0"/>
        <w:spacing w:line="300" w:lineRule="auto"/>
        <w:ind w:firstLine="420"/>
        <w:rPr>
          <w:rFonts w:cs="Arial"/>
          <w:color w:val="auto"/>
          <w:highlight w:val="none"/>
        </w:rPr>
      </w:pPr>
      <w:r>
        <w:rPr>
          <w:rFonts w:cs="Arial"/>
          <w:color w:val="auto"/>
          <w:highlight w:val="none"/>
        </w:rPr>
        <w:t>2.1.4第四部分项目技术规范和服务要求</w:t>
      </w:r>
    </w:p>
    <w:p>
      <w:pPr>
        <w:pStyle w:val="75"/>
        <w:snapToGrid w:val="0"/>
        <w:spacing w:line="300" w:lineRule="auto"/>
        <w:ind w:firstLine="420"/>
        <w:rPr>
          <w:rFonts w:cs="Arial"/>
          <w:color w:val="auto"/>
          <w:highlight w:val="none"/>
        </w:rPr>
      </w:pPr>
      <w:r>
        <w:rPr>
          <w:rFonts w:cs="Arial"/>
          <w:color w:val="auto"/>
          <w:highlight w:val="none"/>
        </w:rPr>
        <w:t>2.1.5第五部分合同条款</w:t>
      </w:r>
    </w:p>
    <w:p>
      <w:pPr>
        <w:pStyle w:val="75"/>
        <w:snapToGrid w:val="0"/>
        <w:spacing w:line="300" w:lineRule="auto"/>
        <w:ind w:firstLine="420"/>
        <w:rPr>
          <w:rFonts w:cs="Arial"/>
          <w:color w:val="auto"/>
          <w:highlight w:val="none"/>
        </w:rPr>
      </w:pPr>
      <w:r>
        <w:rPr>
          <w:rFonts w:cs="Arial"/>
          <w:color w:val="auto"/>
          <w:highlight w:val="none"/>
        </w:rPr>
        <w:t>2.1.6第六部分应提交的有关格式范例</w:t>
      </w:r>
    </w:p>
    <w:p>
      <w:pPr>
        <w:pStyle w:val="75"/>
        <w:snapToGrid w:val="0"/>
        <w:spacing w:line="300" w:lineRule="auto"/>
        <w:ind w:firstLine="420"/>
        <w:rPr>
          <w:rFonts w:cs="Arial"/>
          <w:color w:val="auto"/>
          <w:highlight w:val="none"/>
        </w:rPr>
      </w:pPr>
      <w:r>
        <w:rPr>
          <w:rFonts w:cs="Arial"/>
          <w:color w:val="auto"/>
          <w:highlight w:val="none"/>
        </w:rPr>
        <w:t>2.1.7补充文件</w:t>
      </w:r>
    </w:p>
    <w:p>
      <w:pPr>
        <w:pStyle w:val="5"/>
        <w:spacing w:before="120"/>
        <w:ind w:firstLine="422"/>
        <w:rPr>
          <w:rFonts w:cs="Arial"/>
          <w:color w:val="auto"/>
          <w:highlight w:val="none"/>
        </w:rPr>
      </w:pPr>
      <w:bookmarkStart w:id="32" w:name="_Toc497919838"/>
      <w:r>
        <w:rPr>
          <w:rFonts w:cs="Arial"/>
          <w:color w:val="auto"/>
          <w:highlight w:val="none"/>
        </w:rPr>
        <w:t>2.2 招标文件的解释权</w:t>
      </w:r>
      <w:bookmarkEnd w:id="32"/>
    </w:p>
    <w:p>
      <w:pPr>
        <w:pStyle w:val="75"/>
        <w:snapToGrid w:val="0"/>
        <w:spacing w:line="300" w:lineRule="auto"/>
        <w:ind w:firstLine="420"/>
        <w:rPr>
          <w:rFonts w:cs="Arial"/>
          <w:color w:val="auto"/>
          <w:highlight w:val="none"/>
        </w:rPr>
      </w:pPr>
      <w:r>
        <w:rPr>
          <w:rFonts w:cs="Arial"/>
          <w:color w:val="auto"/>
          <w:highlight w:val="none"/>
        </w:rPr>
        <w:t>招标文件的解释权归采购代理机构所有。</w:t>
      </w:r>
    </w:p>
    <w:p>
      <w:pPr>
        <w:pStyle w:val="5"/>
        <w:spacing w:before="120"/>
        <w:ind w:firstLine="422"/>
        <w:rPr>
          <w:rFonts w:cs="Arial"/>
          <w:color w:val="auto"/>
          <w:highlight w:val="none"/>
        </w:rPr>
      </w:pPr>
      <w:bookmarkStart w:id="33" w:name="_Toc497919839"/>
      <w:r>
        <w:rPr>
          <w:rFonts w:cs="Arial"/>
          <w:color w:val="auto"/>
          <w:highlight w:val="none"/>
        </w:rPr>
        <w:t>2.3 招标文件的质疑</w:t>
      </w:r>
      <w:bookmarkEnd w:id="33"/>
    </w:p>
    <w:p>
      <w:pPr>
        <w:pStyle w:val="75"/>
        <w:adjustRightInd w:val="0"/>
        <w:snapToGrid w:val="0"/>
        <w:spacing w:line="300" w:lineRule="auto"/>
        <w:ind w:firstLine="420"/>
        <w:rPr>
          <w:rFonts w:cs="Arial"/>
          <w:color w:val="auto"/>
          <w:szCs w:val="21"/>
          <w:highlight w:val="none"/>
        </w:rPr>
      </w:pPr>
      <w:bookmarkStart w:id="34" w:name="_Toc497919840"/>
      <w:r>
        <w:rPr>
          <w:rFonts w:cs="Arial"/>
          <w:color w:val="auto"/>
          <w:szCs w:val="21"/>
          <w:highlight w:val="none"/>
        </w:rPr>
        <w:t>2.3.1投标人认为招标文件规定内容使自己的合法权益受到损害的，投标人可以提出书面质疑。</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2.3.2质疑书须包括以下内容：</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（一）投标人的姓名或者名称、地址、邮编、联系人及联系电话；</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（二）质疑项目的名称、编号；</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（三）具体、明确的质疑事项和与质疑事项相关的请求；</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（四）事实依据；</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（五）必要的法律依据；</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（六）提出质疑的日期。</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2.3.3质疑期限为</w:t>
      </w:r>
      <w:r>
        <w:rPr>
          <w:rFonts w:cs="Arial"/>
          <w:color w:val="auto"/>
          <w:kern w:val="0"/>
          <w:szCs w:val="21"/>
          <w:highlight w:val="none"/>
        </w:rPr>
        <w:t>自获取招标文件之日或者招标文件公告期限届满之日（在招标文件公告期限届满后获取招标文件的，以招标文件公告期限届满之日为准）起7个工作日内</w:t>
      </w:r>
      <w:r>
        <w:rPr>
          <w:rFonts w:cs="Arial"/>
          <w:color w:val="auto"/>
          <w:szCs w:val="21"/>
          <w:highlight w:val="none"/>
        </w:rPr>
        <w:t>，投标人应在质疑期内一次性向采购代理机构提出针对招标文件的质疑，逾期提出不予受理。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2.3.4质疑书中涉及的相关材料中有外文资料的，应当将与质疑相关的外文资料完整、客观、真实地翻译为中文，并注明翻译人员姓名、工作单位、联系方式等信息。</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2.3.5投标人为自然人的，应当由本人签字；投标人为法人或者其他组织的，应当由法定代表人、主要负责人，或者其授权代表签字或者盖章，并加盖公章。否则不予受理。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2.3.6质疑书以直接提交、传真或邮寄方式提交（一式三份）。</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2.3.7质疑书以传真形式提交后，同时须向采购代理机构提交质疑书原件，实际收到原件之日作为收到质疑日。</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2.3.8如联合体投标，质疑应由组成联合体的所有供应商共同提出。</w:t>
      </w:r>
    </w:p>
    <w:p>
      <w:pPr>
        <w:pStyle w:val="5"/>
        <w:spacing w:before="120"/>
        <w:ind w:firstLine="422"/>
        <w:rPr>
          <w:rFonts w:cs="Arial"/>
          <w:color w:val="auto"/>
          <w:highlight w:val="none"/>
        </w:rPr>
      </w:pPr>
      <w:r>
        <w:rPr>
          <w:rFonts w:cs="Arial"/>
          <w:color w:val="auto"/>
          <w:highlight w:val="none"/>
        </w:rPr>
        <w:t>2.4 招标文件的澄清</w:t>
      </w:r>
      <w:bookmarkEnd w:id="34"/>
    </w:p>
    <w:p>
      <w:pPr>
        <w:pStyle w:val="75"/>
        <w:snapToGrid w:val="0"/>
        <w:spacing w:line="300" w:lineRule="auto"/>
        <w:ind w:firstLine="420"/>
        <w:rPr>
          <w:rFonts w:cs="Arial"/>
          <w:color w:val="auto"/>
          <w:highlight w:val="none"/>
        </w:rPr>
      </w:pPr>
      <w:r>
        <w:rPr>
          <w:rFonts w:cs="Arial"/>
          <w:color w:val="auto"/>
          <w:highlight w:val="none"/>
        </w:rPr>
        <w:t>2.4.1投标人对招标文件如有疑问要求澄清，或认为有必要与采购代理机构进行技术交流，投标人需将书面资料传真或送达至采购代理机构，同时将电子文件发至85830335@zjsct.cn（电子邮件与书面文件有不一致的，以书面文件为准），并与采购代理机构进行确认。</w:t>
      </w:r>
    </w:p>
    <w:p>
      <w:pPr>
        <w:pStyle w:val="75"/>
        <w:snapToGrid w:val="0"/>
        <w:spacing w:line="300" w:lineRule="auto"/>
        <w:ind w:firstLine="420"/>
        <w:rPr>
          <w:rFonts w:cs="Arial"/>
          <w:color w:val="auto"/>
          <w:highlight w:val="none"/>
        </w:rPr>
      </w:pPr>
      <w:r>
        <w:rPr>
          <w:rFonts w:cs="Arial"/>
          <w:color w:val="auto"/>
          <w:highlight w:val="none"/>
        </w:rPr>
        <w:t>2.4.2 投标人要求澄清的资料应加盖单位公章、写明日期。</w:t>
      </w:r>
    </w:p>
    <w:p>
      <w:pPr>
        <w:pStyle w:val="75"/>
        <w:snapToGrid w:val="0"/>
        <w:spacing w:line="300" w:lineRule="auto"/>
        <w:ind w:firstLine="420"/>
        <w:rPr>
          <w:rFonts w:cs="Arial"/>
          <w:color w:val="auto"/>
          <w:highlight w:val="none"/>
        </w:rPr>
      </w:pPr>
      <w:r>
        <w:rPr>
          <w:rFonts w:cs="Arial"/>
          <w:color w:val="auto"/>
          <w:highlight w:val="none"/>
        </w:rPr>
        <w:t>2.4.3 如有必要，采购代理机构和采购人对投标人所有要求澄清的问题都予以解答，澄清答复的文件为补充文件，作为招标文件的组成部分，补充文件将以网上公告等形式告知所有获取招标文件的投标人，补充文件对投标人均有约束力。</w:t>
      </w:r>
    </w:p>
    <w:p>
      <w:pPr>
        <w:pStyle w:val="75"/>
        <w:snapToGrid w:val="0"/>
        <w:spacing w:line="300" w:lineRule="auto"/>
        <w:ind w:firstLine="420"/>
        <w:rPr>
          <w:rFonts w:cs="Arial"/>
          <w:color w:val="auto"/>
          <w:highlight w:val="none"/>
        </w:rPr>
      </w:pPr>
      <w:r>
        <w:rPr>
          <w:rFonts w:cs="Arial"/>
          <w:color w:val="auto"/>
          <w:highlight w:val="none"/>
        </w:rPr>
        <w:t>2.4.4 投标人在收到补充文件后，应在24小时内以书面形式向采购代理机构确认已收到该补充文件。</w:t>
      </w:r>
    </w:p>
    <w:p>
      <w:pPr>
        <w:pStyle w:val="75"/>
        <w:snapToGrid w:val="0"/>
        <w:spacing w:line="300" w:lineRule="auto"/>
        <w:ind w:firstLine="420"/>
        <w:rPr>
          <w:rFonts w:cs="Arial"/>
          <w:color w:val="auto"/>
          <w:highlight w:val="none"/>
        </w:rPr>
      </w:pPr>
      <w:r>
        <w:rPr>
          <w:rFonts w:cs="Arial"/>
          <w:color w:val="auto"/>
          <w:highlight w:val="none"/>
        </w:rPr>
        <w:t>2.4.5 当招标文件与补充文件就同一内容的表述不一致时，以最后发出的书面文件为准。</w:t>
      </w:r>
    </w:p>
    <w:p>
      <w:pPr>
        <w:pStyle w:val="5"/>
        <w:spacing w:before="120"/>
        <w:ind w:firstLine="422"/>
        <w:rPr>
          <w:rFonts w:cs="Arial"/>
          <w:color w:val="auto"/>
          <w:highlight w:val="none"/>
        </w:rPr>
      </w:pPr>
      <w:bookmarkStart w:id="35" w:name="_Toc497919841"/>
      <w:r>
        <w:rPr>
          <w:rFonts w:cs="Arial"/>
          <w:color w:val="auto"/>
          <w:highlight w:val="none"/>
        </w:rPr>
        <w:t>2.5 招标文件的修改</w:t>
      </w:r>
      <w:bookmarkEnd w:id="35"/>
    </w:p>
    <w:p>
      <w:pPr>
        <w:pStyle w:val="75"/>
        <w:snapToGrid w:val="0"/>
        <w:spacing w:line="300" w:lineRule="auto"/>
        <w:ind w:firstLine="420"/>
        <w:rPr>
          <w:rFonts w:cs="Arial"/>
          <w:color w:val="auto"/>
          <w:highlight w:val="none"/>
        </w:rPr>
      </w:pPr>
      <w:r>
        <w:rPr>
          <w:rFonts w:cs="Arial"/>
          <w:color w:val="auto"/>
          <w:highlight w:val="none"/>
        </w:rPr>
        <w:t>2.5.1 在投标截止时间前，由于各种原因采购人可能以补充文件的形式修改完善招标文件。</w:t>
      </w:r>
    </w:p>
    <w:p>
      <w:pPr>
        <w:pStyle w:val="75"/>
        <w:snapToGrid w:val="0"/>
        <w:spacing w:line="300" w:lineRule="auto"/>
        <w:ind w:firstLine="420"/>
        <w:rPr>
          <w:rFonts w:cs="Arial"/>
          <w:color w:val="auto"/>
          <w:highlight w:val="none"/>
        </w:rPr>
      </w:pPr>
      <w:r>
        <w:rPr>
          <w:rFonts w:cs="Arial"/>
          <w:color w:val="auto"/>
          <w:highlight w:val="none"/>
        </w:rPr>
        <w:t>2.5.2 补充文件作为招标文件组成部分，补充文件将以网上公告等形式告知所有获取招标文件的投标人，补充文件对投标人均有约束力。</w:t>
      </w:r>
    </w:p>
    <w:p>
      <w:pPr>
        <w:pStyle w:val="75"/>
        <w:snapToGrid w:val="0"/>
        <w:spacing w:line="300" w:lineRule="auto"/>
        <w:ind w:firstLine="420"/>
        <w:rPr>
          <w:rFonts w:cs="Arial"/>
          <w:color w:val="auto"/>
          <w:highlight w:val="none"/>
        </w:rPr>
      </w:pPr>
      <w:r>
        <w:rPr>
          <w:rFonts w:cs="Arial"/>
          <w:color w:val="auto"/>
          <w:highlight w:val="none"/>
        </w:rPr>
        <w:t>2.5.3 投标人在收到补充文件后，应在24小时内以书面形式向采购代理机构确认已收到该补充文件。</w:t>
      </w:r>
    </w:p>
    <w:p>
      <w:pPr>
        <w:pStyle w:val="75"/>
        <w:snapToGrid w:val="0"/>
        <w:spacing w:line="300" w:lineRule="auto"/>
        <w:ind w:firstLine="420"/>
        <w:rPr>
          <w:rFonts w:cs="Arial"/>
          <w:color w:val="auto"/>
          <w:highlight w:val="none"/>
        </w:rPr>
      </w:pPr>
      <w:r>
        <w:rPr>
          <w:rFonts w:cs="Arial"/>
          <w:color w:val="auto"/>
          <w:highlight w:val="none"/>
        </w:rPr>
        <w:t>2.5.4 投标人收到补充文件后，对补充文件如有疑问要求澄清，应在24小时内将书面资料传真或送达至采购代理机构，同时将电子文件发至85830335@zjsct.cn（电子邮件与书面文件有不一致的，以书面文件为准），并与采购代理机构进行确认。</w:t>
      </w:r>
    </w:p>
    <w:p>
      <w:pPr>
        <w:pStyle w:val="75"/>
        <w:snapToGrid w:val="0"/>
        <w:spacing w:line="300" w:lineRule="auto"/>
        <w:ind w:firstLine="420"/>
        <w:rPr>
          <w:rFonts w:cs="Arial"/>
          <w:color w:val="auto"/>
          <w:highlight w:val="none"/>
        </w:rPr>
      </w:pPr>
      <w:r>
        <w:rPr>
          <w:rFonts w:cs="Arial"/>
          <w:color w:val="auto"/>
          <w:highlight w:val="none"/>
        </w:rPr>
        <w:t>2.5.5 投标人要求澄清的资料应加盖单位公章、写明日期。</w:t>
      </w:r>
    </w:p>
    <w:p>
      <w:pPr>
        <w:pStyle w:val="75"/>
        <w:snapToGrid w:val="0"/>
        <w:spacing w:line="300" w:lineRule="auto"/>
        <w:ind w:firstLine="420"/>
        <w:rPr>
          <w:rFonts w:cs="Arial"/>
          <w:color w:val="auto"/>
          <w:highlight w:val="none"/>
        </w:rPr>
      </w:pPr>
      <w:r>
        <w:rPr>
          <w:rFonts w:cs="Arial"/>
          <w:color w:val="auto"/>
          <w:highlight w:val="none"/>
        </w:rPr>
        <w:t>2.5.6 对补充文件的澄清答复按2.4款规定。</w:t>
      </w:r>
    </w:p>
    <w:p>
      <w:pPr>
        <w:pStyle w:val="75"/>
        <w:snapToGrid w:val="0"/>
        <w:spacing w:line="300" w:lineRule="auto"/>
        <w:ind w:firstLine="420"/>
        <w:rPr>
          <w:rFonts w:cs="Arial"/>
          <w:color w:val="auto"/>
          <w:highlight w:val="none"/>
        </w:rPr>
      </w:pPr>
      <w:r>
        <w:rPr>
          <w:rFonts w:cs="Arial"/>
          <w:color w:val="auto"/>
          <w:highlight w:val="none"/>
        </w:rPr>
        <w:t>2.5.7 当招标文件与补充文件就同一内容的表述不一致时，以最后发出的书面文件为准。</w:t>
      </w:r>
    </w:p>
    <w:p>
      <w:pPr>
        <w:pStyle w:val="75"/>
        <w:snapToGrid w:val="0"/>
        <w:spacing w:line="300" w:lineRule="auto"/>
        <w:ind w:firstLine="420"/>
        <w:rPr>
          <w:rFonts w:cs="Arial"/>
          <w:color w:val="auto"/>
          <w:highlight w:val="none"/>
        </w:rPr>
      </w:pPr>
      <w:r>
        <w:rPr>
          <w:rFonts w:cs="Arial"/>
          <w:color w:val="auto"/>
          <w:highlight w:val="none"/>
        </w:rPr>
        <w:t>2.5.8 任何口头答复均不属于招标文件的组成部分。</w:t>
      </w:r>
    </w:p>
    <w:p>
      <w:pPr>
        <w:pStyle w:val="4"/>
        <w:spacing w:before="120"/>
        <w:ind w:firstLine="422"/>
        <w:rPr>
          <w:rFonts w:cs="Arial"/>
          <w:color w:val="auto"/>
          <w:highlight w:val="none"/>
        </w:rPr>
      </w:pPr>
      <w:bookmarkStart w:id="36" w:name="_Toc497919842"/>
      <w:r>
        <w:rPr>
          <w:rFonts w:cs="Arial"/>
          <w:color w:val="auto"/>
          <w:highlight w:val="none"/>
        </w:rPr>
        <w:t>三、投标文件</w:t>
      </w:r>
      <w:bookmarkEnd w:id="30"/>
      <w:bookmarkEnd w:id="31"/>
      <w:bookmarkEnd w:id="36"/>
    </w:p>
    <w:p>
      <w:pPr>
        <w:pStyle w:val="5"/>
        <w:spacing w:before="120"/>
        <w:ind w:firstLine="422"/>
        <w:rPr>
          <w:rFonts w:cs="Arial"/>
          <w:color w:val="auto"/>
          <w:highlight w:val="none"/>
        </w:rPr>
      </w:pPr>
      <w:bookmarkStart w:id="37" w:name="_Toc497919843"/>
      <w:r>
        <w:rPr>
          <w:rFonts w:cs="Arial"/>
          <w:color w:val="auto"/>
          <w:highlight w:val="none"/>
        </w:rPr>
        <w:t>3.1 投标文件</w:t>
      </w:r>
      <w:bookmarkEnd w:id="37"/>
    </w:p>
    <w:p>
      <w:pPr>
        <w:pStyle w:val="75"/>
        <w:snapToGrid w:val="0"/>
        <w:spacing w:line="300" w:lineRule="auto"/>
        <w:ind w:firstLine="420"/>
        <w:rPr>
          <w:rFonts w:cs="Arial"/>
          <w:color w:val="auto"/>
          <w:highlight w:val="none"/>
        </w:rPr>
      </w:pPr>
      <w:r>
        <w:rPr>
          <w:rFonts w:cs="Arial"/>
          <w:color w:val="auto"/>
          <w:highlight w:val="none"/>
        </w:rPr>
        <w:t>3.1.1 投标人应仔细阅读招标文件规定的所有内容，以保证能全面准确理解招标文件，并按照招标文件要求，详细编制投标文件，投标文件内容必须针对本次招标响应。</w:t>
      </w:r>
    </w:p>
    <w:p>
      <w:pPr>
        <w:pStyle w:val="75"/>
        <w:snapToGrid w:val="0"/>
        <w:spacing w:line="300" w:lineRule="auto"/>
        <w:ind w:firstLine="420"/>
        <w:rPr>
          <w:rFonts w:cs="Arial"/>
          <w:bCs/>
          <w:color w:val="auto"/>
          <w:highlight w:val="none"/>
        </w:rPr>
      </w:pPr>
      <w:r>
        <w:rPr>
          <w:rFonts w:cs="Arial"/>
          <w:color w:val="auto"/>
          <w:highlight w:val="none"/>
        </w:rPr>
        <w:t>3.1.2 投标人必须按招标文件的要求提供相关资料，并对招标文件中提出的所有内容要求给予实质性响应，须保证投标文件的准确、真实、明确</w:t>
      </w:r>
      <w:r>
        <w:rPr>
          <w:rFonts w:cs="Arial"/>
          <w:bCs/>
          <w:color w:val="auto"/>
          <w:highlight w:val="none"/>
        </w:rPr>
        <w:t>。投标文件响应内容对招标文件要求如有偏离均应填写偏离表，如不填写，采购人有权视作投标文件完全响应招标文件要求。</w:t>
      </w:r>
    </w:p>
    <w:p>
      <w:pPr>
        <w:pStyle w:val="5"/>
        <w:spacing w:before="120"/>
        <w:ind w:firstLine="422"/>
        <w:rPr>
          <w:rFonts w:cs="Arial"/>
          <w:color w:val="auto"/>
          <w:highlight w:val="none"/>
        </w:rPr>
      </w:pPr>
      <w:bookmarkStart w:id="38" w:name="_Toc497919844"/>
      <w:r>
        <w:rPr>
          <w:rFonts w:cs="Arial"/>
          <w:color w:val="auto"/>
          <w:highlight w:val="none"/>
        </w:rPr>
        <w:t>3.2 投标文件组成</w:t>
      </w:r>
      <w:bookmarkEnd w:id="38"/>
      <w:r>
        <w:rPr>
          <w:rFonts w:hint="eastAsia" w:cs="Arial"/>
          <w:color w:val="auto"/>
          <w:highlight w:val="none"/>
        </w:rPr>
        <w:t>（两个标段分别制作（包括资格文件），并在对应标段上传标书）</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3.2.1资格文件</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应包括以下内容（均需</w:t>
      </w:r>
      <w:r>
        <w:rPr>
          <w:rFonts w:ascii="Arial" w:hAnsi="Arial" w:cs="Arial"/>
          <w:b/>
          <w:bCs/>
          <w:color w:val="auto"/>
          <w:szCs w:val="21"/>
          <w:highlight w:val="none"/>
          <w:u w:val="single"/>
        </w:rPr>
        <w:t>投标人加盖公章</w:t>
      </w:r>
      <w:r>
        <w:rPr>
          <w:rFonts w:ascii="Arial" w:hAnsi="Arial" w:cs="Arial"/>
          <w:color w:val="auto"/>
          <w:szCs w:val="21"/>
          <w:highlight w:val="none"/>
        </w:rPr>
        <w:t>）：证明其符合《中华人民共和国政府采购法》规定的供应商基本条件和采购项目对投标人的特定条件（如果项目要求）的有关资格证明文件。【以联合体形式进行政府采购的，参加联合体的供应商均应当提供】</w:t>
      </w:r>
    </w:p>
    <w:tbl>
      <w:tblPr>
        <w:tblStyle w:val="48"/>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422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序号</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资格条件</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应提供的资格审查资料（除承诺函、说明、声明外的其他证件提供复印件）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b/>
                <w:bCs/>
                <w:color w:val="auto"/>
                <w:kern w:val="0"/>
                <w:szCs w:val="21"/>
                <w:highlight w:val="none"/>
              </w:rPr>
              <w:t>基本资格要求：</w:t>
            </w:r>
          </w:p>
        </w:tc>
        <w:tc>
          <w:tcPr>
            <w:tcW w:w="4253" w:type="dxa"/>
            <w:vAlign w:val="center"/>
          </w:tcPr>
          <w:p>
            <w:pPr>
              <w:adjustRightInd w:val="0"/>
              <w:snapToGrid w:val="0"/>
              <w:spacing w:line="300" w:lineRule="auto"/>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1.1</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（1）具有独立承担民事责任的能力；</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多证合一、一照一码”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1.2</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szCs w:val="21"/>
                <w:highlight w:val="none"/>
              </w:rPr>
              <w:t>（2）具有良好的商业信誉和健全的财务会计制度；</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1.3</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szCs w:val="21"/>
                <w:highlight w:val="none"/>
              </w:rPr>
              <w:t>（3）具有履行合同所必需的设备和专业技术能力；</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3）具有履行合同所必需的设备和专业技术能力的声明函；【声明函1】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1.4</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szCs w:val="21"/>
                <w:highlight w:val="none"/>
              </w:rPr>
              <w:t>（4）有依法缴纳税收和社会保障资金的良好记录；</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4）没有重大违法记录的声明函；【声明函2】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1.5</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szCs w:val="21"/>
                <w:highlight w:val="none"/>
              </w:rPr>
              <w:t>（5）参加政府采购活动前三年内，在经营活动中没有重大违法记录；</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5）具有良好商业信誉的声明函；【声明函3】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1.6</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kern w:val="0"/>
                <w:szCs w:val="21"/>
                <w:highlight w:val="none"/>
              </w:rPr>
              <w:t>（6）未被“信用中国”（www.creditchina.gov.cn）、中国政府采购网（www.ccgp.gov.cn）列入失信被执行人、重大税收违法案件当事人名单、政府采购严重违法失信行为记录名单。</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6）无违法失信的声明函。【声明函4】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1.7</w:t>
            </w:r>
          </w:p>
        </w:tc>
        <w:tc>
          <w:tcPr>
            <w:tcW w:w="4225" w:type="dxa"/>
            <w:vAlign w:val="center"/>
          </w:tcPr>
          <w:p>
            <w:pPr>
              <w:widowControl/>
              <w:adjustRightInd w:val="0"/>
              <w:snapToGrid w:val="0"/>
              <w:spacing w:line="300" w:lineRule="auto"/>
              <w:jc w:val="left"/>
              <w:rPr>
                <w:rFonts w:ascii="Arial" w:hAnsi="Arial" w:cs="Arial"/>
                <w:color w:val="auto"/>
                <w:szCs w:val="21"/>
                <w:highlight w:val="none"/>
              </w:rPr>
            </w:pPr>
            <w:r>
              <w:rPr>
                <w:rFonts w:ascii="Arial" w:hAnsi="Arial" w:cs="Arial"/>
                <w:color w:val="auto"/>
                <w:kern w:val="0"/>
                <w:szCs w:val="21"/>
                <w:highlight w:val="none"/>
              </w:rPr>
              <w:t>（7）单位负责人为同一人或者存在直接控股、管理关系的不同供应商，不得参加同一合同项下的政府采购活动；</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b/>
                <w:bCs/>
                <w:color w:val="auto"/>
                <w:kern w:val="0"/>
                <w:szCs w:val="21"/>
                <w:highlight w:val="none"/>
              </w:rPr>
              <w:t>特定资格要求：</w:t>
            </w:r>
          </w:p>
        </w:tc>
        <w:tc>
          <w:tcPr>
            <w:tcW w:w="4253" w:type="dxa"/>
            <w:vAlign w:val="center"/>
          </w:tcPr>
          <w:p>
            <w:pPr>
              <w:adjustRightInd w:val="0"/>
              <w:snapToGrid w:val="0"/>
              <w:spacing w:line="300" w:lineRule="auto"/>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2.1</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除基本资格要求应提供资料外。还应提供以下资料：</w:t>
            </w:r>
          </w:p>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8）金融、保险、通讯等特定行业的全国性企业所设立的区域性分支机构提供总公司（总机构）授权；</w:t>
            </w:r>
          </w:p>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9）个体工商户、个人独资企业、合伙企业应提供房产权证或其他有效财产证明材料。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2.2</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（2）非联合体。</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10）非联合体的声明函。【声明函6】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2.3</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w:t>
            </w:r>
            <w:r>
              <w:rPr>
                <w:rFonts w:ascii="Arial" w:hAnsi="Arial" w:cs="Arial"/>
                <w:color w:val="auto"/>
                <w:kern w:val="0"/>
                <w:szCs w:val="21"/>
                <w:highlight w:val="none"/>
              </w:rPr>
              <w:t>）具有建筑机电安装工程专业承包叁级及以上资质或城市及道路照明工程专业承包叁级及以上资质；</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11）投标人的</w:t>
            </w:r>
            <w:r>
              <w:rPr>
                <w:rFonts w:ascii="Arial" w:hAnsi="Arial" w:cs="Arial"/>
                <w:color w:val="auto"/>
                <w:kern w:val="0"/>
                <w:highlight w:val="none"/>
              </w:rPr>
              <w:t>建筑机电安装工程专业承包资质证书或城市及道路照明工程专业承包资质证书</w:t>
            </w:r>
          </w:p>
        </w:tc>
      </w:tr>
    </w:tbl>
    <w:p>
      <w:pPr>
        <w:pStyle w:val="75"/>
        <w:adjustRightInd w:val="0"/>
        <w:snapToGrid w:val="0"/>
        <w:spacing w:line="300" w:lineRule="auto"/>
        <w:ind w:firstLine="420"/>
        <w:rPr>
          <w:rFonts w:cs="Arial"/>
          <w:color w:val="auto"/>
          <w:szCs w:val="21"/>
          <w:highlight w:val="none"/>
        </w:rPr>
      </w:pPr>
      <w:r>
        <w:rPr>
          <w:rFonts w:cs="Arial"/>
          <w:color w:val="auto"/>
          <w:szCs w:val="21"/>
          <w:highlight w:val="none"/>
        </w:rPr>
        <w:t>3.2.2报价文件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1）投标函；</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2）开标一览表；</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3）投标价格组成明细表；</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4）交纳采购代理服务费承诺书；</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5）中小企业声明函、监狱企业声明函及其相关的充分的证明材料、残疾人福利性单位声明函；</w:t>
      </w:r>
    </w:p>
    <w:p>
      <w:pPr>
        <w:pStyle w:val="75"/>
        <w:adjustRightInd w:val="0"/>
        <w:snapToGrid w:val="0"/>
        <w:spacing w:line="300" w:lineRule="auto"/>
        <w:ind w:firstLine="420"/>
        <w:rPr>
          <w:rFonts w:cs="Arial"/>
          <w:color w:val="auto"/>
          <w:szCs w:val="21"/>
          <w:highlight w:val="none"/>
        </w:rPr>
      </w:pPr>
      <w:bookmarkStart w:id="39" w:name="_Toc497919845"/>
      <w:r>
        <w:rPr>
          <w:rFonts w:cs="Arial"/>
          <w:color w:val="auto"/>
          <w:szCs w:val="21"/>
          <w:highlight w:val="none"/>
        </w:rPr>
        <w:t>3.2.3商务技术文件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1）法定代表人资格证明书；</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2）法定代表人授权开标委托书（随身携带1份）（法定代表人参与不需提供此书）；</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3）偏离表；</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4）廉政承诺书；</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5）其他资信资料；</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6）类似项目业绩情况；</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7）提供针对本项目的完整技术解决方案；</w:t>
      </w:r>
    </w:p>
    <w:p>
      <w:pPr>
        <w:pStyle w:val="75"/>
        <w:tabs>
          <w:tab w:val="left" w:pos="432"/>
        </w:tabs>
        <w:spacing w:line="360" w:lineRule="auto"/>
        <w:ind w:left="420" w:firstLine="0" w:firstLineChars="0"/>
        <w:rPr>
          <w:rFonts w:cs="Arial"/>
          <w:color w:val="auto"/>
          <w:highlight w:val="none"/>
        </w:rPr>
      </w:pPr>
      <w:r>
        <w:rPr>
          <w:rFonts w:hint="eastAsia" w:cs="Arial"/>
          <w:color w:val="auto"/>
          <w:highlight w:val="none"/>
        </w:rPr>
        <w:t>8）</w:t>
      </w:r>
      <w:r>
        <w:rPr>
          <w:rFonts w:cs="Arial"/>
          <w:color w:val="auto"/>
          <w:highlight w:val="none"/>
        </w:rPr>
        <w:t>针对本项目的详细实施计划</w:t>
      </w:r>
    </w:p>
    <w:p>
      <w:pPr>
        <w:pStyle w:val="75"/>
        <w:tabs>
          <w:tab w:val="left" w:pos="432"/>
        </w:tabs>
        <w:spacing w:line="360" w:lineRule="auto"/>
        <w:ind w:left="420" w:firstLine="0" w:firstLineChars="0"/>
        <w:rPr>
          <w:rFonts w:cs="Arial"/>
          <w:color w:val="auto"/>
          <w:highlight w:val="none"/>
        </w:rPr>
      </w:pPr>
      <w:r>
        <w:rPr>
          <w:rFonts w:hint="eastAsia" w:cs="Arial"/>
          <w:color w:val="auto"/>
          <w:highlight w:val="none"/>
        </w:rPr>
        <w:t>9）</w:t>
      </w:r>
      <w:r>
        <w:rPr>
          <w:rFonts w:cs="Arial"/>
          <w:color w:val="auto"/>
          <w:highlight w:val="none"/>
        </w:rPr>
        <w:t>投标人为完成本项目组建的工作小组名单</w:t>
      </w:r>
      <w:r>
        <w:rPr>
          <w:rFonts w:hint="eastAsia" w:cs="Arial"/>
          <w:b/>
          <w:color w:val="auto"/>
          <w:highlight w:val="none"/>
        </w:rPr>
        <w:t>（两个标段人员可重复）</w:t>
      </w:r>
    </w:p>
    <w:p>
      <w:pPr>
        <w:pStyle w:val="75"/>
        <w:tabs>
          <w:tab w:val="left" w:pos="432"/>
        </w:tabs>
        <w:spacing w:line="360" w:lineRule="auto"/>
        <w:ind w:left="420" w:firstLine="0" w:firstLineChars="0"/>
        <w:rPr>
          <w:rFonts w:cs="Arial"/>
          <w:color w:val="auto"/>
          <w:highlight w:val="none"/>
        </w:rPr>
      </w:pPr>
      <w:r>
        <w:rPr>
          <w:rFonts w:hint="eastAsia" w:cs="Arial"/>
          <w:color w:val="auto"/>
          <w:highlight w:val="none"/>
        </w:rPr>
        <w:t>10）应急方案（重大节日或活动保障措施）</w:t>
      </w:r>
    </w:p>
    <w:p>
      <w:pPr>
        <w:pStyle w:val="75"/>
        <w:adjustRightInd w:val="0"/>
        <w:snapToGrid w:val="0"/>
        <w:spacing w:line="300" w:lineRule="auto"/>
        <w:ind w:firstLine="420"/>
        <w:rPr>
          <w:rFonts w:cs="Arial"/>
          <w:color w:val="auto"/>
          <w:szCs w:val="21"/>
          <w:highlight w:val="none"/>
        </w:rPr>
      </w:pPr>
      <w:r>
        <w:rPr>
          <w:rFonts w:hint="eastAsia" w:cs="Arial"/>
          <w:color w:val="auto"/>
          <w:szCs w:val="21"/>
          <w:highlight w:val="none"/>
        </w:rPr>
        <w:t>11</w:t>
      </w:r>
      <w:r>
        <w:rPr>
          <w:rFonts w:cs="Arial"/>
          <w:color w:val="auto"/>
          <w:szCs w:val="21"/>
          <w:highlight w:val="none"/>
        </w:rPr>
        <w:t>）投标人认为需要提供的其他资料。</w:t>
      </w:r>
    </w:p>
    <w:p>
      <w:pPr>
        <w:pStyle w:val="5"/>
        <w:spacing w:before="120"/>
        <w:ind w:firstLine="422"/>
        <w:rPr>
          <w:rFonts w:cs="Arial"/>
          <w:color w:val="auto"/>
          <w:highlight w:val="none"/>
        </w:rPr>
      </w:pPr>
      <w:r>
        <w:rPr>
          <w:rFonts w:cs="Arial"/>
          <w:color w:val="auto"/>
          <w:highlight w:val="none"/>
        </w:rPr>
        <w:t>3.3 投标文件的编制</w:t>
      </w:r>
      <w:bookmarkEnd w:id="39"/>
    </w:p>
    <w:p>
      <w:pPr>
        <w:pStyle w:val="5"/>
        <w:ind w:firstLine="422"/>
        <w:rPr>
          <w:rFonts w:cs="Arial"/>
          <w:color w:val="auto"/>
          <w:highlight w:val="none"/>
        </w:rPr>
      </w:pPr>
      <w:r>
        <w:rPr>
          <w:rFonts w:cs="Arial"/>
          <w:color w:val="auto"/>
          <w:highlight w:val="none"/>
        </w:rPr>
        <w:t>3.3.1 内容编制</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（1）投标文件应按照本章3.2款中规定的顺序及采用“第</w:t>
      </w:r>
      <w:r>
        <w:rPr>
          <w:rFonts w:hint="eastAsia" w:ascii="Arial" w:hAnsi="Arial" w:cs="Arial"/>
          <w:color w:val="auto"/>
          <w:szCs w:val="21"/>
          <w:highlight w:val="none"/>
        </w:rPr>
        <w:t>六部分</w:t>
      </w:r>
      <w:r>
        <w:rPr>
          <w:rFonts w:ascii="Arial" w:hAnsi="Arial" w:cs="Arial"/>
          <w:color w:val="auto"/>
          <w:highlight w:val="none"/>
        </w:rPr>
        <w:t>应提交的有关格式范例</w:t>
      </w:r>
      <w:r>
        <w:rPr>
          <w:rFonts w:ascii="Arial" w:hAnsi="Arial" w:cs="Arial"/>
          <w:color w:val="auto"/>
          <w:szCs w:val="21"/>
          <w:highlight w:val="none"/>
        </w:rPr>
        <w:t>”中提供的格式进行编制，并按“政府采购云平台”的要求编辑相应内容进行关联定位、加密，形成投标文件及备份电子投标文件。</w:t>
      </w:r>
      <w:r>
        <w:rPr>
          <w:rFonts w:hint="eastAsia" w:ascii="Arial" w:hAnsi="Arial" w:cs="Arial"/>
          <w:color w:val="auto"/>
          <w:szCs w:val="21"/>
          <w:highlight w:val="none"/>
        </w:rPr>
        <w:t>投标人</w:t>
      </w:r>
      <w:r>
        <w:rPr>
          <w:rFonts w:ascii="Arial" w:hAnsi="Arial" w:cs="Arial"/>
          <w:color w:val="auto"/>
          <w:szCs w:val="21"/>
          <w:highlight w:val="none"/>
        </w:rPr>
        <w:t>未按规定加密的投标文件，</w:t>
      </w:r>
      <w:r>
        <w:rPr>
          <w:rFonts w:ascii="Arial" w:hAnsi="Arial" w:cs="Arial"/>
          <w:color w:val="auto"/>
          <w:highlight w:val="none"/>
        </w:rPr>
        <w:t>政府采购云平台</w:t>
      </w:r>
      <w:r>
        <w:rPr>
          <w:rFonts w:hint="eastAsia" w:ascii="Arial" w:hAnsi="Arial" w:cs="Arial"/>
          <w:color w:val="auto"/>
          <w:szCs w:val="21"/>
          <w:highlight w:val="none"/>
        </w:rPr>
        <w:t>将</w:t>
      </w:r>
      <w:r>
        <w:rPr>
          <w:rFonts w:ascii="Arial" w:hAnsi="Arial" w:cs="Arial"/>
          <w:color w:val="auto"/>
          <w:szCs w:val="21"/>
          <w:highlight w:val="none"/>
        </w:rPr>
        <w:t>拒收并提示。投标文件编制详见操作指南：登录</w:t>
      </w:r>
      <w:r>
        <w:rPr>
          <w:rFonts w:ascii="Arial" w:hAnsi="Arial" w:cs="Arial"/>
          <w:color w:val="auto"/>
          <w:highlight w:val="none"/>
        </w:rPr>
        <w:t>政府采购云平台</w:t>
      </w:r>
      <w:r>
        <w:rPr>
          <w:rFonts w:ascii="Arial" w:hAnsi="Arial" w:cs="Arial"/>
          <w:color w:val="auto"/>
          <w:szCs w:val="21"/>
          <w:highlight w:val="none"/>
        </w:rPr>
        <w:t>（https://www.zcygov.cn/），从首页-服务中心-帮助文档-项目采购-电子招投标，查看文档和视频。</w:t>
      </w:r>
    </w:p>
    <w:p>
      <w:pPr>
        <w:pStyle w:val="23"/>
        <w:adjustRightInd w:val="0"/>
        <w:snapToGrid w:val="0"/>
        <w:spacing w:line="300" w:lineRule="auto"/>
        <w:ind w:firstLine="420" w:firstLineChars="200"/>
        <w:rPr>
          <w:rFonts w:ascii="Arial" w:hAnsi="Arial" w:cs="Arial"/>
          <w:color w:val="auto"/>
          <w:szCs w:val="21"/>
          <w:highlight w:val="none"/>
        </w:rPr>
      </w:pPr>
      <w:r>
        <w:rPr>
          <w:rFonts w:hint="eastAsia" w:ascii="Arial" w:hAnsi="Arial" w:cs="Arial"/>
          <w:color w:val="auto"/>
          <w:szCs w:val="21"/>
          <w:highlight w:val="none"/>
        </w:rPr>
        <w:t>（2）关联定位规则：</w:t>
      </w:r>
      <w:r>
        <w:rPr>
          <w:rFonts w:ascii="Arial" w:hAnsi="Arial" w:cs="Arial"/>
          <w:color w:val="auto"/>
          <w:szCs w:val="21"/>
          <w:highlight w:val="none"/>
        </w:rPr>
        <w:t>一个关联点只能关联一页，不能关联多页；多个关联点可以关联同一页。</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w:t>
      </w:r>
      <w:r>
        <w:rPr>
          <w:rFonts w:hint="eastAsia" w:ascii="Arial" w:hAnsi="Arial" w:cs="Arial"/>
          <w:color w:val="auto"/>
          <w:szCs w:val="21"/>
          <w:highlight w:val="none"/>
        </w:rPr>
        <w:t>3</w:t>
      </w:r>
      <w:r>
        <w:rPr>
          <w:rFonts w:ascii="Arial" w:hAnsi="Arial" w:cs="Arial"/>
          <w:color w:val="auto"/>
          <w:szCs w:val="21"/>
          <w:highlight w:val="none"/>
        </w:rPr>
        <w:t>）分别编制资格文件、报价文件、商务技术文件。</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w:t>
      </w:r>
      <w:r>
        <w:rPr>
          <w:rFonts w:hint="eastAsia" w:ascii="Arial" w:hAnsi="Arial" w:cs="Arial"/>
          <w:color w:val="auto"/>
          <w:szCs w:val="21"/>
          <w:highlight w:val="none"/>
        </w:rPr>
        <w:t>4</w:t>
      </w:r>
      <w:r>
        <w:rPr>
          <w:rFonts w:ascii="Arial" w:hAnsi="Arial" w:cs="Arial"/>
          <w:color w:val="auto"/>
          <w:szCs w:val="21"/>
          <w:highlight w:val="none"/>
        </w:rPr>
        <w:t>）投标文件应当对招标文件规定的内容进行对应明确说明，对招标文件规定的实质性内容应当作出响应。</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w:t>
      </w:r>
      <w:r>
        <w:rPr>
          <w:rFonts w:hint="eastAsia" w:ascii="Arial" w:hAnsi="Arial" w:cs="Arial"/>
          <w:color w:val="auto"/>
          <w:szCs w:val="21"/>
          <w:highlight w:val="none"/>
        </w:rPr>
        <w:t>5</w:t>
      </w:r>
      <w:r>
        <w:rPr>
          <w:rFonts w:ascii="Arial" w:hAnsi="Arial" w:cs="Arial"/>
          <w:color w:val="auto"/>
          <w:szCs w:val="21"/>
          <w:highlight w:val="none"/>
        </w:rPr>
        <w:t>）采购人如对招标文件有澄清或修改，投标人应按澄清或修改内容对电子投标文件进行补充或者修改，补充和修改时如已传输</w:t>
      </w:r>
      <w:r>
        <w:rPr>
          <w:rFonts w:hint="eastAsia" w:ascii="Arial" w:hAnsi="Arial" w:cs="Arial"/>
          <w:color w:val="auto"/>
          <w:szCs w:val="21"/>
          <w:highlight w:val="none"/>
        </w:rPr>
        <w:t>提交</w:t>
      </w:r>
      <w:r>
        <w:rPr>
          <w:rFonts w:ascii="Arial" w:hAnsi="Arial" w:cs="Arial"/>
          <w:color w:val="auto"/>
          <w:szCs w:val="21"/>
          <w:highlight w:val="none"/>
        </w:rPr>
        <w:t>了投标文件的，应当先行撤回原文件，补充、修改后重新传输</w:t>
      </w:r>
      <w:r>
        <w:rPr>
          <w:rFonts w:hint="eastAsia" w:ascii="Arial" w:hAnsi="Arial" w:cs="Arial"/>
          <w:color w:val="auto"/>
          <w:szCs w:val="21"/>
          <w:highlight w:val="none"/>
        </w:rPr>
        <w:t>提交</w:t>
      </w:r>
      <w:r>
        <w:rPr>
          <w:rFonts w:ascii="Arial" w:hAnsi="Arial" w:cs="Arial"/>
          <w:color w:val="auto"/>
          <w:szCs w:val="21"/>
          <w:highlight w:val="none"/>
        </w:rPr>
        <w:t>。</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w:t>
      </w:r>
      <w:r>
        <w:rPr>
          <w:rFonts w:hint="eastAsia" w:ascii="Arial" w:hAnsi="Arial" w:cs="Arial"/>
          <w:color w:val="auto"/>
          <w:szCs w:val="21"/>
          <w:highlight w:val="none"/>
        </w:rPr>
        <w:t>6</w:t>
      </w:r>
      <w:r>
        <w:rPr>
          <w:rFonts w:ascii="Arial" w:hAnsi="Arial" w:cs="Arial"/>
          <w:color w:val="auto"/>
          <w:szCs w:val="21"/>
          <w:highlight w:val="none"/>
        </w:rPr>
        <w:t>）由于字迹模糊或表达不清引起的后果由投标人负责。</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w:t>
      </w:r>
      <w:r>
        <w:rPr>
          <w:rFonts w:hint="eastAsia" w:ascii="Arial" w:hAnsi="Arial" w:cs="Arial"/>
          <w:color w:val="auto"/>
          <w:szCs w:val="21"/>
          <w:highlight w:val="none"/>
        </w:rPr>
        <w:t>7</w:t>
      </w:r>
      <w:r>
        <w:rPr>
          <w:rFonts w:ascii="Arial" w:hAnsi="Arial" w:cs="Arial"/>
          <w:color w:val="auto"/>
          <w:szCs w:val="21"/>
          <w:highlight w:val="none"/>
        </w:rPr>
        <w:t>）编制投标文件时建议选用“谷歌或火狐浏览器”。</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highlight w:val="none"/>
        </w:rPr>
        <w:t>（</w:t>
      </w:r>
      <w:r>
        <w:rPr>
          <w:rFonts w:hint="eastAsia" w:ascii="Arial" w:hAnsi="Arial" w:cs="Arial"/>
          <w:color w:val="auto"/>
          <w:highlight w:val="none"/>
        </w:rPr>
        <w:t>8</w:t>
      </w:r>
      <w:r>
        <w:rPr>
          <w:rFonts w:ascii="Arial" w:hAnsi="Arial" w:cs="Arial"/>
          <w:color w:val="auto"/>
          <w:highlight w:val="none"/>
        </w:rPr>
        <w:t>）投标文件可以线下完成盖章后传输提交政府采购云平台。</w:t>
      </w:r>
    </w:p>
    <w:p>
      <w:pPr>
        <w:pStyle w:val="5"/>
        <w:ind w:firstLine="422"/>
        <w:rPr>
          <w:rFonts w:cs="Arial"/>
          <w:color w:val="auto"/>
          <w:highlight w:val="none"/>
        </w:rPr>
      </w:pPr>
      <w:r>
        <w:rPr>
          <w:rFonts w:cs="Arial"/>
          <w:color w:val="auto"/>
          <w:highlight w:val="none"/>
        </w:rPr>
        <w:t>3.3.2 格式要求</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（1）投标文件应编制目录。</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（2）投标文件应按“投标人须知前附表”要求盖章。</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（3）投标文件装订要求详见“投标人须知前附表”。</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（4）投标文件格式为PDF。</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（5）单个文件上传大小上限为300M。</w:t>
      </w:r>
    </w:p>
    <w:p>
      <w:pPr>
        <w:pStyle w:val="5"/>
        <w:spacing w:before="120"/>
        <w:ind w:firstLine="422"/>
        <w:rPr>
          <w:rFonts w:cs="Arial"/>
          <w:color w:val="auto"/>
          <w:highlight w:val="none"/>
        </w:rPr>
      </w:pPr>
      <w:bookmarkStart w:id="40" w:name="_Toc497919846"/>
      <w:r>
        <w:rPr>
          <w:rFonts w:cs="Arial"/>
          <w:color w:val="auto"/>
          <w:highlight w:val="none"/>
        </w:rPr>
        <w:t>3.4 投标报价</w:t>
      </w:r>
      <w:bookmarkEnd w:id="40"/>
    </w:p>
    <w:p>
      <w:pPr>
        <w:pStyle w:val="75"/>
        <w:adjustRightInd w:val="0"/>
        <w:snapToGrid w:val="0"/>
        <w:spacing w:line="300" w:lineRule="auto"/>
        <w:ind w:firstLine="420"/>
        <w:rPr>
          <w:rFonts w:cs="Arial"/>
          <w:color w:val="auto"/>
          <w:szCs w:val="21"/>
          <w:highlight w:val="none"/>
          <w:u w:val="thick"/>
        </w:rPr>
      </w:pPr>
      <w:bookmarkStart w:id="41" w:name="_Toc497919847"/>
      <w:r>
        <w:rPr>
          <w:rFonts w:cs="Arial"/>
          <w:color w:val="auto"/>
          <w:szCs w:val="21"/>
          <w:highlight w:val="none"/>
        </w:rPr>
        <w:t>3.4.1 ▲</w:t>
      </w:r>
      <w:r>
        <w:rPr>
          <w:rFonts w:cs="Arial"/>
          <w:b/>
          <w:color w:val="auto"/>
          <w:szCs w:val="21"/>
          <w:highlight w:val="none"/>
          <w:u w:val="thick"/>
        </w:rPr>
        <w:t>本次投标报价为含税人民币价</w:t>
      </w:r>
      <w:r>
        <w:rPr>
          <w:rFonts w:cs="Arial"/>
          <w:color w:val="auto"/>
          <w:szCs w:val="21"/>
          <w:highlight w:val="none"/>
          <w:u w:val="thick"/>
        </w:rPr>
        <w:t>。</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3.4.2 投标报价包括完成服务工作所产生的全部费用。服务成果须达到招标文件规定的质量标准及使用要求。</w:t>
      </w:r>
    </w:p>
    <w:p>
      <w:pPr>
        <w:pStyle w:val="75"/>
        <w:adjustRightInd w:val="0"/>
        <w:snapToGrid w:val="0"/>
        <w:spacing w:line="300" w:lineRule="auto"/>
        <w:ind w:firstLine="420"/>
        <w:rPr>
          <w:rFonts w:cs="Arial"/>
          <w:b/>
          <w:bCs/>
          <w:color w:val="auto"/>
          <w:szCs w:val="21"/>
          <w:highlight w:val="none"/>
          <w:u w:val="thick"/>
        </w:rPr>
      </w:pPr>
      <w:r>
        <w:rPr>
          <w:rFonts w:cs="Arial"/>
          <w:color w:val="auto"/>
          <w:szCs w:val="21"/>
          <w:highlight w:val="none"/>
        </w:rPr>
        <w:t>3.4.3报价应按不同费用构成分开填写，具体详见“投标文件格式”。</w:t>
      </w:r>
    </w:p>
    <w:p>
      <w:pPr>
        <w:pStyle w:val="75"/>
        <w:adjustRightInd w:val="0"/>
        <w:snapToGrid w:val="0"/>
        <w:spacing w:line="300" w:lineRule="auto"/>
        <w:ind w:firstLine="420"/>
        <w:rPr>
          <w:rFonts w:cs="Arial"/>
          <w:b/>
          <w:color w:val="auto"/>
          <w:szCs w:val="21"/>
          <w:highlight w:val="none"/>
          <w:u w:val="single"/>
        </w:rPr>
      </w:pPr>
      <w:r>
        <w:rPr>
          <w:rFonts w:cs="Arial"/>
          <w:color w:val="auto"/>
          <w:szCs w:val="21"/>
          <w:highlight w:val="none"/>
        </w:rPr>
        <w:t>3.4.4 ▲</w:t>
      </w:r>
      <w:r>
        <w:rPr>
          <w:rFonts w:cs="Arial"/>
          <w:b/>
          <w:color w:val="auto"/>
          <w:szCs w:val="21"/>
          <w:highlight w:val="none"/>
          <w:u w:val="single"/>
        </w:rPr>
        <w:t>所投标段只允许有一个报价，不接受有选择报价的投标文件。</w:t>
      </w:r>
    </w:p>
    <w:p>
      <w:pPr>
        <w:pStyle w:val="75"/>
        <w:adjustRightInd w:val="0"/>
        <w:snapToGrid w:val="0"/>
        <w:spacing w:line="300" w:lineRule="auto"/>
        <w:ind w:firstLine="422"/>
        <w:rPr>
          <w:rFonts w:cs="Arial"/>
          <w:b/>
          <w:color w:val="auto"/>
          <w:szCs w:val="21"/>
          <w:highlight w:val="none"/>
        </w:rPr>
      </w:pPr>
      <w:r>
        <w:rPr>
          <w:rFonts w:cs="Arial"/>
          <w:b/>
          <w:color w:val="auto"/>
          <w:szCs w:val="21"/>
          <w:highlight w:val="none"/>
        </w:rPr>
        <w:t>3.4.5 投标人应在“政府采购云平台”中填写报价，报价应与上传的报价文件一致，如有不一致，以上传的报价文件中报价为准。</w:t>
      </w:r>
    </w:p>
    <w:p>
      <w:pPr>
        <w:pStyle w:val="5"/>
        <w:spacing w:before="120"/>
        <w:ind w:firstLine="422"/>
        <w:rPr>
          <w:rFonts w:cs="Arial"/>
          <w:color w:val="auto"/>
          <w:highlight w:val="none"/>
        </w:rPr>
      </w:pPr>
      <w:r>
        <w:rPr>
          <w:rFonts w:cs="Arial"/>
          <w:color w:val="auto"/>
          <w:highlight w:val="none"/>
        </w:rPr>
        <w:t>3.5 投标保证金</w:t>
      </w:r>
      <w:bookmarkEnd w:id="41"/>
    </w:p>
    <w:p>
      <w:pPr>
        <w:pStyle w:val="75"/>
        <w:snapToGrid w:val="0"/>
        <w:spacing w:line="300" w:lineRule="auto"/>
        <w:ind w:firstLine="420"/>
        <w:rPr>
          <w:rFonts w:cs="Arial"/>
          <w:color w:val="auto"/>
          <w:highlight w:val="none"/>
        </w:rPr>
      </w:pPr>
      <w:r>
        <w:rPr>
          <w:rFonts w:cs="Arial"/>
          <w:color w:val="auto"/>
          <w:highlight w:val="none"/>
        </w:rPr>
        <w:t>3.5.1 投标人须按前附表的规定提供投标保证金。</w:t>
      </w:r>
    </w:p>
    <w:p>
      <w:pPr>
        <w:pStyle w:val="5"/>
        <w:spacing w:before="120"/>
        <w:ind w:firstLine="422"/>
        <w:rPr>
          <w:rFonts w:cs="Arial"/>
          <w:color w:val="auto"/>
          <w:highlight w:val="none"/>
        </w:rPr>
      </w:pPr>
      <w:bookmarkStart w:id="42" w:name="_Toc497919848"/>
      <w:r>
        <w:rPr>
          <w:rFonts w:cs="Arial"/>
          <w:color w:val="auto"/>
          <w:highlight w:val="none"/>
        </w:rPr>
        <w:t>3.6 投标文件有效期</w:t>
      </w:r>
      <w:bookmarkEnd w:id="42"/>
    </w:p>
    <w:p>
      <w:pPr>
        <w:pStyle w:val="75"/>
        <w:snapToGrid w:val="0"/>
        <w:spacing w:line="300" w:lineRule="auto"/>
        <w:ind w:firstLine="420"/>
        <w:rPr>
          <w:rFonts w:cs="Arial"/>
          <w:color w:val="auto"/>
          <w:highlight w:val="none"/>
        </w:rPr>
      </w:pPr>
      <w:r>
        <w:rPr>
          <w:rFonts w:cs="Arial"/>
          <w:color w:val="auto"/>
          <w:highlight w:val="none"/>
        </w:rPr>
        <w:t>3.6.1 投标文件有效期按前附表规定，投标文件应在该有效期内保持有效。合同签订后，投标文件作为合同附件，投标文件有效期同合同有效期。</w:t>
      </w:r>
    </w:p>
    <w:p>
      <w:pPr>
        <w:pStyle w:val="75"/>
        <w:snapToGrid w:val="0"/>
        <w:spacing w:line="300" w:lineRule="auto"/>
        <w:ind w:firstLine="420"/>
        <w:rPr>
          <w:rFonts w:cs="Arial"/>
          <w:color w:val="auto"/>
          <w:highlight w:val="none"/>
        </w:rPr>
      </w:pPr>
      <w:r>
        <w:rPr>
          <w:rFonts w:cs="Arial"/>
          <w:color w:val="auto"/>
          <w:highlight w:val="none"/>
        </w:rPr>
        <w:t>3.6.2 采购人可与投标人协商延长投标文件有效期，这种要求和答复均应以书面形式进行。</w:t>
      </w:r>
    </w:p>
    <w:p>
      <w:pPr>
        <w:pStyle w:val="75"/>
        <w:snapToGrid w:val="0"/>
        <w:spacing w:line="300" w:lineRule="auto"/>
        <w:ind w:firstLine="420"/>
        <w:rPr>
          <w:rFonts w:cs="Arial"/>
          <w:color w:val="auto"/>
          <w:highlight w:val="none"/>
        </w:rPr>
      </w:pPr>
      <w:r>
        <w:rPr>
          <w:rFonts w:cs="Arial"/>
          <w:color w:val="auto"/>
          <w:highlight w:val="none"/>
        </w:rPr>
        <w:t>3.6.3 投标人可拒绝接受延期要求。同意延长有效期的投标人不能修改投标文件。</w:t>
      </w:r>
    </w:p>
    <w:p>
      <w:pPr>
        <w:pStyle w:val="75"/>
        <w:snapToGrid w:val="0"/>
        <w:spacing w:line="300" w:lineRule="auto"/>
        <w:ind w:firstLine="420"/>
        <w:rPr>
          <w:rFonts w:cs="Arial"/>
          <w:color w:val="auto"/>
          <w:highlight w:val="none"/>
        </w:rPr>
      </w:pPr>
      <w:r>
        <w:rPr>
          <w:rFonts w:cs="Arial"/>
          <w:color w:val="auto"/>
          <w:szCs w:val="21"/>
          <w:highlight w:val="none"/>
        </w:rPr>
        <w:t>3.6.4 投标文件有效期内，投标人撤销投标文件的，应向采购人交纳项目预算金额的2%。</w:t>
      </w:r>
    </w:p>
    <w:p>
      <w:pPr>
        <w:pStyle w:val="4"/>
        <w:spacing w:before="120"/>
        <w:ind w:firstLine="422"/>
        <w:rPr>
          <w:rFonts w:cs="Arial"/>
          <w:color w:val="auto"/>
          <w:highlight w:val="none"/>
        </w:rPr>
      </w:pPr>
      <w:bookmarkStart w:id="43" w:name="_Toc497919849"/>
      <w:bookmarkStart w:id="44" w:name="_Toc82338242"/>
      <w:bookmarkStart w:id="45" w:name="_Toc82873325"/>
      <w:r>
        <w:rPr>
          <w:rFonts w:cs="Arial"/>
          <w:color w:val="auto"/>
          <w:highlight w:val="none"/>
        </w:rPr>
        <w:t>四、投标</w:t>
      </w:r>
      <w:bookmarkEnd w:id="43"/>
      <w:bookmarkEnd w:id="44"/>
      <w:bookmarkEnd w:id="45"/>
    </w:p>
    <w:p>
      <w:pPr>
        <w:pStyle w:val="5"/>
        <w:spacing w:before="120"/>
        <w:ind w:firstLine="422"/>
        <w:rPr>
          <w:rFonts w:cs="Arial"/>
          <w:color w:val="auto"/>
          <w:highlight w:val="none"/>
        </w:rPr>
      </w:pPr>
      <w:bookmarkStart w:id="46" w:name="_Toc497919850"/>
      <w:r>
        <w:rPr>
          <w:rFonts w:cs="Arial"/>
          <w:color w:val="auto"/>
          <w:highlight w:val="none"/>
        </w:rPr>
        <w:t>4.1 投标文件的密封及标记</w:t>
      </w:r>
      <w:bookmarkEnd w:id="46"/>
    </w:p>
    <w:p>
      <w:pPr>
        <w:pStyle w:val="75"/>
        <w:snapToGrid w:val="0"/>
        <w:spacing w:line="300" w:lineRule="auto"/>
        <w:ind w:firstLine="420"/>
        <w:rPr>
          <w:rFonts w:cs="Arial"/>
          <w:color w:val="auto"/>
          <w:szCs w:val="21"/>
          <w:highlight w:val="none"/>
        </w:rPr>
      </w:pPr>
      <w:bookmarkStart w:id="47" w:name="_Toc497919851"/>
      <w:r>
        <w:rPr>
          <w:rFonts w:cs="Arial"/>
          <w:color w:val="auto"/>
          <w:szCs w:val="21"/>
          <w:highlight w:val="none"/>
        </w:rPr>
        <w:t>4.1.1投标文件应按以下方法密封及标记</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投标文件密封及标记要求见“投标人须知前附表”。</w:t>
      </w:r>
    </w:p>
    <w:p>
      <w:pPr>
        <w:pStyle w:val="5"/>
        <w:spacing w:before="120"/>
        <w:ind w:firstLine="422"/>
        <w:rPr>
          <w:rFonts w:cs="Arial"/>
          <w:color w:val="auto"/>
          <w:highlight w:val="none"/>
        </w:rPr>
      </w:pPr>
      <w:r>
        <w:rPr>
          <w:rFonts w:cs="Arial"/>
          <w:color w:val="auto"/>
          <w:highlight w:val="none"/>
        </w:rPr>
        <w:t>4.2 投标文件的提交</w:t>
      </w:r>
      <w:bookmarkEnd w:id="47"/>
    </w:p>
    <w:p>
      <w:pPr>
        <w:widowControl/>
        <w:adjustRightInd w:val="0"/>
        <w:snapToGrid w:val="0"/>
        <w:spacing w:line="300" w:lineRule="auto"/>
        <w:ind w:firstLine="420" w:firstLineChars="200"/>
        <w:jc w:val="left"/>
        <w:rPr>
          <w:rFonts w:ascii="Arial" w:hAnsi="Arial" w:cs="Arial"/>
          <w:color w:val="auto"/>
          <w:szCs w:val="21"/>
          <w:highlight w:val="none"/>
        </w:rPr>
      </w:pPr>
      <w:bookmarkStart w:id="48" w:name="_Toc497919852"/>
      <w:r>
        <w:rPr>
          <w:rFonts w:ascii="Arial" w:hAnsi="Arial" w:cs="Arial"/>
          <w:color w:val="auto"/>
          <w:szCs w:val="21"/>
          <w:highlight w:val="none"/>
        </w:rPr>
        <w:t>4.2.1</w:t>
      </w:r>
      <w:r>
        <w:rPr>
          <w:rFonts w:hint="eastAsia" w:ascii="Arial" w:hAnsi="Arial" w:cs="Arial"/>
          <w:color w:val="auto"/>
          <w:szCs w:val="21"/>
          <w:highlight w:val="none"/>
        </w:rPr>
        <w:t>提交投标文件</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1）电子投标文件传输提交</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投标人应当在投标截止时间前完成电子投标文件的传输提交至政府采购云平台（https://www.zcygov.cn），</w:t>
      </w:r>
      <w:r>
        <w:rPr>
          <w:rFonts w:ascii="Arial" w:hAnsi="Arial" w:cs="Arial"/>
          <w:color w:val="auto"/>
          <w:szCs w:val="21"/>
          <w:highlight w:val="none"/>
        </w:rPr>
        <w:t>投标截止时间前未完成传输</w:t>
      </w:r>
      <w:r>
        <w:rPr>
          <w:rFonts w:hint="eastAsia" w:ascii="Arial" w:hAnsi="Arial" w:cs="Arial"/>
          <w:color w:val="auto"/>
          <w:szCs w:val="21"/>
          <w:highlight w:val="none"/>
        </w:rPr>
        <w:t>提交</w:t>
      </w:r>
      <w:r>
        <w:rPr>
          <w:rFonts w:ascii="Arial" w:hAnsi="Arial" w:cs="Arial"/>
          <w:color w:val="auto"/>
          <w:szCs w:val="21"/>
          <w:highlight w:val="none"/>
        </w:rPr>
        <w:t>的，视为</w:t>
      </w:r>
      <w:r>
        <w:rPr>
          <w:rFonts w:hint="eastAsia" w:ascii="Arial" w:hAnsi="Arial" w:cs="Arial"/>
          <w:color w:val="auto"/>
          <w:szCs w:val="21"/>
          <w:highlight w:val="none"/>
        </w:rPr>
        <w:t>未提交投标文件</w:t>
      </w:r>
      <w:r>
        <w:rPr>
          <w:rFonts w:ascii="Arial" w:hAnsi="Arial" w:cs="Arial"/>
          <w:color w:val="auto"/>
          <w:szCs w:val="21"/>
          <w:highlight w:val="none"/>
        </w:rPr>
        <w:t>。</w:t>
      </w:r>
      <w:r>
        <w:rPr>
          <w:rFonts w:hint="eastAsia" w:ascii="Arial" w:hAnsi="Arial" w:cs="Arial"/>
          <w:color w:val="auto"/>
          <w:szCs w:val="21"/>
          <w:highlight w:val="none"/>
        </w:rPr>
        <w:t>投标截止时间以后传输提交的投标文件，将被拒收。</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2）备份电子投标文件提交</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投标人可以提交备份电子投标文件（按标段分别提交），如提交备份电子投标文件，请按以下方式提交。</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提交方式一：应当在投标截止时间以前，投标人派人将以介质存储的数据电文形式的备份电子投标文件密封提交到开标地点（杭州市文晖路42号现代置业大厦西楼17层1702开标室</w:t>
      </w:r>
      <w:r>
        <w:rPr>
          <w:rFonts w:hint="eastAsia" w:ascii="Arial" w:hAnsi="Arial" w:cs="Arial"/>
          <w:color w:val="auto"/>
          <w:szCs w:val="21"/>
          <w:highlight w:val="none"/>
          <w:lang w:eastAsia="zh-CN"/>
        </w:rPr>
        <w:t>二</w:t>
      </w:r>
      <w:r>
        <w:rPr>
          <w:rFonts w:hint="eastAsia" w:ascii="Arial" w:hAnsi="Arial" w:cs="Arial"/>
          <w:color w:val="auto"/>
          <w:szCs w:val="21"/>
          <w:highlight w:val="none"/>
        </w:rPr>
        <w:t>）；</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提交方式二：应当在投标截止时间以前，投标人将以介质存储的数据电文形式的备份电子投标文件密封并以邮寄形式提交给采购代理机构联系人，使其在投标截止时间以前收到。逾期送达或未密封将被拒收。封皮应注明投标人名称、项目名称。</w:t>
      </w:r>
    </w:p>
    <w:p>
      <w:pPr>
        <w:widowControl/>
        <w:adjustRightInd w:val="0"/>
        <w:snapToGrid w:val="0"/>
        <w:spacing w:line="300"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备份电子投标文件仅在在线解密异常处理时使用。投标文件已按时解密的，备份电子投标文件自动失效。</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4.2.2 投标人提交的投标文件均不予退还。</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4.2.3 逾期传输的或逾期送达的或者未送达指定地点的投标文件，采购人将不予受理。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4.2.4 采购人如因故推迟投标截止时间，应以书面形式通知所有投标人。在这种情况下，采购人和投标人的权利和义务将受到新的投标截止时间的约束。</w:t>
      </w:r>
    </w:p>
    <w:p>
      <w:pPr>
        <w:pStyle w:val="5"/>
        <w:spacing w:before="120"/>
        <w:ind w:firstLine="422"/>
        <w:rPr>
          <w:rFonts w:cs="Arial"/>
          <w:color w:val="auto"/>
          <w:highlight w:val="none"/>
        </w:rPr>
      </w:pPr>
      <w:r>
        <w:rPr>
          <w:rFonts w:cs="Arial"/>
          <w:color w:val="auto"/>
          <w:highlight w:val="none"/>
        </w:rPr>
        <w:t xml:space="preserve">4.3 </w:t>
      </w:r>
      <w:bookmarkEnd w:id="48"/>
      <w:r>
        <w:rPr>
          <w:rFonts w:cs="Arial"/>
          <w:color w:val="auto"/>
          <w:szCs w:val="21"/>
          <w:highlight w:val="none"/>
        </w:rPr>
        <w:t>投标文件的补充</w:t>
      </w:r>
      <w:r>
        <w:rPr>
          <w:rFonts w:hint="eastAsia" w:cs="Arial"/>
          <w:color w:val="auto"/>
          <w:szCs w:val="21"/>
          <w:highlight w:val="none"/>
        </w:rPr>
        <w:t>、</w:t>
      </w:r>
      <w:r>
        <w:rPr>
          <w:rFonts w:cs="Arial"/>
          <w:color w:val="auto"/>
          <w:szCs w:val="21"/>
          <w:highlight w:val="none"/>
        </w:rPr>
        <w:t>修改和撤回</w:t>
      </w:r>
    </w:p>
    <w:p>
      <w:pPr>
        <w:pStyle w:val="75"/>
        <w:adjustRightInd w:val="0"/>
        <w:snapToGrid w:val="0"/>
        <w:spacing w:line="300" w:lineRule="auto"/>
        <w:ind w:firstLine="420"/>
        <w:rPr>
          <w:rFonts w:cs="Arial"/>
          <w:color w:val="auto"/>
          <w:szCs w:val="21"/>
          <w:highlight w:val="none"/>
        </w:rPr>
      </w:pPr>
      <w:bookmarkStart w:id="49" w:name="_Toc497919853"/>
      <w:r>
        <w:rPr>
          <w:rFonts w:cs="Arial"/>
          <w:color w:val="auto"/>
          <w:szCs w:val="21"/>
          <w:highlight w:val="none"/>
        </w:rPr>
        <w:t>4.3.1投标人在投标以后如必须补充</w:t>
      </w:r>
      <w:r>
        <w:rPr>
          <w:rFonts w:hint="eastAsia" w:cs="Arial"/>
          <w:color w:val="auto"/>
          <w:szCs w:val="21"/>
          <w:highlight w:val="none"/>
        </w:rPr>
        <w:t>、</w:t>
      </w:r>
      <w:r>
        <w:rPr>
          <w:rFonts w:cs="Arial"/>
          <w:color w:val="auto"/>
          <w:szCs w:val="21"/>
          <w:highlight w:val="none"/>
        </w:rPr>
        <w:t>修改或撤回投标文件，必须在投标截止时间以前在“政府采购云平台”上补充</w:t>
      </w:r>
      <w:r>
        <w:rPr>
          <w:rFonts w:hint="eastAsia" w:cs="Arial"/>
          <w:color w:val="auto"/>
          <w:szCs w:val="21"/>
          <w:highlight w:val="none"/>
        </w:rPr>
        <w:t>、</w:t>
      </w:r>
      <w:r>
        <w:rPr>
          <w:rFonts w:cs="Arial"/>
          <w:color w:val="auto"/>
          <w:szCs w:val="21"/>
          <w:highlight w:val="none"/>
        </w:rPr>
        <w:t>修改或撤回投标文件。补充</w:t>
      </w:r>
      <w:r>
        <w:rPr>
          <w:rFonts w:hint="eastAsia" w:cs="Arial"/>
          <w:color w:val="auto"/>
          <w:szCs w:val="21"/>
          <w:highlight w:val="none"/>
        </w:rPr>
        <w:t>、</w:t>
      </w:r>
      <w:r>
        <w:rPr>
          <w:rFonts w:cs="Arial"/>
          <w:color w:val="auto"/>
          <w:szCs w:val="21"/>
          <w:highlight w:val="none"/>
        </w:rPr>
        <w:t>修改电子投标文件的，应当先行撤回原文件，补充、修改后重新传输提交。投标截止时间前未完成传输的，视为撤回投标文件。</w:t>
      </w:r>
    </w:p>
    <w:p>
      <w:pPr>
        <w:pStyle w:val="5"/>
        <w:spacing w:before="120"/>
        <w:ind w:firstLine="422"/>
        <w:rPr>
          <w:rFonts w:cs="Arial"/>
          <w:color w:val="auto"/>
          <w:highlight w:val="none"/>
        </w:rPr>
      </w:pPr>
      <w:r>
        <w:rPr>
          <w:rFonts w:cs="Arial"/>
          <w:color w:val="auto"/>
          <w:highlight w:val="none"/>
        </w:rPr>
        <w:t>4.4 备选投标方案</w:t>
      </w:r>
      <w:bookmarkEnd w:id="49"/>
    </w:p>
    <w:p>
      <w:pPr>
        <w:pStyle w:val="75"/>
        <w:adjustRightInd w:val="0"/>
        <w:snapToGrid w:val="0"/>
        <w:spacing w:line="300" w:lineRule="auto"/>
        <w:ind w:firstLine="420"/>
        <w:rPr>
          <w:rFonts w:cs="Arial"/>
          <w:color w:val="auto"/>
          <w:szCs w:val="21"/>
          <w:highlight w:val="none"/>
        </w:rPr>
      </w:pPr>
      <w:bookmarkStart w:id="50" w:name="_Toc497919854"/>
      <w:r>
        <w:rPr>
          <w:rFonts w:cs="Arial"/>
          <w:color w:val="auto"/>
          <w:szCs w:val="21"/>
          <w:highlight w:val="none"/>
        </w:rPr>
        <w:t>投标人不得提交备选投标方案，否则，投标文件将被判定为无效标。【注：备选投标方案不是指备份投标文件】</w:t>
      </w:r>
    </w:p>
    <w:bookmarkEnd w:id="50"/>
    <w:p>
      <w:pPr>
        <w:pStyle w:val="5"/>
        <w:snapToGrid w:val="0"/>
        <w:ind w:firstLine="422"/>
        <w:rPr>
          <w:rFonts w:cs="Arial"/>
          <w:color w:val="auto"/>
          <w:szCs w:val="21"/>
          <w:highlight w:val="none"/>
        </w:rPr>
      </w:pPr>
      <w:r>
        <w:rPr>
          <w:rFonts w:hint="eastAsia" w:cs="Arial"/>
          <w:color w:val="auto"/>
          <w:szCs w:val="21"/>
          <w:highlight w:val="none"/>
        </w:rPr>
        <w:t>4.5</w:t>
      </w:r>
      <w:r>
        <w:rPr>
          <w:rFonts w:cs="Arial"/>
          <w:color w:val="auto"/>
          <w:szCs w:val="21"/>
          <w:highlight w:val="none"/>
        </w:rPr>
        <w:t>不予受理的投标文件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1）在投标截止时间以后送达的投标文件；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2）未密封的备份电子投标文件；</w:t>
      </w:r>
    </w:p>
    <w:p>
      <w:pPr>
        <w:pStyle w:val="5"/>
        <w:snapToGrid w:val="0"/>
        <w:ind w:firstLine="422"/>
        <w:rPr>
          <w:rFonts w:cs="Arial"/>
          <w:color w:val="auto"/>
          <w:szCs w:val="21"/>
          <w:highlight w:val="none"/>
        </w:rPr>
      </w:pPr>
      <w:r>
        <w:rPr>
          <w:rFonts w:cs="Arial"/>
          <w:color w:val="auto"/>
          <w:szCs w:val="21"/>
          <w:highlight w:val="none"/>
        </w:rPr>
        <w:t>4.</w:t>
      </w:r>
      <w:r>
        <w:rPr>
          <w:rFonts w:hint="eastAsia" w:cs="Arial"/>
          <w:color w:val="auto"/>
          <w:szCs w:val="21"/>
          <w:highlight w:val="none"/>
        </w:rPr>
        <w:t>6</w:t>
      </w:r>
      <w:r>
        <w:rPr>
          <w:rFonts w:cs="Arial"/>
          <w:color w:val="auto"/>
          <w:szCs w:val="21"/>
          <w:highlight w:val="none"/>
        </w:rPr>
        <w:t>投标人不足三家情况处理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至投标截止时间，参加标段投标的投标人不足三家的，除采购任务取消情形外，采购人可选择以下方式之一处理：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1）可将本标段作废标处理，重新组织采购；</w:t>
      </w:r>
    </w:p>
    <w:p>
      <w:pPr>
        <w:pStyle w:val="75"/>
        <w:snapToGrid w:val="0"/>
        <w:spacing w:line="300" w:lineRule="auto"/>
        <w:ind w:firstLine="420"/>
        <w:rPr>
          <w:rFonts w:cs="Arial"/>
          <w:color w:val="auto"/>
          <w:highlight w:val="none"/>
        </w:rPr>
      </w:pPr>
      <w:r>
        <w:rPr>
          <w:rFonts w:cs="Arial"/>
          <w:color w:val="auto"/>
          <w:szCs w:val="21"/>
          <w:highlight w:val="none"/>
        </w:rPr>
        <w:t>2）可按</w:t>
      </w:r>
      <w:r>
        <w:rPr>
          <w:rFonts w:cs="Arial"/>
          <w:color w:val="auto"/>
          <w:kern w:val="0"/>
          <w:szCs w:val="21"/>
          <w:highlight w:val="none"/>
        </w:rPr>
        <w:t>同级政府采购监督管理部门</w:t>
      </w:r>
      <w:r>
        <w:rPr>
          <w:rFonts w:cs="Arial"/>
          <w:color w:val="auto"/>
          <w:szCs w:val="21"/>
          <w:highlight w:val="none"/>
        </w:rPr>
        <w:t>的审批意见采用其他采购方式组织采购；</w:t>
      </w:r>
    </w:p>
    <w:p>
      <w:pPr>
        <w:pStyle w:val="4"/>
        <w:spacing w:before="120"/>
        <w:ind w:firstLine="422"/>
        <w:rPr>
          <w:rFonts w:cs="Arial"/>
          <w:color w:val="auto"/>
          <w:szCs w:val="21"/>
          <w:highlight w:val="none"/>
        </w:rPr>
      </w:pPr>
      <w:bookmarkStart w:id="51" w:name="_Toc82338243"/>
      <w:bookmarkStart w:id="52" w:name="_Toc82873326"/>
      <w:bookmarkStart w:id="53" w:name="_Toc497919863"/>
      <w:r>
        <w:rPr>
          <w:rFonts w:cs="Arial"/>
          <w:color w:val="auto"/>
          <w:szCs w:val="21"/>
          <w:highlight w:val="none"/>
        </w:rPr>
        <w:t>五、开标、评标</w:t>
      </w:r>
      <w:bookmarkEnd w:id="51"/>
      <w:bookmarkEnd w:id="52"/>
      <w:r>
        <w:rPr>
          <w:rFonts w:cs="Arial"/>
          <w:color w:val="auto"/>
          <w:szCs w:val="21"/>
          <w:highlight w:val="none"/>
        </w:rPr>
        <w:t>及合同签订</w:t>
      </w:r>
    </w:p>
    <w:bookmarkEnd w:id="53"/>
    <w:p>
      <w:pPr>
        <w:pStyle w:val="5"/>
        <w:snapToGrid w:val="0"/>
        <w:ind w:firstLine="422"/>
        <w:rPr>
          <w:rFonts w:cs="Arial"/>
          <w:color w:val="auto"/>
          <w:szCs w:val="21"/>
          <w:highlight w:val="none"/>
        </w:rPr>
      </w:pPr>
      <w:r>
        <w:rPr>
          <w:rFonts w:cs="Arial"/>
          <w:color w:val="auto"/>
          <w:szCs w:val="21"/>
          <w:highlight w:val="none"/>
        </w:rPr>
        <w:t>5.1 开标</w:t>
      </w:r>
      <w:r>
        <w:rPr>
          <w:rFonts w:hint="eastAsia" w:cs="Arial"/>
          <w:color w:val="auto"/>
          <w:szCs w:val="21"/>
          <w:highlight w:val="none"/>
        </w:rPr>
        <w:t>（本项目开评标顺序按标段一、标段二进行，即开标先开标段一，标段一开标完成后转入评审工作，待标段一评审完成后对标段二进行开标，再转入标段二评审）</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5.</w:t>
      </w:r>
      <w:r>
        <w:rPr>
          <w:rFonts w:hint="eastAsia" w:ascii="Arial" w:hAnsi="Arial" w:cs="Arial"/>
          <w:color w:val="auto"/>
          <w:kern w:val="0"/>
          <w:szCs w:val="21"/>
          <w:highlight w:val="none"/>
        </w:rPr>
        <w:t>1</w:t>
      </w:r>
      <w:r>
        <w:rPr>
          <w:rFonts w:ascii="Arial" w:hAnsi="Arial" w:cs="Arial"/>
          <w:color w:val="auto"/>
          <w:kern w:val="0"/>
          <w:szCs w:val="21"/>
          <w:highlight w:val="none"/>
        </w:rPr>
        <w:t>.1 采购人按“投标人须知前附表”规定的时间、地点公开开标，并邀请所有投标人代表准时</w:t>
      </w:r>
      <w:r>
        <w:rPr>
          <w:rFonts w:hint="eastAsia" w:ascii="Arial" w:hAnsi="Arial" w:cs="Arial"/>
          <w:color w:val="auto"/>
          <w:kern w:val="0"/>
          <w:szCs w:val="21"/>
          <w:highlight w:val="none"/>
        </w:rPr>
        <w:t>在线</w:t>
      </w:r>
      <w:r>
        <w:rPr>
          <w:rFonts w:ascii="Arial" w:hAnsi="Arial" w:cs="Arial"/>
          <w:color w:val="auto"/>
          <w:kern w:val="0"/>
          <w:szCs w:val="21"/>
          <w:highlight w:val="none"/>
        </w:rPr>
        <w:t>参加。</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w:t>
      </w:r>
      <w:r>
        <w:rPr>
          <w:rFonts w:hint="eastAsia" w:cs="Arial"/>
          <w:color w:val="auto"/>
          <w:szCs w:val="21"/>
          <w:highlight w:val="none"/>
        </w:rPr>
        <w:t>1</w:t>
      </w:r>
      <w:r>
        <w:rPr>
          <w:rFonts w:cs="Arial"/>
          <w:color w:val="auto"/>
          <w:szCs w:val="21"/>
          <w:highlight w:val="none"/>
        </w:rPr>
        <w:t>.2投标人代表</w:t>
      </w:r>
      <w:r>
        <w:rPr>
          <w:rFonts w:hint="eastAsia" w:cs="Arial"/>
          <w:color w:val="auto"/>
          <w:szCs w:val="21"/>
          <w:highlight w:val="none"/>
        </w:rPr>
        <w:t>应在线</w:t>
      </w:r>
      <w:r>
        <w:rPr>
          <w:rFonts w:cs="Arial"/>
          <w:color w:val="auto"/>
          <w:szCs w:val="21"/>
          <w:highlight w:val="none"/>
        </w:rPr>
        <w:t>参加开标活动</w:t>
      </w:r>
      <w:r>
        <w:rPr>
          <w:rFonts w:hint="eastAsia" w:cs="Arial"/>
          <w:color w:val="auto"/>
          <w:szCs w:val="21"/>
          <w:highlight w:val="none"/>
        </w:rPr>
        <w:t>。</w:t>
      </w:r>
    </w:p>
    <w:p>
      <w:pPr>
        <w:pStyle w:val="75"/>
        <w:adjustRightInd w:val="0"/>
        <w:snapToGrid w:val="0"/>
        <w:spacing w:line="300" w:lineRule="auto"/>
        <w:ind w:firstLine="420"/>
        <w:rPr>
          <w:rFonts w:cs="Arial"/>
          <w:color w:val="auto"/>
          <w:szCs w:val="21"/>
          <w:highlight w:val="none"/>
        </w:rPr>
      </w:pPr>
      <w:r>
        <w:rPr>
          <w:rFonts w:hint="eastAsia" w:cs="Arial"/>
          <w:color w:val="auto"/>
          <w:szCs w:val="21"/>
          <w:highlight w:val="none"/>
        </w:rPr>
        <w:t>开标活动组织人员告知投标人</w:t>
      </w:r>
      <w:r>
        <w:rPr>
          <w:rFonts w:cs="Arial"/>
          <w:color w:val="auto"/>
          <w:szCs w:val="21"/>
          <w:highlight w:val="none"/>
        </w:rPr>
        <w:t>开标</w:t>
      </w:r>
      <w:r>
        <w:rPr>
          <w:rFonts w:hint="eastAsia" w:cs="Arial"/>
          <w:color w:val="auto"/>
          <w:szCs w:val="21"/>
          <w:highlight w:val="none"/>
        </w:rPr>
        <w:t>活动组织</w:t>
      </w:r>
      <w:r>
        <w:rPr>
          <w:rFonts w:cs="Arial"/>
          <w:color w:val="auto"/>
          <w:szCs w:val="21"/>
          <w:highlight w:val="none"/>
        </w:rPr>
        <w:t>人员情况，</w:t>
      </w:r>
      <w:r>
        <w:rPr>
          <w:rFonts w:hint="eastAsia" w:cs="Arial"/>
          <w:color w:val="auto"/>
          <w:szCs w:val="21"/>
          <w:highlight w:val="none"/>
        </w:rPr>
        <w:t>已提交</w:t>
      </w:r>
      <w:r>
        <w:rPr>
          <w:rFonts w:cs="Arial"/>
          <w:color w:val="auto"/>
          <w:szCs w:val="21"/>
          <w:highlight w:val="none"/>
        </w:rPr>
        <w:t>投标文件的投标人名单</w:t>
      </w:r>
      <w:r>
        <w:rPr>
          <w:rFonts w:hint="eastAsia" w:cs="Arial"/>
          <w:color w:val="auto"/>
          <w:szCs w:val="21"/>
          <w:highlight w:val="none"/>
        </w:rPr>
        <w:t>、</w:t>
      </w:r>
      <w:r>
        <w:rPr>
          <w:rFonts w:cs="Arial"/>
          <w:color w:val="auto"/>
          <w:szCs w:val="21"/>
          <w:highlight w:val="none"/>
        </w:rPr>
        <w:t>应当回避的情形</w:t>
      </w:r>
      <w:r>
        <w:rPr>
          <w:rFonts w:hint="eastAsia" w:cs="Arial"/>
          <w:color w:val="auto"/>
          <w:szCs w:val="21"/>
          <w:highlight w:val="none"/>
        </w:rPr>
        <w:t>、</w:t>
      </w:r>
      <w:r>
        <w:rPr>
          <w:rFonts w:cs="Arial"/>
          <w:color w:val="auto"/>
          <w:szCs w:val="21"/>
          <w:highlight w:val="none"/>
        </w:rPr>
        <w:t>开启报价文件的预计时间等，组织投标人签署《政府采购活动现场确认声明书》。</w:t>
      </w:r>
    </w:p>
    <w:p>
      <w:pPr>
        <w:widowControl/>
        <w:adjustRightInd w:val="0"/>
        <w:snapToGrid w:val="0"/>
        <w:spacing w:line="300" w:lineRule="auto"/>
        <w:ind w:firstLine="422" w:firstLineChars="200"/>
        <w:jc w:val="left"/>
        <w:rPr>
          <w:rFonts w:ascii="Arial" w:hAnsi="Arial" w:cs="Arial"/>
          <w:b/>
          <w:bCs/>
          <w:color w:val="auto"/>
          <w:kern w:val="0"/>
          <w:szCs w:val="21"/>
          <w:highlight w:val="none"/>
        </w:rPr>
      </w:pPr>
      <w:r>
        <w:rPr>
          <w:rFonts w:ascii="Arial" w:hAnsi="Arial" w:cs="Arial"/>
          <w:b/>
          <w:bCs/>
          <w:color w:val="auto"/>
          <w:kern w:val="0"/>
          <w:szCs w:val="21"/>
          <w:highlight w:val="none"/>
        </w:rPr>
        <w:t>5.</w:t>
      </w:r>
      <w:r>
        <w:rPr>
          <w:rFonts w:hint="eastAsia" w:ascii="Arial" w:hAnsi="Arial" w:cs="Arial"/>
          <w:b/>
          <w:bCs/>
          <w:color w:val="auto"/>
          <w:kern w:val="0"/>
          <w:szCs w:val="21"/>
          <w:highlight w:val="none"/>
        </w:rPr>
        <w:t>1.3</w:t>
      </w:r>
      <w:r>
        <w:rPr>
          <w:rFonts w:ascii="Arial" w:hAnsi="Arial" w:cs="Arial"/>
          <w:b/>
          <w:bCs/>
          <w:color w:val="auto"/>
          <w:kern w:val="0"/>
          <w:szCs w:val="21"/>
          <w:highlight w:val="none"/>
        </w:rPr>
        <w:t>在线解密</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1</w:t>
      </w:r>
      <w:r>
        <w:rPr>
          <w:rFonts w:ascii="Arial" w:hAnsi="Arial" w:cs="Arial"/>
          <w:color w:val="auto"/>
          <w:kern w:val="0"/>
          <w:szCs w:val="21"/>
          <w:highlight w:val="none"/>
        </w:rPr>
        <w:t>）</w:t>
      </w:r>
      <w:r>
        <w:rPr>
          <w:rFonts w:hint="eastAsia" w:ascii="Arial" w:hAnsi="Arial" w:cs="Arial"/>
          <w:color w:val="auto"/>
          <w:kern w:val="0"/>
          <w:szCs w:val="21"/>
          <w:highlight w:val="none"/>
        </w:rPr>
        <w:t>开始</w:t>
      </w:r>
      <w:r>
        <w:rPr>
          <w:rFonts w:ascii="Arial" w:hAnsi="Arial" w:cs="Arial"/>
          <w:color w:val="auto"/>
          <w:kern w:val="0"/>
          <w:szCs w:val="21"/>
          <w:highlight w:val="none"/>
        </w:rPr>
        <w:t>在线解密</w:t>
      </w:r>
    </w:p>
    <w:p>
      <w:pPr>
        <w:pStyle w:val="75"/>
        <w:adjustRightInd w:val="0"/>
        <w:snapToGrid w:val="0"/>
        <w:spacing w:line="300" w:lineRule="auto"/>
        <w:ind w:firstLine="420"/>
        <w:rPr>
          <w:rFonts w:cs="Arial"/>
          <w:color w:val="auto"/>
          <w:kern w:val="0"/>
          <w:szCs w:val="21"/>
          <w:highlight w:val="none"/>
        </w:rPr>
      </w:pPr>
      <w:r>
        <w:rPr>
          <w:rFonts w:cs="Arial"/>
          <w:color w:val="auto"/>
          <w:kern w:val="0"/>
          <w:szCs w:val="21"/>
          <w:highlight w:val="none"/>
        </w:rPr>
        <w:t>至投标截止时间，</w:t>
      </w:r>
      <w:r>
        <w:rPr>
          <w:rFonts w:hint="eastAsia" w:cs="Arial"/>
          <w:color w:val="auto"/>
          <w:szCs w:val="21"/>
          <w:highlight w:val="none"/>
        </w:rPr>
        <w:t>开标活动组织人员</w:t>
      </w:r>
      <w:r>
        <w:rPr>
          <w:rFonts w:cs="Arial"/>
          <w:color w:val="auto"/>
          <w:kern w:val="0"/>
          <w:szCs w:val="21"/>
          <w:highlight w:val="none"/>
        </w:rPr>
        <w:t>启动在线解密程序，投标人应登录政府采购云平台</w:t>
      </w:r>
      <w:r>
        <w:rPr>
          <w:rFonts w:hint="eastAsia" w:cs="Arial"/>
          <w:color w:val="auto"/>
          <w:kern w:val="0"/>
          <w:szCs w:val="21"/>
          <w:highlight w:val="none"/>
        </w:rPr>
        <w:t>在在线解密时间</w:t>
      </w:r>
      <w:r>
        <w:rPr>
          <w:rFonts w:cs="Arial"/>
          <w:color w:val="auto"/>
          <w:kern w:val="0"/>
          <w:szCs w:val="21"/>
          <w:highlight w:val="none"/>
        </w:rPr>
        <w:t>内对已提交的电子投标文件进行解密。</w:t>
      </w:r>
    </w:p>
    <w:p>
      <w:pPr>
        <w:pStyle w:val="75"/>
        <w:adjustRightInd w:val="0"/>
        <w:snapToGrid w:val="0"/>
        <w:spacing w:line="300" w:lineRule="auto"/>
        <w:ind w:firstLine="420"/>
        <w:rPr>
          <w:rFonts w:cs="Arial"/>
          <w:color w:val="auto"/>
          <w:kern w:val="0"/>
          <w:szCs w:val="21"/>
          <w:highlight w:val="none"/>
        </w:rPr>
      </w:pPr>
      <w:r>
        <w:rPr>
          <w:rFonts w:hint="eastAsia" w:cs="Arial"/>
          <w:color w:val="auto"/>
          <w:kern w:val="0"/>
          <w:szCs w:val="21"/>
          <w:highlight w:val="none"/>
        </w:rPr>
        <w:t>2）解密异常处理</w:t>
      </w:r>
    </w:p>
    <w:p>
      <w:pPr>
        <w:pStyle w:val="75"/>
        <w:adjustRightInd w:val="0"/>
        <w:snapToGrid w:val="0"/>
        <w:spacing w:line="300" w:lineRule="auto"/>
        <w:ind w:firstLine="420"/>
        <w:rPr>
          <w:rFonts w:cs="Arial"/>
          <w:color w:val="auto"/>
          <w:kern w:val="0"/>
          <w:szCs w:val="21"/>
          <w:highlight w:val="none"/>
        </w:rPr>
      </w:pPr>
      <w:r>
        <w:rPr>
          <w:rFonts w:cs="Arial"/>
          <w:color w:val="auto"/>
          <w:kern w:val="0"/>
          <w:szCs w:val="21"/>
          <w:highlight w:val="none"/>
        </w:rPr>
        <w:t>如在线解密失败，</w:t>
      </w:r>
      <w:r>
        <w:rPr>
          <w:rFonts w:hint="eastAsia" w:cs="Arial"/>
          <w:color w:val="auto"/>
          <w:szCs w:val="21"/>
          <w:highlight w:val="none"/>
        </w:rPr>
        <w:t>开标活动组织人员</w:t>
      </w:r>
      <w:r>
        <w:rPr>
          <w:rFonts w:cs="Arial"/>
          <w:color w:val="auto"/>
          <w:kern w:val="0"/>
          <w:szCs w:val="21"/>
          <w:highlight w:val="none"/>
        </w:rPr>
        <w:t>将启动异常处理，上传投标人在投标截止时间前提交的备份电子投标文件进行再次解密，如未提供备份电子投标文件，将不进行再次解密程序。无法在线解密视为投标人放弃</w:t>
      </w:r>
      <w:r>
        <w:rPr>
          <w:rFonts w:hint="eastAsia" w:cs="Arial"/>
          <w:color w:val="auto"/>
          <w:kern w:val="0"/>
          <w:szCs w:val="21"/>
          <w:highlight w:val="none"/>
        </w:rPr>
        <w:t>投标</w:t>
      </w:r>
      <w:r>
        <w:rPr>
          <w:rFonts w:cs="Arial"/>
          <w:color w:val="auto"/>
          <w:kern w:val="0"/>
          <w:szCs w:val="21"/>
          <w:highlight w:val="none"/>
        </w:rPr>
        <w:t>。</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3</w:t>
      </w:r>
      <w:r>
        <w:rPr>
          <w:rFonts w:ascii="Arial" w:hAnsi="Arial" w:cs="Arial"/>
          <w:color w:val="auto"/>
          <w:kern w:val="0"/>
          <w:szCs w:val="21"/>
          <w:highlight w:val="none"/>
        </w:rPr>
        <w:t>）在线解密时间</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在线解密时间为30分钟。</w:t>
      </w:r>
    </w:p>
    <w:p>
      <w:pPr>
        <w:widowControl/>
        <w:adjustRightInd w:val="0"/>
        <w:snapToGrid w:val="0"/>
        <w:spacing w:line="300" w:lineRule="auto"/>
        <w:ind w:firstLine="422" w:firstLineChars="200"/>
        <w:jc w:val="left"/>
        <w:rPr>
          <w:rFonts w:ascii="Arial" w:hAnsi="Arial" w:cs="Arial"/>
          <w:b/>
          <w:bCs/>
          <w:color w:val="auto"/>
          <w:kern w:val="0"/>
          <w:szCs w:val="21"/>
          <w:highlight w:val="none"/>
        </w:rPr>
      </w:pPr>
      <w:r>
        <w:rPr>
          <w:rFonts w:hint="eastAsia" w:ascii="Arial" w:hAnsi="Arial" w:cs="Arial"/>
          <w:b/>
          <w:bCs/>
          <w:color w:val="auto"/>
          <w:kern w:val="0"/>
          <w:szCs w:val="21"/>
          <w:highlight w:val="none"/>
        </w:rPr>
        <w:t>5.1.4 在线开启投标文件</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待所有投标人在线解密结束后，开标活动组织人员在线开启投标文件。</w:t>
      </w:r>
    </w:p>
    <w:p>
      <w:pPr>
        <w:widowControl/>
        <w:adjustRightInd w:val="0"/>
        <w:snapToGrid w:val="0"/>
        <w:spacing w:line="300" w:lineRule="auto"/>
        <w:ind w:firstLine="422" w:firstLineChars="200"/>
        <w:jc w:val="left"/>
        <w:rPr>
          <w:rFonts w:ascii="Arial" w:hAnsi="Arial" w:cs="Arial"/>
          <w:b/>
          <w:bCs/>
          <w:color w:val="auto"/>
          <w:kern w:val="0"/>
          <w:szCs w:val="21"/>
          <w:highlight w:val="none"/>
        </w:rPr>
      </w:pPr>
      <w:r>
        <w:rPr>
          <w:rFonts w:hint="eastAsia" w:ascii="Arial" w:hAnsi="Arial" w:cs="Arial"/>
          <w:b/>
          <w:bCs/>
          <w:color w:val="auto"/>
          <w:kern w:val="0"/>
          <w:szCs w:val="21"/>
          <w:highlight w:val="none"/>
        </w:rPr>
        <w:t>5.1.5 公布商务和技术评审情况</w:t>
      </w:r>
    </w:p>
    <w:p>
      <w:pPr>
        <w:widowControl/>
        <w:adjustRightInd w:val="0"/>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szCs w:val="21"/>
          <w:highlight w:val="none"/>
        </w:rPr>
        <w:t>商务和技术评审结束后，</w:t>
      </w:r>
      <w:r>
        <w:rPr>
          <w:rFonts w:hint="eastAsia" w:ascii="Arial" w:hAnsi="Arial" w:cs="Arial"/>
          <w:color w:val="auto"/>
          <w:szCs w:val="21"/>
          <w:highlight w:val="none"/>
        </w:rPr>
        <w:t>开标活动组织人员在线、开标现场公布</w:t>
      </w:r>
      <w:r>
        <w:rPr>
          <w:rFonts w:ascii="Arial" w:hAnsi="Arial" w:cs="Arial"/>
          <w:color w:val="auto"/>
          <w:szCs w:val="21"/>
          <w:highlight w:val="none"/>
        </w:rPr>
        <w:t>商务和技术评审</w:t>
      </w:r>
      <w:r>
        <w:rPr>
          <w:rFonts w:hint="eastAsia" w:ascii="Arial" w:hAnsi="Arial" w:cs="Arial"/>
          <w:color w:val="auto"/>
          <w:szCs w:val="21"/>
          <w:highlight w:val="none"/>
        </w:rPr>
        <w:t>有效的投标人名单及</w:t>
      </w:r>
      <w:r>
        <w:rPr>
          <w:rFonts w:ascii="Arial" w:hAnsi="Arial" w:cs="Arial"/>
          <w:color w:val="auto"/>
          <w:szCs w:val="21"/>
          <w:highlight w:val="none"/>
        </w:rPr>
        <w:t>无效投标人名称及理由；采用综合评分法的，同时公布其商务和技术得分情况。</w:t>
      </w:r>
    </w:p>
    <w:p>
      <w:pPr>
        <w:widowControl/>
        <w:adjustRightInd w:val="0"/>
        <w:snapToGrid w:val="0"/>
        <w:spacing w:line="300" w:lineRule="auto"/>
        <w:ind w:firstLine="422" w:firstLineChars="200"/>
        <w:jc w:val="left"/>
        <w:rPr>
          <w:rFonts w:ascii="Arial" w:hAnsi="Arial" w:cs="Arial"/>
          <w:color w:val="auto"/>
          <w:szCs w:val="21"/>
          <w:highlight w:val="none"/>
        </w:rPr>
      </w:pPr>
      <w:r>
        <w:rPr>
          <w:rFonts w:hint="eastAsia" w:ascii="Arial" w:hAnsi="Arial" w:cs="Arial"/>
          <w:b/>
          <w:bCs/>
          <w:color w:val="auto"/>
          <w:kern w:val="0"/>
          <w:szCs w:val="21"/>
          <w:highlight w:val="none"/>
        </w:rPr>
        <w:t>5.1.6在线开启报价文件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开启投标人报价文件，</w:t>
      </w:r>
      <w:r>
        <w:rPr>
          <w:rFonts w:hint="eastAsia" w:cs="Arial"/>
          <w:color w:val="auto"/>
          <w:szCs w:val="21"/>
          <w:highlight w:val="none"/>
        </w:rPr>
        <w:t>开标活动组织人员</w:t>
      </w:r>
      <w:r>
        <w:rPr>
          <w:rFonts w:cs="Arial"/>
          <w:color w:val="auto"/>
          <w:szCs w:val="21"/>
          <w:highlight w:val="none"/>
        </w:rPr>
        <w:t>宣读开标（报价）一览表有关内容，同时当场制作并打印开标记录表，由</w:t>
      </w:r>
      <w:r>
        <w:rPr>
          <w:rFonts w:hint="eastAsia" w:cs="Arial"/>
          <w:color w:val="auto"/>
          <w:szCs w:val="21"/>
          <w:highlight w:val="none"/>
        </w:rPr>
        <w:t>在开标现场的</w:t>
      </w:r>
      <w:r>
        <w:rPr>
          <w:rFonts w:cs="Arial"/>
          <w:color w:val="auto"/>
          <w:szCs w:val="21"/>
          <w:highlight w:val="none"/>
        </w:rPr>
        <w:t>投标人代表、唱标人、记录人和现场监督员在开标记录表上签字确认</w:t>
      </w:r>
      <w:r>
        <w:rPr>
          <w:rFonts w:hint="eastAsia" w:cs="Arial"/>
          <w:color w:val="auto"/>
          <w:szCs w:val="21"/>
          <w:highlight w:val="none"/>
        </w:rPr>
        <w:t>。如投标人代表拒绝签字，应说明理由，如不说明理由，视为无异议。</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开标结束后，如发现开标结果与报价文件不一致者，由评标委员会根据报价文件内容进行纠正。</w:t>
      </w:r>
    </w:p>
    <w:p>
      <w:pPr>
        <w:pStyle w:val="75"/>
        <w:adjustRightInd w:val="0"/>
        <w:snapToGrid w:val="0"/>
        <w:spacing w:line="300" w:lineRule="auto"/>
        <w:ind w:firstLine="422"/>
        <w:rPr>
          <w:rFonts w:cs="Arial"/>
          <w:color w:val="auto"/>
          <w:szCs w:val="21"/>
          <w:highlight w:val="none"/>
        </w:rPr>
      </w:pPr>
      <w:r>
        <w:rPr>
          <w:rFonts w:hint="eastAsia" w:cs="Arial"/>
          <w:b/>
          <w:bCs/>
          <w:color w:val="auto"/>
          <w:kern w:val="0"/>
          <w:szCs w:val="21"/>
          <w:highlight w:val="none"/>
        </w:rPr>
        <w:t>5.1.7公布评审结果</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评审结束后，</w:t>
      </w:r>
      <w:r>
        <w:rPr>
          <w:rFonts w:hint="eastAsia" w:cs="Arial"/>
          <w:color w:val="auto"/>
          <w:szCs w:val="21"/>
          <w:highlight w:val="none"/>
        </w:rPr>
        <w:t>开标活动组织人员</w:t>
      </w:r>
      <w:r>
        <w:rPr>
          <w:rFonts w:cs="Arial"/>
          <w:color w:val="auto"/>
          <w:szCs w:val="21"/>
          <w:highlight w:val="none"/>
        </w:rPr>
        <w:t>公布各投标人得分、中标候选人名单，及采购人最终确定中标人名单的时间和公告方式等。</w:t>
      </w:r>
    </w:p>
    <w:p>
      <w:pPr>
        <w:pStyle w:val="5"/>
        <w:snapToGrid w:val="0"/>
        <w:ind w:firstLine="422"/>
        <w:rPr>
          <w:rFonts w:cs="Arial"/>
          <w:color w:val="auto"/>
          <w:szCs w:val="21"/>
          <w:highlight w:val="none"/>
        </w:rPr>
      </w:pPr>
      <w:r>
        <w:rPr>
          <w:rFonts w:hint="eastAsia" w:cs="Arial"/>
          <w:color w:val="auto"/>
          <w:szCs w:val="21"/>
          <w:highlight w:val="none"/>
        </w:rPr>
        <w:t>5.2 开标异议</w:t>
      </w:r>
    </w:p>
    <w:p>
      <w:pPr>
        <w:pStyle w:val="75"/>
        <w:adjustRightInd w:val="0"/>
        <w:snapToGrid w:val="0"/>
        <w:spacing w:line="300" w:lineRule="auto"/>
        <w:ind w:firstLine="420"/>
        <w:rPr>
          <w:rFonts w:cs="Arial"/>
          <w:color w:val="auto"/>
          <w:szCs w:val="21"/>
          <w:highlight w:val="none"/>
        </w:rPr>
      </w:pPr>
      <w:r>
        <w:rPr>
          <w:rFonts w:hint="eastAsia" w:cs="Arial"/>
          <w:color w:val="auto"/>
          <w:szCs w:val="21"/>
          <w:highlight w:val="none"/>
        </w:rPr>
        <w:t>投标人如对开标有异议，应当在开标现场提出，开标活动组织人员将当场作出答复，并制作记录。</w:t>
      </w:r>
    </w:p>
    <w:p>
      <w:pPr>
        <w:pStyle w:val="5"/>
        <w:snapToGrid w:val="0"/>
        <w:ind w:firstLine="422"/>
        <w:rPr>
          <w:rFonts w:cs="Arial"/>
          <w:color w:val="auto"/>
          <w:szCs w:val="21"/>
          <w:highlight w:val="none"/>
        </w:rPr>
      </w:pPr>
      <w:r>
        <w:rPr>
          <w:rFonts w:cs="Arial"/>
          <w:color w:val="auto"/>
          <w:szCs w:val="21"/>
          <w:highlight w:val="none"/>
        </w:rPr>
        <w:t>5.3 投标人资格审查</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采购人或采购代理机构将首先审查各投标人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pPr>
        <w:adjustRightInd w:val="0"/>
        <w:snapToGrid w:val="0"/>
        <w:spacing w:line="300" w:lineRule="auto"/>
        <w:ind w:firstLine="422" w:firstLineChars="200"/>
        <w:rPr>
          <w:rFonts w:ascii="Arial" w:hAnsi="Arial" w:cs="Arial"/>
          <w:b/>
          <w:color w:val="auto"/>
          <w:kern w:val="0"/>
          <w:szCs w:val="21"/>
          <w:highlight w:val="none"/>
          <w:u w:val="single"/>
        </w:rPr>
      </w:pPr>
      <w:r>
        <w:rPr>
          <w:rFonts w:ascii="Arial" w:hAnsi="Arial" w:cs="Arial"/>
          <w:b/>
          <w:color w:val="auto"/>
          <w:kern w:val="0"/>
          <w:szCs w:val="21"/>
          <w:highlight w:val="none"/>
          <w:u w:val="single"/>
        </w:rPr>
        <w:t>单位负责人为同一人或者存在直接控股、管理关系的不同供应商，不得参加同一合同项下的政府采购活动。违反该款规定的，相关投标均无效。</w:t>
      </w:r>
    </w:p>
    <w:p>
      <w:pPr>
        <w:pStyle w:val="75"/>
        <w:adjustRightInd w:val="0"/>
        <w:snapToGrid w:val="0"/>
        <w:spacing w:line="300" w:lineRule="auto"/>
        <w:ind w:firstLine="422"/>
        <w:rPr>
          <w:rFonts w:cs="Arial"/>
          <w:b/>
          <w:bCs/>
          <w:color w:val="auto"/>
          <w:szCs w:val="21"/>
          <w:highlight w:val="none"/>
          <w:u w:val="single"/>
        </w:rPr>
      </w:pPr>
      <w:r>
        <w:rPr>
          <w:rFonts w:cs="Arial"/>
          <w:b/>
          <w:bCs/>
          <w:color w:val="auto"/>
          <w:szCs w:val="21"/>
          <w:highlight w:val="none"/>
          <w:u w:val="single"/>
        </w:rPr>
        <w:t>投标文件中提供的资格条件证明材料无法证明其满足招标文件规定资格条件，为无效投标。</w:t>
      </w:r>
    </w:p>
    <w:p>
      <w:pPr>
        <w:pStyle w:val="5"/>
        <w:snapToGrid w:val="0"/>
        <w:ind w:firstLine="422"/>
        <w:rPr>
          <w:rFonts w:cs="Arial"/>
          <w:color w:val="auto"/>
          <w:szCs w:val="21"/>
          <w:highlight w:val="none"/>
        </w:rPr>
      </w:pPr>
      <w:r>
        <w:rPr>
          <w:rFonts w:cs="Arial"/>
          <w:color w:val="auto"/>
          <w:szCs w:val="21"/>
          <w:highlight w:val="none"/>
        </w:rPr>
        <w:t>5.4 投标文件符合性审查</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5.4.1评标委员会将首先审查每份投标文件是否实质上响应了招标文件的要求，实质性响应的投标文件是指投标文件符合招标文件规定的实质性内容、条件和规定。</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5.4.2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5.4.3细微偏离是指投标文件对招标文件的非实质性内容存在不完全响应或不响应。</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5.4.4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pStyle w:val="5"/>
        <w:snapToGrid w:val="0"/>
        <w:ind w:firstLine="422"/>
        <w:rPr>
          <w:rFonts w:cs="Arial"/>
          <w:color w:val="auto"/>
          <w:szCs w:val="21"/>
          <w:highlight w:val="none"/>
        </w:rPr>
      </w:pPr>
      <w:r>
        <w:rPr>
          <w:rFonts w:cs="Arial"/>
          <w:color w:val="auto"/>
          <w:szCs w:val="21"/>
          <w:highlight w:val="none"/>
        </w:rPr>
        <w:t>5.5 投标文件的澄清、说明或者补正</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5.5.1评标委员会应当书面形式要求投标人对投标文件中含义不明确、同类问题表述不一致、有明显的文字和计算错误的内容作出必要的澄清、说明或者补正。</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5.5.2投标人的澄清、说明或者补正应当采用书面形式，并加盖公章，或者由法定代表人或其授权的代表签字。投标人的澄清、说明或者补正不得超出投标文件的范围或者改变投标文件的实质性内容。</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5.5.3投标文件的澄清、说明或者补正将在“政府采购云平台”完成。</w:t>
      </w:r>
    </w:p>
    <w:p>
      <w:pPr>
        <w:pStyle w:val="5"/>
        <w:snapToGrid w:val="0"/>
        <w:ind w:firstLine="422"/>
        <w:rPr>
          <w:rFonts w:cs="Arial"/>
          <w:color w:val="auto"/>
          <w:szCs w:val="21"/>
          <w:highlight w:val="none"/>
        </w:rPr>
      </w:pPr>
      <w:r>
        <w:rPr>
          <w:rFonts w:cs="Arial"/>
          <w:color w:val="auto"/>
          <w:szCs w:val="21"/>
          <w:highlight w:val="none"/>
        </w:rPr>
        <w:t>5.6 错误修正</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评标委员会将对确定为实质上响应招标文件要求的投标文件进行校核，投标文件报价出现前后不一致的，</w:t>
      </w:r>
      <w:r>
        <w:rPr>
          <w:rFonts w:cs="Arial"/>
          <w:bCs/>
          <w:color w:val="auto"/>
          <w:szCs w:val="21"/>
          <w:highlight w:val="none"/>
        </w:rPr>
        <w:t>按照下列规定修正：</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（1）投标文件中开标一览表（报价表）内容与投标文件中相应内容不一致的，以开标一览表（报价表）为准；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（2）大写金额和小写金额不一致的，以大写金额为准；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（3）单价金额小数点或者百分比有明显错位的，以开标一览表的总价为准，并修改单价；</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（4）总价金额与按单价汇总金额不一致的，以单价金额计算结果为准。</w:t>
      </w:r>
    </w:p>
    <w:p>
      <w:pPr>
        <w:pStyle w:val="75"/>
        <w:adjustRightInd w:val="0"/>
        <w:snapToGrid w:val="0"/>
        <w:spacing w:line="300" w:lineRule="auto"/>
        <w:ind w:firstLine="422"/>
        <w:rPr>
          <w:rFonts w:cs="Arial"/>
          <w:b/>
          <w:color w:val="auto"/>
          <w:szCs w:val="21"/>
          <w:highlight w:val="none"/>
        </w:rPr>
      </w:pPr>
      <w:r>
        <w:rPr>
          <w:rFonts w:cs="Arial"/>
          <w:b/>
          <w:color w:val="auto"/>
          <w:szCs w:val="21"/>
          <w:highlight w:val="none"/>
        </w:rPr>
        <w:t>同时出现两种以上不一致的，按照前款规定的顺序修正。修正后的报价以澄清方式经投标人确认后产生约束力，投标人不确认的，其投标无效。</w:t>
      </w:r>
    </w:p>
    <w:p>
      <w:pPr>
        <w:pStyle w:val="75"/>
        <w:adjustRightInd w:val="0"/>
        <w:snapToGrid w:val="0"/>
        <w:spacing w:line="300" w:lineRule="auto"/>
        <w:ind w:firstLine="422"/>
        <w:rPr>
          <w:rFonts w:cs="Arial"/>
          <w:b/>
          <w:color w:val="auto"/>
          <w:szCs w:val="21"/>
          <w:highlight w:val="none"/>
        </w:rPr>
      </w:pPr>
      <w:r>
        <w:rPr>
          <w:rFonts w:cs="Arial"/>
          <w:b/>
          <w:color w:val="auto"/>
          <w:szCs w:val="21"/>
          <w:highlight w:val="none"/>
        </w:rPr>
        <w:t>当评标委员会按照上述原则修正错误，发现其错误达到或超过投标报价的0.5%时，将认定其投标文件质量较差，其错误不予修正，作无效标处理。</w:t>
      </w:r>
    </w:p>
    <w:p>
      <w:pPr>
        <w:pStyle w:val="75"/>
        <w:adjustRightInd w:val="0"/>
        <w:snapToGrid w:val="0"/>
        <w:spacing w:line="300" w:lineRule="auto"/>
        <w:ind w:firstLine="422"/>
        <w:rPr>
          <w:rFonts w:cs="Arial"/>
          <w:b/>
          <w:color w:val="auto"/>
          <w:szCs w:val="21"/>
          <w:highlight w:val="none"/>
        </w:rPr>
      </w:pPr>
      <w:r>
        <w:rPr>
          <w:rFonts w:cs="Arial"/>
          <w:b/>
          <w:color w:val="auto"/>
          <w:szCs w:val="21"/>
          <w:highlight w:val="none"/>
        </w:rPr>
        <w:t>如投标文件中报价明细表分项价格或单价有遗报，应视作已含在投标总价中；其投标总价在评标过程中不予调整。其分项价或单价由评标委员会在投标总价不变的前提下根据合理的原则对其予以确定；</w:t>
      </w:r>
    </w:p>
    <w:p>
      <w:pPr>
        <w:pStyle w:val="5"/>
        <w:snapToGrid w:val="0"/>
        <w:ind w:firstLine="422"/>
        <w:rPr>
          <w:rFonts w:cs="Arial"/>
          <w:color w:val="auto"/>
          <w:szCs w:val="21"/>
          <w:highlight w:val="none"/>
        </w:rPr>
      </w:pPr>
      <w:r>
        <w:rPr>
          <w:rFonts w:cs="Arial"/>
          <w:color w:val="auto"/>
          <w:szCs w:val="21"/>
          <w:highlight w:val="none"/>
        </w:rPr>
        <w:t>5.7 合理报价澄清说明</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评标委员会认为投标人的报价明显低于其他通过符合性审查投标人的报价，有可能影响产品质量或者不能诚信履约的，应当要求其在30分钟内提供书面说明，必要时提交相关证明材料；投标人不能证明其报价合理性的，评标委员会应当将其作为无效投标处理。</w:t>
      </w:r>
    </w:p>
    <w:p>
      <w:pPr>
        <w:pStyle w:val="5"/>
        <w:snapToGrid w:val="0"/>
        <w:ind w:firstLine="422"/>
        <w:rPr>
          <w:rFonts w:cs="Arial"/>
          <w:color w:val="auto"/>
          <w:szCs w:val="21"/>
          <w:highlight w:val="none"/>
        </w:rPr>
      </w:pPr>
      <w:r>
        <w:rPr>
          <w:rFonts w:cs="Arial"/>
          <w:color w:val="auto"/>
          <w:szCs w:val="21"/>
          <w:highlight w:val="none"/>
        </w:rPr>
        <w:t>5.8 无效标</w:t>
      </w:r>
    </w:p>
    <w:p>
      <w:pPr>
        <w:adjustRightInd w:val="0"/>
        <w:snapToGrid w:val="0"/>
        <w:spacing w:line="300" w:lineRule="auto"/>
        <w:ind w:firstLine="413" w:firstLineChars="196"/>
        <w:rPr>
          <w:rFonts w:ascii="Arial" w:hAnsi="Arial" w:cs="Arial"/>
          <w:b/>
          <w:color w:val="auto"/>
          <w:szCs w:val="21"/>
          <w:highlight w:val="none"/>
          <w:u w:val="thick"/>
        </w:rPr>
      </w:pPr>
      <w:r>
        <w:rPr>
          <w:rFonts w:ascii="Arial" w:hAnsi="Arial" w:cs="Arial"/>
          <w:b/>
          <w:color w:val="auto"/>
          <w:szCs w:val="21"/>
          <w:highlight w:val="none"/>
          <w:u w:val="thick"/>
        </w:rPr>
        <w:t>有下列情形之一的投标文件，由评标委员会按少数服从多数原则进行认定，经认定属实后将该投标文件作无效标处理：</w:t>
      </w:r>
    </w:p>
    <w:p>
      <w:pPr>
        <w:pStyle w:val="2"/>
        <w:rPr>
          <w:b/>
          <w:color w:val="auto"/>
          <w:highlight w:val="none"/>
          <w:lang w:val="en-US"/>
        </w:rPr>
      </w:pPr>
      <w:r>
        <w:rPr>
          <w:rFonts w:hint="eastAsia"/>
          <w:b/>
          <w:color w:val="auto"/>
          <w:highlight w:val="none"/>
          <w:lang w:val="en-US"/>
        </w:rPr>
        <w:t>标段一：</w:t>
      </w:r>
    </w:p>
    <w:p>
      <w:pPr>
        <w:pStyle w:val="2"/>
        <w:rPr>
          <w:b/>
          <w:color w:val="auto"/>
          <w:highlight w:val="none"/>
          <w:lang w:val="en-US"/>
        </w:rPr>
      </w:pPr>
      <w:r>
        <w:rPr>
          <w:rFonts w:hint="eastAsia"/>
          <w:b/>
          <w:color w:val="auto"/>
          <w:highlight w:val="none"/>
          <w:lang w:val="en-US"/>
        </w:rPr>
        <w:t>1、投标文件的初审</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1</w:t>
      </w:r>
      <w:r>
        <w:rPr>
          <w:rFonts w:cs="Arial"/>
          <w:b/>
          <w:color w:val="auto"/>
          <w:szCs w:val="21"/>
          <w:highlight w:val="none"/>
        </w:rPr>
        <w:t>）投标文件中提供了赠品或者与本项目采购无关的其他商品、服务；</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2</w:t>
      </w:r>
      <w:r>
        <w:rPr>
          <w:rFonts w:cs="Arial"/>
          <w:b/>
          <w:color w:val="auto"/>
          <w:szCs w:val="21"/>
          <w:highlight w:val="none"/>
        </w:rPr>
        <w:t>）获取招标文件的投标人与参加投标的投标人发生实质性变更的且未提供有效证明的；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3</w:t>
      </w:r>
      <w:r>
        <w:rPr>
          <w:rFonts w:cs="Arial"/>
          <w:b/>
          <w:color w:val="auto"/>
          <w:szCs w:val="21"/>
          <w:highlight w:val="none"/>
        </w:rPr>
        <w:t>）投标人提交两份或两份以上内容不同的投标文件，未声明哪一份有效的；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4</w:t>
      </w:r>
      <w:r>
        <w:rPr>
          <w:rFonts w:cs="Arial"/>
          <w:b/>
          <w:color w:val="auto"/>
          <w:szCs w:val="21"/>
          <w:highlight w:val="none"/>
        </w:rPr>
        <w:t>）投标文件内容未按招标文件规定盖章的；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5</w:t>
      </w:r>
      <w:r>
        <w:rPr>
          <w:rFonts w:cs="Arial"/>
          <w:b/>
          <w:color w:val="auto"/>
          <w:szCs w:val="21"/>
          <w:highlight w:val="none"/>
        </w:rPr>
        <w:t>）投标文件含有采购人不能接受的附加条件的；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6</w:t>
      </w:r>
      <w:r>
        <w:rPr>
          <w:rFonts w:cs="Arial"/>
          <w:b/>
          <w:color w:val="auto"/>
          <w:szCs w:val="21"/>
          <w:highlight w:val="none"/>
        </w:rPr>
        <w:t>）投标文件中承诺的投标有效期少于招标文件中载明的投标有效期；</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7</w:t>
      </w:r>
      <w:r>
        <w:rPr>
          <w:rFonts w:cs="Arial"/>
          <w:b/>
          <w:color w:val="auto"/>
          <w:szCs w:val="21"/>
          <w:highlight w:val="none"/>
        </w:rPr>
        <w:t>）投标人串通投标，妨碍其他投标人的竞争行为，损害采购人或者其他投标人的合法权益；</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8</w:t>
      </w:r>
      <w:r>
        <w:rPr>
          <w:rFonts w:cs="Arial"/>
          <w:b/>
          <w:color w:val="auto"/>
          <w:szCs w:val="21"/>
          <w:highlight w:val="none"/>
        </w:rPr>
        <w:t>）投标文件标明的商务响应与事实不符或虚假投标的；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9</w:t>
      </w:r>
      <w:r>
        <w:rPr>
          <w:rFonts w:cs="Arial"/>
          <w:b/>
          <w:color w:val="auto"/>
          <w:szCs w:val="21"/>
          <w:highlight w:val="none"/>
        </w:rPr>
        <w:t>）法律、法规、规章及省级以上规范性文件规定的其他无效情形。</w:t>
      </w:r>
    </w:p>
    <w:p>
      <w:pPr>
        <w:pStyle w:val="75"/>
        <w:adjustRightInd w:val="0"/>
        <w:snapToGrid w:val="0"/>
        <w:spacing w:line="300" w:lineRule="auto"/>
        <w:ind w:firstLine="422"/>
        <w:rPr>
          <w:rFonts w:cs="Arial"/>
          <w:b/>
          <w:color w:val="auto"/>
          <w:szCs w:val="21"/>
          <w:highlight w:val="none"/>
        </w:rPr>
      </w:pPr>
      <w:r>
        <w:rPr>
          <w:rFonts w:cs="Arial"/>
          <w:b/>
          <w:color w:val="auto"/>
          <w:szCs w:val="21"/>
          <w:highlight w:val="none"/>
        </w:rPr>
        <w:t>1</w:t>
      </w:r>
      <w:r>
        <w:rPr>
          <w:rFonts w:hint="eastAsia" w:cs="Arial"/>
          <w:b/>
          <w:color w:val="auto"/>
          <w:szCs w:val="21"/>
          <w:highlight w:val="none"/>
        </w:rPr>
        <w:t>0</w:t>
      </w:r>
      <w:r>
        <w:rPr>
          <w:rFonts w:cs="Arial"/>
          <w:b/>
          <w:color w:val="auto"/>
          <w:szCs w:val="21"/>
          <w:highlight w:val="none"/>
        </w:rPr>
        <w:t>）未实质性响应招标文件中带“▲”条款要求的投标文件；</w:t>
      </w:r>
    </w:p>
    <w:p>
      <w:pPr>
        <w:pStyle w:val="75"/>
        <w:adjustRightInd w:val="0"/>
        <w:snapToGrid w:val="0"/>
        <w:spacing w:line="300" w:lineRule="auto"/>
        <w:ind w:firstLine="422"/>
        <w:rPr>
          <w:rFonts w:cs="Arial"/>
          <w:b/>
          <w:color w:val="auto"/>
          <w:szCs w:val="21"/>
          <w:highlight w:val="none"/>
        </w:rPr>
      </w:pPr>
      <w:r>
        <w:rPr>
          <w:rFonts w:cs="Arial"/>
          <w:b/>
          <w:color w:val="auto"/>
          <w:szCs w:val="21"/>
          <w:highlight w:val="none"/>
        </w:rPr>
        <w:t>1</w:t>
      </w:r>
      <w:r>
        <w:rPr>
          <w:rFonts w:hint="eastAsia" w:cs="Arial"/>
          <w:b/>
          <w:color w:val="auto"/>
          <w:szCs w:val="21"/>
          <w:highlight w:val="none"/>
        </w:rPr>
        <w:t>1</w:t>
      </w:r>
      <w:r>
        <w:rPr>
          <w:rFonts w:cs="Arial"/>
          <w:b/>
          <w:color w:val="auto"/>
          <w:szCs w:val="21"/>
          <w:highlight w:val="none"/>
        </w:rPr>
        <w:t>）投标文件标明的技术响应与事实不符或虚假投标的。</w:t>
      </w:r>
    </w:p>
    <w:p>
      <w:pPr>
        <w:pStyle w:val="2"/>
        <w:rPr>
          <w:b/>
          <w:color w:val="auto"/>
          <w:highlight w:val="none"/>
          <w:lang w:val="en-US"/>
        </w:rPr>
      </w:pPr>
      <w:r>
        <w:rPr>
          <w:rFonts w:hint="eastAsia"/>
          <w:b/>
          <w:color w:val="auto"/>
          <w:highlight w:val="none"/>
          <w:lang w:val="en-US"/>
        </w:rPr>
        <w:t>2、投标文件的报价评审</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1）标段投标报价超过招标文件规定的预算金额或最高限价；</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2）《开标一览表》和《投标价格组成明细表》内容不完整且不接受修正意见或字迹不能辨认的或未提供；</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3）因投标人原因编制错误，评标委员会发现其错误达到或超过原总报价的0.5%；</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4）投标报价明显高于其市场报价或报价明显不合理，且在规定时间内不能合理说明原因并提供证明材料的；</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5）符合本须知5.7款规定的；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标段二：</w:t>
      </w:r>
    </w:p>
    <w:p>
      <w:pPr>
        <w:pStyle w:val="2"/>
        <w:rPr>
          <w:b/>
          <w:color w:val="auto"/>
          <w:highlight w:val="none"/>
          <w:lang w:val="en-US"/>
        </w:rPr>
      </w:pPr>
      <w:r>
        <w:rPr>
          <w:rFonts w:hint="eastAsia"/>
          <w:b/>
          <w:color w:val="auto"/>
          <w:highlight w:val="none"/>
          <w:lang w:val="en-US"/>
        </w:rPr>
        <w:t>1、投标文件的初审</w:t>
      </w:r>
    </w:p>
    <w:p>
      <w:pPr>
        <w:pStyle w:val="2"/>
        <w:rPr>
          <w:b/>
          <w:color w:val="auto"/>
          <w:highlight w:val="none"/>
          <w:lang w:val="en-US"/>
        </w:rPr>
      </w:pPr>
      <w:r>
        <w:rPr>
          <w:rFonts w:hint="eastAsia"/>
          <w:b/>
          <w:color w:val="auto"/>
          <w:highlight w:val="none"/>
          <w:lang w:val="en-US"/>
        </w:rPr>
        <w:t>1）投标单位为评标委员会推荐为标段一的第一中标候选人；</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2</w:t>
      </w:r>
      <w:r>
        <w:rPr>
          <w:rFonts w:cs="Arial"/>
          <w:b/>
          <w:color w:val="auto"/>
          <w:szCs w:val="21"/>
          <w:highlight w:val="none"/>
        </w:rPr>
        <w:t>）投标文件中提供了赠品或者与本项目采购无关的其他商品、服务；</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3</w:t>
      </w:r>
      <w:r>
        <w:rPr>
          <w:rFonts w:cs="Arial"/>
          <w:b/>
          <w:color w:val="auto"/>
          <w:szCs w:val="21"/>
          <w:highlight w:val="none"/>
        </w:rPr>
        <w:t>）获取招标文件的投标人与参加投标的投标人发生实质性变更的且未提供有效证明的；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4</w:t>
      </w:r>
      <w:r>
        <w:rPr>
          <w:rFonts w:cs="Arial"/>
          <w:b/>
          <w:color w:val="auto"/>
          <w:szCs w:val="21"/>
          <w:highlight w:val="none"/>
        </w:rPr>
        <w:t>）投标人提交两份或两份以上内容不同的投标文件，未声明哪一份有效的；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5</w:t>
      </w:r>
      <w:r>
        <w:rPr>
          <w:rFonts w:cs="Arial"/>
          <w:b/>
          <w:color w:val="auto"/>
          <w:szCs w:val="21"/>
          <w:highlight w:val="none"/>
        </w:rPr>
        <w:t>）投标文件内容未按招标文件规定盖章的；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6</w:t>
      </w:r>
      <w:r>
        <w:rPr>
          <w:rFonts w:cs="Arial"/>
          <w:b/>
          <w:color w:val="auto"/>
          <w:szCs w:val="21"/>
          <w:highlight w:val="none"/>
        </w:rPr>
        <w:t>）投标文件含有采购人不能接受的附加条件的；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7</w:t>
      </w:r>
      <w:r>
        <w:rPr>
          <w:rFonts w:cs="Arial"/>
          <w:b/>
          <w:color w:val="auto"/>
          <w:szCs w:val="21"/>
          <w:highlight w:val="none"/>
        </w:rPr>
        <w:t>）投标文件中承诺的投标有效期少于招标文件中载明的投标有效期；</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8</w:t>
      </w:r>
      <w:r>
        <w:rPr>
          <w:rFonts w:cs="Arial"/>
          <w:b/>
          <w:color w:val="auto"/>
          <w:szCs w:val="21"/>
          <w:highlight w:val="none"/>
        </w:rPr>
        <w:t>）投标人串通投标，妨碍其他投标人的竞争行为，损害采购人或者其他投标人的合法权益；</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9</w:t>
      </w:r>
      <w:r>
        <w:rPr>
          <w:rFonts w:cs="Arial"/>
          <w:b/>
          <w:color w:val="auto"/>
          <w:szCs w:val="21"/>
          <w:highlight w:val="none"/>
        </w:rPr>
        <w:t>）投标文件标明的商务响应与事实不符或虚假投标的；</w:t>
      </w:r>
    </w:p>
    <w:p>
      <w:pPr>
        <w:pStyle w:val="75"/>
        <w:adjustRightInd w:val="0"/>
        <w:snapToGrid w:val="0"/>
        <w:spacing w:line="300" w:lineRule="auto"/>
        <w:ind w:firstLine="422"/>
        <w:rPr>
          <w:rFonts w:cs="Arial"/>
          <w:b/>
          <w:color w:val="auto"/>
          <w:szCs w:val="21"/>
          <w:highlight w:val="none"/>
        </w:rPr>
      </w:pPr>
      <w:r>
        <w:rPr>
          <w:rFonts w:hint="eastAsia" w:cs="Arial"/>
          <w:b/>
          <w:color w:val="auto"/>
          <w:szCs w:val="21"/>
          <w:highlight w:val="none"/>
        </w:rPr>
        <w:t>10</w:t>
      </w:r>
      <w:r>
        <w:rPr>
          <w:rFonts w:cs="Arial"/>
          <w:b/>
          <w:color w:val="auto"/>
          <w:szCs w:val="21"/>
          <w:highlight w:val="none"/>
        </w:rPr>
        <w:t>）法律、法规、规章及省级以上规范性文件规定的其他无效情形。</w:t>
      </w:r>
    </w:p>
    <w:p>
      <w:pPr>
        <w:pStyle w:val="75"/>
        <w:adjustRightInd w:val="0"/>
        <w:snapToGrid w:val="0"/>
        <w:spacing w:line="300" w:lineRule="auto"/>
        <w:ind w:firstLine="422"/>
        <w:rPr>
          <w:rFonts w:cs="Arial"/>
          <w:b/>
          <w:color w:val="auto"/>
          <w:szCs w:val="21"/>
          <w:highlight w:val="none"/>
        </w:rPr>
      </w:pPr>
      <w:r>
        <w:rPr>
          <w:rFonts w:cs="Arial"/>
          <w:b/>
          <w:color w:val="auto"/>
          <w:szCs w:val="21"/>
          <w:highlight w:val="none"/>
        </w:rPr>
        <w:t>1</w:t>
      </w:r>
      <w:r>
        <w:rPr>
          <w:rFonts w:hint="eastAsia" w:cs="Arial"/>
          <w:b/>
          <w:color w:val="auto"/>
          <w:szCs w:val="21"/>
          <w:highlight w:val="none"/>
        </w:rPr>
        <w:t>1</w:t>
      </w:r>
      <w:r>
        <w:rPr>
          <w:rFonts w:cs="Arial"/>
          <w:b/>
          <w:color w:val="auto"/>
          <w:szCs w:val="21"/>
          <w:highlight w:val="none"/>
        </w:rPr>
        <w:t>）未实质性响应招标文件中带“▲”条款要求的投标文件；</w:t>
      </w:r>
    </w:p>
    <w:p>
      <w:pPr>
        <w:pStyle w:val="75"/>
        <w:adjustRightInd w:val="0"/>
        <w:snapToGrid w:val="0"/>
        <w:spacing w:line="300" w:lineRule="auto"/>
        <w:ind w:firstLine="422"/>
        <w:rPr>
          <w:rFonts w:cs="Arial"/>
          <w:b/>
          <w:color w:val="auto"/>
          <w:szCs w:val="21"/>
          <w:highlight w:val="none"/>
        </w:rPr>
      </w:pPr>
      <w:r>
        <w:rPr>
          <w:rFonts w:cs="Arial"/>
          <w:b/>
          <w:color w:val="auto"/>
          <w:szCs w:val="21"/>
          <w:highlight w:val="none"/>
        </w:rPr>
        <w:t>1</w:t>
      </w:r>
      <w:r>
        <w:rPr>
          <w:rFonts w:hint="eastAsia" w:cs="Arial"/>
          <w:b/>
          <w:color w:val="auto"/>
          <w:szCs w:val="21"/>
          <w:highlight w:val="none"/>
        </w:rPr>
        <w:t>2</w:t>
      </w:r>
      <w:r>
        <w:rPr>
          <w:rFonts w:cs="Arial"/>
          <w:b/>
          <w:color w:val="auto"/>
          <w:szCs w:val="21"/>
          <w:highlight w:val="none"/>
        </w:rPr>
        <w:t>）投标文件标明的技术响应与事实不符或虚假投标的。</w:t>
      </w:r>
    </w:p>
    <w:p>
      <w:pPr>
        <w:pStyle w:val="2"/>
        <w:rPr>
          <w:b/>
          <w:color w:val="auto"/>
          <w:highlight w:val="none"/>
          <w:lang w:val="en-US"/>
        </w:rPr>
      </w:pPr>
      <w:r>
        <w:rPr>
          <w:rFonts w:hint="eastAsia"/>
          <w:b/>
          <w:color w:val="auto"/>
          <w:highlight w:val="none"/>
          <w:lang w:val="en-US"/>
        </w:rPr>
        <w:t>2、投标文件的报价评审</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1）标段投标报价超过招标文件规定的预算金额或最高限价；</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2）《开标一览表》和《投标价格组成明细表》内容不完整且不接受修正意见或字迹不能辨认的或未提供；</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3）因投标人原因编制错误，评标委员会发现其错误达到或超过原总报价的0.5%；</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4）投标报价明显高于其市场报价或报价明显不合理，且在规定时间内不能合理说明原因并提供证明材料的；</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5）符合本须知5.7款规定的；</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5.9投标人有恶意串通、妨碍其他投标人的竞争行为、损害采购人或者其他投标人的合法权益情形的；有下列情形之一的，属于或视为恶意串通，其投标无效：</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5.9.1供应商直接或者间接从采购人或者采购</w:t>
      </w:r>
      <w:r>
        <w:rPr>
          <w:rFonts w:hint="eastAsia" w:cs="Arial"/>
          <w:color w:val="auto"/>
          <w:szCs w:val="21"/>
          <w:highlight w:val="none"/>
        </w:rPr>
        <w:t>代理</w:t>
      </w:r>
      <w:r>
        <w:rPr>
          <w:rFonts w:cs="Arial"/>
          <w:color w:val="auto"/>
          <w:szCs w:val="21"/>
          <w:highlight w:val="none"/>
        </w:rPr>
        <w:t>机构处获得其他供应商的相关情况并修改其投标文件或者响应文件；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5.9.2供应商按照采购人或者采购</w:t>
      </w:r>
      <w:r>
        <w:rPr>
          <w:rFonts w:hint="eastAsia" w:cs="Arial"/>
          <w:color w:val="auto"/>
          <w:szCs w:val="21"/>
          <w:highlight w:val="none"/>
        </w:rPr>
        <w:t>代理</w:t>
      </w:r>
      <w:r>
        <w:rPr>
          <w:rFonts w:cs="Arial"/>
          <w:color w:val="auto"/>
          <w:szCs w:val="21"/>
          <w:highlight w:val="none"/>
        </w:rPr>
        <w:t>机构的授意撤换、修改投标文件或者响应文件；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5.9.3供应商之间协商报价、技术方案等投标文件或者响应文件的实质性内容；</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5.9.4属于同一集团、协会、商会等组织成员的供应商按照该组织要求协同参加政府采购活动；</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5.9.5供应商之间事先约定由某一特定供应商中标、成交；</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5.9.6供应商之间商定部分供应商放弃参加政府采购活动或者放弃中标、成交；</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5.9.7供应商与采购人或者采购</w:t>
      </w:r>
      <w:r>
        <w:rPr>
          <w:rFonts w:hint="eastAsia" w:cs="Arial"/>
          <w:color w:val="auto"/>
          <w:szCs w:val="21"/>
          <w:highlight w:val="none"/>
        </w:rPr>
        <w:t>代理</w:t>
      </w:r>
      <w:r>
        <w:rPr>
          <w:rFonts w:cs="Arial"/>
          <w:color w:val="auto"/>
          <w:szCs w:val="21"/>
          <w:highlight w:val="none"/>
        </w:rPr>
        <w:t>机构之间、供应商相互之间，为谋求特定供应商中标、成交或者排斥其他供应商的其他串通行为。</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5.9.8不同投标人的投标文件由同一单位或者个人编制；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5.9.9不同投标人委托同一单位或者个人办理投标事宜；</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5.9.10不同投标人的投标文件载明的项目管理成员或者联系人员为同一人；</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5.9.11不同投标人的投标文件异常一致或者投标报价呈规律性差异；</w:t>
      </w:r>
    </w:p>
    <w:p>
      <w:pPr>
        <w:pStyle w:val="75"/>
        <w:snapToGrid w:val="0"/>
        <w:spacing w:line="300" w:lineRule="auto"/>
        <w:ind w:firstLine="420"/>
        <w:rPr>
          <w:rFonts w:cs="Arial"/>
          <w:color w:val="auto"/>
          <w:highlight w:val="none"/>
        </w:rPr>
      </w:pPr>
      <w:r>
        <w:rPr>
          <w:rFonts w:cs="Arial"/>
          <w:color w:val="auto"/>
          <w:szCs w:val="21"/>
          <w:highlight w:val="none"/>
        </w:rPr>
        <w:t>5.9.12不同投标人的投标文件相互混装；</w:t>
      </w:r>
    </w:p>
    <w:p>
      <w:pPr>
        <w:pStyle w:val="5"/>
        <w:snapToGrid w:val="0"/>
        <w:ind w:firstLine="422"/>
        <w:rPr>
          <w:rFonts w:cs="Arial"/>
          <w:color w:val="auto"/>
          <w:szCs w:val="21"/>
          <w:highlight w:val="none"/>
        </w:rPr>
      </w:pPr>
      <w:bookmarkStart w:id="54" w:name="_Toc497919868"/>
      <w:r>
        <w:rPr>
          <w:rFonts w:cs="Arial"/>
          <w:color w:val="auto"/>
          <w:szCs w:val="21"/>
          <w:highlight w:val="none"/>
        </w:rPr>
        <w:t>5.10 评标</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5.10.1 本项目原则上采用电子评审方法。</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5.10.2采购人将按相关规定组织评标委员会，对投标文件进行审查、比较和评价。</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5.10.3 评标办法</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评标办法详见“第三部分评标办法”。</w:t>
      </w:r>
    </w:p>
    <w:p>
      <w:pPr>
        <w:pStyle w:val="5"/>
        <w:snapToGrid w:val="0"/>
        <w:ind w:firstLine="422"/>
        <w:rPr>
          <w:rFonts w:cs="Arial"/>
          <w:color w:val="auto"/>
          <w:szCs w:val="21"/>
          <w:highlight w:val="none"/>
        </w:rPr>
      </w:pPr>
      <w:r>
        <w:rPr>
          <w:rFonts w:cs="Arial"/>
          <w:color w:val="auto"/>
          <w:szCs w:val="21"/>
          <w:highlight w:val="none"/>
        </w:rPr>
        <w:t>5.11 有效投标人少于三家的情况处理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评审期间，出现符合资格条件的投标人或者对招标文件做出实质响应的投标人不足三家，采购人可选择以下方式之一处理：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1）可将本标段作废标处理，重新组织采购；</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2）可按</w:t>
      </w:r>
      <w:r>
        <w:rPr>
          <w:rFonts w:cs="Arial"/>
          <w:color w:val="auto"/>
          <w:kern w:val="0"/>
          <w:szCs w:val="21"/>
          <w:highlight w:val="none"/>
        </w:rPr>
        <w:t>同级政府采购监督管理部门</w:t>
      </w:r>
      <w:r>
        <w:rPr>
          <w:rFonts w:cs="Arial"/>
          <w:color w:val="auto"/>
          <w:szCs w:val="21"/>
          <w:highlight w:val="none"/>
        </w:rPr>
        <w:t>的审批意见采用其他采购方式组织采购；</w:t>
      </w:r>
    </w:p>
    <w:p>
      <w:pPr>
        <w:pStyle w:val="5"/>
        <w:snapToGrid w:val="0"/>
        <w:ind w:firstLine="422"/>
        <w:rPr>
          <w:rFonts w:cs="Arial"/>
          <w:color w:val="auto"/>
          <w:szCs w:val="21"/>
          <w:highlight w:val="none"/>
        </w:rPr>
      </w:pPr>
      <w:r>
        <w:rPr>
          <w:rFonts w:cs="Arial"/>
          <w:color w:val="auto"/>
          <w:szCs w:val="21"/>
          <w:highlight w:val="none"/>
        </w:rPr>
        <w:t>5.12 废标</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在招标采购中，出现下列情形之一的，应予废标：</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（1）符合招标文件规定废标情形的；</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（2）出现影响采购公正的违法、违规行为的；</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（3）投标人的报价均超过了采购预算，采购人不能支付的；</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（4）因重大变故，采购任务取消的；</w:t>
      </w:r>
    </w:p>
    <w:p>
      <w:pPr>
        <w:pStyle w:val="5"/>
        <w:snapToGrid w:val="0"/>
        <w:ind w:firstLine="422"/>
        <w:rPr>
          <w:rFonts w:cs="Arial"/>
          <w:color w:val="auto"/>
          <w:szCs w:val="21"/>
          <w:highlight w:val="none"/>
        </w:rPr>
      </w:pPr>
      <w:r>
        <w:rPr>
          <w:rFonts w:hint="eastAsia" w:cs="Arial"/>
          <w:color w:val="auto"/>
          <w:szCs w:val="21"/>
          <w:highlight w:val="none"/>
        </w:rPr>
        <w:t>5</w:t>
      </w:r>
      <w:r>
        <w:rPr>
          <w:rFonts w:cs="Arial"/>
          <w:color w:val="auto"/>
          <w:szCs w:val="21"/>
          <w:highlight w:val="none"/>
        </w:rPr>
        <w:t>.</w:t>
      </w:r>
      <w:r>
        <w:rPr>
          <w:rFonts w:hint="eastAsia" w:cs="Arial"/>
          <w:color w:val="auto"/>
          <w:szCs w:val="21"/>
          <w:highlight w:val="none"/>
        </w:rPr>
        <w:t>13可中止电子交易活动的情形</w:t>
      </w:r>
    </w:p>
    <w:p>
      <w:pPr>
        <w:pStyle w:val="75"/>
        <w:spacing w:line="360" w:lineRule="auto"/>
        <w:ind w:firstLine="420"/>
        <w:rPr>
          <w:rFonts w:ascii="宋体" w:hAnsi="宋体" w:cs="Arial"/>
          <w:color w:val="auto"/>
          <w:highlight w:val="none"/>
        </w:rPr>
      </w:pPr>
      <w:r>
        <w:rPr>
          <w:rFonts w:hint="eastAsia" w:ascii="宋体" w:hAnsi="宋体" w:cs="Arial"/>
          <w:color w:val="auto"/>
          <w:highlight w:val="none"/>
        </w:rPr>
        <w:t>采购过程中出现以下情形，导致电子交易平台无法正常运行，或者无法保证电子交易的公平、公正和安全时，采购组织机构可中止电子交易活动：</w:t>
      </w:r>
    </w:p>
    <w:p>
      <w:pPr>
        <w:pStyle w:val="75"/>
        <w:spacing w:line="360" w:lineRule="auto"/>
        <w:ind w:firstLine="420"/>
        <w:rPr>
          <w:rFonts w:ascii="宋体" w:hAnsi="宋体" w:cs="Arial"/>
          <w:color w:val="auto"/>
          <w:highlight w:val="none"/>
        </w:rPr>
      </w:pPr>
      <w:r>
        <w:rPr>
          <w:rFonts w:hint="eastAsia" w:ascii="宋体" w:hAnsi="宋体" w:cs="Arial"/>
          <w:color w:val="auto"/>
          <w:highlight w:val="none"/>
        </w:rPr>
        <w:t>1)电子交易平台发生故障而无法登录访问的；</w:t>
      </w:r>
    </w:p>
    <w:p>
      <w:pPr>
        <w:pStyle w:val="75"/>
        <w:spacing w:line="360" w:lineRule="auto"/>
        <w:ind w:firstLine="420"/>
        <w:rPr>
          <w:rFonts w:ascii="宋体" w:hAnsi="宋体" w:cs="Arial"/>
          <w:color w:val="auto"/>
          <w:highlight w:val="none"/>
        </w:rPr>
      </w:pPr>
      <w:r>
        <w:rPr>
          <w:rFonts w:hint="eastAsia" w:ascii="宋体" w:hAnsi="宋体" w:cs="Arial"/>
          <w:color w:val="auto"/>
          <w:highlight w:val="none"/>
        </w:rPr>
        <w:t>2)电子交易平台应用或数据库出现错误，不能进行正常操作的；</w:t>
      </w:r>
    </w:p>
    <w:p>
      <w:pPr>
        <w:pStyle w:val="75"/>
        <w:spacing w:line="360" w:lineRule="auto"/>
        <w:ind w:firstLine="420"/>
        <w:rPr>
          <w:rFonts w:ascii="宋体" w:hAnsi="宋体" w:cs="Arial"/>
          <w:color w:val="auto"/>
          <w:highlight w:val="none"/>
        </w:rPr>
      </w:pPr>
      <w:r>
        <w:rPr>
          <w:rFonts w:hint="eastAsia" w:ascii="宋体" w:hAnsi="宋体" w:cs="Arial"/>
          <w:color w:val="auto"/>
          <w:highlight w:val="none"/>
        </w:rPr>
        <w:t>3)电子交易平台发现严重安全漏洞，有潜在泄密危险的；</w:t>
      </w:r>
    </w:p>
    <w:p>
      <w:pPr>
        <w:pStyle w:val="75"/>
        <w:spacing w:line="360" w:lineRule="auto"/>
        <w:ind w:firstLine="420"/>
        <w:rPr>
          <w:rFonts w:ascii="宋体" w:hAnsi="宋体" w:cs="Arial"/>
          <w:color w:val="auto"/>
          <w:highlight w:val="none"/>
        </w:rPr>
      </w:pPr>
      <w:r>
        <w:rPr>
          <w:rFonts w:hint="eastAsia" w:ascii="宋体" w:hAnsi="宋体" w:cs="Arial"/>
          <w:color w:val="auto"/>
          <w:highlight w:val="none"/>
        </w:rPr>
        <w:t>4)病毒发作导致不能进行正常操作的；</w:t>
      </w:r>
    </w:p>
    <w:p>
      <w:pPr>
        <w:pStyle w:val="75"/>
        <w:spacing w:line="360" w:lineRule="auto"/>
        <w:ind w:firstLine="420"/>
        <w:rPr>
          <w:rFonts w:ascii="宋体" w:hAnsi="宋体" w:cs="Arial"/>
          <w:color w:val="auto"/>
          <w:highlight w:val="none"/>
        </w:rPr>
      </w:pPr>
      <w:r>
        <w:rPr>
          <w:rFonts w:hint="eastAsia" w:ascii="宋体" w:hAnsi="宋体" w:cs="Arial"/>
          <w:color w:val="auto"/>
          <w:highlight w:val="none"/>
        </w:rPr>
        <w:t>5)其他无法保证电子交易的公平、公正和安全的情况。</w:t>
      </w:r>
    </w:p>
    <w:p>
      <w:pPr>
        <w:pStyle w:val="75"/>
        <w:spacing w:line="360" w:lineRule="auto"/>
        <w:ind w:firstLine="420"/>
        <w:rPr>
          <w:rFonts w:ascii="宋体" w:hAnsi="宋体" w:cs="Arial"/>
          <w:color w:val="auto"/>
          <w:highlight w:val="none"/>
        </w:rPr>
      </w:pPr>
      <w:r>
        <w:rPr>
          <w:rFonts w:hint="eastAsia" w:ascii="宋体" w:hAnsi="宋体" w:cs="Arial"/>
          <w:color w:val="auto"/>
          <w:highlight w:val="none"/>
        </w:rPr>
        <w:t>出现前款规定情形，不影响采购公平、公正性的，采购组织机构可以待上述情形消除后继续组织电子交易活动；影响或可能影响采购公平、公正性的，应当重新采购。</w:t>
      </w:r>
    </w:p>
    <w:bookmarkEnd w:id="54"/>
    <w:p>
      <w:pPr>
        <w:pStyle w:val="5"/>
        <w:snapToGrid w:val="0"/>
        <w:ind w:firstLine="422"/>
        <w:rPr>
          <w:rFonts w:cs="Arial"/>
          <w:color w:val="auto"/>
          <w:szCs w:val="21"/>
          <w:highlight w:val="none"/>
        </w:rPr>
      </w:pPr>
      <w:r>
        <w:rPr>
          <w:rFonts w:cs="Arial"/>
          <w:color w:val="auto"/>
          <w:szCs w:val="21"/>
          <w:highlight w:val="none"/>
        </w:rPr>
        <w:t>5.1</w:t>
      </w:r>
      <w:r>
        <w:rPr>
          <w:rFonts w:hint="eastAsia" w:cs="Arial"/>
          <w:color w:val="auto"/>
          <w:szCs w:val="21"/>
          <w:highlight w:val="none"/>
        </w:rPr>
        <w:t>4</w:t>
      </w:r>
      <w:r>
        <w:rPr>
          <w:rFonts w:cs="Arial"/>
          <w:color w:val="auto"/>
          <w:szCs w:val="21"/>
          <w:highlight w:val="none"/>
        </w:rPr>
        <w:t xml:space="preserve"> 确定采购结果</w:t>
      </w:r>
    </w:p>
    <w:p>
      <w:pPr>
        <w:autoSpaceDE w:val="0"/>
        <w:autoSpaceDN w:val="0"/>
        <w:adjustRightInd w:val="0"/>
        <w:snapToGrid w:val="0"/>
        <w:spacing w:line="300" w:lineRule="auto"/>
        <w:ind w:firstLine="420" w:firstLineChars="200"/>
        <w:textAlignment w:val="bottom"/>
        <w:rPr>
          <w:rFonts w:ascii="Arial" w:hAnsi="Arial" w:cs="Arial"/>
          <w:color w:val="auto"/>
          <w:szCs w:val="21"/>
          <w:highlight w:val="none"/>
        </w:rPr>
      </w:pPr>
      <w:r>
        <w:rPr>
          <w:rFonts w:ascii="Arial" w:hAnsi="Arial" w:cs="Arial"/>
          <w:color w:val="auto"/>
          <w:szCs w:val="21"/>
          <w:highlight w:val="none"/>
        </w:rPr>
        <w:t>采购人将根据评标委员会提交的评标报告及推荐的中标候选人，确定第一中标候选人为中标人，如排序并列，按技术服务水平得分高者为中标人，如技术服务水平得分相同，按履约能力得分高者为中标人。</w:t>
      </w:r>
    </w:p>
    <w:p>
      <w:pPr>
        <w:pStyle w:val="5"/>
        <w:snapToGrid w:val="0"/>
        <w:ind w:firstLine="422"/>
        <w:rPr>
          <w:rFonts w:cs="Arial"/>
          <w:color w:val="auto"/>
          <w:szCs w:val="21"/>
          <w:highlight w:val="none"/>
        </w:rPr>
      </w:pPr>
      <w:r>
        <w:rPr>
          <w:rFonts w:cs="Arial"/>
          <w:color w:val="auto"/>
          <w:szCs w:val="21"/>
          <w:highlight w:val="none"/>
        </w:rPr>
        <w:t>5.1</w:t>
      </w:r>
      <w:r>
        <w:rPr>
          <w:rFonts w:hint="eastAsia" w:cs="Arial"/>
          <w:color w:val="auto"/>
          <w:szCs w:val="21"/>
          <w:highlight w:val="none"/>
        </w:rPr>
        <w:t>5</w:t>
      </w:r>
      <w:r>
        <w:rPr>
          <w:rFonts w:cs="Arial"/>
          <w:color w:val="auto"/>
          <w:szCs w:val="21"/>
          <w:highlight w:val="none"/>
        </w:rPr>
        <w:t xml:space="preserve"> 结果公告</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在采购人确认采购结果后，采购代理机构按相关政府采购规定将中标结果发布在政府采购网上进行公告。采购人、采购代理机构及评标委员会对未中标的投标人不作落标原因解释。</w:t>
      </w:r>
    </w:p>
    <w:p>
      <w:pPr>
        <w:pStyle w:val="5"/>
        <w:snapToGrid w:val="0"/>
        <w:ind w:firstLine="422"/>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采购过程、采购结果质疑</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.1投标人认为采购过程、采购结果使自己的合法权益受到损害的，投标人可以提出书面质疑。</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.2质疑书须包括以下内容：</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（一）投标人的姓名或者名称、地址、邮编、联系人及联系电话；</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（二）质疑项目的名称、编号；</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（三）具体、明确的质疑事项和与质疑事项相关的请求；</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（四）事实依据；</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（五）必要的法律依据；</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（六）提出质疑的日期。</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.3采购过程的质疑期限自各采购程序环节结束之日起7个工作日内，投标人应在质疑期内一次性向采购代理机构提出针对采购过程的质疑，逾期提出不予受理。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采购结果的质疑期限自采购结果公告期限届满之日（自本公告发布之日起至第2个工作日止）之日起7个工作日内，投标人应在质疑期内一次性向采购代理机构提出针对采购过程的质疑，逾期提出不予受理。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.4质疑书中涉及的相关材料中有外文资料的，应当将与质疑相关的外文资料完整、客观、真实地翻译为中文，并注明翻译人员姓名、工作单位、联系方式等信息。</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.5投标人为自然人的，应当由本人签字；投标人为法人或者其他组织的，应当由法定代表人、主要负责人，或者其授权代表签字或者盖章，并加盖公章。否则不予受理。</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.6质疑书以直接提交、传真或邮寄方式提交（一式三份）。</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.7质疑书以传真形式提交后，同时须向采购代理机构提交质疑书原件，采购代理机构以收到原件之日作为收到质疑日。</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.8投标人不得捏造事实、提供虚假材料或者以非法手段取得证明材料进行质疑。</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6</w:t>
      </w:r>
      <w:r>
        <w:rPr>
          <w:rFonts w:cs="Arial"/>
          <w:color w:val="auto"/>
          <w:szCs w:val="21"/>
          <w:highlight w:val="none"/>
        </w:rPr>
        <w:t>.9如联合体投标，质疑应由组成联合体的所有供应商共同提出。</w:t>
      </w:r>
    </w:p>
    <w:p>
      <w:pPr>
        <w:pStyle w:val="5"/>
        <w:snapToGrid w:val="0"/>
        <w:ind w:firstLine="422"/>
        <w:rPr>
          <w:rFonts w:cs="Arial"/>
          <w:color w:val="auto"/>
          <w:szCs w:val="21"/>
          <w:highlight w:val="none"/>
        </w:rPr>
      </w:pPr>
      <w:r>
        <w:rPr>
          <w:rFonts w:cs="Arial"/>
          <w:color w:val="auto"/>
          <w:szCs w:val="21"/>
          <w:highlight w:val="none"/>
        </w:rPr>
        <w:t>5.1</w:t>
      </w:r>
      <w:r>
        <w:rPr>
          <w:rFonts w:hint="eastAsia" w:cs="Arial"/>
          <w:color w:val="auto"/>
          <w:szCs w:val="21"/>
          <w:highlight w:val="none"/>
        </w:rPr>
        <w:t>7</w:t>
      </w:r>
      <w:r>
        <w:rPr>
          <w:rFonts w:cs="Arial"/>
          <w:color w:val="auto"/>
          <w:szCs w:val="21"/>
          <w:highlight w:val="none"/>
        </w:rPr>
        <w:t xml:space="preserve"> 发出中标通知书</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7</w:t>
      </w:r>
      <w:r>
        <w:rPr>
          <w:rFonts w:cs="Arial"/>
          <w:color w:val="auto"/>
          <w:szCs w:val="21"/>
          <w:highlight w:val="none"/>
        </w:rPr>
        <w:t>.1采购人及采购代理机构将以书面形式向中标人发出中标通知书。中标通知书发出后，采购人不得违法改变中标结果，中标人无正当理由不得放弃中标。</w:t>
      </w:r>
    </w:p>
    <w:p>
      <w:pPr>
        <w:pStyle w:val="5"/>
        <w:snapToGrid w:val="0"/>
        <w:ind w:firstLine="422"/>
        <w:rPr>
          <w:rFonts w:cs="Arial"/>
          <w:color w:val="auto"/>
          <w:szCs w:val="21"/>
          <w:highlight w:val="none"/>
        </w:rPr>
      </w:pPr>
      <w:r>
        <w:rPr>
          <w:rFonts w:cs="Arial"/>
          <w:color w:val="auto"/>
          <w:szCs w:val="21"/>
          <w:highlight w:val="none"/>
        </w:rPr>
        <w:t>5.1</w:t>
      </w:r>
      <w:r>
        <w:rPr>
          <w:rFonts w:hint="eastAsia" w:cs="Arial"/>
          <w:color w:val="auto"/>
          <w:szCs w:val="21"/>
          <w:highlight w:val="none"/>
        </w:rPr>
        <w:t>8</w:t>
      </w:r>
      <w:r>
        <w:rPr>
          <w:rFonts w:cs="Arial"/>
          <w:color w:val="auto"/>
          <w:szCs w:val="21"/>
          <w:highlight w:val="none"/>
        </w:rPr>
        <w:t>签订合同</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8</w:t>
      </w:r>
      <w:r>
        <w:rPr>
          <w:rFonts w:cs="Arial"/>
          <w:color w:val="auto"/>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8</w:t>
      </w:r>
      <w:r>
        <w:rPr>
          <w:rFonts w:cs="Arial"/>
          <w:color w:val="auto"/>
          <w:szCs w:val="21"/>
          <w:highlight w:val="none"/>
        </w:rPr>
        <w:t>.2招标文件及补充文件、中标人的投标文件及投标修改文件、评标过程中有关澄清文件和中标通知书均作为合同附件。</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5.1</w:t>
      </w:r>
      <w:r>
        <w:rPr>
          <w:rFonts w:hint="eastAsia" w:cs="Arial"/>
          <w:color w:val="auto"/>
          <w:szCs w:val="21"/>
          <w:highlight w:val="none"/>
        </w:rPr>
        <w:t>8</w:t>
      </w:r>
      <w:r>
        <w:rPr>
          <w:rFonts w:cs="Arial"/>
          <w:color w:val="auto"/>
          <w:szCs w:val="21"/>
          <w:highlight w:val="none"/>
        </w:rPr>
        <w:t>.3拒签合同的责任</w:t>
      </w:r>
    </w:p>
    <w:p>
      <w:pPr>
        <w:pStyle w:val="75"/>
        <w:adjustRightInd w:val="0"/>
        <w:snapToGrid w:val="0"/>
        <w:spacing w:line="300" w:lineRule="auto"/>
        <w:ind w:firstLine="420"/>
        <w:rPr>
          <w:rFonts w:cs="Arial"/>
          <w:color w:val="auto"/>
          <w:szCs w:val="21"/>
          <w:highlight w:val="none"/>
        </w:rPr>
      </w:pPr>
      <w:r>
        <w:rPr>
          <w:rFonts w:cs="Arial"/>
          <w:color w:val="auto"/>
          <w:szCs w:val="21"/>
          <w:highlight w:val="none"/>
        </w:rPr>
        <w:t>中标人接到中标通知书后，在规定时间内借故否认已经承诺的条件而拒签合同者，以投标违约处理，赔偿采购人由此造成的直接经济损失。采购人将向同级政府采购监督管理部门进行报告。</w:t>
      </w:r>
    </w:p>
    <w:p>
      <w:pPr>
        <w:pStyle w:val="5"/>
        <w:snapToGrid w:val="0"/>
        <w:ind w:firstLine="422"/>
        <w:rPr>
          <w:rFonts w:cs="Arial"/>
          <w:color w:val="auto"/>
          <w:szCs w:val="21"/>
          <w:highlight w:val="none"/>
        </w:rPr>
      </w:pPr>
      <w:r>
        <w:rPr>
          <w:rFonts w:cs="Arial"/>
          <w:color w:val="auto"/>
          <w:szCs w:val="21"/>
          <w:highlight w:val="none"/>
        </w:rPr>
        <w:t>5.1</w:t>
      </w:r>
      <w:r>
        <w:rPr>
          <w:rFonts w:hint="eastAsia" w:cs="Arial"/>
          <w:color w:val="auto"/>
          <w:szCs w:val="21"/>
          <w:highlight w:val="none"/>
        </w:rPr>
        <w:t>9</w:t>
      </w:r>
      <w:r>
        <w:rPr>
          <w:rFonts w:cs="Arial"/>
          <w:color w:val="auto"/>
          <w:szCs w:val="21"/>
          <w:highlight w:val="none"/>
        </w:rPr>
        <w:t>采购代理服务费</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本次采购代理服务费按“投标人须知前附表”规定收取。</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中标人不按招标文件规定交纳采购代理服务费，将取消其中标资格。中标人应向采购代理机构交纳招标文件规定的采购代理服务费作为赔偿。</w:t>
      </w:r>
    </w:p>
    <w:p>
      <w:pPr>
        <w:pStyle w:val="4"/>
        <w:spacing w:beforeLines="0"/>
        <w:ind w:firstLine="422"/>
        <w:rPr>
          <w:rFonts w:cs="Arial"/>
          <w:color w:val="auto"/>
          <w:highlight w:val="none"/>
          <w:lang w:val="en-US"/>
        </w:rPr>
      </w:pPr>
      <w:r>
        <w:rPr>
          <w:rFonts w:cs="Arial"/>
          <w:color w:val="auto"/>
          <w:highlight w:val="none"/>
          <w:lang w:val="en-US"/>
        </w:rPr>
        <w:t>六、其他</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6.1采购过程中出现以下情形，导致电子交易平台无法正常运行，或者无法保证电子交易的公平、公正和安全时，采购组织机构将中止电子交易活动：</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（一）电子交易平台发生故障而无法登录访问的；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（二）电子交易平台应用或数据库出现错误，不能进行正常操作的；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（三）电子交易平台发现严重安全漏洞，有潜在泄密危险的；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（四）病毒发作导致不能进行正常操作的；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（五）其他无法保证电子交易的公平、公正和安全的情况。</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出现前款规定情形，不影响采购公平、公正性的，采购组织机构将待上述情形消除后继续组织电子交易活动，也可以决定某些环节以纸质形式进行；影响或可能影响采购公平、公正性的，将重新采购。</w:t>
      </w:r>
    </w:p>
    <w:p>
      <w:pPr>
        <w:pStyle w:val="2"/>
        <w:ind w:firstLine="420"/>
        <w:rPr>
          <w:color w:val="auto"/>
          <w:highlight w:val="none"/>
          <w:lang w:val="en-US"/>
        </w:rPr>
      </w:pPr>
    </w:p>
    <w:p>
      <w:pPr>
        <w:pStyle w:val="3"/>
        <w:spacing w:before="120"/>
        <w:rPr>
          <w:rFonts w:ascii="Arial" w:hAnsi="Arial" w:cs="Arial"/>
          <w:color w:val="auto"/>
          <w:highlight w:val="none"/>
        </w:rPr>
      </w:pPr>
      <w:r>
        <w:rPr>
          <w:rFonts w:ascii="Arial" w:hAnsi="Arial" w:cs="Arial"/>
          <w:color w:val="auto"/>
          <w:highlight w:val="none"/>
        </w:rPr>
        <w:br w:type="page"/>
      </w:r>
      <w:bookmarkStart w:id="55" w:name="_Toc16869"/>
      <w:bookmarkStart w:id="56" w:name="_Toc497919874"/>
      <w:r>
        <w:rPr>
          <w:rFonts w:ascii="Arial" w:hAnsi="Arial" w:cs="Arial"/>
          <w:color w:val="auto"/>
          <w:highlight w:val="none"/>
        </w:rPr>
        <w:t>第三部分</w:t>
      </w:r>
      <w:r>
        <w:rPr>
          <w:rFonts w:hint="eastAsia" w:ascii="Arial" w:hAnsi="Arial" w:cs="Arial"/>
          <w:color w:val="auto"/>
          <w:highlight w:val="none"/>
        </w:rPr>
        <w:t xml:space="preserve"> </w:t>
      </w:r>
      <w:r>
        <w:rPr>
          <w:rFonts w:ascii="Arial" w:hAnsi="Arial" w:cs="Arial"/>
          <w:color w:val="auto"/>
          <w:highlight w:val="none"/>
        </w:rPr>
        <w:t>评标办法</w:t>
      </w:r>
      <w:bookmarkEnd w:id="55"/>
      <w:bookmarkEnd w:id="56"/>
      <w:r>
        <w:rPr>
          <w:rFonts w:hint="eastAsia" w:ascii="Arial" w:hAnsi="Arial" w:cs="Arial"/>
          <w:color w:val="auto"/>
          <w:highlight w:val="none"/>
        </w:rPr>
        <w:t>（同时适用标段一、标段二）</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本评标办法遵照《中华人民共和国政府采购法》等政府采购有关规定，并结合本项目的具体情况制定。</w:t>
      </w:r>
    </w:p>
    <w:p>
      <w:pPr>
        <w:pStyle w:val="4"/>
        <w:spacing w:before="120"/>
        <w:ind w:firstLine="422"/>
        <w:rPr>
          <w:rFonts w:cs="Arial"/>
          <w:color w:val="auto"/>
          <w:highlight w:val="none"/>
        </w:rPr>
      </w:pPr>
      <w:r>
        <w:rPr>
          <w:rFonts w:cs="Arial"/>
          <w:color w:val="auto"/>
          <w:highlight w:val="none"/>
        </w:rPr>
        <w:t>一、总则</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对未中标人，评标委员会不作任何落标解释。</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4"/>
        <w:spacing w:before="120"/>
        <w:ind w:firstLine="422"/>
        <w:rPr>
          <w:rFonts w:cs="Arial"/>
          <w:color w:val="auto"/>
          <w:highlight w:val="none"/>
        </w:rPr>
      </w:pPr>
      <w:r>
        <w:rPr>
          <w:rFonts w:cs="Arial"/>
          <w:color w:val="auto"/>
          <w:highlight w:val="none"/>
        </w:rPr>
        <w:t>二、评标组织</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评标工作由招标采购单位依法组建的评标委员会负责。评标委员会负责审标、询标、评审等工作，并向采购人提出评审意见和评标报告。</w:t>
      </w:r>
    </w:p>
    <w:p>
      <w:pPr>
        <w:pStyle w:val="4"/>
        <w:spacing w:before="120"/>
        <w:ind w:firstLine="422"/>
        <w:rPr>
          <w:rFonts w:cs="Arial"/>
          <w:color w:val="auto"/>
          <w:highlight w:val="none"/>
        </w:rPr>
      </w:pPr>
      <w:r>
        <w:rPr>
          <w:rFonts w:cs="Arial"/>
          <w:color w:val="auto"/>
          <w:highlight w:val="none"/>
        </w:rPr>
        <w:t>三、符合性审查</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评标委员会对投标文件依据招标文件规定进行符合性审查。符合性审查条件详见《第二部分编制和提交投标文件须知》</w:t>
      </w:r>
    </w:p>
    <w:p>
      <w:pPr>
        <w:pStyle w:val="4"/>
        <w:spacing w:before="120"/>
        <w:ind w:firstLine="422"/>
        <w:rPr>
          <w:rFonts w:cs="Arial"/>
          <w:color w:val="auto"/>
          <w:highlight w:val="none"/>
        </w:rPr>
      </w:pPr>
      <w:r>
        <w:rPr>
          <w:rFonts w:cs="Arial"/>
          <w:color w:val="auto"/>
          <w:highlight w:val="none"/>
        </w:rPr>
        <w:t>四、投标文件的澄清、说明或者补正</w:t>
      </w:r>
    </w:p>
    <w:p>
      <w:pPr>
        <w:autoSpaceDE w:val="0"/>
        <w:autoSpaceDN w:val="0"/>
        <w:adjustRightInd w:val="0"/>
        <w:snapToGrid w:val="0"/>
        <w:spacing w:line="300" w:lineRule="auto"/>
        <w:ind w:firstLine="420" w:firstLineChars="200"/>
        <w:textAlignment w:val="bottom"/>
        <w:rPr>
          <w:rFonts w:ascii="Arial" w:hAnsi="Arial" w:cs="Arial"/>
          <w:color w:val="auto"/>
          <w:highlight w:val="none"/>
        </w:rPr>
      </w:pPr>
      <w:r>
        <w:rPr>
          <w:rFonts w:ascii="Arial" w:hAnsi="Arial" w:cs="Arial"/>
          <w:color w:val="auto"/>
          <w:highlight w:val="none"/>
        </w:rPr>
        <w:t>投标人根据评标委员会要求对投标文件进行澄清、说明或者补正。评标期间，投标人应随时随地答复评标委员会的询标。</w:t>
      </w:r>
      <w:r>
        <w:rPr>
          <w:rFonts w:ascii="Arial" w:hAnsi="Arial" w:cs="Arial"/>
          <w:color w:val="auto"/>
          <w:szCs w:val="21"/>
          <w:highlight w:val="none"/>
        </w:rPr>
        <w:t>程序要求</w:t>
      </w:r>
      <w:r>
        <w:rPr>
          <w:rFonts w:ascii="Arial" w:hAnsi="Arial" w:cs="Arial"/>
          <w:color w:val="auto"/>
          <w:highlight w:val="none"/>
        </w:rPr>
        <w:t>详见《第二部分编制和提交投标文件须知》</w:t>
      </w:r>
    </w:p>
    <w:p>
      <w:pPr>
        <w:pStyle w:val="4"/>
        <w:spacing w:before="120"/>
        <w:ind w:firstLine="422"/>
        <w:rPr>
          <w:rFonts w:cs="Arial"/>
          <w:color w:val="auto"/>
          <w:highlight w:val="none"/>
        </w:rPr>
      </w:pPr>
      <w:r>
        <w:rPr>
          <w:rFonts w:cs="Arial"/>
          <w:color w:val="auto"/>
          <w:highlight w:val="none"/>
        </w:rPr>
        <w:t>五、评标细则</w:t>
      </w:r>
    </w:p>
    <w:p>
      <w:pPr>
        <w:pStyle w:val="26"/>
        <w:snapToGrid w:val="0"/>
        <w:spacing w:line="300" w:lineRule="auto"/>
        <w:ind w:firstLine="420" w:firstLineChars="200"/>
        <w:rPr>
          <w:rFonts w:ascii="Arial" w:hAnsi="Arial" w:cs="Arial"/>
          <w:color w:val="auto"/>
          <w:sz w:val="21"/>
          <w:szCs w:val="21"/>
          <w:highlight w:val="none"/>
        </w:rPr>
      </w:pPr>
      <w:r>
        <w:rPr>
          <w:rFonts w:ascii="Arial" w:hAnsi="Arial" w:cs="Arial"/>
          <w:color w:val="auto"/>
          <w:sz w:val="21"/>
          <w:szCs w:val="21"/>
          <w:highlight w:val="none"/>
        </w:rPr>
        <w:t>1. 本项目采用综合评分法（总分100分），评标委员会根据本评标办法进行评审，对符合性审查合格的投标文件进行商务和技术评估，综合比较与评价。每个投标人最终得分=价格分+商务技术分。</w:t>
      </w:r>
    </w:p>
    <w:p>
      <w:pPr>
        <w:pStyle w:val="26"/>
        <w:snapToGrid w:val="0"/>
        <w:spacing w:line="300" w:lineRule="auto"/>
        <w:ind w:firstLine="420" w:firstLineChars="200"/>
        <w:rPr>
          <w:rFonts w:ascii="Arial" w:hAnsi="Arial" w:cs="Arial"/>
          <w:color w:val="auto"/>
          <w:sz w:val="21"/>
          <w:szCs w:val="21"/>
          <w:highlight w:val="none"/>
        </w:rPr>
      </w:pPr>
      <w:r>
        <w:rPr>
          <w:rFonts w:ascii="Arial" w:hAnsi="Arial" w:cs="Arial"/>
          <w:color w:val="auto"/>
          <w:sz w:val="21"/>
          <w:szCs w:val="21"/>
          <w:highlight w:val="none"/>
        </w:rPr>
        <w:t>2. 评审时，评标委员会各成员应当独立对每个有效响应的文件进行评价、打分，然后汇总每个投标人每项评分因素的得分。</w:t>
      </w:r>
    </w:p>
    <w:p>
      <w:pPr>
        <w:pStyle w:val="26"/>
        <w:snapToGrid w:val="0"/>
        <w:spacing w:line="300" w:lineRule="auto"/>
        <w:ind w:firstLine="420" w:firstLineChars="200"/>
        <w:rPr>
          <w:rFonts w:ascii="Arial" w:hAnsi="Arial" w:cs="Arial"/>
          <w:color w:val="auto"/>
          <w:sz w:val="21"/>
          <w:szCs w:val="21"/>
          <w:highlight w:val="none"/>
        </w:rPr>
      </w:pPr>
      <w:r>
        <w:rPr>
          <w:rFonts w:ascii="Arial" w:hAnsi="Arial" w:cs="Arial"/>
          <w:color w:val="auto"/>
          <w:sz w:val="21"/>
          <w:szCs w:val="21"/>
          <w:highlight w:val="none"/>
        </w:rPr>
        <w:t>3. 对投标人的价格分等客观评分项的评分应当一致，对其他需要借助专业知识评判的主观评分项，应当严格按照评分细则公正评分。</w:t>
      </w:r>
    </w:p>
    <w:p>
      <w:pPr>
        <w:pStyle w:val="26"/>
        <w:snapToGrid w:val="0"/>
        <w:spacing w:line="300" w:lineRule="auto"/>
        <w:ind w:firstLine="420" w:firstLineChars="200"/>
        <w:rPr>
          <w:rFonts w:ascii="Arial" w:hAnsi="Arial" w:cs="Arial"/>
          <w:color w:val="auto"/>
          <w:sz w:val="21"/>
          <w:szCs w:val="21"/>
          <w:highlight w:val="none"/>
        </w:rPr>
      </w:pPr>
      <w:r>
        <w:rPr>
          <w:rFonts w:ascii="Arial" w:hAnsi="Arial" w:cs="Arial"/>
          <w:color w:val="auto"/>
          <w:sz w:val="21"/>
          <w:szCs w:val="21"/>
          <w:highlight w:val="none"/>
        </w:rPr>
        <w:t>4. 评标结果按评审后得分由高到低顺序排列，得分相同的按投标报价由低到高顺序排列，得分且投标报价相同的并列，并编写评标报告。</w:t>
      </w:r>
    </w:p>
    <w:p>
      <w:pPr>
        <w:pStyle w:val="26"/>
        <w:snapToGrid w:val="0"/>
        <w:spacing w:line="300" w:lineRule="auto"/>
        <w:ind w:firstLine="420" w:firstLineChars="200"/>
        <w:rPr>
          <w:rFonts w:ascii="Arial" w:hAnsi="Arial" w:cs="Arial"/>
          <w:color w:val="auto"/>
          <w:sz w:val="21"/>
          <w:szCs w:val="21"/>
          <w:highlight w:val="none"/>
        </w:rPr>
      </w:pPr>
      <w:r>
        <w:rPr>
          <w:rFonts w:ascii="Arial" w:hAnsi="Arial" w:cs="Arial"/>
          <w:color w:val="auto"/>
          <w:sz w:val="21"/>
          <w:szCs w:val="21"/>
          <w:highlight w:val="none"/>
        </w:rPr>
        <w:t>5. 评分因素及分值范围</w:t>
      </w:r>
    </w:p>
    <w:p>
      <w:pPr>
        <w:pStyle w:val="36"/>
        <w:adjustRightInd w:val="0"/>
        <w:snapToGrid w:val="0"/>
        <w:spacing w:line="300" w:lineRule="auto"/>
        <w:ind w:firstLine="315" w:firstLineChars="150"/>
        <w:jc w:val="left"/>
        <w:rPr>
          <w:rFonts w:ascii="宋体" w:hAnsi="宋体" w:cs="Arial"/>
          <w:color w:val="auto"/>
          <w:sz w:val="21"/>
          <w:szCs w:val="21"/>
          <w:highlight w:val="none"/>
        </w:rPr>
      </w:pPr>
      <w:bookmarkStart w:id="57" w:name="_Toc345320402"/>
      <w:r>
        <w:rPr>
          <w:rFonts w:ascii="宋体" w:hAnsi="宋体" w:cs="Arial"/>
          <w:color w:val="auto"/>
          <w:sz w:val="21"/>
          <w:szCs w:val="21"/>
          <w:highlight w:val="none"/>
        </w:rPr>
        <w:t xml:space="preserve">5.1 </w:t>
      </w:r>
      <w:bookmarkEnd w:id="57"/>
      <w:r>
        <w:rPr>
          <w:rFonts w:ascii="宋体" w:hAnsi="宋体" w:cs="Arial"/>
          <w:color w:val="auto"/>
          <w:sz w:val="21"/>
          <w:szCs w:val="21"/>
          <w:highlight w:val="none"/>
        </w:rPr>
        <w:t>资信分</w:t>
      </w:r>
      <w:r>
        <w:rPr>
          <w:rFonts w:hint="eastAsia" w:ascii="宋体" w:hAnsi="宋体" w:cs="Arial"/>
          <w:color w:val="auto"/>
          <w:sz w:val="21"/>
          <w:szCs w:val="21"/>
          <w:highlight w:val="none"/>
        </w:rPr>
        <w:t xml:space="preserve">  30分</w:t>
      </w:r>
    </w:p>
    <w:p>
      <w:pPr>
        <w:snapToGrid w:val="0"/>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该评分分值由评标委员会根据评审情况在分值范围内统一打分（具体分值设定详见表格），小数点后保留一位小数。</w:t>
      </w:r>
    </w:p>
    <w:tbl>
      <w:tblPr>
        <w:tblStyle w:val="47"/>
        <w:tblW w:w="51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302"/>
        <w:gridCol w:w="666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33" w:type="pct"/>
            <w:vAlign w:val="center"/>
          </w:tcPr>
          <w:p>
            <w:pPr>
              <w:pStyle w:val="23"/>
              <w:adjustRightInd w:val="0"/>
              <w:snapToGrid w:val="0"/>
              <w:jc w:val="center"/>
              <w:rPr>
                <w:rFonts w:hAnsi="宋体" w:cs="Arial"/>
                <w:b/>
                <w:color w:val="auto"/>
                <w:szCs w:val="21"/>
                <w:highlight w:val="none"/>
              </w:rPr>
            </w:pPr>
            <w:r>
              <w:rPr>
                <w:rFonts w:hint="eastAsia" w:hAnsi="宋体" w:cs="Arial"/>
                <w:b/>
                <w:color w:val="auto"/>
                <w:szCs w:val="21"/>
                <w:highlight w:val="none"/>
              </w:rPr>
              <w:t>序号</w:t>
            </w:r>
          </w:p>
        </w:tc>
        <w:tc>
          <w:tcPr>
            <w:tcW w:w="673" w:type="pct"/>
            <w:vAlign w:val="center"/>
          </w:tcPr>
          <w:p>
            <w:pPr>
              <w:pStyle w:val="23"/>
              <w:adjustRightInd w:val="0"/>
              <w:snapToGrid w:val="0"/>
              <w:rPr>
                <w:rFonts w:hAnsi="宋体" w:cs="Arial"/>
                <w:b/>
                <w:color w:val="auto"/>
                <w:szCs w:val="21"/>
                <w:highlight w:val="none"/>
              </w:rPr>
            </w:pPr>
            <w:bookmarkStart w:id="58" w:name="OLE_LINK6"/>
            <w:r>
              <w:rPr>
                <w:rFonts w:hAnsi="宋体" w:cs="Arial"/>
                <w:b/>
                <w:color w:val="auto"/>
                <w:szCs w:val="21"/>
                <w:highlight w:val="none"/>
              </w:rPr>
              <w:t>评分因素</w:t>
            </w:r>
          </w:p>
        </w:tc>
        <w:tc>
          <w:tcPr>
            <w:tcW w:w="3446" w:type="pct"/>
            <w:vAlign w:val="center"/>
          </w:tcPr>
          <w:p>
            <w:pPr>
              <w:pStyle w:val="23"/>
              <w:adjustRightInd w:val="0"/>
              <w:snapToGrid w:val="0"/>
              <w:ind w:firstLine="280"/>
              <w:jc w:val="center"/>
              <w:rPr>
                <w:rFonts w:hAnsi="宋体"/>
                <w:color w:val="auto"/>
                <w:szCs w:val="21"/>
                <w:highlight w:val="none"/>
              </w:rPr>
            </w:pPr>
            <w:r>
              <w:rPr>
                <w:rFonts w:hAnsi="宋体" w:cs="Arial"/>
                <w:b/>
                <w:color w:val="auto"/>
                <w:szCs w:val="21"/>
                <w:highlight w:val="none"/>
              </w:rPr>
              <w:t>评分细则</w:t>
            </w:r>
          </w:p>
        </w:tc>
        <w:tc>
          <w:tcPr>
            <w:tcW w:w="448" w:type="pct"/>
            <w:vAlign w:val="center"/>
          </w:tcPr>
          <w:p>
            <w:pPr>
              <w:pStyle w:val="23"/>
              <w:adjustRightInd w:val="0"/>
              <w:snapToGrid w:val="0"/>
              <w:jc w:val="center"/>
              <w:rPr>
                <w:rFonts w:hAnsi="宋体" w:cs="Arial"/>
                <w:b/>
                <w:color w:val="auto"/>
                <w:szCs w:val="21"/>
                <w:highlight w:val="none"/>
              </w:rPr>
            </w:pPr>
            <w:r>
              <w:rPr>
                <w:rFonts w:hint="eastAsia" w:hAnsi="宋体" w:cs="Arial"/>
                <w:b/>
                <w:color w:val="auto"/>
                <w:szCs w:val="21"/>
                <w:highlight w:val="none"/>
              </w:rPr>
              <w:t>满分</w:t>
            </w:r>
          </w:p>
        </w:tc>
      </w:tr>
      <w:bookmarkEnd w:id="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33" w:type="pct"/>
            <w:vMerge w:val="restar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1</w:t>
            </w:r>
          </w:p>
        </w:tc>
        <w:tc>
          <w:tcPr>
            <w:tcW w:w="673" w:type="pct"/>
            <w:vMerge w:val="restart"/>
            <w:vAlign w:val="center"/>
          </w:tcPr>
          <w:p>
            <w:pPr>
              <w:pStyle w:val="23"/>
              <w:adjustRightInd w:val="0"/>
              <w:snapToGrid w:val="0"/>
              <w:jc w:val="center"/>
              <w:rPr>
                <w:rFonts w:hAnsi="宋体" w:cs="Arial"/>
                <w:color w:val="auto"/>
                <w:szCs w:val="21"/>
                <w:highlight w:val="none"/>
              </w:rPr>
            </w:pPr>
            <w:r>
              <w:rPr>
                <w:rFonts w:hint="eastAsia" w:hAnsi="宋体"/>
                <w:b/>
                <w:color w:val="auto"/>
                <w:szCs w:val="21"/>
                <w:highlight w:val="none"/>
              </w:rPr>
              <w:t>投标人基本情况</w:t>
            </w:r>
          </w:p>
        </w:tc>
        <w:tc>
          <w:tcPr>
            <w:tcW w:w="3446" w:type="pct"/>
            <w:vAlign w:val="center"/>
          </w:tcPr>
          <w:p>
            <w:pPr>
              <w:pStyle w:val="23"/>
              <w:adjustRightInd w:val="0"/>
              <w:snapToGrid w:val="0"/>
              <w:rPr>
                <w:rFonts w:hAnsi="宋体"/>
                <w:color w:val="auto"/>
                <w:szCs w:val="21"/>
                <w:highlight w:val="none"/>
              </w:rPr>
            </w:pPr>
            <w:r>
              <w:rPr>
                <w:rFonts w:hint="eastAsia" w:hAnsi="宋体"/>
                <w:color w:val="auto"/>
                <w:szCs w:val="21"/>
                <w:highlight w:val="none"/>
              </w:rPr>
              <w:t>投标人自2017年1月1日以来具有 “守合同重信用”称号AAA及以上得3分，AA得2分，A得1分，其余不得分。（证明材料：信用等级证书复印件加盖公章）。</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3</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33" w:type="pct"/>
            <w:vMerge w:val="continue"/>
            <w:vAlign w:val="center"/>
          </w:tcPr>
          <w:p>
            <w:pPr>
              <w:pStyle w:val="23"/>
              <w:adjustRightInd w:val="0"/>
              <w:snapToGrid w:val="0"/>
              <w:jc w:val="center"/>
              <w:rPr>
                <w:rFonts w:hAnsi="宋体" w:cs="Arial"/>
                <w:color w:val="auto"/>
                <w:szCs w:val="21"/>
                <w:highlight w:val="none"/>
              </w:rPr>
            </w:pPr>
          </w:p>
        </w:tc>
        <w:tc>
          <w:tcPr>
            <w:tcW w:w="673" w:type="pct"/>
            <w:vMerge w:val="continue"/>
            <w:vAlign w:val="center"/>
          </w:tcPr>
          <w:p>
            <w:pPr>
              <w:pStyle w:val="23"/>
              <w:adjustRightInd w:val="0"/>
              <w:snapToGrid w:val="0"/>
              <w:ind w:firstLine="280"/>
              <w:jc w:val="center"/>
              <w:rPr>
                <w:rFonts w:hAnsi="宋体" w:cs="Arial"/>
                <w:color w:val="auto"/>
                <w:szCs w:val="21"/>
                <w:highlight w:val="none"/>
              </w:rPr>
            </w:pPr>
          </w:p>
        </w:tc>
        <w:tc>
          <w:tcPr>
            <w:tcW w:w="3446" w:type="pct"/>
            <w:vAlign w:val="center"/>
          </w:tcPr>
          <w:p>
            <w:pPr>
              <w:pStyle w:val="23"/>
              <w:adjustRightInd w:val="0"/>
              <w:snapToGrid w:val="0"/>
              <w:rPr>
                <w:rFonts w:hAnsi="宋体"/>
                <w:color w:val="auto"/>
                <w:szCs w:val="21"/>
                <w:highlight w:val="none"/>
              </w:rPr>
            </w:pPr>
            <w:r>
              <w:rPr>
                <w:rFonts w:hint="eastAsia" w:hAnsi="宋体"/>
                <w:color w:val="auto"/>
                <w:szCs w:val="21"/>
                <w:highlight w:val="none"/>
              </w:rPr>
              <w:t>投标人具有有效的ISO质量管理体系认证、环境管理体系认证、职业健康安全管理体系认证的、企业环卫资质，每个得1分，最多3分。(证明材料：相关证明材料复印件加盖公章)</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3</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33" w:type="pct"/>
            <w:vMerge w:val="continue"/>
            <w:vAlign w:val="center"/>
          </w:tcPr>
          <w:p>
            <w:pPr>
              <w:pStyle w:val="23"/>
              <w:adjustRightInd w:val="0"/>
              <w:snapToGrid w:val="0"/>
              <w:jc w:val="center"/>
              <w:rPr>
                <w:rFonts w:hAnsi="宋体" w:cs="Arial"/>
                <w:color w:val="auto"/>
                <w:szCs w:val="21"/>
                <w:highlight w:val="none"/>
              </w:rPr>
            </w:pPr>
          </w:p>
        </w:tc>
        <w:tc>
          <w:tcPr>
            <w:tcW w:w="673" w:type="pct"/>
            <w:vMerge w:val="continue"/>
            <w:vAlign w:val="center"/>
          </w:tcPr>
          <w:p>
            <w:pPr>
              <w:pStyle w:val="23"/>
              <w:adjustRightInd w:val="0"/>
              <w:snapToGrid w:val="0"/>
              <w:ind w:firstLine="280"/>
              <w:jc w:val="center"/>
              <w:rPr>
                <w:rFonts w:hAnsi="宋体" w:cs="Arial"/>
                <w:color w:val="auto"/>
                <w:szCs w:val="21"/>
                <w:highlight w:val="none"/>
              </w:rPr>
            </w:pPr>
          </w:p>
        </w:tc>
        <w:tc>
          <w:tcPr>
            <w:tcW w:w="3446" w:type="pct"/>
            <w:vAlign w:val="center"/>
          </w:tcPr>
          <w:p>
            <w:pPr>
              <w:pStyle w:val="23"/>
              <w:adjustRightInd w:val="0"/>
              <w:snapToGrid w:val="0"/>
              <w:rPr>
                <w:rFonts w:hAnsi="宋体"/>
                <w:color w:val="auto"/>
                <w:szCs w:val="21"/>
                <w:highlight w:val="none"/>
              </w:rPr>
            </w:pPr>
            <w:r>
              <w:rPr>
                <w:rFonts w:hint="eastAsia" w:ascii="Arial" w:hAnsi="Arial" w:cs="Arial"/>
                <w:color w:val="auto"/>
                <w:kern w:val="0"/>
                <w:szCs w:val="21"/>
                <w:highlight w:val="none"/>
              </w:rPr>
              <w:t>投标人</w:t>
            </w:r>
            <w:r>
              <w:rPr>
                <w:rFonts w:ascii="Arial" w:hAnsi="Arial" w:cs="Arial"/>
                <w:color w:val="auto"/>
                <w:kern w:val="0"/>
                <w:szCs w:val="21"/>
                <w:highlight w:val="none"/>
              </w:rPr>
              <w:t>具有建筑机电安装工程专业承包</w:t>
            </w:r>
            <w:r>
              <w:rPr>
                <w:rFonts w:hint="eastAsia" w:ascii="Arial" w:hAnsi="Arial" w:cs="Arial"/>
                <w:color w:val="auto"/>
                <w:kern w:val="0"/>
                <w:szCs w:val="21"/>
                <w:highlight w:val="none"/>
              </w:rPr>
              <w:t>一级</w:t>
            </w:r>
            <w:r>
              <w:rPr>
                <w:rFonts w:ascii="Arial" w:hAnsi="Arial" w:cs="Arial"/>
                <w:color w:val="auto"/>
                <w:kern w:val="0"/>
                <w:szCs w:val="21"/>
                <w:highlight w:val="none"/>
              </w:rPr>
              <w:t>资质或城市及道路照明工程专业承包</w:t>
            </w:r>
            <w:r>
              <w:rPr>
                <w:rFonts w:hint="eastAsia" w:ascii="Arial" w:hAnsi="Arial" w:cs="Arial"/>
                <w:color w:val="auto"/>
                <w:kern w:val="0"/>
                <w:szCs w:val="21"/>
                <w:highlight w:val="none"/>
              </w:rPr>
              <w:t>一级资质的得2分，具有</w:t>
            </w:r>
            <w:r>
              <w:rPr>
                <w:rFonts w:ascii="Arial" w:hAnsi="Arial" w:cs="Arial"/>
                <w:color w:val="auto"/>
                <w:kern w:val="0"/>
                <w:szCs w:val="21"/>
                <w:highlight w:val="none"/>
              </w:rPr>
              <w:t>建筑机电安装工程专业承包</w:t>
            </w:r>
            <w:r>
              <w:rPr>
                <w:rFonts w:hint="eastAsia" w:ascii="Arial" w:hAnsi="Arial" w:cs="Arial"/>
                <w:color w:val="auto"/>
                <w:kern w:val="0"/>
                <w:szCs w:val="21"/>
                <w:highlight w:val="none"/>
              </w:rPr>
              <w:t>二级</w:t>
            </w:r>
            <w:r>
              <w:rPr>
                <w:rFonts w:ascii="Arial" w:hAnsi="Arial" w:cs="Arial"/>
                <w:color w:val="auto"/>
                <w:kern w:val="0"/>
                <w:szCs w:val="21"/>
                <w:highlight w:val="none"/>
              </w:rPr>
              <w:t>资质或城市及道路照明工程专业承包</w:t>
            </w:r>
            <w:r>
              <w:rPr>
                <w:rFonts w:hint="eastAsia" w:ascii="Arial" w:hAnsi="Arial" w:cs="Arial"/>
                <w:color w:val="auto"/>
                <w:kern w:val="0"/>
                <w:szCs w:val="21"/>
                <w:highlight w:val="none"/>
              </w:rPr>
              <w:t>二级资质的得1分，得分按资质等级最高计算，不叠加</w:t>
            </w:r>
            <w:r>
              <w:rPr>
                <w:rFonts w:hint="eastAsia" w:hAnsi="宋体"/>
                <w:color w:val="auto"/>
                <w:szCs w:val="21"/>
                <w:highlight w:val="none"/>
              </w:rPr>
              <w:t>。（证明材料：资质证书）</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33" w:type="pct"/>
            <w:vMerge w:val="continue"/>
            <w:vAlign w:val="center"/>
          </w:tcPr>
          <w:p>
            <w:pPr>
              <w:pStyle w:val="23"/>
              <w:adjustRightInd w:val="0"/>
              <w:snapToGrid w:val="0"/>
              <w:jc w:val="center"/>
              <w:rPr>
                <w:rFonts w:hAnsi="宋体" w:cs="Arial"/>
                <w:color w:val="auto"/>
                <w:szCs w:val="21"/>
                <w:highlight w:val="none"/>
              </w:rPr>
            </w:pPr>
          </w:p>
        </w:tc>
        <w:tc>
          <w:tcPr>
            <w:tcW w:w="673" w:type="pct"/>
            <w:vMerge w:val="continue"/>
            <w:vAlign w:val="center"/>
          </w:tcPr>
          <w:p>
            <w:pPr>
              <w:pStyle w:val="23"/>
              <w:adjustRightInd w:val="0"/>
              <w:snapToGrid w:val="0"/>
              <w:jc w:val="center"/>
              <w:rPr>
                <w:rFonts w:hAnsi="宋体" w:cs="Arial"/>
                <w:color w:val="auto"/>
                <w:szCs w:val="21"/>
                <w:highlight w:val="none"/>
              </w:rPr>
            </w:pPr>
          </w:p>
        </w:tc>
        <w:tc>
          <w:tcPr>
            <w:tcW w:w="3446" w:type="pct"/>
            <w:vAlign w:val="center"/>
          </w:tcPr>
          <w:p>
            <w:pPr>
              <w:pStyle w:val="23"/>
              <w:adjustRightInd w:val="0"/>
              <w:snapToGrid w:val="0"/>
              <w:rPr>
                <w:rFonts w:hAnsi="宋体" w:cs="Arial"/>
                <w:color w:val="auto"/>
                <w:szCs w:val="21"/>
                <w:highlight w:val="none"/>
              </w:rPr>
            </w:pPr>
            <w:r>
              <w:rPr>
                <w:rFonts w:hint="eastAsia" w:hAnsi="宋体"/>
                <w:color w:val="auto"/>
                <w:szCs w:val="21"/>
                <w:highlight w:val="none"/>
              </w:rPr>
              <w:t>投标人自2017年1月以来，获得城市照明养护市级及以上荣誉的得1分；获得区级及以上文明单位荣誉的得2分。(证明材料：荣誉证书复印件加盖公章)</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3</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433"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2</w:t>
            </w:r>
          </w:p>
        </w:tc>
        <w:tc>
          <w:tcPr>
            <w:tcW w:w="673" w:type="pct"/>
            <w:vAlign w:val="center"/>
          </w:tcPr>
          <w:p>
            <w:pPr>
              <w:pStyle w:val="23"/>
              <w:adjustRightInd w:val="0"/>
              <w:snapToGrid w:val="0"/>
              <w:jc w:val="center"/>
              <w:rPr>
                <w:rFonts w:hAnsi="宋体"/>
                <w:b/>
                <w:color w:val="auto"/>
                <w:szCs w:val="21"/>
                <w:highlight w:val="none"/>
              </w:rPr>
            </w:pPr>
            <w:r>
              <w:rPr>
                <w:rFonts w:hint="eastAsia" w:hAnsi="宋体"/>
                <w:b/>
                <w:color w:val="auto"/>
                <w:szCs w:val="21"/>
                <w:highlight w:val="none"/>
              </w:rPr>
              <w:t>类似项目业绩</w:t>
            </w:r>
          </w:p>
        </w:tc>
        <w:tc>
          <w:tcPr>
            <w:tcW w:w="3446" w:type="pct"/>
            <w:vAlign w:val="center"/>
          </w:tcPr>
          <w:p>
            <w:pPr>
              <w:pStyle w:val="23"/>
              <w:adjustRightInd w:val="0"/>
              <w:snapToGrid w:val="0"/>
              <w:rPr>
                <w:rFonts w:hAnsi="宋体" w:cs="Arial"/>
                <w:color w:val="auto"/>
                <w:szCs w:val="21"/>
                <w:highlight w:val="none"/>
              </w:rPr>
            </w:pPr>
            <w:r>
              <w:rPr>
                <w:rFonts w:hint="eastAsia" w:hAnsi="宋体"/>
                <w:color w:val="auto"/>
                <w:szCs w:val="21"/>
                <w:highlight w:val="none"/>
              </w:rPr>
              <w:t>投标人自2017年1月以来具有相关城市照明设施养护业绩（每提供1份得1分，每增加一个得1分，最高得5分）；若无养护业绩，提供城市照明施工业绩（每提供1份得0.5分，每增加一份得0.5分，最高得3分）(证明材料：养护合同复印件加盖公章)</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33"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3</w:t>
            </w:r>
          </w:p>
        </w:tc>
        <w:tc>
          <w:tcPr>
            <w:tcW w:w="673" w:type="pct"/>
            <w:vAlign w:val="center"/>
          </w:tcPr>
          <w:p>
            <w:pPr>
              <w:pStyle w:val="23"/>
              <w:adjustRightInd w:val="0"/>
              <w:snapToGrid w:val="0"/>
              <w:jc w:val="center"/>
              <w:rPr>
                <w:rFonts w:hAnsi="宋体"/>
                <w:b/>
                <w:color w:val="auto"/>
                <w:szCs w:val="21"/>
                <w:highlight w:val="none"/>
              </w:rPr>
            </w:pPr>
            <w:r>
              <w:rPr>
                <w:rFonts w:hint="eastAsia" w:hAnsi="宋体"/>
                <w:b/>
                <w:color w:val="auto"/>
                <w:szCs w:val="21"/>
                <w:highlight w:val="none"/>
              </w:rPr>
              <w:t>投入本项目的设备</w:t>
            </w:r>
          </w:p>
        </w:tc>
        <w:tc>
          <w:tcPr>
            <w:tcW w:w="3446" w:type="pct"/>
            <w:vAlign w:val="center"/>
          </w:tcPr>
          <w:p>
            <w:pPr>
              <w:pStyle w:val="23"/>
              <w:adjustRightInd w:val="0"/>
              <w:snapToGrid w:val="0"/>
              <w:rPr>
                <w:rFonts w:hAnsi="宋体"/>
                <w:color w:val="auto"/>
                <w:szCs w:val="21"/>
                <w:highlight w:val="none"/>
              </w:rPr>
            </w:pPr>
            <w:r>
              <w:rPr>
                <w:rFonts w:hint="eastAsia" w:hAnsi="宋体"/>
                <w:color w:val="auto"/>
                <w:szCs w:val="21"/>
                <w:highlight w:val="none"/>
              </w:rPr>
              <w:t>日常巡查车、登高车、常用电工维修工具，每提供一辆登高车加1分，一辆巡查车加1分，每提供一种电工维修工具得0.2分。（证明材料：机械设备必须固定，以发票、购销合同、租赁合同或车辆行驶证复印件为准，租赁每辆车及维修工具减半）</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3"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4</w:t>
            </w:r>
          </w:p>
        </w:tc>
        <w:tc>
          <w:tcPr>
            <w:tcW w:w="673" w:type="pct"/>
            <w:vAlign w:val="center"/>
          </w:tcPr>
          <w:p>
            <w:pPr>
              <w:pStyle w:val="23"/>
              <w:adjustRightInd w:val="0"/>
              <w:snapToGrid w:val="0"/>
              <w:jc w:val="center"/>
              <w:rPr>
                <w:rFonts w:hAnsi="宋体"/>
                <w:b/>
                <w:color w:val="auto"/>
                <w:szCs w:val="21"/>
                <w:highlight w:val="none"/>
              </w:rPr>
            </w:pPr>
            <w:r>
              <w:rPr>
                <w:rFonts w:hint="eastAsia" w:hAnsi="宋体"/>
                <w:color w:val="auto"/>
                <w:szCs w:val="21"/>
                <w:highlight w:val="none"/>
              </w:rPr>
              <w:t>党建情况</w:t>
            </w:r>
          </w:p>
        </w:tc>
        <w:tc>
          <w:tcPr>
            <w:tcW w:w="3446" w:type="pct"/>
            <w:vAlign w:val="center"/>
          </w:tcPr>
          <w:p>
            <w:pPr>
              <w:pStyle w:val="23"/>
              <w:adjustRightInd w:val="0"/>
              <w:snapToGrid w:val="0"/>
              <w:rPr>
                <w:rFonts w:hAnsi="宋体"/>
                <w:color w:val="auto"/>
                <w:szCs w:val="21"/>
                <w:highlight w:val="none"/>
              </w:rPr>
            </w:pPr>
            <w:r>
              <w:rPr>
                <w:rFonts w:hint="eastAsia" w:hAnsi="宋体"/>
                <w:color w:val="auto"/>
                <w:szCs w:val="21"/>
                <w:highlight w:val="none"/>
              </w:rPr>
              <w:t>投标人建立有党组织的得1分。（提供证明文件）</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3"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5</w:t>
            </w:r>
          </w:p>
        </w:tc>
        <w:tc>
          <w:tcPr>
            <w:tcW w:w="673" w:type="pct"/>
            <w:vAlign w:val="center"/>
          </w:tcPr>
          <w:p>
            <w:pPr>
              <w:pStyle w:val="23"/>
              <w:adjustRightInd w:val="0"/>
              <w:snapToGrid w:val="0"/>
              <w:jc w:val="center"/>
              <w:rPr>
                <w:rFonts w:hAnsi="宋体"/>
                <w:b/>
                <w:color w:val="auto"/>
                <w:szCs w:val="21"/>
                <w:highlight w:val="none"/>
              </w:rPr>
            </w:pPr>
            <w:r>
              <w:rPr>
                <w:rFonts w:hint="eastAsia" w:hAnsi="宋体"/>
                <w:color w:val="auto"/>
                <w:szCs w:val="21"/>
                <w:highlight w:val="none"/>
              </w:rPr>
              <w:t>通报批评</w:t>
            </w:r>
          </w:p>
        </w:tc>
        <w:tc>
          <w:tcPr>
            <w:tcW w:w="3446" w:type="pct"/>
            <w:vAlign w:val="center"/>
          </w:tcPr>
          <w:p>
            <w:pPr>
              <w:pStyle w:val="23"/>
              <w:adjustRightInd w:val="0"/>
              <w:snapToGrid w:val="0"/>
              <w:rPr>
                <w:rFonts w:hAnsi="宋体"/>
                <w:color w:val="auto"/>
                <w:szCs w:val="21"/>
                <w:highlight w:val="none"/>
              </w:rPr>
            </w:pPr>
            <w:r>
              <w:rPr>
                <w:rFonts w:hint="eastAsia" w:hAnsi="宋体"/>
                <w:color w:val="auto"/>
                <w:szCs w:val="21"/>
                <w:highlight w:val="none"/>
              </w:rPr>
              <w:t>近三年来，投标人被市、区城管部门通报批评的，地、市级通报一次扣3分，县、区级扣1分，扣完3分为止，未被通报批评过的得满分3分（以证书或公告发布之日为准，未被通报批评者请在投标文件中提供承诺书，无承诺书者不得分，若有隐瞒的取消其中标资格）。</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33" w:type="pct"/>
            <w:vAlign w:val="center"/>
          </w:tcPr>
          <w:p>
            <w:pPr>
              <w:pStyle w:val="23"/>
              <w:adjustRightInd w:val="0"/>
              <w:snapToGrid w:val="0"/>
              <w:jc w:val="center"/>
              <w:rPr>
                <w:rFonts w:hAnsi="宋体" w:cs="Arial"/>
                <w:color w:val="auto"/>
                <w:szCs w:val="21"/>
                <w:highlight w:val="none"/>
              </w:rPr>
            </w:pPr>
            <w:r>
              <w:rPr>
                <w:rFonts w:hAnsi="宋体" w:cs="Arial"/>
                <w:color w:val="auto"/>
                <w:szCs w:val="21"/>
                <w:highlight w:val="none"/>
              </w:rPr>
              <w:t>6</w:t>
            </w:r>
          </w:p>
        </w:tc>
        <w:tc>
          <w:tcPr>
            <w:tcW w:w="4119" w:type="pct"/>
            <w:gridSpan w:val="2"/>
            <w:vAlign w:val="center"/>
          </w:tcPr>
          <w:p>
            <w:pPr>
              <w:pStyle w:val="23"/>
              <w:adjustRightInd w:val="0"/>
              <w:snapToGrid w:val="0"/>
              <w:rPr>
                <w:rFonts w:hAnsi="宋体" w:cs="Arial"/>
                <w:color w:val="auto"/>
                <w:szCs w:val="21"/>
                <w:highlight w:val="none"/>
              </w:rPr>
            </w:pPr>
            <w:r>
              <w:rPr>
                <w:rFonts w:hint="eastAsia" w:hAnsi="宋体" w:cs="Arial"/>
                <w:color w:val="auto"/>
                <w:szCs w:val="21"/>
                <w:highlight w:val="none"/>
              </w:rPr>
              <w:t>合计</w:t>
            </w:r>
          </w:p>
        </w:tc>
        <w:tc>
          <w:tcPr>
            <w:tcW w:w="448" w:type="pct"/>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30分</w:t>
            </w:r>
          </w:p>
        </w:tc>
      </w:tr>
    </w:tbl>
    <w:p>
      <w:pPr>
        <w:pStyle w:val="36"/>
        <w:adjustRightInd w:val="0"/>
        <w:snapToGrid w:val="0"/>
        <w:spacing w:line="300" w:lineRule="auto"/>
        <w:ind w:firstLine="0"/>
        <w:rPr>
          <w:rFonts w:ascii="Arial" w:hAnsi="Arial" w:cs="Arial"/>
          <w:color w:val="auto"/>
          <w:sz w:val="21"/>
          <w:szCs w:val="21"/>
          <w:highlight w:val="none"/>
        </w:rPr>
      </w:pPr>
    </w:p>
    <w:p>
      <w:pPr>
        <w:pStyle w:val="36"/>
        <w:adjustRightInd w:val="0"/>
        <w:snapToGrid w:val="0"/>
        <w:spacing w:line="300" w:lineRule="auto"/>
        <w:ind w:firstLine="315" w:firstLineChars="150"/>
        <w:jc w:val="left"/>
        <w:rPr>
          <w:rFonts w:cs="Arial" w:asciiTheme="minorEastAsia" w:hAnsiTheme="minorEastAsia" w:eastAsiaTheme="minorEastAsia"/>
          <w:color w:val="auto"/>
          <w:sz w:val="21"/>
          <w:szCs w:val="21"/>
          <w:highlight w:val="none"/>
        </w:rPr>
      </w:pPr>
      <w:r>
        <w:rPr>
          <w:rFonts w:cs="Arial" w:asciiTheme="minorEastAsia" w:hAnsiTheme="minorEastAsia" w:eastAsiaTheme="minorEastAsia"/>
          <w:color w:val="auto"/>
          <w:sz w:val="21"/>
          <w:szCs w:val="21"/>
          <w:highlight w:val="none"/>
        </w:rPr>
        <w:t>5.2</w:t>
      </w:r>
      <w:r>
        <w:rPr>
          <w:rFonts w:hint="eastAsia" w:ascii="宋体" w:hAnsi="宋体" w:cs="Arial"/>
          <w:color w:val="auto"/>
          <w:sz w:val="21"/>
          <w:szCs w:val="21"/>
          <w:highlight w:val="none"/>
        </w:rPr>
        <w:t>技术和服务方案</w:t>
      </w:r>
      <w:r>
        <w:rPr>
          <w:rFonts w:hint="eastAsia" w:cs="Arial" w:asciiTheme="minorEastAsia" w:hAnsiTheme="minorEastAsia" w:eastAsiaTheme="minorEastAsia"/>
          <w:color w:val="auto"/>
          <w:sz w:val="21"/>
          <w:szCs w:val="21"/>
          <w:highlight w:val="none"/>
        </w:rPr>
        <w:t xml:space="preserve">   50分</w:t>
      </w:r>
    </w:p>
    <w:tbl>
      <w:tblPr>
        <w:tblStyle w:val="47"/>
        <w:tblW w:w="515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2000"/>
        <w:gridCol w:w="6306"/>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trPr>
        <w:tc>
          <w:tcPr>
            <w:tcW w:w="358"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cs="Arial"/>
                <w:b/>
                <w:color w:val="auto"/>
                <w:szCs w:val="21"/>
                <w:highlight w:val="none"/>
              </w:rPr>
            </w:pPr>
            <w:r>
              <w:rPr>
                <w:rFonts w:hint="eastAsia" w:hAnsi="宋体" w:cs="Arial"/>
                <w:b/>
                <w:color w:val="auto"/>
                <w:szCs w:val="21"/>
                <w:highlight w:val="none"/>
              </w:rPr>
              <w:t>序号</w:t>
            </w:r>
          </w:p>
        </w:tc>
        <w:tc>
          <w:tcPr>
            <w:tcW w:w="103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cs="Arial"/>
                <w:b/>
                <w:color w:val="auto"/>
                <w:szCs w:val="21"/>
                <w:highlight w:val="none"/>
              </w:rPr>
            </w:pPr>
            <w:r>
              <w:rPr>
                <w:rFonts w:hAnsi="宋体" w:cs="Arial"/>
                <w:b/>
                <w:color w:val="auto"/>
                <w:szCs w:val="21"/>
                <w:highlight w:val="none"/>
              </w:rPr>
              <w:t>评分因素</w:t>
            </w: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cs="Arial"/>
                <w:b/>
                <w:color w:val="auto"/>
                <w:szCs w:val="21"/>
                <w:highlight w:val="none"/>
              </w:rPr>
            </w:pPr>
            <w:r>
              <w:rPr>
                <w:rFonts w:hAnsi="宋体" w:cs="Arial"/>
                <w:b/>
                <w:color w:val="auto"/>
                <w:szCs w:val="21"/>
                <w:highlight w:val="none"/>
              </w:rPr>
              <w:t>评分细则</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cs="Arial"/>
                <w:b/>
                <w:color w:val="auto"/>
                <w:szCs w:val="21"/>
                <w:highlight w:val="none"/>
              </w:rPr>
            </w:pPr>
            <w:r>
              <w:rPr>
                <w:rFonts w:hint="eastAsia" w:hAnsi="宋体" w:cs="Arial"/>
                <w:b/>
                <w:color w:val="auto"/>
                <w:szCs w:val="21"/>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58" w:type="pct"/>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1</w:t>
            </w:r>
          </w:p>
        </w:tc>
        <w:tc>
          <w:tcPr>
            <w:tcW w:w="1032" w:type="pct"/>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hint="eastAsia" w:hAnsi="宋体"/>
                <w:color w:val="auto"/>
                <w:szCs w:val="21"/>
                <w:highlight w:val="none"/>
              </w:rPr>
              <w:t>养护方案及技术措施</w:t>
            </w:r>
          </w:p>
          <w:p>
            <w:pPr>
              <w:pStyle w:val="23"/>
              <w:adjustRightInd w:val="0"/>
              <w:snapToGrid w:val="0"/>
              <w:jc w:val="center"/>
              <w:rPr>
                <w:rFonts w:hAnsi="宋体" w:cs="Arial"/>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ascii="Arial" w:hAnsi="Arial" w:cs="Arial"/>
                <w:color w:val="auto"/>
                <w:highlight w:val="none"/>
              </w:rPr>
              <w:t>实际养护中存在的各类养护问题说明</w:t>
            </w:r>
            <w:r>
              <w:rPr>
                <w:rFonts w:hint="eastAsia" w:hAnsi="宋体"/>
                <w:color w:val="auto"/>
                <w:szCs w:val="21"/>
                <w:highlight w:val="none"/>
              </w:rPr>
              <w:t>。</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cs="Arial"/>
                <w:color w:val="auto"/>
                <w:szCs w:val="21"/>
                <w:highlight w:val="none"/>
              </w:rPr>
            </w:pPr>
            <w:r>
              <w:rPr>
                <w:rFonts w:hint="eastAsia" w:hAnsi="宋体" w:cs="Arial"/>
                <w:color w:val="auto"/>
                <w:szCs w:val="21"/>
                <w:highlight w:val="none"/>
              </w:rPr>
              <w:t>2</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1032"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ascii="Arial" w:hAnsi="Arial" w:cs="Arial"/>
                <w:color w:val="auto"/>
                <w:szCs w:val="21"/>
                <w:highlight w:val="none"/>
              </w:rPr>
              <w:t>针对各类养护问题采用不同的养护维修工艺或处理方法</w:t>
            </w:r>
            <w:r>
              <w:rPr>
                <w:rFonts w:hint="eastAsia" w:hAnsi="宋体"/>
                <w:color w:val="auto"/>
                <w:szCs w:val="21"/>
                <w:highlight w:val="none"/>
              </w:rPr>
              <w:t>。</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3</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1032"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ascii="Arial" w:hAnsi="Arial" w:cs="Arial"/>
                <w:color w:val="auto"/>
                <w:szCs w:val="21"/>
                <w:highlight w:val="none"/>
              </w:rPr>
            </w:pPr>
            <w:r>
              <w:rPr>
                <w:rFonts w:ascii="Arial" w:hAnsi="Arial" w:cs="Arial"/>
                <w:color w:val="auto"/>
                <w:szCs w:val="21"/>
                <w:highlight w:val="none"/>
              </w:rPr>
              <w:t>劳动力投入计划，工作机制、养护保障机械配置方案</w:t>
            </w:r>
            <w:r>
              <w:rPr>
                <w:rFonts w:hint="eastAsia" w:ascii="Arial" w:hAnsi="Arial" w:cs="Arial"/>
                <w:color w:val="auto"/>
                <w:szCs w:val="21"/>
                <w:highlight w:val="none"/>
              </w:rPr>
              <w:t>。</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1032"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ascii="Arial" w:hAnsi="Arial" w:cs="Arial"/>
                <w:color w:val="auto"/>
                <w:szCs w:val="21"/>
                <w:highlight w:val="none"/>
              </w:rPr>
            </w:pPr>
            <w:r>
              <w:rPr>
                <w:rFonts w:ascii="Arial" w:hAnsi="Arial" w:cs="Arial"/>
                <w:color w:val="auto"/>
                <w:szCs w:val="21"/>
                <w:highlight w:val="none"/>
              </w:rPr>
              <w:t>资料管理措施（日常养护、维修、更新、检测、技术状况评价等资料的整理归档方案）</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1032"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项目安全措施及承诺，具有高空作业证的在同等情况下优先得分。</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1032"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投标单位的售后服务体系保障的可靠性。</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5</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58" w:type="pct"/>
            <w:vMerge w:val="restart"/>
            <w:tcBorders>
              <w:top w:val="single" w:color="auto" w:sz="4" w:space="0"/>
              <w:left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2</w:t>
            </w:r>
          </w:p>
        </w:tc>
        <w:tc>
          <w:tcPr>
            <w:tcW w:w="1032" w:type="pct"/>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hint="eastAsia" w:hAnsi="宋体"/>
                <w:color w:val="auto"/>
                <w:szCs w:val="21"/>
                <w:highlight w:val="none"/>
              </w:rPr>
              <w:t>养护人员配备：人员均需提供近三个月的社会保险证明材料。</w:t>
            </w:r>
          </w:p>
          <w:p>
            <w:pPr>
              <w:pStyle w:val="23"/>
              <w:adjustRightInd w:val="0"/>
              <w:snapToGrid w:val="0"/>
              <w:jc w:val="center"/>
              <w:rPr>
                <w:rFonts w:hAnsi="宋体"/>
                <w:color w:val="auto"/>
                <w:szCs w:val="21"/>
                <w:highlight w:val="none"/>
              </w:rPr>
            </w:pPr>
            <w:r>
              <w:rPr>
                <w:rFonts w:hint="eastAsia" w:hAnsi="宋体"/>
                <w:color w:val="auto"/>
                <w:szCs w:val="21"/>
                <w:highlight w:val="none"/>
              </w:rPr>
              <w:t>注：投标文件中提供证书复印件及社保证明材料,不提供者不得分。</w:t>
            </w: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项目负责人同时具备机电工程一级建造师、高级职称证书和</w:t>
            </w:r>
            <w:r>
              <w:rPr>
                <w:rFonts w:hint="eastAsia" w:hAnsi="宋体" w:cs="Arial"/>
                <w:color w:val="auto"/>
                <w:kern w:val="0"/>
                <w:szCs w:val="21"/>
                <w:highlight w:val="none"/>
              </w:rPr>
              <w:t>有效的三类人员B类证书的得2分</w:t>
            </w:r>
            <w:r>
              <w:rPr>
                <w:rFonts w:hint="eastAsia" w:hAnsi="宋体"/>
                <w:color w:val="auto"/>
                <w:szCs w:val="21"/>
                <w:highlight w:val="none"/>
              </w:rPr>
              <w:t>，否则不得分。</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2</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58"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1032" w:type="pct"/>
            <w:vMerge w:val="continue"/>
            <w:tcBorders>
              <w:left w:val="single" w:color="auto" w:sz="4" w:space="0"/>
              <w:right w:val="single" w:color="auto" w:sz="4" w:space="0"/>
            </w:tcBorders>
            <w:vAlign w:val="center"/>
          </w:tcPr>
          <w:p>
            <w:pPr>
              <w:pStyle w:val="23"/>
              <w:adjustRightInd w:val="0"/>
              <w:snapToGrid w:val="0"/>
              <w:jc w:val="center"/>
              <w:rPr>
                <w:rFonts w:hAnsi="宋体"/>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本项目养护人员配置中，同时具有电工证和高空作业证的维修人员1名得1分，最多得2分。巡查人员有维修人员负责的得1分。</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3</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vMerge w:val="continue"/>
            <w:tcBorders>
              <w:left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1032" w:type="pct"/>
            <w:vMerge w:val="continue"/>
            <w:tcBorders>
              <w:left w:val="single" w:color="auto" w:sz="4" w:space="0"/>
              <w:right w:val="single" w:color="auto" w:sz="4" w:space="0"/>
            </w:tcBorders>
            <w:vAlign w:val="center"/>
          </w:tcPr>
          <w:p>
            <w:pPr>
              <w:pStyle w:val="23"/>
              <w:adjustRightInd w:val="0"/>
              <w:snapToGrid w:val="0"/>
              <w:jc w:val="center"/>
              <w:rPr>
                <w:rFonts w:hAnsi="宋体"/>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本项目养护人员配置中具有C类证书的专职安全员的得1分。</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1</w:t>
            </w:r>
            <w:r>
              <w:rPr>
                <w:rFonts w:hAnsi="宋体"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vMerge w:val="continue"/>
            <w:tcBorders>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p>
        </w:tc>
        <w:tc>
          <w:tcPr>
            <w:tcW w:w="1032" w:type="pct"/>
            <w:vMerge w:val="continue"/>
            <w:tcBorders>
              <w:left w:val="single" w:color="auto" w:sz="4" w:space="0"/>
              <w:bottom w:val="single" w:color="auto" w:sz="4" w:space="0"/>
              <w:right w:val="single" w:color="auto" w:sz="4" w:space="0"/>
            </w:tcBorders>
            <w:vAlign w:val="center"/>
          </w:tcPr>
          <w:p>
            <w:pPr>
              <w:pStyle w:val="23"/>
              <w:adjustRightInd w:val="0"/>
              <w:snapToGrid w:val="0"/>
              <w:jc w:val="center"/>
              <w:rPr>
                <w:rFonts w:hAnsi="宋体"/>
                <w:color w:val="auto"/>
                <w:szCs w:val="21"/>
                <w:highlight w:val="none"/>
              </w:rPr>
            </w:pP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投入本项目的班组人员组成综合情况，评1-3分。</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358" w:type="pct"/>
            <w:tcBorders>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3</w:t>
            </w:r>
          </w:p>
        </w:tc>
        <w:tc>
          <w:tcPr>
            <w:tcW w:w="1032" w:type="pct"/>
            <w:tcBorders>
              <w:left w:val="single" w:color="auto" w:sz="4" w:space="0"/>
              <w:bottom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hint="eastAsia" w:hAnsi="宋体"/>
                <w:color w:val="auto"/>
                <w:szCs w:val="21"/>
                <w:highlight w:val="none"/>
              </w:rPr>
              <w:t>应急响应方案</w:t>
            </w: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应急保障措施（防汛防台、突发事件应急处理及重大活动保障的人员配备、应急处置方案，落实专职人员等内容），根据方案的全面性、科学合理性、针对性和可操作性、有党建组织先锋岗的酌情打分，方案全面、合理，具可操作性的。</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tcBorders>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4</w:t>
            </w:r>
          </w:p>
        </w:tc>
        <w:tc>
          <w:tcPr>
            <w:tcW w:w="1032" w:type="pct"/>
            <w:tcBorders>
              <w:left w:val="single" w:color="auto" w:sz="4" w:space="0"/>
              <w:bottom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ascii="Arial" w:hAnsi="Arial" w:cs="Arial"/>
                <w:color w:val="auto"/>
                <w:szCs w:val="21"/>
                <w:highlight w:val="none"/>
              </w:rPr>
              <w:t>养护移交</w:t>
            </w:r>
            <w:r>
              <w:rPr>
                <w:rFonts w:hint="eastAsia" w:ascii="Arial" w:hAnsi="Arial" w:cs="Arial"/>
                <w:color w:val="auto"/>
                <w:szCs w:val="21"/>
                <w:highlight w:val="none"/>
              </w:rPr>
              <w:t>实施方案</w:t>
            </w: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ascii="Arial" w:hAnsi="Arial" w:cs="Arial"/>
                <w:color w:val="auto"/>
                <w:szCs w:val="21"/>
                <w:highlight w:val="none"/>
              </w:rPr>
              <w:t>企业进出场交接计划措施、企业平稳过渡实施方案等相关措施</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tcBorders>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5</w:t>
            </w:r>
          </w:p>
        </w:tc>
        <w:tc>
          <w:tcPr>
            <w:tcW w:w="1032" w:type="pct"/>
            <w:tcBorders>
              <w:left w:val="single" w:color="auto" w:sz="4" w:space="0"/>
              <w:bottom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hint="eastAsia" w:hAnsi="宋体"/>
                <w:color w:val="auto"/>
                <w:szCs w:val="21"/>
                <w:highlight w:val="none"/>
              </w:rPr>
              <w:t>企业内部管理</w:t>
            </w: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投标人具有完善的企业财务、人员管理、安全管理、考核制度。</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tcBorders>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6</w:t>
            </w:r>
          </w:p>
        </w:tc>
        <w:tc>
          <w:tcPr>
            <w:tcW w:w="1032" w:type="pct"/>
            <w:tcBorders>
              <w:left w:val="single" w:color="auto" w:sz="4" w:space="0"/>
              <w:bottom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hint="eastAsia" w:hAnsi="宋体"/>
                <w:color w:val="auto"/>
                <w:szCs w:val="21"/>
                <w:highlight w:val="none"/>
              </w:rPr>
              <w:t>合理化建议</w:t>
            </w: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其它合理化建议、优化建议，提供户外广告灯跨一步带一把整改措施及维修经历</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tcBorders>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7</w:t>
            </w:r>
          </w:p>
        </w:tc>
        <w:tc>
          <w:tcPr>
            <w:tcW w:w="1032" w:type="pct"/>
            <w:tcBorders>
              <w:left w:val="single" w:color="auto" w:sz="4" w:space="0"/>
              <w:bottom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hint="eastAsia" w:hAnsi="宋体"/>
                <w:color w:val="auto"/>
                <w:highlight w:val="none"/>
              </w:rPr>
              <w:t>固定的办公仓储场所</w:t>
            </w: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left"/>
              <w:rPr>
                <w:rFonts w:hAnsi="宋体"/>
                <w:color w:val="auto"/>
                <w:szCs w:val="21"/>
                <w:highlight w:val="none"/>
              </w:rPr>
            </w:pPr>
            <w:r>
              <w:rPr>
                <w:rFonts w:hint="eastAsia" w:hAnsi="宋体"/>
                <w:color w:val="auto"/>
                <w:szCs w:val="21"/>
                <w:highlight w:val="none"/>
              </w:rPr>
              <w:t>在杭州市拱墅区具有固定的办公仓储场所的2分，杭州市其他城区(不含富阳、临安)的得1分，提供场地自有或租赁合同复印件，没有不得分；或者承诺中标后一个月内在设立的，按承诺设置的区域对应得分，若中标后不能实现，则取消中标资格，并报送财政处理。</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 xml:space="preserve">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tcBorders>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8</w:t>
            </w:r>
          </w:p>
        </w:tc>
        <w:tc>
          <w:tcPr>
            <w:tcW w:w="1032" w:type="pct"/>
            <w:tcBorders>
              <w:left w:val="single" w:color="auto" w:sz="4" w:space="0"/>
              <w:bottom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hint="eastAsia" w:hAnsi="宋体"/>
                <w:color w:val="auto"/>
                <w:szCs w:val="21"/>
                <w:highlight w:val="none"/>
              </w:rPr>
              <w:t>投标文件完整性</w:t>
            </w:r>
          </w:p>
        </w:tc>
        <w:tc>
          <w:tcPr>
            <w:tcW w:w="3254"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color w:val="auto"/>
                <w:szCs w:val="21"/>
                <w:highlight w:val="none"/>
              </w:rPr>
            </w:pPr>
            <w:r>
              <w:rPr>
                <w:rFonts w:hint="eastAsia" w:hAnsi="宋体"/>
                <w:color w:val="auto"/>
                <w:szCs w:val="21"/>
                <w:highlight w:val="none"/>
              </w:rPr>
              <w:t>投标文件编制完整、格式规范、内容齐全、表述准确、条理清晰，内容无前后矛盾等编制情况</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8"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9</w:t>
            </w:r>
          </w:p>
        </w:tc>
        <w:tc>
          <w:tcPr>
            <w:tcW w:w="4286" w:type="pct"/>
            <w:gridSpan w:val="2"/>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color w:val="auto"/>
                <w:szCs w:val="21"/>
                <w:highlight w:val="none"/>
              </w:rPr>
            </w:pPr>
            <w:r>
              <w:rPr>
                <w:rFonts w:hint="eastAsia" w:hAnsi="宋体"/>
                <w:color w:val="auto"/>
                <w:szCs w:val="21"/>
                <w:highlight w:val="none"/>
              </w:rPr>
              <w:t>合计</w:t>
            </w:r>
          </w:p>
        </w:tc>
        <w:tc>
          <w:tcPr>
            <w:tcW w:w="356" w:type="pct"/>
            <w:tcBorders>
              <w:top w:val="single" w:color="auto" w:sz="4" w:space="0"/>
              <w:left w:val="single" w:color="auto" w:sz="4" w:space="0"/>
              <w:bottom w:val="single" w:color="auto" w:sz="4" w:space="0"/>
              <w:right w:val="single" w:color="auto" w:sz="4" w:space="0"/>
            </w:tcBorders>
            <w:vAlign w:val="center"/>
          </w:tcPr>
          <w:p>
            <w:pPr>
              <w:pStyle w:val="23"/>
              <w:adjustRightInd w:val="0"/>
              <w:jc w:val="center"/>
              <w:rPr>
                <w:rFonts w:hAnsi="宋体" w:cs="Arial"/>
                <w:color w:val="auto"/>
                <w:szCs w:val="21"/>
                <w:highlight w:val="none"/>
              </w:rPr>
            </w:pPr>
            <w:r>
              <w:rPr>
                <w:rFonts w:hint="eastAsia" w:hAnsi="宋体" w:cs="Arial"/>
                <w:color w:val="auto"/>
                <w:szCs w:val="21"/>
                <w:highlight w:val="none"/>
              </w:rPr>
              <w:t>50分</w:t>
            </w:r>
          </w:p>
        </w:tc>
      </w:tr>
    </w:tbl>
    <w:p>
      <w:pPr>
        <w:widowControl/>
        <w:snapToGrid w:val="0"/>
        <w:spacing w:line="300" w:lineRule="auto"/>
        <w:ind w:firstLine="420" w:firstLineChars="200"/>
        <w:rPr>
          <w:rFonts w:ascii="Arial" w:hAnsi="Arial" w:cs="Arial"/>
          <w:b/>
          <w:color w:val="auto"/>
          <w:szCs w:val="21"/>
          <w:highlight w:val="none"/>
        </w:rPr>
      </w:pPr>
      <w:bookmarkStart w:id="59" w:name="_Toc345320401"/>
      <w:r>
        <w:rPr>
          <w:rFonts w:ascii="Arial" w:hAnsi="Arial" w:cs="Arial"/>
          <w:color w:val="auto"/>
          <w:szCs w:val="21"/>
          <w:highlight w:val="none"/>
        </w:rPr>
        <w:t xml:space="preserve">5.2 </w:t>
      </w:r>
      <w:r>
        <w:rPr>
          <w:rFonts w:ascii="Arial" w:hAnsi="Arial" w:cs="Arial"/>
          <w:b/>
          <w:color w:val="auto"/>
          <w:szCs w:val="21"/>
          <w:highlight w:val="none"/>
        </w:rPr>
        <w:t>价格分</w:t>
      </w:r>
      <w:bookmarkEnd w:id="59"/>
      <w:r>
        <w:rPr>
          <w:rFonts w:hint="eastAsia" w:ascii="Arial" w:hAnsi="Arial" w:cs="Arial"/>
          <w:b/>
          <w:color w:val="auto"/>
          <w:szCs w:val="21"/>
          <w:highlight w:val="none"/>
        </w:rPr>
        <w:t xml:space="preserve"> </w:t>
      </w:r>
    </w:p>
    <w:p>
      <w:pPr>
        <w:widowControl/>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价格评分将在有效投标人范围内进行，最高得</w:t>
      </w:r>
      <w:r>
        <w:rPr>
          <w:rFonts w:hint="eastAsia" w:ascii="Arial" w:hAnsi="Arial" w:cs="Arial"/>
          <w:color w:val="auto"/>
          <w:kern w:val="0"/>
          <w:szCs w:val="21"/>
          <w:highlight w:val="none"/>
          <w:u w:val="single"/>
        </w:rPr>
        <w:t>2</w:t>
      </w:r>
      <w:r>
        <w:rPr>
          <w:rFonts w:ascii="Arial" w:hAnsi="Arial" w:cs="Arial"/>
          <w:color w:val="auto"/>
          <w:kern w:val="0"/>
          <w:szCs w:val="21"/>
          <w:highlight w:val="none"/>
          <w:u w:val="single"/>
        </w:rPr>
        <w:t xml:space="preserve">0 </w:t>
      </w:r>
      <w:r>
        <w:rPr>
          <w:rFonts w:ascii="Arial" w:hAnsi="Arial" w:cs="Arial"/>
          <w:color w:val="auto"/>
          <w:kern w:val="0"/>
          <w:szCs w:val="21"/>
          <w:highlight w:val="none"/>
        </w:rPr>
        <w:t>分，最低得</w:t>
      </w:r>
      <w:r>
        <w:rPr>
          <w:rFonts w:ascii="Arial" w:hAnsi="Arial" w:cs="Arial"/>
          <w:color w:val="auto"/>
          <w:kern w:val="0"/>
          <w:szCs w:val="21"/>
          <w:highlight w:val="none"/>
          <w:u w:val="single"/>
        </w:rPr>
        <w:t xml:space="preserve"> 0</w:t>
      </w:r>
      <w:r>
        <w:rPr>
          <w:rFonts w:ascii="Arial" w:hAnsi="Arial" w:cs="Arial"/>
          <w:color w:val="auto"/>
          <w:kern w:val="0"/>
          <w:szCs w:val="21"/>
          <w:highlight w:val="none"/>
        </w:rPr>
        <w:t>分（小数点后保留二位小数，第三位四舍五入）。满足招标文件要求且投标价格最低的</w:t>
      </w:r>
      <w:r>
        <w:rPr>
          <w:rFonts w:ascii="Arial" w:hAnsi="Arial" w:cs="Arial"/>
          <w:b/>
          <w:color w:val="auto"/>
          <w:kern w:val="0"/>
          <w:szCs w:val="21"/>
          <w:highlight w:val="none"/>
          <w:u w:val="thick"/>
        </w:rPr>
        <w:t>投标报价</w:t>
      </w:r>
      <w:r>
        <w:rPr>
          <w:rFonts w:ascii="Arial" w:hAnsi="Arial" w:cs="Arial"/>
          <w:color w:val="auto"/>
          <w:kern w:val="0"/>
          <w:szCs w:val="21"/>
          <w:highlight w:val="none"/>
        </w:rPr>
        <w:t>为</w:t>
      </w:r>
      <w:r>
        <w:rPr>
          <w:rFonts w:ascii="Arial" w:hAnsi="Arial" w:cs="Arial"/>
          <w:b/>
          <w:color w:val="auto"/>
          <w:kern w:val="0"/>
          <w:szCs w:val="21"/>
          <w:highlight w:val="none"/>
          <w:u w:val="thick"/>
        </w:rPr>
        <w:t>评标基准价</w:t>
      </w:r>
      <w:r>
        <w:rPr>
          <w:rFonts w:ascii="Arial" w:hAnsi="Arial" w:cs="Arial"/>
          <w:color w:val="auto"/>
          <w:kern w:val="0"/>
          <w:szCs w:val="21"/>
          <w:highlight w:val="none"/>
        </w:rPr>
        <w:t>，投标人的价格分统一按照下列公式计算：</w:t>
      </w:r>
    </w:p>
    <w:p>
      <w:pPr>
        <w:widowControl/>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投标报价得分=(</w:t>
      </w:r>
      <w:r>
        <w:rPr>
          <w:rFonts w:ascii="Arial" w:hAnsi="Arial" w:cs="Arial"/>
          <w:b/>
          <w:color w:val="auto"/>
          <w:kern w:val="0"/>
          <w:szCs w:val="21"/>
          <w:highlight w:val="none"/>
          <w:u w:val="thick"/>
        </w:rPr>
        <w:t>评标基准价</w:t>
      </w:r>
      <w:r>
        <w:rPr>
          <w:rFonts w:ascii="Arial" w:hAnsi="Arial" w:cs="Arial"/>
          <w:color w:val="auto"/>
          <w:kern w:val="0"/>
          <w:szCs w:val="21"/>
          <w:highlight w:val="none"/>
        </w:rPr>
        <w:t>／</w:t>
      </w:r>
      <w:r>
        <w:rPr>
          <w:rFonts w:ascii="Arial" w:hAnsi="Arial" w:cs="Arial"/>
          <w:b/>
          <w:color w:val="auto"/>
          <w:kern w:val="0"/>
          <w:szCs w:val="21"/>
          <w:highlight w:val="none"/>
          <w:u w:val="thick"/>
        </w:rPr>
        <w:t>投标报价</w:t>
      </w:r>
      <w:r>
        <w:rPr>
          <w:rFonts w:ascii="Arial" w:hAnsi="Arial" w:cs="Arial"/>
          <w:color w:val="auto"/>
          <w:kern w:val="0"/>
          <w:szCs w:val="21"/>
          <w:highlight w:val="none"/>
        </w:rPr>
        <w:t>)×</w:t>
      </w:r>
      <w:r>
        <w:rPr>
          <w:rFonts w:ascii="Arial" w:hAnsi="Arial" w:cs="Arial"/>
          <w:color w:val="auto"/>
          <w:kern w:val="0"/>
          <w:szCs w:val="21"/>
          <w:highlight w:val="none"/>
          <w:u w:val="single"/>
        </w:rPr>
        <w:t>20</w:t>
      </w:r>
      <w:r>
        <w:rPr>
          <w:rFonts w:ascii="Arial" w:hAnsi="Arial" w:cs="Arial"/>
          <w:color w:val="auto"/>
          <w:kern w:val="0"/>
          <w:szCs w:val="21"/>
          <w:highlight w:val="none"/>
        </w:rPr>
        <w:t>%×100</w:t>
      </w:r>
    </w:p>
    <w:p>
      <w:pPr>
        <w:widowControl/>
        <w:snapToGrid w:val="0"/>
        <w:spacing w:line="300" w:lineRule="auto"/>
        <w:ind w:firstLine="422" w:firstLineChars="200"/>
        <w:rPr>
          <w:rFonts w:ascii="Arial" w:hAnsi="Arial" w:cs="Arial"/>
          <w:b/>
          <w:color w:val="auto"/>
          <w:szCs w:val="21"/>
          <w:highlight w:val="none"/>
        </w:rPr>
      </w:pPr>
      <w:r>
        <w:rPr>
          <w:rFonts w:ascii="Arial" w:hAnsi="Arial" w:cs="Arial"/>
          <w:b/>
          <w:color w:val="auto"/>
          <w:szCs w:val="21"/>
          <w:highlight w:val="none"/>
        </w:rPr>
        <w:t>落实政府采购政策：</w:t>
      </w:r>
    </w:p>
    <w:p>
      <w:pPr>
        <w:widowControl/>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1）根据财政部、工业和信息化部制定的《政府采购促进中小企业发展暂行办法》和转发财政部工业和信息化部关于印发《政府采购促进中小企业发展暂行办法》的通知（浙财采监[2012]11号），对小型或微型企业的投标报价给予6%的扣除。</w:t>
      </w:r>
    </w:p>
    <w:p>
      <w:pPr>
        <w:widowControl/>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用扣除后的价格计算价格评分。</w:t>
      </w:r>
    </w:p>
    <w:p>
      <w:pPr>
        <w:widowControl/>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符合以下要求的投标人被认定为小型、微型企业：</w:t>
      </w:r>
    </w:p>
    <w:p>
      <w:pPr>
        <w:widowControl/>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◇投标人按照《关于印发中小企业划型标准规定的通知》（工信部联企业〔2011〕300号）的所属行业规定为小型、微型企业【注：按《关于印发中小企业划型标准规定的通知》规定提供《中小企业声明函》】；</w:t>
      </w:r>
    </w:p>
    <w:p>
      <w:pPr>
        <w:widowControl/>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2）监狱企业参加投标【提供《监狱企业声明函》及其相关的充分的证明材料】，视为小型、微型企业，享受小微企业政策扶持。监狱企业属于小型、微型企业的，不重复享受扶持政策。</w:t>
      </w:r>
    </w:p>
    <w:p>
      <w:pPr>
        <w:widowControl/>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3）残疾人福利性单位参加投标【提供《</w:t>
      </w:r>
      <w:r>
        <w:rPr>
          <w:rFonts w:ascii="Arial" w:hAnsi="Arial" w:cs="Arial"/>
          <w:color w:val="auto"/>
          <w:highlight w:val="none"/>
        </w:rPr>
        <w:t>残疾人福利性单位声明函</w:t>
      </w:r>
      <w:r>
        <w:rPr>
          <w:rFonts w:ascii="Arial" w:hAnsi="Arial" w:cs="Arial"/>
          <w:color w:val="auto"/>
          <w:szCs w:val="21"/>
          <w:highlight w:val="none"/>
        </w:rPr>
        <w:t>》】，视为小型、微型企业，享受小微企业政策扶持，残疾人福利性单位属于小型、微型企业的，不重复享受扶持政策。</w:t>
      </w:r>
    </w:p>
    <w:p>
      <w:pPr>
        <w:widowControl/>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此项由评标委员会集体核实后统一打分。</w:t>
      </w:r>
    </w:p>
    <w:p>
      <w:pPr>
        <w:pStyle w:val="4"/>
        <w:spacing w:before="120"/>
        <w:ind w:firstLine="422"/>
        <w:rPr>
          <w:rFonts w:cs="Arial"/>
          <w:color w:val="auto"/>
          <w:highlight w:val="none"/>
        </w:rPr>
      </w:pPr>
      <w:r>
        <w:rPr>
          <w:rFonts w:cs="Arial"/>
          <w:color w:val="auto"/>
          <w:highlight w:val="none"/>
        </w:rPr>
        <w:t>六、修改评标结果</w:t>
      </w:r>
    </w:p>
    <w:p>
      <w:pPr>
        <w:autoSpaceDE w:val="0"/>
        <w:autoSpaceDN w:val="0"/>
        <w:adjustRightInd w:val="0"/>
        <w:snapToGrid w:val="0"/>
        <w:spacing w:line="300" w:lineRule="auto"/>
        <w:ind w:firstLine="420" w:firstLineChars="200"/>
        <w:textAlignment w:val="bottom"/>
        <w:rPr>
          <w:rFonts w:ascii="Arial" w:hAnsi="Arial" w:cs="Arial"/>
          <w:color w:val="auto"/>
          <w:highlight w:val="none"/>
        </w:rPr>
      </w:pPr>
      <w:r>
        <w:rPr>
          <w:rFonts w:ascii="Arial" w:hAnsi="Arial" w:cs="Arial"/>
          <w:color w:val="auto"/>
          <w:highlight w:val="none"/>
        </w:rPr>
        <w:t>评标结果汇总完成后，除下列情形外，任何人不得修改评标结果：</w:t>
      </w:r>
    </w:p>
    <w:p>
      <w:pPr>
        <w:autoSpaceDE w:val="0"/>
        <w:autoSpaceDN w:val="0"/>
        <w:adjustRightInd w:val="0"/>
        <w:snapToGrid w:val="0"/>
        <w:spacing w:line="300" w:lineRule="auto"/>
        <w:ind w:firstLine="420" w:firstLineChars="200"/>
        <w:textAlignment w:val="bottom"/>
        <w:rPr>
          <w:rFonts w:ascii="Arial" w:hAnsi="Arial" w:cs="Arial"/>
          <w:color w:val="auto"/>
          <w:highlight w:val="none"/>
        </w:rPr>
      </w:pPr>
      <w:r>
        <w:rPr>
          <w:rFonts w:ascii="Arial" w:hAnsi="Arial" w:cs="Arial"/>
          <w:color w:val="auto"/>
          <w:highlight w:val="none"/>
        </w:rPr>
        <w:t>（一）分值汇总计算错误的；</w:t>
      </w:r>
    </w:p>
    <w:p>
      <w:pPr>
        <w:autoSpaceDE w:val="0"/>
        <w:autoSpaceDN w:val="0"/>
        <w:adjustRightInd w:val="0"/>
        <w:snapToGrid w:val="0"/>
        <w:spacing w:line="300" w:lineRule="auto"/>
        <w:ind w:firstLine="420" w:firstLineChars="200"/>
        <w:textAlignment w:val="bottom"/>
        <w:rPr>
          <w:rFonts w:ascii="Arial" w:hAnsi="Arial" w:cs="Arial"/>
          <w:color w:val="auto"/>
          <w:highlight w:val="none"/>
        </w:rPr>
      </w:pPr>
      <w:r>
        <w:rPr>
          <w:rFonts w:ascii="Arial" w:hAnsi="Arial" w:cs="Arial"/>
          <w:color w:val="auto"/>
          <w:highlight w:val="none"/>
        </w:rPr>
        <w:t>（二）分项评分超出评分标准范围的；</w:t>
      </w:r>
    </w:p>
    <w:p>
      <w:pPr>
        <w:autoSpaceDE w:val="0"/>
        <w:autoSpaceDN w:val="0"/>
        <w:adjustRightInd w:val="0"/>
        <w:snapToGrid w:val="0"/>
        <w:spacing w:line="300" w:lineRule="auto"/>
        <w:ind w:firstLine="420" w:firstLineChars="200"/>
        <w:textAlignment w:val="bottom"/>
        <w:rPr>
          <w:rFonts w:ascii="Arial" w:hAnsi="Arial" w:cs="Arial"/>
          <w:color w:val="auto"/>
          <w:highlight w:val="none"/>
        </w:rPr>
      </w:pPr>
      <w:r>
        <w:rPr>
          <w:rFonts w:ascii="Arial" w:hAnsi="Arial" w:cs="Arial"/>
          <w:color w:val="auto"/>
          <w:highlight w:val="none"/>
        </w:rPr>
        <w:t>（三）评标委员会成员对客观评审因素评分不一致的；</w:t>
      </w:r>
    </w:p>
    <w:p>
      <w:pPr>
        <w:autoSpaceDE w:val="0"/>
        <w:autoSpaceDN w:val="0"/>
        <w:adjustRightInd w:val="0"/>
        <w:snapToGrid w:val="0"/>
        <w:spacing w:line="300" w:lineRule="auto"/>
        <w:ind w:firstLine="420" w:firstLineChars="200"/>
        <w:textAlignment w:val="bottom"/>
        <w:rPr>
          <w:rFonts w:ascii="Arial" w:hAnsi="Arial" w:cs="Arial"/>
          <w:color w:val="auto"/>
          <w:highlight w:val="none"/>
        </w:rPr>
      </w:pPr>
      <w:r>
        <w:rPr>
          <w:rFonts w:ascii="Arial" w:hAnsi="Arial" w:cs="Arial"/>
          <w:color w:val="auto"/>
          <w:highlight w:val="none"/>
        </w:rPr>
        <w:t>（四）经评标委员会认定评分畸高、畸低的。</w:t>
      </w:r>
    </w:p>
    <w:p>
      <w:pPr>
        <w:pStyle w:val="3"/>
        <w:spacing w:before="120"/>
        <w:rPr>
          <w:rFonts w:ascii="Arial" w:hAnsi="Arial" w:cs="Arial"/>
          <w:color w:val="auto"/>
          <w:highlight w:val="none"/>
        </w:rPr>
      </w:pPr>
      <w:r>
        <w:rPr>
          <w:rFonts w:ascii="Arial" w:hAnsi="Arial" w:cs="Arial"/>
          <w:color w:val="auto"/>
          <w:highlight w:val="none"/>
        </w:rPr>
        <w:br w:type="page"/>
      </w:r>
      <w:bookmarkStart w:id="60" w:name="_Toc8758"/>
      <w:bookmarkStart w:id="61" w:name="_Toc497919875"/>
      <w:r>
        <w:rPr>
          <w:rFonts w:ascii="Arial" w:hAnsi="Arial" w:cs="Arial"/>
          <w:color w:val="auto"/>
          <w:highlight w:val="none"/>
        </w:rPr>
        <w:t>第四部分项目技术规范和服务要求</w:t>
      </w:r>
      <w:bookmarkEnd w:id="60"/>
      <w:bookmarkEnd w:id="61"/>
    </w:p>
    <w:p>
      <w:pPr>
        <w:pStyle w:val="4"/>
        <w:spacing w:before="120"/>
        <w:ind w:firstLine="422"/>
        <w:rPr>
          <w:rFonts w:cs="Arial"/>
          <w:color w:val="auto"/>
          <w:highlight w:val="none"/>
        </w:rPr>
      </w:pPr>
      <w:bookmarkStart w:id="62" w:name="_Toc422946256"/>
      <w:r>
        <w:rPr>
          <w:rFonts w:cs="Arial"/>
          <w:color w:val="auto"/>
          <w:highlight w:val="none"/>
        </w:rPr>
        <w:t>一、采购内容一览表</w:t>
      </w:r>
      <w:bookmarkEnd w:id="62"/>
    </w:p>
    <w:tbl>
      <w:tblPr>
        <w:tblStyle w:val="47"/>
        <w:tblW w:w="9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3273"/>
        <w:gridCol w:w="815"/>
        <w:gridCol w:w="819"/>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ign w:val="center"/>
          </w:tcPr>
          <w:p>
            <w:pPr>
              <w:snapToGrid w:val="0"/>
              <w:spacing w:line="240" w:lineRule="atLeast"/>
              <w:jc w:val="center"/>
              <w:rPr>
                <w:rFonts w:ascii="Arial" w:hAnsi="Arial" w:cs="Arial"/>
                <w:color w:val="auto"/>
                <w:szCs w:val="21"/>
                <w:highlight w:val="none"/>
              </w:rPr>
            </w:pPr>
            <w:r>
              <w:rPr>
                <w:rFonts w:ascii="Arial" w:hAnsi="Arial" w:cs="Arial"/>
                <w:color w:val="auto"/>
                <w:szCs w:val="21"/>
                <w:highlight w:val="none"/>
              </w:rPr>
              <w:t>序号</w:t>
            </w:r>
          </w:p>
        </w:tc>
        <w:tc>
          <w:tcPr>
            <w:tcW w:w="3273" w:type="dxa"/>
            <w:noWrap/>
            <w:vAlign w:val="center"/>
          </w:tcPr>
          <w:p>
            <w:pPr>
              <w:snapToGrid w:val="0"/>
              <w:spacing w:line="240" w:lineRule="atLeast"/>
              <w:jc w:val="center"/>
              <w:rPr>
                <w:rFonts w:ascii="Arial" w:hAnsi="Arial" w:cs="Arial"/>
                <w:color w:val="auto"/>
                <w:szCs w:val="21"/>
                <w:highlight w:val="none"/>
              </w:rPr>
            </w:pPr>
            <w:r>
              <w:rPr>
                <w:rFonts w:ascii="Arial" w:hAnsi="Arial" w:cs="Arial"/>
                <w:color w:val="auto"/>
                <w:szCs w:val="21"/>
                <w:highlight w:val="none"/>
              </w:rPr>
              <w:t>标段名称及内容</w:t>
            </w:r>
          </w:p>
        </w:tc>
        <w:tc>
          <w:tcPr>
            <w:tcW w:w="815" w:type="dxa"/>
            <w:noWrap/>
            <w:vAlign w:val="center"/>
          </w:tcPr>
          <w:p>
            <w:pPr>
              <w:snapToGrid w:val="0"/>
              <w:spacing w:line="240" w:lineRule="atLeast"/>
              <w:jc w:val="center"/>
              <w:rPr>
                <w:rFonts w:ascii="Arial" w:hAnsi="Arial" w:cs="Arial"/>
                <w:color w:val="auto"/>
                <w:szCs w:val="21"/>
                <w:highlight w:val="none"/>
              </w:rPr>
            </w:pPr>
            <w:r>
              <w:rPr>
                <w:rFonts w:ascii="Arial" w:hAnsi="Arial" w:cs="Arial"/>
                <w:color w:val="auto"/>
                <w:szCs w:val="21"/>
                <w:highlight w:val="none"/>
              </w:rPr>
              <w:t>数量</w:t>
            </w:r>
          </w:p>
        </w:tc>
        <w:tc>
          <w:tcPr>
            <w:tcW w:w="819" w:type="dxa"/>
            <w:noWrap/>
            <w:vAlign w:val="center"/>
          </w:tcPr>
          <w:p>
            <w:pPr>
              <w:snapToGrid w:val="0"/>
              <w:spacing w:line="240" w:lineRule="atLeast"/>
              <w:jc w:val="center"/>
              <w:rPr>
                <w:rFonts w:ascii="Arial" w:hAnsi="Arial" w:cs="Arial"/>
                <w:color w:val="auto"/>
                <w:szCs w:val="21"/>
                <w:highlight w:val="none"/>
              </w:rPr>
            </w:pPr>
            <w:r>
              <w:rPr>
                <w:rFonts w:ascii="Arial" w:hAnsi="Arial" w:cs="Arial"/>
                <w:color w:val="auto"/>
                <w:szCs w:val="21"/>
                <w:highlight w:val="none"/>
              </w:rPr>
              <w:t>单位</w:t>
            </w:r>
          </w:p>
        </w:tc>
        <w:tc>
          <w:tcPr>
            <w:tcW w:w="3769" w:type="dxa"/>
            <w:noWrap/>
            <w:vAlign w:val="center"/>
          </w:tcPr>
          <w:p>
            <w:pPr>
              <w:snapToGrid w:val="0"/>
              <w:spacing w:line="240" w:lineRule="atLeast"/>
              <w:jc w:val="center"/>
              <w:rPr>
                <w:rFonts w:ascii="Arial" w:hAnsi="Arial" w:cs="Arial"/>
                <w:color w:val="auto"/>
                <w:szCs w:val="21"/>
                <w:highlight w:val="none"/>
              </w:rPr>
            </w:pPr>
            <w:r>
              <w:rPr>
                <w:rFonts w:ascii="Arial" w:hAnsi="Arial" w:cs="Arial"/>
                <w:color w:val="auto"/>
                <w:szCs w:val="21"/>
                <w:highlight w:val="none"/>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6" w:type="dxa"/>
            <w:noWrap/>
            <w:vAlign w:val="center"/>
          </w:tcPr>
          <w:p>
            <w:pPr>
              <w:snapToGrid w:val="0"/>
              <w:spacing w:line="240" w:lineRule="atLeast"/>
              <w:jc w:val="center"/>
              <w:rPr>
                <w:rFonts w:ascii="Arial" w:hAnsi="Arial" w:cs="Arial"/>
                <w:color w:val="auto"/>
                <w:szCs w:val="21"/>
                <w:highlight w:val="none"/>
              </w:rPr>
            </w:pPr>
            <w:r>
              <w:rPr>
                <w:rFonts w:ascii="Arial" w:hAnsi="Arial" w:cs="Arial"/>
                <w:color w:val="auto"/>
                <w:szCs w:val="21"/>
                <w:highlight w:val="none"/>
              </w:rPr>
              <w:t>1</w:t>
            </w:r>
          </w:p>
        </w:tc>
        <w:tc>
          <w:tcPr>
            <w:tcW w:w="3273" w:type="dxa"/>
            <w:noWrap/>
            <w:vAlign w:val="center"/>
          </w:tcPr>
          <w:p>
            <w:pPr>
              <w:widowControl/>
              <w:snapToGrid w:val="0"/>
              <w:spacing w:line="240" w:lineRule="atLeast"/>
              <w:jc w:val="center"/>
              <w:rPr>
                <w:rFonts w:ascii="Arial" w:hAnsi="Arial" w:cs="Arial"/>
                <w:color w:val="auto"/>
                <w:kern w:val="0"/>
                <w:szCs w:val="21"/>
                <w:highlight w:val="none"/>
              </w:rPr>
            </w:pPr>
            <w:r>
              <w:rPr>
                <w:rFonts w:hint="eastAsia" w:ascii="Arial" w:hAnsi="Arial" w:cs="Arial"/>
                <w:bCs/>
                <w:color w:val="auto"/>
                <w:highlight w:val="none"/>
              </w:rPr>
              <w:t>2020年拱墅区“峰会”亮灯工程第二次运行维护项目（标段一）</w:t>
            </w:r>
          </w:p>
        </w:tc>
        <w:tc>
          <w:tcPr>
            <w:tcW w:w="815" w:type="dxa"/>
            <w:noWrap/>
            <w:vAlign w:val="center"/>
          </w:tcPr>
          <w:p>
            <w:pPr>
              <w:widowControl/>
              <w:snapToGrid w:val="0"/>
              <w:spacing w:line="240" w:lineRule="atLeast"/>
              <w:jc w:val="center"/>
              <w:rPr>
                <w:rFonts w:ascii="Arial" w:hAnsi="Arial" w:cs="Arial"/>
                <w:color w:val="auto"/>
                <w:kern w:val="0"/>
                <w:szCs w:val="21"/>
                <w:highlight w:val="none"/>
              </w:rPr>
            </w:pPr>
            <w:r>
              <w:rPr>
                <w:rFonts w:ascii="Arial" w:hAnsi="Arial" w:cs="Arial"/>
                <w:color w:val="auto"/>
                <w:kern w:val="0"/>
                <w:szCs w:val="21"/>
                <w:highlight w:val="none"/>
              </w:rPr>
              <w:t>1</w:t>
            </w:r>
          </w:p>
        </w:tc>
        <w:tc>
          <w:tcPr>
            <w:tcW w:w="819" w:type="dxa"/>
            <w:noWrap/>
            <w:vAlign w:val="center"/>
          </w:tcPr>
          <w:p>
            <w:pPr>
              <w:widowControl/>
              <w:snapToGrid w:val="0"/>
              <w:spacing w:line="240" w:lineRule="atLeast"/>
              <w:jc w:val="center"/>
              <w:rPr>
                <w:rFonts w:ascii="Arial" w:hAnsi="Arial" w:cs="Arial"/>
                <w:color w:val="auto"/>
                <w:kern w:val="0"/>
                <w:szCs w:val="21"/>
                <w:highlight w:val="none"/>
              </w:rPr>
            </w:pPr>
            <w:r>
              <w:rPr>
                <w:rFonts w:ascii="Arial" w:hAnsi="Arial" w:cs="Arial"/>
                <w:color w:val="auto"/>
                <w:kern w:val="0"/>
                <w:szCs w:val="21"/>
                <w:highlight w:val="none"/>
              </w:rPr>
              <w:t>项</w:t>
            </w:r>
          </w:p>
        </w:tc>
        <w:tc>
          <w:tcPr>
            <w:tcW w:w="3769" w:type="dxa"/>
            <w:noWrap/>
            <w:vAlign w:val="center"/>
          </w:tcPr>
          <w:p>
            <w:pPr>
              <w:widowControl/>
              <w:snapToGrid w:val="0"/>
              <w:spacing w:line="240" w:lineRule="atLeast"/>
              <w:jc w:val="center"/>
              <w:rPr>
                <w:rFonts w:ascii="Arial" w:hAnsi="Arial" w:cs="Arial"/>
                <w:color w:val="auto"/>
                <w:kern w:val="0"/>
                <w:szCs w:val="21"/>
                <w:highlight w:val="none"/>
              </w:rPr>
            </w:pPr>
            <w:r>
              <w:rPr>
                <w:rFonts w:ascii="Arial" w:hAnsi="Arial" w:cs="Arial"/>
                <w:bCs/>
                <w:color w:val="auto"/>
                <w:kern w:val="0"/>
                <w:szCs w:val="21"/>
                <w:highlight w:val="none"/>
              </w:rPr>
              <w:t>服务期为2年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46" w:type="dxa"/>
            <w:noWrap/>
            <w:vAlign w:val="center"/>
          </w:tcPr>
          <w:p>
            <w:pPr>
              <w:snapToGrid w:val="0"/>
              <w:spacing w:line="240" w:lineRule="atLeast"/>
              <w:jc w:val="center"/>
              <w:rPr>
                <w:rFonts w:ascii="Arial" w:hAnsi="Arial" w:cs="Arial"/>
                <w:color w:val="auto"/>
                <w:szCs w:val="21"/>
                <w:highlight w:val="none"/>
              </w:rPr>
            </w:pPr>
            <w:r>
              <w:rPr>
                <w:rFonts w:hint="eastAsia" w:ascii="Arial" w:hAnsi="Arial" w:cs="Arial"/>
                <w:color w:val="auto"/>
                <w:szCs w:val="21"/>
                <w:highlight w:val="none"/>
              </w:rPr>
              <w:t>2</w:t>
            </w:r>
          </w:p>
        </w:tc>
        <w:tc>
          <w:tcPr>
            <w:tcW w:w="3273" w:type="dxa"/>
            <w:noWrap/>
            <w:vAlign w:val="center"/>
          </w:tcPr>
          <w:p>
            <w:pPr>
              <w:widowControl/>
              <w:snapToGrid w:val="0"/>
              <w:spacing w:line="240" w:lineRule="atLeast"/>
              <w:jc w:val="center"/>
              <w:rPr>
                <w:rFonts w:ascii="Arial" w:hAnsi="Arial" w:cs="Arial"/>
                <w:bCs/>
                <w:color w:val="auto"/>
                <w:highlight w:val="none"/>
              </w:rPr>
            </w:pPr>
            <w:r>
              <w:rPr>
                <w:rFonts w:hint="eastAsia" w:ascii="Arial" w:hAnsi="Arial" w:cs="Arial"/>
                <w:bCs/>
                <w:color w:val="auto"/>
                <w:highlight w:val="none"/>
              </w:rPr>
              <w:t>2020年拱墅区“峰会”亮灯工程第二次运行维护项目（标段二）</w:t>
            </w:r>
          </w:p>
        </w:tc>
        <w:tc>
          <w:tcPr>
            <w:tcW w:w="815" w:type="dxa"/>
            <w:noWrap/>
            <w:vAlign w:val="center"/>
          </w:tcPr>
          <w:p>
            <w:pPr>
              <w:widowControl/>
              <w:snapToGrid w:val="0"/>
              <w:spacing w:line="240" w:lineRule="atLeast"/>
              <w:jc w:val="center"/>
              <w:rPr>
                <w:rFonts w:ascii="Arial" w:hAnsi="Arial" w:cs="Arial"/>
                <w:color w:val="auto"/>
                <w:kern w:val="0"/>
                <w:szCs w:val="21"/>
                <w:highlight w:val="none"/>
              </w:rPr>
            </w:pPr>
            <w:r>
              <w:rPr>
                <w:rFonts w:hint="eastAsia" w:ascii="Arial" w:hAnsi="Arial" w:cs="Arial"/>
                <w:color w:val="auto"/>
                <w:kern w:val="0"/>
                <w:szCs w:val="21"/>
                <w:highlight w:val="none"/>
              </w:rPr>
              <w:t>1</w:t>
            </w:r>
          </w:p>
        </w:tc>
        <w:tc>
          <w:tcPr>
            <w:tcW w:w="819" w:type="dxa"/>
            <w:noWrap/>
            <w:vAlign w:val="center"/>
          </w:tcPr>
          <w:p>
            <w:pPr>
              <w:widowControl/>
              <w:snapToGrid w:val="0"/>
              <w:spacing w:line="240" w:lineRule="atLeast"/>
              <w:jc w:val="center"/>
              <w:rPr>
                <w:rFonts w:ascii="Arial" w:hAnsi="Arial" w:cs="Arial"/>
                <w:color w:val="auto"/>
                <w:kern w:val="0"/>
                <w:szCs w:val="21"/>
                <w:highlight w:val="none"/>
              </w:rPr>
            </w:pPr>
            <w:r>
              <w:rPr>
                <w:rFonts w:hint="eastAsia" w:ascii="Arial" w:hAnsi="Arial" w:cs="Arial"/>
                <w:color w:val="auto"/>
                <w:kern w:val="0"/>
                <w:szCs w:val="21"/>
                <w:highlight w:val="none"/>
              </w:rPr>
              <w:t>项</w:t>
            </w:r>
          </w:p>
        </w:tc>
        <w:tc>
          <w:tcPr>
            <w:tcW w:w="3769" w:type="dxa"/>
            <w:noWrap/>
            <w:vAlign w:val="center"/>
          </w:tcPr>
          <w:p>
            <w:pPr>
              <w:widowControl/>
              <w:snapToGrid w:val="0"/>
              <w:spacing w:line="240" w:lineRule="atLeast"/>
              <w:jc w:val="center"/>
              <w:rPr>
                <w:rFonts w:ascii="Arial" w:hAnsi="Arial" w:cs="Arial"/>
                <w:bCs/>
                <w:color w:val="auto"/>
                <w:kern w:val="0"/>
                <w:szCs w:val="21"/>
                <w:highlight w:val="none"/>
              </w:rPr>
            </w:pPr>
            <w:r>
              <w:rPr>
                <w:rFonts w:hint="eastAsia" w:ascii="Arial" w:hAnsi="Arial" w:cs="Arial"/>
                <w:bCs/>
                <w:color w:val="auto"/>
                <w:kern w:val="0"/>
                <w:szCs w:val="21"/>
                <w:highlight w:val="none"/>
              </w:rPr>
              <w:t>服务期为2年</w:t>
            </w:r>
          </w:p>
        </w:tc>
      </w:tr>
    </w:tbl>
    <w:p>
      <w:pPr>
        <w:snapToGrid w:val="0"/>
        <w:spacing w:beforeLines="50" w:afterLines="50"/>
        <w:ind w:left="238"/>
        <w:outlineLvl w:val="1"/>
        <w:rPr>
          <w:rFonts w:ascii="宋体" w:hAnsi="宋体"/>
          <w:b/>
          <w:color w:val="auto"/>
          <w:szCs w:val="28"/>
          <w:highlight w:val="none"/>
        </w:rPr>
      </w:pPr>
      <w:bookmarkStart w:id="63" w:name="_Toc317685548"/>
      <w:r>
        <w:rPr>
          <w:rFonts w:hint="eastAsia" w:ascii="宋体" w:hAnsi="宋体"/>
          <w:b/>
          <w:color w:val="auto"/>
          <w:szCs w:val="28"/>
          <w:highlight w:val="none"/>
        </w:rPr>
        <w:t>二</w:t>
      </w:r>
      <w:r>
        <w:rPr>
          <w:rFonts w:ascii="宋体" w:hAnsi="宋体"/>
          <w:b/>
          <w:color w:val="auto"/>
          <w:szCs w:val="28"/>
          <w:highlight w:val="none"/>
        </w:rPr>
        <w:t>、商务要求表</w:t>
      </w:r>
    </w:p>
    <w:tbl>
      <w:tblPr>
        <w:tblStyle w:val="47"/>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6804"/>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项目</w:t>
            </w:r>
          </w:p>
        </w:tc>
        <w:tc>
          <w:tcPr>
            <w:tcW w:w="6804" w:type="dxa"/>
            <w:tcBorders>
              <w:top w:val="single" w:color="auto" w:sz="4" w:space="0"/>
              <w:left w:val="single" w:color="auto" w:sz="4" w:space="0"/>
              <w:bottom w:val="single" w:color="auto" w:sz="4" w:space="0"/>
              <w:right w:val="single" w:color="auto" w:sz="4" w:space="0"/>
            </w:tcBorders>
            <w:vAlign w:val="center"/>
          </w:tcPr>
          <w:p>
            <w:pPr>
              <w:pStyle w:val="17"/>
              <w:jc w:val="center"/>
              <w:rPr>
                <w:rFonts w:ascii="宋体" w:hAnsi="宋体"/>
                <w:color w:val="auto"/>
                <w:szCs w:val="21"/>
                <w:highlight w:val="none"/>
              </w:rPr>
            </w:pPr>
            <w:r>
              <w:rPr>
                <w:rFonts w:hint="eastAsia" w:ascii="宋体" w:hAnsi="宋体"/>
                <w:color w:val="auto"/>
                <w:szCs w:val="21"/>
                <w:highlight w:val="none"/>
              </w:rPr>
              <w:t>细则</w:t>
            </w:r>
          </w:p>
        </w:tc>
        <w:tc>
          <w:tcPr>
            <w:tcW w:w="992" w:type="dxa"/>
            <w:tcBorders>
              <w:top w:val="single" w:color="auto" w:sz="4" w:space="0"/>
              <w:left w:val="single" w:color="auto" w:sz="4" w:space="0"/>
              <w:bottom w:val="single" w:color="auto" w:sz="4" w:space="0"/>
              <w:right w:val="single" w:color="auto" w:sz="4" w:space="0"/>
            </w:tcBorders>
            <w:vAlign w:val="center"/>
          </w:tcPr>
          <w:p>
            <w:pPr>
              <w:pStyle w:val="17"/>
              <w:jc w:val="center"/>
              <w:rPr>
                <w:rFonts w:ascii="宋体" w:hAnsi="宋体"/>
                <w:color w:val="auto"/>
                <w:szCs w:val="21"/>
                <w:highlight w:val="none"/>
              </w:rPr>
            </w:pPr>
            <w:r>
              <w:rPr>
                <w:rFonts w:hint="eastAsia" w:ascii="宋体" w:hAnsi="宋体"/>
                <w:color w:val="auto"/>
                <w:szCs w:val="21"/>
                <w:highlight w:val="none"/>
              </w:rPr>
              <w:t>投标响应情况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项目服务期</w:t>
            </w:r>
          </w:p>
        </w:tc>
        <w:tc>
          <w:tcPr>
            <w:tcW w:w="6804" w:type="dxa"/>
            <w:tcBorders>
              <w:top w:val="single" w:color="auto" w:sz="4" w:space="0"/>
              <w:left w:val="single" w:color="auto" w:sz="4" w:space="0"/>
              <w:bottom w:val="single" w:color="auto" w:sz="4" w:space="0"/>
              <w:right w:val="single" w:color="auto" w:sz="4" w:space="0"/>
            </w:tcBorders>
            <w:vAlign w:val="center"/>
          </w:tcPr>
          <w:p>
            <w:pPr>
              <w:pStyle w:val="17"/>
              <w:rPr>
                <w:rFonts w:ascii="宋体" w:hAnsi="宋体" w:cs="宋体"/>
                <w:color w:val="auto"/>
                <w:kern w:val="0"/>
                <w:szCs w:val="21"/>
                <w:highlight w:val="none"/>
              </w:rPr>
            </w:pPr>
            <w:r>
              <w:rPr>
                <w:rFonts w:hint="eastAsia" w:ascii="宋体" w:hAnsi="宋体"/>
                <w:color w:val="auto"/>
                <w:szCs w:val="21"/>
                <w:highlight w:val="none"/>
              </w:rPr>
              <w:t>1）项目服务期：</w:t>
            </w:r>
            <w:r>
              <w:rPr>
                <w:rFonts w:hint="eastAsia" w:ascii="宋体" w:hAnsi="宋体" w:cs="宋体"/>
                <w:color w:val="auto"/>
                <w:kern w:val="0"/>
                <w:szCs w:val="21"/>
                <w:highlight w:val="none"/>
              </w:rPr>
              <w:t>暂定两年，合同一年一签。</w:t>
            </w:r>
          </w:p>
          <w:p>
            <w:pPr>
              <w:pStyle w:val="17"/>
              <w:rPr>
                <w:rFonts w:ascii="宋体" w:hAnsi="宋体"/>
                <w:color w:val="auto"/>
                <w:szCs w:val="21"/>
                <w:highlight w:val="none"/>
              </w:rPr>
            </w:pPr>
            <w:r>
              <w:rPr>
                <w:rFonts w:hint="eastAsia" w:ascii="宋体" w:hAnsi="宋体" w:cs="宋体"/>
                <w:color w:val="auto"/>
                <w:kern w:val="0"/>
                <w:szCs w:val="21"/>
                <w:highlight w:val="none"/>
              </w:rPr>
              <w:t>2）合同期内，乙方能严格履行合同，考核为合格，甲方可按有关程序与乙方再续签</w:t>
            </w:r>
            <w:r>
              <w:rPr>
                <w:rFonts w:hint="eastAsia" w:ascii="宋体" w:hAnsi="宋体" w:cs="宋体"/>
                <w:color w:val="auto"/>
                <w:kern w:val="0"/>
                <w:szCs w:val="21"/>
                <w:highlight w:val="none"/>
                <w:u w:val="single"/>
              </w:rPr>
              <w:t>一年</w:t>
            </w:r>
            <w:r>
              <w:rPr>
                <w:rFonts w:hint="eastAsia" w:ascii="宋体" w:hAnsi="宋体" w:cs="宋体"/>
                <w:color w:val="auto"/>
                <w:kern w:val="0"/>
                <w:szCs w:val="21"/>
                <w:highlight w:val="none"/>
              </w:rPr>
              <w:t>的养护合同</w:t>
            </w:r>
            <w:r>
              <w:rPr>
                <w:rFonts w:hint="eastAsia" w:ascii="宋体" w:hAnsi="宋体"/>
                <w:color w:val="auto"/>
                <w:szCs w:val="21"/>
                <w:highlight w:val="none"/>
              </w:rPr>
              <w:t>。</w:t>
            </w:r>
          </w:p>
          <w:p>
            <w:pPr>
              <w:pStyle w:val="17"/>
              <w:rPr>
                <w:rFonts w:ascii="宋体" w:hAnsi="宋体"/>
                <w:color w:val="auto"/>
                <w:szCs w:val="21"/>
                <w:highlight w:val="none"/>
              </w:rPr>
            </w:pPr>
            <w:r>
              <w:rPr>
                <w:rFonts w:hint="eastAsia" w:ascii="宋体" w:hAnsi="宋体"/>
                <w:color w:val="auto"/>
                <w:szCs w:val="21"/>
                <w:highlight w:val="none"/>
              </w:rPr>
              <w:t>3)如一年内有二个次累计考核不合格的或拒绝执行招标人的维修指令，则招标人可以无条件解除合同，并不承担任何责任。</w:t>
            </w:r>
          </w:p>
        </w:tc>
        <w:tc>
          <w:tcPr>
            <w:tcW w:w="992" w:type="dxa"/>
            <w:tcBorders>
              <w:top w:val="single" w:color="auto" w:sz="4" w:space="0"/>
              <w:left w:val="single" w:color="auto" w:sz="4" w:space="0"/>
              <w:bottom w:val="single" w:color="auto" w:sz="4" w:space="0"/>
              <w:right w:val="single" w:color="auto" w:sz="4" w:space="0"/>
            </w:tcBorders>
          </w:tcPr>
          <w:p>
            <w:pPr>
              <w:pStyle w:val="17"/>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534" w:type="dxa"/>
            <w:tcBorders>
              <w:top w:val="single" w:color="auto" w:sz="4" w:space="0"/>
              <w:left w:val="single" w:color="auto" w:sz="4" w:space="0"/>
              <w:bottom w:val="single" w:color="auto" w:sz="4" w:space="0"/>
              <w:right w:val="single" w:color="auto" w:sz="4" w:space="0"/>
            </w:tcBorders>
            <w:vAlign w:val="center"/>
          </w:tcPr>
          <w:p>
            <w:pPr>
              <w:tabs>
                <w:tab w:val="left" w:pos="3234"/>
              </w:tabs>
              <w:spacing w:line="400" w:lineRule="exact"/>
              <w:ind w:right="-105" w:rightChars="-50"/>
              <w:jc w:val="center"/>
              <w:rPr>
                <w:rFonts w:ascii="宋体" w:hAnsi="宋体"/>
                <w:color w:val="auto"/>
                <w:szCs w:val="21"/>
                <w:highlight w:val="none"/>
              </w:rPr>
            </w:pPr>
            <w:r>
              <w:rPr>
                <w:rFonts w:hint="eastAsia" w:ascii="宋体" w:hAnsi="宋体"/>
                <w:color w:val="auto"/>
                <w:szCs w:val="21"/>
                <w:highlight w:val="none"/>
              </w:rPr>
              <w:t>2</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3234"/>
              </w:tabs>
              <w:spacing w:line="400" w:lineRule="exact"/>
              <w:ind w:right="-105" w:rightChars="-50"/>
              <w:jc w:val="center"/>
              <w:rPr>
                <w:rFonts w:ascii="宋体" w:hAnsi="宋体"/>
                <w:color w:val="auto"/>
                <w:szCs w:val="21"/>
                <w:highlight w:val="none"/>
              </w:rPr>
            </w:pPr>
            <w:r>
              <w:rPr>
                <w:rFonts w:hint="eastAsia" w:ascii="宋体" w:hAnsi="宋体"/>
                <w:color w:val="auto"/>
                <w:szCs w:val="21"/>
                <w:highlight w:val="none"/>
              </w:rPr>
              <w:t>履约保证金</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1)合同价的5%作为履约保证金，在合同签订之日起7日内打入采购人账户，如连续2次考核不合格或因投标人原因无法履行维修、维护职责时，采购人将没收履约保证金。</w:t>
            </w:r>
          </w:p>
          <w:p>
            <w:pPr>
              <w:rPr>
                <w:rFonts w:ascii="宋体" w:hAnsi="宋体"/>
                <w:b/>
                <w:color w:val="auto"/>
                <w:szCs w:val="21"/>
                <w:highlight w:val="none"/>
              </w:rPr>
            </w:pPr>
            <w:r>
              <w:rPr>
                <w:rFonts w:hint="eastAsia" w:ascii="宋体" w:hAnsi="宋体"/>
                <w:b/>
                <w:color w:val="auto"/>
                <w:szCs w:val="21"/>
                <w:highlight w:val="none"/>
              </w:rPr>
              <w:t>2)为保证新更换设备的质量，本项目履约保证金在合同履行结束满1年后退还，若新更换设备在1年内非人为原因损坏，招标人将在履约保证金内扣除相关费用。</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付款条件</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参见本招标文件第四章合同条款</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bl>
    <w:p>
      <w:pPr>
        <w:spacing w:line="360" w:lineRule="auto"/>
        <w:ind w:firstLine="422" w:firstLineChars="200"/>
        <w:rPr>
          <w:rFonts w:ascii="宋体" w:hAnsi="宋体"/>
          <w:b/>
          <w:color w:val="auto"/>
          <w:szCs w:val="28"/>
          <w:highlight w:val="none"/>
        </w:rPr>
      </w:pPr>
    </w:p>
    <w:p>
      <w:pPr>
        <w:snapToGrid w:val="0"/>
        <w:spacing w:beforeLines="50" w:afterLines="50"/>
        <w:ind w:left="238"/>
        <w:outlineLvl w:val="1"/>
        <w:rPr>
          <w:rFonts w:ascii="宋体" w:hAnsi="宋体"/>
          <w:b/>
          <w:color w:val="auto"/>
          <w:szCs w:val="28"/>
          <w:highlight w:val="none"/>
        </w:rPr>
      </w:pPr>
      <w:r>
        <w:rPr>
          <w:rFonts w:hint="eastAsia" w:ascii="宋体" w:hAnsi="宋体"/>
          <w:b/>
          <w:color w:val="auto"/>
          <w:szCs w:val="28"/>
          <w:highlight w:val="none"/>
        </w:rPr>
        <w:t>三、服务内容及要求</w:t>
      </w:r>
      <w:bookmarkEnd w:id="63"/>
      <w:r>
        <w:rPr>
          <w:rFonts w:hint="eastAsia" w:ascii="宋体" w:hAnsi="宋体"/>
          <w:b/>
          <w:color w:val="auto"/>
          <w:szCs w:val="28"/>
          <w:highlight w:val="none"/>
        </w:rPr>
        <w:t>（投标人重点观注）</w:t>
      </w:r>
    </w:p>
    <w:p>
      <w:pPr>
        <w:snapToGrid w:val="0"/>
        <w:spacing w:line="400" w:lineRule="exact"/>
        <w:ind w:left="238"/>
        <w:outlineLvl w:val="2"/>
        <w:rPr>
          <w:rFonts w:ascii="宋体" w:hAnsi="宋体"/>
          <w:b/>
          <w:color w:val="auto"/>
          <w:szCs w:val="28"/>
          <w:highlight w:val="none"/>
        </w:rPr>
      </w:pPr>
      <w:bookmarkStart w:id="64" w:name="_Toc317685549"/>
      <w:r>
        <w:rPr>
          <w:rFonts w:hint="eastAsia" w:ascii="宋体" w:hAnsi="宋体"/>
          <w:b/>
          <w:color w:val="auto"/>
          <w:szCs w:val="28"/>
          <w:highlight w:val="none"/>
        </w:rPr>
        <w:t>（一）总说明</w:t>
      </w:r>
      <w:bookmarkEnd w:id="64"/>
    </w:p>
    <w:p>
      <w:pP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投标人应仔细阅读招标文件，认真填写投标文件，详细提供招标文件所要求的全部资料，供评标。未实质性响应招标文件要求的投标将被拒绝。</w:t>
      </w:r>
    </w:p>
    <w:p>
      <w:pPr>
        <w:snapToGrid w:val="0"/>
        <w:spacing w:line="400" w:lineRule="exact"/>
        <w:ind w:left="238"/>
        <w:outlineLvl w:val="2"/>
        <w:rPr>
          <w:rFonts w:ascii="宋体" w:hAnsi="宋体"/>
          <w:b/>
          <w:color w:val="auto"/>
          <w:szCs w:val="28"/>
          <w:highlight w:val="none"/>
        </w:rPr>
      </w:pPr>
      <w:r>
        <w:rPr>
          <w:rFonts w:hint="eastAsia" w:ascii="宋体" w:hAnsi="宋体"/>
          <w:b/>
          <w:color w:val="auto"/>
          <w:szCs w:val="28"/>
          <w:highlight w:val="none"/>
        </w:rPr>
        <w:t>（二）设施清单</w:t>
      </w:r>
    </w:p>
    <w:p>
      <w:pPr>
        <w:snapToGrid w:val="0"/>
        <w:spacing w:line="400" w:lineRule="exact"/>
        <w:ind w:left="238"/>
        <w:rPr>
          <w:rFonts w:ascii="宋体" w:hAnsi="宋体"/>
          <w:b/>
          <w:color w:val="auto"/>
          <w:szCs w:val="28"/>
          <w:highlight w:val="none"/>
        </w:rPr>
      </w:pPr>
      <w:r>
        <w:rPr>
          <w:rFonts w:hint="eastAsia" w:ascii="宋体" w:hAnsi="宋体"/>
          <w:b/>
          <w:color w:val="auto"/>
          <w:szCs w:val="28"/>
          <w:highlight w:val="none"/>
        </w:rPr>
        <w:t>1、设施清单</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清单另附。</w:t>
      </w:r>
    </w:p>
    <w:p>
      <w:pPr>
        <w:spacing w:line="400" w:lineRule="exact"/>
        <w:ind w:firstLine="420" w:firstLineChars="200"/>
        <w:rPr>
          <w:rFonts w:ascii="宋体" w:hAnsi="宋体"/>
          <w:b/>
          <w:color w:val="auto"/>
          <w:szCs w:val="21"/>
          <w:highlight w:val="none"/>
          <w:u w:val="single"/>
        </w:rPr>
      </w:pPr>
      <w:r>
        <w:rPr>
          <w:rFonts w:hint="eastAsia" w:ascii="宋体" w:hAnsi="宋体"/>
          <w:color w:val="auto"/>
          <w:szCs w:val="21"/>
          <w:highlight w:val="none"/>
        </w:rPr>
        <w:t>投标单位须负责清单内额设施及辅助设施的维护、保养、更换、清洗等全部工作。主要养护内容：包括</w:t>
      </w:r>
      <w:r>
        <w:rPr>
          <w:rFonts w:hint="eastAsia" w:ascii="宋体" w:hAnsi="宋体"/>
          <w:b/>
          <w:color w:val="auto"/>
          <w:szCs w:val="21"/>
          <w:highlight w:val="none"/>
          <w:u w:val="single"/>
        </w:rPr>
        <w:t>灯具、光源、电器、灯杆、标识牌、照明节能设施、配电设施及相关电线电缆等日常养护，防汛、抗雪防冻应急保障工作等。</w:t>
      </w:r>
    </w:p>
    <w:p>
      <w:pPr>
        <w:spacing w:line="400" w:lineRule="exact"/>
        <w:ind w:firstLine="420" w:firstLineChars="200"/>
        <w:rPr>
          <w:rFonts w:ascii="宋体" w:hAnsi="宋体"/>
          <w:b/>
          <w:color w:val="auto"/>
          <w:szCs w:val="21"/>
          <w:highlight w:val="none"/>
          <w:u w:val="single"/>
        </w:rPr>
      </w:pPr>
      <w:r>
        <w:rPr>
          <w:rFonts w:hint="eastAsia" w:ascii="宋体" w:hAnsi="宋体"/>
          <w:color w:val="auto"/>
          <w:szCs w:val="21"/>
          <w:highlight w:val="none"/>
        </w:rPr>
        <w:t>招标范围的景观照明设施包含附属的一切内容。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景观照明养护期内产生的各种费用（材料、运输、装卸、堆放、场地租用费及有关规费，风险费用等）应全面考虑并列入报价中。</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养护期内除不可抗力的自然环境因素外，其它因人为因素、偷盗等原因导致的景观照明设施缺损，均由投标人负责及时更换或维修，并承担相关费用，该费用由投标人自行考虑,报价单列，但该报价纳入投标总报价中。</w:t>
      </w:r>
    </w:p>
    <w:p>
      <w:pPr>
        <w:snapToGrid w:val="0"/>
        <w:spacing w:line="400" w:lineRule="exact"/>
        <w:ind w:left="238"/>
        <w:outlineLvl w:val="2"/>
        <w:rPr>
          <w:rFonts w:ascii="宋体" w:hAnsi="宋体"/>
          <w:b/>
          <w:color w:val="auto"/>
          <w:szCs w:val="28"/>
          <w:highlight w:val="none"/>
        </w:rPr>
      </w:pPr>
      <w:r>
        <w:rPr>
          <w:rFonts w:hint="eastAsia" w:ascii="宋体" w:hAnsi="宋体"/>
          <w:b/>
          <w:color w:val="auto"/>
          <w:szCs w:val="28"/>
          <w:highlight w:val="none"/>
        </w:rPr>
        <w:t>（三）养护要求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市、区两级亮灯管理部门发出的保障通知、临时要求，中标人必须落实响应并限期反馈。严格执行《杭州市建筑物景观照明设施养护评价办法》、《城市照明设施养护维修服务标准》。其中景观照明灯具应每周按市级保障落实亮灯效果巡查，景观设施至少每周覆盖巡检一次，配电箱（柜）每月巡检一次，架空线路每季巡检一次，地埋电缆线路每半年巡检一次；接地装置应在每年的冬季晴天时巡检一次，独立的防雷装置应在每年的春季巡检一次，漏电保护装置应每季巡检一次，集中控制装置、照明节电装置或其他智慧照明装置每半年巡检一次；建筑物景观照明设施每半年清洗一次，污染严重地段加大清洁工作频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b/>
          <w:color w:val="auto"/>
          <w:szCs w:val="21"/>
          <w:highlight w:val="none"/>
        </w:rPr>
        <w:t>中标人在标书中报维修巡查人员（人员不少于10人，其中不少于6人的维修人员须提供电工证、高空证），在此</w:t>
      </w:r>
      <w:r>
        <w:rPr>
          <w:rFonts w:hint="eastAsia" w:ascii="宋体" w:hAnsi="宋体"/>
          <w:color w:val="auto"/>
          <w:szCs w:val="21"/>
          <w:highlight w:val="none"/>
        </w:rPr>
        <w:t>基础上单列明确</w:t>
      </w:r>
      <w:r>
        <w:rPr>
          <w:rFonts w:hint="eastAsia" w:ascii="宋体" w:hAnsi="宋体"/>
          <w:b/>
          <w:color w:val="auto"/>
          <w:szCs w:val="21"/>
          <w:highlight w:val="none"/>
        </w:rPr>
        <w:t>日常巡查组（名单在技术标中单列出组长及组员，人员不少于6名，部分可不提供高空证）</w:t>
      </w:r>
      <w:r>
        <w:rPr>
          <w:rFonts w:hint="eastAsia" w:ascii="宋体" w:hAnsi="宋体"/>
          <w:color w:val="auto"/>
          <w:szCs w:val="21"/>
          <w:highlight w:val="none"/>
        </w:rPr>
        <w:t>，要求对养护范围及重点区域范围的景观灯、户外广告灯、路灯等设施进行全方位巡查，</w:t>
      </w:r>
      <w:r>
        <w:rPr>
          <w:rFonts w:hint="eastAsia" w:ascii="宋体" w:hAnsi="宋体"/>
          <w:b/>
          <w:color w:val="auto"/>
          <w:szCs w:val="21"/>
          <w:highlight w:val="none"/>
        </w:rPr>
        <w:t>各类灯每周不少于3次，</w:t>
      </w:r>
      <w:r>
        <w:rPr>
          <w:rFonts w:hint="eastAsia" w:ascii="宋体" w:hAnsi="宋体"/>
          <w:color w:val="auto"/>
          <w:szCs w:val="21"/>
          <w:highlight w:val="none"/>
        </w:rPr>
        <w:t>重要保障临时通知增加巡查，将断亮缺亮等问题拍照记录编辑，一般由每周三（或甲方临时要求）报区亮化办。巡查费用不单独列支，投标方在报价中考虑。</w:t>
      </w:r>
    </w:p>
    <w:p>
      <w:pPr>
        <w:pStyle w:val="2"/>
        <w:spacing w:line="360" w:lineRule="auto"/>
        <w:ind w:firstLine="420"/>
        <w:rPr>
          <w:color w:val="auto"/>
          <w:highlight w:val="none"/>
          <w:lang w:val="en-US"/>
        </w:rPr>
      </w:pPr>
      <w:r>
        <w:rPr>
          <w:rFonts w:hint="eastAsia"/>
          <w:color w:val="auto"/>
          <w:highlight w:val="none"/>
          <w:lang w:val="en-US"/>
        </w:rPr>
        <w:t>在服务标段任务前题下，拓展巡查分配街道的其他景观照明、户外广告灯箱、路灯的断亮(断字)缺亮情况，一标段负责上塘、半山、康桥，二标段负责祥符、和睦、拱宸桥。</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3、采用科技监管按甲方指令纳入市、区信息平台使用，要求中标人对巡查与作业人员配置GPS定位系统并启用，列入月度考核，促进监管力度，提升养护绩效。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4、中标人将亮灯问题整改处置后必须进行拍照，将问题与完成的对比照片按周、月度编辑报区亮化办。</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5、增设户外广告灯“断字</w:t>
      </w:r>
      <w:r>
        <w:rPr>
          <w:rFonts w:hint="eastAsia" w:ascii="宋体" w:hAnsi="宋体"/>
          <w:color w:val="auto"/>
          <w:szCs w:val="21"/>
          <w:highlight w:val="none"/>
        </w:rPr>
        <w:t>缺</w:t>
      </w:r>
      <w:r>
        <w:rPr>
          <w:rFonts w:hint="eastAsia" w:ascii="宋体" w:hAnsi="宋体"/>
          <w:color w:val="auto"/>
          <w:szCs w:val="21"/>
          <w:highlight w:val="none"/>
        </w:rPr>
        <w:t>亮” 应急整改要求，中标人按属地街道需求，配合街道进行维修。维修完成，中标人提供整改费用收据给商家，</w:t>
      </w:r>
      <w:r>
        <w:rPr>
          <w:rFonts w:hint="eastAsia" w:ascii="宋体" w:hAnsi="宋体"/>
          <w:color w:val="auto"/>
          <w:szCs w:val="21"/>
          <w:highlight w:val="none"/>
        </w:rPr>
        <w:t>同</w:t>
      </w:r>
      <w:r>
        <w:rPr>
          <w:rFonts w:hint="eastAsia" w:ascii="宋体" w:hAnsi="宋体"/>
          <w:color w:val="auto"/>
          <w:szCs w:val="21"/>
          <w:highlight w:val="none"/>
        </w:rPr>
        <w:t>时</w:t>
      </w:r>
      <w:bookmarkStart w:id="94" w:name="_GoBack"/>
      <w:bookmarkEnd w:id="94"/>
      <w:r>
        <w:rPr>
          <w:rFonts w:hint="eastAsia" w:ascii="宋体" w:hAnsi="宋体"/>
          <w:color w:val="auto"/>
          <w:szCs w:val="21"/>
          <w:highlight w:val="none"/>
        </w:rPr>
        <w:t>将“断字缺亮”问题与整改完成的对比照片资料一式数份提交商家业主、街道亮灯专管员、区亮化办长效管理员存档备案。户外广告灯“断字缺亮” 整改费用不单独列支，投标方需无条件配合，要求中标通知书下达按区亮化办指令即开始投入整改任务，具体街道或区域由招标人视情况定。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6、增设景观灯代整治要求，养护单位即为代整治单位。针对质保期工程的施工单位出现两次由区亮化办书面通知不响应整改的，启动代整治方式（主要针对运河沿线及重点道路显著部位）落实问题整改。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工作流程：区亮化办通知进行代整治处置时，养护单位做好整治问题预箅与完工决算，由区亮化办提交原施工单位盖章签字确认，然后由区亮化办指令养护单位进行代整治作业整改及落实费用从工程质保金结算。</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7、本次招标两个标段的养护子项目，每一个需单独报价，同时中标第一次进入养护须经甲方书面同意后才能作业。因改建等原因单个子项目需停止养护则费用相应扣除。</w:t>
      </w:r>
    </w:p>
    <w:p>
      <w:pPr>
        <w:spacing w:line="400" w:lineRule="exact"/>
        <w:ind w:firstLine="315" w:firstLineChars="150"/>
        <w:rPr>
          <w:rFonts w:ascii="宋体" w:hAnsi="宋体"/>
          <w:color w:val="auto"/>
          <w:szCs w:val="21"/>
          <w:highlight w:val="none"/>
        </w:rPr>
      </w:pPr>
      <w:r>
        <w:rPr>
          <w:rFonts w:hint="eastAsia" w:ascii="宋体" w:hAnsi="宋体"/>
          <w:color w:val="auto"/>
          <w:szCs w:val="21"/>
          <w:highlight w:val="none"/>
        </w:rPr>
        <w:t>8、养护维修涉及更换的均包含原设施拆除；列入招标范围建筑亮灯附属的</w:t>
      </w:r>
      <w:r>
        <w:rPr>
          <w:rFonts w:ascii="宋体" w:hAnsi="宋体"/>
          <w:color w:val="auto"/>
          <w:szCs w:val="21"/>
          <w:highlight w:val="none"/>
        </w:rPr>
        <w:t>LOGE</w:t>
      </w:r>
      <w:r>
        <w:rPr>
          <w:rFonts w:hint="eastAsia" w:ascii="宋体" w:hAnsi="宋体"/>
          <w:color w:val="auto"/>
          <w:szCs w:val="21"/>
          <w:highlight w:val="none"/>
        </w:rPr>
        <w:t>属于养护项目；未纳入招标养护的建筑物亮灯设施，必须配合区亮化办协商维修，费用参照中标单价与企业结算。</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9、如有大修建议，投标方在报价中考虑，投标方在投标时自行现场踏看，在养护周期中招标方会根据实际情况提出大修要求。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10、在养护过程中，除特殊材料及新工艺、新材料需报甲方认可外，养护所需一般材料、成品、设备等，均由乙方自行解决，对无法使用的灯具、光源、电器，更换时品牌的选择应与原使用品牌相同。对无法采购到的光源、电器，应采用如下品牌，并经甲方同意（</w:t>
      </w:r>
      <w:r>
        <w:rPr>
          <w:rFonts w:hint="eastAsia" w:ascii="宋体" w:hAnsi="宋体"/>
          <w:b/>
          <w:color w:val="auto"/>
          <w:szCs w:val="21"/>
          <w:highlight w:val="none"/>
          <w:u w:val="single"/>
        </w:rPr>
        <w:t>光源、电器品牌：PHILIPS、GE、VS、OSRAM等；LED芯片品牌CREE、LUMILEDS、OSRAM、日亚等）</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投标人中标后，甲方与中标人签定安全生产责任书，责任书中明确提出，在养护期间所发生的任何安全事故一律由中标方负责，甲方不承担任何责任。甲方将定期对安全生产进行检查，万一出现安全事故，甲方有义务帮助中标方协调解决。</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12、安全检查应每月对标段内设施覆盖一次，重大保障期间增加专项检查。</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13、中标后，原灯具存在偷盗或人为造成不亮均由中标人负责维修和更换。</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14、对更换的设备，需要提供至少1年的设备质保期，若合同执行完毕，发现更换的设备在1年内损坏，则在履约保证金内扣除相关费用。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15、景观灯亮灯率保持在99%以上，设施完好率99%以上；灯杆、灯头保持整洁、无锈渍。故障灯修复时间不超过48小时；对各变配电及控制设备路灯设施自然损坏及灯杆被撞，修复时间不得超过3天。</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16、投标单位做好相关维护保养台账，并每周汇总后形成《建筑物景观照明设施养护周报》（格式见合同条款附表3），合同履行结束后，所有材料均需移交给招标人。</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17、两个标段，涉及公共部位的灯杆、电箱均要按招标方指示落实贴牌标示，投标方在报价中考虑。</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18、养护单位要安排专人配合区亮化办宣传、督查等相关工作，相关费用投标方在报价中考虑。</w:t>
      </w:r>
    </w:p>
    <w:p>
      <w:pPr>
        <w:spacing w:line="400" w:lineRule="exact"/>
        <w:ind w:firstLine="211" w:firstLineChars="100"/>
        <w:rPr>
          <w:rFonts w:ascii="宋体" w:hAnsi="宋体"/>
          <w:b/>
          <w:color w:val="auto"/>
          <w:szCs w:val="21"/>
          <w:highlight w:val="none"/>
        </w:rPr>
      </w:pPr>
      <w:r>
        <w:rPr>
          <w:rFonts w:hint="eastAsia" w:ascii="宋体" w:hAnsi="宋体"/>
          <w:b/>
          <w:color w:val="auto"/>
          <w:szCs w:val="21"/>
          <w:highlight w:val="none"/>
        </w:rPr>
        <w:t>（四）夜景动态方案制作及维护（纳入百瑞运河大饭店实施）</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中标方每年需提供3套动态场景编辑制作及动态程序生成，并及时进行现场程序更换工作。（如业主方没有更换需求则无需进行相关工作）</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动态场景的制作包含动态视频场景制作，图片画面制作，动画视频制作等，也可根据业主提供的相关素材进行编辑，每个动态场景的片长时间不低于2分钟（如因素材内容有限则以素材内容长短时间为准）新制作的动态方案需提交灯光管理部门进行审核，未通过的方案需修改达到要求后，方予以采纳。</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夜景动态方案制作及维护需投标方单独报价，报价包含在标段二总价中，投标方中标后按招标方要求落实完场此工作内容，如不执行则扣除相应费用及进行综合考核处理。</w:t>
      </w:r>
    </w:p>
    <w:p>
      <w:pPr>
        <w:snapToGrid w:val="0"/>
        <w:spacing w:line="400" w:lineRule="exact"/>
        <w:ind w:left="238"/>
        <w:outlineLvl w:val="2"/>
        <w:rPr>
          <w:rFonts w:ascii="宋体" w:hAnsi="宋体"/>
          <w:b/>
          <w:color w:val="auto"/>
          <w:szCs w:val="21"/>
          <w:highlight w:val="none"/>
        </w:rPr>
      </w:pPr>
      <w:r>
        <w:rPr>
          <w:rFonts w:hint="eastAsia" w:ascii="宋体" w:hAnsi="宋体"/>
          <w:b/>
          <w:color w:val="auto"/>
          <w:szCs w:val="21"/>
          <w:highlight w:val="none"/>
        </w:rPr>
        <w:t>（五）相关要求</w:t>
      </w:r>
    </w:p>
    <w:p>
      <w:pPr>
        <w:spacing w:line="400" w:lineRule="exact"/>
        <w:ind w:firstLine="420" w:firstLineChars="200"/>
        <w:rPr>
          <w:color w:val="auto"/>
          <w:szCs w:val="21"/>
          <w:highlight w:val="none"/>
        </w:rPr>
      </w:pPr>
      <w:r>
        <w:rPr>
          <w:rFonts w:hint="eastAsia"/>
          <w:color w:val="auto"/>
          <w:szCs w:val="21"/>
          <w:highlight w:val="none"/>
        </w:rPr>
        <w:t>1、养护期限内，中标人应按照相应的作业标准和管理规定，合理组织，精心养护，圆满完成承包期内的养护管理任务。</w:t>
      </w:r>
    </w:p>
    <w:p>
      <w:pPr>
        <w:spacing w:line="400" w:lineRule="exact"/>
        <w:ind w:firstLine="420" w:firstLineChars="200"/>
        <w:rPr>
          <w:color w:val="auto"/>
          <w:szCs w:val="21"/>
          <w:highlight w:val="none"/>
        </w:rPr>
      </w:pPr>
      <w:r>
        <w:rPr>
          <w:rFonts w:hint="eastAsia"/>
          <w:color w:val="auto"/>
          <w:szCs w:val="21"/>
          <w:highlight w:val="none"/>
        </w:rPr>
        <w:t>2、对本合同养护项目实施养护管理所需的一切劳动力、材料、设备和服务由中标人自行组织，由此产生的一切费用由中标人承担。</w:t>
      </w:r>
    </w:p>
    <w:p>
      <w:pPr>
        <w:spacing w:line="400" w:lineRule="exact"/>
        <w:ind w:firstLine="420" w:firstLineChars="200"/>
        <w:rPr>
          <w:color w:val="auto"/>
          <w:szCs w:val="21"/>
          <w:highlight w:val="none"/>
        </w:rPr>
      </w:pPr>
      <w:r>
        <w:rPr>
          <w:rFonts w:hint="eastAsia"/>
          <w:color w:val="auto"/>
          <w:szCs w:val="21"/>
          <w:highlight w:val="none"/>
        </w:rPr>
        <w:t>3、承包期限内，如发生所养护的设施量人为减小或损毁的（包括偷盗），应由中标人自主处理理赔事宜，并按规定及时补齐或修复，所需费用原则上由中标人承担，如发生不可抗力或自然灾害所引起的设施缺损，经双方协商后确认费用承担方案。</w:t>
      </w:r>
    </w:p>
    <w:p>
      <w:pPr>
        <w:spacing w:line="400" w:lineRule="exact"/>
        <w:ind w:firstLine="420" w:firstLineChars="200"/>
        <w:rPr>
          <w:color w:val="auto"/>
          <w:szCs w:val="21"/>
          <w:highlight w:val="none"/>
        </w:rPr>
      </w:pPr>
      <w:r>
        <w:rPr>
          <w:rFonts w:hint="eastAsia"/>
          <w:color w:val="auto"/>
          <w:szCs w:val="21"/>
          <w:highlight w:val="none"/>
        </w:rPr>
        <w:t>4、中标人应按规定向甲方提供养护管理计划及落实有关措施；中标人应对所有的实施设备进行日常保养和维修，保证所有设施设备正常运作。</w:t>
      </w:r>
    </w:p>
    <w:p>
      <w:pPr>
        <w:spacing w:line="400" w:lineRule="exact"/>
        <w:ind w:firstLine="420" w:firstLineChars="200"/>
        <w:rPr>
          <w:color w:val="auto"/>
          <w:szCs w:val="21"/>
          <w:highlight w:val="none"/>
        </w:rPr>
      </w:pPr>
      <w:r>
        <w:rPr>
          <w:rFonts w:hint="eastAsia"/>
          <w:color w:val="auto"/>
          <w:szCs w:val="21"/>
          <w:highlight w:val="none"/>
        </w:rPr>
        <w:t>5、中标人在搞好日常养护工作的同时，必须配合招标人做好重大节假日和重大活动的保障工作。</w:t>
      </w:r>
      <w:r>
        <w:rPr>
          <w:rFonts w:hint="eastAsia" w:ascii="宋体" w:hAnsi="宋体"/>
          <w:b/>
          <w:color w:val="auto"/>
          <w:szCs w:val="21"/>
          <w:highlight w:val="none"/>
          <w:u w:val="single"/>
        </w:rPr>
        <w:t>如重大活动及节假日行期间，投标单位须做好应急保障措施，安排人员24小时值班，准备总维护量5%的额备货。</w:t>
      </w:r>
    </w:p>
    <w:p>
      <w:pPr>
        <w:spacing w:line="400" w:lineRule="exact"/>
        <w:ind w:firstLine="420" w:firstLineChars="200"/>
        <w:rPr>
          <w:color w:val="auto"/>
          <w:szCs w:val="21"/>
          <w:highlight w:val="none"/>
        </w:rPr>
      </w:pPr>
      <w:r>
        <w:rPr>
          <w:rFonts w:hint="eastAsia"/>
          <w:color w:val="auto"/>
          <w:szCs w:val="21"/>
          <w:highlight w:val="none"/>
        </w:rPr>
        <w:t>6、</w:t>
      </w:r>
      <w:r>
        <w:rPr>
          <w:rFonts w:hint="eastAsia"/>
          <w:b/>
          <w:color w:val="auto"/>
          <w:szCs w:val="21"/>
          <w:highlight w:val="none"/>
          <w:u w:val="single"/>
        </w:rPr>
        <w:t>中标人必须为全体作业员工购买社保和人身意外保险，必须重视安全生产工作，确保全年不出安全生产责任事故。如发生安全生产责任事故或交通事故，由中标人承担一切责任及损失</w:t>
      </w:r>
      <w:r>
        <w:rPr>
          <w:rFonts w:hint="eastAsia"/>
          <w:color w:val="auto"/>
          <w:szCs w:val="21"/>
          <w:highlight w:val="none"/>
        </w:rPr>
        <w:t>。</w:t>
      </w:r>
    </w:p>
    <w:p>
      <w:pPr>
        <w:spacing w:line="400" w:lineRule="exact"/>
        <w:ind w:firstLine="435"/>
        <w:jc w:val="left"/>
        <w:rPr>
          <w:rFonts w:ascii="仿宋_GB2312" w:hAnsi="仿宋"/>
          <w:b/>
          <w:color w:val="auto"/>
          <w:szCs w:val="21"/>
          <w:highlight w:val="none"/>
        </w:rPr>
      </w:pPr>
      <w:r>
        <w:rPr>
          <w:rFonts w:hint="eastAsia"/>
          <w:b/>
          <w:color w:val="auto"/>
          <w:szCs w:val="21"/>
          <w:highlight w:val="none"/>
        </w:rPr>
        <w:t>7、中标人必须遵守</w:t>
      </w:r>
      <w:r>
        <w:rPr>
          <w:rFonts w:hint="eastAsia" w:ascii="宋体" w:hAnsi="宋体"/>
          <w:b/>
          <w:color w:val="auto"/>
          <w:szCs w:val="21"/>
          <w:highlight w:val="none"/>
        </w:rPr>
        <w:t>《</w:t>
      </w:r>
      <w:r>
        <w:rPr>
          <w:rFonts w:hint="eastAsia" w:ascii="方正小标宋简体" w:hAnsi="方正小标宋简体" w:cs="方正小标宋简体"/>
          <w:b/>
          <w:color w:val="auto"/>
          <w:szCs w:val="21"/>
          <w:highlight w:val="none"/>
        </w:rPr>
        <w:t>拱墅区城市管理局安全生产（消防安全）管理办法</w:t>
      </w:r>
      <w:r>
        <w:rPr>
          <w:rFonts w:hint="eastAsia" w:ascii="宋体" w:hAnsi="宋体"/>
          <w:b/>
          <w:color w:val="auto"/>
          <w:szCs w:val="21"/>
          <w:highlight w:val="none"/>
        </w:rPr>
        <w:t>》</w:t>
      </w:r>
      <w:r>
        <w:rPr>
          <w:rFonts w:hint="eastAsia" w:ascii="仿宋_GB2312" w:hAnsi="仿宋"/>
          <w:b/>
          <w:color w:val="auto"/>
          <w:szCs w:val="21"/>
          <w:highlight w:val="none"/>
        </w:rPr>
        <w:t>拱城管〔2017〕18号文（附文件），以及市、区政府发布的安全生产文件和市亮灯主管部门的安全保障要求等。中标后在签定合同时同步签署安全生产协议书。</w:t>
      </w:r>
    </w:p>
    <w:p>
      <w:pPr>
        <w:spacing w:line="400" w:lineRule="exact"/>
        <w:ind w:firstLine="435"/>
        <w:jc w:val="left"/>
        <w:rPr>
          <w:rFonts w:ascii="仿宋_GB2312" w:hAnsi="仿宋"/>
          <w:b/>
          <w:color w:val="auto"/>
          <w:szCs w:val="21"/>
          <w:highlight w:val="none"/>
        </w:rPr>
      </w:pPr>
    </w:p>
    <w:p>
      <w:pPr>
        <w:spacing w:line="500" w:lineRule="exact"/>
        <w:jc w:val="left"/>
        <w:rPr>
          <w:rFonts w:ascii="宋体" w:hAnsi="宋体"/>
          <w:b/>
          <w:color w:val="auto"/>
          <w:szCs w:val="28"/>
          <w:highlight w:val="none"/>
        </w:rPr>
      </w:pPr>
      <w:r>
        <w:rPr>
          <w:rFonts w:hint="eastAsia"/>
          <w:b/>
          <w:color w:val="auto"/>
          <w:szCs w:val="21"/>
          <w:highlight w:val="none"/>
        </w:rPr>
        <w:t xml:space="preserve">    </w:t>
      </w:r>
      <w:r>
        <w:rPr>
          <w:rFonts w:hint="eastAsia" w:ascii="宋体" w:hAnsi="宋体"/>
          <w:b/>
          <w:color w:val="auto"/>
          <w:szCs w:val="28"/>
          <w:highlight w:val="none"/>
        </w:rPr>
        <w:t>四、养护服务考核及考核细则</w:t>
      </w:r>
    </w:p>
    <w:p>
      <w:pPr>
        <w:spacing w:line="500" w:lineRule="exact"/>
        <w:ind w:firstLine="415" w:firstLineChars="197"/>
        <w:jc w:val="left"/>
        <w:rPr>
          <w:rFonts w:ascii="仿宋_GB2312" w:hAnsi="仿宋"/>
          <w:b/>
          <w:color w:val="auto"/>
          <w:szCs w:val="21"/>
          <w:highlight w:val="none"/>
        </w:rPr>
      </w:pPr>
      <w:r>
        <w:rPr>
          <w:rFonts w:hint="eastAsia"/>
          <w:b/>
          <w:color w:val="auto"/>
          <w:szCs w:val="21"/>
          <w:highlight w:val="none"/>
        </w:rPr>
        <w:t>在市</w:t>
      </w:r>
      <w:r>
        <w:rPr>
          <w:rFonts w:hint="eastAsia" w:ascii="仿宋_GB2312" w:hAnsi="仿宋"/>
          <w:b/>
          <w:color w:val="auto"/>
          <w:szCs w:val="21"/>
          <w:highlight w:val="none"/>
        </w:rPr>
        <w:t>亮灯主管部门的考核文件及要求基础上，为进一步加强管理，</w:t>
      </w:r>
      <w:r>
        <w:rPr>
          <w:rFonts w:hint="eastAsia"/>
          <w:b/>
          <w:color w:val="auto"/>
          <w:szCs w:val="21"/>
          <w:highlight w:val="none"/>
        </w:rPr>
        <w:t>中标人必须执行拱墅区亮化办制定的</w:t>
      </w:r>
      <w:r>
        <w:rPr>
          <w:rFonts w:hint="eastAsia" w:ascii="宋体" w:hAnsi="宋体"/>
          <w:b/>
          <w:color w:val="auto"/>
          <w:szCs w:val="21"/>
          <w:highlight w:val="none"/>
        </w:rPr>
        <w:t>《</w:t>
      </w:r>
      <w:r>
        <w:rPr>
          <w:rFonts w:hint="eastAsia" w:ascii="方正小标宋简体" w:hAnsi="方正小标宋简体" w:cs="方正小标宋简体"/>
          <w:b/>
          <w:color w:val="auto"/>
          <w:szCs w:val="21"/>
          <w:highlight w:val="none"/>
        </w:rPr>
        <w:t>拱墅区亮灯设施维护月度考核办法</w:t>
      </w:r>
      <w:r>
        <w:rPr>
          <w:rFonts w:hint="eastAsia" w:ascii="宋体" w:hAnsi="宋体"/>
          <w:b/>
          <w:color w:val="auto"/>
          <w:szCs w:val="21"/>
          <w:highlight w:val="none"/>
        </w:rPr>
        <w:t>》</w:t>
      </w:r>
      <w:r>
        <w:rPr>
          <w:rFonts w:hint="eastAsia" w:ascii="仿宋_GB2312" w:hAnsi="仿宋"/>
          <w:b/>
          <w:color w:val="auto"/>
          <w:szCs w:val="21"/>
          <w:highlight w:val="none"/>
        </w:rPr>
        <w:t>拱亮办〔2019〕1号，如有与市考核文件相冲突的按扣罚标准高的执行。中标后在签定合同时同步签署廉政建设责任书。</w:t>
      </w: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pStyle w:val="2"/>
        <w:ind w:firstLine="420"/>
        <w:rPr>
          <w:color w:val="auto"/>
          <w:highlight w:val="none"/>
          <w:lang w:val="en-US"/>
        </w:rPr>
      </w:pPr>
    </w:p>
    <w:p>
      <w:pPr>
        <w:jc w:val="center"/>
        <w:rPr>
          <w:color w:val="auto"/>
          <w:highlight w:val="none"/>
        </w:rPr>
      </w:pPr>
      <w:r>
        <w:rPr>
          <w:color w:val="auto"/>
          <w:highlight w:val="none"/>
        </w:rPr>
        <w:pict>
          <v:shape id="_x0000_i1025" o:spt="136" type="#_x0000_t136" style="height:69.8pt;width:417.05pt;" fillcolor="#FF0000" filled="t" stroked="t" coordsize="21600,21600">
            <v:path/>
            <v:fill on="t" focussize="0,0"/>
            <v:stroke color="#FF0000"/>
            <v:imagedata o:title=""/>
            <o:lock v:ext="edit"/>
            <v:textpath on="t" fitshape="t" fitpath="t" trim="t" xscale="f" string="杭州市拱墅区亮化工作领导小组办公室文件" style="font-family:宋体;font-size:24pt;font-weight:bold;v-text-align:center;"/>
            <w10:wrap type="none"/>
            <w10:anchorlock/>
          </v:shape>
        </w:pict>
      </w:r>
    </w:p>
    <w:p>
      <w:pPr>
        <w:jc w:val="center"/>
        <w:rPr>
          <w:color w:val="auto"/>
          <w:highlight w:val="none"/>
        </w:rPr>
      </w:pPr>
    </w:p>
    <w:p>
      <w:pPr>
        <w:jc w:val="center"/>
        <w:rPr>
          <w:rFonts w:ascii="仿宋" w:hAnsi="仿宋" w:eastAsia="仿宋"/>
          <w:color w:val="auto"/>
          <w:szCs w:val="28"/>
          <w:highlight w:val="none"/>
        </w:rPr>
      </w:pPr>
      <w:r>
        <w:rPr>
          <w:rFonts w:hint="eastAsia" w:ascii="仿宋" w:hAnsi="仿宋" w:eastAsia="仿宋"/>
          <w:color w:val="auto"/>
          <w:szCs w:val="28"/>
          <w:highlight w:val="none"/>
        </w:rPr>
        <w:t>拱亮办〔2019〕1号</w:t>
      </w:r>
    </w:p>
    <w:tbl>
      <w:tblPr>
        <w:tblStyle w:val="47"/>
        <w:tblpPr w:leftFromText="180" w:rightFromText="180" w:vertAnchor="text" w:horzAnchor="margin" w:tblpY="153"/>
        <w:tblW w:w="8748" w:type="dxa"/>
        <w:tblInd w:w="0"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8748"/>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rPr>
          <w:trHeight w:val="410" w:hRule="atLeast"/>
        </w:trPr>
        <w:tc>
          <w:tcPr>
            <w:tcW w:w="8748" w:type="dxa"/>
            <w:tcBorders>
              <w:left w:val="nil"/>
              <w:bottom w:val="nil"/>
              <w:right w:val="nil"/>
            </w:tcBorders>
          </w:tcPr>
          <w:p>
            <w:pPr>
              <w:jc w:val="center"/>
              <w:rPr>
                <w:color w:val="auto"/>
                <w:highlight w:val="none"/>
              </w:rPr>
            </w:pPr>
          </w:p>
        </w:tc>
      </w:tr>
    </w:tbl>
    <w:p>
      <w:pPr>
        <w:spacing w:line="460" w:lineRule="exact"/>
        <w:jc w:val="center"/>
        <w:rPr>
          <w:rFonts w:ascii="黑体" w:hAnsi="黑体" w:eastAsia="黑体"/>
          <w:color w:val="auto"/>
          <w:sz w:val="36"/>
          <w:szCs w:val="36"/>
          <w:highlight w:val="none"/>
        </w:rPr>
      </w:pPr>
      <w:r>
        <w:rPr>
          <w:rFonts w:hint="eastAsia" w:ascii="黑体" w:hAnsi="黑体" w:eastAsia="黑体"/>
          <w:color w:val="auto"/>
          <w:sz w:val="36"/>
          <w:szCs w:val="36"/>
          <w:highlight w:val="none"/>
        </w:rPr>
        <w:t>拱墅区亮灯设施维护管理考核办法</w:t>
      </w:r>
    </w:p>
    <w:p>
      <w:pPr>
        <w:spacing w:line="460" w:lineRule="exact"/>
        <w:rPr>
          <w:rFonts w:ascii="宋体" w:hAnsi="宋体"/>
          <w:color w:val="auto"/>
          <w:highlight w:val="none"/>
        </w:rPr>
      </w:pP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为进一步落实拱墅区亮灯设施长效管理，督促规范亮灯设施维护的质量、安全、文明等作业行为。拉高养护标杆，保障景观亮灯设施安全、完整、有序的运行，全面提升拱墅夜景秀美品质。结合打造拱墅区运河沿岸名区建设，在市级考核标准基础上加大日常管理力度，确保景观性、功能性、户外广告性亮灯按市级长效要求落实完好率、亮灯率指标，特修订以下考核办法：</w:t>
      </w:r>
    </w:p>
    <w:p>
      <w:pPr>
        <w:spacing w:line="460" w:lineRule="exact"/>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一、考核对象：</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1、拱墅区亮化设施养护单位。</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2、未过质保期的拱墅区亮化提升项目施工单位。</w:t>
      </w:r>
    </w:p>
    <w:p>
      <w:pPr>
        <w:spacing w:line="460" w:lineRule="exact"/>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二、考核范围：</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1、纳入拱墅区市场化养护招投标范围内的景观照明设施。</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2、纳入拱墅区市场化养护招投标特殊要求的户外广告（店招）设施,落实“跨一步、带一把”的代整治工作。</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3、未过施工质保期的拱墅区亮化工程的存量设施,以及落实养护单位进行工程质保期代整治工作。</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4、节假日、重大节庆等重要节会期间，全区范围内所有列入保障范围的景观照明、户外广告（店招）设施。</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5、主次干道路灯设施状况反馈。</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6、日常对全区范围的景观灯、户外广告灯、路灯等照明设施的巡查工作。</w:t>
      </w:r>
    </w:p>
    <w:p>
      <w:pPr>
        <w:spacing w:line="460" w:lineRule="exact"/>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三、工作目标：</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1、年度市场化养护范围内景观照明设施亮灯率98％以上，及时维修率98％，月度维修率100％，无安全隐患。</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2、年度配合户外广告（店招）及时维修率90％以上，月度维修率100％，无断字缺亮、无安全隐患。</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3、节假日、重大节庆等重要节会期间，列入保障范围内景观照明设施亮灯率100％，景观照明、户外广告（店招）设施及时维修率100％。</w:t>
      </w:r>
    </w:p>
    <w:p>
      <w:pPr>
        <w:spacing w:line="460" w:lineRule="exact"/>
        <w:ind w:firstLine="480" w:firstLineChars="200"/>
        <w:jc w:val="left"/>
        <w:rPr>
          <w:rFonts w:ascii="仿宋" w:hAnsi="仿宋" w:eastAsia="仿宋"/>
          <w:b/>
          <w:color w:val="auto"/>
          <w:sz w:val="24"/>
          <w:highlight w:val="none"/>
        </w:rPr>
      </w:pPr>
      <w:r>
        <w:rPr>
          <w:rFonts w:hint="eastAsia" w:ascii="黑体" w:hAnsi="黑体" w:eastAsia="黑体"/>
          <w:color w:val="auto"/>
          <w:sz w:val="24"/>
          <w:highlight w:val="none"/>
        </w:rPr>
        <w:t>四、考核主要内容：</w:t>
      </w:r>
    </w:p>
    <w:p>
      <w:pPr>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1、对养护单位日常亮灯保障工作落实的情况。</w:t>
      </w:r>
    </w:p>
    <w:p>
      <w:pPr>
        <w:tabs>
          <w:tab w:val="left" w:pos="1935"/>
        </w:tabs>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2、对养护单位日常巡查等工作落实的情况。</w:t>
      </w:r>
    </w:p>
    <w:p>
      <w:pPr>
        <w:tabs>
          <w:tab w:val="left" w:pos="1935"/>
        </w:tabs>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3、对养护单位亮灯设施维修、储备、保养的情况，对质保期施工单位亮灯设施维修的情况。</w:t>
      </w:r>
    </w:p>
    <w:p>
      <w:pPr>
        <w:tabs>
          <w:tab w:val="left" w:pos="1935"/>
        </w:tabs>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4、对养护单位安全文明施工、应急处置、宣传报导等落实的情况。</w:t>
      </w:r>
    </w:p>
    <w:p>
      <w:pPr>
        <w:tabs>
          <w:tab w:val="left" w:pos="1935"/>
        </w:tabs>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5、对养护单位总结及台账落实的情况。</w:t>
      </w:r>
    </w:p>
    <w:p>
      <w:pPr>
        <w:spacing w:line="460" w:lineRule="exact"/>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五、考核通报</w:t>
      </w:r>
    </w:p>
    <w:p>
      <w:pPr>
        <w:tabs>
          <w:tab w:val="left" w:pos="1785"/>
        </w:tabs>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区亮化办对日常养护工作进行月度考核、年度考核的结论通报，作为养护单位费用结算依据。涉及月度无处罚或处罚在3000元（含）以下的由区亮化办签发，月度处罚在3000元以上的报局分管领导签发，出现月度考核不及格的报主要领导。</w:t>
      </w:r>
    </w:p>
    <w:p>
      <w:pPr>
        <w:tabs>
          <w:tab w:val="left" w:pos="1785"/>
        </w:tabs>
        <w:spacing w:line="4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本考核办法自2019年发文之日起执行。如相关内容今后与市级文件冲突按照市级文件执行。</w:t>
      </w:r>
    </w:p>
    <w:p>
      <w:pPr>
        <w:adjustRightInd w:val="0"/>
        <w:snapToGrid w:val="0"/>
        <w:spacing w:line="460" w:lineRule="exact"/>
        <w:ind w:firstLine="480" w:firstLineChars="200"/>
        <w:jc w:val="left"/>
        <w:rPr>
          <w:rFonts w:ascii="宋体" w:hAnsi="宋体"/>
          <w:color w:val="auto"/>
          <w:sz w:val="24"/>
          <w:highlight w:val="none"/>
        </w:rPr>
      </w:pPr>
    </w:p>
    <w:p>
      <w:pPr>
        <w:adjustRightInd w:val="0"/>
        <w:snapToGrid w:val="0"/>
        <w:spacing w:line="460" w:lineRule="exact"/>
        <w:jc w:val="left"/>
        <w:rPr>
          <w:rFonts w:ascii="仿宋" w:hAnsi="仿宋" w:eastAsia="仿宋"/>
          <w:color w:val="auto"/>
          <w:sz w:val="24"/>
          <w:highlight w:val="none"/>
        </w:rPr>
      </w:pPr>
      <w:r>
        <w:rPr>
          <w:rFonts w:hint="eastAsia" w:ascii="仿宋" w:hAnsi="仿宋" w:eastAsia="仿宋"/>
          <w:color w:val="auto"/>
          <w:sz w:val="24"/>
          <w:highlight w:val="none"/>
        </w:rPr>
        <w:t>附件:</w:t>
      </w:r>
    </w:p>
    <w:p>
      <w:pPr>
        <w:adjustRightInd w:val="0"/>
        <w:snapToGrid w:val="0"/>
        <w:spacing w:line="46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1、拱墅区亮灯设施管理考核细则</w:t>
      </w:r>
    </w:p>
    <w:p>
      <w:pPr>
        <w:spacing w:line="46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2、《拱墅区景观照明设施养护考核评分标准（日常检查）》</w:t>
      </w:r>
    </w:p>
    <w:p>
      <w:pPr>
        <w:spacing w:line="46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3、《拱墅区景观照明设施养护考核评分标准（台账检查）》</w:t>
      </w:r>
    </w:p>
    <w:p>
      <w:pPr>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w:t>
      </w:r>
    </w:p>
    <w:p>
      <w:pPr>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拱墅区亮化工作领导小组办公室</w:t>
      </w:r>
    </w:p>
    <w:p>
      <w:pPr>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2019年 3 月 26 日</w:t>
      </w:r>
    </w:p>
    <w:p>
      <w:pPr>
        <w:rPr>
          <w:color w:val="auto"/>
          <w:highlight w:val="none"/>
        </w:rPr>
      </w:pPr>
    </w:p>
    <w:p>
      <w:pPr>
        <w:rPr>
          <w:color w:val="auto"/>
          <w:highlight w:val="none"/>
        </w:rPr>
      </w:pPr>
    </w:p>
    <w:p>
      <w:pPr>
        <w:rPr>
          <w:color w:val="auto"/>
          <w:highlight w:val="none"/>
        </w:rPr>
      </w:pPr>
    </w:p>
    <w:p>
      <w:pPr>
        <w:rPr>
          <w:color w:val="auto"/>
          <w:highlight w:val="none"/>
        </w:rPr>
      </w:pPr>
    </w:p>
    <w:p>
      <w:pPr>
        <w:spacing w:line="46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主题词：亮化  市场化养护  考核  办法</w:t>
      </w:r>
    </w:p>
    <w:p>
      <w:pPr>
        <w:spacing w:line="460" w:lineRule="exact"/>
        <w:rPr>
          <w:rFonts w:ascii="仿宋" w:hAnsi="仿宋" w:eastAsia="仿宋"/>
          <w:color w:val="auto"/>
          <w:sz w:val="32"/>
          <w:szCs w:val="32"/>
          <w:highlight w:val="none"/>
        </w:rPr>
      </w:pPr>
      <w:r>
        <w:rPr>
          <w:rFonts w:ascii="仿宋" w:hAnsi="仿宋" w:eastAsia="仿宋"/>
          <w:color w:val="auto"/>
          <w:sz w:val="32"/>
          <w:szCs w:val="32"/>
          <w:highlight w:val="none"/>
        </w:rPr>
        <w:pict>
          <v:line id="_x0000_s1026" o:spid="_x0000_s1026" o:spt="20" style="position:absolute;left:0pt;margin-left:-18pt;margin-top:3pt;height:0pt;width:473.25pt;z-index:251660288;mso-width-relative:page;mso-height-relative:page;" coordsize="21600,21600">
            <v:path arrowok="t"/>
            <v:fill focussize="0,0"/>
            <v:stroke weight="1pt"/>
            <v:imagedata o:title=""/>
            <o:lock v:ext="edit"/>
          </v:line>
        </w:pict>
      </w:r>
      <w:r>
        <w:rPr>
          <w:rFonts w:hint="eastAsia" w:ascii="仿宋" w:hAnsi="仿宋" w:eastAsia="仿宋"/>
          <w:b/>
          <w:color w:val="auto"/>
          <w:sz w:val="32"/>
          <w:szCs w:val="32"/>
          <w:highlight w:val="none"/>
        </w:rPr>
        <w:t>抄送</w:t>
      </w:r>
      <w:r>
        <w:rPr>
          <w:rFonts w:hint="eastAsia" w:ascii="仿宋" w:hAnsi="仿宋" w:eastAsia="仿宋"/>
          <w:color w:val="auto"/>
          <w:sz w:val="32"/>
          <w:szCs w:val="32"/>
          <w:highlight w:val="none"/>
        </w:rPr>
        <w:t>：市亮灯监管中心、区财政局、各街道办事处、余荣升副区长</w:t>
      </w:r>
    </w:p>
    <w:p>
      <w:pPr>
        <w:spacing w:line="460" w:lineRule="exact"/>
        <w:rPr>
          <w:rFonts w:ascii="仿宋" w:hAnsi="仿宋" w:eastAsia="仿宋"/>
          <w:color w:val="auto"/>
          <w:sz w:val="32"/>
          <w:szCs w:val="32"/>
          <w:highlight w:val="none"/>
        </w:rPr>
      </w:pPr>
      <w:r>
        <w:rPr>
          <w:rFonts w:ascii="仿宋" w:hAnsi="仿宋" w:eastAsia="仿宋"/>
          <w:color w:val="auto"/>
          <w:sz w:val="32"/>
          <w:szCs w:val="32"/>
          <w:highlight w:val="none"/>
        </w:rPr>
        <w:pict>
          <v:line id="_x0000_s1028" o:spid="_x0000_s1028" o:spt="20" style="position:absolute;left:0pt;margin-left:-15.75pt;margin-top:24.1pt;height:0pt;width:473.25pt;z-index:251662336;mso-width-relative:page;mso-height-relative:page;" coordsize="21600,21600">
            <v:path arrowok="t"/>
            <v:fill focussize="0,0"/>
            <v:stroke weight="1pt"/>
            <v:imagedata o:title=""/>
            <o:lock v:ext="edit"/>
          </v:line>
        </w:pict>
      </w:r>
      <w:r>
        <w:rPr>
          <w:rFonts w:ascii="仿宋" w:hAnsi="仿宋" w:eastAsia="仿宋"/>
          <w:color w:val="auto"/>
          <w:sz w:val="32"/>
          <w:szCs w:val="32"/>
          <w:highlight w:val="none"/>
        </w:rPr>
        <w:pict>
          <v:line id="_x0000_s1027" o:spid="_x0000_s1027" o:spt="20" style="position:absolute;left:0pt;margin-left:-10.5pt;margin-top:2.65pt;height:0pt;width:473.25pt;z-index:251661312;mso-width-relative:page;mso-height-relative:page;" coordsize="21600,21600">
            <v:path arrowok="t"/>
            <v:fill focussize="0,0"/>
            <v:stroke weight="1pt"/>
            <v:imagedata o:title=""/>
            <o:lock v:ext="edit"/>
          </v:line>
        </w:pict>
      </w:r>
      <w:r>
        <w:rPr>
          <w:rFonts w:hint="eastAsia" w:ascii="仿宋" w:hAnsi="仿宋" w:eastAsia="仿宋"/>
          <w:color w:val="auto"/>
          <w:sz w:val="32"/>
          <w:szCs w:val="32"/>
          <w:highlight w:val="none"/>
        </w:rPr>
        <w:t>拱墅区亮化工作领导小组办公室     2019年3月26日印发</w:t>
      </w:r>
    </w:p>
    <w:p>
      <w:pPr>
        <w:rPr>
          <w:color w:val="auto"/>
          <w:highlight w:val="none"/>
        </w:rPr>
      </w:pPr>
    </w:p>
    <w:p>
      <w:pPr>
        <w:adjustRightInd w:val="0"/>
        <w:snapToGrid w:val="0"/>
        <w:spacing w:line="360" w:lineRule="auto"/>
        <w:rPr>
          <w:rFonts w:ascii="宋体" w:hAnsi="宋体"/>
          <w:b/>
          <w:bCs/>
          <w:color w:val="auto"/>
          <w:szCs w:val="21"/>
          <w:highlight w:val="none"/>
        </w:rPr>
      </w:pPr>
      <w:r>
        <w:rPr>
          <w:rFonts w:ascii="仿宋_GB2312" w:eastAsia="仿宋_GB2312"/>
          <w:b/>
          <w:bCs/>
          <w:color w:val="auto"/>
          <w:sz w:val="32"/>
          <w:szCs w:val="32"/>
          <w:highlight w:val="none"/>
        </w:rPr>
        <w:br w:type="page"/>
      </w:r>
    </w:p>
    <w:p>
      <w:pPr>
        <w:spacing w:line="500" w:lineRule="exact"/>
        <w:rPr>
          <w:rFonts w:ascii="仿宋" w:hAnsi="仿宋" w:eastAsia="仿宋"/>
          <w:b/>
          <w:color w:val="auto"/>
          <w:sz w:val="24"/>
          <w:highlight w:val="none"/>
        </w:rPr>
      </w:pPr>
      <w:r>
        <w:rPr>
          <w:rFonts w:hint="eastAsia" w:ascii="仿宋" w:hAnsi="仿宋" w:eastAsia="仿宋"/>
          <w:color w:val="auto"/>
          <w:sz w:val="24"/>
          <w:highlight w:val="none"/>
        </w:rPr>
        <w:t xml:space="preserve">附件1:              </w:t>
      </w:r>
      <w:r>
        <w:rPr>
          <w:rFonts w:hint="eastAsia" w:ascii="仿宋" w:hAnsi="仿宋" w:eastAsia="仿宋"/>
          <w:b/>
          <w:color w:val="auto"/>
          <w:sz w:val="24"/>
          <w:highlight w:val="none"/>
        </w:rPr>
        <w:t>拱墅区亮灯设施维护管理考核细则</w:t>
      </w:r>
    </w:p>
    <w:p>
      <w:pPr>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按照《杭州市亮化长效管理实施意见》(修订)杭城管委〔2018〕278号文要求，以及结合拱墅区实际，特制定考核细则如下:</w:t>
      </w:r>
    </w:p>
    <w:p>
      <w:pPr>
        <w:spacing w:line="520" w:lineRule="exact"/>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一、督查整改:</w:t>
      </w:r>
    </w:p>
    <w:p>
      <w:pPr>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1、市查区改:市局业务处室会同市亮灯监管中心，市、区联合月查、市亮灯监管中心业务科室，上述三类抽查或检查的形式均归属市查，发生抄告问题(景观灯、户外广告灯)全部列入养护扣分，每处扣1分。</w:t>
      </w:r>
    </w:p>
    <w:p>
      <w:pPr>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2、区查区改:区亮灯监管科，街道城管科，上述两类检查的形式均归属区查，发生抄告问题列入养护扣分，平时每处扣0.5分、重要保障每处扣1分。</w:t>
      </w:r>
    </w:p>
    <w:p>
      <w:pPr>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自查自改:各养护单位对责任范围内的亮灯情况进行自查和整改。自查问题(景观灯、户外广告灯、路灯)必须报备区亮灯监管科，涉及景观灯问题应注明整改时限，涉及户外广告灯(含未列入市场化养护景观灯)问题应注明能否维修，涉及路灯问题应明确灯号及具体方位便于科室反馈通知处置。</w:t>
      </w:r>
    </w:p>
    <w:p>
      <w:pPr>
        <w:spacing w:line="520" w:lineRule="exact"/>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二、考核方法：</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1、扣分原因主要是发生作业考核标准不允许出现的问题或违反作业考核标准的要求进行作业的现象。</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2、扣分标准原则上按“养护考核评分标准”表执行，总分扣完为止，月度单项扣分扣完，月度考核不及格，当月考核得分低于92分（不含），月度考核不及格。</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3、重大节假日及重要节点亮灯保障时发现的问题，双倍扣分。</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4、养护范围自查自改发现问题不扣分，区查每月不少1次查到问题即扣分，市查抄告不论是否属养护范围即扣分(养护设施每处扣1分并加扣500元、其他设施扣1分)。</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5、配合月度宣传报导未达标的单列实行扣款制，市级月度宣传(微博、微信)得分低于2分的养护单位扣3000元、得分低于3分的养护单位扣2000元, 有市级宣传扣分的养护单位扣5000元。</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6、台帐检查半年度、年度各一次，检查成绩按20％比例计入考核总分，年度结束结合各月考核汇总合同期终止成绩。半年度支付为半年度费用60%预付，年度支付以月度考评扣款后按得分为折扣来累计，每月户外广告灯维修达标则当月折扣取消(维修20块为达标)。</w:t>
      </w:r>
    </w:p>
    <w:p>
      <w:pPr>
        <w:spacing w:line="520" w:lineRule="exact"/>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三、处罚标准</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1、月度考核得分低于96分（不含）为处罚线，得分92分（含）至95分为月度考核警示区，得分92分（不含）以下为月度考核不及格。</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2、月度考核得分95分至94分（含），每分扣1000元。</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3、月度考核得分93分至92分（含），每分扣2000元。</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4、月度考核得分91分（含）以下，每分扣3000元。</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5、月度市查考核中查到养护范围问题每个另扣500元。</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6、月度市对区考核七主城区的得分排名第三名（含）以上为达标，第四名扣1000元，笫五名扣2000元，笫六名扣3000元。</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7、月度考核评定不及格每次再加扣5000元，年度出现超三次月度考核评定不及格或月度连续二次考核评定不及格的中止养护合同。</w:t>
      </w:r>
    </w:p>
    <w:p>
      <w:pPr>
        <w:adjustRightInd w:val="0"/>
        <w:snapToGrid w:val="0"/>
        <w:spacing w:line="5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8、实行</w:t>
      </w:r>
      <w:r>
        <w:rPr>
          <w:rFonts w:hint="eastAsia" w:ascii="仿宋" w:hAnsi="仿宋" w:eastAsia="仿宋" w:cs="Arial"/>
          <w:color w:val="auto"/>
          <w:sz w:val="24"/>
          <w:highlight w:val="none"/>
        </w:rPr>
        <w:t>半年度（遇年终考评按年度计算）中考、年度（未到年终按半年度计算）大考的管理体制。月度考核按</w:t>
      </w:r>
      <w:r>
        <w:rPr>
          <w:rFonts w:hint="eastAsia" w:ascii="仿宋" w:hAnsi="仿宋" w:eastAsia="仿宋"/>
          <w:color w:val="auto"/>
          <w:sz w:val="24"/>
          <w:highlight w:val="none"/>
        </w:rPr>
        <w:t>《</w:t>
      </w:r>
      <w:r>
        <w:rPr>
          <w:rFonts w:hint="eastAsia" w:ascii="仿宋" w:hAnsi="仿宋" w:eastAsia="仿宋" w:cs="方正小标宋简体"/>
          <w:color w:val="auto"/>
          <w:sz w:val="24"/>
          <w:highlight w:val="none"/>
        </w:rPr>
        <w:t>拱墅区亮灯设施维护月度考核办法</w:t>
      </w:r>
      <w:r>
        <w:rPr>
          <w:rFonts w:hint="eastAsia" w:ascii="仿宋" w:hAnsi="仿宋" w:eastAsia="仿宋"/>
          <w:color w:val="auto"/>
          <w:sz w:val="24"/>
          <w:highlight w:val="none"/>
        </w:rPr>
        <w:t>》执行；半年度中考、年度大考在《</w:t>
      </w:r>
      <w:r>
        <w:rPr>
          <w:rFonts w:hint="eastAsia" w:ascii="仿宋" w:hAnsi="仿宋" w:eastAsia="仿宋" w:cs="方正小标宋简体"/>
          <w:color w:val="auto"/>
          <w:sz w:val="24"/>
          <w:highlight w:val="none"/>
        </w:rPr>
        <w:t>拱墅区亮灯设施维护月度考核办法</w:t>
      </w:r>
      <w:r>
        <w:rPr>
          <w:rFonts w:hint="eastAsia" w:ascii="仿宋" w:hAnsi="仿宋" w:eastAsia="仿宋"/>
          <w:color w:val="auto"/>
          <w:sz w:val="24"/>
          <w:highlight w:val="none"/>
        </w:rPr>
        <w:t>》的基础上，增加市对区考核排名在笫三名（含）及以下加倍处罚（半年度第三名扣3000元、笫四名10000元、笫五名20000元、笫六名50000元，年度再加倍）。</w:t>
      </w:r>
    </w:p>
    <w:p>
      <w:pPr>
        <w:adjustRightInd w:val="0"/>
        <w:snapToGrid w:val="0"/>
        <w:spacing w:line="520" w:lineRule="exact"/>
        <w:ind w:firstLine="480" w:firstLineChars="200"/>
        <w:jc w:val="left"/>
        <w:rPr>
          <w:rFonts w:ascii="仿宋" w:hAnsi="仿宋" w:eastAsia="仿宋"/>
          <w:color w:val="auto"/>
          <w:sz w:val="32"/>
          <w:szCs w:val="32"/>
          <w:highlight w:val="none"/>
        </w:rPr>
      </w:pPr>
      <w:r>
        <w:rPr>
          <w:rFonts w:hint="eastAsia" w:ascii="仿宋" w:hAnsi="仿宋" w:eastAsia="仿宋"/>
          <w:color w:val="auto"/>
          <w:sz w:val="24"/>
          <w:highlight w:val="none"/>
        </w:rPr>
        <w:t>9.质保期施工单位经通知后未在限期内整修区查每次扣1000元、市查每次扣2000元,同类问题通知两次后仍不整改的落实养护单位代整治，处罚与代整治的费用均从工程质保金抵扣。</w:t>
      </w:r>
    </w:p>
    <w:p>
      <w:pPr>
        <w:spacing w:line="480" w:lineRule="exact"/>
        <w:jc w:val="left"/>
        <w:rPr>
          <w:rFonts w:ascii="仿宋" w:hAnsi="仿宋" w:eastAsia="仿宋"/>
          <w:color w:val="auto"/>
          <w:sz w:val="32"/>
          <w:szCs w:val="32"/>
          <w:highlight w:val="none"/>
        </w:rPr>
      </w:pPr>
    </w:p>
    <w:p>
      <w:pPr>
        <w:adjustRightInd w:val="0"/>
        <w:snapToGrid w:val="0"/>
        <w:spacing w:line="360" w:lineRule="auto"/>
        <w:rPr>
          <w:rFonts w:ascii="宋体" w:hAnsi="宋体"/>
          <w:b/>
          <w:bCs/>
          <w:color w:val="auto"/>
          <w:szCs w:val="21"/>
          <w:highlight w:val="none"/>
        </w:rPr>
      </w:pPr>
    </w:p>
    <w:p>
      <w:pPr>
        <w:adjustRightInd w:val="0"/>
        <w:snapToGrid w:val="0"/>
        <w:spacing w:line="360" w:lineRule="auto"/>
        <w:rPr>
          <w:rFonts w:ascii="宋体" w:hAnsi="宋体"/>
          <w:color w:val="auto"/>
          <w:szCs w:val="21"/>
          <w:highlight w:val="none"/>
        </w:rPr>
      </w:pPr>
    </w:p>
    <w:p>
      <w:pPr>
        <w:widowControl/>
        <w:jc w:val="left"/>
        <w:rPr>
          <w:rFonts w:ascii="宋体" w:hAnsi="宋体"/>
          <w:b/>
          <w:bCs/>
          <w:color w:val="auto"/>
          <w:szCs w:val="21"/>
          <w:highlight w:val="none"/>
        </w:rPr>
      </w:pPr>
      <w:r>
        <w:rPr>
          <w:rFonts w:ascii="宋体" w:hAnsi="宋体"/>
          <w:b/>
          <w:bCs/>
          <w:color w:val="auto"/>
          <w:szCs w:val="21"/>
          <w:highlight w:val="none"/>
        </w:rPr>
        <w:br w:type="page"/>
      </w:r>
    </w:p>
    <w:p>
      <w:pPr>
        <w:adjustRightInd w:val="0"/>
        <w:snapToGrid w:val="0"/>
        <w:spacing w:line="500" w:lineRule="exact"/>
        <w:jc w:val="left"/>
        <w:rPr>
          <w:rFonts w:ascii="宋体" w:hAnsi="宋体"/>
          <w:b/>
          <w:bCs/>
          <w:color w:val="auto"/>
          <w:szCs w:val="21"/>
          <w:highlight w:val="none"/>
        </w:rPr>
      </w:pPr>
      <w:r>
        <w:rPr>
          <w:rFonts w:hint="eastAsia" w:ascii="宋体" w:hAnsi="宋体"/>
          <w:b/>
          <w:bCs/>
          <w:color w:val="auto"/>
          <w:szCs w:val="21"/>
          <w:highlight w:val="none"/>
        </w:rPr>
        <w:t>附件2：</w:t>
      </w:r>
      <w:r>
        <w:rPr>
          <w:rFonts w:hint="eastAsia" w:ascii="宋体" w:hAnsi="宋体"/>
          <w:b/>
          <w:color w:val="auto"/>
          <w:szCs w:val="21"/>
          <w:highlight w:val="none"/>
        </w:rPr>
        <w:t>拱墅区景观照明设施养护考核评分标准（日常检查）</w:t>
      </w:r>
    </w:p>
    <w:tbl>
      <w:tblPr>
        <w:tblStyle w:val="47"/>
        <w:tblW w:w="95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
        <w:gridCol w:w="11"/>
        <w:gridCol w:w="4354"/>
        <w:gridCol w:w="759"/>
        <w:gridCol w:w="1940"/>
        <w:gridCol w:w="942"/>
        <w:gridCol w:w="8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696"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考核内容</w:t>
            </w:r>
          </w:p>
        </w:tc>
        <w:tc>
          <w:tcPr>
            <w:tcW w:w="4365" w:type="dxa"/>
            <w:gridSpan w:val="2"/>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现场考核内容和标准</w:t>
            </w:r>
          </w:p>
        </w:tc>
        <w:tc>
          <w:tcPr>
            <w:tcW w:w="759"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分值</w:t>
            </w:r>
          </w:p>
        </w:tc>
        <w:tc>
          <w:tcPr>
            <w:tcW w:w="194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评分标准</w:t>
            </w:r>
          </w:p>
        </w:tc>
        <w:tc>
          <w:tcPr>
            <w:tcW w:w="942"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扣分</w:t>
            </w:r>
          </w:p>
        </w:tc>
        <w:tc>
          <w:tcPr>
            <w:tcW w:w="822"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0" w:hRule="atLeast"/>
          <w:jc w:val="center"/>
        </w:trPr>
        <w:tc>
          <w:tcPr>
            <w:tcW w:w="696"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亮灯情况</w:t>
            </w: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灯具运行安全、稳定、正常；月度问题整改率达100%，及时整改率达98%，长效管理覆盖率达100%</w:t>
            </w:r>
          </w:p>
        </w:tc>
        <w:tc>
          <w:tcPr>
            <w:tcW w:w="759"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194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每下降1%扣1分</w:t>
            </w:r>
          </w:p>
        </w:tc>
        <w:tc>
          <w:tcPr>
            <w:tcW w:w="942" w:type="dxa"/>
            <w:vAlign w:val="center"/>
          </w:tcPr>
          <w:p>
            <w:pPr>
              <w:adjustRightInd w:val="0"/>
              <w:snapToGrid w:val="0"/>
              <w:jc w:val="center"/>
              <w:rPr>
                <w:rFonts w:ascii="宋体" w:hAnsi="宋体"/>
                <w:color w:val="auto"/>
                <w:szCs w:val="21"/>
                <w:highlight w:val="none"/>
              </w:rPr>
            </w:pPr>
          </w:p>
        </w:tc>
        <w:tc>
          <w:tcPr>
            <w:tcW w:w="822" w:type="dxa"/>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景观照明设施完好率达到98%、亮灯率达到98%，重点保障期间，亮灯率达100％。</w:t>
            </w:r>
          </w:p>
        </w:tc>
        <w:tc>
          <w:tcPr>
            <w:tcW w:w="759"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194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每下降1%扣1分</w:t>
            </w:r>
          </w:p>
        </w:tc>
        <w:tc>
          <w:tcPr>
            <w:tcW w:w="942" w:type="dxa"/>
            <w:vAlign w:val="center"/>
          </w:tcPr>
          <w:p>
            <w:pPr>
              <w:adjustRightInd w:val="0"/>
              <w:snapToGrid w:val="0"/>
              <w:jc w:val="center"/>
              <w:rPr>
                <w:rFonts w:ascii="宋体" w:hAnsi="宋体"/>
                <w:color w:val="auto"/>
                <w:szCs w:val="21"/>
                <w:highlight w:val="none"/>
              </w:rPr>
            </w:pPr>
          </w:p>
        </w:tc>
        <w:tc>
          <w:tcPr>
            <w:tcW w:w="822" w:type="dxa"/>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696"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灯具设备</w:t>
            </w: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各部件应无松动、破损、污染、脱落。</w:t>
            </w:r>
          </w:p>
        </w:tc>
        <w:tc>
          <w:tcPr>
            <w:tcW w:w="759"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20</w:t>
            </w:r>
          </w:p>
        </w:tc>
        <w:tc>
          <w:tcPr>
            <w:tcW w:w="1940" w:type="dxa"/>
            <w:vMerge w:val="restar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0.2分/处</w:t>
            </w:r>
          </w:p>
          <w:p>
            <w:pPr>
              <w:adjustRightInd w:val="0"/>
              <w:snapToGrid w:val="0"/>
              <w:jc w:val="center"/>
              <w:rPr>
                <w:rFonts w:ascii="宋体" w:hAnsi="宋体"/>
                <w:color w:val="auto"/>
                <w:szCs w:val="21"/>
                <w:highlight w:val="none"/>
              </w:rPr>
            </w:pPr>
          </w:p>
        </w:tc>
        <w:tc>
          <w:tcPr>
            <w:tcW w:w="942" w:type="dxa"/>
            <w:vMerge w:val="restart"/>
            <w:vAlign w:val="center"/>
          </w:tcPr>
          <w:p>
            <w:pPr>
              <w:adjustRightInd w:val="0"/>
              <w:snapToGrid w:val="0"/>
              <w:jc w:val="center"/>
              <w:rPr>
                <w:rFonts w:ascii="宋体" w:hAnsi="宋体"/>
                <w:color w:val="auto"/>
                <w:szCs w:val="21"/>
                <w:highlight w:val="none"/>
              </w:rPr>
            </w:pPr>
          </w:p>
        </w:tc>
        <w:tc>
          <w:tcPr>
            <w:tcW w:w="822" w:type="dxa"/>
            <w:vMerge w:val="restart"/>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固定支架无锈蚀、移位、污染、脱落，引线绝缘可靠、保护软管良好，接地保护线牢固可靠。</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灯具设施无破碎、裂纹，出光部位无污染、内部无积水、污物，无缺亮、断亮现象，灯具的投射方向与角度正确。</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灯杆、灯具无乱吊、乱挂等现象</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更换设备亮度、稳定性等符合要求</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0" w:hRule="atLeast"/>
          <w:jc w:val="center"/>
        </w:trPr>
        <w:tc>
          <w:tcPr>
            <w:tcW w:w="696"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附属设备</w:t>
            </w: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箱（柜）体门连轴完好，开关正常，配电箱、控制柜不渗水、无锈蚀，防尘防水设施完好可靠，仪表、信号灯齐全完好，工作正常。</w:t>
            </w:r>
          </w:p>
        </w:tc>
        <w:tc>
          <w:tcPr>
            <w:tcW w:w="759"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1940" w:type="dxa"/>
            <w:vMerge w:val="restar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0.2分/处，“断字缺亮” 0.5分/处</w:t>
            </w:r>
          </w:p>
          <w:p>
            <w:pPr>
              <w:adjustRightInd w:val="0"/>
              <w:snapToGrid w:val="0"/>
              <w:jc w:val="center"/>
              <w:rPr>
                <w:rFonts w:ascii="宋体" w:hAnsi="宋体"/>
                <w:color w:val="auto"/>
                <w:szCs w:val="21"/>
                <w:highlight w:val="none"/>
              </w:rPr>
            </w:pPr>
          </w:p>
        </w:tc>
        <w:tc>
          <w:tcPr>
            <w:tcW w:w="942" w:type="dxa"/>
            <w:vMerge w:val="restart"/>
            <w:vAlign w:val="center"/>
          </w:tcPr>
          <w:p>
            <w:pPr>
              <w:adjustRightInd w:val="0"/>
              <w:snapToGrid w:val="0"/>
              <w:jc w:val="center"/>
              <w:rPr>
                <w:rFonts w:ascii="宋体" w:hAnsi="宋体"/>
                <w:color w:val="auto"/>
                <w:szCs w:val="21"/>
                <w:highlight w:val="none"/>
              </w:rPr>
            </w:pPr>
          </w:p>
        </w:tc>
        <w:tc>
          <w:tcPr>
            <w:tcW w:w="822" w:type="dxa"/>
            <w:vMerge w:val="restart"/>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各级保护电器整定值符合设计值、给定值，照明控制程序安全可靠并符合设计要求。</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箱内开关等设备的动作灵活可靠，接地系统安全可靠。线路不凌乱、不外露、绑扎牢固。</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未按要求配合处置其它亮灯设施“断字缺亮”。</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696"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亮灯控制</w:t>
            </w: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按上级规定时间开关控制</w:t>
            </w:r>
          </w:p>
        </w:tc>
        <w:tc>
          <w:tcPr>
            <w:tcW w:w="759"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5</w:t>
            </w:r>
          </w:p>
        </w:tc>
        <w:tc>
          <w:tcPr>
            <w:tcW w:w="194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1分/件次</w:t>
            </w:r>
          </w:p>
        </w:tc>
        <w:tc>
          <w:tcPr>
            <w:tcW w:w="942" w:type="dxa"/>
            <w:vAlign w:val="center"/>
          </w:tcPr>
          <w:p>
            <w:pPr>
              <w:adjustRightInd w:val="0"/>
              <w:snapToGrid w:val="0"/>
              <w:jc w:val="center"/>
              <w:rPr>
                <w:rFonts w:ascii="宋体" w:hAnsi="宋体"/>
                <w:color w:val="auto"/>
                <w:szCs w:val="21"/>
                <w:highlight w:val="none"/>
              </w:rPr>
            </w:pPr>
          </w:p>
        </w:tc>
        <w:tc>
          <w:tcPr>
            <w:tcW w:w="822" w:type="dxa"/>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不发生媒体曝光和群众有责投诉现象</w:t>
            </w:r>
          </w:p>
        </w:tc>
        <w:tc>
          <w:tcPr>
            <w:tcW w:w="759"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8</w:t>
            </w:r>
          </w:p>
        </w:tc>
        <w:tc>
          <w:tcPr>
            <w:tcW w:w="194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2分/件次</w:t>
            </w:r>
          </w:p>
        </w:tc>
        <w:tc>
          <w:tcPr>
            <w:tcW w:w="942" w:type="dxa"/>
            <w:vAlign w:val="center"/>
          </w:tcPr>
          <w:p>
            <w:pPr>
              <w:adjustRightInd w:val="0"/>
              <w:snapToGrid w:val="0"/>
              <w:jc w:val="center"/>
              <w:rPr>
                <w:rFonts w:ascii="宋体" w:hAnsi="宋体"/>
                <w:color w:val="auto"/>
                <w:szCs w:val="21"/>
                <w:highlight w:val="none"/>
              </w:rPr>
            </w:pPr>
          </w:p>
        </w:tc>
        <w:tc>
          <w:tcPr>
            <w:tcW w:w="822" w:type="dxa"/>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696"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设备检修</w:t>
            </w: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落实专人定期巡查、巡检。落实要求使用GPS定位。落实报检查问题照片。</w:t>
            </w:r>
          </w:p>
        </w:tc>
        <w:tc>
          <w:tcPr>
            <w:tcW w:w="759"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14</w:t>
            </w:r>
          </w:p>
        </w:tc>
        <w:tc>
          <w:tcPr>
            <w:tcW w:w="194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0.5分/次</w:t>
            </w:r>
          </w:p>
        </w:tc>
        <w:tc>
          <w:tcPr>
            <w:tcW w:w="942" w:type="dxa"/>
            <w:vAlign w:val="center"/>
          </w:tcPr>
          <w:p>
            <w:pPr>
              <w:adjustRightInd w:val="0"/>
              <w:snapToGrid w:val="0"/>
              <w:jc w:val="center"/>
              <w:rPr>
                <w:rFonts w:ascii="宋体" w:hAnsi="宋体"/>
                <w:color w:val="auto"/>
                <w:szCs w:val="21"/>
                <w:highlight w:val="none"/>
              </w:rPr>
            </w:pPr>
          </w:p>
        </w:tc>
        <w:tc>
          <w:tcPr>
            <w:tcW w:w="822" w:type="dxa"/>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景观照明设施问题整改期限为2天。</w:t>
            </w:r>
          </w:p>
        </w:tc>
        <w:tc>
          <w:tcPr>
            <w:tcW w:w="759"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8</w:t>
            </w:r>
          </w:p>
        </w:tc>
        <w:tc>
          <w:tcPr>
            <w:tcW w:w="1940" w:type="dxa"/>
            <w:vMerge w:val="restar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0.5分/件次，重复养护3分/件次，市查扣分3分/件次</w:t>
            </w:r>
          </w:p>
        </w:tc>
        <w:tc>
          <w:tcPr>
            <w:tcW w:w="942" w:type="dxa"/>
            <w:vMerge w:val="restart"/>
            <w:vAlign w:val="center"/>
          </w:tcPr>
          <w:p>
            <w:pPr>
              <w:adjustRightInd w:val="0"/>
              <w:snapToGrid w:val="0"/>
              <w:jc w:val="center"/>
              <w:rPr>
                <w:rFonts w:ascii="宋体" w:hAnsi="宋体"/>
                <w:color w:val="auto"/>
                <w:szCs w:val="21"/>
                <w:highlight w:val="none"/>
              </w:rPr>
            </w:pPr>
          </w:p>
        </w:tc>
        <w:tc>
          <w:tcPr>
            <w:tcW w:w="822" w:type="dxa"/>
            <w:vMerge w:val="restart"/>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养护质保要求，不能出现重复养护。出现市查问题扣分。</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696"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安全作业</w:t>
            </w: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维修作业人员须着工作服，更换人员查证件。</w:t>
            </w:r>
          </w:p>
        </w:tc>
        <w:tc>
          <w:tcPr>
            <w:tcW w:w="759" w:type="dxa"/>
            <w:vMerge w:val="restart"/>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1940" w:type="dxa"/>
            <w:vMerge w:val="restar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2分/件次</w:t>
            </w:r>
          </w:p>
        </w:tc>
        <w:tc>
          <w:tcPr>
            <w:tcW w:w="942" w:type="dxa"/>
            <w:vMerge w:val="restart"/>
            <w:vAlign w:val="center"/>
          </w:tcPr>
          <w:p>
            <w:pPr>
              <w:adjustRightInd w:val="0"/>
              <w:snapToGrid w:val="0"/>
              <w:jc w:val="center"/>
              <w:rPr>
                <w:rFonts w:ascii="宋体" w:hAnsi="宋体"/>
                <w:color w:val="auto"/>
                <w:szCs w:val="21"/>
                <w:highlight w:val="none"/>
              </w:rPr>
            </w:pPr>
          </w:p>
        </w:tc>
        <w:tc>
          <w:tcPr>
            <w:tcW w:w="822" w:type="dxa"/>
            <w:vMerge w:val="restart"/>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停车占道维修，设置警示标志</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线路碰接规范，符合安全施工要求</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96" w:type="dxa"/>
            <w:vMerge w:val="continue"/>
            <w:vAlign w:val="center"/>
          </w:tcPr>
          <w:p>
            <w:pPr>
              <w:adjustRightInd w:val="0"/>
              <w:snapToGrid w:val="0"/>
              <w:jc w:val="center"/>
              <w:rPr>
                <w:rFonts w:ascii="宋体" w:hAnsi="宋体"/>
                <w:bCs/>
                <w:color w:val="auto"/>
                <w:szCs w:val="21"/>
                <w:highlight w:val="none"/>
              </w:rPr>
            </w:pPr>
          </w:p>
        </w:tc>
        <w:tc>
          <w:tcPr>
            <w:tcW w:w="4365" w:type="dxa"/>
            <w:gridSpan w:val="2"/>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维修完毕整理现场、无漏电、断电现象</w:t>
            </w:r>
          </w:p>
        </w:tc>
        <w:tc>
          <w:tcPr>
            <w:tcW w:w="759" w:type="dxa"/>
            <w:vMerge w:val="continue"/>
            <w:vAlign w:val="center"/>
          </w:tcPr>
          <w:p>
            <w:pPr>
              <w:adjustRightInd w:val="0"/>
              <w:snapToGrid w:val="0"/>
              <w:jc w:val="center"/>
              <w:rPr>
                <w:rFonts w:ascii="宋体" w:hAnsi="宋体"/>
                <w:bCs/>
                <w:color w:val="auto"/>
                <w:szCs w:val="21"/>
                <w:highlight w:val="none"/>
              </w:rPr>
            </w:pPr>
          </w:p>
        </w:tc>
        <w:tc>
          <w:tcPr>
            <w:tcW w:w="1940" w:type="dxa"/>
            <w:vMerge w:val="continue"/>
            <w:vAlign w:val="center"/>
          </w:tcPr>
          <w:p>
            <w:pPr>
              <w:adjustRightInd w:val="0"/>
              <w:snapToGrid w:val="0"/>
              <w:jc w:val="center"/>
              <w:rPr>
                <w:rFonts w:ascii="宋体" w:hAnsi="宋体"/>
                <w:color w:val="auto"/>
                <w:szCs w:val="21"/>
                <w:highlight w:val="none"/>
              </w:rPr>
            </w:pPr>
          </w:p>
        </w:tc>
        <w:tc>
          <w:tcPr>
            <w:tcW w:w="942" w:type="dxa"/>
            <w:vMerge w:val="continue"/>
            <w:vAlign w:val="center"/>
          </w:tcPr>
          <w:p>
            <w:pPr>
              <w:adjustRightInd w:val="0"/>
              <w:snapToGrid w:val="0"/>
              <w:jc w:val="center"/>
              <w:rPr>
                <w:rFonts w:ascii="宋体" w:hAnsi="宋体"/>
                <w:color w:val="auto"/>
                <w:szCs w:val="21"/>
                <w:highlight w:val="none"/>
              </w:rPr>
            </w:pPr>
          </w:p>
        </w:tc>
        <w:tc>
          <w:tcPr>
            <w:tcW w:w="822" w:type="dxa"/>
            <w:vMerge w:val="continue"/>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0" w:hRule="atLeast"/>
          <w:jc w:val="center"/>
        </w:trPr>
        <w:tc>
          <w:tcPr>
            <w:tcW w:w="707" w:type="dxa"/>
            <w:gridSpan w:val="2"/>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日常报表</w:t>
            </w:r>
          </w:p>
        </w:tc>
        <w:tc>
          <w:tcPr>
            <w:tcW w:w="4354"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建立健全照明设施维护周报、月报制度，周一上报周报表，25日前上报月报表、月度总结和下月工作计划</w:t>
            </w:r>
          </w:p>
        </w:tc>
        <w:tc>
          <w:tcPr>
            <w:tcW w:w="759"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5</w:t>
            </w:r>
          </w:p>
        </w:tc>
        <w:tc>
          <w:tcPr>
            <w:tcW w:w="194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上报不及时，扣0.5分，缺少一次扣1分，上报数据错误1次扣2分</w:t>
            </w:r>
          </w:p>
        </w:tc>
        <w:tc>
          <w:tcPr>
            <w:tcW w:w="942" w:type="dxa"/>
            <w:vAlign w:val="center"/>
          </w:tcPr>
          <w:p>
            <w:pPr>
              <w:adjustRightInd w:val="0"/>
              <w:snapToGrid w:val="0"/>
              <w:jc w:val="center"/>
              <w:rPr>
                <w:rFonts w:ascii="宋体" w:hAnsi="宋体"/>
                <w:color w:val="auto"/>
                <w:szCs w:val="21"/>
                <w:highlight w:val="none"/>
              </w:rPr>
            </w:pPr>
          </w:p>
        </w:tc>
        <w:tc>
          <w:tcPr>
            <w:tcW w:w="822" w:type="dxa"/>
            <w:vAlign w:val="center"/>
          </w:tcPr>
          <w:p>
            <w:pPr>
              <w:adjustRightInd w:val="0"/>
              <w:snapToGrid w:val="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5061" w:type="dxa"/>
            <w:gridSpan w:val="3"/>
            <w:vAlign w:val="center"/>
          </w:tcPr>
          <w:p>
            <w:pPr>
              <w:adjustRightInd w:val="0"/>
              <w:snapToGrid w:val="0"/>
              <w:jc w:val="center"/>
              <w:rPr>
                <w:rFonts w:ascii="宋体" w:hAnsi="宋体"/>
                <w:color w:val="auto"/>
                <w:szCs w:val="21"/>
                <w:highlight w:val="none"/>
              </w:rPr>
            </w:pPr>
            <w:r>
              <w:rPr>
                <w:rFonts w:hint="eastAsia" w:ascii="宋体" w:hAnsi="宋体"/>
                <w:bCs/>
                <w:color w:val="auto"/>
                <w:szCs w:val="21"/>
                <w:highlight w:val="none"/>
              </w:rPr>
              <w:t>合   计</w:t>
            </w:r>
          </w:p>
        </w:tc>
        <w:tc>
          <w:tcPr>
            <w:tcW w:w="759"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100</w:t>
            </w:r>
          </w:p>
        </w:tc>
        <w:tc>
          <w:tcPr>
            <w:tcW w:w="1940" w:type="dxa"/>
            <w:vAlign w:val="center"/>
          </w:tcPr>
          <w:p>
            <w:pPr>
              <w:adjustRightInd w:val="0"/>
              <w:snapToGrid w:val="0"/>
              <w:jc w:val="center"/>
              <w:rPr>
                <w:rFonts w:ascii="宋体" w:hAnsi="宋体"/>
                <w:color w:val="auto"/>
                <w:szCs w:val="21"/>
                <w:highlight w:val="none"/>
              </w:rPr>
            </w:pPr>
          </w:p>
        </w:tc>
        <w:tc>
          <w:tcPr>
            <w:tcW w:w="942" w:type="dxa"/>
            <w:vAlign w:val="center"/>
          </w:tcPr>
          <w:p>
            <w:pPr>
              <w:adjustRightInd w:val="0"/>
              <w:snapToGrid w:val="0"/>
              <w:jc w:val="center"/>
              <w:rPr>
                <w:rFonts w:ascii="宋体" w:hAnsi="宋体"/>
                <w:color w:val="auto"/>
                <w:szCs w:val="21"/>
                <w:highlight w:val="none"/>
              </w:rPr>
            </w:pPr>
          </w:p>
        </w:tc>
        <w:tc>
          <w:tcPr>
            <w:tcW w:w="822" w:type="dxa"/>
            <w:vAlign w:val="center"/>
          </w:tcPr>
          <w:p>
            <w:pPr>
              <w:adjustRightInd w:val="0"/>
              <w:snapToGrid w:val="0"/>
              <w:jc w:val="center"/>
              <w:rPr>
                <w:rFonts w:ascii="宋体" w:hAnsi="宋体"/>
                <w:color w:val="auto"/>
                <w:szCs w:val="21"/>
                <w:highlight w:val="none"/>
              </w:rPr>
            </w:pPr>
          </w:p>
        </w:tc>
      </w:tr>
    </w:tbl>
    <w:p>
      <w:pPr>
        <w:adjustRightInd w:val="0"/>
        <w:snapToGrid w:val="0"/>
        <w:spacing w:afterLines="50"/>
        <w:rPr>
          <w:rFonts w:ascii="宋体" w:hAnsi="宋体"/>
          <w:color w:val="auto"/>
          <w:szCs w:val="21"/>
          <w:highlight w:val="none"/>
        </w:rPr>
      </w:pPr>
      <w:r>
        <w:rPr>
          <w:rFonts w:hint="eastAsia" w:ascii="宋体" w:hAnsi="宋体"/>
          <w:color w:val="auto"/>
          <w:szCs w:val="21"/>
          <w:highlight w:val="none"/>
        </w:rPr>
        <w:t>检查人员：                                            年   月   日</w:t>
      </w:r>
    </w:p>
    <w:p>
      <w:pPr>
        <w:rPr>
          <w:rFonts w:ascii="宋体" w:hAnsi="宋体"/>
          <w:color w:val="auto"/>
          <w:szCs w:val="21"/>
          <w:highlight w:val="none"/>
        </w:rPr>
      </w:pPr>
    </w:p>
    <w:p>
      <w:pPr>
        <w:adjustRightInd w:val="0"/>
        <w:snapToGrid w:val="0"/>
        <w:rPr>
          <w:rFonts w:ascii="宋体" w:hAnsi="宋体"/>
          <w:b/>
          <w:bCs/>
          <w:color w:val="auto"/>
          <w:szCs w:val="21"/>
          <w:highlight w:val="none"/>
        </w:rPr>
      </w:pPr>
      <w:r>
        <w:rPr>
          <w:rFonts w:ascii="宋体" w:hAnsi="宋体"/>
          <w:b/>
          <w:bCs/>
          <w:color w:val="auto"/>
          <w:szCs w:val="21"/>
          <w:highlight w:val="none"/>
        </w:rPr>
        <w:br w:type="page"/>
      </w:r>
      <w:r>
        <w:rPr>
          <w:rFonts w:hint="eastAsia" w:ascii="宋体" w:hAnsi="宋体"/>
          <w:b/>
          <w:bCs/>
          <w:color w:val="auto"/>
          <w:szCs w:val="21"/>
          <w:highlight w:val="none"/>
        </w:rPr>
        <w:t xml:space="preserve">附件3： </w:t>
      </w:r>
      <w:r>
        <w:rPr>
          <w:rFonts w:hint="eastAsia" w:ascii="宋体" w:hAnsi="宋体"/>
          <w:b/>
          <w:color w:val="auto"/>
          <w:szCs w:val="21"/>
          <w:highlight w:val="none"/>
        </w:rPr>
        <w:t>拱墅区景观照明设施养护考核评分标准（台帐检查）</w:t>
      </w:r>
    </w:p>
    <w:p>
      <w:pPr>
        <w:adjustRightInd w:val="0"/>
        <w:snapToGrid w:val="0"/>
        <w:jc w:val="center"/>
        <w:rPr>
          <w:rFonts w:ascii="宋体" w:hAnsi="宋体"/>
          <w:b/>
          <w:bCs/>
          <w:color w:val="auto"/>
          <w:szCs w:val="21"/>
          <w:highlight w:val="none"/>
        </w:rPr>
      </w:pPr>
    </w:p>
    <w:tbl>
      <w:tblPr>
        <w:tblStyle w:val="47"/>
        <w:tblW w:w="913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78"/>
        <w:gridCol w:w="850"/>
        <w:gridCol w:w="2306"/>
        <w:gridCol w:w="850"/>
        <w:gridCol w:w="8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4278"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台帐考核内容和标准</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分值</w:t>
            </w:r>
          </w:p>
        </w:tc>
        <w:tc>
          <w:tcPr>
            <w:tcW w:w="2306"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评分标准</w:t>
            </w:r>
          </w:p>
        </w:tc>
        <w:tc>
          <w:tcPr>
            <w:tcW w:w="850" w:type="dxa"/>
            <w:vAlign w:val="center"/>
          </w:tcPr>
          <w:p>
            <w:pPr>
              <w:widowControl/>
              <w:adjustRightInd w:val="0"/>
              <w:snapToGrid w:val="0"/>
              <w:jc w:val="center"/>
              <w:rPr>
                <w:rFonts w:ascii="宋体" w:hAnsi="宋体"/>
                <w:bCs/>
                <w:color w:val="auto"/>
                <w:szCs w:val="21"/>
                <w:highlight w:val="none"/>
              </w:rPr>
            </w:pPr>
            <w:r>
              <w:rPr>
                <w:rFonts w:hint="eastAsia" w:ascii="宋体" w:hAnsi="宋体"/>
                <w:bCs/>
                <w:color w:val="auto"/>
                <w:szCs w:val="21"/>
                <w:highlight w:val="none"/>
              </w:rPr>
              <w:t>扣分</w:t>
            </w:r>
          </w:p>
        </w:tc>
        <w:tc>
          <w:tcPr>
            <w:tcW w:w="850" w:type="dxa"/>
            <w:vAlign w:val="center"/>
          </w:tcPr>
          <w:p>
            <w:pPr>
              <w:widowControl/>
              <w:adjustRightInd w:val="0"/>
              <w:snapToGrid w:val="0"/>
              <w:jc w:val="center"/>
              <w:rPr>
                <w:rFonts w:ascii="宋体" w:hAnsi="宋体"/>
                <w:bCs/>
                <w:color w:val="auto"/>
                <w:szCs w:val="21"/>
                <w:highlight w:val="none"/>
              </w:rPr>
            </w:pPr>
            <w:r>
              <w:rPr>
                <w:rFonts w:hint="eastAsia" w:ascii="宋体" w:hAnsi="宋体"/>
                <w:bCs/>
                <w:color w:val="auto"/>
                <w:szCs w:val="21"/>
                <w:highlight w:val="none"/>
              </w:rPr>
              <w:t>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2" w:hRule="atLeast"/>
          <w:jc w:val="center"/>
        </w:trPr>
        <w:tc>
          <w:tcPr>
            <w:tcW w:w="4278"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建立健全照明设施基础资料台帐、维护所需机械设备和人员台帐；</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2306"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缺项每项扣0.5分，资料不准确，每项扣1分</w:t>
            </w: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6" w:hRule="atLeast"/>
          <w:jc w:val="center"/>
        </w:trPr>
        <w:tc>
          <w:tcPr>
            <w:tcW w:w="4278"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建立健全照明设施日常巡查台帐；</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20</w:t>
            </w:r>
          </w:p>
        </w:tc>
        <w:tc>
          <w:tcPr>
            <w:tcW w:w="2306"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缺项每项扣0.5分，资料不准确，每项扣1分</w:t>
            </w: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6" w:hRule="atLeast"/>
          <w:jc w:val="center"/>
        </w:trPr>
        <w:tc>
          <w:tcPr>
            <w:tcW w:w="4278"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建立健全照明设施日常检修台帐；</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20</w:t>
            </w:r>
          </w:p>
        </w:tc>
        <w:tc>
          <w:tcPr>
            <w:tcW w:w="2306"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缺项每项扣0.5分，资料不准确，每项扣1分</w:t>
            </w: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23" w:hRule="atLeast"/>
          <w:jc w:val="center"/>
        </w:trPr>
        <w:tc>
          <w:tcPr>
            <w:tcW w:w="4278"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建立健全照明设施维护周报、月报制度，在每月25日前上报月报表、月度总结和下月工作计划，并建立相应工作台帐；</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2306"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每少1张扣1分，不准确，每项扣2分</w:t>
            </w: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83" w:hRule="atLeast"/>
          <w:jc w:val="center"/>
        </w:trPr>
        <w:tc>
          <w:tcPr>
            <w:tcW w:w="4278"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建立各类突发事件的处置预案，落实台风等自然灾害来临前的防护措施和灾后修复工作，并建立相应工作台帐；</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2306"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处置预案、损失修复记录缺项，每少1项扣1分</w:t>
            </w: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4278"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积极做好大型活动、领导检查的保障工作，并建立相应工作台帐；</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15</w:t>
            </w:r>
          </w:p>
        </w:tc>
        <w:tc>
          <w:tcPr>
            <w:tcW w:w="2306"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大型保障无小结扣5分，其他各类亮灯保障通知的日期，当天的无巡查记录，每项扣0.5分</w:t>
            </w: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4278"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建立健全照明设施“三来件”的处理台帐；</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5</w:t>
            </w:r>
          </w:p>
        </w:tc>
        <w:tc>
          <w:tcPr>
            <w:tcW w:w="2306"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三来件问题处理记录以及汇总表，少一张扣1分</w:t>
            </w: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4278"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台帐资料记录清晰，分类归档合理完整；</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2306" w:type="dxa"/>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文件管理无序，扣0.5分；无分类，扣2分；分类不合理，扣1分</w:t>
            </w: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2" w:hRule="atLeast"/>
          <w:jc w:val="center"/>
        </w:trPr>
        <w:tc>
          <w:tcPr>
            <w:tcW w:w="4278" w:type="dxa"/>
            <w:vAlign w:val="center"/>
          </w:tcPr>
          <w:p>
            <w:pPr>
              <w:adjustRightInd w:val="0"/>
              <w:snapToGrid w:val="0"/>
              <w:ind w:firstLine="1470" w:firstLineChars="700"/>
              <w:rPr>
                <w:rFonts w:ascii="宋体" w:hAnsi="宋体"/>
                <w:color w:val="auto"/>
                <w:szCs w:val="21"/>
                <w:highlight w:val="none"/>
              </w:rPr>
            </w:pPr>
            <w:r>
              <w:rPr>
                <w:rFonts w:hint="eastAsia" w:ascii="宋体" w:hAnsi="宋体"/>
                <w:color w:val="auto"/>
                <w:szCs w:val="21"/>
                <w:highlight w:val="none"/>
              </w:rPr>
              <w:t>合  计</w:t>
            </w:r>
          </w:p>
        </w:tc>
        <w:tc>
          <w:tcPr>
            <w:tcW w:w="8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100</w:t>
            </w:r>
          </w:p>
        </w:tc>
        <w:tc>
          <w:tcPr>
            <w:tcW w:w="2306" w:type="dxa"/>
            <w:vAlign w:val="center"/>
          </w:tcPr>
          <w:p>
            <w:pPr>
              <w:adjustRightInd w:val="0"/>
              <w:snapToGrid w:val="0"/>
              <w:ind w:firstLine="420" w:firstLineChars="20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c>
          <w:tcPr>
            <w:tcW w:w="850" w:type="dxa"/>
          </w:tcPr>
          <w:p>
            <w:pPr>
              <w:adjustRightInd w:val="0"/>
              <w:snapToGrid w:val="0"/>
              <w:rPr>
                <w:rFonts w:ascii="宋体" w:hAnsi="宋体"/>
                <w:color w:val="auto"/>
                <w:szCs w:val="21"/>
                <w:highlight w:val="none"/>
              </w:rPr>
            </w:pPr>
          </w:p>
        </w:tc>
      </w:tr>
    </w:tbl>
    <w:p>
      <w:pPr>
        <w:adjustRightInd w:val="0"/>
        <w:snapToGrid w:val="0"/>
        <w:spacing w:afterLines="50"/>
        <w:rPr>
          <w:rFonts w:ascii="宋体" w:hAnsi="宋体"/>
          <w:b/>
          <w:bCs/>
          <w:color w:val="auto"/>
          <w:szCs w:val="21"/>
          <w:highlight w:val="none"/>
        </w:rPr>
      </w:pPr>
      <w:r>
        <w:rPr>
          <w:rFonts w:hint="eastAsia" w:ascii="宋体" w:hAnsi="宋体"/>
          <w:color w:val="auto"/>
          <w:szCs w:val="21"/>
          <w:highlight w:val="none"/>
        </w:rPr>
        <w:t>检查人员：                                            年   月   日</w:t>
      </w:r>
    </w:p>
    <w:p>
      <w:pPr>
        <w:adjustRightInd w:val="0"/>
        <w:snapToGrid w:val="0"/>
        <w:spacing w:afterLines="50"/>
        <w:rPr>
          <w:rFonts w:ascii="Arial" w:hAnsi="Arial" w:cs="Arial"/>
          <w:color w:val="auto"/>
          <w:highlight w:val="none"/>
        </w:rPr>
      </w:pPr>
    </w:p>
    <w:p>
      <w:pPr>
        <w:pStyle w:val="14"/>
        <w:rPr>
          <w:rFonts w:ascii="Arial" w:hAnsi="Arial" w:cs="Arial"/>
          <w:color w:val="auto"/>
          <w:highlight w:val="none"/>
        </w:rPr>
      </w:pPr>
      <w:r>
        <w:rPr>
          <w:rFonts w:hint="eastAsia" w:ascii="Arial" w:hAnsi="Arial" w:cs="Arial"/>
          <w:color w:val="auto"/>
          <w:sz w:val="21"/>
          <w:szCs w:val="21"/>
          <w:highlight w:val="none"/>
        </w:rPr>
        <w:t>招标人实行月度考核、半年度（遇年终考评按年度计算）中考、年度（未到年终按半年度计算）大考的管理体制。月度考核按</w:t>
      </w:r>
      <w:r>
        <w:rPr>
          <w:rFonts w:hint="eastAsia" w:hAnsi="宋体"/>
          <w:color w:val="auto"/>
          <w:sz w:val="21"/>
          <w:szCs w:val="21"/>
          <w:highlight w:val="none"/>
        </w:rPr>
        <w:t>《</w:t>
      </w:r>
      <w:r>
        <w:rPr>
          <w:rFonts w:hint="eastAsia" w:ascii="方正小标宋简体" w:hAnsi="方正小标宋简体" w:cs="方正小标宋简体"/>
          <w:color w:val="auto"/>
          <w:sz w:val="21"/>
          <w:szCs w:val="21"/>
          <w:highlight w:val="none"/>
        </w:rPr>
        <w:t>拱墅区亮灯设施维护月度考核办法</w:t>
      </w:r>
      <w:r>
        <w:rPr>
          <w:rFonts w:hint="eastAsia" w:hAnsi="宋体"/>
          <w:color w:val="auto"/>
          <w:sz w:val="21"/>
          <w:szCs w:val="21"/>
          <w:highlight w:val="none"/>
        </w:rPr>
        <w:t>》执行；半年度中考、年度大考在《</w:t>
      </w:r>
      <w:r>
        <w:rPr>
          <w:rFonts w:hint="eastAsia" w:ascii="方正小标宋简体" w:hAnsi="方正小标宋简体" w:cs="方正小标宋简体"/>
          <w:color w:val="auto"/>
          <w:sz w:val="21"/>
          <w:szCs w:val="21"/>
          <w:highlight w:val="none"/>
        </w:rPr>
        <w:t>拱墅区亮灯设施维护月度考核办法</w:t>
      </w:r>
      <w:r>
        <w:rPr>
          <w:rFonts w:hint="eastAsia" w:hAnsi="宋体"/>
          <w:color w:val="auto"/>
          <w:sz w:val="21"/>
          <w:szCs w:val="21"/>
          <w:highlight w:val="none"/>
        </w:rPr>
        <w:t>》的基础上，增加市对区考核排名在笫三名（含）及以下加倍处罚（半年度第三名扣5000元、笫四名10000元、笫五名20000元、笫六名50000元，年度再加倍）。</w:t>
      </w:r>
      <w:r>
        <w:rPr>
          <w:rFonts w:ascii="Arial" w:hAnsi="Arial" w:cs="Arial"/>
          <w:color w:val="auto"/>
          <w:highlight w:val="none"/>
        </w:rPr>
        <w:br w:type="page"/>
      </w:r>
    </w:p>
    <w:p>
      <w:pPr>
        <w:autoSpaceDE w:val="0"/>
        <w:autoSpaceDN w:val="0"/>
        <w:adjustRightInd w:val="0"/>
        <w:snapToGrid w:val="0"/>
        <w:spacing w:line="300" w:lineRule="auto"/>
        <w:textAlignment w:val="bottom"/>
        <w:rPr>
          <w:rFonts w:ascii="Arial" w:hAnsi="Arial" w:cs="Arial"/>
          <w:bCs/>
          <w:color w:val="auto"/>
          <w:highlight w:val="none"/>
        </w:rPr>
      </w:pPr>
    </w:p>
    <w:p>
      <w:pPr>
        <w:pStyle w:val="3"/>
        <w:spacing w:before="120"/>
        <w:rPr>
          <w:rFonts w:ascii="Arial" w:hAnsi="Arial" w:cs="Arial"/>
          <w:color w:val="auto"/>
          <w:highlight w:val="none"/>
        </w:rPr>
      </w:pPr>
      <w:bookmarkStart w:id="65" w:name="_Toc497919884"/>
      <w:bookmarkStart w:id="66" w:name="_Toc6228"/>
      <w:r>
        <w:rPr>
          <w:rFonts w:ascii="Arial" w:hAnsi="Arial" w:cs="Arial"/>
          <w:color w:val="auto"/>
          <w:highlight w:val="none"/>
        </w:rPr>
        <w:t>第五部分合同</w:t>
      </w:r>
      <w:bookmarkEnd w:id="65"/>
      <w:r>
        <w:rPr>
          <w:rFonts w:ascii="Arial" w:hAnsi="Arial" w:cs="Arial"/>
          <w:color w:val="auto"/>
          <w:highlight w:val="none"/>
        </w:rPr>
        <w:t>条款</w:t>
      </w:r>
      <w:bookmarkEnd w:id="66"/>
    </w:p>
    <w:p>
      <w:pPr>
        <w:snapToGrid w:val="0"/>
        <w:spacing w:line="300" w:lineRule="auto"/>
        <w:jc w:val="center"/>
        <w:rPr>
          <w:rFonts w:ascii="Arial" w:hAnsi="Arial" w:cs="Arial"/>
          <w:color w:val="auto"/>
          <w:highlight w:val="none"/>
        </w:rPr>
      </w:pPr>
    </w:p>
    <w:p>
      <w:pPr>
        <w:snapToGrid w:val="0"/>
        <w:spacing w:line="300" w:lineRule="auto"/>
        <w:jc w:val="center"/>
        <w:rPr>
          <w:rFonts w:ascii="Arial" w:hAnsi="Arial" w:cs="Arial"/>
          <w:color w:val="auto"/>
          <w:highlight w:val="none"/>
        </w:rPr>
      </w:pPr>
    </w:p>
    <w:p>
      <w:pPr>
        <w:jc w:val="center"/>
        <w:rPr>
          <w:rFonts w:ascii="仿宋_GB2312" w:eastAsia="仿宋_GB2312"/>
          <w:b/>
          <w:color w:val="auto"/>
          <w:sz w:val="32"/>
          <w:szCs w:val="32"/>
          <w:highlight w:val="none"/>
        </w:rPr>
      </w:pPr>
      <w:r>
        <w:rPr>
          <w:rFonts w:ascii="Arial" w:hAnsi="Arial" w:eastAsia="仿宋_GB2312" w:cs="Arial"/>
          <w:b/>
          <w:color w:val="auto"/>
          <w:sz w:val="32"/>
          <w:szCs w:val="32"/>
          <w:highlight w:val="none"/>
        </w:rPr>
        <w:t>2020年拱墅区“峰会”亮灯工程第二次运行维护项目</w:t>
      </w:r>
      <w:r>
        <w:rPr>
          <w:rFonts w:hint="eastAsia" w:ascii="仿宋_GB2312" w:eastAsia="仿宋_GB2312"/>
          <w:b/>
          <w:color w:val="auto"/>
          <w:sz w:val="32"/>
          <w:szCs w:val="32"/>
          <w:highlight w:val="none"/>
        </w:rPr>
        <w:t>合同</w:t>
      </w:r>
    </w:p>
    <w:p>
      <w:pPr>
        <w:jc w:val="center"/>
        <w:rPr>
          <w:rFonts w:ascii="仿宋_GB2312" w:eastAsia="仿宋_GB2312"/>
          <w:b/>
          <w:color w:val="auto"/>
          <w:sz w:val="32"/>
          <w:szCs w:val="32"/>
          <w:highlight w:val="none"/>
        </w:rPr>
      </w:pPr>
      <w:r>
        <w:rPr>
          <w:rFonts w:hint="eastAsia" w:ascii="仿宋_GB2312" w:eastAsia="仿宋_GB2312"/>
          <w:b/>
          <w:color w:val="auto"/>
          <w:sz w:val="32"/>
          <w:szCs w:val="32"/>
          <w:highlight w:val="none"/>
        </w:rPr>
        <w:t>（主要条款）</w:t>
      </w:r>
    </w:p>
    <w:p>
      <w:pPr>
        <w:spacing w:line="400" w:lineRule="exact"/>
        <w:rPr>
          <w:rFonts w:ascii="宋体" w:hAnsi="宋体"/>
          <w:color w:val="auto"/>
          <w:szCs w:val="21"/>
          <w:highlight w:val="none"/>
        </w:rPr>
      </w:pPr>
      <w:r>
        <w:rPr>
          <w:rFonts w:hint="eastAsia" w:ascii="宋体" w:hAnsi="宋体"/>
          <w:color w:val="auto"/>
          <w:szCs w:val="21"/>
          <w:highlight w:val="none"/>
        </w:rPr>
        <w:t xml:space="preserve">甲方：     </w:t>
      </w:r>
    </w:p>
    <w:p>
      <w:pPr>
        <w:spacing w:line="400" w:lineRule="exact"/>
        <w:rPr>
          <w:rFonts w:ascii="宋体" w:hAnsi="宋体"/>
          <w:color w:val="auto"/>
          <w:szCs w:val="21"/>
          <w:highlight w:val="none"/>
        </w:rPr>
      </w:pPr>
      <w:r>
        <w:rPr>
          <w:rFonts w:hint="eastAsia" w:ascii="宋体" w:hAnsi="宋体"/>
          <w:color w:val="auto"/>
          <w:szCs w:val="21"/>
          <w:highlight w:val="none"/>
        </w:rPr>
        <w:t xml:space="preserve">乙方：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根据《中华人民共和国政府采购法》等法律法规和2020年   月   日</w:t>
      </w:r>
      <w:r>
        <w:rPr>
          <w:rFonts w:ascii="Arial" w:hAnsi="Arial" w:cs="Arial"/>
          <w:color w:val="auto"/>
          <w:highlight w:val="none"/>
        </w:rPr>
        <w:t>2020年拱墅区“峰会”亮灯工程第二次运行维护项目</w:t>
      </w:r>
      <w:r>
        <w:rPr>
          <w:rFonts w:hint="eastAsia" w:ascii="宋体" w:hAnsi="宋体"/>
          <w:color w:val="auto"/>
          <w:szCs w:val="21"/>
          <w:highlight w:val="none"/>
        </w:rPr>
        <w:t xml:space="preserve">采购中标公告结果，就 </w:t>
      </w:r>
      <w:r>
        <w:rPr>
          <w:rFonts w:ascii="Arial" w:hAnsi="Arial" w:cs="Arial"/>
          <w:color w:val="auto"/>
          <w:highlight w:val="none"/>
        </w:rPr>
        <w:t>2020年拱墅区“峰会”亮灯工程第二次运行维护项目</w:t>
      </w:r>
      <w:r>
        <w:rPr>
          <w:rFonts w:hint="eastAsia" w:ascii="宋体" w:hAnsi="宋体"/>
          <w:color w:val="auto"/>
          <w:szCs w:val="21"/>
          <w:highlight w:val="none"/>
        </w:rPr>
        <w:t>、防盗等事宜协商一致，订立本合同。</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一、合同优先次序</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1、合同书</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2、中标通知书</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3、甲方招标文件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4、投标书</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二、养护范围</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合同养护范围：</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1）杭州市</w:t>
      </w:r>
      <w:r>
        <w:rPr>
          <w:rFonts w:ascii="Arial" w:hAnsi="Arial" w:cs="Arial"/>
          <w:color w:val="auto"/>
          <w:highlight w:val="none"/>
        </w:rPr>
        <w:t>2020年拱墅区“峰会”亮灯工程第二次运行维护项目</w:t>
      </w:r>
      <w:r>
        <w:rPr>
          <w:rFonts w:hint="eastAsia" w:ascii="宋体" w:hAnsi="宋体"/>
          <w:color w:val="auto"/>
          <w:szCs w:val="21"/>
          <w:highlight w:val="none"/>
        </w:rPr>
        <w:t>，对招标范围包括灯具、光源、电器、灯杆、标识牌、照明节能设施、配电设施及相关电线电缆等（具体设置地点名称见招标文件）的日常养护。</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2）甲方标中明确的养护要求。</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三、养护的涵义及内容</w:t>
      </w:r>
    </w:p>
    <w:p>
      <w:pPr>
        <w:pStyle w:val="26"/>
        <w:spacing w:line="400" w:lineRule="exact"/>
        <w:rPr>
          <w:rFonts w:hAnsi="宋体"/>
          <w:color w:val="auto"/>
          <w:sz w:val="21"/>
          <w:szCs w:val="21"/>
          <w:highlight w:val="none"/>
        </w:rPr>
      </w:pPr>
      <w:r>
        <w:rPr>
          <w:rFonts w:hint="eastAsia" w:hAnsi="宋体"/>
          <w:color w:val="auto"/>
          <w:sz w:val="21"/>
          <w:szCs w:val="21"/>
          <w:highlight w:val="none"/>
        </w:rPr>
        <w:t>（一）养护的涵义：本合同所称的景观照明设施养护指的是设施日常维修、保洁、保养、设施巡查、</w:t>
      </w:r>
      <w:r>
        <w:rPr>
          <w:rFonts w:hint="eastAsia" w:hAnsi="宋体"/>
          <w:b/>
          <w:color w:val="auto"/>
          <w:sz w:val="21"/>
          <w:szCs w:val="21"/>
          <w:highlight w:val="none"/>
        </w:rPr>
        <w:t>防盗看护</w:t>
      </w:r>
      <w:r>
        <w:rPr>
          <w:rFonts w:hint="eastAsia" w:hAnsi="宋体"/>
          <w:color w:val="auto"/>
          <w:sz w:val="21"/>
          <w:szCs w:val="21"/>
          <w:highlight w:val="none"/>
        </w:rPr>
        <w:t>、应急保障（如防汛、抗台、抗雪）等，以保设施正常运行。</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（二）养护的内容：</w:t>
      </w:r>
    </w:p>
    <w:p>
      <w:pPr>
        <w:pStyle w:val="26"/>
        <w:spacing w:line="400" w:lineRule="exact"/>
        <w:rPr>
          <w:rFonts w:hAnsi="宋体"/>
          <w:color w:val="auto"/>
          <w:sz w:val="21"/>
          <w:szCs w:val="21"/>
          <w:highlight w:val="none"/>
        </w:rPr>
      </w:pPr>
      <w:r>
        <w:rPr>
          <w:rFonts w:hint="eastAsia" w:hAnsi="宋体"/>
          <w:color w:val="auto"/>
          <w:sz w:val="21"/>
          <w:szCs w:val="21"/>
          <w:highlight w:val="none"/>
        </w:rPr>
        <w:t>1、日常维修、日常性巡检、</w:t>
      </w:r>
      <w:r>
        <w:rPr>
          <w:rFonts w:hint="eastAsia" w:hAnsi="宋体"/>
          <w:b/>
          <w:color w:val="auto"/>
          <w:sz w:val="21"/>
          <w:szCs w:val="21"/>
          <w:highlight w:val="none"/>
        </w:rPr>
        <w:t>防盗看护</w:t>
      </w:r>
      <w:r>
        <w:rPr>
          <w:rFonts w:hint="eastAsia" w:hAnsi="宋体"/>
          <w:color w:val="auto"/>
          <w:sz w:val="21"/>
          <w:szCs w:val="21"/>
          <w:highlight w:val="none"/>
        </w:rPr>
        <w:t>、定期检测、养护运行状况评估、定期清洗。</w:t>
      </w:r>
    </w:p>
    <w:p>
      <w:pPr>
        <w:pStyle w:val="26"/>
        <w:spacing w:line="400" w:lineRule="exact"/>
        <w:rPr>
          <w:rFonts w:hAnsi="宋体"/>
          <w:color w:val="auto"/>
          <w:sz w:val="21"/>
          <w:szCs w:val="21"/>
          <w:highlight w:val="none"/>
        </w:rPr>
      </w:pPr>
      <w:r>
        <w:rPr>
          <w:rFonts w:hint="eastAsia" w:hAnsi="宋体"/>
          <w:color w:val="auto"/>
          <w:sz w:val="21"/>
          <w:szCs w:val="21"/>
          <w:highlight w:val="none"/>
        </w:rPr>
        <w:t>2、照明设施：光源、灯具、电器、灯杆。</w:t>
      </w:r>
    </w:p>
    <w:p>
      <w:pPr>
        <w:pStyle w:val="26"/>
        <w:spacing w:line="400" w:lineRule="exact"/>
        <w:rPr>
          <w:rFonts w:hAnsi="宋体"/>
          <w:color w:val="auto"/>
          <w:sz w:val="21"/>
          <w:szCs w:val="21"/>
          <w:highlight w:val="none"/>
        </w:rPr>
      </w:pPr>
      <w:r>
        <w:rPr>
          <w:rFonts w:hint="eastAsia" w:hAnsi="宋体"/>
          <w:color w:val="auto"/>
          <w:sz w:val="21"/>
          <w:szCs w:val="21"/>
          <w:highlight w:val="none"/>
        </w:rPr>
        <w:t>3、附属设施：电缆（含电缆管道）、控制柜、标识牌等。</w:t>
      </w:r>
    </w:p>
    <w:p>
      <w:pPr>
        <w:pStyle w:val="26"/>
        <w:spacing w:line="400" w:lineRule="exact"/>
        <w:rPr>
          <w:rFonts w:hAnsi="宋体"/>
          <w:color w:val="auto"/>
          <w:sz w:val="21"/>
          <w:szCs w:val="21"/>
          <w:highlight w:val="none"/>
        </w:rPr>
      </w:pPr>
      <w:r>
        <w:rPr>
          <w:rFonts w:hint="eastAsia" w:hAnsi="宋体"/>
          <w:color w:val="auto"/>
          <w:sz w:val="21"/>
          <w:szCs w:val="21"/>
          <w:highlight w:val="none"/>
        </w:rPr>
        <w:t>4、按照甲方规定设定或调整亮灯时间。</w:t>
      </w:r>
    </w:p>
    <w:p>
      <w:pPr>
        <w:pStyle w:val="26"/>
        <w:spacing w:line="400" w:lineRule="exact"/>
        <w:rPr>
          <w:rFonts w:hAnsi="宋体"/>
          <w:color w:val="auto"/>
          <w:sz w:val="21"/>
          <w:szCs w:val="21"/>
          <w:highlight w:val="none"/>
        </w:rPr>
      </w:pPr>
      <w:r>
        <w:rPr>
          <w:rFonts w:hint="eastAsia" w:hAnsi="宋体"/>
          <w:color w:val="auto"/>
          <w:sz w:val="21"/>
          <w:szCs w:val="21"/>
          <w:highlight w:val="none"/>
        </w:rPr>
        <w:t>5、按照甲方要求协助做好户外广告灯“断字缺亮”</w:t>
      </w:r>
      <w:r>
        <w:rPr>
          <w:rFonts w:hint="eastAsia"/>
          <w:color w:val="auto"/>
          <w:highlight w:val="none"/>
        </w:rPr>
        <w:t xml:space="preserve"> </w:t>
      </w:r>
      <w:r>
        <w:rPr>
          <w:rFonts w:hint="eastAsia" w:hAnsi="宋体"/>
          <w:color w:val="auto"/>
          <w:sz w:val="21"/>
          <w:szCs w:val="21"/>
          <w:highlight w:val="none"/>
        </w:rPr>
        <w:t>应急整改工作。</w:t>
      </w:r>
    </w:p>
    <w:p>
      <w:pPr>
        <w:pStyle w:val="26"/>
        <w:spacing w:line="400" w:lineRule="exact"/>
        <w:rPr>
          <w:rFonts w:hAnsi="宋体"/>
          <w:color w:val="auto"/>
          <w:sz w:val="21"/>
          <w:szCs w:val="21"/>
          <w:highlight w:val="none"/>
        </w:rPr>
      </w:pPr>
      <w:r>
        <w:rPr>
          <w:rFonts w:hint="eastAsia" w:hAnsi="宋体"/>
          <w:color w:val="auto"/>
          <w:sz w:val="21"/>
          <w:szCs w:val="21"/>
          <w:highlight w:val="none"/>
        </w:rPr>
        <w:t>6、其他要求：智慧亮管系统、媒体播放编辑等工作。</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四、养护方式</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1、乙方在确定的范围内以包工包料的方式实施养护总包干。</w:t>
      </w:r>
    </w:p>
    <w:p>
      <w:pP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2、除特殊材料及新工艺、新材料需报甲方认可外，养护所需一般材料、成品、设备等，均由乙方自行解决，对无法使用的灯具、光源、电器，更换时品牌的选择应与原使用品牌相同。对无法采购到的光源、电器，应采用如下品牌，并经甲方同意（</w:t>
      </w:r>
      <w:r>
        <w:rPr>
          <w:rFonts w:hint="eastAsia" w:ascii="宋体" w:hAnsi="宋体"/>
          <w:b/>
          <w:color w:val="auto"/>
          <w:szCs w:val="21"/>
          <w:highlight w:val="none"/>
        </w:rPr>
        <w:t>光源、电器品牌：PHILIPS、GE、VS、OSRAM等；LED芯片品牌CREE、LUMILEDS、OSRAM、日亚等）。</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五、养护费用：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根据乙方的投标报价，养护费用为</w:t>
      </w:r>
      <w:r>
        <w:rPr>
          <w:rFonts w:hint="eastAsia" w:ascii="宋体" w:hAnsi="宋体"/>
          <w:color w:val="auto"/>
          <w:szCs w:val="21"/>
          <w:highlight w:val="none"/>
          <w:u w:val="single"/>
        </w:rPr>
        <w:t xml:space="preserve">        </w:t>
      </w:r>
      <w:r>
        <w:rPr>
          <w:rFonts w:hint="eastAsia" w:ascii="宋体" w:hAnsi="宋体"/>
          <w:color w:val="auto"/>
          <w:szCs w:val="21"/>
          <w:highlight w:val="none"/>
        </w:rPr>
        <w:t>万元/年、折算每月为</w:t>
      </w:r>
      <w:r>
        <w:rPr>
          <w:rFonts w:hint="eastAsia" w:ascii="宋体" w:hAnsi="宋体"/>
          <w:color w:val="auto"/>
          <w:szCs w:val="21"/>
          <w:highlight w:val="none"/>
          <w:u w:val="single"/>
        </w:rPr>
        <w:t xml:space="preserve">       </w:t>
      </w:r>
      <w:r>
        <w:rPr>
          <w:rFonts w:hint="eastAsia" w:ascii="宋体" w:hAnsi="宋体"/>
          <w:color w:val="auto"/>
          <w:szCs w:val="21"/>
          <w:highlight w:val="none"/>
        </w:rPr>
        <w:t>万元（具体设施量参照招标文件，以甲方实际移交乙方养护的设施量为准。若遇设施量发生变化，则按乙方中标价，以灯盏数为单位计算平均价，调整相应合同养护费用）。</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六、养护期限</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本次养护期限为2年，合同一年一签。从202年 月  起至202年  月  日止。</w:t>
      </w:r>
      <w:r>
        <w:rPr>
          <w:rFonts w:hint="eastAsia" w:ascii="华文仿宋" w:hAnsi="华文仿宋" w:eastAsia="华文仿宋" w:cs="宋体"/>
          <w:color w:val="auto"/>
          <w:kern w:val="0"/>
          <w:sz w:val="24"/>
          <w:highlight w:val="none"/>
        </w:rPr>
        <w:t>（</w:t>
      </w:r>
      <w:r>
        <w:rPr>
          <w:rFonts w:hint="eastAsia" w:ascii="宋体" w:hAnsi="宋体" w:cs="宋体"/>
          <w:color w:val="auto"/>
          <w:kern w:val="0"/>
          <w:szCs w:val="21"/>
          <w:highlight w:val="none"/>
        </w:rPr>
        <w:t>续签合同要求：1、合同期内乙方能严格履行合同，2、年度考核为合格(考核分数在92分及以上)，前10个月累计月度考核没有两次不合格，3、安全检查每月进行并有书面评价，4、台帐资料附合市、区检查考核要求，5、标中要求的应急、代整治、临时整改等工作能按指令落实，6、满足上述要求甲方可按有关程序与乙方再续签</w:t>
      </w:r>
      <w:r>
        <w:rPr>
          <w:rFonts w:hint="eastAsia" w:ascii="宋体" w:hAnsi="宋体" w:cs="宋体"/>
          <w:color w:val="auto"/>
          <w:kern w:val="0"/>
          <w:szCs w:val="21"/>
          <w:highlight w:val="none"/>
          <w:u w:val="single"/>
        </w:rPr>
        <w:t>一年</w:t>
      </w:r>
      <w:r>
        <w:rPr>
          <w:rFonts w:hint="eastAsia" w:ascii="宋体" w:hAnsi="宋体" w:cs="宋体"/>
          <w:color w:val="auto"/>
          <w:kern w:val="0"/>
          <w:szCs w:val="21"/>
          <w:highlight w:val="none"/>
        </w:rPr>
        <w:t>的养护合同）</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 xml:space="preserve">七、甲方的权利、职责与义务                                                                                                                                                                                                                                </w:t>
      </w:r>
    </w:p>
    <w:p>
      <w:pPr>
        <w:spacing w:line="400" w:lineRule="exact"/>
        <w:ind w:firstLine="420" w:firstLineChars="200"/>
        <w:outlineLvl w:val="2"/>
        <w:rPr>
          <w:rFonts w:ascii="宋体" w:hAnsi="宋体"/>
          <w:color w:val="auto"/>
          <w:szCs w:val="21"/>
          <w:highlight w:val="none"/>
        </w:rPr>
      </w:pPr>
      <w:r>
        <w:rPr>
          <w:rFonts w:hint="eastAsia" w:ascii="宋体" w:hAnsi="宋体"/>
          <w:color w:val="auto"/>
          <w:szCs w:val="21"/>
          <w:highlight w:val="none"/>
        </w:rPr>
        <w:t>（一）甲方的权利：</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1、对合同范围内乙方养护的景观照明设施进行管理。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2、及时按合同约定支付景观照明设施的养护费用。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3、审定乙方的年度和月度养护计划，检查养护计划执行情况，核实乙方上报的养护工作量报表。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4、对乙方日常养护的质量、安全和巡查工作及资料台帐，进行定期或不定期的检查，并对设施完好和运行安全情况进行月度、半年度、年度考核。</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5、在有必要的情况下，可要求乙方对设施进行特殊养护。</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6、甲方以及其委派的任何人，均可对乙方养护范围内的设施养护状况进行检查。</w:t>
      </w:r>
    </w:p>
    <w:p>
      <w:pPr>
        <w:spacing w:line="400" w:lineRule="exact"/>
        <w:ind w:firstLine="420" w:firstLineChars="200"/>
        <w:outlineLvl w:val="2"/>
        <w:rPr>
          <w:rFonts w:ascii="宋体" w:hAnsi="宋体"/>
          <w:color w:val="auto"/>
          <w:szCs w:val="21"/>
          <w:highlight w:val="none"/>
        </w:rPr>
      </w:pPr>
      <w:r>
        <w:rPr>
          <w:rFonts w:hint="eastAsia" w:ascii="宋体" w:hAnsi="宋体"/>
          <w:color w:val="auto"/>
          <w:szCs w:val="21"/>
          <w:highlight w:val="none"/>
        </w:rPr>
        <w:t>（二）甲方的职责与义务：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1、向乙方提供有关景观照明设施养护的规范性文件、相关的技术规程和考核办法，下发各类报表样式，指导乙方健全业内资料。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2、及时审核、下达乙方上报的月度养护计划。</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3、对乙方养护工作进行检查、督促，对设施完好状况进行跟踪检测；发现乙方未按规范要求进行养护时，应按合同约定进行处理；发现设施处于危急状况时立即限期要求乙方按应急预案采取应急措施。</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4、对养护工作中采用新工艺、新材料、新方法的适用性、安全性进行审查。</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5、负责协调处理因不可抗力的自然因素造成的设施损坏事件。</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八、乙方的权利、职责与义务</w:t>
      </w:r>
    </w:p>
    <w:p>
      <w:pPr>
        <w:spacing w:line="400" w:lineRule="exact"/>
        <w:ind w:firstLine="420" w:firstLineChars="200"/>
        <w:outlineLvl w:val="2"/>
        <w:rPr>
          <w:rFonts w:ascii="宋体" w:hAnsi="宋体"/>
          <w:color w:val="auto"/>
          <w:szCs w:val="21"/>
          <w:highlight w:val="none"/>
        </w:rPr>
      </w:pPr>
      <w:r>
        <w:rPr>
          <w:rFonts w:hint="eastAsia" w:ascii="宋体" w:hAnsi="宋体"/>
          <w:color w:val="auto"/>
          <w:szCs w:val="21"/>
          <w:highlight w:val="none"/>
        </w:rPr>
        <w:t>（一）乙方的权利</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1、按照本合同确定的养护设施范围，</w:t>
      </w:r>
      <w:r>
        <w:rPr>
          <w:rFonts w:hint="eastAsia" w:ascii="宋体" w:hAnsi="宋体"/>
          <w:b/>
          <w:color w:val="auto"/>
          <w:szCs w:val="21"/>
          <w:highlight w:val="none"/>
        </w:rPr>
        <w:t>经甲方确认的实际养护设施量及考核情况</w:t>
      </w:r>
      <w:r>
        <w:rPr>
          <w:rFonts w:hint="eastAsia" w:ascii="宋体" w:hAnsi="宋体"/>
          <w:color w:val="auto"/>
          <w:szCs w:val="21"/>
          <w:highlight w:val="none"/>
        </w:rPr>
        <w:t>取得相应确定的养护经费。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2、编制年度、月度养护计划，经甲方审定后安排日常养护工作。</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3、按甲方要求进行临时养护的项目，乙方有权获得养护费用。</w:t>
      </w:r>
    </w:p>
    <w:p>
      <w:pPr>
        <w:spacing w:line="400" w:lineRule="exact"/>
        <w:ind w:firstLine="420" w:firstLineChars="200"/>
        <w:outlineLvl w:val="2"/>
        <w:rPr>
          <w:rFonts w:ascii="宋体" w:hAnsi="宋体"/>
          <w:color w:val="auto"/>
          <w:szCs w:val="21"/>
          <w:highlight w:val="none"/>
        </w:rPr>
      </w:pPr>
      <w:r>
        <w:rPr>
          <w:rFonts w:hint="eastAsia" w:ascii="宋体" w:hAnsi="宋体"/>
          <w:color w:val="auto"/>
          <w:szCs w:val="21"/>
          <w:highlight w:val="none"/>
        </w:rPr>
        <w:t>（二）乙方的职责与义务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1、按照现行的有关规范要求并根据合同的各项规定，精心组织养护，保证设施正常运行。</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2、掌握合同范围内设施动态，及时发现、防止和处理设施缺陷，确保景观照明设施完好和安全运行。</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乙方在实施和完成本合同的养护作业过程中，应该遵守国家、省、市颁布的法律、法令、条例以及有关规定，遵守有关部门的规章细则等，养护操作中涉及的有关审批及协调手续由乙方办理，由于乙方违反上述有关规定而导致各种罚款和责任，则由乙方自行负责。</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4、对合同范围内的所有景观照明设施按有关规定进行巡查（按甲方要求扩大区域及照明种类），在重大活动期间和节假日应加大巡查频率，必要时采取监护措施。</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5、对全部现场作业和施工方法的适应、稳妥和安全性承担全部责任。在养护工作中，力求采用成熟的工艺、材料和方法。</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6、根据养护计划编制养护方案，并应在每月月底前报送当月完成的工作量和下月的计划。</w:t>
      </w:r>
      <w:r>
        <w:rPr>
          <w:rFonts w:hint="eastAsia" w:ascii="宋体" w:hAnsi="宋体"/>
          <w:b/>
          <w:color w:val="auto"/>
          <w:szCs w:val="21"/>
          <w:highlight w:val="none"/>
        </w:rPr>
        <w:t>采购的灯具品牌报甲方备案。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7、乙方工作班人员必须经过专业培训并持证上岗，设专人负责；建立健全的安全体制和安全学习制度，不断提高工作人员的安全意识；甲方有权要求乙方撤换工作不能胜任或玩忽职守、工作不负责的人员。</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8、配合甲方做好合同范围内设施量及设施现状调查工作，并为甲方的检测和检查等提供协助。</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9、制定应急预案，配合做好亮灯的服务及安全保障工作，并报甲方备案。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10、养护期内，乙方有责任发现并及时制止合同范围内的所有设施免遭人为等因素导致的损坏和侵害，并做好赔偿、修复的调查工作。</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11、养护期内，除不可抗力的自然环境因素外，其它因人为因素、偷盗等原因导致的景观照明设施缺损，由乙方负责及时更换或维修，并承担相关费用。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12、定期核对图纸资料。合同期生效起三个月内完成所有设备资料复核调整和标识工作，并及时向甲方提供资料和设备清单，按月度上报资料变更资料。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13、对发现的缺亮、故障和缺陷进行及时修复并做好反馈工作，确保设备完好可靠，保证亮灯率在达到考核指标要求。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14、保持照明设备的清洁，无明显的污垢。及时清除未经许可的任何悬挂物。</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15、养护期内，因被养护设施掉落、炫光、漏电等造成的人身或财产等损失，一律由乙方负责赔偿。作业前应对高空、接电、用电等有安全隐患情况高度重视，严格做好各类保障措施确保安全作业，如有意外发生由乙方负责。</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u w:val="single"/>
        </w:rPr>
        <w:t>16、如重大活动及节假日期间，投标单位须做好应急保障措施，安排人员24小时值班，准备总维护量5%的额备货。</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17、按甲方要求提供报表，格式参考附表3或按甲方要求。</w:t>
      </w:r>
    </w:p>
    <w:p>
      <w:pPr>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18.</w:t>
      </w:r>
      <w:r>
        <w:rPr>
          <w:rFonts w:hint="eastAsia" w:ascii="宋体" w:hAnsi="宋体"/>
          <w:color w:val="auto"/>
          <w:szCs w:val="21"/>
          <w:highlight w:val="none"/>
        </w:rPr>
        <w:t xml:space="preserve"> </w:t>
      </w:r>
      <w:r>
        <w:rPr>
          <w:rFonts w:hint="eastAsia" w:ascii="宋体" w:hAnsi="宋体"/>
          <w:b/>
          <w:color w:val="auto"/>
          <w:szCs w:val="21"/>
          <w:highlight w:val="none"/>
        </w:rPr>
        <w:t>按甲方要求协助做好户外广告灯“断字缺亮”</w:t>
      </w:r>
      <w:r>
        <w:rPr>
          <w:rFonts w:hint="eastAsia"/>
          <w:color w:val="auto"/>
          <w:highlight w:val="none"/>
        </w:rPr>
        <w:t xml:space="preserve"> </w:t>
      </w:r>
      <w:r>
        <w:rPr>
          <w:rFonts w:hint="eastAsia" w:ascii="宋体" w:hAnsi="宋体"/>
          <w:b/>
          <w:color w:val="auto"/>
          <w:szCs w:val="21"/>
          <w:highlight w:val="none"/>
        </w:rPr>
        <w:t>应急整改</w:t>
      </w:r>
      <w:r>
        <w:rPr>
          <w:rFonts w:hint="eastAsia" w:ascii="宋体" w:hAnsi="宋体"/>
          <w:b/>
          <w:color w:val="auto"/>
          <w:szCs w:val="21"/>
          <w:highlight w:val="none"/>
          <w:shd w:val="clear" w:color="auto" w:fill="FFFFFF"/>
        </w:rPr>
        <w:t>工作</w:t>
      </w:r>
      <w:r>
        <w:rPr>
          <w:rFonts w:hint="eastAsia" w:ascii="宋体" w:hAnsi="宋体"/>
          <w:color w:val="auto"/>
          <w:szCs w:val="21"/>
          <w:highlight w:val="none"/>
          <w:shd w:val="clear" w:color="auto" w:fill="FFFFFF"/>
        </w:rPr>
        <w:t>。</w:t>
      </w:r>
    </w:p>
    <w:p>
      <w:pPr>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19、本合同终止时，乙方必须向甲方移交其使用的全部档案资料（含影像照片资料），以及对新中标养护单位做好设施交接</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九、养护质量标准和要求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1、养护质量标准：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根据《城市道路照明设计标准》（</w:t>
      </w:r>
      <w:r>
        <w:rPr>
          <w:rFonts w:ascii="宋体" w:hAnsi="宋体"/>
          <w:color w:val="auto"/>
          <w:szCs w:val="21"/>
          <w:highlight w:val="none"/>
        </w:rPr>
        <w:t>CJJ45-2006</w:t>
      </w:r>
      <w:r>
        <w:rPr>
          <w:rFonts w:hint="eastAsia" w:ascii="宋体" w:hAnsi="宋体"/>
          <w:color w:val="auto"/>
          <w:szCs w:val="21"/>
          <w:highlight w:val="none"/>
        </w:rPr>
        <w:t>）、</w:t>
      </w:r>
      <w:r>
        <w:rPr>
          <w:rFonts w:ascii="宋体" w:hAnsi="宋体"/>
          <w:color w:val="auto"/>
          <w:szCs w:val="21"/>
          <w:highlight w:val="none"/>
        </w:rPr>
        <w:t>《城市夜景照明设计规范》(JGJ/T163-2008)</w:t>
      </w:r>
      <w:r>
        <w:rPr>
          <w:rFonts w:hint="eastAsia" w:ascii="宋体" w:hAnsi="宋体"/>
          <w:color w:val="auto"/>
          <w:szCs w:val="21"/>
          <w:highlight w:val="none"/>
        </w:rPr>
        <w:t>》、《城市照明设施养护维修服务标准》、《关于印发杭州市建筑物景观照明设施养护评价办法的通知》及国家有关强制性标准的规定执行。</w:t>
      </w:r>
    </w:p>
    <w:p>
      <w:pPr>
        <w:numPr>
          <w:ilvl w:val="0"/>
          <w:numId w:val="2"/>
        </w:numPr>
        <w:spacing w:line="400" w:lineRule="exact"/>
        <w:rPr>
          <w:rFonts w:ascii="宋体" w:hAnsi="宋体"/>
          <w:color w:val="auto"/>
          <w:szCs w:val="21"/>
          <w:highlight w:val="none"/>
        </w:rPr>
      </w:pPr>
      <w:r>
        <w:rPr>
          <w:rFonts w:hint="eastAsia" w:ascii="宋体" w:hAnsi="宋体"/>
          <w:color w:val="auto"/>
          <w:szCs w:val="21"/>
          <w:highlight w:val="none"/>
        </w:rPr>
        <w:t>养护考核依据：</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按照《杭州市亮化长效管理实施意见（试行）》、《杭州市市区亮灯指挥与保障方案》、《杭州市城市照明设施养护考核评分标准》、等相关规定要求。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3、档案资料保管：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乙方应建立养护档案，健全日常养护作业记录，认真做好台帐的整理和归档工作；应每年将养护档案资料移交甲方一份（</w:t>
      </w:r>
      <w:r>
        <w:rPr>
          <w:rFonts w:hint="eastAsia" w:ascii="宋体" w:hAnsi="宋体"/>
          <w:b/>
          <w:color w:val="auto"/>
          <w:szCs w:val="21"/>
          <w:highlight w:val="none"/>
        </w:rPr>
        <w:t>具体格式参照《建筑物景观照明设施养护周报》，并附上施工前、施工后等影像照片资料）</w:t>
      </w:r>
      <w:r>
        <w:rPr>
          <w:rFonts w:hint="eastAsia" w:ascii="宋体" w:hAnsi="宋体"/>
          <w:color w:val="auto"/>
          <w:szCs w:val="21"/>
          <w:highlight w:val="none"/>
        </w:rPr>
        <w:t>。</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十、突发事件处理及防汛、抗台、抗雪</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应成立突发事件应急处理领导小组和应急抢险突击队，认真做好防汛、抗台、抗雪及突发事件应急抢险工作，确保人员、设备、材料“三落实”，并做好数据、图片和台帐的记录、存档，及时反映情况，严格服从甲方的统一指挥和安排。</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若发生非养护原因引起的意外事故或人为破坏造成的设施损坏，乙方应立即采取相关措施或临时应急措施，并通知甲方和相关部门。</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十一、“三来件”处置</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乙方应建立24小时值班制度，及时处理“三来件”事项，保证办结率和回复率达到100%，满意率98%以上。</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十二、考核及支付</w:t>
      </w:r>
    </w:p>
    <w:p>
      <w:pPr>
        <w:pStyle w:val="2"/>
        <w:rPr>
          <w:b/>
          <w:color w:val="auto"/>
          <w:highlight w:val="none"/>
          <w:lang w:val="en-US"/>
        </w:rPr>
      </w:pPr>
      <w:r>
        <w:rPr>
          <w:rFonts w:hint="eastAsia"/>
          <w:b/>
          <w:color w:val="auto"/>
          <w:highlight w:val="none"/>
          <w:lang w:val="en-US"/>
        </w:rPr>
        <w:t>考核按市级相关文件及拱墅区亮灯设施维护管理考核办法等规章制度执行。</w:t>
      </w:r>
    </w:p>
    <w:p>
      <w:pPr>
        <w:spacing w:line="48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s="宋体"/>
          <w:color w:val="auto"/>
          <w:szCs w:val="21"/>
          <w:highlight w:val="none"/>
          <w:u w:val="single"/>
        </w:rPr>
        <w:t>根据浙财采监〔2020〕3号文规定，</w:t>
      </w:r>
      <w:r>
        <w:rPr>
          <w:rFonts w:hint="eastAsia" w:ascii="宋体" w:hAnsi="宋体" w:cs="Arial"/>
          <w:bCs/>
          <w:color w:val="auto"/>
          <w:kern w:val="0"/>
          <w:szCs w:val="21"/>
          <w:highlight w:val="none"/>
          <w:u w:val="single"/>
        </w:rPr>
        <w:t>合同签订后，预付合同价的10%；</w:t>
      </w:r>
      <w:r>
        <w:rPr>
          <w:rFonts w:hint="eastAsia" w:ascii="宋体" w:hAnsi="宋体"/>
          <w:color w:val="auto"/>
          <w:szCs w:val="21"/>
          <w:highlight w:val="none"/>
        </w:rPr>
        <w:t>每半年按考核结果支付该半年60%养护费用，计付    万元；另剩余的养护经费（扣回预付款后）根据考核结果进行拨付计付    万元（考核合格没违约处罚），与下半年考核后一并支付。</w:t>
      </w:r>
    </w:p>
    <w:p>
      <w:pPr>
        <w:spacing w:line="480" w:lineRule="exact"/>
        <w:ind w:firstLine="420" w:firstLineChars="200"/>
        <w:rPr>
          <w:rFonts w:ascii="宋体" w:hAnsi="宋体"/>
          <w:color w:val="auto"/>
          <w:szCs w:val="21"/>
          <w:highlight w:val="none"/>
        </w:rPr>
      </w:pPr>
      <w:r>
        <w:rPr>
          <w:rFonts w:hint="eastAsia" w:ascii="宋体" w:hAnsi="宋体"/>
          <w:color w:val="auto"/>
          <w:szCs w:val="21"/>
          <w:highlight w:val="none"/>
        </w:rPr>
        <w:t>(具体支付需要根据市、区财政专款拨付时间而定)。</w:t>
      </w:r>
    </w:p>
    <w:p>
      <w:pPr>
        <w:spacing w:line="480" w:lineRule="exact"/>
        <w:ind w:firstLine="420" w:firstLineChars="200"/>
        <w:rPr>
          <w:rFonts w:ascii="宋体" w:hAnsi="宋体"/>
          <w:color w:val="auto"/>
          <w:szCs w:val="21"/>
          <w:highlight w:val="none"/>
        </w:rPr>
      </w:pPr>
      <w:r>
        <w:rPr>
          <w:rFonts w:hint="eastAsia" w:ascii="宋体" w:hAnsi="宋体"/>
          <w:color w:val="auto"/>
          <w:szCs w:val="21"/>
          <w:highlight w:val="none"/>
        </w:rPr>
        <w:t>2、每半年度考核得分92分（含92分）以上，核拨余下的40%年度考核经费；年度考核得分92分（不含92分）以下，扣除相应年度考核经费（92分-年度考核成绩）*全年养护经费/92分，40%的养护经费扣完为止）；暂定考核每半年考核一次，若第一个半年考核成绩92分以下，将给予养护单位警告，若第二个半年考核成绩还在92分以下，则本项目不续签第二年合同并重新组织招标。同时如乙方养护设施连续2个月度考核不及格或一年累计超过3个月度（含3个）考核不及格，甲方有权解除本养护承包合同。不续签或解除合同的将取消该养护单位下一轮投标资格，列入黑名单，并可直接推荐排名次之的投标单位为中标候选人（报请局党委及市亮灯监管中心核定）。</w:t>
      </w:r>
    </w:p>
    <w:p>
      <w:pPr>
        <w:spacing w:line="480" w:lineRule="exact"/>
        <w:ind w:firstLine="420" w:firstLineChars="200"/>
        <w:rPr>
          <w:rFonts w:ascii="宋体" w:hAnsi="宋体"/>
          <w:color w:val="auto"/>
          <w:szCs w:val="21"/>
          <w:highlight w:val="none"/>
        </w:rPr>
      </w:pPr>
      <w:r>
        <w:rPr>
          <w:rFonts w:hint="eastAsia" w:ascii="宋体" w:hAnsi="宋体"/>
          <w:color w:val="auto"/>
          <w:szCs w:val="21"/>
          <w:highlight w:val="none"/>
        </w:rPr>
        <w:t>3、遇特殊情况停运部分照明设备，根据停运数量及日期扣除（参照综合维修单价）停运部分维护费，但养护单位不得减少巡检次数和质量，待恢复正常运行后再支付维护费。</w:t>
      </w:r>
    </w:p>
    <w:p>
      <w:pPr>
        <w:spacing w:line="400" w:lineRule="exact"/>
        <w:ind w:firstLine="420" w:firstLineChars="200"/>
        <w:outlineLvl w:val="1"/>
        <w:rPr>
          <w:rFonts w:ascii="宋体" w:hAnsi="宋体"/>
          <w:color w:val="auto"/>
          <w:szCs w:val="21"/>
          <w:highlight w:val="none"/>
        </w:rPr>
      </w:pPr>
      <w:r>
        <w:rPr>
          <w:rFonts w:hint="eastAsia" w:ascii="宋体" w:hAnsi="宋体"/>
          <w:color w:val="auto"/>
          <w:szCs w:val="21"/>
          <w:highlight w:val="none"/>
        </w:rPr>
        <w:t>4、年度结算考核以区查月平均数为折扣数。</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十三、违约处罚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1、如乙方未按照甲方整改及时效要求进行整改，每发生一件逾期未整改将处以2000元人民币的罚款。累计2次的视为当月考核不合格，罚款费用为当月维护费用的10%。</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市级、区级部门在检查中每发现一处问题，一般每件500元、每幢2000元人民币罚款。由于养护不到位或不文明施工等情况而被新闻媒体曝光或发生有责投诉，每发生一次，处以1000-10000元人民币的罚款。事后未及时妥善处理造成恶劣社会舆论影响的，视情节轻重扣除当月维护费用的10%-30%直至终止维护合同。</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3、安全检查及作业，未按要求进行月度设备设施检查每次扣1000元人民币罚款，以及出现一般隐患扣2000-5000元、重大隐患10000-50000元的人民币罚款。</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4、当月考核不合格的扣除当月维护费用的10%，如乙方养护设施连续2个月度考核不合格或养护承包周期内累计超过3个月度考核不合格，甲方有权解除本养护承包合同。</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5、每周一向甲方汇报亮灯情况，逾期不报，每次处以1000元人民币的罚款。</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6、建立健全景观照明的资料台帐，确保图纸资料的完整性、正确性。每年度的图纸资料核对、标识工作必须完成，未完成的不予进行费用决算。</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7、除上述违约处罚及本合同条款中其余违约处罚外，如有违约，违约方应当按照《中华人民共和国合同法》规定向对方赔偿损失。</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十四、下列内容不包括在本合同养护经费内</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1、不可抗力或非乙方人为因素造成设施损坏需抢修或维修，经甲方核实同意发生的抢修费用。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2、经上级审批立项的专项工程费用。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3、配合甲方完成本合同约定养护内容以外的工作所发生的费用。</w:t>
      </w:r>
    </w:p>
    <w:p>
      <w:pPr>
        <w:spacing w:line="400" w:lineRule="exact"/>
        <w:ind w:firstLine="422" w:firstLineChars="200"/>
        <w:outlineLvl w:val="1"/>
        <w:rPr>
          <w:rFonts w:ascii="宋体" w:hAnsi="宋体"/>
          <w:b/>
          <w:color w:val="auto"/>
          <w:szCs w:val="21"/>
          <w:highlight w:val="none"/>
        </w:rPr>
      </w:pPr>
      <w:r>
        <w:rPr>
          <w:rFonts w:hint="eastAsia" w:ascii="宋体" w:hAnsi="宋体"/>
          <w:b/>
          <w:color w:val="auto"/>
          <w:szCs w:val="21"/>
          <w:highlight w:val="none"/>
        </w:rPr>
        <w:t>十五、安全、文明施工</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为确保安全、文明施工，应该本着“安全第一，预防为主”的原则，建立安全管理组织体系；严格贯彻国家、省、市和劳动保护、安全生产部门颁发的有关安全生产、消防工作的方针、政策、法规、条例、规定等执行。</w:t>
      </w:r>
    </w:p>
    <w:p>
      <w:pPr>
        <w:spacing w:line="400" w:lineRule="exact"/>
        <w:ind w:firstLine="420" w:firstLineChars="200"/>
        <w:rPr>
          <w:rFonts w:ascii="宋体" w:hAnsi="宋体"/>
          <w:color w:val="auto"/>
          <w:szCs w:val="21"/>
          <w:highlight w:val="none"/>
        </w:rPr>
      </w:pPr>
      <w:r>
        <w:rPr>
          <w:rFonts w:hint="eastAsia" w:ascii="宋体" w:hAnsi="宋体"/>
          <w:bCs/>
          <w:color w:val="auto"/>
          <w:szCs w:val="21"/>
          <w:highlight w:val="none"/>
        </w:rPr>
        <w:t>2、合同期间，由于</w:t>
      </w:r>
      <w:r>
        <w:rPr>
          <w:rFonts w:hint="eastAsia" w:ascii="宋体" w:hAnsi="宋体"/>
          <w:color w:val="auto"/>
          <w:szCs w:val="21"/>
          <w:highlight w:val="none"/>
        </w:rPr>
        <w:t>乙方安全措施不力、养护工作不到位、违反安全操作规程而导致责任事故或伤害，所发生的费用均由乙方自负，甲方保留追究责任的权利。</w:t>
      </w:r>
    </w:p>
    <w:p>
      <w:pPr>
        <w:pStyle w:val="2"/>
        <w:rPr>
          <w:b/>
          <w:color w:val="auto"/>
          <w:highlight w:val="none"/>
          <w:lang w:val="en-US"/>
        </w:rPr>
      </w:pPr>
      <w:r>
        <w:rPr>
          <w:rFonts w:hint="eastAsia"/>
          <w:b/>
          <w:color w:val="auto"/>
          <w:highlight w:val="none"/>
          <w:lang w:val="en-US"/>
        </w:rPr>
        <w:t>十六、其他</w:t>
      </w:r>
    </w:p>
    <w:p>
      <w:pPr>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1、</w:t>
      </w:r>
      <w:r>
        <w:rPr>
          <w:rFonts w:hint="eastAsia" w:ascii="宋体" w:hAnsi="宋体"/>
          <w:color w:val="auto"/>
          <w:szCs w:val="21"/>
          <w:highlight w:val="none"/>
        </w:rPr>
        <w:t>乙方应当按照本合同约定完成养护任务，不得向他人转包或分包。一经发现，甲方有权立即终止本合同。由此产生的法律责任和经济损失由乙方承担。</w:t>
      </w:r>
    </w:p>
    <w:p>
      <w:pPr>
        <w:pStyle w:val="2"/>
        <w:ind w:firstLine="420"/>
        <w:rPr>
          <w:color w:val="auto"/>
          <w:highlight w:val="none"/>
          <w:lang w:val="en-US"/>
        </w:rPr>
      </w:pPr>
      <w:r>
        <w:rPr>
          <w:rFonts w:hint="eastAsia"/>
          <w:color w:val="auto"/>
          <w:highlight w:val="none"/>
          <w:lang w:val="en-US"/>
        </w:rPr>
        <w:t>2、为做好长效养护工作，落实专人按甲方要求配合日常督查与监管台帐等工作。</w:t>
      </w:r>
    </w:p>
    <w:p>
      <w:pPr>
        <w:pStyle w:val="2"/>
        <w:ind w:firstLine="420"/>
        <w:rPr>
          <w:color w:val="auto"/>
          <w:highlight w:val="none"/>
          <w:lang w:val="en-US"/>
        </w:rPr>
      </w:pPr>
      <w:r>
        <w:rPr>
          <w:rFonts w:hint="eastAsia"/>
          <w:color w:val="auto"/>
          <w:highlight w:val="none"/>
          <w:lang w:val="en-US"/>
        </w:rPr>
        <w:t>3、报备专用车辆、人员等信息，乙方如须调整应书面报告甲方确认。</w:t>
      </w:r>
    </w:p>
    <w:p>
      <w:pPr>
        <w:snapToGrid w:val="0"/>
        <w:spacing w:line="360" w:lineRule="auto"/>
        <w:rPr>
          <w:rFonts w:ascii="Arial" w:hAnsi="Arial" w:cs="Arial"/>
          <w:color w:val="auto"/>
          <w:szCs w:val="21"/>
          <w:highlight w:val="none"/>
        </w:rPr>
      </w:pPr>
    </w:p>
    <w:p>
      <w:pPr>
        <w:snapToGrid w:val="0"/>
        <w:spacing w:line="360" w:lineRule="auto"/>
        <w:rPr>
          <w:rFonts w:ascii="Arial" w:hAnsi="Arial" w:cs="Arial"/>
          <w:color w:val="auto"/>
          <w:szCs w:val="21"/>
          <w:highlight w:val="none"/>
        </w:rPr>
      </w:pPr>
      <w:r>
        <w:rPr>
          <w:rFonts w:ascii="Arial" w:hAnsi="Arial" w:cs="Arial"/>
          <w:color w:val="auto"/>
          <w:szCs w:val="21"/>
          <w:highlight w:val="none"/>
        </w:rPr>
        <w:t>甲方名称：</w:t>
      </w:r>
      <w:r>
        <w:rPr>
          <w:rFonts w:hint="eastAsia" w:ascii="Arial" w:hAnsi="Arial" w:cs="Arial"/>
          <w:color w:val="auto"/>
          <w:szCs w:val="21"/>
          <w:highlight w:val="none"/>
        </w:rPr>
        <w:t xml:space="preserve">                                      </w:t>
      </w:r>
      <w:r>
        <w:rPr>
          <w:rFonts w:ascii="Arial" w:hAnsi="Arial" w:cs="Arial"/>
          <w:color w:val="auto"/>
          <w:szCs w:val="21"/>
          <w:highlight w:val="none"/>
        </w:rPr>
        <w:t>乙方名称：</w:t>
      </w:r>
    </w:p>
    <w:p>
      <w:pPr>
        <w:snapToGrid w:val="0"/>
        <w:spacing w:line="360" w:lineRule="auto"/>
        <w:rPr>
          <w:rFonts w:ascii="Arial" w:hAnsi="Arial" w:cs="Arial"/>
          <w:color w:val="auto"/>
          <w:szCs w:val="21"/>
          <w:highlight w:val="none"/>
        </w:rPr>
      </w:pPr>
      <w:r>
        <w:rPr>
          <w:rFonts w:ascii="Arial" w:hAnsi="Arial" w:cs="Arial"/>
          <w:color w:val="auto"/>
          <w:szCs w:val="21"/>
          <w:highlight w:val="none"/>
        </w:rPr>
        <w:t>甲方代表：</w:t>
      </w:r>
      <w:r>
        <w:rPr>
          <w:rFonts w:hint="eastAsia" w:ascii="Arial" w:hAnsi="Arial" w:cs="Arial"/>
          <w:color w:val="auto"/>
          <w:szCs w:val="21"/>
          <w:highlight w:val="none"/>
        </w:rPr>
        <w:t xml:space="preserve">                                      </w:t>
      </w:r>
      <w:r>
        <w:rPr>
          <w:rFonts w:ascii="Arial" w:hAnsi="Arial" w:cs="Arial"/>
          <w:color w:val="auto"/>
          <w:szCs w:val="21"/>
          <w:highlight w:val="none"/>
        </w:rPr>
        <w:t>乙方代表：</w:t>
      </w:r>
    </w:p>
    <w:p>
      <w:pPr>
        <w:snapToGrid w:val="0"/>
        <w:spacing w:line="360" w:lineRule="auto"/>
        <w:rPr>
          <w:rFonts w:ascii="Arial" w:hAnsi="Arial" w:cs="Arial"/>
          <w:color w:val="auto"/>
          <w:szCs w:val="21"/>
          <w:highlight w:val="none"/>
        </w:rPr>
      </w:pPr>
      <w:r>
        <w:rPr>
          <w:rFonts w:ascii="Arial" w:hAnsi="Arial" w:cs="Arial"/>
          <w:color w:val="auto"/>
          <w:szCs w:val="21"/>
          <w:highlight w:val="none"/>
        </w:rPr>
        <w:t>盖章：</w:t>
      </w:r>
      <w:r>
        <w:rPr>
          <w:rFonts w:hint="eastAsia" w:ascii="Arial" w:hAnsi="Arial" w:cs="Arial"/>
          <w:color w:val="auto"/>
          <w:szCs w:val="21"/>
          <w:highlight w:val="none"/>
        </w:rPr>
        <w:t xml:space="preserve">                                           </w:t>
      </w:r>
      <w:r>
        <w:rPr>
          <w:rFonts w:ascii="Arial" w:hAnsi="Arial" w:cs="Arial"/>
          <w:color w:val="auto"/>
          <w:szCs w:val="21"/>
          <w:highlight w:val="none"/>
        </w:rPr>
        <w:t>盖章：</w:t>
      </w:r>
    </w:p>
    <w:p>
      <w:pPr>
        <w:snapToGrid w:val="0"/>
        <w:spacing w:line="360" w:lineRule="auto"/>
        <w:rPr>
          <w:rFonts w:ascii="Arial" w:hAnsi="Arial" w:cs="Arial"/>
          <w:color w:val="auto"/>
          <w:szCs w:val="21"/>
          <w:highlight w:val="none"/>
        </w:rPr>
      </w:pPr>
      <w:r>
        <w:rPr>
          <w:rFonts w:ascii="Arial" w:hAnsi="Arial" w:cs="Arial"/>
          <w:color w:val="auto"/>
          <w:szCs w:val="21"/>
          <w:highlight w:val="none"/>
        </w:rPr>
        <w:t>地址：</w:t>
      </w:r>
      <w:r>
        <w:rPr>
          <w:rFonts w:hint="eastAsia" w:ascii="Arial" w:hAnsi="Arial" w:cs="Arial"/>
          <w:color w:val="auto"/>
          <w:szCs w:val="21"/>
          <w:highlight w:val="none"/>
        </w:rPr>
        <w:t xml:space="preserve">                                           </w:t>
      </w:r>
      <w:r>
        <w:rPr>
          <w:rFonts w:ascii="Arial" w:hAnsi="Arial" w:cs="Arial"/>
          <w:color w:val="auto"/>
          <w:szCs w:val="21"/>
          <w:highlight w:val="none"/>
        </w:rPr>
        <w:t>地址：</w:t>
      </w:r>
    </w:p>
    <w:p>
      <w:pPr>
        <w:snapToGrid w:val="0"/>
        <w:spacing w:line="360" w:lineRule="auto"/>
        <w:rPr>
          <w:rFonts w:ascii="Arial" w:hAnsi="Arial" w:cs="Arial"/>
          <w:color w:val="auto"/>
          <w:szCs w:val="21"/>
          <w:highlight w:val="none"/>
        </w:rPr>
      </w:pPr>
      <w:r>
        <w:rPr>
          <w:rFonts w:ascii="Arial" w:hAnsi="Arial" w:cs="Arial"/>
          <w:color w:val="auto"/>
          <w:szCs w:val="21"/>
          <w:highlight w:val="none"/>
        </w:rPr>
        <w:t>邮编：</w:t>
      </w:r>
      <w:r>
        <w:rPr>
          <w:rFonts w:hint="eastAsia" w:ascii="Arial" w:hAnsi="Arial" w:cs="Arial"/>
          <w:color w:val="auto"/>
          <w:szCs w:val="21"/>
          <w:highlight w:val="none"/>
        </w:rPr>
        <w:t xml:space="preserve">                                           </w:t>
      </w:r>
      <w:r>
        <w:rPr>
          <w:rFonts w:ascii="Arial" w:hAnsi="Arial" w:cs="Arial"/>
          <w:color w:val="auto"/>
          <w:szCs w:val="21"/>
          <w:highlight w:val="none"/>
        </w:rPr>
        <w:t>邮编：</w:t>
      </w:r>
    </w:p>
    <w:p>
      <w:pPr>
        <w:snapToGrid w:val="0"/>
        <w:spacing w:line="360" w:lineRule="auto"/>
        <w:rPr>
          <w:rFonts w:ascii="Arial" w:hAnsi="Arial" w:cs="Arial"/>
          <w:b/>
          <w:bCs/>
          <w:color w:val="auto"/>
          <w:szCs w:val="21"/>
          <w:highlight w:val="none"/>
        </w:rPr>
      </w:pPr>
      <w:r>
        <w:rPr>
          <w:rFonts w:ascii="Arial" w:hAnsi="Arial" w:cs="Arial"/>
          <w:color w:val="auto"/>
          <w:szCs w:val="21"/>
          <w:highlight w:val="none"/>
        </w:rPr>
        <w:t>联系电话：</w:t>
      </w:r>
      <w:r>
        <w:rPr>
          <w:rFonts w:hint="eastAsia" w:ascii="Arial" w:hAnsi="Arial" w:cs="Arial"/>
          <w:color w:val="auto"/>
          <w:szCs w:val="21"/>
          <w:highlight w:val="none"/>
        </w:rPr>
        <w:t xml:space="preserve">                                       </w:t>
      </w:r>
      <w:r>
        <w:rPr>
          <w:rFonts w:ascii="Arial" w:hAnsi="Arial" w:cs="Arial"/>
          <w:color w:val="auto"/>
          <w:szCs w:val="21"/>
          <w:highlight w:val="none"/>
        </w:rPr>
        <w:t>联系电话：</w:t>
      </w:r>
    </w:p>
    <w:p>
      <w:pPr>
        <w:shd w:val="clear" w:color="auto" w:fill="FFFFFF"/>
        <w:adjustRightInd w:val="0"/>
        <w:snapToGrid w:val="0"/>
        <w:spacing w:line="300" w:lineRule="auto"/>
        <w:ind w:left="420"/>
        <w:rPr>
          <w:rFonts w:ascii="Arial" w:hAnsi="Arial" w:cs="Arial"/>
          <w:color w:val="auto"/>
          <w:szCs w:val="21"/>
          <w:highlight w:val="none"/>
        </w:rPr>
      </w:pPr>
    </w:p>
    <w:p>
      <w:pPr>
        <w:snapToGrid w:val="0"/>
        <w:spacing w:line="300" w:lineRule="auto"/>
        <w:ind w:firstLine="480" w:firstLineChars="200"/>
        <w:rPr>
          <w:rFonts w:ascii="Arial" w:hAnsi="Arial" w:cs="Arial"/>
          <w:color w:val="auto"/>
          <w:sz w:val="24"/>
          <w:highlight w:val="none"/>
        </w:rPr>
      </w:pPr>
    </w:p>
    <w:p>
      <w:pPr>
        <w:snapToGrid w:val="0"/>
        <w:spacing w:line="300" w:lineRule="auto"/>
        <w:ind w:firstLine="480" w:firstLineChars="200"/>
        <w:rPr>
          <w:rFonts w:ascii="Arial" w:hAnsi="Arial" w:cs="Arial"/>
          <w:color w:val="auto"/>
          <w:sz w:val="24"/>
          <w:highlight w:val="none"/>
        </w:rPr>
      </w:pPr>
    </w:p>
    <w:p>
      <w:pPr>
        <w:snapToGrid w:val="0"/>
        <w:spacing w:line="300" w:lineRule="auto"/>
        <w:ind w:firstLine="480" w:firstLineChars="200"/>
        <w:rPr>
          <w:rFonts w:ascii="Arial" w:hAnsi="Arial" w:cs="Arial"/>
          <w:color w:val="auto"/>
          <w:sz w:val="24"/>
          <w:highlight w:val="none"/>
        </w:rPr>
      </w:pPr>
    </w:p>
    <w:p>
      <w:pPr>
        <w:rPr>
          <w:rFonts w:ascii="Arial" w:hAnsi="Arial" w:cs="Arial"/>
          <w:color w:val="auto"/>
          <w:sz w:val="24"/>
          <w:highlight w:val="none"/>
        </w:rPr>
      </w:pPr>
      <w:r>
        <w:rPr>
          <w:rFonts w:ascii="Arial" w:hAnsi="Arial" w:cs="Arial"/>
          <w:color w:val="auto"/>
          <w:sz w:val="24"/>
          <w:highlight w:val="none"/>
        </w:rPr>
        <w:br w:type="page"/>
      </w:r>
    </w:p>
    <w:p>
      <w:pPr>
        <w:pStyle w:val="2"/>
        <w:ind w:firstLine="420"/>
        <w:rPr>
          <w:color w:val="auto"/>
          <w:highlight w:val="none"/>
        </w:rPr>
      </w:pPr>
    </w:p>
    <w:p>
      <w:pPr>
        <w:snapToGrid w:val="0"/>
        <w:spacing w:line="300" w:lineRule="auto"/>
        <w:ind w:firstLine="482" w:firstLineChars="200"/>
        <w:rPr>
          <w:rFonts w:ascii="Arial" w:hAnsi="Arial" w:cs="Arial"/>
          <w:b/>
          <w:color w:val="auto"/>
          <w:sz w:val="24"/>
          <w:highlight w:val="none"/>
        </w:rPr>
      </w:pPr>
      <w:r>
        <w:rPr>
          <w:rFonts w:ascii="Arial" w:hAnsi="Arial" w:cs="Arial"/>
          <w:b/>
          <w:color w:val="auto"/>
          <w:sz w:val="24"/>
          <w:highlight w:val="none"/>
        </w:rPr>
        <w:t>附表1 杭州市建筑物景观照明设施养护考核评分标准（台帐检查）</w:t>
      </w:r>
    </w:p>
    <w:tbl>
      <w:tblPr>
        <w:tblStyle w:val="47"/>
        <w:tblW w:w="929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400"/>
        <w:gridCol w:w="811"/>
        <w:gridCol w:w="2445"/>
        <w:gridCol w:w="811"/>
        <w:gridCol w:w="8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台帐考核内容和标准</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分值</w:t>
            </w:r>
          </w:p>
        </w:tc>
        <w:tc>
          <w:tcPr>
            <w:tcW w:w="2445"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评分标准</w:t>
            </w:r>
          </w:p>
        </w:tc>
        <w:tc>
          <w:tcPr>
            <w:tcW w:w="811" w:type="dxa"/>
            <w:noWrap/>
            <w:vAlign w:val="center"/>
          </w:tcPr>
          <w:p>
            <w:pPr>
              <w:widowControl/>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扣分</w:t>
            </w:r>
          </w:p>
        </w:tc>
        <w:tc>
          <w:tcPr>
            <w:tcW w:w="831" w:type="dxa"/>
            <w:noWrap/>
            <w:vAlign w:val="center"/>
          </w:tcPr>
          <w:p>
            <w:pPr>
              <w:widowControl/>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建立健全照明设施基础资料台帐、维护所需机械设备和人员台帐；</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10</w:t>
            </w:r>
          </w:p>
        </w:tc>
        <w:tc>
          <w:tcPr>
            <w:tcW w:w="2445"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缺项每项扣0.5分，资料不准确，每项扣1分</w:t>
            </w: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建立健全照明设施日常巡查台帐；</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20</w:t>
            </w:r>
          </w:p>
        </w:tc>
        <w:tc>
          <w:tcPr>
            <w:tcW w:w="2445"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缺项每项扣0.5分，资料不准确，每项扣1分</w:t>
            </w: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建立健全照明设施日常检修台帐；</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20</w:t>
            </w:r>
          </w:p>
        </w:tc>
        <w:tc>
          <w:tcPr>
            <w:tcW w:w="2445"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缺项每项扣0.5分，资料不准确，每项扣1分</w:t>
            </w: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建立健全照明设施维护周报、月报制度，在每月25日前上报月报表、月度总结和下月工作计划，并建立相应工作台帐；</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10</w:t>
            </w:r>
          </w:p>
        </w:tc>
        <w:tc>
          <w:tcPr>
            <w:tcW w:w="2445"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每少1张扣1分，不准确，每项扣2分</w:t>
            </w: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建立各类突发事件的处置预案，落实台风等自然灾害来临前的防护措施和灾后修复工作，并建立相应工作台帐；</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10</w:t>
            </w:r>
          </w:p>
        </w:tc>
        <w:tc>
          <w:tcPr>
            <w:tcW w:w="2445"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处置预案、损失修复记录缺项，每少1项扣1分</w:t>
            </w: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积极做好大型活动、领导检查的保障工作，并建立相应工作台帐；</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15</w:t>
            </w:r>
          </w:p>
        </w:tc>
        <w:tc>
          <w:tcPr>
            <w:tcW w:w="2445"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大型保障无小结扣5分，其他各类亮灯保障通知的日期，当天的无巡查记录，每项扣0.5分</w:t>
            </w: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建立健全照明设施“三来件”的处理台帐；</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5</w:t>
            </w:r>
          </w:p>
        </w:tc>
        <w:tc>
          <w:tcPr>
            <w:tcW w:w="2445"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三来件问题处理记录以及汇总表，少一张扣1分</w:t>
            </w: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台帐资料记录清晰，分类归档合理完整；</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10</w:t>
            </w:r>
          </w:p>
        </w:tc>
        <w:tc>
          <w:tcPr>
            <w:tcW w:w="2445" w:type="dxa"/>
            <w:noWrap/>
            <w:vAlign w:val="center"/>
          </w:tcPr>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文件管理无序，扣0.5分；无分类，扣2分；分类不合理，扣1分</w:t>
            </w: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noWrap/>
            <w:vAlign w:val="center"/>
          </w:tcPr>
          <w:p>
            <w:pPr>
              <w:adjustRightInd w:val="0"/>
              <w:snapToGrid w:val="0"/>
              <w:spacing w:line="300" w:lineRule="auto"/>
              <w:ind w:firstLine="1470" w:firstLineChars="700"/>
              <w:rPr>
                <w:rFonts w:ascii="Arial" w:hAnsi="Arial" w:cs="Arial"/>
                <w:color w:val="auto"/>
                <w:szCs w:val="21"/>
                <w:highlight w:val="none"/>
              </w:rPr>
            </w:pPr>
            <w:r>
              <w:rPr>
                <w:rFonts w:ascii="Arial" w:hAnsi="Arial" w:cs="Arial"/>
                <w:color w:val="auto"/>
                <w:szCs w:val="21"/>
                <w:highlight w:val="none"/>
              </w:rPr>
              <w:t>合计</w:t>
            </w:r>
          </w:p>
        </w:tc>
        <w:tc>
          <w:tcPr>
            <w:tcW w:w="811" w:type="dxa"/>
            <w:noWrap/>
            <w:vAlign w:val="center"/>
          </w:tcPr>
          <w:p>
            <w:pPr>
              <w:adjustRightInd w:val="0"/>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100</w:t>
            </w:r>
          </w:p>
        </w:tc>
        <w:tc>
          <w:tcPr>
            <w:tcW w:w="2445" w:type="dxa"/>
            <w:noWrap/>
            <w:vAlign w:val="center"/>
          </w:tcPr>
          <w:p>
            <w:pPr>
              <w:adjustRightInd w:val="0"/>
              <w:snapToGrid w:val="0"/>
              <w:spacing w:line="300" w:lineRule="auto"/>
              <w:ind w:firstLine="420" w:firstLineChars="200"/>
              <w:rPr>
                <w:rFonts w:ascii="Arial" w:hAnsi="Arial" w:cs="Arial"/>
                <w:color w:val="auto"/>
                <w:szCs w:val="21"/>
                <w:highlight w:val="none"/>
              </w:rPr>
            </w:pPr>
          </w:p>
        </w:tc>
        <w:tc>
          <w:tcPr>
            <w:tcW w:w="811" w:type="dxa"/>
            <w:noWrap/>
          </w:tcPr>
          <w:p>
            <w:pPr>
              <w:adjustRightInd w:val="0"/>
              <w:snapToGrid w:val="0"/>
              <w:spacing w:line="300" w:lineRule="auto"/>
              <w:rPr>
                <w:rFonts w:ascii="Arial" w:hAnsi="Arial" w:cs="Arial"/>
                <w:color w:val="auto"/>
                <w:szCs w:val="21"/>
                <w:highlight w:val="none"/>
              </w:rPr>
            </w:pPr>
          </w:p>
        </w:tc>
        <w:tc>
          <w:tcPr>
            <w:tcW w:w="831" w:type="dxa"/>
            <w:noWrap/>
          </w:tcPr>
          <w:p>
            <w:pPr>
              <w:adjustRightInd w:val="0"/>
              <w:snapToGrid w:val="0"/>
              <w:spacing w:line="300" w:lineRule="auto"/>
              <w:rPr>
                <w:rFonts w:ascii="Arial" w:hAnsi="Arial" w:cs="Arial"/>
                <w:color w:val="auto"/>
                <w:szCs w:val="21"/>
                <w:highlight w:val="none"/>
              </w:rPr>
            </w:pPr>
          </w:p>
        </w:tc>
      </w:tr>
    </w:tbl>
    <w:p>
      <w:pPr>
        <w:shd w:val="clear" w:color="auto" w:fill="FFFFFF"/>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检查人员：年月日</w:t>
      </w:r>
    </w:p>
    <w:p>
      <w:pPr>
        <w:shd w:val="clear" w:color="auto" w:fill="FFFFFF"/>
        <w:adjustRightInd w:val="0"/>
        <w:snapToGrid w:val="0"/>
        <w:spacing w:line="300" w:lineRule="auto"/>
        <w:rPr>
          <w:rFonts w:ascii="Arial" w:hAnsi="Arial" w:cs="Arial"/>
          <w:color w:val="auto"/>
          <w:sz w:val="24"/>
          <w:highlight w:val="none"/>
        </w:rPr>
      </w:pPr>
    </w:p>
    <w:p>
      <w:pPr>
        <w:snapToGrid w:val="0"/>
        <w:spacing w:line="300" w:lineRule="auto"/>
        <w:ind w:firstLine="422" w:firstLineChars="200"/>
        <w:rPr>
          <w:rFonts w:ascii="Arial" w:hAnsi="Arial" w:cs="Arial"/>
          <w:b/>
          <w:color w:val="auto"/>
          <w:sz w:val="24"/>
          <w:highlight w:val="none"/>
        </w:rPr>
      </w:pPr>
      <w:r>
        <w:rPr>
          <w:rFonts w:ascii="Arial" w:hAnsi="Arial" w:cs="Arial"/>
          <w:b/>
          <w:color w:val="auto"/>
          <w:szCs w:val="36"/>
          <w:highlight w:val="none"/>
        </w:rPr>
        <w:br w:type="page"/>
      </w:r>
      <w:r>
        <w:rPr>
          <w:rFonts w:ascii="Arial" w:hAnsi="Arial" w:cs="Arial"/>
          <w:b/>
          <w:color w:val="auto"/>
          <w:sz w:val="24"/>
          <w:highlight w:val="none"/>
        </w:rPr>
        <w:t>附表2 杭州市建筑物景观照明设施养护考核评分标准（日常检查）</w:t>
      </w:r>
    </w:p>
    <w:tbl>
      <w:tblPr>
        <w:tblStyle w:val="47"/>
        <w:tblW w:w="9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9"/>
        <w:gridCol w:w="4394"/>
        <w:gridCol w:w="709"/>
        <w:gridCol w:w="1843"/>
        <w:gridCol w:w="686"/>
        <w:gridCol w:w="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考核内容</w:t>
            </w:r>
          </w:p>
        </w:tc>
        <w:tc>
          <w:tcPr>
            <w:tcW w:w="4394"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现场考核内容和标准</w:t>
            </w:r>
          </w:p>
        </w:tc>
        <w:tc>
          <w:tcPr>
            <w:tcW w:w="70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分值</w:t>
            </w:r>
          </w:p>
        </w:tc>
        <w:tc>
          <w:tcPr>
            <w:tcW w:w="1843"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评分标准</w:t>
            </w:r>
          </w:p>
        </w:tc>
        <w:tc>
          <w:tcPr>
            <w:tcW w:w="686"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扣分</w:t>
            </w:r>
          </w:p>
        </w:tc>
        <w:tc>
          <w:tcPr>
            <w:tcW w:w="707"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亮灯情况</w:t>
            </w: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灯具运行安全、稳定、正常；月度问题整改率达100%，及时整改率达98%，长效管理覆盖率达100%</w:t>
            </w:r>
          </w:p>
        </w:tc>
        <w:tc>
          <w:tcPr>
            <w:tcW w:w="70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10</w:t>
            </w:r>
          </w:p>
        </w:tc>
        <w:tc>
          <w:tcPr>
            <w:tcW w:w="1843" w:type="dxa"/>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每下降1%扣1分</w:t>
            </w:r>
          </w:p>
        </w:tc>
        <w:tc>
          <w:tcPr>
            <w:tcW w:w="686" w:type="dxa"/>
            <w:noWrap/>
          </w:tcPr>
          <w:p>
            <w:pPr>
              <w:adjustRightInd w:val="0"/>
              <w:snapToGrid w:val="0"/>
              <w:spacing w:line="300" w:lineRule="auto"/>
              <w:jc w:val="center"/>
              <w:rPr>
                <w:rFonts w:ascii="Arial" w:hAnsi="Arial" w:cs="Arial"/>
                <w:color w:val="auto"/>
                <w:sz w:val="18"/>
                <w:szCs w:val="18"/>
                <w:highlight w:val="none"/>
              </w:rPr>
            </w:pPr>
          </w:p>
        </w:tc>
        <w:tc>
          <w:tcPr>
            <w:tcW w:w="707" w:type="dxa"/>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景观照明设施完好率达到98%、亮灯率达到98%，重点保障期间，亮灯率达100％。</w:t>
            </w:r>
          </w:p>
        </w:tc>
        <w:tc>
          <w:tcPr>
            <w:tcW w:w="70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10</w:t>
            </w:r>
          </w:p>
        </w:tc>
        <w:tc>
          <w:tcPr>
            <w:tcW w:w="1843" w:type="dxa"/>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每下降1%扣1分</w:t>
            </w:r>
          </w:p>
        </w:tc>
        <w:tc>
          <w:tcPr>
            <w:tcW w:w="686" w:type="dxa"/>
            <w:noWrap/>
          </w:tcPr>
          <w:p>
            <w:pPr>
              <w:adjustRightInd w:val="0"/>
              <w:snapToGrid w:val="0"/>
              <w:spacing w:line="300" w:lineRule="auto"/>
              <w:jc w:val="center"/>
              <w:rPr>
                <w:rFonts w:ascii="Arial" w:hAnsi="Arial" w:cs="Arial"/>
                <w:color w:val="auto"/>
                <w:sz w:val="18"/>
                <w:szCs w:val="18"/>
                <w:highlight w:val="none"/>
              </w:rPr>
            </w:pPr>
          </w:p>
        </w:tc>
        <w:tc>
          <w:tcPr>
            <w:tcW w:w="707" w:type="dxa"/>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5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灯具设备</w:t>
            </w: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各部件应无松动、破损、污染、脱落。</w:t>
            </w:r>
          </w:p>
        </w:tc>
        <w:tc>
          <w:tcPr>
            <w:tcW w:w="70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20</w:t>
            </w:r>
          </w:p>
        </w:tc>
        <w:tc>
          <w:tcPr>
            <w:tcW w:w="1843" w:type="dxa"/>
            <w:vMerge w:val="restart"/>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0.5分/处</w:t>
            </w:r>
          </w:p>
        </w:tc>
        <w:tc>
          <w:tcPr>
            <w:tcW w:w="686" w:type="dxa"/>
            <w:vMerge w:val="restart"/>
            <w:noWrap/>
          </w:tcPr>
          <w:p>
            <w:pPr>
              <w:adjustRightInd w:val="0"/>
              <w:snapToGrid w:val="0"/>
              <w:spacing w:line="300" w:lineRule="auto"/>
              <w:jc w:val="center"/>
              <w:rPr>
                <w:rFonts w:ascii="Arial" w:hAnsi="Arial" w:cs="Arial"/>
                <w:color w:val="auto"/>
                <w:sz w:val="18"/>
                <w:szCs w:val="18"/>
                <w:highlight w:val="none"/>
              </w:rPr>
            </w:pPr>
          </w:p>
        </w:tc>
        <w:tc>
          <w:tcPr>
            <w:tcW w:w="707" w:type="dxa"/>
            <w:vMerge w:val="restart"/>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固定支架无锈蚀、移位、污染、脱落，引线绝缘可靠、保护软管良好，接地保护线牢固可靠。</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灯具设施无破碎、裂纹，出光部位无污染、内部无积水、污物，无缺亮、断亮现象，灯具的投射方向与角度正确。</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灯杆、灯具无乱吊、乱挂等现象</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1"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更换设备亮度、稳定性等符合要求</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附属设备</w:t>
            </w: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箱（柜）体门连轴完好，开关正常，配电箱、控制柜不渗水、无锈蚀，防尘防水设施完好可靠，仪表、信号灯齐全完好，工作正常。</w:t>
            </w:r>
          </w:p>
        </w:tc>
        <w:tc>
          <w:tcPr>
            <w:tcW w:w="70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10</w:t>
            </w:r>
          </w:p>
        </w:tc>
        <w:tc>
          <w:tcPr>
            <w:tcW w:w="1843" w:type="dxa"/>
            <w:vMerge w:val="restart"/>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0.5分/处</w:t>
            </w:r>
          </w:p>
        </w:tc>
        <w:tc>
          <w:tcPr>
            <w:tcW w:w="686" w:type="dxa"/>
            <w:vMerge w:val="restart"/>
            <w:noWrap/>
          </w:tcPr>
          <w:p>
            <w:pPr>
              <w:adjustRightInd w:val="0"/>
              <w:snapToGrid w:val="0"/>
              <w:spacing w:line="300" w:lineRule="auto"/>
              <w:jc w:val="center"/>
              <w:rPr>
                <w:rFonts w:ascii="Arial" w:hAnsi="Arial" w:cs="Arial"/>
                <w:color w:val="auto"/>
                <w:sz w:val="18"/>
                <w:szCs w:val="18"/>
                <w:highlight w:val="none"/>
              </w:rPr>
            </w:pPr>
          </w:p>
        </w:tc>
        <w:tc>
          <w:tcPr>
            <w:tcW w:w="707" w:type="dxa"/>
            <w:vMerge w:val="restart"/>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各级保护电器整定值符合设计值、给定值，照明控制程序安全可靠并符合设计要求。</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箱内开关等设备的动作灵活可靠，接地系统安全可靠</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线路不凌乱、不外露、绑扎牢固</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95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亮灯控制</w:t>
            </w: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按上级规定时间开关控制</w:t>
            </w:r>
          </w:p>
        </w:tc>
        <w:tc>
          <w:tcPr>
            <w:tcW w:w="70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5</w:t>
            </w:r>
          </w:p>
        </w:tc>
        <w:tc>
          <w:tcPr>
            <w:tcW w:w="1843" w:type="dxa"/>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1分/件次</w:t>
            </w:r>
          </w:p>
        </w:tc>
        <w:tc>
          <w:tcPr>
            <w:tcW w:w="686" w:type="dxa"/>
            <w:noWrap/>
          </w:tcPr>
          <w:p>
            <w:pPr>
              <w:adjustRightInd w:val="0"/>
              <w:snapToGrid w:val="0"/>
              <w:spacing w:line="300" w:lineRule="auto"/>
              <w:jc w:val="center"/>
              <w:rPr>
                <w:rFonts w:ascii="Arial" w:hAnsi="Arial" w:cs="Arial"/>
                <w:color w:val="auto"/>
                <w:sz w:val="18"/>
                <w:szCs w:val="18"/>
                <w:highlight w:val="none"/>
              </w:rPr>
            </w:pPr>
          </w:p>
        </w:tc>
        <w:tc>
          <w:tcPr>
            <w:tcW w:w="707" w:type="dxa"/>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不发生媒体曝光和群众有责投诉现象</w:t>
            </w:r>
          </w:p>
        </w:tc>
        <w:tc>
          <w:tcPr>
            <w:tcW w:w="70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10</w:t>
            </w:r>
          </w:p>
        </w:tc>
        <w:tc>
          <w:tcPr>
            <w:tcW w:w="1843" w:type="dxa"/>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2分/件次</w:t>
            </w:r>
          </w:p>
        </w:tc>
        <w:tc>
          <w:tcPr>
            <w:tcW w:w="686" w:type="dxa"/>
            <w:noWrap/>
          </w:tcPr>
          <w:p>
            <w:pPr>
              <w:adjustRightInd w:val="0"/>
              <w:snapToGrid w:val="0"/>
              <w:spacing w:line="300" w:lineRule="auto"/>
              <w:jc w:val="center"/>
              <w:rPr>
                <w:rFonts w:ascii="Arial" w:hAnsi="Arial" w:cs="Arial"/>
                <w:color w:val="auto"/>
                <w:sz w:val="18"/>
                <w:szCs w:val="18"/>
                <w:highlight w:val="none"/>
              </w:rPr>
            </w:pPr>
          </w:p>
        </w:tc>
        <w:tc>
          <w:tcPr>
            <w:tcW w:w="707" w:type="dxa"/>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设备检修</w:t>
            </w: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落实专人定期巡查、巡检，巡查到位，不流于形式，将真实问题及时上报，并使用GPS定位管理方式</w:t>
            </w:r>
          </w:p>
        </w:tc>
        <w:tc>
          <w:tcPr>
            <w:tcW w:w="70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10</w:t>
            </w:r>
          </w:p>
        </w:tc>
        <w:tc>
          <w:tcPr>
            <w:tcW w:w="1843" w:type="dxa"/>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酌情扣分</w:t>
            </w:r>
          </w:p>
        </w:tc>
        <w:tc>
          <w:tcPr>
            <w:tcW w:w="686" w:type="dxa"/>
            <w:noWrap/>
          </w:tcPr>
          <w:p>
            <w:pPr>
              <w:adjustRightInd w:val="0"/>
              <w:snapToGrid w:val="0"/>
              <w:spacing w:line="300" w:lineRule="auto"/>
              <w:jc w:val="center"/>
              <w:rPr>
                <w:rFonts w:ascii="Arial" w:hAnsi="Arial" w:cs="Arial"/>
                <w:color w:val="auto"/>
                <w:sz w:val="18"/>
                <w:szCs w:val="18"/>
                <w:highlight w:val="none"/>
              </w:rPr>
            </w:pPr>
          </w:p>
        </w:tc>
        <w:tc>
          <w:tcPr>
            <w:tcW w:w="707" w:type="dxa"/>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4"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景观照明设施整改问题期限为4天</w:t>
            </w:r>
          </w:p>
        </w:tc>
        <w:tc>
          <w:tcPr>
            <w:tcW w:w="70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10</w:t>
            </w:r>
          </w:p>
        </w:tc>
        <w:tc>
          <w:tcPr>
            <w:tcW w:w="1843"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color w:val="auto"/>
                <w:sz w:val="18"/>
                <w:szCs w:val="18"/>
                <w:highlight w:val="none"/>
              </w:rPr>
              <w:t>0.5分/件次，重复养护3分/件次。</w:t>
            </w:r>
          </w:p>
        </w:tc>
        <w:tc>
          <w:tcPr>
            <w:tcW w:w="686" w:type="dxa"/>
            <w:vMerge w:val="restart"/>
            <w:noWrap/>
          </w:tcPr>
          <w:p>
            <w:pPr>
              <w:adjustRightInd w:val="0"/>
              <w:snapToGrid w:val="0"/>
              <w:spacing w:line="300" w:lineRule="auto"/>
              <w:jc w:val="center"/>
              <w:rPr>
                <w:rFonts w:ascii="Arial" w:hAnsi="Arial" w:cs="Arial"/>
                <w:color w:val="auto"/>
                <w:sz w:val="18"/>
                <w:szCs w:val="18"/>
                <w:highlight w:val="none"/>
              </w:rPr>
            </w:pPr>
          </w:p>
        </w:tc>
        <w:tc>
          <w:tcPr>
            <w:tcW w:w="707" w:type="dxa"/>
            <w:vMerge w:val="restart"/>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养护质保要求，不能出现重复养护</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 w:hRule="atLeast"/>
        </w:trPr>
        <w:tc>
          <w:tcPr>
            <w:tcW w:w="95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安全作业</w:t>
            </w: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维修作业人员须着工作服</w:t>
            </w:r>
          </w:p>
        </w:tc>
        <w:tc>
          <w:tcPr>
            <w:tcW w:w="709" w:type="dxa"/>
            <w:vMerge w:val="restart"/>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10</w:t>
            </w:r>
          </w:p>
        </w:tc>
        <w:tc>
          <w:tcPr>
            <w:tcW w:w="1843" w:type="dxa"/>
            <w:vMerge w:val="restart"/>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2分/件次</w:t>
            </w:r>
          </w:p>
        </w:tc>
        <w:tc>
          <w:tcPr>
            <w:tcW w:w="686" w:type="dxa"/>
            <w:vMerge w:val="restart"/>
            <w:noWrap/>
          </w:tcPr>
          <w:p>
            <w:pPr>
              <w:adjustRightInd w:val="0"/>
              <w:snapToGrid w:val="0"/>
              <w:spacing w:line="300" w:lineRule="auto"/>
              <w:jc w:val="center"/>
              <w:rPr>
                <w:rFonts w:ascii="Arial" w:hAnsi="Arial" w:cs="Arial"/>
                <w:color w:val="auto"/>
                <w:sz w:val="18"/>
                <w:szCs w:val="18"/>
                <w:highlight w:val="none"/>
              </w:rPr>
            </w:pPr>
          </w:p>
        </w:tc>
        <w:tc>
          <w:tcPr>
            <w:tcW w:w="707" w:type="dxa"/>
            <w:vMerge w:val="restart"/>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停车占道维修，设置警示标志</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线路碰接规范，符合安全施工要求</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95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维修完毕整理现场、无漏电、断电现象</w:t>
            </w:r>
          </w:p>
        </w:tc>
        <w:tc>
          <w:tcPr>
            <w:tcW w:w="709" w:type="dxa"/>
            <w:vMerge w:val="continue"/>
            <w:noWrap/>
            <w:vAlign w:val="center"/>
          </w:tcPr>
          <w:p>
            <w:pPr>
              <w:adjustRightInd w:val="0"/>
              <w:snapToGrid w:val="0"/>
              <w:spacing w:line="300" w:lineRule="auto"/>
              <w:jc w:val="center"/>
              <w:rPr>
                <w:rFonts w:ascii="Arial" w:hAnsi="Arial" w:cs="Arial"/>
                <w:bCs/>
                <w:color w:val="auto"/>
                <w:sz w:val="18"/>
                <w:szCs w:val="18"/>
                <w:highlight w:val="none"/>
              </w:rPr>
            </w:pPr>
          </w:p>
        </w:tc>
        <w:tc>
          <w:tcPr>
            <w:tcW w:w="1843" w:type="dxa"/>
            <w:vMerge w:val="continue"/>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vMerge w:val="continue"/>
            <w:noWrap/>
          </w:tcPr>
          <w:p>
            <w:pPr>
              <w:adjustRightInd w:val="0"/>
              <w:snapToGrid w:val="0"/>
              <w:spacing w:line="300" w:lineRule="auto"/>
              <w:jc w:val="center"/>
              <w:rPr>
                <w:rFonts w:ascii="Arial" w:hAnsi="Arial" w:cs="Arial"/>
                <w:color w:val="auto"/>
                <w:sz w:val="18"/>
                <w:szCs w:val="18"/>
                <w:highlight w:val="none"/>
              </w:rPr>
            </w:pPr>
          </w:p>
        </w:tc>
        <w:tc>
          <w:tcPr>
            <w:tcW w:w="707" w:type="dxa"/>
            <w:vMerge w:val="continue"/>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959" w:type="dxa"/>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日常报表</w:t>
            </w:r>
          </w:p>
        </w:tc>
        <w:tc>
          <w:tcPr>
            <w:tcW w:w="4394" w:type="dxa"/>
            <w:noWrap/>
            <w:vAlign w:val="center"/>
          </w:tcPr>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建立健全照明设施维护周报、月报制度，周一上报周报表，25日前上报月报表、月度总结和下月工作计划</w:t>
            </w:r>
          </w:p>
        </w:tc>
        <w:tc>
          <w:tcPr>
            <w:tcW w:w="70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5</w:t>
            </w:r>
          </w:p>
        </w:tc>
        <w:tc>
          <w:tcPr>
            <w:tcW w:w="1843" w:type="dxa"/>
            <w:noWrap/>
            <w:vAlign w:val="center"/>
          </w:tcPr>
          <w:p>
            <w:pPr>
              <w:adjustRightInd w:val="0"/>
              <w:snapToGrid w:val="0"/>
              <w:spacing w:line="300" w:lineRule="auto"/>
              <w:jc w:val="center"/>
              <w:rPr>
                <w:rFonts w:ascii="Arial" w:hAnsi="Arial" w:cs="Arial"/>
                <w:color w:val="auto"/>
                <w:sz w:val="18"/>
                <w:szCs w:val="18"/>
                <w:highlight w:val="none"/>
              </w:rPr>
            </w:pPr>
            <w:r>
              <w:rPr>
                <w:rFonts w:ascii="Arial" w:hAnsi="Arial" w:cs="Arial"/>
                <w:color w:val="auto"/>
                <w:sz w:val="18"/>
                <w:szCs w:val="18"/>
                <w:highlight w:val="none"/>
              </w:rPr>
              <w:t>上报不及时，扣0.5分，缺少一次扣1分，上报数据错误1次扣2分。</w:t>
            </w:r>
          </w:p>
        </w:tc>
        <w:tc>
          <w:tcPr>
            <w:tcW w:w="686" w:type="dxa"/>
            <w:noWrap/>
          </w:tcPr>
          <w:p>
            <w:pPr>
              <w:adjustRightInd w:val="0"/>
              <w:snapToGrid w:val="0"/>
              <w:spacing w:line="300" w:lineRule="auto"/>
              <w:jc w:val="center"/>
              <w:rPr>
                <w:rFonts w:ascii="Arial" w:hAnsi="Arial" w:cs="Arial"/>
                <w:color w:val="auto"/>
                <w:sz w:val="18"/>
                <w:szCs w:val="18"/>
                <w:highlight w:val="none"/>
              </w:rPr>
            </w:pPr>
          </w:p>
        </w:tc>
        <w:tc>
          <w:tcPr>
            <w:tcW w:w="707" w:type="dxa"/>
            <w:noWrap/>
          </w:tcPr>
          <w:p>
            <w:pPr>
              <w:adjustRightInd w:val="0"/>
              <w:snapToGrid w:val="0"/>
              <w:spacing w:line="300" w:lineRule="auto"/>
              <w:jc w:val="center"/>
              <w:rPr>
                <w:rFonts w:ascii="Arial" w:hAnsi="Arial" w:cs="Arial"/>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1" w:hRule="atLeast"/>
        </w:trPr>
        <w:tc>
          <w:tcPr>
            <w:tcW w:w="5353" w:type="dxa"/>
            <w:gridSpan w:val="2"/>
            <w:noWrap/>
          </w:tcPr>
          <w:p>
            <w:pPr>
              <w:adjustRightInd w:val="0"/>
              <w:snapToGrid w:val="0"/>
              <w:spacing w:line="300" w:lineRule="auto"/>
              <w:jc w:val="center"/>
              <w:rPr>
                <w:rFonts w:ascii="Arial" w:hAnsi="Arial" w:cs="Arial"/>
                <w:color w:val="auto"/>
                <w:sz w:val="18"/>
                <w:szCs w:val="18"/>
                <w:highlight w:val="none"/>
              </w:rPr>
            </w:pPr>
            <w:r>
              <w:rPr>
                <w:rFonts w:ascii="Arial" w:hAnsi="Arial" w:cs="Arial"/>
                <w:bCs/>
                <w:color w:val="auto"/>
                <w:sz w:val="18"/>
                <w:szCs w:val="18"/>
                <w:highlight w:val="none"/>
              </w:rPr>
              <w:t>合计</w:t>
            </w:r>
          </w:p>
        </w:tc>
        <w:tc>
          <w:tcPr>
            <w:tcW w:w="709" w:type="dxa"/>
            <w:noWrap/>
            <w:vAlign w:val="center"/>
          </w:tcPr>
          <w:p>
            <w:pPr>
              <w:adjustRightInd w:val="0"/>
              <w:snapToGrid w:val="0"/>
              <w:spacing w:line="300" w:lineRule="auto"/>
              <w:jc w:val="center"/>
              <w:rPr>
                <w:rFonts w:ascii="Arial" w:hAnsi="Arial" w:cs="Arial"/>
                <w:bCs/>
                <w:color w:val="auto"/>
                <w:sz w:val="18"/>
                <w:szCs w:val="18"/>
                <w:highlight w:val="none"/>
              </w:rPr>
            </w:pPr>
            <w:r>
              <w:rPr>
                <w:rFonts w:ascii="Arial" w:hAnsi="Arial" w:cs="Arial"/>
                <w:bCs/>
                <w:color w:val="auto"/>
                <w:sz w:val="18"/>
                <w:szCs w:val="18"/>
                <w:highlight w:val="none"/>
              </w:rPr>
              <w:t>100</w:t>
            </w:r>
          </w:p>
        </w:tc>
        <w:tc>
          <w:tcPr>
            <w:tcW w:w="1843" w:type="dxa"/>
            <w:noWrap/>
            <w:vAlign w:val="center"/>
          </w:tcPr>
          <w:p>
            <w:pPr>
              <w:adjustRightInd w:val="0"/>
              <w:snapToGrid w:val="0"/>
              <w:spacing w:line="300" w:lineRule="auto"/>
              <w:jc w:val="center"/>
              <w:rPr>
                <w:rFonts w:ascii="Arial" w:hAnsi="Arial" w:cs="Arial"/>
                <w:color w:val="auto"/>
                <w:sz w:val="18"/>
                <w:szCs w:val="18"/>
                <w:highlight w:val="none"/>
              </w:rPr>
            </w:pPr>
          </w:p>
        </w:tc>
        <w:tc>
          <w:tcPr>
            <w:tcW w:w="686" w:type="dxa"/>
            <w:noWrap/>
          </w:tcPr>
          <w:p>
            <w:pPr>
              <w:adjustRightInd w:val="0"/>
              <w:snapToGrid w:val="0"/>
              <w:spacing w:line="300" w:lineRule="auto"/>
              <w:jc w:val="center"/>
              <w:rPr>
                <w:rFonts w:ascii="Arial" w:hAnsi="Arial" w:cs="Arial"/>
                <w:color w:val="auto"/>
                <w:sz w:val="18"/>
                <w:szCs w:val="18"/>
                <w:highlight w:val="none"/>
              </w:rPr>
            </w:pPr>
          </w:p>
        </w:tc>
        <w:tc>
          <w:tcPr>
            <w:tcW w:w="707" w:type="dxa"/>
            <w:noWrap/>
          </w:tcPr>
          <w:p>
            <w:pPr>
              <w:adjustRightInd w:val="0"/>
              <w:snapToGrid w:val="0"/>
              <w:spacing w:line="300" w:lineRule="auto"/>
              <w:jc w:val="center"/>
              <w:rPr>
                <w:rFonts w:ascii="Arial" w:hAnsi="Arial" w:cs="Arial"/>
                <w:color w:val="auto"/>
                <w:sz w:val="18"/>
                <w:szCs w:val="18"/>
                <w:highlight w:val="none"/>
              </w:rPr>
            </w:pPr>
          </w:p>
        </w:tc>
      </w:tr>
    </w:tbl>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检查人员：年月日</w:t>
      </w:r>
    </w:p>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注：1、扣分原因主要是发生作业考核标准不允许出现的问题或违反作业考核标准的要求进行作业的现象。</w:t>
      </w:r>
    </w:p>
    <w:p>
      <w:pPr>
        <w:adjustRightInd w:val="0"/>
        <w:snapToGrid w:val="0"/>
        <w:spacing w:line="300" w:lineRule="auto"/>
        <w:rPr>
          <w:rFonts w:ascii="Arial" w:hAnsi="Arial" w:cs="Arial"/>
          <w:b/>
          <w:color w:val="auto"/>
          <w:sz w:val="18"/>
          <w:szCs w:val="18"/>
          <w:highlight w:val="none"/>
        </w:rPr>
      </w:pPr>
      <w:r>
        <w:rPr>
          <w:rFonts w:ascii="Arial" w:hAnsi="Arial" w:cs="Arial"/>
          <w:color w:val="auto"/>
          <w:sz w:val="18"/>
          <w:szCs w:val="18"/>
          <w:highlight w:val="none"/>
        </w:rPr>
        <w:t>2、扣分标准原则上按上表执行，总分扣完为止，月度单项扣分扣完，</w:t>
      </w:r>
      <w:r>
        <w:rPr>
          <w:rFonts w:ascii="Arial" w:hAnsi="Arial" w:cs="Arial"/>
          <w:b/>
          <w:color w:val="auto"/>
          <w:sz w:val="18"/>
          <w:szCs w:val="18"/>
          <w:highlight w:val="none"/>
        </w:rPr>
        <w:t>月度考核不及格，日常检查得分低于92分（不含），月度考核不及格。</w:t>
      </w:r>
    </w:p>
    <w:p>
      <w:pPr>
        <w:adjustRightInd w:val="0"/>
        <w:snapToGrid w:val="0"/>
        <w:spacing w:line="300" w:lineRule="auto"/>
        <w:rPr>
          <w:rFonts w:ascii="Arial" w:hAnsi="Arial" w:cs="Arial"/>
          <w:color w:val="auto"/>
          <w:sz w:val="18"/>
          <w:szCs w:val="18"/>
          <w:highlight w:val="none"/>
        </w:rPr>
      </w:pPr>
      <w:r>
        <w:rPr>
          <w:rFonts w:ascii="Arial" w:hAnsi="Arial" w:cs="Arial"/>
          <w:color w:val="auto"/>
          <w:sz w:val="18"/>
          <w:szCs w:val="18"/>
          <w:highlight w:val="none"/>
        </w:rPr>
        <w:t>3、台帐检查一般每年检查一次，检查成绩按20％比例，与现场检查年度检查成绩计算年度考核成绩。</w:t>
      </w:r>
    </w:p>
    <w:p>
      <w:pPr>
        <w:adjustRightInd w:val="0"/>
        <w:snapToGrid w:val="0"/>
        <w:spacing w:line="400" w:lineRule="exact"/>
        <w:ind w:firstLine="420" w:firstLineChars="200"/>
        <w:jc w:val="left"/>
        <w:rPr>
          <w:rFonts w:ascii="Arial" w:hAnsi="Arial" w:cs="Arial"/>
          <w:color w:val="auto"/>
          <w:highlight w:val="none"/>
        </w:rPr>
      </w:pPr>
    </w:p>
    <w:p>
      <w:pPr>
        <w:snapToGrid w:val="0"/>
        <w:spacing w:line="300" w:lineRule="auto"/>
        <w:ind w:firstLine="420" w:firstLineChars="200"/>
        <w:rPr>
          <w:rFonts w:ascii="Arial" w:hAnsi="Arial" w:cs="Arial"/>
          <w:b/>
          <w:color w:val="auto"/>
          <w:sz w:val="24"/>
          <w:highlight w:val="none"/>
        </w:rPr>
      </w:pPr>
      <w:r>
        <w:rPr>
          <w:rFonts w:ascii="Arial" w:hAnsi="Arial" w:cs="Arial"/>
          <w:color w:val="auto"/>
          <w:kern w:val="0"/>
          <w:szCs w:val="21"/>
          <w:highlight w:val="none"/>
        </w:rPr>
        <w:br w:type="page"/>
      </w:r>
      <w:r>
        <w:rPr>
          <w:rFonts w:ascii="Arial" w:hAnsi="Arial" w:cs="Arial"/>
          <w:b/>
          <w:color w:val="auto"/>
          <w:sz w:val="24"/>
          <w:highlight w:val="none"/>
        </w:rPr>
        <w:t xml:space="preserve">附表3 </w:t>
      </w:r>
    </w:p>
    <w:p>
      <w:pPr>
        <w:snapToGrid w:val="0"/>
        <w:spacing w:line="300" w:lineRule="auto"/>
        <w:jc w:val="center"/>
        <w:rPr>
          <w:rFonts w:ascii="Arial" w:hAnsi="Arial" w:cs="Arial"/>
          <w:b/>
          <w:color w:val="auto"/>
          <w:sz w:val="28"/>
          <w:szCs w:val="28"/>
          <w:highlight w:val="none"/>
        </w:rPr>
      </w:pPr>
      <w:r>
        <w:rPr>
          <w:rFonts w:ascii="Arial" w:hAnsi="Arial" w:cs="Arial"/>
          <w:b/>
          <w:color w:val="auto"/>
          <w:sz w:val="28"/>
          <w:szCs w:val="28"/>
          <w:highlight w:val="none"/>
        </w:rPr>
        <w:t>建筑物景观照明设施养护周报</w:t>
      </w:r>
    </w:p>
    <w:p>
      <w:pPr>
        <w:rPr>
          <w:rFonts w:ascii="Arial" w:hAnsi="Arial" w:cs="Arial"/>
          <w:b/>
          <w:bCs/>
          <w:color w:val="auto"/>
          <w:kern w:val="0"/>
          <w:szCs w:val="21"/>
          <w:highlight w:val="none"/>
        </w:rPr>
      </w:pPr>
      <w:r>
        <w:rPr>
          <w:rFonts w:ascii="Arial" w:hAnsi="Arial" w:cs="Arial"/>
          <w:color w:val="auto"/>
          <w:kern w:val="0"/>
          <w:szCs w:val="21"/>
          <w:highlight w:val="none"/>
        </w:rPr>
        <w:t>填表单位:</w:t>
      </w:r>
    </w:p>
    <w:tbl>
      <w:tblPr>
        <w:tblStyle w:val="47"/>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
        <w:gridCol w:w="254"/>
        <w:gridCol w:w="381"/>
        <w:gridCol w:w="382"/>
        <w:gridCol w:w="255"/>
        <w:gridCol w:w="382"/>
        <w:gridCol w:w="254"/>
        <w:gridCol w:w="255"/>
        <w:gridCol w:w="254"/>
        <w:gridCol w:w="255"/>
        <w:gridCol w:w="255"/>
        <w:gridCol w:w="254"/>
        <w:gridCol w:w="509"/>
        <w:gridCol w:w="509"/>
        <w:gridCol w:w="509"/>
        <w:gridCol w:w="509"/>
        <w:gridCol w:w="508"/>
        <w:gridCol w:w="510"/>
        <w:gridCol w:w="509"/>
        <w:gridCol w:w="548"/>
        <w:gridCol w:w="509"/>
        <w:gridCol w:w="381"/>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vMerge w:val="restart"/>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序号</w:t>
            </w:r>
          </w:p>
        </w:tc>
        <w:tc>
          <w:tcPr>
            <w:tcW w:w="254" w:type="dxa"/>
            <w:vMerge w:val="restart"/>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建筑物名称</w:t>
            </w:r>
          </w:p>
        </w:tc>
        <w:tc>
          <w:tcPr>
            <w:tcW w:w="381" w:type="dxa"/>
            <w:vMerge w:val="restart"/>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详细地址</w:t>
            </w:r>
          </w:p>
        </w:tc>
        <w:tc>
          <w:tcPr>
            <w:tcW w:w="382" w:type="dxa"/>
            <w:vMerge w:val="restart"/>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灯具种类</w:t>
            </w:r>
          </w:p>
        </w:tc>
        <w:tc>
          <w:tcPr>
            <w:tcW w:w="255" w:type="dxa"/>
            <w:vMerge w:val="restart"/>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灯具品牌</w:t>
            </w:r>
          </w:p>
        </w:tc>
        <w:tc>
          <w:tcPr>
            <w:tcW w:w="6910" w:type="dxa"/>
            <w:gridSpan w:val="17"/>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养护内容</w:t>
            </w:r>
          </w:p>
        </w:tc>
        <w:tc>
          <w:tcPr>
            <w:tcW w:w="764" w:type="dxa"/>
            <w:vMerge w:val="restart"/>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设施维修存在的主要问题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vMerge w:val="continue"/>
            <w:noWrap/>
            <w:vAlign w:val="center"/>
          </w:tcPr>
          <w:p>
            <w:pPr>
              <w:widowControl/>
              <w:jc w:val="center"/>
              <w:rPr>
                <w:rFonts w:ascii="Arial" w:hAnsi="Arial" w:cs="Arial"/>
                <w:b/>
                <w:bCs/>
                <w:color w:val="auto"/>
                <w:kern w:val="0"/>
                <w:sz w:val="15"/>
                <w:szCs w:val="15"/>
                <w:highlight w:val="none"/>
              </w:rPr>
            </w:pPr>
          </w:p>
        </w:tc>
        <w:tc>
          <w:tcPr>
            <w:tcW w:w="254" w:type="dxa"/>
            <w:vMerge w:val="continue"/>
            <w:noWrap/>
            <w:vAlign w:val="center"/>
          </w:tcPr>
          <w:p>
            <w:pPr>
              <w:widowControl/>
              <w:jc w:val="center"/>
              <w:rPr>
                <w:rFonts w:ascii="Arial" w:hAnsi="Arial" w:cs="Arial"/>
                <w:b/>
                <w:bCs/>
                <w:color w:val="auto"/>
                <w:kern w:val="0"/>
                <w:sz w:val="15"/>
                <w:szCs w:val="15"/>
                <w:highlight w:val="none"/>
              </w:rPr>
            </w:pPr>
          </w:p>
        </w:tc>
        <w:tc>
          <w:tcPr>
            <w:tcW w:w="381" w:type="dxa"/>
            <w:vMerge w:val="continue"/>
            <w:noWrap/>
            <w:vAlign w:val="center"/>
          </w:tcPr>
          <w:p>
            <w:pPr>
              <w:widowControl/>
              <w:jc w:val="center"/>
              <w:rPr>
                <w:rFonts w:ascii="Arial" w:hAnsi="Arial" w:cs="Arial"/>
                <w:b/>
                <w:bCs/>
                <w:color w:val="auto"/>
                <w:kern w:val="0"/>
                <w:sz w:val="15"/>
                <w:szCs w:val="15"/>
                <w:highlight w:val="none"/>
              </w:rPr>
            </w:pPr>
          </w:p>
        </w:tc>
        <w:tc>
          <w:tcPr>
            <w:tcW w:w="382" w:type="dxa"/>
            <w:vMerge w:val="continue"/>
            <w:noWrap/>
            <w:vAlign w:val="center"/>
          </w:tcPr>
          <w:p>
            <w:pPr>
              <w:widowControl/>
              <w:jc w:val="center"/>
              <w:rPr>
                <w:rFonts w:ascii="Arial" w:hAnsi="Arial" w:cs="Arial"/>
                <w:b/>
                <w:bCs/>
                <w:color w:val="auto"/>
                <w:kern w:val="0"/>
                <w:sz w:val="15"/>
                <w:szCs w:val="15"/>
                <w:highlight w:val="none"/>
              </w:rPr>
            </w:pPr>
          </w:p>
        </w:tc>
        <w:tc>
          <w:tcPr>
            <w:tcW w:w="255" w:type="dxa"/>
            <w:vMerge w:val="continue"/>
            <w:noWrap/>
            <w:vAlign w:val="center"/>
          </w:tcPr>
          <w:p>
            <w:pPr>
              <w:widowControl/>
              <w:jc w:val="center"/>
              <w:rPr>
                <w:rFonts w:ascii="Arial" w:hAnsi="Arial" w:cs="Arial"/>
                <w:b/>
                <w:bCs/>
                <w:color w:val="auto"/>
                <w:kern w:val="0"/>
                <w:sz w:val="15"/>
                <w:szCs w:val="15"/>
                <w:highlight w:val="none"/>
              </w:rPr>
            </w:pPr>
          </w:p>
        </w:tc>
        <w:tc>
          <w:tcPr>
            <w:tcW w:w="636" w:type="dxa"/>
            <w:gridSpan w:val="2"/>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巡查</w:t>
            </w:r>
          </w:p>
        </w:tc>
        <w:tc>
          <w:tcPr>
            <w:tcW w:w="255" w:type="dxa"/>
            <w:vMerge w:val="restart"/>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清洁</w:t>
            </w:r>
          </w:p>
        </w:tc>
        <w:tc>
          <w:tcPr>
            <w:tcW w:w="254" w:type="dxa"/>
            <w:vMerge w:val="restart"/>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喷漆</w:t>
            </w:r>
          </w:p>
        </w:tc>
        <w:tc>
          <w:tcPr>
            <w:tcW w:w="764" w:type="dxa"/>
            <w:gridSpan w:val="3"/>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检测</w:t>
            </w:r>
          </w:p>
        </w:tc>
        <w:tc>
          <w:tcPr>
            <w:tcW w:w="5001" w:type="dxa"/>
            <w:gridSpan w:val="10"/>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设施维修</w:t>
            </w:r>
          </w:p>
        </w:tc>
        <w:tc>
          <w:tcPr>
            <w:tcW w:w="764" w:type="dxa"/>
            <w:vMerge w:val="continue"/>
            <w:noWrap/>
            <w:vAlign w:val="center"/>
          </w:tcPr>
          <w:p>
            <w:pPr>
              <w:widowControl/>
              <w:jc w:val="center"/>
              <w:rPr>
                <w:rFonts w:ascii="Arial" w:hAnsi="Arial" w:cs="Arial"/>
                <w:b/>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vMerge w:val="continue"/>
            <w:noWrap/>
            <w:vAlign w:val="center"/>
          </w:tcPr>
          <w:p>
            <w:pPr>
              <w:widowControl/>
              <w:jc w:val="center"/>
              <w:rPr>
                <w:rFonts w:ascii="Arial" w:hAnsi="Arial" w:cs="Arial"/>
                <w:b/>
                <w:bCs/>
                <w:color w:val="auto"/>
                <w:kern w:val="0"/>
                <w:sz w:val="15"/>
                <w:szCs w:val="15"/>
                <w:highlight w:val="none"/>
              </w:rPr>
            </w:pPr>
          </w:p>
        </w:tc>
        <w:tc>
          <w:tcPr>
            <w:tcW w:w="254" w:type="dxa"/>
            <w:vMerge w:val="continue"/>
            <w:noWrap/>
            <w:vAlign w:val="center"/>
          </w:tcPr>
          <w:p>
            <w:pPr>
              <w:widowControl/>
              <w:jc w:val="center"/>
              <w:rPr>
                <w:rFonts w:ascii="Arial" w:hAnsi="Arial" w:cs="Arial"/>
                <w:b/>
                <w:bCs/>
                <w:color w:val="auto"/>
                <w:kern w:val="0"/>
                <w:sz w:val="15"/>
                <w:szCs w:val="15"/>
                <w:highlight w:val="none"/>
              </w:rPr>
            </w:pPr>
          </w:p>
        </w:tc>
        <w:tc>
          <w:tcPr>
            <w:tcW w:w="381" w:type="dxa"/>
            <w:vMerge w:val="continue"/>
            <w:noWrap/>
            <w:vAlign w:val="center"/>
          </w:tcPr>
          <w:p>
            <w:pPr>
              <w:widowControl/>
              <w:jc w:val="center"/>
              <w:rPr>
                <w:rFonts w:ascii="Arial" w:hAnsi="Arial" w:cs="Arial"/>
                <w:b/>
                <w:bCs/>
                <w:color w:val="auto"/>
                <w:kern w:val="0"/>
                <w:sz w:val="15"/>
                <w:szCs w:val="15"/>
                <w:highlight w:val="none"/>
              </w:rPr>
            </w:pPr>
          </w:p>
        </w:tc>
        <w:tc>
          <w:tcPr>
            <w:tcW w:w="382" w:type="dxa"/>
            <w:vMerge w:val="continue"/>
            <w:noWrap/>
            <w:vAlign w:val="center"/>
          </w:tcPr>
          <w:p>
            <w:pPr>
              <w:widowControl/>
              <w:jc w:val="center"/>
              <w:rPr>
                <w:rFonts w:ascii="Arial" w:hAnsi="Arial" w:cs="Arial"/>
                <w:b/>
                <w:bCs/>
                <w:color w:val="auto"/>
                <w:kern w:val="0"/>
                <w:sz w:val="15"/>
                <w:szCs w:val="15"/>
                <w:highlight w:val="none"/>
              </w:rPr>
            </w:pPr>
          </w:p>
        </w:tc>
        <w:tc>
          <w:tcPr>
            <w:tcW w:w="255" w:type="dxa"/>
            <w:vMerge w:val="continue"/>
            <w:noWrap/>
            <w:vAlign w:val="center"/>
          </w:tcPr>
          <w:p>
            <w:pPr>
              <w:widowControl/>
              <w:jc w:val="center"/>
              <w:rPr>
                <w:rFonts w:ascii="Arial" w:hAnsi="Arial" w:cs="Arial"/>
                <w:b/>
                <w:bCs/>
                <w:color w:val="auto"/>
                <w:kern w:val="0"/>
                <w:sz w:val="15"/>
                <w:szCs w:val="15"/>
                <w:highlight w:val="none"/>
              </w:rPr>
            </w:pPr>
          </w:p>
        </w:tc>
        <w:tc>
          <w:tcPr>
            <w:tcW w:w="382"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日期</w:t>
            </w:r>
          </w:p>
        </w:tc>
        <w:tc>
          <w:tcPr>
            <w:tcW w:w="254"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人次</w:t>
            </w:r>
          </w:p>
        </w:tc>
        <w:tc>
          <w:tcPr>
            <w:tcW w:w="255" w:type="dxa"/>
            <w:vMerge w:val="continue"/>
            <w:noWrap/>
            <w:vAlign w:val="center"/>
          </w:tcPr>
          <w:p>
            <w:pPr>
              <w:widowControl/>
              <w:jc w:val="center"/>
              <w:rPr>
                <w:rFonts w:ascii="Arial" w:hAnsi="Arial" w:cs="Arial"/>
                <w:b/>
                <w:bCs/>
                <w:color w:val="auto"/>
                <w:kern w:val="0"/>
                <w:sz w:val="15"/>
                <w:szCs w:val="15"/>
                <w:highlight w:val="none"/>
              </w:rPr>
            </w:pPr>
          </w:p>
        </w:tc>
        <w:tc>
          <w:tcPr>
            <w:tcW w:w="254" w:type="dxa"/>
            <w:vMerge w:val="continue"/>
            <w:noWrap/>
            <w:vAlign w:val="center"/>
          </w:tcPr>
          <w:p>
            <w:pPr>
              <w:widowControl/>
              <w:jc w:val="center"/>
              <w:rPr>
                <w:rFonts w:ascii="Arial" w:hAnsi="Arial" w:cs="Arial"/>
                <w:b/>
                <w:bCs/>
                <w:color w:val="auto"/>
                <w:kern w:val="0"/>
                <w:sz w:val="15"/>
                <w:szCs w:val="15"/>
                <w:highlight w:val="none"/>
              </w:rPr>
            </w:pPr>
          </w:p>
        </w:tc>
        <w:tc>
          <w:tcPr>
            <w:tcW w:w="255"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电缆</w:t>
            </w:r>
          </w:p>
        </w:tc>
        <w:tc>
          <w:tcPr>
            <w:tcW w:w="255"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箱变</w:t>
            </w:r>
          </w:p>
        </w:tc>
        <w:tc>
          <w:tcPr>
            <w:tcW w:w="254"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常规</w:t>
            </w:r>
          </w:p>
        </w:tc>
        <w:tc>
          <w:tcPr>
            <w:tcW w:w="509"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更换光源</w:t>
            </w:r>
          </w:p>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(只)</w:t>
            </w:r>
          </w:p>
        </w:tc>
        <w:tc>
          <w:tcPr>
            <w:tcW w:w="509"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更换灯具</w:t>
            </w:r>
          </w:p>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(套)</w:t>
            </w:r>
          </w:p>
        </w:tc>
        <w:tc>
          <w:tcPr>
            <w:tcW w:w="509"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更换电缆</w:t>
            </w:r>
          </w:p>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(米)</w:t>
            </w:r>
          </w:p>
        </w:tc>
        <w:tc>
          <w:tcPr>
            <w:tcW w:w="509"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更换镇流器</w:t>
            </w:r>
          </w:p>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(只)</w:t>
            </w:r>
          </w:p>
        </w:tc>
        <w:tc>
          <w:tcPr>
            <w:tcW w:w="508"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更换电容器</w:t>
            </w:r>
          </w:p>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(只)</w:t>
            </w:r>
          </w:p>
        </w:tc>
        <w:tc>
          <w:tcPr>
            <w:tcW w:w="510"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更换控制器</w:t>
            </w:r>
          </w:p>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(只）</w:t>
            </w:r>
          </w:p>
        </w:tc>
        <w:tc>
          <w:tcPr>
            <w:tcW w:w="509"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修复破损</w:t>
            </w:r>
          </w:p>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(只)</w:t>
            </w:r>
          </w:p>
        </w:tc>
        <w:tc>
          <w:tcPr>
            <w:tcW w:w="548"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更换灯头线（米）</w:t>
            </w:r>
          </w:p>
        </w:tc>
        <w:tc>
          <w:tcPr>
            <w:tcW w:w="509"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更换电源(只)</w:t>
            </w:r>
          </w:p>
        </w:tc>
        <w:tc>
          <w:tcPr>
            <w:tcW w:w="381" w:type="dxa"/>
            <w:noWrap/>
            <w:vAlign w:val="center"/>
          </w:tcPr>
          <w:p>
            <w:pPr>
              <w:widowControl/>
              <w:jc w:val="center"/>
              <w:rPr>
                <w:rFonts w:ascii="Arial" w:hAnsi="Arial" w:cs="Arial"/>
                <w:b/>
                <w:bCs/>
                <w:color w:val="auto"/>
                <w:kern w:val="0"/>
                <w:sz w:val="15"/>
                <w:szCs w:val="15"/>
                <w:highlight w:val="none"/>
              </w:rPr>
            </w:pPr>
            <w:r>
              <w:rPr>
                <w:rFonts w:ascii="Arial" w:hAnsi="Arial" w:cs="Arial"/>
                <w:b/>
                <w:bCs/>
                <w:color w:val="auto"/>
                <w:kern w:val="0"/>
                <w:sz w:val="15"/>
                <w:szCs w:val="15"/>
                <w:highlight w:val="none"/>
              </w:rPr>
              <w:t>其他</w:t>
            </w:r>
          </w:p>
        </w:tc>
        <w:tc>
          <w:tcPr>
            <w:tcW w:w="764" w:type="dxa"/>
            <w:vMerge w:val="continue"/>
            <w:noWrap/>
            <w:vAlign w:val="center"/>
          </w:tcPr>
          <w:p>
            <w:pPr>
              <w:widowControl/>
              <w:jc w:val="center"/>
              <w:rPr>
                <w:rFonts w:ascii="Arial" w:hAnsi="Arial" w:cs="Arial"/>
                <w:b/>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1</w:t>
            </w:r>
          </w:p>
        </w:tc>
        <w:tc>
          <w:tcPr>
            <w:tcW w:w="254" w:type="dxa"/>
            <w:tcBorders>
              <w:bottom w:val="single" w:color="auto" w:sz="4" w:space="0"/>
            </w:tcBorders>
            <w:shd w:val="clear" w:color="auto" w:fill="auto"/>
            <w:noWrap/>
            <w:vAlign w:val="center"/>
          </w:tcPr>
          <w:p>
            <w:pPr>
              <w:widowControl/>
              <w:jc w:val="center"/>
              <w:rPr>
                <w:rFonts w:ascii="Arial" w:hAnsi="Arial" w:cs="Arial"/>
                <w:color w:val="auto"/>
                <w:kern w:val="0"/>
                <w:sz w:val="15"/>
                <w:szCs w:val="15"/>
                <w:highlight w:val="none"/>
              </w:rPr>
            </w:pPr>
          </w:p>
        </w:tc>
        <w:tc>
          <w:tcPr>
            <w:tcW w:w="381" w:type="dxa"/>
            <w:tcBorders>
              <w:bottom w:val="single" w:color="auto" w:sz="4" w:space="0"/>
            </w:tcBorders>
            <w:shd w:val="clear" w:color="auto" w:fill="auto"/>
            <w:noWrap/>
            <w:vAlign w:val="center"/>
          </w:tcPr>
          <w:p>
            <w:pPr>
              <w:widowControl/>
              <w:jc w:val="center"/>
              <w:rPr>
                <w:rFonts w:ascii="Arial" w:hAnsi="Arial" w:cs="Arial"/>
                <w:color w:val="auto"/>
                <w:kern w:val="0"/>
                <w:sz w:val="15"/>
                <w:szCs w:val="15"/>
                <w:highlight w:val="none"/>
              </w:rPr>
            </w:pPr>
          </w:p>
        </w:tc>
        <w:tc>
          <w:tcPr>
            <w:tcW w:w="382" w:type="dxa"/>
            <w:tcBorders>
              <w:bottom w:val="single" w:color="auto" w:sz="4" w:space="0"/>
            </w:tcBorders>
            <w:shd w:val="clear" w:color="auto" w:fill="auto"/>
            <w:noWrap/>
            <w:vAlign w:val="center"/>
          </w:tcPr>
          <w:p>
            <w:pPr>
              <w:widowControl/>
              <w:jc w:val="center"/>
              <w:rPr>
                <w:rFonts w:ascii="Arial" w:hAnsi="Arial" w:cs="Arial"/>
                <w:color w:val="auto"/>
                <w:kern w:val="0"/>
                <w:sz w:val="15"/>
                <w:szCs w:val="15"/>
                <w:highlight w:val="none"/>
              </w:rPr>
            </w:pPr>
          </w:p>
        </w:tc>
        <w:tc>
          <w:tcPr>
            <w:tcW w:w="255" w:type="dxa"/>
            <w:tcBorders>
              <w:bottom w:val="single" w:color="auto" w:sz="4" w:space="0"/>
            </w:tcBorders>
            <w:shd w:val="clear" w:color="auto" w:fill="auto"/>
            <w:noWrap/>
            <w:vAlign w:val="center"/>
          </w:tcPr>
          <w:p>
            <w:pPr>
              <w:widowControl/>
              <w:jc w:val="center"/>
              <w:rPr>
                <w:rFonts w:ascii="Arial" w:hAnsi="Arial" w:cs="Arial"/>
                <w:color w:val="auto"/>
                <w:kern w:val="0"/>
                <w:sz w:val="15"/>
                <w:szCs w:val="15"/>
                <w:highlight w:val="none"/>
              </w:rPr>
            </w:pPr>
          </w:p>
        </w:tc>
        <w:tc>
          <w:tcPr>
            <w:tcW w:w="382" w:type="dxa"/>
            <w:tcBorders>
              <w:bottom w:val="single" w:color="auto" w:sz="4" w:space="0"/>
            </w:tcBorders>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vMerge w:val="restart"/>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1、材料不符要求2、设施保护不到位3、设施老化(自然损坏)4、维护不到5、人为因素6、施工影响、偷盗、外力破坏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2</w:t>
            </w: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381"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vMerge w:val="continue"/>
            <w:noWrap/>
            <w:vAlign w:val="center"/>
          </w:tcPr>
          <w:p>
            <w:pPr>
              <w:widowControl/>
              <w:jc w:val="center"/>
              <w:rPr>
                <w:rFonts w:ascii="Arial" w:hAnsi="Arial" w:cs="Arial"/>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3</w:t>
            </w: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381"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vMerge w:val="continue"/>
            <w:noWrap/>
            <w:vAlign w:val="center"/>
          </w:tcPr>
          <w:p>
            <w:pPr>
              <w:widowControl/>
              <w:jc w:val="center"/>
              <w:rPr>
                <w:rFonts w:ascii="Arial" w:hAnsi="Arial" w:cs="Arial"/>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4</w:t>
            </w: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381"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vMerge w:val="continue"/>
            <w:noWrap/>
            <w:vAlign w:val="center"/>
          </w:tcPr>
          <w:p>
            <w:pPr>
              <w:widowControl/>
              <w:jc w:val="center"/>
              <w:rPr>
                <w:rFonts w:ascii="Arial" w:hAnsi="Arial" w:cs="Arial"/>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5</w:t>
            </w: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381"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vMerge w:val="continue"/>
            <w:noWrap/>
            <w:vAlign w:val="center"/>
          </w:tcPr>
          <w:p>
            <w:pPr>
              <w:widowControl/>
              <w:jc w:val="center"/>
              <w:rPr>
                <w:rFonts w:ascii="Arial" w:hAnsi="Arial" w:cs="Arial"/>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6</w:t>
            </w: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381"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vMerge w:val="continue"/>
            <w:noWrap/>
            <w:vAlign w:val="center"/>
          </w:tcPr>
          <w:p>
            <w:pPr>
              <w:widowControl/>
              <w:jc w:val="center"/>
              <w:rPr>
                <w:rFonts w:ascii="Arial" w:hAnsi="Arial" w:cs="Arial"/>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7</w:t>
            </w: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381" w:type="dxa"/>
            <w:shd w:val="clear" w:color="auto" w:fill="auto"/>
            <w:noWrap/>
            <w:vAlign w:val="center"/>
          </w:tcPr>
          <w:p>
            <w:pPr>
              <w:widowControl/>
              <w:jc w:val="center"/>
              <w:rPr>
                <w:rFonts w:ascii="Arial" w:hAnsi="Arial" w:cs="Arial"/>
                <w:color w:val="auto"/>
                <w:kern w:val="0"/>
                <w:sz w:val="15"/>
                <w:szCs w:val="15"/>
                <w:highlight w:val="none"/>
              </w:rPr>
            </w:pPr>
          </w:p>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auto"/>
            <w:noWrap/>
            <w:vAlign w:val="center"/>
          </w:tcPr>
          <w:p>
            <w:pPr>
              <w:widowControl/>
              <w:jc w:val="center"/>
              <w:rPr>
                <w:rFonts w:ascii="Arial" w:hAnsi="Arial" w:cs="Arial"/>
                <w:color w:val="auto"/>
                <w:kern w:val="0"/>
                <w:sz w:val="15"/>
                <w:szCs w:val="15"/>
                <w:highlight w:val="none"/>
              </w:rPr>
            </w:pPr>
          </w:p>
        </w:tc>
        <w:tc>
          <w:tcPr>
            <w:tcW w:w="382" w:type="dxa"/>
            <w:shd w:val="clear" w:color="auto" w:fill="auto"/>
            <w:noWrap/>
            <w:vAlign w:val="center"/>
          </w:tcPr>
          <w:p>
            <w:pPr>
              <w:widowControl/>
              <w:jc w:val="center"/>
              <w:rPr>
                <w:rFonts w:ascii="Arial" w:hAnsi="Arial" w:cs="Arial"/>
                <w:color w:val="auto"/>
                <w:kern w:val="0"/>
                <w:sz w:val="15"/>
                <w:szCs w:val="15"/>
                <w:highlight w:val="none"/>
              </w:rPr>
            </w:pP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vMerge w:val="continue"/>
            <w:noWrap/>
            <w:vAlign w:val="center"/>
          </w:tcPr>
          <w:p>
            <w:pPr>
              <w:widowControl/>
              <w:jc w:val="center"/>
              <w:rPr>
                <w:rFonts w:ascii="Arial" w:hAnsi="Arial" w:cs="Arial"/>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 w:type="dxa"/>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8</w:t>
            </w: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382"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382"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vMerge w:val="continue"/>
            <w:noWrap/>
            <w:vAlign w:val="center"/>
          </w:tcPr>
          <w:p>
            <w:pPr>
              <w:widowControl/>
              <w:jc w:val="center"/>
              <w:rPr>
                <w:rFonts w:ascii="Arial" w:hAnsi="Arial" w:cs="Arial"/>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6" w:type="dxa"/>
            <w:gridSpan w:val="6"/>
            <w:shd w:val="clear" w:color="auto" w:fill="CCFFCC"/>
            <w:noWrap/>
            <w:vAlign w:val="center"/>
          </w:tcPr>
          <w:p>
            <w:pPr>
              <w:widowControl/>
              <w:jc w:val="center"/>
              <w:rPr>
                <w:rFonts w:ascii="Arial" w:hAnsi="Arial" w:cs="Arial"/>
                <w:color w:val="auto"/>
                <w:kern w:val="0"/>
                <w:sz w:val="15"/>
                <w:szCs w:val="15"/>
                <w:highlight w:val="none"/>
              </w:rPr>
            </w:pPr>
            <w:r>
              <w:rPr>
                <w:rFonts w:ascii="Arial" w:hAnsi="Arial" w:cs="Arial"/>
                <w:color w:val="auto"/>
                <w:kern w:val="0"/>
                <w:sz w:val="15"/>
                <w:szCs w:val="15"/>
                <w:highlight w:val="none"/>
              </w:rPr>
              <w:t>合计</w:t>
            </w:r>
          </w:p>
        </w:tc>
        <w:tc>
          <w:tcPr>
            <w:tcW w:w="254" w:type="dxa"/>
            <w:shd w:val="clear" w:color="auto" w:fill="auto"/>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5" w:type="dxa"/>
            <w:shd w:val="clear" w:color="auto" w:fill="CCFFCC"/>
            <w:noWrap/>
            <w:vAlign w:val="center"/>
          </w:tcPr>
          <w:p>
            <w:pPr>
              <w:widowControl/>
              <w:jc w:val="center"/>
              <w:rPr>
                <w:rFonts w:ascii="Arial" w:hAnsi="Arial" w:cs="Arial"/>
                <w:color w:val="auto"/>
                <w:kern w:val="0"/>
                <w:sz w:val="15"/>
                <w:szCs w:val="15"/>
                <w:highlight w:val="none"/>
              </w:rPr>
            </w:pPr>
          </w:p>
        </w:tc>
        <w:tc>
          <w:tcPr>
            <w:tcW w:w="254"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08" w:type="dxa"/>
            <w:shd w:val="clear" w:color="auto" w:fill="CCFFCC"/>
            <w:noWrap/>
            <w:vAlign w:val="center"/>
          </w:tcPr>
          <w:p>
            <w:pPr>
              <w:widowControl/>
              <w:jc w:val="center"/>
              <w:rPr>
                <w:rFonts w:ascii="Arial" w:hAnsi="Arial" w:cs="Arial"/>
                <w:color w:val="auto"/>
                <w:kern w:val="0"/>
                <w:sz w:val="15"/>
                <w:szCs w:val="15"/>
                <w:highlight w:val="none"/>
              </w:rPr>
            </w:pPr>
          </w:p>
        </w:tc>
        <w:tc>
          <w:tcPr>
            <w:tcW w:w="510"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548" w:type="dxa"/>
            <w:shd w:val="clear" w:color="auto" w:fill="CCFFCC"/>
            <w:noWrap/>
            <w:vAlign w:val="center"/>
          </w:tcPr>
          <w:p>
            <w:pPr>
              <w:widowControl/>
              <w:jc w:val="center"/>
              <w:rPr>
                <w:rFonts w:ascii="Arial" w:hAnsi="Arial" w:cs="Arial"/>
                <w:color w:val="auto"/>
                <w:kern w:val="0"/>
                <w:sz w:val="15"/>
                <w:szCs w:val="15"/>
                <w:highlight w:val="none"/>
              </w:rPr>
            </w:pPr>
          </w:p>
        </w:tc>
        <w:tc>
          <w:tcPr>
            <w:tcW w:w="509" w:type="dxa"/>
            <w:shd w:val="clear" w:color="auto" w:fill="CCFFCC"/>
            <w:noWrap/>
            <w:vAlign w:val="center"/>
          </w:tcPr>
          <w:p>
            <w:pPr>
              <w:widowControl/>
              <w:jc w:val="center"/>
              <w:rPr>
                <w:rFonts w:ascii="Arial" w:hAnsi="Arial" w:cs="Arial"/>
                <w:color w:val="auto"/>
                <w:kern w:val="0"/>
                <w:sz w:val="15"/>
                <w:szCs w:val="15"/>
                <w:highlight w:val="none"/>
              </w:rPr>
            </w:pPr>
          </w:p>
        </w:tc>
        <w:tc>
          <w:tcPr>
            <w:tcW w:w="381" w:type="dxa"/>
            <w:shd w:val="clear" w:color="auto" w:fill="CCFFCC"/>
            <w:noWrap/>
            <w:vAlign w:val="center"/>
          </w:tcPr>
          <w:p>
            <w:pPr>
              <w:widowControl/>
              <w:jc w:val="center"/>
              <w:rPr>
                <w:rFonts w:ascii="Arial" w:hAnsi="Arial" w:cs="Arial"/>
                <w:color w:val="auto"/>
                <w:kern w:val="0"/>
                <w:sz w:val="15"/>
                <w:szCs w:val="15"/>
                <w:highlight w:val="none"/>
              </w:rPr>
            </w:pPr>
          </w:p>
        </w:tc>
        <w:tc>
          <w:tcPr>
            <w:tcW w:w="764" w:type="dxa"/>
            <w:noWrap/>
            <w:vAlign w:val="center"/>
          </w:tcPr>
          <w:p>
            <w:pPr>
              <w:widowControl/>
              <w:jc w:val="center"/>
              <w:rPr>
                <w:rFonts w:ascii="Arial" w:hAnsi="Arial" w:cs="Arial"/>
                <w:color w:val="auto"/>
                <w:kern w:val="0"/>
                <w:sz w:val="15"/>
                <w:szCs w:val="15"/>
                <w:highlight w:val="none"/>
              </w:rPr>
            </w:pPr>
          </w:p>
        </w:tc>
      </w:tr>
    </w:tbl>
    <w:p>
      <w:pPr>
        <w:snapToGrid w:val="0"/>
        <w:spacing w:line="300" w:lineRule="auto"/>
        <w:ind w:firstLine="420" w:firstLineChars="200"/>
        <w:rPr>
          <w:rFonts w:ascii="Arial" w:hAnsi="Arial" w:cs="Arial"/>
          <w:color w:val="auto"/>
          <w:highlight w:val="none"/>
        </w:rPr>
      </w:pPr>
    </w:p>
    <w:p>
      <w:pPr>
        <w:snapToGrid w:val="0"/>
        <w:spacing w:line="300" w:lineRule="auto"/>
        <w:rPr>
          <w:rFonts w:ascii="Arial" w:hAnsi="Arial" w:cs="Arial"/>
          <w:b/>
          <w:color w:val="auto"/>
          <w:szCs w:val="36"/>
          <w:highlight w:val="none"/>
        </w:rPr>
      </w:pPr>
      <w:r>
        <w:rPr>
          <w:rFonts w:ascii="Arial" w:hAnsi="Arial" w:cs="Arial"/>
          <w:b/>
          <w:color w:val="auto"/>
          <w:szCs w:val="36"/>
          <w:highlight w:val="none"/>
        </w:rPr>
        <w:br w:type="column"/>
      </w:r>
    </w:p>
    <w:p>
      <w:pPr>
        <w:pStyle w:val="3"/>
        <w:spacing w:before="120"/>
        <w:rPr>
          <w:rFonts w:ascii="Arial" w:hAnsi="Arial" w:cs="Arial"/>
          <w:color w:val="auto"/>
          <w:highlight w:val="none"/>
        </w:rPr>
      </w:pPr>
      <w:bookmarkStart w:id="67" w:name="_Toc31867"/>
      <w:bookmarkStart w:id="68" w:name="_Toc497919885"/>
      <w:r>
        <w:rPr>
          <w:rFonts w:ascii="Arial" w:hAnsi="Arial" w:cs="Arial"/>
          <w:color w:val="auto"/>
          <w:highlight w:val="none"/>
        </w:rPr>
        <w:t>第六部分应提交的有关格式范例</w:t>
      </w:r>
      <w:bookmarkEnd w:id="67"/>
      <w:bookmarkEnd w:id="68"/>
    </w:p>
    <w:bookmarkEnd w:id="14"/>
    <w:bookmarkEnd w:id="15"/>
    <w:p>
      <w:pPr>
        <w:snapToGrid w:val="0"/>
        <w:spacing w:line="300" w:lineRule="auto"/>
        <w:jc w:val="center"/>
        <w:rPr>
          <w:rFonts w:ascii="Arial" w:hAnsi="Arial" w:cs="Arial"/>
          <w:color w:val="auto"/>
          <w:highlight w:val="none"/>
        </w:rPr>
      </w:pPr>
      <w:r>
        <w:rPr>
          <w:rFonts w:ascii="Arial" w:hAnsi="Arial" w:cs="Arial"/>
          <w:color w:val="auto"/>
          <w:highlight w:val="none"/>
        </w:rPr>
        <w:t>（（未提供格式的由投标人自拟）</w:t>
      </w:r>
    </w:p>
    <w:p>
      <w:pPr>
        <w:pStyle w:val="4"/>
        <w:spacing w:before="120"/>
        <w:ind w:firstLine="422"/>
        <w:rPr>
          <w:rFonts w:cs="Arial"/>
          <w:color w:val="auto"/>
          <w:highlight w:val="none"/>
        </w:rPr>
      </w:pPr>
      <w:r>
        <w:rPr>
          <w:rFonts w:cs="Arial"/>
          <w:color w:val="auto"/>
          <w:kern w:val="0"/>
          <w:highlight w:val="none"/>
          <w:lang w:val="en-US"/>
        </w:rPr>
        <w:t>第一章资格</w:t>
      </w:r>
      <w:r>
        <w:rPr>
          <w:rFonts w:cs="Arial"/>
          <w:color w:val="auto"/>
          <w:kern w:val="0"/>
          <w:highlight w:val="none"/>
        </w:rPr>
        <w:t>文件</w:t>
      </w:r>
    </w:p>
    <w:p>
      <w:pPr>
        <w:pStyle w:val="5"/>
        <w:ind w:firstLine="422"/>
        <w:rPr>
          <w:rFonts w:cs="Arial"/>
          <w:color w:val="auto"/>
          <w:highlight w:val="none"/>
        </w:rPr>
      </w:pPr>
      <w:r>
        <w:rPr>
          <w:rFonts w:cs="Arial"/>
          <w:color w:val="auto"/>
          <w:highlight w:val="none"/>
        </w:rPr>
        <w:t>一、资格审查资料</w:t>
      </w:r>
    </w:p>
    <w:p>
      <w:pPr>
        <w:snapToGrid w:val="0"/>
        <w:spacing w:line="300" w:lineRule="auto"/>
        <w:ind w:left="281" w:hanging="281" w:hangingChars="100"/>
        <w:jc w:val="center"/>
        <w:rPr>
          <w:rFonts w:ascii="Arial" w:hAnsi="Arial" w:cs="Arial"/>
          <w:b/>
          <w:bCs/>
          <w:color w:val="auto"/>
          <w:sz w:val="28"/>
          <w:szCs w:val="28"/>
          <w:highlight w:val="none"/>
        </w:rPr>
      </w:pPr>
      <w:r>
        <w:rPr>
          <w:rFonts w:ascii="Arial" w:hAnsi="Arial" w:cs="Arial"/>
          <w:b/>
          <w:bCs/>
          <w:color w:val="auto"/>
          <w:sz w:val="28"/>
          <w:szCs w:val="28"/>
          <w:highlight w:val="none"/>
        </w:rPr>
        <w:t>资格审查资料</w:t>
      </w:r>
    </w:p>
    <w:p>
      <w:pPr>
        <w:autoSpaceDE w:val="0"/>
        <w:autoSpaceDN w:val="0"/>
        <w:adjustRightInd w:val="0"/>
        <w:snapToGrid w:val="0"/>
        <w:spacing w:line="300" w:lineRule="auto"/>
        <w:ind w:firstLine="420" w:firstLineChars="200"/>
        <w:jc w:val="left"/>
        <w:rPr>
          <w:rFonts w:ascii="Arial" w:hAnsi="Arial" w:cs="Arial"/>
          <w:color w:val="auto"/>
          <w:kern w:val="0"/>
          <w:highlight w:val="none"/>
        </w:rPr>
      </w:pPr>
      <w:r>
        <w:rPr>
          <w:rFonts w:ascii="Arial" w:hAnsi="Arial" w:cs="Arial"/>
          <w:color w:val="auto"/>
          <w:kern w:val="0"/>
          <w:highlight w:val="none"/>
        </w:rPr>
        <w:t>（一）资格审查须知</w:t>
      </w:r>
    </w:p>
    <w:p>
      <w:pPr>
        <w:autoSpaceDE w:val="0"/>
        <w:autoSpaceDN w:val="0"/>
        <w:adjustRightInd w:val="0"/>
        <w:snapToGrid w:val="0"/>
        <w:spacing w:line="300" w:lineRule="auto"/>
        <w:ind w:firstLine="420" w:firstLineChars="200"/>
        <w:jc w:val="left"/>
        <w:rPr>
          <w:rFonts w:ascii="Arial" w:hAnsi="Arial" w:cs="Arial"/>
          <w:color w:val="auto"/>
          <w:kern w:val="0"/>
          <w:highlight w:val="none"/>
        </w:rPr>
      </w:pPr>
      <w:r>
        <w:rPr>
          <w:rFonts w:ascii="Arial" w:hAnsi="Arial" w:cs="Arial"/>
          <w:color w:val="auto"/>
          <w:kern w:val="0"/>
          <w:highlight w:val="none"/>
        </w:rPr>
        <w:t>1、投标人必须认真填写招标文件规定的所有表格，并对其真实性负责，采购人有权对其进行调查核实和要求澄清。</w:t>
      </w:r>
    </w:p>
    <w:p>
      <w:pPr>
        <w:autoSpaceDE w:val="0"/>
        <w:autoSpaceDN w:val="0"/>
        <w:adjustRightInd w:val="0"/>
        <w:snapToGrid w:val="0"/>
        <w:spacing w:line="300" w:lineRule="auto"/>
        <w:ind w:firstLine="420" w:firstLineChars="200"/>
        <w:jc w:val="left"/>
        <w:rPr>
          <w:rFonts w:ascii="Arial" w:hAnsi="Arial" w:cs="Arial"/>
          <w:color w:val="auto"/>
          <w:kern w:val="0"/>
          <w:highlight w:val="none"/>
        </w:rPr>
      </w:pPr>
      <w:r>
        <w:rPr>
          <w:rFonts w:ascii="Arial" w:hAnsi="Arial" w:cs="Arial"/>
          <w:color w:val="auto"/>
          <w:kern w:val="0"/>
          <w:highlight w:val="none"/>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autoSpaceDE w:val="0"/>
        <w:autoSpaceDN w:val="0"/>
        <w:adjustRightInd w:val="0"/>
        <w:snapToGrid w:val="0"/>
        <w:spacing w:line="300" w:lineRule="auto"/>
        <w:ind w:firstLine="420" w:firstLineChars="200"/>
        <w:jc w:val="left"/>
        <w:rPr>
          <w:rFonts w:ascii="Arial" w:hAnsi="Arial" w:cs="Arial"/>
          <w:color w:val="auto"/>
          <w:kern w:val="0"/>
          <w:highlight w:val="none"/>
        </w:rPr>
      </w:pPr>
      <w:r>
        <w:rPr>
          <w:rFonts w:ascii="Arial" w:hAnsi="Arial" w:cs="Arial"/>
          <w:color w:val="auto"/>
          <w:kern w:val="0"/>
          <w:highlight w:val="none"/>
        </w:rPr>
        <w:t>（二）资格审查资料格式</w:t>
      </w:r>
    </w:p>
    <w:p>
      <w:pPr>
        <w:autoSpaceDE w:val="0"/>
        <w:autoSpaceDN w:val="0"/>
        <w:adjustRightInd w:val="0"/>
        <w:snapToGrid w:val="0"/>
        <w:spacing w:line="300" w:lineRule="auto"/>
        <w:ind w:firstLine="420" w:firstLineChars="200"/>
        <w:jc w:val="left"/>
        <w:rPr>
          <w:rFonts w:ascii="Arial" w:hAnsi="Arial" w:cs="Arial"/>
          <w:color w:val="auto"/>
          <w:kern w:val="0"/>
          <w:highlight w:val="none"/>
        </w:rPr>
      </w:pPr>
      <w:r>
        <w:rPr>
          <w:rFonts w:ascii="Arial" w:hAnsi="Arial" w:cs="Arial"/>
          <w:color w:val="auto"/>
          <w:kern w:val="0"/>
          <w:highlight w:val="none"/>
        </w:rPr>
        <w:t>表1 强制性资格条件</w:t>
      </w:r>
    </w:p>
    <w:p>
      <w:pPr>
        <w:autoSpaceDE w:val="0"/>
        <w:autoSpaceDN w:val="0"/>
        <w:adjustRightInd w:val="0"/>
        <w:snapToGrid w:val="0"/>
        <w:spacing w:line="300" w:lineRule="auto"/>
        <w:ind w:firstLine="420" w:firstLineChars="200"/>
        <w:jc w:val="left"/>
        <w:rPr>
          <w:rFonts w:ascii="Arial" w:hAnsi="Arial" w:cs="Arial"/>
          <w:color w:val="auto"/>
          <w:kern w:val="0"/>
          <w:highlight w:val="none"/>
        </w:rPr>
      </w:pPr>
      <w:r>
        <w:rPr>
          <w:rFonts w:ascii="Arial" w:hAnsi="Arial" w:cs="Arial"/>
          <w:color w:val="auto"/>
          <w:kern w:val="0"/>
          <w:highlight w:val="none"/>
        </w:rPr>
        <w:t>表附件</w:t>
      </w:r>
    </w:p>
    <w:p>
      <w:pPr>
        <w:rPr>
          <w:rFonts w:ascii="Arial" w:hAnsi="Arial" w:cs="Arial"/>
          <w:color w:val="auto"/>
          <w:highlight w:val="none"/>
        </w:rPr>
      </w:pPr>
      <w:r>
        <w:rPr>
          <w:rFonts w:ascii="Arial" w:hAnsi="Arial" w:cs="Arial"/>
          <w:color w:val="auto"/>
          <w:highlight w:val="none"/>
        </w:rPr>
        <w:br w:type="page"/>
      </w:r>
    </w:p>
    <w:p>
      <w:pPr>
        <w:pStyle w:val="5"/>
        <w:ind w:firstLine="422"/>
        <w:rPr>
          <w:rFonts w:cs="Arial"/>
          <w:color w:val="auto"/>
          <w:highlight w:val="none"/>
        </w:rPr>
      </w:pPr>
      <w:r>
        <w:rPr>
          <w:rFonts w:cs="Arial"/>
          <w:color w:val="auto"/>
          <w:highlight w:val="none"/>
        </w:rPr>
        <w:t>表1：强制性资格条件</w:t>
      </w:r>
    </w:p>
    <w:p>
      <w:pPr>
        <w:snapToGrid w:val="0"/>
        <w:spacing w:line="300" w:lineRule="auto"/>
        <w:ind w:left="281" w:hanging="281" w:hangingChars="100"/>
        <w:jc w:val="center"/>
        <w:rPr>
          <w:rFonts w:ascii="Arial" w:hAnsi="Arial" w:cs="Arial"/>
          <w:b/>
          <w:bCs/>
          <w:color w:val="auto"/>
          <w:sz w:val="28"/>
          <w:szCs w:val="28"/>
          <w:highlight w:val="none"/>
        </w:rPr>
      </w:pPr>
      <w:r>
        <w:rPr>
          <w:rFonts w:ascii="Arial" w:hAnsi="Arial" w:cs="Arial"/>
          <w:b/>
          <w:bCs/>
          <w:color w:val="auto"/>
          <w:sz w:val="28"/>
          <w:szCs w:val="28"/>
          <w:highlight w:val="none"/>
        </w:rPr>
        <w:t>强制性资格条件表</w:t>
      </w:r>
    </w:p>
    <w:p>
      <w:pPr>
        <w:pStyle w:val="23"/>
        <w:adjustRightInd w:val="0"/>
        <w:snapToGrid w:val="0"/>
        <w:spacing w:line="300" w:lineRule="auto"/>
        <w:rPr>
          <w:rFonts w:ascii="Arial" w:hAnsi="Arial" w:cs="Arial"/>
          <w:color w:val="auto"/>
          <w:highlight w:val="none"/>
          <w:u w:val="single"/>
        </w:rPr>
      </w:pPr>
      <w:r>
        <w:rPr>
          <w:rFonts w:ascii="Arial" w:hAnsi="Arial" w:cs="Arial"/>
          <w:color w:val="auto"/>
          <w:highlight w:val="none"/>
        </w:rPr>
        <w:t>项目名称：</w:t>
      </w:r>
      <w:r>
        <w:rPr>
          <w:rFonts w:hint="eastAsia" w:ascii="Arial" w:hAnsi="Arial" w:cs="Arial"/>
          <w:color w:val="auto"/>
          <w:kern w:val="0"/>
          <w:szCs w:val="21"/>
          <w:highlight w:val="none"/>
          <w:u w:val="single"/>
        </w:rPr>
        <w:t>2020年拱墅区“峰会”亮灯工程第二次运行维护项目</w:t>
      </w:r>
    </w:p>
    <w:p>
      <w:pPr>
        <w:snapToGrid w:val="0"/>
        <w:spacing w:line="300" w:lineRule="auto"/>
        <w:rPr>
          <w:rFonts w:hint="eastAsia" w:ascii="Arial" w:hAnsi="Arial" w:eastAsia="宋体" w:cs="Arial"/>
          <w:color w:val="auto"/>
          <w:highlight w:val="none"/>
          <w:u w:val="single"/>
          <w:lang w:eastAsia="zh-CN"/>
        </w:rPr>
      </w:pPr>
      <w:r>
        <w:rPr>
          <w:rFonts w:ascii="Arial" w:hAnsi="Arial" w:cs="Arial"/>
          <w:color w:val="auto"/>
          <w:highlight w:val="none"/>
        </w:rPr>
        <w:t>项目编号：</w:t>
      </w:r>
      <w:r>
        <w:rPr>
          <w:rFonts w:hint="eastAsia" w:ascii="Arial" w:hAnsi="Arial" w:cs="Arial"/>
          <w:color w:val="auto"/>
          <w:highlight w:val="none"/>
          <w:u w:val="single"/>
          <w:lang w:eastAsia="zh-CN"/>
        </w:rPr>
        <w:t>CTZB-2020040466</w:t>
      </w:r>
    </w:p>
    <w:p>
      <w:pPr>
        <w:snapToGrid w:val="0"/>
        <w:spacing w:line="300" w:lineRule="auto"/>
        <w:jc w:val="left"/>
        <w:rPr>
          <w:rFonts w:ascii="Arial" w:hAnsi="Arial" w:cs="Arial"/>
          <w:color w:val="auto"/>
          <w:kern w:val="0"/>
          <w:szCs w:val="21"/>
          <w:highlight w:val="none"/>
          <w:u w:val="single"/>
        </w:rPr>
      </w:pPr>
      <w:r>
        <w:rPr>
          <w:rFonts w:hint="eastAsia" w:ascii="Arial" w:hAnsi="Arial" w:cs="Arial"/>
          <w:color w:val="auto"/>
          <w:highlight w:val="none"/>
        </w:rPr>
        <w:t>标段</w:t>
      </w:r>
      <w:r>
        <w:rPr>
          <w:rFonts w:ascii="Arial" w:hAnsi="Arial" w:cs="Arial"/>
          <w:color w:val="auto"/>
          <w:highlight w:val="none"/>
        </w:rPr>
        <w:t>名称：2</w:t>
      </w:r>
      <w:r>
        <w:rPr>
          <w:rFonts w:ascii="Arial" w:hAnsi="Arial" w:cs="Arial"/>
          <w:color w:val="auto"/>
          <w:highlight w:val="none"/>
          <w:u w:val="single"/>
        </w:rPr>
        <w:t>0</w:t>
      </w:r>
      <w:r>
        <w:rPr>
          <w:rFonts w:hint="eastAsia" w:ascii="Arial" w:hAnsi="Arial" w:cs="Arial"/>
          <w:color w:val="auto"/>
          <w:highlight w:val="none"/>
          <w:u w:val="single"/>
        </w:rPr>
        <w:t>20</w:t>
      </w:r>
      <w:r>
        <w:rPr>
          <w:rFonts w:ascii="Arial" w:hAnsi="Arial" w:cs="Arial"/>
          <w:color w:val="auto"/>
          <w:highlight w:val="none"/>
          <w:u w:val="single"/>
        </w:rPr>
        <w:t>年拱墅区“峰会”亮灯工程第</w:t>
      </w:r>
      <w:r>
        <w:rPr>
          <w:rFonts w:hint="eastAsia" w:ascii="Arial" w:hAnsi="Arial" w:cs="Arial"/>
          <w:color w:val="auto"/>
          <w:highlight w:val="none"/>
          <w:u w:val="single"/>
        </w:rPr>
        <w:t>二</w:t>
      </w:r>
      <w:r>
        <w:rPr>
          <w:rFonts w:ascii="Arial" w:hAnsi="Arial" w:cs="Arial"/>
          <w:color w:val="auto"/>
          <w:highlight w:val="none"/>
          <w:u w:val="single"/>
        </w:rPr>
        <w:t>次运行维护项目</w:t>
      </w:r>
      <w:r>
        <w:rPr>
          <w:rFonts w:hint="eastAsia" w:ascii="Arial" w:hAnsi="Arial" w:cs="Arial"/>
          <w:color w:val="auto"/>
          <w:kern w:val="0"/>
          <w:szCs w:val="21"/>
          <w:highlight w:val="none"/>
          <w:u w:val="single"/>
        </w:rPr>
        <w:t>标段一/</w:t>
      </w:r>
      <w:r>
        <w:rPr>
          <w:rFonts w:ascii="Arial" w:hAnsi="Arial" w:cs="Arial"/>
          <w:color w:val="auto"/>
          <w:highlight w:val="none"/>
          <w:u w:val="single"/>
        </w:rPr>
        <w:t>20</w:t>
      </w:r>
      <w:r>
        <w:rPr>
          <w:rFonts w:hint="eastAsia" w:ascii="Arial" w:hAnsi="Arial" w:cs="Arial"/>
          <w:color w:val="auto"/>
          <w:highlight w:val="none"/>
          <w:u w:val="single"/>
        </w:rPr>
        <w:t>20</w:t>
      </w:r>
      <w:r>
        <w:rPr>
          <w:rFonts w:ascii="Arial" w:hAnsi="Arial" w:cs="Arial"/>
          <w:color w:val="auto"/>
          <w:highlight w:val="none"/>
          <w:u w:val="single"/>
        </w:rPr>
        <w:t>年拱墅区“峰会”亮灯工程第</w:t>
      </w:r>
      <w:r>
        <w:rPr>
          <w:rFonts w:hint="eastAsia" w:ascii="Arial" w:hAnsi="Arial" w:cs="Arial"/>
          <w:color w:val="auto"/>
          <w:highlight w:val="none"/>
          <w:u w:val="single"/>
        </w:rPr>
        <w:t>二</w:t>
      </w:r>
      <w:r>
        <w:rPr>
          <w:rFonts w:ascii="Arial" w:hAnsi="Arial" w:cs="Arial"/>
          <w:color w:val="auto"/>
          <w:highlight w:val="none"/>
          <w:u w:val="single"/>
        </w:rPr>
        <w:t>次运行维护项目</w:t>
      </w:r>
      <w:r>
        <w:rPr>
          <w:rFonts w:hint="eastAsia" w:ascii="Arial" w:hAnsi="Arial" w:cs="Arial"/>
          <w:color w:val="auto"/>
          <w:kern w:val="0"/>
          <w:szCs w:val="21"/>
          <w:highlight w:val="none"/>
          <w:u w:val="single"/>
        </w:rPr>
        <w:t>标段二（投标单位按所投标段填写，如投标单位2个标段都投，就按标段分开填写）</w:t>
      </w:r>
    </w:p>
    <w:tbl>
      <w:tblPr>
        <w:tblStyle w:val="48"/>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422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序号</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资格条件</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b/>
                <w:bCs/>
                <w:color w:val="auto"/>
                <w:kern w:val="0"/>
                <w:szCs w:val="21"/>
                <w:highlight w:val="none"/>
              </w:rPr>
              <w:t>基本资格要求：</w:t>
            </w:r>
          </w:p>
        </w:tc>
        <w:tc>
          <w:tcPr>
            <w:tcW w:w="4253" w:type="dxa"/>
            <w:vAlign w:val="center"/>
          </w:tcPr>
          <w:p>
            <w:pPr>
              <w:adjustRightInd w:val="0"/>
              <w:snapToGrid w:val="0"/>
              <w:spacing w:line="300" w:lineRule="auto"/>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1.1</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（1）具有独立承担民事责任的能力；</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多证合一、一照一码”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1.2</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szCs w:val="21"/>
                <w:highlight w:val="none"/>
              </w:rPr>
              <w:t>（2）具有良好的商业信誉和健全的财务会计制度；</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1.3</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szCs w:val="21"/>
                <w:highlight w:val="none"/>
              </w:rPr>
              <w:t>（3）具有履行合同所必需的设备和专业技术能力；</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3）具有履行合同所必需的设备和专业技术能力的声明函；【声明函1】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1.4</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szCs w:val="21"/>
                <w:highlight w:val="none"/>
              </w:rPr>
              <w:t>（4）有依法缴纳税收和社会保障资金的良好记录；</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4）没有重大违法记录的声明函；【声明函2】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1.5</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szCs w:val="21"/>
                <w:highlight w:val="none"/>
              </w:rPr>
              <w:t>（5）参加政府采购活动前三年内，在经营活动中没有重大违法记录；</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5）具有良好商业信誉的声明函；【声明函3】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1.6</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color w:val="auto"/>
                <w:kern w:val="0"/>
                <w:szCs w:val="21"/>
                <w:highlight w:val="none"/>
              </w:rPr>
              <w:t>（6）未被“信用中国”（www.creditchina.gov.cn）、中国政府采购网（www.ccgp.gov.cn）列入失信被执行人、重大税收违法案件当事人名单、政府采购严重违法失信行为记录名单。</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6）无违法失信的声明函。【声明函4】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1.7</w:t>
            </w:r>
          </w:p>
        </w:tc>
        <w:tc>
          <w:tcPr>
            <w:tcW w:w="4225" w:type="dxa"/>
            <w:vAlign w:val="center"/>
          </w:tcPr>
          <w:p>
            <w:pPr>
              <w:widowControl/>
              <w:adjustRightInd w:val="0"/>
              <w:snapToGrid w:val="0"/>
              <w:spacing w:line="300" w:lineRule="auto"/>
              <w:jc w:val="left"/>
              <w:rPr>
                <w:rFonts w:ascii="Arial" w:hAnsi="Arial" w:cs="Arial"/>
                <w:color w:val="auto"/>
                <w:szCs w:val="21"/>
                <w:highlight w:val="none"/>
              </w:rPr>
            </w:pPr>
            <w:r>
              <w:rPr>
                <w:rFonts w:ascii="Arial" w:hAnsi="Arial" w:cs="Arial"/>
                <w:color w:val="auto"/>
                <w:kern w:val="0"/>
                <w:szCs w:val="21"/>
                <w:highlight w:val="none"/>
              </w:rPr>
              <w:t>（7）单位负责人为同一人或者存在直接控股、管理关系的不同供应商，不得参加同一合同项下的政府采购活动；</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w:t>
            </w:r>
          </w:p>
        </w:tc>
        <w:tc>
          <w:tcPr>
            <w:tcW w:w="4225" w:type="dxa"/>
            <w:vAlign w:val="center"/>
          </w:tcPr>
          <w:p>
            <w:pPr>
              <w:adjustRightInd w:val="0"/>
              <w:snapToGrid w:val="0"/>
              <w:spacing w:line="300" w:lineRule="auto"/>
              <w:jc w:val="left"/>
              <w:rPr>
                <w:rFonts w:ascii="Arial" w:hAnsi="Arial" w:cs="Arial"/>
                <w:color w:val="auto"/>
                <w:kern w:val="0"/>
                <w:szCs w:val="21"/>
                <w:highlight w:val="none"/>
              </w:rPr>
            </w:pPr>
            <w:r>
              <w:rPr>
                <w:rFonts w:ascii="Arial" w:hAnsi="Arial" w:cs="Arial"/>
                <w:b/>
                <w:bCs/>
                <w:color w:val="auto"/>
                <w:kern w:val="0"/>
                <w:szCs w:val="21"/>
                <w:highlight w:val="none"/>
              </w:rPr>
              <w:t>特定资格要求：</w:t>
            </w:r>
          </w:p>
        </w:tc>
        <w:tc>
          <w:tcPr>
            <w:tcW w:w="4253" w:type="dxa"/>
            <w:vAlign w:val="center"/>
          </w:tcPr>
          <w:p>
            <w:pPr>
              <w:adjustRightInd w:val="0"/>
              <w:snapToGrid w:val="0"/>
              <w:spacing w:line="300" w:lineRule="auto"/>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2.1</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除基本资格要求应提供资料外。还应提供以下资料：</w:t>
            </w:r>
          </w:p>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8）金融、保险、通讯等特定行业的全国性企业所设立的区域性分支机构提供总公司（总机构）授权；</w:t>
            </w:r>
          </w:p>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9）个体工商户、个人独资企业、合伙企业应提供房产权证或其他有效财产证明材料。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2.2</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（2）非联合体。</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10）非联合体的声明函。【声明函6】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2.3</w:t>
            </w:r>
          </w:p>
        </w:tc>
        <w:tc>
          <w:tcPr>
            <w:tcW w:w="4225"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w:t>
            </w:r>
            <w:r>
              <w:rPr>
                <w:rFonts w:ascii="Arial" w:hAnsi="Arial" w:cs="Arial"/>
                <w:color w:val="auto"/>
                <w:kern w:val="0"/>
                <w:szCs w:val="21"/>
                <w:highlight w:val="none"/>
              </w:rPr>
              <w:t>）具有建筑机电安装工程专业承包叁级及以上资质或城市及道路照明工程专业承包叁级及以上资质；</w:t>
            </w:r>
          </w:p>
        </w:tc>
        <w:tc>
          <w:tcPr>
            <w:tcW w:w="4253" w:type="dxa"/>
            <w:vAlign w:val="center"/>
          </w:tcPr>
          <w:p>
            <w:pPr>
              <w:adjustRightInd w:val="0"/>
              <w:snapToGrid w:val="0"/>
              <w:spacing w:line="300" w:lineRule="auto"/>
              <w:jc w:val="left"/>
              <w:rPr>
                <w:rFonts w:ascii="Arial" w:hAnsi="Arial" w:cs="Arial"/>
                <w:color w:val="auto"/>
                <w:szCs w:val="21"/>
                <w:highlight w:val="none"/>
              </w:rPr>
            </w:pPr>
            <w:r>
              <w:rPr>
                <w:rFonts w:ascii="Arial" w:hAnsi="Arial" w:cs="Arial"/>
                <w:color w:val="auto"/>
                <w:szCs w:val="21"/>
                <w:highlight w:val="none"/>
              </w:rPr>
              <w:t>11）投标人的</w:t>
            </w:r>
            <w:r>
              <w:rPr>
                <w:rFonts w:ascii="Arial" w:hAnsi="Arial" w:cs="Arial"/>
                <w:color w:val="auto"/>
                <w:kern w:val="0"/>
                <w:highlight w:val="none"/>
              </w:rPr>
              <w:t>建筑机电安装工程专业承包资质证书或城市及道路照明工程专业承包资质证书</w:t>
            </w:r>
          </w:p>
        </w:tc>
      </w:tr>
    </w:tbl>
    <w:p>
      <w:pPr>
        <w:snapToGrid w:val="0"/>
        <w:spacing w:line="300" w:lineRule="auto"/>
        <w:ind w:firstLine="422" w:firstLineChars="200"/>
        <w:jc w:val="left"/>
        <w:rPr>
          <w:rFonts w:ascii="Arial" w:hAnsi="Arial" w:cs="Arial"/>
          <w:b/>
          <w:bCs/>
          <w:color w:val="auto"/>
          <w:szCs w:val="21"/>
          <w:highlight w:val="none"/>
          <w:u w:val="single"/>
        </w:rPr>
      </w:pPr>
      <w:r>
        <w:rPr>
          <w:rFonts w:ascii="Arial" w:hAnsi="Arial" w:cs="Arial"/>
          <w:b/>
          <w:bCs/>
          <w:color w:val="auto"/>
          <w:szCs w:val="21"/>
          <w:highlight w:val="none"/>
          <w:u w:val="single"/>
        </w:rPr>
        <w:t>证明材料需加盖投标人单位公章。</w:t>
      </w:r>
    </w:p>
    <w:p>
      <w:pPr>
        <w:snapToGrid w:val="0"/>
        <w:spacing w:line="300" w:lineRule="auto"/>
        <w:ind w:firstLine="422" w:firstLineChars="200"/>
        <w:jc w:val="left"/>
        <w:rPr>
          <w:rFonts w:ascii="Arial" w:hAnsi="Arial" w:cs="Arial"/>
          <w:b/>
          <w:bCs/>
          <w:color w:val="auto"/>
          <w:szCs w:val="21"/>
          <w:highlight w:val="none"/>
          <w:u w:val="single"/>
        </w:rPr>
      </w:pPr>
      <w:r>
        <w:rPr>
          <w:rFonts w:ascii="Arial" w:hAnsi="Arial" w:cs="Arial"/>
          <w:b/>
          <w:bCs/>
          <w:color w:val="auto"/>
          <w:szCs w:val="21"/>
          <w:highlight w:val="none"/>
          <w:u w:val="single"/>
        </w:rPr>
        <w:t>各声明函格式附后</w:t>
      </w:r>
    </w:p>
    <w:p>
      <w:pPr>
        <w:snapToGrid w:val="0"/>
        <w:spacing w:line="300" w:lineRule="auto"/>
        <w:rPr>
          <w:rFonts w:ascii="Arial" w:hAnsi="Arial" w:cs="Arial"/>
          <w:color w:val="auto"/>
          <w:highlight w:val="none"/>
        </w:rPr>
      </w:pPr>
      <w:r>
        <w:rPr>
          <w:rFonts w:ascii="Arial" w:hAnsi="Arial" w:cs="Arial"/>
          <w:color w:val="auto"/>
          <w:highlight w:val="none"/>
        </w:rPr>
        <w:br w:type="page"/>
      </w:r>
    </w:p>
    <w:p>
      <w:pPr>
        <w:pStyle w:val="5"/>
        <w:ind w:firstLine="422"/>
        <w:rPr>
          <w:rFonts w:cs="Arial"/>
          <w:color w:val="auto"/>
          <w:highlight w:val="none"/>
        </w:rPr>
      </w:pPr>
      <w:r>
        <w:rPr>
          <w:rFonts w:cs="Arial"/>
          <w:color w:val="auto"/>
          <w:highlight w:val="none"/>
        </w:rPr>
        <w:t>表附件：证明资料。</w:t>
      </w:r>
    </w:p>
    <w:p>
      <w:pPr>
        <w:pStyle w:val="5"/>
        <w:ind w:firstLine="422"/>
        <w:rPr>
          <w:rFonts w:cs="Arial"/>
          <w:color w:val="auto"/>
          <w:highlight w:val="none"/>
        </w:rPr>
      </w:pPr>
      <w:r>
        <w:rPr>
          <w:rFonts w:cs="Arial"/>
          <w:color w:val="auto"/>
          <w:highlight w:val="none"/>
        </w:rPr>
        <w:t>相关附件格式附后</w:t>
      </w:r>
    </w:p>
    <w:p>
      <w:pPr>
        <w:pStyle w:val="5"/>
        <w:ind w:firstLine="422"/>
        <w:rPr>
          <w:rFonts w:cs="Arial"/>
          <w:color w:val="auto"/>
          <w:highlight w:val="none"/>
        </w:rPr>
      </w:pPr>
      <w:r>
        <w:rPr>
          <w:rFonts w:cs="Arial"/>
          <w:color w:val="auto"/>
          <w:highlight w:val="none"/>
        </w:rPr>
        <w:t>【声明函1】具有履行合同所必需的设备和专业技术能力的声明函</w:t>
      </w:r>
    </w:p>
    <w:p>
      <w:pPr>
        <w:snapToGrid w:val="0"/>
        <w:spacing w:line="300" w:lineRule="auto"/>
        <w:jc w:val="center"/>
        <w:rPr>
          <w:rFonts w:ascii="Arial" w:hAnsi="Arial" w:cs="Arial"/>
          <w:b/>
          <w:color w:val="auto"/>
          <w:kern w:val="0"/>
          <w:sz w:val="28"/>
          <w:szCs w:val="28"/>
          <w:highlight w:val="none"/>
        </w:rPr>
      </w:pPr>
      <w:r>
        <w:rPr>
          <w:rFonts w:ascii="Arial" w:hAnsi="Arial" w:cs="Arial"/>
          <w:b/>
          <w:color w:val="auto"/>
          <w:kern w:val="0"/>
          <w:sz w:val="28"/>
          <w:szCs w:val="28"/>
          <w:highlight w:val="none"/>
        </w:rPr>
        <w:t>具有履行合同所必需的设备和专业技术能力的声明函</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u w:val="single"/>
        </w:rPr>
        <w:t>杭州市拱墅区城市管理局</w:t>
      </w:r>
      <w:r>
        <w:rPr>
          <w:rFonts w:ascii="Arial" w:hAnsi="Arial" w:cs="Arial"/>
          <w:color w:val="auto"/>
          <w:highlight w:val="none"/>
        </w:rPr>
        <w:t>：</w:t>
      </w:r>
    </w:p>
    <w:p>
      <w:pPr>
        <w:snapToGrid w:val="0"/>
        <w:spacing w:line="300" w:lineRule="auto"/>
        <w:rPr>
          <w:rFonts w:ascii="Arial" w:hAnsi="Arial" w:cs="Arial"/>
          <w:color w:val="auto"/>
          <w:szCs w:val="21"/>
          <w:highlight w:val="none"/>
        </w:rPr>
      </w:pPr>
      <w:r>
        <w:rPr>
          <w:rFonts w:ascii="Arial" w:hAnsi="Arial" w:cs="Arial"/>
          <w:color w:val="auto"/>
          <w:highlight w:val="none"/>
          <w:u w:val="single"/>
        </w:rPr>
        <w:t>浙江省成套招标代理有限公司</w:t>
      </w:r>
      <w:r>
        <w:rPr>
          <w:rFonts w:ascii="Arial" w:hAnsi="Arial" w:cs="Arial"/>
          <w:color w:val="auto"/>
          <w:highlight w:val="none"/>
        </w:rPr>
        <w:t>：</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我方郑重承诺，我方具有履行</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w:t>
      </w:r>
      <w:r>
        <w:rPr>
          <w:rFonts w:ascii="Arial" w:hAnsi="Arial" w:cs="Arial"/>
          <w:color w:val="auto"/>
          <w:szCs w:val="21"/>
          <w:highlight w:val="none"/>
        </w:rPr>
        <w:t>合同所必需的设备和专业技术能力。如中标，我方将保证合同顺利履行。</w:t>
      </w:r>
    </w:p>
    <w:p>
      <w:pPr>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本公司对上述声明的真实性负责。如有虚假，愿意承担相应责任，对此无任何异议。</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特此声明！</w:t>
      </w:r>
    </w:p>
    <w:p>
      <w:pPr>
        <w:adjustRightInd w:val="0"/>
        <w:snapToGrid w:val="0"/>
        <w:spacing w:line="300" w:lineRule="auto"/>
        <w:ind w:firstLine="420" w:firstLineChars="200"/>
        <w:rPr>
          <w:rFonts w:ascii="Arial" w:hAnsi="Arial" w:cs="Arial"/>
          <w:color w:val="auto"/>
          <w:spacing w:val="20"/>
          <w:szCs w:val="21"/>
          <w:highlight w:val="none"/>
          <w:u w:val="single"/>
        </w:rPr>
      </w:pPr>
      <w:r>
        <w:rPr>
          <w:rFonts w:ascii="Arial" w:hAnsi="Arial" w:cs="Arial"/>
          <w:color w:val="auto"/>
          <w:szCs w:val="21"/>
          <w:highlight w:val="none"/>
        </w:rPr>
        <w:t>投标人全称：（盖单位公章）</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日期：2020年月日</w:t>
      </w:r>
    </w:p>
    <w:p>
      <w:pPr>
        <w:snapToGrid w:val="0"/>
        <w:spacing w:line="300" w:lineRule="auto"/>
        <w:ind w:firstLine="420" w:firstLineChars="200"/>
        <w:jc w:val="left"/>
        <w:rPr>
          <w:rFonts w:ascii="Arial" w:hAnsi="Arial" w:cs="Arial"/>
          <w:color w:val="auto"/>
          <w:szCs w:val="21"/>
          <w:highlight w:val="none"/>
        </w:rPr>
      </w:pPr>
    </w:p>
    <w:p>
      <w:pPr>
        <w:snapToGrid w:val="0"/>
        <w:spacing w:line="300" w:lineRule="auto"/>
        <w:ind w:firstLine="420" w:firstLineChars="200"/>
        <w:jc w:val="left"/>
        <w:rPr>
          <w:rFonts w:ascii="Arial" w:hAnsi="Arial" w:cs="Arial"/>
          <w:color w:val="auto"/>
          <w:szCs w:val="21"/>
          <w:highlight w:val="none"/>
        </w:rPr>
      </w:pPr>
    </w:p>
    <w:p>
      <w:pPr>
        <w:snapToGrid w:val="0"/>
        <w:spacing w:line="300" w:lineRule="auto"/>
        <w:ind w:firstLine="420" w:firstLineChars="200"/>
        <w:jc w:val="left"/>
        <w:rPr>
          <w:rFonts w:ascii="Arial" w:hAnsi="Arial" w:cs="Arial"/>
          <w:color w:val="auto"/>
          <w:szCs w:val="21"/>
          <w:highlight w:val="none"/>
        </w:rPr>
      </w:pPr>
    </w:p>
    <w:p>
      <w:pPr>
        <w:snapToGrid w:val="0"/>
        <w:spacing w:line="300" w:lineRule="auto"/>
        <w:ind w:firstLine="420" w:firstLineChars="200"/>
        <w:jc w:val="left"/>
        <w:rPr>
          <w:rFonts w:ascii="Arial" w:hAnsi="Arial" w:cs="Arial"/>
          <w:color w:val="auto"/>
          <w:szCs w:val="21"/>
          <w:highlight w:val="none"/>
        </w:rPr>
      </w:pPr>
    </w:p>
    <w:p>
      <w:pPr>
        <w:pStyle w:val="5"/>
        <w:ind w:firstLine="422"/>
        <w:rPr>
          <w:rFonts w:cs="Arial"/>
          <w:color w:val="auto"/>
          <w:highlight w:val="none"/>
        </w:rPr>
      </w:pPr>
      <w:r>
        <w:rPr>
          <w:rFonts w:cs="Arial"/>
          <w:color w:val="auto"/>
          <w:highlight w:val="none"/>
        </w:rPr>
        <w:t>【声明函2】没有重大违法记录的声明函</w:t>
      </w:r>
    </w:p>
    <w:p>
      <w:pPr>
        <w:snapToGrid w:val="0"/>
        <w:spacing w:line="300" w:lineRule="auto"/>
        <w:ind w:firstLine="420" w:firstLineChars="200"/>
        <w:jc w:val="left"/>
        <w:rPr>
          <w:rFonts w:ascii="Arial" w:hAnsi="Arial" w:cs="Arial"/>
          <w:color w:val="auto"/>
          <w:szCs w:val="21"/>
          <w:highlight w:val="none"/>
        </w:rPr>
      </w:pPr>
    </w:p>
    <w:p>
      <w:pPr>
        <w:snapToGrid w:val="0"/>
        <w:spacing w:line="300" w:lineRule="auto"/>
        <w:jc w:val="center"/>
        <w:rPr>
          <w:rFonts w:ascii="Arial" w:hAnsi="Arial" w:cs="Arial"/>
          <w:b/>
          <w:color w:val="auto"/>
          <w:kern w:val="0"/>
          <w:sz w:val="28"/>
          <w:szCs w:val="28"/>
          <w:highlight w:val="none"/>
        </w:rPr>
      </w:pPr>
      <w:r>
        <w:rPr>
          <w:rFonts w:ascii="Arial" w:hAnsi="Arial" w:cs="Arial"/>
          <w:b/>
          <w:color w:val="auto"/>
          <w:kern w:val="0"/>
          <w:sz w:val="28"/>
          <w:szCs w:val="28"/>
          <w:highlight w:val="none"/>
        </w:rPr>
        <w:t>没有重大违法记录的声明函</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u w:val="single"/>
        </w:rPr>
        <w:t>杭州市拱墅区城市管理局</w:t>
      </w:r>
      <w:r>
        <w:rPr>
          <w:rFonts w:ascii="Arial" w:hAnsi="Arial" w:cs="Arial"/>
          <w:color w:val="auto"/>
          <w:highlight w:val="none"/>
        </w:rPr>
        <w:t>：</w:t>
      </w:r>
    </w:p>
    <w:p>
      <w:pPr>
        <w:snapToGrid w:val="0"/>
        <w:spacing w:line="300" w:lineRule="auto"/>
        <w:rPr>
          <w:rFonts w:ascii="Arial" w:hAnsi="Arial" w:cs="Arial"/>
          <w:color w:val="auto"/>
          <w:szCs w:val="21"/>
          <w:highlight w:val="none"/>
          <w:u w:val="single"/>
        </w:rPr>
      </w:pPr>
      <w:r>
        <w:rPr>
          <w:rFonts w:ascii="Arial" w:hAnsi="Arial" w:cs="Arial"/>
          <w:color w:val="auto"/>
          <w:highlight w:val="none"/>
          <w:u w:val="single"/>
        </w:rPr>
        <w:t>浙江省成套招标代理有限公司</w:t>
      </w:r>
      <w:r>
        <w:rPr>
          <w:rFonts w:ascii="Arial" w:hAnsi="Arial" w:cs="Arial"/>
          <w:color w:val="auto"/>
          <w:highlight w:val="none"/>
        </w:rPr>
        <w:t>：</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我方</w:t>
      </w:r>
      <w:r>
        <w:rPr>
          <w:rFonts w:ascii="Arial" w:hAnsi="Arial" w:cs="Arial"/>
          <w:color w:val="auto"/>
          <w:szCs w:val="21"/>
          <w:highlight w:val="none"/>
          <w:u w:val="single"/>
        </w:rPr>
        <w:t>（供应商）</w:t>
      </w:r>
      <w:r>
        <w:rPr>
          <w:rFonts w:ascii="Arial" w:hAnsi="Arial" w:cs="Arial"/>
          <w:color w:val="auto"/>
          <w:szCs w:val="21"/>
          <w:highlight w:val="none"/>
        </w:rPr>
        <w:t>参加</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w:t>
      </w:r>
      <w:r>
        <w:rPr>
          <w:rFonts w:ascii="Arial" w:hAnsi="Arial" w:cs="Arial"/>
          <w:color w:val="auto"/>
          <w:szCs w:val="21"/>
          <w:highlight w:val="none"/>
        </w:rPr>
        <w:t>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color w:val="auto"/>
          <w:kern w:val="0"/>
          <w:szCs w:val="21"/>
          <w:highlight w:val="none"/>
        </w:rPr>
        <w:t>。</w:t>
      </w:r>
    </w:p>
    <w:p>
      <w:pPr>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本公司对上述声明的真实性负责。如有虚假，愿意承担相应责任，对此无任何异议。</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特此声明！</w:t>
      </w:r>
    </w:p>
    <w:p>
      <w:pPr>
        <w:adjustRightInd w:val="0"/>
        <w:snapToGrid w:val="0"/>
        <w:spacing w:line="300" w:lineRule="auto"/>
        <w:ind w:firstLine="420" w:firstLineChars="200"/>
        <w:rPr>
          <w:rFonts w:ascii="Arial" w:hAnsi="Arial" w:cs="Arial"/>
          <w:color w:val="auto"/>
          <w:spacing w:val="20"/>
          <w:szCs w:val="21"/>
          <w:highlight w:val="none"/>
          <w:u w:val="single"/>
        </w:rPr>
      </w:pPr>
      <w:r>
        <w:rPr>
          <w:rFonts w:ascii="Arial" w:hAnsi="Arial" w:cs="Arial"/>
          <w:color w:val="auto"/>
          <w:szCs w:val="21"/>
          <w:highlight w:val="none"/>
        </w:rPr>
        <w:t>投标人全称：（盖单位公章）</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日期：2020年月日</w:t>
      </w:r>
    </w:p>
    <w:p>
      <w:pPr>
        <w:snapToGrid w:val="0"/>
        <w:spacing w:line="300" w:lineRule="auto"/>
        <w:ind w:firstLine="420" w:firstLineChars="200"/>
        <w:jc w:val="left"/>
        <w:rPr>
          <w:rFonts w:ascii="Arial" w:hAnsi="Arial" w:cs="Arial"/>
          <w:color w:val="auto"/>
          <w:szCs w:val="21"/>
          <w:highlight w:val="none"/>
        </w:rPr>
      </w:pPr>
    </w:p>
    <w:p>
      <w:pPr>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br w:type="page"/>
      </w:r>
    </w:p>
    <w:p>
      <w:pPr>
        <w:pStyle w:val="5"/>
        <w:ind w:firstLine="422"/>
        <w:rPr>
          <w:rFonts w:cs="Arial"/>
          <w:color w:val="auto"/>
          <w:highlight w:val="none"/>
        </w:rPr>
      </w:pPr>
      <w:r>
        <w:rPr>
          <w:rFonts w:cs="Arial"/>
          <w:color w:val="auto"/>
          <w:highlight w:val="none"/>
        </w:rPr>
        <w:t>【声明函3】具有良好商业信誉的声明函</w:t>
      </w:r>
    </w:p>
    <w:p>
      <w:pPr>
        <w:snapToGrid w:val="0"/>
        <w:spacing w:line="300" w:lineRule="auto"/>
        <w:jc w:val="center"/>
        <w:rPr>
          <w:rFonts w:ascii="Arial" w:hAnsi="Arial" w:cs="Arial"/>
          <w:b/>
          <w:color w:val="auto"/>
          <w:kern w:val="0"/>
          <w:sz w:val="28"/>
          <w:szCs w:val="28"/>
          <w:highlight w:val="none"/>
        </w:rPr>
      </w:pPr>
      <w:r>
        <w:rPr>
          <w:rFonts w:ascii="Arial" w:hAnsi="Arial" w:cs="Arial"/>
          <w:b/>
          <w:color w:val="auto"/>
          <w:kern w:val="0"/>
          <w:sz w:val="28"/>
          <w:szCs w:val="28"/>
          <w:highlight w:val="none"/>
        </w:rPr>
        <w:t>具有良好商业信誉的声明函</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u w:val="single"/>
        </w:rPr>
        <w:t>杭州市拱墅区城市管理局</w:t>
      </w:r>
      <w:r>
        <w:rPr>
          <w:rFonts w:ascii="Arial" w:hAnsi="Arial" w:cs="Arial"/>
          <w:color w:val="auto"/>
          <w:highlight w:val="none"/>
        </w:rPr>
        <w:t>：</w:t>
      </w:r>
    </w:p>
    <w:p>
      <w:pPr>
        <w:snapToGrid w:val="0"/>
        <w:spacing w:line="300" w:lineRule="auto"/>
        <w:rPr>
          <w:rFonts w:ascii="Arial" w:hAnsi="Arial" w:cs="Arial"/>
          <w:color w:val="auto"/>
          <w:kern w:val="0"/>
          <w:szCs w:val="21"/>
          <w:highlight w:val="none"/>
        </w:rPr>
      </w:pPr>
      <w:r>
        <w:rPr>
          <w:rFonts w:ascii="Arial" w:hAnsi="Arial" w:cs="Arial"/>
          <w:color w:val="auto"/>
          <w:highlight w:val="none"/>
          <w:u w:val="single"/>
        </w:rPr>
        <w:t>浙江省成套招标代理有限公司</w:t>
      </w:r>
      <w:r>
        <w:rPr>
          <w:rFonts w:ascii="Arial" w:hAnsi="Arial" w:cs="Arial"/>
          <w:color w:val="auto"/>
          <w:highlight w:val="none"/>
        </w:rPr>
        <w:t>：</w:t>
      </w:r>
    </w:p>
    <w:p>
      <w:pPr>
        <w:snapToGrid w:val="0"/>
        <w:spacing w:line="300" w:lineRule="auto"/>
        <w:ind w:firstLine="420" w:firstLineChars="200"/>
        <w:rPr>
          <w:rFonts w:ascii="Arial" w:hAnsi="Arial" w:cs="Arial"/>
          <w:color w:val="auto"/>
          <w:highlight w:val="none"/>
        </w:rPr>
      </w:pPr>
      <w:r>
        <w:rPr>
          <w:rFonts w:ascii="Arial" w:hAnsi="Arial" w:cs="Arial"/>
          <w:color w:val="auto"/>
          <w:szCs w:val="21"/>
          <w:highlight w:val="none"/>
        </w:rPr>
        <w:t>截至</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（项目编号）的</w:t>
      </w:r>
      <w:r>
        <w:rPr>
          <w:rFonts w:ascii="Arial" w:hAnsi="Arial" w:cs="Arial"/>
          <w:color w:val="auto"/>
          <w:szCs w:val="21"/>
          <w:highlight w:val="none"/>
        </w:rPr>
        <w:t>投标截止时间，我方具有良好的商业信誉。</w:t>
      </w:r>
    </w:p>
    <w:p>
      <w:pPr>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本公司对上述声明的真实性负责。如有虚假，愿意承担相应责任，对此无任何异议。</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特此声明！</w:t>
      </w:r>
    </w:p>
    <w:p>
      <w:pPr>
        <w:spacing w:line="300" w:lineRule="auto"/>
        <w:ind w:firstLine="420" w:firstLineChars="200"/>
        <w:rPr>
          <w:rFonts w:ascii="Arial" w:hAnsi="Arial" w:cs="Arial"/>
          <w:color w:val="auto"/>
          <w:szCs w:val="21"/>
          <w:highlight w:val="none"/>
        </w:rPr>
      </w:pPr>
    </w:p>
    <w:p>
      <w:pPr>
        <w:adjustRightInd w:val="0"/>
        <w:snapToGrid w:val="0"/>
        <w:spacing w:line="300" w:lineRule="auto"/>
        <w:ind w:firstLine="420" w:firstLineChars="200"/>
        <w:rPr>
          <w:rFonts w:ascii="Arial" w:hAnsi="Arial" w:cs="Arial"/>
          <w:color w:val="auto"/>
          <w:spacing w:val="20"/>
          <w:szCs w:val="21"/>
          <w:highlight w:val="none"/>
          <w:u w:val="single"/>
        </w:rPr>
      </w:pPr>
      <w:r>
        <w:rPr>
          <w:rFonts w:ascii="Arial" w:hAnsi="Arial" w:cs="Arial"/>
          <w:color w:val="auto"/>
          <w:szCs w:val="21"/>
          <w:highlight w:val="none"/>
        </w:rPr>
        <w:t>投标人全称：（盖单位公章）</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日期：2020年月日</w:t>
      </w:r>
    </w:p>
    <w:p>
      <w:pPr>
        <w:snapToGrid w:val="0"/>
        <w:spacing w:line="300" w:lineRule="auto"/>
        <w:ind w:firstLine="420" w:firstLineChars="200"/>
        <w:rPr>
          <w:rFonts w:ascii="Arial" w:hAnsi="Arial" w:cs="Arial"/>
          <w:color w:val="auto"/>
          <w:highlight w:val="none"/>
        </w:rPr>
      </w:pPr>
    </w:p>
    <w:p>
      <w:pPr>
        <w:snapToGrid w:val="0"/>
        <w:spacing w:line="300" w:lineRule="auto"/>
        <w:ind w:firstLine="420" w:firstLineChars="200"/>
        <w:rPr>
          <w:rFonts w:ascii="Arial" w:hAnsi="Arial" w:cs="Arial"/>
          <w:color w:val="auto"/>
          <w:highlight w:val="none"/>
        </w:rPr>
      </w:pPr>
    </w:p>
    <w:p>
      <w:pPr>
        <w:snapToGrid w:val="0"/>
        <w:spacing w:line="300" w:lineRule="auto"/>
        <w:ind w:firstLine="420" w:firstLineChars="200"/>
        <w:rPr>
          <w:rFonts w:ascii="Arial" w:hAnsi="Arial" w:cs="Arial"/>
          <w:color w:val="auto"/>
          <w:highlight w:val="none"/>
        </w:rPr>
      </w:pPr>
    </w:p>
    <w:p>
      <w:pPr>
        <w:pStyle w:val="5"/>
        <w:ind w:firstLine="422"/>
        <w:rPr>
          <w:rFonts w:cs="Arial"/>
          <w:color w:val="auto"/>
          <w:highlight w:val="none"/>
        </w:rPr>
      </w:pPr>
      <w:r>
        <w:rPr>
          <w:rFonts w:cs="Arial"/>
          <w:color w:val="auto"/>
          <w:highlight w:val="none"/>
        </w:rPr>
        <w:t>【声明函4】无违法失信的声明函</w:t>
      </w:r>
    </w:p>
    <w:p>
      <w:pPr>
        <w:snapToGrid w:val="0"/>
        <w:spacing w:line="300" w:lineRule="auto"/>
        <w:jc w:val="center"/>
        <w:rPr>
          <w:rFonts w:ascii="Arial" w:hAnsi="Arial" w:cs="Arial"/>
          <w:b/>
          <w:color w:val="auto"/>
          <w:kern w:val="0"/>
          <w:sz w:val="28"/>
          <w:szCs w:val="28"/>
          <w:highlight w:val="none"/>
        </w:rPr>
      </w:pPr>
      <w:r>
        <w:rPr>
          <w:rFonts w:ascii="Arial" w:hAnsi="Arial" w:cs="Arial"/>
          <w:b/>
          <w:color w:val="auto"/>
          <w:kern w:val="0"/>
          <w:sz w:val="28"/>
          <w:szCs w:val="28"/>
          <w:highlight w:val="none"/>
        </w:rPr>
        <w:t>无违法失信的声明函</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u w:val="single"/>
        </w:rPr>
        <w:t>杭州市拱墅区城市管理局</w:t>
      </w:r>
      <w:r>
        <w:rPr>
          <w:rFonts w:ascii="Arial" w:hAnsi="Arial" w:cs="Arial"/>
          <w:color w:val="auto"/>
          <w:highlight w:val="none"/>
        </w:rPr>
        <w:t>：</w:t>
      </w:r>
    </w:p>
    <w:p>
      <w:pPr>
        <w:snapToGrid w:val="0"/>
        <w:spacing w:line="300" w:lineRule="auto"/>
        <w:rPr>
          <w:rFonts w:ascii="Arial" w:hAnsi="Arial" w:cs="Arial"/>
          <w:color w:val="auto"/>
          <w:kern w:val="0"/>
          <w:szCs w:val="21"/>
          <w:highlight w:val="none"/>
        </w:rPr>
      </w:pPr>
      <w:r>
        <w:rPr>
          <w:rFonts w:ascii="Arial" w:hAnsi="Arial" w:cs="Arial"/>
          <w:color w:val="auto"/>
          <w:highlight w:val="none"/>
          <w:u w:val="single"/>
        </w:rPr>
        <w:t>浙江省成套招标代理有限公司</w:t>
      </w:r>
      <w:r>
        <w:rPr>
          <w:rFonts w:ascii="Arial" w:hAnsi="Arial" w:cs="Arial"/>
          <w:color w:val="auto"/>
          <w:highlight w:val="none"/>
        </w:rPr>
        <w:t>：</w:t>
      </w:r>
    </w:p>
    <w:p>
      <w:pPr>
        <w:snapToGrid w:val="0"/>
        <w:spacing w:line="300" w:lineRule="auto"/>
        <w:ind w:firstLine="420" w:firstLineChars="200"/>
        <w:rPr>
          <w:rFonts w:ascii="Arial" w:hAnsi="Arial" w:cs="Arial"/>
          <w:bCs/>
          <w:color w:val="auto"/>
          <w:highlight w:val="none"/>
        </w:rPr>
      </w:pPr>
      <w:r>
        <w:rPr>
          <w:rFonts w:ascii="Arial" w:hAnsi="Arial" w:cs="Arial"/>
          <w:color w:val="auto"/>
          <w:szCs w:val="21"/>
          <w:highlight w:val="none"/>
        </w:rPr>
        <w:t>截至</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（项目编号）的</w:t>
      </w:r>
      <w:r>
        <w:rPr>
          <w:rFonts w:ascii="Arial" w:hAnsi="Arial" w:cs="Arial"/>
          <w:color w:val="auto"/>
          <w:szCs w:val="21"/>
          <w:highlight w:val="none"/>
        </w:rPr>
        <w:t>投标截止时间，</w:t>
      </w:r>
      <w:r>
        <w:rPr>
          <w:rFonts w:ascii="Arial" w:hAnsi="Arial" w:cs="Arial"/>
          <w:bCs/>
          <w:color w:val="auto"/>
          <w:kern w:val="10"/>
          <w:szCs w:val="21"/>
          <w:highlight w:val="none"/>
        </w:rPr>
        <w:t>往前追溯三年，期间未被列入失信被执行人名单、重大税收违法案件当事人名单、政府采购严重违法失信行为记录名单。</w:t>
      </w:r>
    </w:p>
    <w:p>
      <w:pPr>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本公司对上述声明的真实性负责。如有虚假，愿意承担相应责任，对此无任何异议。</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特此声明！</w:t>
      </w:r>
    </w:p>
    <w:p>
      <w:pPr>
        <w:adjustRightInd w:val="0"/>
        <w:snapToGrid w:val="0"/>
        <w:spacing w:line="300" w:lineRule="auto"/>
        <w:ind w:firstLine="420" w:firstLineChars="200"/>
        <w:rPr>
          <w:rFonts w:ascii="Arial" w:hAnsi="Arial" w:cs="Arial"/>
          <w:color w:val="auto"/>
          <w:spacing w:val="20"/>
          <w:szCs w:val="21"/>
          <w:highlight w:val="none"/>
          <w:u w:val="single"/>
        </w:rPr>
      </w:pPr>
      <w:r>
        <w:rPr>
          <w:rFonts w:ascii="Arial" w:hAnsi="Arial" w:cs="Arial"/>
          <w:color w:val="auto"/>
          <w:szCs w:val="21"/>
          <w:highlight w:val="none"/>
        </w:rPr>
        <w:t>投标人全称：（盖单位公章）</w:t>
      </w:r>
    </w:p>
    <w:p>
      <w:pPr>
        <w:snapToGrid w:val="0"/>
        <w:spacing w:line="300" w:lineRule="auto"/>
        <w:ind w:firstLine="420" w:firstLineChars="200"/>
        <w:jc w:val="left"/>
        <w:rPr>
          <w:rFonts w:ascii="Arial" w:hAnsi="Arial" w:cs="Arial"/>
          <w:color w:val="auto"/>
          <w:szCs w:val="21"/>
          <w:highlight w:val="none"/>
        </w:rPr>
      </w:pPr>
      <w:r>
        <w:rPr>
          <w:rFonts w:ascii="Arial" w:hAnsi="Arial" w:cs="Arial"/>
          <w:color w:val="auto"/>
          <w:highlight w:val="none"/>
        </w:rPr>
        <w:t>日期：2020年月日</w:t>
      </w:r>
    </w:p>
    <w:p>
      <w:pPr>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br w:type="page"/>
      </w:r>
    </w:p>
    <w:p>
      <w:pPr>
        <w:pStyle w:val="5"/>
        <w:ind w:firstLine="422"/>
        <w:rPr>
          <w:rFonts w:cs="Arial"/>
          <w:color w:val="auto"/>
          <w:highlight w:val="none"/>
        </w:rPr>
      </w:pPr>
      <w:r>
        <w:rPr>
          <w:rFonts w:cs="Arial"/>
          <w:color w:val="auto"/>
          <w:highlight w:val="none"/>
        </w:rPr>
        <w:t>【声明函5】与其他供应商无利害关系的声明函</w:t>
      </w:r>
    </w:p>
    <w:p>
      <w:pPr>
        <w:pStyle w:val="23"/>
        <w:adjustRightInd w:val="0"/>
        <w:snapToGrid w:val="0"/>
        <w:spacing w:line="300" w:lineRule="auto"/>
        <w:jc w:val="center"/>
        <w:rPr>
          <w:rFonts w:ascii="Arial" w:hAnsi="Arial" w:cs="Arial"/>
          <w:b/>
          <w:color w:val="auto"/>
          <w:kern w:val="0"/>
          <w:sz w:val="28"/>
          <w:szCs w:val="28"/>
          <w:highlight w:val="none"/>
        </w:rPr>
      </w:pPr>
      <w:r>
        <w:rPr>
          <w:rFonts w:ascii="Arial" w:hAnsi="Arial" w:cs="Arial"/>
          <w:b/>
          <w:color w:val="auto"/>
          <w:kern w:val="0"/>
          <w:sz w:val="28"/>
          <w:szCs w:val="28"/>
          <w:highlight w:val="none"/>
        </w:rPr>
        <w:t>与其他供应商无利害关系的声明函</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u w:val="single"/>
        </w:rPr>
        <w:t>杭州市拱墅区城市管理局</w:t>
      </w:r>
      <w:r>
        <w:rPr>
          <w:rFonts w:ascii="Arial" w:hAnsi="Arial" w:cs="Arial"/>
          <w:color w:val="auto"/>
          <w:highlight w:val="none"/>
        </w:rPr>
        <w:t>：</w:t>
      </w:r>
    </w:p>
    <w:p>
      <w:pPr>
        <w:snapToGrid w:val="0"/>
        <w:spacing w:line="300" w:lineRule="auto"/>
        <w:rPr>
          <w:rFonts w:ascii="Arial" w:hAnsi="Arial" w:cs="Arial"/>
          <w:color w:val="auto"/>
          <w:szCs w:val="21"/>
          <w:highlight w:val="none"/>
          <w:u w:val="single"/>
        </w:rPr>
      </w:pPr>
      <w:r>
        <w:rPr>
          <w:rFonts w:ascii="Arial" w:hAnsi="Arial" w:cs="Arial"/>
          <w:color w:val="auto"/>
          <w:highlight w:val="none"/>
          <w:u w:val="single"/>
        </w:rPr>
        <w:t>浙江省成套招标代理有限公司</w:t>
      </w:r>
      <w:r>
        <w:rPr>
          <w:rFonts w:ascii="Arial" w:hAnsi="Arial" w:cs="Arial"/>
          <w:color w:val="auto"/>
          <w:highlight w:val="none"/>
        </w:rPr>
        <w:t>：</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我方</w:t>
      </w:r>
      <w:r>
        <w:rPr>
          <w:rFonts w:ascii="Arial" w:hAnsi="Arial" w:cs="Arial"/>
          <w:color w:val="auto"/>
          <w:szCs w:val="21"/>
          <w:highlight w:val="none"/>
          <w:u w:val="single"/>
        </w:rPr>
        <w:t>（供应商）</w:t>
      </w:r>
      <w:r>
        <w:rPr>
          <w:rFonts w:ascii="Arial" w:hAnsi="Arial" w:cs="Arial"/>
          <w:color w:val="auto"/>
          <w:szCs w:val="21"/>
          <w:highlight w:val="none"/>
        </w:rPr>
        <w:t>参加</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w:t>
      </w:r>
      <w:r>
        <w:rPr>
          <w:rFonts w:ascii="Arial" w:hAnsi="Arial" w:cs="Arial"/>
          <w:color w:val="auto"/>
          <w:szCs w:val="21"/>
          <w:highlight w:val="none"/>
        </w:rPr>
        <w:t>政府采购活动，与其他供应商不存在法定代表人为同一人或</w:t>
      </w:r>
      <w:r>
        <w:rPr>
          <w:rFonts w:ascii="Arial" w:hAnsi="Arial" w:cs="Arial"/>
          <w:color w:val="auto"/>
          <w:kern w:val="0"/>
          <w:szCs w:val="21"/>
          <w:highlight w:val="none"/>
        </w:rPr>
        <w:t>存在直接控股、管理关系。</w:t>
      </w:r>
    </w:p>
    <w:p>
      <w:pPr>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本公司对上述声明的真实性负责。如有虚假，愿意承担相应责任，对此无任何异议。</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特此声明！</w:t>
      </w:r>
    </w:p>
    <w:p>
      <w:pPr>
        <w:adjustRightInd w:val="0"/>
        <w:snapToGrid w:val="0"/>
        <w:spacing w:line="300" w:lineRule="auto"/>
        <w:ind w:firstLine="420" w:firstLineChars="200"/>
        <w:rPr>
          <w:rFonts w:ascii="Arial" w:hAnsi="Arial" w:cs="Arial"/>
          <w:color w:val="auto"/>
          <w:spacing w:val="20"/>
          <w:szCs w:val="21"/>
          <w:highlight w:val="none"/>
          <w:u w:val="single"/>
        </w:rPr>
      </w:pPr>
      <w:r>
        <w:rPr>
          <w:rFonts w:ascii="Arial" w:hAnsi="Arial" w:cs="Arial"/>
          <w:color w:val="auto"/>
          <w:szCs w:val="21"/>
          <w:highlight w:val="none"/>
        </w:rPr>
        <w:t>投标人全称：（盖单位公章）</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日期：2020年月日</w:t>
      </w:r>
    </w:p>
    <w:p>
      <w:pPr>
        <w:snapToGrid w:val="0"/>
        <w:spacing w:line="300" w:lineRule="auto"/>
        <w:ind w:firstLine="420" w:firstLineChars="200"/>
        <w:jc w:val="left"/>
        <w:rPr>
          <w:rFonts w:ascii="Arial" w:hAnsi="Arial" w:cs="Arial"/>
          <w:color w:val="auto"/>
          <w:szCs w:val="21"/>
          <w:highlight w:val="none"/>
        </w:rPr>
      </w:pPr>
    </w:p>
    <w:p>
      <w:pPr>
        <w:snapToGrid w:val="0"/>
        <w:spacing w:line="300" w:lineRule="auto"/>
        <w:ind w:firstLine="420" w:firstLineChars="200"/>
        <w:rPr>
          <w:rFonts w:ascii="Arial" w:hAnsi="Arial" w:cs="Arial"/>
          <w:color w:val="auto"/>
          <w:highlight w:val="none"/>
        </w:rPr>
      </w:pPr>
    </w:p>
    <w:p>
      <w:pPr>
        <w:snapToGrid w:val="0"/>
        <w:spacing w:line="300" w:lineRule="auto"/>
        <w:ind w:firstLine="420" w:firstLineChars="200"/>
        <w:jc w:val="left"/>
        <w:rPr>
          <w:rFonts w:ascii="Arial" w:hAnsi="Arial" w:cs="Arial"/>
          <w:color w:val="auto"/>
          <w:szCs w:val="21"/>
          <w:highlight w:val="none"/>
        </w:rPr>
      </w:pPr>
    </w:p>
    <w:p>
      <w:pPr>
        <w:pStyle w:val="5"/>
        <w:ind w:firstLine="422"/>
        <w:rPr>
          <w:rFonts w:cs="Arial"/>
          <w:color w:val="auto"/>
          <w:highlight w:val="none"/>
        </w:rPr>
      </w:pPr>
      <w:r>
        <w:rPr>
          <w:rFonts w:cs="Arial"/>
          <w:color w:val="auto"/>
          <w:highlight w:val="none"/>
        </w:rPr>
        <w:t>【声明函6】非联合体的声明函</w:t>
      </w:r>
    </w:p>
    <w:p>
      <w:pPr>
        <w:snapToGrid w:val="0"/>
        <w:spacing w:line="300" w:lineRule="auto"/>
        <w:ind w:firstLine="420" w:firstLineChars="200"/>
        <w:jc w:val="left"/>
        <w:rPr>
          <w:rFonts w:ascii="Arial" w:hAnsi="Arial" w:cs="Arial"/>
          <w:color w:val="auto"/>
          <w:szCs w:val="21"/>
          <w:highlight w:val="none"/>
        </w:rPr>
      </w:pP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非联合体的声明函</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u w:val="single"/>
        </w:rPr>
        <w:t>杭州市拱墅区城市管理局</w:t>
      </w:r>
      <w:r>
        <w:rPr>
          <w:rFonts w:ascii="Arial" w:hAnsi="Arial" w:cs="Arial"/>
          <w:color w:val="auto"/>
          <w:highlight w:val="none"/>
        </w:rPr>
        <w:t>：</w:t>
      </w:r>
    </w:p>
    <w:p>
      <w:pPr>
        <w:snapToGrid w:val="0"/>
        <w:spacing w:line="300" w:lineRule="auto"/>
        <w:rPr>
          <w:rFonts w:ascii="Arial" w:hAnsi="Arial" w:cs="Arial"/>
          <w:color w:val="auto"/>
          <w:szCs w:val="21"/>
          <w:highlight w:val="none"/>
          <w:u w:val="single"/>
        </w:rPr>
      </w:pPr>
      <w:r>
        <w:rPr>
          <w:rFonts w:ascii="Arial" w:hAnsi="Arial" w:cs="Arial"/>
          <w:color w:val="auto"/>
          <w:highlight w:val="none"/>
          <w:u w:val="single"/>
        </w:rPr>
        <w:t>浙江省成套招标代理有限公司</w:t>
      </w:r>
      <w:r>
        <w:rPr>
          <w:rFonts w:ascii="Arial" w:hAnsi="Arial" w:cs="Arial"/>
          <w:color w:val="auto"/>
          <w:highlight w:val="none"/>
        </w:rPr>
        <w:t>：</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我方</w:t>
      </w:r>
      <w:r>
        <w:rPr>
          <w:rFonts w:ascii="Arial" w:hAnsi="Arial" w:cs="Arial"/>
          <w:color w:val="auto"/>
          <w:szCs w:val="21"/>
          <w:highlight w:val="none"/>
          <w:u w:val="single"/>
        </w:rPr>
        <w:t>（供应商）</w:t>
      </w:r>
      <w:r>
        <w:rPr>
          <w:rFonts w:ascii="Arial" w:hAnsi="Arial" w:cs="Arial"/>
          <w:color w:val="auto"/>
          <w:szCs w:val="21"/>
          <w:highlight w:val="none"/>
        </w:rPr>
        <w:t>独立参加</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w:t>
      </w:r>
      <w:r>
        <w:rPr>
          <w:rFonts w:ascii="Arial" w:hAnsi="Arial" w:cs="Arial"/>
          <w:color w:val="auto"/>
          <w:szCs w:val="21"/>
          <w:highlight w:val="none"/>
        </w:rPr>
        <w:t>政府采购活动，未与其他单位组成联合体。</w:t>
      </w:r>
    </w:p>
    <w:p>
      <w:pPr>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本公司对上述声明的真实性负责。如有虚假，将依法承担相应责任。</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特此声明！</w:t>
      </w:r>
    </w:p>
    <w:p>
      <w:pPr>
        <w:adjustRightInd w:val="0"/>
        <w:snapToGrid w:val="0"/>
        <w:spacing w:line="300" w:lineRule="auto"/>
        <w:ind w:firstLine="420" w:firstLineChars="200"/>
        <w:rPr>
          <w:rFonts w:ascii="Arial" w:hAnsi="Arial" w:cs="Arial"/>
          <w:color w:val="auto"/>
          <w:spacing w:val="20"/>
          <w:szCs w:val="21"/>
          <w:highlight w:val="none"/>
          <w:u w:val="single"/>
        </w:rPr>
      </w:pPr>
      <w:r>
        <w:rPr>
          <w:rFonts w:ascii="Arial" w:hAnsi="Arial" w:cs="Arial"/>
          <w:color w:val="auto"/>
          <w:szCs w:val="21"/>
          <w:highlight w:val="none"/>
        </w:rPr>
        <w:t>投标人全称：（盖单位公章）</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日期：2020年月日</w:t>
      </w:r>
    </w:p>
    <w:p>
      <w:pPr>
        <w:rPr>
          <w:rFonts w:ascii="Arial" w:hAnsi="Arial" w:cs="Arial"/>
          <w:color w:val="auto"/>
          <w:highlight w:val="none"/>
        </w:rPr>
      </w:pPr>
      <w:r>
        <w:rPr>
          <w:rFonts w:ascii="Arial" w:hAnsi="Arial" w:cs="Arial"/>
          <w:color w:val="auto"/>
          <w:highlight w:val="none"/>
        </w:rPr>
        <w:br w:type="page"/>
      </w:r>
    </w:p>
    <w:p>
      <w:pPr>
        <w:pStyle w:val="4"/>
        <w:spacing w:before="120"/>
        <w:ind w:firstLine="422"/>
        <w:rPr>
          <w:rFonts w:cs="Arial"/>
          <w:color w:val="auto"/>
          <w:highlight w:val="none"/>
          <w:lang w:val="en-US"/>
        </w:rPr>
      </w:pPr>
      <w:r>
        <w:rPr>
          <w:rFonts w:cs="Arial"/>
          <w:color w:val="auto"/>
          <w:highlight w:val="none"/>
          <w:lang w:val="en-US"/>
        </w:rPr>
        <w:t>第二章报价文件</w:t>
      </w:r>
    </w:p>
    <w:p>
      <w:pPr>
        <w:pStyle w:val="5"/>
        <w:ind w:firstLine="422"/>
        <w:rPr>
          <w:rFonts w:cs="Arial"/>
          <w:color w:val="auto"/>
          <w:highlight w:val="none"/>
        </w:rPr>
      </w:pPr>
      <w:bookmarkStart w:id="69" w:name="_Toc437953145"/>
      <w:bookmarkStart w:id="70" w:name="_Toc345575534"/>
      <w:r>
        <w:rPr>
          <w:rFonts w:cs="Arial"/>
          <w:color w:val="auto"/>
          <w:highlight w:val="none"/>
        </w:rPr>
        <w:t>报价文件封面</w:t>
      </w:r>
      <w:bookmarkEnd w:id="69"/>
      <w:bookmarkEnd w:id="70"/>
    </w:p>
    <w:p>
      <w:pPr>
        <w:tabs>
          <w:tab w:val="left" w:pos="2580"/>
          <w:tab w:val="left" w:pos="5940"/>
        </w:tabs>
        <w:autoSpaceDE w:val="0"/>
        <w:autoSpaceDN w:val="0"/>
        <w:adjustRightInd w:val="0"/>
        <w:snapToGrid w:val="0"/>
        <w:spacing w:line="300" w:lineRule="auto"/>
        <w:ind w:right="-20"/>
        <w:rPr>
          <w:rFonts w:ascii="Arial" w:hAnsi="Arial" w:cs="Arial"/>
          <w:color w:val="auto"/>
          <w:kern w:val="0"/>
          <w:sz w:val="28"/>
          <w:highlight w:val="none"/>
        </w:rPr>
      </w:pPr>
    </w:p>
    <w:p>
      <w:pPr>
        <w:tabs>
          <w:tab w:val="left" w:pos="2580"/>
          <w:tab w:val="left" w:pos="5940"/>
        </w:tabs>
        <w:autoSpaceDE w:val="0"/>
        <w:autoSpaceDN w:val="0"/>
        <w:adjustRightInd w:val="0"/>
        <w:snapToGrid w:val="0"/>
        <w:spacing w:line="300" w:lineRule="auto"/>
        <w:ind w:right="-20"/>
        <w:rPr>
          <w:rFonts w:ascii="Arial" w:hAnsi="Arial" w:cs="Arial"/>
          <w:color w:val="auto"/>
          <w:kern w:val="0"/>
          <w:sz w:val="28"/>
          <w:highlight w:val="none"/>
        </w:rPr>
      </w:pPr>
      <w:r>
        <w:rPr>
          <w:rFonts w:ascii="Arial" w:hAnsi="Arial" w:cs="Arial"/>
          <w:color w:val="auto"/>
          <w:kern w:val="0"/>
          <w:sz w:val="28"/>
          <w:highlight w:val="none"/>
        </w:rPr>
        <w:t>采购人：</w:t>
      </w:r>
      <w:r>
        <w:rPr>
          <w:rFonts w:ascii="Arial" w:hAnsi="Arial" w:cs="Arial"/>
          <w:color w:val="auto"/>
          <w:kern w:val="0"/>
          <w:sz w:val="28"/>
          <w:highlight w:val="none"/>
          <w:u w:val="single"/>
        </w:rPr>
        <w:t>杭州市拱墅区城市管理局</w:t>
      </w:r>
    </w:p>
    <w:p>
      <w:pPr>
        <w:tabs>
          <w:tab w:val="left" w:pos="2580"/>
          <w:tab w:val="left" w:pos="5940"/>
        </w:tabs>
        <w:autoSpaceDE w:val="0"/>
        <w:autoSpaceDN w:val="0"/>
        <w:adjustRightInd w:val="0"/>
        <w:snapToGrid w:val="0"/>
        <w:spacing w:line="300" w:lineRule="auto"/>
        <w:ind w:right="-20"/>
        <w:rPr>
          <w:rFonts w:ascii="Arial" w:hAnsi="Arial" w:cs="Arial"/>
          <w:color w:val="auto"/>
          <w:kern w:val="0"/>
          <w:sz w:val="28"/>
          <w:highlight w:val="none"/>
          <w:u w:val="single"/>
        </w:rPr>
      </w:pPr>
      <w:r>
        <w:rPr>
          <w:rFonts w:ascii="Arial" w:hAnsi="Arial" w:cs="Arial"/>
          <w:color w:val="auto"/>
          <w:kern w:val="0"/>
          <w:sz w:val="28"/>
          <w:highlight w:val="none"/>
        </w:rPr>
        <w:t>项目名称：</w:t>
      </w:r>
      <w:r>
        <w:rPr>
          <w:rFonts w:hint="eastAsia" w:ascii="Arial" w:hAnsi="Arial" w:cs="Arial"/>
          <w:color w:val="auto"/>
          <w:kern w:val="0"/>
          <w:sz w:val="28"/>
          <w:highlight w:val="none"/>
          <w:u w:val="single"/>
        </w:rPr>
        <w:t>2020年拱墅区“峰会”亮灯工程第二次运行维护项目</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auto"/>
          <w:kern w:val="0"/>
          <w:sz w:val="28"/>
          <w:highlight w:val="none"/>
          <w:u w:val="single"/>
          <w:lang w:eastAsia="zh-CN"/>
        </w:rPr>
      </w:pPr>
      <w:r>
        <w:rPr>
          <w:rFonts w:ascii="Arial" w:hAnsi="Arial" w:cs="Arial"/>
          <w:color w:val="auto"/>
          <w:kern w:val="0"/>
          <w:sz w:val="28"/>
          <w:highlight w:val="none"/>
        </w:rPr>
        <w:t>项目编号：</w:t>
      </w:r>
      <w:r>
        <w:rPr>
          <w:rFonts w:hint="eastAsia" w:ascii="Arial" w:hAnsi="Arial" w:cs="Arial"/>
          <w:color w:val="auto"/>
          <w:kern w:val="0"/>
          <w:sz w:val="28"/>
          <w:highlight w:val="none"/>
          <w:u w:val="single"/>
          <w:lang w:eastAsia="zh-CN"/>
        </w:rPr>
        <w:t>CTZB-2020040466</w:t>
      </w:r>
    </w:p>
    <w:p>
      <w:pPr>
        <w:tabs>
          <w:tab w:val="left" w:pos="2580"/>
          <w:tab w:val="left" w:pos="5940"/>
        </w:tabs>
        <w:autoSpaceDE w:val="0"/>
        <w:autoSpaceDN w:val="0"/>
        <w:adjustRightInd w:val="0"/>
        <w:snapToGrid w:val="0"/>
        <w:spacing w:line="300" w:lineRule="auto"/>
        <w:ind w:right="-20"/>
        <w:rPr>
          <w:rFonts w:ascii="Arial" w:hAnsi="Arial" w:cs="Arial"/>
          <w:color w:val="auto"/>
          <w:kern w:val="0"/>
          <w:sz w:val="28"/>
          <w:highlight w:val="none"/>
          <w:u w:val="single"/>
        </w:rPr>
      </w:pPr>
      <w:r>
        <w:rPr>
          <w:rFonts w:ascii="Arial" w:hAnsi="Arial" w:cs="Arial"/>
          <w:color w:val="auto"/>
          <w:kern w:val="0"/>
          <w:sz w:val="28"/>
          <w:highlight w:val="none"/>
        </w:rPr>
        <w:t>标</w:t>
      </w:r>
      <w:r>
        <w:rPr>
          <w:rFonts w:hint="eastAsia" w:ascii="Arial" w:hAnsi="Arial" w:cs="Arial"/>
          <w:color w:val="auto"/>
          <w:kern w:val="0"/>
          <w:sz w:val="28"/>
          <w:highlight w:val="none"/>
        </w:rPr>
        <w:t>段</w:t>
      </w:r>
      <w:r>
        <w:rPr>
          <w:rFonts w:ascii="Arial" w:hAnsi="Arial" w:cs="Arial"/>
          <w:color w:val="auto"/>
          <w:kern w:val="0"/>
          <w:sz w:val="28"/>
          <w:highlight w:val="none"/>
        </w:rPr>
        <w:t>名称：</w:t>
      </w:r>
      <w:r>
        <w:rPr>
          <w:rFonts w:ascii="Arial" w:hAnsi="Arial" w:cs="Arial"/>
          <w:color w:val="auto"/>
          <w:kern w:val="0"/>
          <w:sz w:val="28"/>
          <w:highlight w:val="none"/>
          <w:u w:val="single"/>
        </w:rPr>
        <w:t>20</w:t>
      </w:r>
      <w:r>
        <w:rPr>
          <w:rFonts w:hint="eastAsia" w:ascii="Arial" w:hAnsi="Arial" w:cs="Arial"/>
          <w:color w:val="auto"/>
          <w:kern w:val="0"/>
          <w:sz w:val="28"/>
          <w:highlight w:val="none"/>
          <w:u w:val="single"/>
        </w:rPr>
        <w:t>20</w:t>
      </w:r>
      <w:r>
        <w:rPr>
          <w:rFonts w:ascii="Arial" w:hAnsi="Arial" w:cs="Arial"/>
          <w:color w:val="auto"/>
          <w:kern w:val="0"/>
          <w:sz w:val="28"/>
          <w:highlight w:val="none"/>
          <w:u w:val="single"/>
        </w:rPr>
        <w:t>年拱墅区“峰会”亮灯工程第</w:t>
      </w:r>
      <w:r>
        <w:rPr>
          <w:rFonts w:hint="eastAsia" w:ascii="Arial" w:hAnsi="Arial" w:cs="Arial"/>
          <w:color w:val="auto"/>
          <w:kern w:val="0"/>
          <w:sz w:val="28"/>
          <w:highlight w:val="none"/>
          <w:u w:val="single"/>
        </w:rPr>
        <w:t>二</w:t>
      </w:r>
      <w:r>
        <w:rPr>
          <w:rFonts w:ascii="Arial" w:hAnsi="Arial" w:cs="Arial"/>
          <w:color w:val="auto"/>
          <w:kern w:val="0"/>
          <w:sz w:val="28"/>
          <w:highlight w:val="none"/>
          <w:u w:val="single"/>
        </w:rPr>
        <w:t>次运行维护项目</w:t>
      </w:r>
      <w:r>
        <w:rPr>
          <w:rFonts w:hint="eastAsia" w:ascii="Arial" w:hAnsi="Arial" w:cs="Arial"/>
          <w:color w:val="auto"/>
          <w:kern w:val="0"/>
          <w:sz w:val="28"/>
          <w:highlight w:val="none"/>
          <w:u w:val="single"/>
        </w:rPr>
        <w:t>标段一/</w:t>
      </w:r>
      <w:r>
        <w:rPr>
          <w:rFonts w:ascii="Arial" w:hAnsi="Arial" w:cs="Arial"/>
          <w:color w:val="auto"/>
          <w:kern w:val="0"/>
          <w:sz w:val="28"/>
          <w:highlight w:val="none"/>
          <w:u w:val="single"/>
        </w:rPr>
        <w:t>20</w:t>
      </w:r>
      <w:r>
        <w:rPr>
          <w:rFonts w:hint="eastAsia" w:ascii="Arial" w:hAnsi="Arial" w:cs="Arial"/>
          <w:color w:val="auto"/>
          <w:kern w:val="0"/>
          <w:sz w:val="28"/>
          <w:highlight w:val="none"/>
          <w:u w:val="single"/>
        </w:rPr>
        <w:t>20</w:t>
      </w:r>
      <w:r>
        <w:rPr>
          <w:rFonts w:ascii="Arial" w:hAnsi="Arial" w:cs="Arial"/>
          <w:color w:val="auto"/>
          <w:kern w:val="0"/>
          <w:sz w:val="28"/>
          <w:highlight w:val="none"/>
          <w:u w:val="single"/>
        </w:rPr>
        <w:t>年拱墅区“峰会”亮灯工程第</w:t>
      </w:r>
      <w:r>
        <w:rPr>
          <w:rFonts w:hint="eastAsia" w:ascii="Arial" w:hAnsi="Arial" w:cs="Arial"/>
          <w:color w:val="auto"/>
          <w:kern w:val="0"/>
          <w:sz w:val="28"/>
          <w:highlight w:val="none"/>
          <w:u w:val="single"/>
        </w:rPr>
        <w:t>二</w:t>
      </w:r>
      <w:r>
        <w:rPr>
          <w:rFonts w:ascii="Arial" w:hAnsi="Arial" w:cs="Arial"/>
          <w:color w:val="auto"/>
          <w:kern w:val="0"/>
          <w:sz w:val="28"/>
          <w:highlight w:val="none"/>
          <w:u w:val="single"/>
        </w:rPr>
        <w:t>次运行维护项目</w:t>
      </w:r>
      <w:r>
        <w:rPr>
          <w:rFonts w:hint="eastAsia" w:ascii="Arial" w:hAnsi="Arial" w:cs="Arial"/>
          <w:color w:val="auto"/>
          <w:kern w:val="0"/>
          <w:sz w:val="28"/>
          <w:highlight w:val="none"/>
          <w:u w:val="single"/>
        </w:rPr>
        <w:t>标段二（投标单位按所投标段填写，如投标单位2个标段都投，就按标段分开填写）</w:t>
      </w:r>
    </w:p>
    <w:p>
      <w:pPr>
        <w:tabs>
          <w:tab w:val="left" w:pos="2580"/>
          <w:tab w:val="left" w:pos="5940"/>
        </w:tabs>
        <w:autoSpaceDE w:val="0"/>
        <w:autoSpaceDN w:val="0"/>
        <w:adjustRightInd w:val="0"/>
        <w:snapToGrid w:val="0"/>
        <w:spacing w:line="300" w:lineRule="auto"/>
        <w:ind w:right="-20"/>
        <w:rPr>
          <w:rFonts w:ascii="Arial" w:hAnsi="Arial" w:cs="Arial"/>
          <w:color w:val="auto"/>
          <w:kern w:val="0"/>
          <w:sz w:val="28"/>
          <w:highlight w:val="none"/>
          <w:u w:val="single"/>
        </w:rPr>
      </w:pPr>
    </w:p>
    <w:p>
      <w:pPr>
        <w:autoSpaceDE w:val="0"/>
        <w:autoSpaceDN w:val="0"/>
        <w:adjustRightInd w:val="0"/>
        <w:snapToGrid w:val="0"/>
        <w:spacing w:line="300" w:lineRule="auto"/>
        <w:jc w:val="left"/>
        <w:rPr>
          <w:rFonts w:ascii="Arial" w:hAnsi="Arial" w:cs="Arial"/>
          <w:b/>
          <w:bCs/>
          <w:color w:val="auto"/>
          <w:kern w:val="0"/>
          <w:sz w:val="44"/>
          <w:szCs w:val="4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rFonts w:ascii="Arial" w:hAnsi="Arial" w:cs="Arial"/>
          <w:color w:val="auto"/>
          <w:kern w:val="0"/>
          <w:sz w:val="72"/>
          <w:highlight w:val="none"/>
        </w:rPr>
      </w:pPr>
      <w:r>
        <w:rPr>
          <w:rFonts w:ascii="Arial" w:hAnsi="Arial" w:cs="Arial"/>
          <w:color w:val="auto"/>
          <w:kern w:val="0"/>
          <w:sz w:val="72"/>
          <w:highlight w:val="none"/>
        </w:rPr>
        <w:t>投标文件</w:t>
      </w:r>
    </w:p>
    <w:p>
      <w:pPr>
        <w:tabs>
          <w:tab w:val="left" w:pos="1805"/>
          <w:tab w:val="left" w:pos="5360"/>
        </w:tabs>
        <w:autoSpaceDE w:val="0"/>
        <w:autoSpaceDN w:val="0"/>
        <w:adjustRightInd w:val="0"/>
        <w:snapToGrid w:val="0"/>
        <w:spacing w:line="300" w:lineRule="auto"/>
        <w:ind w:right="-20"/>
        <w:jc w:val="center"/>
        <w:rPr>
          <w:rFonts w:ascii="Arial" w:hAnsi="Arial" w:cs="Arial"/>
          <w:color w:val="auto"/>
          <w:kern w:val="0"/>
          <w:sz w:val="72"/>
          <w:highlight w:val="none"/>
        </w:rPr>
      </w:pPr>
      <w:r>
        <w:rPr>
          <w:rFonts w:ascii="Arial" w:hAnsi="Arial" w:cs="Arial"/>
          <w:color w:val="auto"/>
          <w:kern w:val="0"/>
          <w:sz w:val="72"/>
          <w:highlight w:val="none"/>
        </w:rPr>
        <w:t>（报价文件）</w:t>
      </w:r>
    </w:p>
    <w:p>
      <w:pPr>
        <w:autoSpaceDE w:val="0"/>
        <w:autoSpaceDN w:val="0"/>
        <w:adjustRightInd w:val="0"/>
        <w:snapToGrid w:val="0"/>
        <w:spacing w:line="300" w:lineRule="auto"/>
        <w:jc w:val="left"/>
        <w:rPr>
          <w:rFonts w:ascii="Arial" w:hAnsi="Arial" w:cs="Arial"/>
          <w:color w:val="auto"/>
          <w:kern w:val="0"/>
          <w:sz w:val="16"/>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rFonts w:ascii="Arial" w:hAnsi="Arial" w:cs="Arial"/>
          <w:color w:val="auto"/>
          <w:kern w:val="0"/>
          <w:sz w:val="28"/>
          <w:highlight w:val="none"/>
        </w:rPr>
      </w:pPr>
      <w:r>
        <w:rPr>
          <w:rFonts w:ascii="Arial" w:hAnsi="Arial" w:cs="Arial"/>
          <w:color w:val="auto"/>
          <w:kern w:val="0"/>
          <w:sz w:val="28"/>
          <w:highlight w:val="none"/>
        </w:rPr>
        <w:t>投标人：（盖单位公章）</w:t>
      </w:r>
    </w:p>
    <w:p>
      <w:pPr>
        <w:tabs>
          <w:tab w:val="left" w:pos="6080"/>
          <w:tab w:val="left" w:pos="6640"/>
        </w:tabs>
        <w:autoSpaceDE w:val="0"/>
        <w:autoSpaceDN w:val="0"/>
        <w:adjustRightInd w:val="0"/>
        <w:snapToGrid w:val="0"/>
        <w:spacing w:line="300" w:lineRule="auto"/>
        <w:ind w:left="774" w:right="403"/>
        <w:jc w:val="left"/>
        <w:rPr>
          <w:rFonts w:ascii="Arial" w:hAnsi="Arial" w:cs="Arial"/>
          <w:color w:val="auto"/>
          <w:kern w:val="0"/>
          <w:sz w:val="28"/>
          <w:highlight w:val="none"/>
        </w:rPr>
      </w:pPr>
    </w:p>
    <w:p>
      <w:pPr>
        <w:tabs>
          <w:tab w:val="left" w:pos="3280"/>
          <w:tab w:val="left" w:pos="4680"/>
          <w:tab w:val="left" w:pos="6080"/>
        </w:tabs>
        <w:autoSpaceDE w:val="0"/>
        <w:autoSpaceDN w:val="0"/>
        <w:adjustRightInd w:val="0"/>
        <w:snapToGrid w:val="0"/>
        <w:spacing w:line="300" w:lineRule="auto"/>
        <w:ind w:left="2173" w:leftChars="1035" w:right="-20" w:firstLine="546" w:firstLineChars="195"/>
        <w:jc w:val="left"/>
        <w:rPr>
          <w:rFonts w:ascii="Arial" w:hAnsi="Arial" w:cs="Arial"/>
          <w:color w:val="auto"/>
          <w:kern w:val="0"/>
          <w:sz w:val="28"/>
          <w:highlight w:val="none"/>
        </w:rPr>
      </w:pPr>
      <w:r>
        <w:rPr>
          <w:rFonts w:ascii="Arial" w:hAnsi="Arial" w:cs="Arial"/>
          <w:color w:val="auto"/>
          <w:kern w:val="0"/>
          <w:sz w:val="28"/>
          <w:highlight w:val="none"/>
        </w:rPr>
        <w:t>年月日</w:t>
      </w:r>
    </w:p>
    <w:p>
      <w:pPr>
        <w:snapToGrid w:val="0"/>
        <w:spacing w:line="300" w:lineRule="auto"/>
        <w:jc w:val="center"/>
        <w:rPr>
          <w:rFonts w:ascii="Arial" w:hAnsi="Arial" w:cs="Arial"/>
          <w:color w:val="auto"/>
          <w:highlight w:val="none"/>
        </w:rPr>
      </w:pPr>
    </w:p>
    <w:p>
      <w:pPr>
        <w:pStyle w:val="5"/>
        <w:ind w:firstLine="422"/>
        <w:rPr>
          <w:rFonts w:cs="Arial"/>
          <w:color w:val="auto"/>
          <w:highlight w:val="none"/>
        </w:rPr>
      </w:pPr>
      <w:r>
        <w:rPr>
          <w:rFonts w:cs="Arial"/>
          <w:color w:val="auto"/>
          <w:highlight w:val="none"/>
        </w:rPr>
        <w:br w:type="page"/>
      </w:r>
      <w:bookmarkStart w:id="71" w:name="_Toc336683578"/>
      <w:bookmarkStart w:id="72" w:name="_Toc345575538"/>
      <w:r>
        <w:rPr>
          <w:rFonts w:cs="Arial"/>
          <w:color w:val="auto"/>
          <w:highlight w:val="none"/>
        </w:rPr>
        <w:t>一、投标函格式</w:t>
      </w:r>
      <w:bookmarkEnd w:id="71"/>
      <w:bookmarkEnd w:id="72"/>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投标函</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u w:val="single"/>
        </w:rPr>
        <w:t>杭州市拱墅区城市管理局</w:t>
      </w:r>
      <w:r>
        <w:rPr>
          <w:rFonts w:ascii="Arial" w:hAnsi="Arial" w:cs="Arial"/>
          <w:color w:val="auto"/>
          <w:highlight w:val="none"/>
        </w:rPr>
        <w:t>：</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u w:val="single"/>
        </w:rPr>
        <w:t>浙江省成套招标代理有限公司</w:t>
      </w:r>
      <w:r>
        <w:rPr>
          <w:rFonts w:ascii="Arial" w:hAnsi="Arial" w:cs="Arial"/>
          <w:color w:val="auto"/>
          <w:highlight w:val="none"/>
        </w:rPr>
        <w:t>：</w:t>
      </w:r>
    </w:p>
    <w:p>
      <w:pPr>
        <w:pStyle w:val="23"/>
        <w:adjustRightInd w:val="0"/>
        <w:snapToGrid w:val="0"/>
        <w:spacing w:line="300" w:lineRule="auto"/>
        <w:ind w:firstLine="411" w:firstLineChars="196"/>
        <w:rPr>
          <w:rFonts w:ascii="Arial" w:hAnsi="Arial" w:cs="Arial"/>
          <w:color w:val="auto"/>
          <w:highlight w:val="none"/>
        </w:rPr>
      </w:pPr>
      <w:r>
        <w:rPr>
          <w:rFonts w:ascii="Arial" w:hAnsi="Arial" w:cs="Arial"/>
          <w:color w:val="auto"/>
          <w:highlight w:val="none"/>
        </w:rPr>
        <w:t>（投标人全称）参加你方组织的</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（项目编号）招标的有关活动，并对</w:t>
      </w:r>
      <w:r>
        <w:rPr>
          <w:rFonts w:hint="eastAsia" w:ascii="Arial" w:hAnsi="Arial" w:cs="Arial"/>
          <w:bCs/>
          <w:snapToGrid w:val="0"/>
          <w:color w:val="auto"/>
          <w:highlight w:val="none"/>
          <w:u w:val="single"/>
        </w:rPr>
        <w:t xml:space="preserve">                                </w:t>
      </w:r>
      <w:r>
        <w:rPr>
          <w:rFonts w:ascii="Arial" w:hAnsi="Arial" w:cs="Arial"/>
          <w:color w:val="auto"/>
          <w:highlight w:val="none"/>
        </w:rPr>
        <w:t>（标段名称）进行投标。为此我方：</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1、承诺在投标人</w:t>
      </w:r>
      <w:r>
        <w:rPr>
          <w:rFonts w:ascii="Arial" w:hAnsi="Arial" w:cs="Arial"/>
          <w:color w:val="auto"/>
          <w:kern w:val="44"/>
          <w:szCs w:val="21"/>
          <w:highlight w:val="none"/>
        </w:rPr>
        <w:t>须知</w:t>
      </w:r>
      <w:r>
        <w:rPr>
          <w:rFonts w:ascii="Arial" w:hAnsi="Arial" w:cs="Arial"/>
          <w:color w:val="auto"/>
          <w:szCs w:val="21"/>
          <w:highlight w:val="none"/>
        </w:rPr>
        <w:t>规定的投标截止日起遵守本投标文件中的承诺，且在投标有效期满之前均具有约束力。本投标文件的有效期为</w:t>
      </w:r>
      <w:r>
        <w:rPr>
          <w:rFonts w:ascii="Arial" w:hAnsi="Arial" w:cs="Arial"/>
          <w:color w:val="auto"/>
          <w:highlight w:val="none"/>
        </w:rPr>
        <w:t>自投标截止时间起120天。</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2、承诺已经具备招标文件规定的投标人资格条件。</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3、已详细审核全部招标文件，包括招标文件补充（如果有）、参考资料及有关附件，确认无误。</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4、提供</w:t>
      </w:r>
      <w:r>
        <w:rPr>
          <w:rFonts w:ascii="Arial" w:hAnsi="Arial" w:cs="Arial"/>
          <w:color w:val="auto"/>
          <w:kern w:val="44"/>
          <w:szCs w:val="21"/>
          <w:highlight w:val="none"/>
        </w:rPr>
        <w:t>投标人须知</w:t>
      </w:r>
      <w:r>
        <w:rPr>
          <w:rFonts w:ascii="Arial" w:hAnsi="Arial" w:cs="Arial"/>
          <w:color w:val="auto"/>
          <w:szCs w:val="21"/>
          <w:highlight w:val="none"/>
        </w:rPr>
        <w:t>规定的全部投标文件，包括投标文件</w:t>
      </w:r>
      <w:r>
        <w:rPr>
          <w:rFonts w:ascii="Arial" w:hAnsi="Arial" w:cs="Arial"/>
          <w:color w:val="auto"/>
          <w:szCs w:val="21"/>
          <w:highlight w:val="none"/>
          <w:u w:val="single"/>
        </w:rPr>
        <w:t>正本份，副本份，电子文档份</w:t>
      </w:r>
      <w:r>
        <w:rPr>
          <w:rFonts w:ascii="Arial" w:hAnsi="Arial" w:cs="Arial"/>
          <w:color w:val="auto"/>
          <w:szCs w:val="21"/>
          <w:highlight w:val="none"/>
        </w:rPr>
        <w:t>。</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szCs w:val="21"/>
          <w:highlight w:val="none"/>
        </w:rPr>
        <w:t>5、投标</w:t>
      </w:r>
      <w:r>
        <w:rPr>
          <w:rFonts w:ascii="Arial" w:hAnsi="Arial" w:cs="Arial"/>
          <w:color w:val="auto"/>
          <w:highlight w:val="none"/>
        </w:rPr>
        <w:t>报价详见《开标一览表》。</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6、保证遵守招标文件中的其他有关规定。</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7、完全理解不一定接受最低价中标。</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8、我公司自愿参加本项目的投标，并保证投标文件中所列举的投标报价文件及相关资料和公司基本情况资料是真实的、合法的。愿意向你方提供任何与该项目投标有关的数据、情况和技术资料。若你方需要，愿意提供我方做出的一切承诺的证明材料。</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9、保证忠实地执行双方所签订的合同，并承担合同规定的责任和义务。</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10、我方承诺不存在以下情况：</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a）提供虚假材料谋取中标、成交的；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b）采取不正当手段诋毁、排挤其他投标人的；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c）与采购人、其它投标人或者采购代理机构恶意串通的；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d）向采购人、采购代理机构行贿或者提供其他不正当利益的；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e）在招标采购过程中与采购人进行协商谈判的；</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f）拒绝有关部门监督检查或提供虚假情况的。</w:t>
      </w:r>
    </w:p>
    <w:p>
      <w:pPr>
        <w:adjustRightInd w:val="0"/>
        <w:snapToGrid w:val="0"/>
        <w:spacing w:line="300" w:lineRule="auto"/>
        <w:ind w:firstLine="420" w:firstLineChars="200"/>
        <w:rPr>
          <w:rFonts w:ascii="Arial" w:hAnsi="Arial" w:cs="Arial"/>
          <w:color w:val="auto"/>
          <w:kern w:val="0"/>
          <w:szCs w:val="21"/>
          <w:highlight w:val="none"/>
        </w:rPr>
      </w:pPr>
      <w:r>
        <w:rPr>
          <w:rFonts w:ascii="Arial" w:hAnsi="Arial" w:cs="Arial"/>
          <w:color w:val="auto"/>
          <w:szCs w:val="21"/>
          <w:highlight w:val="none"/>
        </w:rPr>
        <w:t>11、承诺，投标有效期内我公司如果撤销投标文件的，将向采购人交纳项目预算金额的2%。</w:t>
      </w:r>
    </w:p>
    <w:p>
      <w:pPr>
        <w:adjustRightInd w:val="0"/>
        <w:snapToGrid w:val="0"/>
        <w:spacing w:line="300" w:lineRule="auto"/>
        <w:ind w:firstLine="420" w:firstLineChars="200"/>
        <w:rPr>
          <w:rFonts w:ascii="Arial" w:hAnsi="Arial" w:cs="Arial"/>
          <w:color w:val="auto"/>
          <w:szCs w:val="21"/>
          <w:highlight w:val="none"/>
        </w:rPr>
      </w:pPr>
    </w:p>
    <w:p>
      <w:pPr>
        <w:pStyle w:val="23"/>
        <w:adjustRightInd w:val="0"/>
        <w:snapToGrid w:val="0"/>
        <w:spacing w:line="300" w:lineRule="auto"/>
        <w:ind w:firstLine="480"/>
        <w:rPr>
          <w:rFonts w:ascii="Arial" w:hAnsi="Arial" w:cs="Arial"/>
          <w:color w:val="auto"/>
          <w:highlight w:val="none"/>
          <w:u w:val="single"/>
        </w:rPr>
      </w:pPr>
      <w:r>
        <w:rPr>
          <w:rFonts w:ascii="Arial" w:hAnsi="Arial" w:cs="Arial"/>
          <w:color w:val="auto"/>
          <w:highlight w:val="none"/>
        </w:rPr>
        <w:t>投标人全称（盖单位公章）：</w:t>
      </w:r>
    </w:p>
    <w:p>
      <w:pPr>
        <w:pStyle w:val="23"/>
        <w:adjustRightInd w:val="0"/>
        <w:snapToGrid w:val="0"/>
        <w:spacing w:line="300" w:lineRule="auto"/>
        <w:ind w:firstLine="480"/>
        <w:rPr>
          <w:rFonts w:ascii="Arial" w:hAnsi="Arial" w:cs="Arial"/>
          <w:color w:val="auto"/>
          <w:highlight w:val="none"/>
          <w:u w:val="single"/>
        </w:rPr>
      </w:pPr>
      <w:r>
        <w:rPr>
          <w:rFonts w:ascii="Arial" w:hAnsi="Arial" w:cs="Arial"/>
          <w:color w:val="auto"/>
          <w:highlight w:val="none"/>
        </w:rPr>
        <w:t>日期：</w:t>
      </w:r>
      <w:r>
        <w:rPr>
          <w:rFonts w:ascii="Arial" w:hAnsi="Arial" w:cs="Arial"/>
          <w:color w:val="auto"/>
          <w:kern w:val="0"/>
          <w:szCs w:val="21"/>
          <w:highlight w:val="none"/>
        </w:rPr>
        <w:t>年月日</w:t>
      </w:r>
    </w:p>
    <w:p>
      <w:pPr>
        <w:pStyle w:val="23"/>
        <w:adjustRightInd w:val="0"/>
        <w:snapToGrid w:val="0"/>
        <w:spacing w:line="300" w:lineRule="auto"/>
        <w:ind w:firstLine="480"/>
        <w:rPr>
          <w:rFonts w:ascii="Arial" w:hAnsi="Arial" w:cs="Arial"/>
          <w:color w:val="auto"/>
          <w:highlight w:val="none"/>
          <w:u w:val="single"/>
        </w:rPr>
      </w:pPr>
      <w:r>
        <w:rPr>
          <w:rFonts w:ascii="Arial" w:hAnsi="Arial" w:cs="Arial"/>
          <w:color w:val="auto"/>
          <w:highlight w:val="none"/>
        </w:rPr>
        <w:t>单位地址：邮编：电话：传真：</w:t>
      </w:r>
    </w:p>
    <w:p>
      <w:pPr>
        <w:pStyle w:val="23"/>
        <w:adjustRightInd w:val="0"/>
        <w:snapToGrid w:val="0"/>
        <w:spacing w:line="300" w:lineRule="auto"/>
        <w:ind w:firstLine="480"/>
        <w:rPr>
          <w:rFonts w:ascii="Arial" w:hAnsi="Arial" w:cs="Arial"/>
          <w:color w:val="auto"/>
          <w:highlight w:val="none"/>
          <w:u w:val="single"/>
        </w:rPr>
      </w:pPr>
    </w:p>
    <w:p>
      <w:pPr>
        <w:pStyle w:val="23"/>
        <w:adjustRightInd w:val="0"/>
        <w:snapToGrid w:val="0"/>
        <w:spacing w:line="300" w:lineRule="auto"/>
        <w:ind w:firstLine="480"/>
        <w:rPr>
          <w:rFonts w:ascii="Arial" w:hAnsi="Arial" w:cs="Arial"/>
          <w:color w:val="auto"/>
          <w:highlight w:val="none"/>
        </w:rPr>
      </w:pPr>
      <w:r>
        <w:rPr>
          <w:rFonts w:ascii="Arial" w:hAnsi="Arial" w:cs="Arial"/>
          <w:color w:val="auto"/>
          <w:highlight w:val="none"/>
        </w:rPr>
        <w:br w:type="page"/>
      </w:r>
    </w:p>
    <w:p>
      <w:pPr>
        <w:pStyle w:val="5"/>
        <w:ind w:firstLine="422"/>
        <w:rPr>
          <w:rFonts w:cs="Arial"/>
          <w:color w:val="auto"/>
          <w:highlight w:val="none"/>
        </w:rPr>
      </w:pPr>
      <w:bookmarkStart w:id="73" w:name="_Toc336683579"/>
      <w:bookmarkStart w:id="74" w:name="_Toc345575539"/>
      <w:r>
        <w:rPr>
          <w:rFonts w:cs="Arial"/>
          <w:color w:val="auto"/>
          <w:highlight w:val="none"/>
        </w:rPr>
        <w:t>二、开标一览表格式</w:t>
      </w:r>
      <w:bookmarkEnd w:id="73"/>
      <w:bookmarkEnd w:id="74"/>
      <w:r>
        <w:rPr>
          <w:rFonts w:hint="eastAsia" w:cs="Arial"/>
          <w:color w:val="auto"/>
          <w:highlight w:val="none"/>
          <w:u w:val="single"/>
        </w:rPr>
        <w:t>（投标单位按所投标段填写，如投标单位2个标段都投，就按标段分开填写）</w:t>
      </w: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开标一览表</w:t>
      </w:r>
      <w:r>
        <w:rPr>
          <w:rFonts w:hint="eastAsia" w:ascii="Arial" w:hAnsi="Arial" w:cs="Arial"/>
          <w:b/>
          <w:bCs/>
          <w:color w:val="auto"/>
          <w:sz w:val="28"/>
          <w:szCs w:val="28"/>
          <w:highlight w:val="none"/>
        </w:rPr>
        <w:t>（标段一）</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rPr>
        <w:t>项目名称：</w:t>
      </w:r>
      <w:r>
        <w:rPr>
          <w:rFonts w:hint="eastAsia" w:ascii="Arial" w:hAnsi="Arial" w:cs="Arial"/>
          <w:color w:val="auto"/>
          <w:highlight w:val="none"/>
        </w:rPr>
        <w:t>2020年拱墅区“峰会”亮灯工程第二次运行维护项目</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rPr>
        <w:t>项目编号：</w:t>
      </w:r>
      <w:r>
        <w:rPr>
          <w:rFonts w:hint="eastAsia" w:ascii="Arial" w:hAnsi="Arial" w:cs="Arial"/>
          <w:color w:val="auto"/>
          <w:highlight w:val="none"/>
          <w:lang w:eastAsia="zh-CN"/>
        </w:rPr>
        <w:t>CTZB-2020040466</w:t>
      </w:r>
      <w:r>
        <w:rPr>
          <w:rFonts w:ascii="Arial" w:hAnsi="Arial" w:cs="Arial"/>
          <w:color w:val="auto"/>
          <w:highlight w:val="none"/>
        </w:rPr>
        <w:t>（价格单位：元人民币）</w:t>
      </w:r>
    </w:p>
    <w:tbl>
      <w:tblPr>
        <w:tblStyle w:val="4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21"/>
        <w:gridCol w:w="712"/>
        <w:gridCol w:w="683"/>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序号</w:t>
            </w:r>
          </w:p>
        </w:tc>
        <w:tc>
          <w:tcPr>
            <w:tcW w:w="3321"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标段名称</w:t>
            </w:r>
          </w:p>
        </w:tc>
        <w:tc>
          <w:tcPr>
            <w:tcW w:w="712"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数量</w:t>
            </w:r>
          </w:p>
        </w:tc>
        <w:tc>
          <w:tcPr>
            <w:tcW w:w="683"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单位</w:t>
            </w:r>
          </w:p>
        </w:tc>
        <w:tc>
          <w:tcPr>
            <w:tcW w:w="3364"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17"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1</w:t>
            </w:r>
          </w:p>
        </w:tc>
        <w:tc>
          <w:tcPr>
            <w:tcW w:w="3321" w:type="dxa"/>
            <w:vAlign w:val="center"/>
          </w:tcPr>
          <w:p>
            <w:pPr>
              <w:widowControl/>
              <w:snapToGrid w:val="0"/>
              <w:spacing w:line="300" w:lineRule="auto"/>
              <w:jc w:val="center"/>
              <w:rPr>
                <w:rFonts w:ascii="Arial" w:hAnsi="Arial" w:cs="Arial"/>
                <w:color w:val="auto"/>
                <w:kern w:val="0"/>
                <w:szCs w:val="21"/>
                <w:highlight w:val="none"/>
              </w:rPr>
            </w:pPr>
            <w:r>
              <w:rPr>
                <w:rFonts w:ascii="Arial" w:hAnsi="Arial" w:cs="Arial"/>
                <w:color w:val="auto"/>
                <w:highlight w:val="none"/>
              </w:rPr>
              <w:t>20</w:t>
            </w:r>
            <w:r>
              <w:rPr>
                <w:rFonts w:hint="eastAsia" w:ascii="Arial" w:hAnsi="Arial" w:cs="Arial"/>
                <w:color w:val="auto"/>
                <w:highlight w:val="none"/>
              </w:rPr>
              <w:t>20</w:t>
            </w:r>
            <w:r>
              <w:rPr>
                <w:rFonts w:ascii="Arial" w:hAnsi="Arial" w:cs="Arial"/>
                <w:color w:val="auto"/>
                <w:highlight w:val="none"/>
              </w:rPr>
              <w:t>年拱墅区“峰会”亮灯工程第</w:t>
            </w:r>
            <w:r>
              <w:rPr>
                <w:rFonts w:hint="eastAsia" w:ascii="Arial" w:hAnsi="Arial" w:cs="Arial"/>
                <w:color w:val="auto"/>
                <w:highlight w:val="none"/>
              </w:rPr>
              <w:t>二</w:t>
            </w:r>
            <w:r>
              <w:rPr>
                <w:rFonts w:ascii="Arial" w:hAnsi="Arial" w:cs="Arial"/>
                <w:color w:val="auto"/>
                <w:highlight w:val="none"/>
              </w:rPr>
              <w:t>次运行维护项目</w:t>
            </w:r>
            <w:r>
              <w:rPr>
                <w:rFonts w:hint="eastAsia" w:ascii="Arial" w:hAnsi="Arial" w:cs="Arial"/>
                <w:color w:val="auto"/>
                <w:highlight w:val="none"/>
              </w:rPr>
              <w:t>（标段一）</w:t>
            </w:r>
          </w:p>
        </w:tc>
        <w:tc>
          <w:tcPr>
            <w:tcW w:w="712" w:type="dxa"/>
            <w:vAlign w:val="center"/>
          </w:tcPr>
          <w:p>
            <w:pPr>
              <w:widowControl/>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1</w:t>
            </w:r>
          </w:p>
        </w:tc>
        <w:tc>
          <w:tcPr>
            <w:tcW w:w="683" w:type="dxa"/>
            <w:vAlign w:val="center"/>
          </w:tcPr>
          <w:p>
            <w:pPr>
              <w:widowControl/>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项</w:t>
            </w:r>
          </w:p>
        </w:tc>
        <w:tc>
          <w:tcPr>
            <w:tcW w:w="3364"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响应招标文件要求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2</w:t>
            </w:r>
          </w:p>
        </w:tc>
        <w:tc>
          <w:tcPr>
            <w:tcW w:w="4033" w:type="dxa"/>
            <w:gridSpan w:val="2"/>
            <w:vAlign w:val="center"/>
          </w:tcPr>
          <w:p>
            <w:pPr>
              <w:spacing w:line="300" w:lineRule="auto"/>
              <w:rPr>
                <w:rFonts w:ascii="Arial" w:hAnsi="Arial" w:cs="Arial"/>
                <w:color w:val="auto"/>
                <w:highlight w:val="none"/>
              </w:rPr>
            </w:pPr>
            <w:r>
              <w:rPr>
                <w:rFonts w:ascii="Arial" w:hAnsi="Arial" w:cs="Arial"/>
                <w:color w:val="auto"/>
                <w:highlight w:val="none"/>
              </w:rPr>
              <w:t>报价（</w:t>
            </w:r>
            <w:r>
              <w:rPr>
                <w:rFonts w:hint="eastAsia" w:ascii="Arial" w:hAnsi="Arial" w:cs="Arial"/>
                <w:color w:val="auto"/>
                <w:highlight w:val="none"/>
              </w:rPr>
              <w:t>一年</w:t>
            </w:r>
            <w:r>
              <w:rPr>
                <w:rFonts w:ascii="Arial" w:hAnsi="Arial" w:cs="Arial"/>
                <w:color w:val="auto"/>
                <w:highlight w:val="none"/>
              </w:rPr>
              <w:t>）</w:t>
            </w:r>
          </w:p>
        </w:tc>
        <w:tc>
          <w:tcPr>
            <w:tcW w:w="4047" w:type="dxa"/>
            <w:gridSpan w:val="2"/>
            <w:vAlign w:val="center"/>
          </w:tcPr>
          <w:p>
            <w:pPr>
              <w:snapToGrid w:val="0"/>
              <w:spacing w:line="300" w:lineRule="auto"/>
              <w:rPr>
                <w:rFonts w:ascii="Arial" w:hAnsi="Arial" w:cs="Arial"/>
                <w:color w:val="auto"/>
                <w:highlight w:val="none"/>
              </w:rPr>
            </w:pPr>
            <w:r>
              <w:rPr>
                <w:rFonts w:ascii="Arial" w:hAnsi="Arial" w:cs="Arial"/>
                <w:color w:val="auto"/>
                <w:highlight w:val="none"/>
              </w:rPr>
              <w:t>小写：￥</w:t>
            </w:r>
          </w:p>
          <w:p>
            <w:pPr>
              <w:snapToGrid w:val="0"/>
              <w:spacing w:line="300" w:lineRule="auto"/>
              <w:rPr>
                <w:rFonts w:ascii="Arial" w:hAnsi="Arial" w:cs="Arial"/>
                <w:b/>
                <w:color w:val="auto"/>
                <w:highlight w:val="none"/>
              </w:rPr>
            </w:pPr>
            <w:r>
              <w:rPr>
                <w:rFonts w:ascii="Arial" w:hAnsi="Arial" w:cs="Arial"/>
                <w:color w:val="auto"/>
                <w:highlight w:val="none"/>
              </w:rPr>
              <w:t>大写：人民币</w:t>
            </w:r>
          </w:p>
        </w:tc>
      </w:tr>
    </w:tbl>
    <w:p>
      <w:pPr>
        <w:adjustRightInd w:val="0"/>
        <w:snapToGrid w:val="0"/>
        <w:spacing w:line="300" w:lineRule="auto"/>
        <w:ind w:firstLine="420" w:firstLineChars="200"/>
        <w:rPr>
          <w:rFonts w:ascii="Arial" w:hAnsi="Arial" w:cs="Arial"/>
          <w:color w:val="auto"/>
          <w:highlight w:val="none"/>
        </w:rPr>
      </w:pPr>
    </w:p>
    <w:p>
      <w:pPr>
        <w:pStyle w:val="19"/>
        <w:snapToGrid/>
        <w:ind w:firstLine="420"/>
        <w:rPr>
          <w:rFonts w:ascii="Arial" w:hAnsi="Arial" w:cs="Arial"/>
          <w:color w:val="auto"/>
          <w:szCs w:val="21"/>
          <w:highlight w:val="none"/>
        </w:rPr>
      </w:pPr>
      <w:r>
        <w:rPr>
          <w:rFonts w:ascii="Arial" w:hAnsi="Arial" w:cs="Arial"/>
          <w:color w:val="auto"/>
          <w:szCs w:val="21"/>
          <w:highlight w:val="none"/>
        </w:rPr>
        <w:t>投标人全称（盖单位公章）：</w:t>
      </w:r>
    </w:p>
    <w:p>
      <w:pPr>
        <w:pStyle w:val="19"/>
        <w:ind w:firstLine="420"/>
        <w:rPr>
          <w:rFonts w:ascii="Arial" w:hAnsi="Arial" w:cs="Arial"/>
          <w:color w:val="auto"/>
          <w:highlight w:val="none"/>
        </w:rPr>
      </w:pPr>
      <w:r>
        <w:rPr>
          <w:rFonts w:ascii="Arial" w:hAnsi="Arial" w:cs="Arial"/>
          <w:color w:val="auto"/>
          <w:highlight w:val="none"/>
        </w:rPr>
        <w:t>日期：年月日</w:t>
      </w:r>
    </w:p>
    <w:p>
      <w:pPr>
        <w:adjustRightInd w:val="0"/>
        <w:snapToGrid w:val="0"/>
        <w:spacing w:line="300" w:lineRule="auto"/>
        <w:ind w:firstLine="420" w:firstLineChars="200"/>
        <w:rPr>
          <w:rFonts w:ascii="Arial" w:hAnsi="Arial" w:cs="Arial"/>
          <w:color w:val="auto"/>
          <w:highlight w:val="none"/>
        </w:rPr>
      </w:pP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报价说明：</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1、具体价格明细详见《投标价格组成明细表》。</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2、大写金额与小写金额不一致时，以大写金额为准。</w:t>
      </w:r>
    </w:p>
    <w:p>
      <w:pPr>
        <w:pStyle w:val="19"/>
        <w:ind w:firstLine="420"/>
        <w:rPr>
          <w:rFonts w:ascii="Arial" w:hAnsi="Arial" w:cs="Arial"/>
          <w:color w:val="auto"/>
          <w:highlight w:val="none"/>
        </w:rPr>
      </w:pPr>
    </w:p>
    <w:p>
      <w:pPr>
        <w:pStyle w:val="14"/>
        <w:rPr>
          <w:rFonts w:ascii="Arial" w:hAnsi="Arial" w:cs="Arial"/>
          <w:color w:val="auto"/>
          <w:highlight w:val="none"/>
        </w:rPr>
      </w:pP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开标一览表</w:t>
      </w:r>
      <w:r>
        <w:rPr>
          <w:rFonts w:hint="eastAsia" w:ascii="Arial" w:hAnsi="Arial" w:cs="Arial"/>
          <w:b/>
          <w:bCs/>
          <w:color w:val="auto"/>
          <w:sz w:val="28"/>
          <w:szCs w:val="28"/>
          <w:highlight w:val="none"/>
        </w:rPr>
        <w:t>（标段二）</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rPr>
        <w:t>项目名称：</w:t>
      </w:r>
      <w:r>
        <w:rPr>
          <w:rFonts w:hint="eastAsia" w:ascii="Arial" w:hAnsi="Arial" w:cs="Arial"/>
          <w:color w:val="auto"/>
          <w:highlight w:val="none"/>
        </w:rPr>
        <w:t>2020年拱墅区“峰会”亮灯工程第二次运行维护项目</w:t>
      </w:r>
    </w:p>
    <w:p>
      <w:pPr>
        <w:pStyle w:val="23"/>
        <w:adjustRightInd w:val="0"/>
        <w:snapToGrid w:val="0"/>
        <w:spacing w:line="300" w:lineRule="auto"/>
        <w:rPr>
          <w:rFonts w:ascii="Arial" w:hAnsi="Arial" w:cs="Arial"/>
          <w:color w:val="auto"/>
          <w:highlight w:val="none"/>
        </w:rPr>
      </w:pPr>
      <w:r>
        <w:rPr>
          <w:rFonts w:ascii="Arial" w:hAnsi="Arial" w:cs="Arial"/>
          <w:color w:val="auto"/>
          <w:highlight w:val="none"/>
        </w:rPr>
        <w:t>项目编号：</w:t>
      </w:r>
      <w:r>
        <w:rPr>
          <w:rFonts w:hint="eastAsia" w:ascii="Arial" w:hAnsi="Arial" w:cs="Arial"/>
          <w:color w:val="auto"/>
          <w:highlight w:val="none"/>
          <w:lang w:eastAsia="zh-CN"/>
        </w:rPr>
        <w:t>CTZB-2020040466</w:t>
      </w:r>
      <w:r>
        <w:rPr>
          <w:rFonts w:ascii="Arial" w:hAnsi="Arial" w:cs="Arial"/>
          <w:color w:val="auto"/>
          <w:highlight w:val="none"/>
        </w:rPr>
        <w:t>（价格单位：元人民币）</w:t>
      </w:r>
    </w:p>
    <w:tbl>
      <w:tblPr>
        <w:tblStyle w:val="4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21"/>
        <w:gridCol w:w="712"/>
        <w:gridCol w:w="683"/>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序号</w:t>
            </w:r>
          </w:p>
        </w:tc>
        <w:tc>
          <w:tcPr>
            <w:tcW w:w="3321"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标段名称</w:t>
            </w:r>
          </w:p>
        </w:tc>
        <w:tc>
          <w:tcPr>
            <w:tcW w:w="712"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数量</w:t>
            </w:r>
          </w:p>
        </w:tc>
        <w:tc>
          <w:tcPr>
            <w:tcW w:w="683"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单位</w:t>
            </w:r>
          </w:p>
        </w:tc>
        <w:tc>
          <w:tcPr>
            <w:tcW w:w="3364"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17"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1</w:t>
            </w:r>
          </w:p>
        </w:tc>
        <w:tc>
          <w:tcPr>
            <w:tcW w:w="3321" w:type="dxa"/>
            <w:vAlign w:val="center"/>
          </w:tcPr>
          <w:p>
            <w:pPr>
              <w:widowControl/>
              <w:snapToGrid w:val="0"/>
              <w:spacing w:line="300" w:lineRule="auto"/>
              <w:jc w:val="center"/>
              <w:rPr>
                <w:rFonts w:ascii="Arial" w:hAnsi="Arial" w:cs="Arial"/>
                <w:color w:val="auto"/>
                <w:kern w:val="0"/>
                <w:szCs w:val="21"/>
                <w:highlight w:val="none"/>
              </w:rPr>
            </w:pPr>
            <w:r>
              <w:rPr>
                <w:rFonts w:ascii="Arial" w:hAnsi="Arial" w:cs="Arial"/>
                <w:color w:val="auto"/>
                <w:highlight w:val="none"/>
              </w:rPr>
              <w:t>20</w:t>
            </w:r>
            <w:r>
              <w:rPr>
                <w:rFonts w:hint="eastAsia" w:ascii="Arial" w:hAnsi="Arial" w:cs="Arial"/>
                <w:color w:val="auto"/>
                <w:highlight w:val="none"/>
              </w:rPr>
              <w:t>20</w:t>
            </w:r>
            <w:r>
              <w:rPr>
                <w:rFonts w:ascii="Arial" w:hAnsi="Arial" w:cs="Arial"/>
                <w:color w:val="auto"/>
                <w:highlight w:val="none"/>
              </w:rPr>
              <w:t>年拱墅区“峰会”亮灯工程第</w:t>
            </w:r>
            <w:r>
              <w:rPr>
                <w:rFonts w:hint="eastAsia" w:ascii="Arial" w:hAnsi="Arial" w:cs="Arial"/>
                <w:color w:val="auto"/>
                <w:highlight w:val="none"/>
              </w:rPr>
              <w:t>二</w:t>
            </w:r>
            <w:r>
              <w:rPr>
                <w:rFonts w:ascii="Arial" w:hAnsi="Arial" w:cs="Arial"/>
                <w:color w:val="auto"/>
                <w:highlight w:val="none"/>
              </w:rPr>
              <w:t>次运行维护项目</w:t>
            </w:r>
            <w:r>
              <w:rPr>
                <w:rFonts w:hint="eastAsia" w:ascii="Arial" w:hAnsi="Arial" w:cs="Arial"/>
                <w:color w:val="auto"/>
                <w:highlight w:val="none"/>
              </w:rPr>
              <w:t>（标段二）</w:t>
            </w:r>
          </w:p>
        </w:tc>
        <w:tc>
          <w:tcPr>
            <w:tcW w:w="712" w:type="dxa"/>
            <w:vAlign w:val="center"/>
          </w:tcPr>
          <w:p>
            <w:pPr>
              <w:widowControl/>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1</w:t>
            </w:r>
          </w:p>
        </w:tc>
        <w:tc>
          <w:tcPr>
            <w:tcW w:w="683" w:type="dxa"/>
            <w:vAlign w:val="center"/>
          </w:tcPr>
          <w:p>
            <w:pPr>
              <w:widowControl/>
              <w:snapToGrid w:val="0"/>
              <w:spacing w:line="300" w:lineRule="auto"/>
              <w:jc w:val="center"/>
              <w:rPr>
                <w:rFonts w:ascii="Arial" w:hAnsi="Arial" w:cs="Arial"/>
                <w:color w:val="auto"/>
                <w:kern w:val="0"/>
                <w:szCs w:val="21"/>
                <w:highlight w:val="none"/>
              </w:rPr>
            </w:pPr>
            <w:r>
              <w:rPr>
                <w:rFonts w:ascii="Arial" w:hAnsi="Arial" w:cs="Arial"/>
                <w:color w:val="auto"/>
                <w:kern w:val="0"/>
                <w:szCs w:val="21"/>
                <w:highlight w:val="none"/>
              </w:rPr>
              <w:t>项</w:t>
            </w:r>
          </w:p>
        </w:tc>
        <w:tc>
          <w:tcPr>
            <w:tcW w:w="3364"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响应招标文件要求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napToGrid w:val="0"/>
              <w:spacing w:line="300" w:lineRule="auto"/>
              <w:jc w:val="center"/>
              <w:rPr>
                <w:rFonts w:ascii="Arial" w:hAnsi="Arial" w:cs="Arial"/>
                <w:b/>
                <w:color w:val="auto"/>
                <w:highlight w:val="none"/>
              </w:rPr>
            </w:pPr>
            <w:r>
              <w:rPr>
                <w:rFonts w:ascii="Arial" w:hAnsi="Arial" w:cs="Arial"/>
                <w:b/>
                <w:color w:val="auto"/>
                <w:highlight w:val="none"/>
              </w:rPr>
              <w:t>2</w:t>
            </w:r>
          </w:p>
        </w:tc>
        <w:tc>
          <w:tcPr>
            <w:tcW w:w="4033" w:type="dxa"/>
            <w:gridSpan w:val="2"/>
            <w:vAlign w:val="center"/>
          </w:tcPr>
          <w:p>
            <w:pPr>
              <w:spacing w:line="300" w:lineRule="auto"/>
              <w:rPr>
                <w:rFonts w:ascii="Arial" w:hAnsi="Arial" w:cs="Arial"/>
                <w:color w:val="auto"/>
                <w:highlight w:val="none"/>
              </w:rPr>
            </w:pPr>
            <w:r>
              <w:rPr>
                <w:rFonts w:ascii="Arial" w:hAnsi="Arial" w:cs="Arial"/>
                <w:color w:val="auto"/>
                <w:highlight w:val="none"/>
              </w:rPr>
              <w:t>报价（</w:t>
            </w:r>
            <w:r>
              <w:rPr>
                <w:rFonts w:hint="eastAsia" w:ascii="Arial" w:hAnsi="Arial" w:cs="Arial"/>
                <w:color w:val="auto"/>
                <w:highlight w:val="none"/>
              </w:rPr>
              <w:t>一年</w:t>
            </w:r>
            <w:r>
              <w:rPr>
                <w:rFonts w:ascii="Arial" w:hAnsi="Arial" w:cs="Arial"/>
                <w:color w:val="auto"/>
                <w:highlight w:val="none"/>
              </w:rPr>
              <w:t>）</w:t>
            </w:r>
          </w:p>
        </w:tc>
        <w:tc>
          <w:tcPr>
            <w:tcW w:w="4047" w:type="dxa"/>
            <w:gridSpan w:val="2"/>
            <w:vAlign w:val="center"/>
          </w:tcPr>
          <w:p>
            <w:pPr>
              <w:snapToGrid w:val="0"/>
              <w:spacing w:line="300" w:lineRule="auto"/>
              <w:rPr>
                <w:rFonts w:ascii="Arial" w:hAnsi="Arial" w:cs="Arial"/>
                <w:color w:val="auto"/>
                <w:highlight w:val="none"/>
              </w:rPr>
            </w:pPr>
            <w:r>
              <w:rPr>
                <w:rFonts w:ascii="Arial" w:hAnsi="Arial" w:cs="Arial"/>
                <w:color w:val="auto"/>
                <w:highlight w:val="none"/>
              </w:rPr>
              <w:t>小写：￥</w:t>
            </w:r>
          </w:p>
          <w:p>
            <w:pPr>
              <w:snapToGrid w:val="0"/>
              <w:spacing w:line="300" w:lineRule="auto"/>
              <w:rPr>
                <w:rFonts w:ascii="Arial" w:hAnsi="Arial" w:cs="Arial"/>
                <w:b/>
                <w:color w:val="auto"/>
                <w:highlight w:val="none"/>
              </w:rPr>
            </w:pPr>
            <w:r>
              <w:rPr>
                <w:rFonts w:ascii="Arial" w:hAnsi="Arial" w:cs="Arial"/>
                <w:color w:val="auto"/>
                <w:highlight w:val="none"/>
              </w:rPr>
              <w:t>大写：人民币</w:t>
            </w:r>
          </w:p>
        </w:tc>
      </w:tr>
    </w:tbl>
    <w:p>
      <w:pPr>
        <w:adjustRightInd w:val="0"/>
        <w:snapToGrid w:val="0"/>
        <w:spacing w:line="300" w:lineRule="auto"/>
        <w:ind w:firstLine="420" w:firstLineChars="200"/>
        <w:rPr>
          <w:rFonts w:ascii="Arial" w:hAnsi="Arial" w:cs="Arial"/>
          <w:color w:val="auto"/>
          <w:highlight w:val="none"/>
        </w:rPr>
      </w:pPr>
    </w:p>
    <w:p>
      <w:pPr>
        <w:pStyle w:val="19"/>
        <w:snapToGrid/>
        <w:ind w:firstLine="420"/>
        <w:rPr>
          <w:rFonts w:ascii="Arial" w:hAnsi="Arial" w:cs="Arial"/>
          <w:color w:val="auto"/>
          <w:szCs w:val="21"/>
          <w:highlight w:val="none"/>
        </w:rPr>
      </w:pPr>
      <w:r>
        <w:rPr>
          <w:rFonts w:ascii="Arial" w:hAnsi="Arial" w:cs="Arial"/>
          <w:color w:val="auto"/>
          <w:szCs w:val="21"/>
          <w:highlight w:val="none"/>
        </w:rPr>
        <w:t>投标人全称（盖单位公章）：</w:t>
      </w:r>
    </w:p>
    <w:p>
      <w:pPr>
        <w:pStyle w:val="19"/>
        <w:ind w:firstLine="420"/>
        <w:rPr>
          <w:rFonts w:ascii="Arial" w:hAnsi="Arial" w:cs="Arial"/>
          <w:color w:val="auto"/>
          <w:highlight w:val="none"/>
        </w:rPr>
      </w:pPr>
      <w:r>
        <w:rPr>
          <w:rFonts w:ascii="Arial" w:hAnsi="Arial" w:cs="Arial"/>
          <w:color w:val="auto"/>
          <w:highlight w:val="none"/>
        </w:rPr>
        <w:t>日期：年月日</w:t>
      </w:r>
    </w:p>
    <w:p>
      <w:pPr>
        <w:adjustRightInd w:val="0"/>
        <w:snapToGrid w:val="0"/>
        <w:spacing w:line="300" w:lineRule="auto"/>
        <w:ind w:firstLine="420" w:firstLineChars="200"/>
        <w:rPr>
          <w:rFonts w:ascii="Arial" w:hAnsi="Arial" w:cs="Arial"/>
          <w:color w:val="auto"/>
          <w:highlight w:val="none"/>
        </w:rPr>
      </w:pP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报价说明：</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1、具体价格明细详见《投标价格组成明细表》。</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2、大写金额与小写金额不一致时，以大写金额为准。</w:t>
      </w:r>
    </w:p>
    <w:p>
      <w:pPr>
        <w:pStyle w:val="5"/>
        <w:ind w:firstLine="422"/>
        <w:rPr>
          <w:rFonts w:cs="Arial"/>
          <w:color w:val="auto"/>
          <w:highlight w:val="none"/>
        </w:rPr>
      </w:pPr>
      <w:r>
        <w:rPr>
          <w:rFonts w:cs="Arial"/>
          <w:color w:val="auto"/>
          <w:highlight w:val="none"/>
        </w:rPr>
        <w:br w:type="page"/>
      </w:r>
      <w:bookmarkStart w:id="75" w:name="_Toc336683580"/>
      <w:bookmarkStart w:id="76" w:name="_Toc345575540"/>
      <w:r>
        <w:rPr>
          <w:rFonts w:cs="Arial"/>
          <w:color w:val="auto"/>
          <w:highlight w:val="none"/>
        </w:rPr>
        <w:t>三、投标价格组成明细表格式</w:t>
      </w:r>
      <w:bookmarkEnd w:id="75"/>
      <w:bookmarkEnd w:id="76"/>
      <w:r>
        <w:rPr>
          <w:rFonts w:hint="eastAsia" w:cs="Arial"/>
          <w:color w:val="auto"/>
          <w:highlight w:val="none"/>
          <w:u w:val="single"/>
        </w:rPr>
        <w:t>（投标单位按所投标段填写，如投标单位2个标段都投，就按标段分开填写）</w:t>
      </w:r>
    </w:p>
    <w:p>
      <w:pPr>
        <w:snapToGrid w:val="0"/>
        <w:spacing w:line="300" w:lineRule="auto"/>
        <w:rPr>
          <w:rFonts w:ascii="Arial" w:hAnsi="Arial" w:cs="Arial"/>
          <w:color w:val="auto"/>
          <w:highlight w:val="none"/>
        </w:rPr>
      </w:pP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投标价格组成明细表</w:t>
      </w:r>
      <w:r>
        <w:rPr>
          <w:rFonts w:hint="eastAsia" w:ascii="Arial" w:hAnsi="Arial" w:cs="Arial"/>
          <w:b/>
          <w:bCs/>
          <w:color w:val="auto"/>
          <w:sz w:val="28"/>
          <w:szCs w:val="28"/>
          <w:highlight w:val="none"/>
        </w:rPr>
        <w:t>（标段一）</w:t>
      </w:r>
    </w:p>
    <w:p>
      <w:pPr>
        <w:snapToGrid w:val="0"/>
        <w:spacing w:line="300" w:lineRule="auto"/>
        <w:rPr>
          <w:rFonts w:ascii="Arial" w:hAnsi="Arial" w:cs="Arial"/>
          <w:color w:val="auto"/>
          <w:highlight w:val="none"/>
        </w:rPr>
      </w:pPr>
      <w:r>
        <w:rPr>
          <w:rFonts w:ascii="Arial" w:hAnsi="Arial" w:cs="Arial"/>
          <w:color w:val="auto"/>
          <w:highlight w:val="none"/>
        </w:rPr>
        <w:t>项目名称：</w:t>
      </w:r>
      <w:r>
        <w:rPr>
          <w:rFonts w:hint="eastAsia" w:ascii="Arial" w:hAnsi="Arial" w:cs="Arial"/>
          <w:color w:val="auto"/>
          <w:highlight w:val="none"/>
        </w:rPr>
        <w:t>2020年拱墅区“峰会”亮灯工程第二次运行维护项目</w:t>
      </w:r>
    </w:p>
    <w:p>
      <w:pPr>
        <w:snapToGrid w:val="0"/>
        <w:spacing w:line="300" w:lineRule="auto"/>
        <w:rPr>
          <w:rFonts w:hint="eastAsia" w:ascii="Arial" w:hAnsi="Arial" w:eastAsia="宋体" w:cs="Arial"/>
          <w:color w:val="auto"/>
          <w:highlight w:val="none"/>
          <w:lang w:eastAsia="zh-CN"/>
        </w:rPr>
      </w:pPr>
      <w:r>
        <w:rPr>
          <w:rFonts w:ascii="Arial" w:hAnsi="Arial" w:cs="Arial"/>
          <w:color w:val="auto"/>
          <w:highlight w:val="none"/>
        </w:rPr>
        <w:t>项目编号：</w:t>
      </w:r>
      <w:r>
        <w:rPr>
          <w:rFonts w:hint="eastAsia" w:ascii="Arial" w:hAnsi="Arial" w:cs="Arial"/>
          <w:color w:val="auto"/>
          <w:highlight w:val="none"/>
          <w:lang w:eastAsia="zh-CN"/>
        </w:rPr>
        <w:t>CTZB-2020040466</w:t>
      </w:r>
    </w:p>
    <w:tbl>
      <w:tblPr>
        <w:tblStyle w:val="47"/>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73"/>
        <w:gridCol w:w="2335"/>
        <w:gridCol w:w="798"/>
        <w:gridCol w:w="674"/>
        <w:gridCol w:w="1161"/>
        <w:gridCol w:w="850"/>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38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名称</w:t>
            </w:r>
          </w:p>
        </w:tc>
        <w:tc>
          <w:tcPr>
            <w:tcW w:w="2353"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地址</w:t>
            </w:r>
          </w:p>
        </w:tc>
        <w:tc>
          <w:tcPr>
            <w:tcW w:w="80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性质</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幢数</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灯具类型</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数量</w:t>
            </w:r>
          </w:p>
          <w:p>
            <w:pPr>
              <w:jc w:val="center"/>
              <w:rPr>
                <w:rFonts w:ascii="宋体" w:hAnsi="宋体"/>
                <w:color w:val="auto"/>
                <w:szCs w:val="21"/>
                <w:highlight w:val="none"/>
              </w:rPr>
            </w:pPr>
            <w:r>
              <w:rPr>
                <w:rFonts w:hint="eastAsia" w:ascii="宋体" w:hAnsi="宋体"/>
                <w:color w:val="auto"/>
                <w:szCs w:val="21"/>
                <w:highlight w:val="none"/>
              </w:rPr>
              <w:t>（套）</w:t>
            </w:r>
          </w:p>
        </w:tc>
        <w:tc>
          <w:tcPr>
            <w:tcW w:w="846" w:type="dxa"/>
            <w:vAlign w:val="center"/>
          </w:tcPr>
          <w:p>
            <w:pPr>
              <w:jc w:val="center"/>
              <w:rPr>
                <w:rFonts w:ascii="宋体" w:hAnsi="宋体"/>
                <w:color w:val="auto"/>
                <w:szCs w:val="21"/>
                <w:highlight w:val="none"/>
              </w:rPr>
            </w:pPr>
            <w:r>
              <w:rPr>
                <w:rFonts w:hint="eastAsia" w:ascii="宋体" w:hAnsi="宋体"/>
                <w:color w:val="auto"/>
                <w:szCs w:val="21"/>
                <w:highlight w:val="none"/>
              </w:rPr>
              <w:t>单价（元）</w:t>
            </w:r>
          </w:p>
        </w:tc>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小计</w:t>
            </w:r>
          </w:p>
          <w:p>
            <w:pPr>
              <w:pStyle w:val="2"/>
              <w:ind w:firstLine="0" w:firstLineChars="0"/>
              <w:rPr>
                <w:color w:val="auto"/>
                <w:highlight w:val="none"/>
                <w:lang w:val="en-US"/>
              </w:rPr>
            </w:pPr>
            <w:r>
              <w:rPr>
                <w:rFonts w:hint="eastAsia"/>
                <w:color w:val="auto"/>
                <w:highlight w:val="none"/>
                <w:lang w:val="en-U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38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大塘新村</w:t>
            </w:r>
          </w:p>
        </w:tc>
        <w:tc>
          <w:tcPr>
            <w:tcW w:w="2353"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湖墅南路与文晖路交叉口</w:t>
            </w:r>
          </w:p>
        </w:tc>
        <w:tc>
          <w:tcPr>
            <w:tcW w:w="80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729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38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叶青苑</w:t>
            </w:r>
          </w:p>
        </w:tc>
        <w:tc>
          <w:tcPr>
            <w:tcW w:w="2353"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清河闸弄35号</w:t>
            </w:r>
          </w:p>
        </w:tc>
        <w:tc>
          <w:tcPr>
            <w:tcW w:w="80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ascii="宋体" w:hAnsi="宋体"/>
                <w:color w:val="auto"/>
                <w:szCs w:val="21"/>
                <w:highlight w:val="none"/>
              </w:rPr>
              <w:t>4</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324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锦绣新村</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湖墅南路290号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德胜路359号</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湖墅南路与德胜路交叉口</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381"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仓基新村</w:t>
            </w:r>
          </w:p>
        </w:tc>
        <w:tc>
          <w:tcPr>
            <w:tcW w:w="2353"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湖墅南路460号</w:t>
            </w:r>
          </w:p>
        </w:tc>
        <w:tc>
          <w:tcPr>
            <w:tcW w:w="802"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1125"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1509</w:t>
            </w:r>
          </w:p>
        </w:tc>
        <w:tc>
          <w:tcPr>
            <w:tcW w:w="846" w:type="dxa"/>
            <w:shd w:val="clear" w:color="auto" w:fill="FFFFFF"/>
          </w:tcPr>
          <w:p>
            <w:pPr>
              <w:jc w:val="center"/>
              <w:rPr>
                <w:rFonts w:ascii="宋体" w:hAnsi="宋体"/>
                <w:color w:val="auto"/>
                <w:szCs w:val="21"/>
                <w:highlight w:val="none"/>
              </w:rPr>
            </w:pPr>
          </w:p>
        </w:tc>
        <w:tc>
          <w:tcPr>
            <w:tcW w:w="846" w:type="dxa"/>
            <w:shd w:val="clear" w:color="auto" w:fill="FFFFFF"/>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教师进修学院</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湖墅南路460号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111</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贾家弄新村</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杭州市拱墅区和睦路56号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326</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紫兰公寓</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湖墅北路58号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7329</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560</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大关公寓</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湖墅北路99号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43</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127</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武警公寓</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湖墅北路58号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198</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哑巴弄1号</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湖墅北路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明真宫</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和睦路224号大关路和小河路口</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42</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凯德龙湾</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小河路登云路交叉口</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7120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900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远大花园</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东粮泊巷1号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115</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15</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左家新村</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湖墅南路396号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800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6600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16</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昆仑公馆</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长板巷99号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732</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转角灯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24</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17</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市林业水利局</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德胜路353号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259</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72</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18</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清水公寓</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德胜西路德胜巷13号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992</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7431</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19</w:t>
            </w:r>
          </w:p>
        </w:tc>
        <w:tc>
          <w:tcPr>
            <w:tcW w:w="138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上岛公馆</w:t>
            </w:r>
          </w:p>
        </w:tc>
        <w:tc>
          <w:tcPr>
            <w:tcW w:w="2353"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中策职业学校东南角</w:t>
            </w:r>
          </w:p>
        </w:tc>
        <w:tc>
          <w:tcPr>
            <w:tcW w:w="802"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住宅</w:t>
            </w:r>
          </w:p>
        </w:tc>
        <w:tc>
          <w:tcPr>
            <w:tcW w:w="677"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337</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3680</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20</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红石中央</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潮王路225号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LED线形洗墙灯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687</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21</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杭办大厦</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霞湾巷65号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336</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9700</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Align w:val="center"/>
          </w:tcPr>
          <w:p>
            <w:pPr>
              <w:jc w:val="center"/>
              <w:rPr>
                <w:rFonts w:ascii="宋体" w:hAnsi="宋体"/>
                <w:color w:val="auto"/>
                <w:szCs w:val="21"/>
                <w:highlight w:val="none"/>
              </w:rPr>
            </w:pPr>
            <w:r>
              <w:rPr>
                <w:rFonts w:hint="eastAsia" w:ascii="宋体" w:hAnsi="宋体"/>
                <w:color w:val="auto"/>
                <w:szCs w:val="21"/>
                <w:highlight w:val="none"/>
              </w:rPr>
              <w:t>22</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杭办大厦2号楼</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霞湾巷65号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117</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23</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湖墅嘉园</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和睦路196-1号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779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24</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景上公寓</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和睦路248号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435</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25</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远洋公馆</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大关路101号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711</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26</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锦昌文华苑</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丽水路100号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753</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11130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27</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武林公寓1#</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170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28</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密渡桥路2号、8号</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290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29</w:t>
            </w:r>
          </w:p>
          <w:p>
            <w:pPr>
              <w:jc w:val="center"/>
              <w:rPr>
                <w:rFonts w:ascii="宋体" w:hAnsi="宋体"/>
                <w:color w:val="auto"/>
                <w:szCs w:val="21"/>
                <w:highlight w:val="none"/>
              </w:rPr>
            </w:pP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香积寺路302号</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香积寺路</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庭院灯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13</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壁灯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17</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轮廓灯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142</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57</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线条投光灯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投光灯A</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18</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地埋灯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泛光灯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32</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s="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窄束投光灯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30</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纳德大酒店</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环城北路160号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经营</w:t>
            </w:r>
          </w:p>
        </w:tc>
        <w:tc>
          <w:tcPr>
            <w:tcW w:w="677"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15</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rPr>
                <w:rFonts w:ascii="宋体" w:hAnsi="宋体" w:cs="宋体"/>
                <w:color w:val="auto"/>
                <w:szCs w:val="21"/>
                <w:highlight w:val="none"/>
              </w:rPr>
            </w:pPr>
          </w:p>
        </w:tc>
        <w:tc>
          <w:tcPr>
            <w:tcW w:w="2353" w:type="dxa"/>
            <w:vMerge w:val="continue"/>
            <w:shd w:val="clear" w:color="auto" w:fill="auto"/>
            <w:vAlign w:val="center"/>
          </w:tcPr>
          <w:p>
            <w:pPr>
              <w:rPr>
                <w:rFonts w:ascii="宋体" w:hAnsi="宋体" w:cs="宋体"/>
                <w:color w:val="auto"/>
                <w:szCs w:val="21"/>
                <w:highlight w:val="none"/>
              </w:rPr>
            </w:pPr>
          </w:p>
        </w:tc>
        <w:tc>
          <w:tcPr>
            <w:tcW w:w="802" w:type="dxa"/>
            <w:vMerge w:val="continue"/>
            <w:shd w:val="clear" w:color="auto" w:fill="auto"/>
            <w:vAlign w:val="center"/>
          </w:tcPr>
          <w:p>
            <w:pPr>
              <w:rPr>
                <w:rFonts w:ascii="宋体" w:hAnsi="宋体" w:cs="宋体"/>
                <w:color w:val="auto"/>
                <w:szCs w:val="21"/>
                <w:highlight w:val="none"/>
              </w:rPr>
            </w:pPr>
          </w:p>
        </w:tc>
        <w:tc>
          <w:tcPr>
            <w:tcW w:w="677" w:type="dxa"/>
            <w:vMerge w:val="continue"/>
            <w:shd w:val="clear" w:color="auto" w:fill="auto"/>
            <w:vAlign w:val="center"/>
          </w:tcPr>
          <w:p>
            <w:pPr>
              <w:rPr>
                <w:rFonts w:ascii="宋体" w:hAnsi="宋体" w:cs="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窗台灯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171</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rPr>
                <w:rFonts w:ascii="宋体" w:hAnsi="宋体" w:cs="宋体"/>
                <w:color w:val="auto"/>
                <w:szCs w:val="21"/>
                <w:highlight w:val="none"/>
              </w:rPr>
            </w:pPr>
          </w:p>
        </w:tc>
        <w:tc>
          <w:tcPr>
            <w:tcW w:w="2353" w:type="dxa"/>
            <w:vMerge w:val="continue"/>
            <w:shd w:val="clear" w:color="auto" w:fill="auto"/>
            <w:vAlign w:val="center"/>
          </w:tcPr>
          <w:p>
            <w:pPr>
              <w:rPr>
                <w:rFonts w:ascii="宋体" w:hAnsi="宋体" w:cs="宋体"/>
                <w:color w:val="auto"/>
                <w:szCs w:val="21"/>
                <w:highlight w:val="none"/>
              </w:rPr>
            </w:pPr>
          </w:p>
        </w:tc>
        <w:tc>
          <w:tcPr>
            <w:tcW w:w="802" w:type="dxa"/>
            <w:vMerge w:val="continue"/>
            <w:shd w:val="clear" w:color="auto" w:fill="auto"/>
            <w:vAlign w:val="center"/>
          </w:tcPr>
          <w:p>
            <w:pPr>
              <w:rPr>
                <w:rFonts w:ascii="宋体" w:hAnsi="宋体" w:cs="宋体"/>
                <w:color w:val="auto"/>
                <w:szCs w:val="21"/>
                <w:highlight w:val="none"/>
              </w:rPr>
            </w:pPr>
          </w:p>
        </w:tc>
        <w:tc>
          <w:tcPr>
            <w:tcW w:w="677" w:type="dxa"/>
            <w:vMerge w:val="continue"/>
            <w:shd w:val="clear" w:color="auto" w:fill="auto"/>
            <w:vAlign w:val="center"/>
          </w:tcPr>
          <w:p>
            <w:pPr>
              <w:rPr>
                <w:rFonts w:ascii="宋体" w:hAnsi="宋体" w:cs="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97</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31</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华浙国税大楼</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环城北路142号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办公</w:t>
            </w:r>
          </w:p>
        </w:tc>
        <w:tc>
          <w:tcPr>
            <w:tcW w:w="677"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rPr>
                <w:rFonts w:ascii="宋体" w:hAnsi="宋体" w:cs="宋体"/>
                <w:color w:val="auto"/>
                <w:szCs w:val="21"/>
                <w:highlight w:val="none"/>
              </w:rPr>
            </w:pPr>
          </w:p>
        </w:tc>
        <w:tc>
          <w:tcPr>
            <w:tcW w:w="2353" w:type="dxa"/>
            <w:vMerge w:val="continue"/>
            <w:shd w:val="clear" w:color="auto" w:fill="auto"/>
            <w:vAlign w:val="center"/>
          </w:tcPr>
          <w:p>
            <w:pPr>
              <w:rPr>
                <w:rFonts w:ascii="宋体" w:hAnsi="宋体" w:cs="宋体"/>
                <w:color w:val="auto"/>
                <w:szCs w:val="21"/>
                <w:highlight w:val="none"/>
              </w:rPr>
            </w:pPr>
          </w:p>
        </w:tc>
        <w:tc>
          <w:tcPr>
            <w:tcW w:w="802" w:type="dxa"/>
            <w:vMerge w:val="continue"/>
            <w:shd w:val="clear" w:color="auto" w:fill="auto"/>
            <w:vAlign w:val="center"/>
          </w:tcPr>
          <w:p>
            <w:pPr>
              <w:rPr>
                <w:rFonts w:ascii="宋体" w:hAnsi="宋体" w:cs="宋体"/>
                <w:color w:val="auto"/>
                <w:szCs w:val="21"/>
                <w:highlight w:val="none"/>
              </w:rPr>
            </w:pPr>
          </w:p>
        </w:tc>
        <w:tc>
          <w:tcPr>
            <w:tcW w:w="677" w:type="dxa"/>
            <w:vMerge w:val="continue"/>
            <w:shd w:val="clear" w:color="auto" w:fill="auto"/>
            <w:vAlign w:val="center"/>
          </w:tcPr>
          <w:p>
            <w:pPr>
              <w:rPr>
                <w:rFonts w:ascii="宋体" w:hAnsi="宋体" w:cs="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342</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32</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水晶城</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上塘路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经营</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投光灯，洗墙灯，线条灯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217</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33</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华浙广场公园</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　</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77" w:type="dxa"/>
            <w:vMerge w:val="restart"/>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庭院灯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16</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照树灯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23</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地埋投光灯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草坪灯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21</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34</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大关路</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大关路沿线</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77" w:type="dxa"/>
            <w:vMerge w:val="restart"/>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ind w:firstLine="630" w:firstLineChars="300"/>
              <w:jc w:val="center"/>
              <w:rPr>
                <w:rFonts w:ascii="宋体" w:hAnsi="宋体" w:cs="宋体"/>
                <w:color w:val="auto"/>
                <w:szCs w:val="21"/>
                <w:highlight w:val="none"/>
              </w:rPr>
            </w:pPr>
            <w:r>
              <w:rPr>
                <w:rFonts w:hint="eastAsia" w:ascii="宋体" w:hAnsi="宋体"/>
                <w:color w:val="auto"/>
                <w:szCs w:val="21"/>
                <w:highlight w:val="none"/>
              </w:rPr>
              <w:t>LED洗墙灯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3565</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78</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转角灯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392</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草坪灯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18</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庭院灯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插地射灯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35</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密渡桥路公建</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密渡桥路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77" w:type="dxa"/>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36</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运河沿线景观石</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运河沿线　</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77" w:type="dxa"/>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bl>
    <w:p>
      <w:pPr>
        <w:ind w:firstLine="103" w:firstLineChars="49"/>
        <w:rPr>
          <w:rFonts w:hint="eastAsia" w:ascii="Arial" w:hAnsi="Arial" w:cs="Arial"/>
          <w:b/>
          <w:color w:val="auto"/>
          <w:highlight w:val="none"/>
        </w:rPr>
      </w:pPr>
    </w:p>
    <w:p>
      <w:pPr>
        <w:pStyle w:val="2"/>
        <w:ind w:firstLine="420"/>
        <w:rPr>
          <w:color w:val="auto"/>
          <w:highlight w:val="none"/>
          <w:lang w:val="en-US"/>
        </w:rPr>
      </w:pPr>
    </w:p>
    <w:p>
      <w:pPr>
        <w:spacing w:line="360" w:lineRule="auto"/>
        <w:rPr>
          <w:rFonts w:ascii="Arial" w:hAnsi="Arial" w:cs="Arial"/>
          <w:b/>
          <w:color w:val="auto"/>
          <w:highlight w:val="none"/>
        </w:rPr>
      </w:pPr>
    </w:p>
    <w:p>
      <w:pPr>
        <w:pStyle w:val="23"/>
        <w:adjustRightInd w:val="0"/>
        <w:snapToGrid w:val="0"/>
        <w:spacing w:line="360" w:lineRule="auto"/>
        <w:ind w:firstLine="480"/>
        <w:rPr>
          <w:rFonts w:ascii="Arial" w:hAnsi="Arial" w:cs="Arial"/>
          <w:color w:val="auto"/>
          <w:highlight w:val="none"/>
        </w:rPr>
      </w:pPr>
      <w:r>
        <w:rPr>
          <w:rFonts w:ascii="Arial" w:hAnsi="Arial" w:cs="Arial"/>
          <w:color w:val="auto"/>
          <w:highlight w:val="none"/>
        </w:rPr>
        <w:t>投标人全称（盖单位公章）：</w:t>
      </w:r>
    </w:p>
    <w:p>
      <w:pPr>
        <w:pStyle w:val="23"/>
        <w:adjustRightInd w:val="0"/>
        <w:snapToGrid w:val="0"/>
        <w:spacing w:line="360" w:lineRule="auto"/>
        <w:ind w:firstLine="480"/>
        <w:rPr>
          <w:rFonts w:ascii="Arial" w:hAnsi="Arial" w:cs="Arial"/>
          <w:color w:val="auto"/>
          <w:highlight w:val="none"/>
        </w:rPr>
      </w:pPr>
      <w:r>
        <w:rPr>
          <w:rFonts w:ascii="Arial" w:hAnsi="Arial" w:cs="Arial"/>
          <w:color w:val="auto"/>
          <w:highlight w:val="none"/>
        </w:rPr>
        <w:t>投标文件签署人（签字或盖章）：</w:t>
      </w:r>
    </w:p>
    <w:p>
      <w:pPr>
        <w:widowControl/>
        <w:spacing w:line="500" w:lineRule="exact"/>
        <w:ind w:firstLine="417" w:firstLineChars="199"/>
        <w:rPr>
          <w:rFonts w:ascii="宋体" w:hAnsi="宋体" w:cs="宋体"/>
          <w:color w:val="auto"/>
          <w:kern w:val="0"/>
          <w:sz w:val="20"/>
          <w:szCs w:val="20"/>
          <w:highlight w:val="none"/>
        </w:rPr>
      </w:pPr>
      <w:r>
        <w:rPr>
          <w:rFonts w:ascii="Arial" w:hAnsi="Arial" w:cs="Arial"/>
          <w:color w:val="auto"/>
          <w:highlight w:val="none"/>
        </w:rPr>
        <w:t>日期：</w:t>
      </w:r>
    </w:p>
    <w:p>
      <w:pPr>
        <w:pStyle w:val="23"/>
        <w:adjustRightInd w:val="0"/>
        <w:snapToGrid w:val="0"/>
        <w:spacing w:line="360" w:lineRule="auto"/>
        <w:ind w:firstLine="480"/>
        <w:rPr>
          <w:rFonts w:ascii="Arial" w:hAnsi="Arial" w:cs="Arial"/>
          <w:color w:val="auto"/>
          <w:highlight w:val="none"/>
        </w:rPr>
      </w:pPr>
      <w:r>
        <w:rPr>
          <w:rFonts w:cs="Arial"/>
          <w:color w:val="auto"/>
          <w:highlight w:val="none"/>
        </w:rPr>
        <w:br w:type="page"/>
      </w:r>
      <w:bookmarkStart w:id="77" w:name="_Toc14797"/>
      <w:bookmarkStart w:id="78" w:name="_Toc28113"/>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投标价格组成明细表</w:t>
      </w:r>
      <w:r>
        <w:rPr>
          <w:rFonts w:hint="eastAsia" w:ascii="Arial" w:hAnsi="Arial" w:cs="Arial"/>
          <w:b/>
          <w:bCs/>
          <w:color w:val="auto"/>
          <w:sz w:val="28"/>
          <w:szCs w:val="28"/>
          <w:highlight w:val="none"/>
        </w:rPr>
        <w:t>（标段二）</w:t>
      </w:r>
    </w:p>
    <w:p>
      <w:pPr>
        <w:snapToGrid w:val="0"/>
        <w:spacing w:line="300" w:lineRule="auto"/>
        <w:rPr>
          <w:rFonts w:ascii="Arial" w:hAnsi="Arial" w:cs="Arial"/>
          <w:color w:val="auto"/>
          <w:highlight w:val="none"/>
        </w:rPr>
      </w:pPr>
      <w:r>
        <w:rPr>
          <w:rFonts w:ascii="Arial" w:hAnsi="Arial" w:cs="Arial"/>
          <w:color w:val="auto"/>
          <w:highlight w:val="none"/>
        </w:rPr>
        <w:t>项目名称：</w:t>
      </w:r>
      <w:r>
        <w:rPr>
          <w:rFonts w:hint="eastAsia" w:ascii="Arial" w:hAnsi="Arial" w:cs="Arial"/>
          <w:color w:val="auto"/>
          <w:highlight w:val="none"/>
        </w:rPr>
        <w:t>2020年拱墅区“峰会”亮灯工程第二次运行维护项目</w:t>
      </w:r>
    </w:p>
    <w:p>
      <w:pPr>
        <w:snapToGrid w:val="0"/>
        <w:spacing w:line="300" w:lineRule="auto"/>
        <w:rPr>
          <w:rFonts w:hint="eastAsia" w:ascii="Arial" w:hAnsi="Arial" w:eastAsia="宋体" w:cs="Arial"/>
          <w:color w:val="auto"/>
          <w:highlight w:val="none"/>
          <w:lang w:eastAsia="zh-CN"/>
        </w:rPr>
      </w:pPr>
      <w:r>
        <w:rPr>
          <w:rFonts w:ascii="Arial" w:hAnsi="Arial" w:cs="Arial"/>
          <w:color w:val="auto"/>
          <w:highlight w:val="none"/>
        </w:rPr>
        <w:t>项目编号：</w:t>
      </w:r>
      <w:r>
        <w:rPr>
          <w:rFonts w:hint="eastAsia" w:ascii="Arial" w:hAnsi="Arial" w:cs="Arial"/>
          <w:color w:val="auto"/>
          <w:highlight w:val="none"/>
          <w:lang w:eastAsia="zh-CN"/>
        </w:rPr>
        <w:t>CTZB-2020040466</w:t>
      </w:r>
    </w:p>
    <w:tbl>
      <w:tblPr>
        <w:tblStyle w:val="47"/>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806"/>
        <w:gridCol w:w="1565"/>
        <w:gridCol w:w="1018"/>
        <w:gridCol w:w="661"/>
        <w:gridCol w:w="1441"/>
        <w:gridCol w:w="850"/>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80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名称</w:t>
            </w:r>
          </w:p>
        </w:tc>
        <w:tc>
          <w:tcPr>
            <w:tcW w:w="156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地址</w:t>
            </w:r>
          </w:p>
        </w:tc>
        <w:tc>
          <w:tcPr>
            <w:tcW w:w="1018"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性质</w:t>
            </w:r>
          </w:p>
        </w:tc>
        <w:tc>
          <w:tcPr>
            <w:tcW w:w="66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幢数</w:t>
            </w:r>
          </w:p>
        </w:tc>
        <w:tc>
          <w:tcPr>
            <w:tcW w:w="14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灯具类型</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数量</w:t>
            </w:r>
          </w:p>
          <w:p>
            <w:pPr>
              <w:jc w:val="center"/>
              <w:rPr>
                <w:rFonts w:ascii="宋体" w:hAnsi="宋体"/>
                <w:color w:val="auto"/>
                <w:szCs w:val="21"/>
                <w:highlight w:val="none"/>
              </w:rPr>
            </w:pPr>
            <w:r>
              <w:rPr>
                <w:rFonts w:hint="eastAsia" w:ascii="宋体" w:hAnsi="宋体"/>
                <w:color w:val="auto"/>
                <w:szCs w:val="21"/>
                <w:highlight w:val="none"/>
              </w:rPr>
              <w:t>（套）</w:t>
            </w:r>
          </w:p>
        </w:tc>
        <w:tc>
          <w:tcPr>
            <w:tcW w:w="846" w:type="dxa"/>
            <w:vAlign w:val="center"/>
          </w:tcPr>
          <w:p>
            <w:pPr>
              <w:jc w:val="center"/>
              <w:rPr>
                <w:rFonts w:ascii="宋体" w:hAnsi="宋体"/>
                <w:color w:val="auto"/>
                <w:szCs w:val="21"/>
                <w:highlight w:val="none"/>
              </w:rPr>
            </w:pPr>
            <w:r>
              <w:rPr>
                <w:rFonts w:hint="eastAsia" w:ascii="宋体" w:hAnsi="宋体"/>
                <w:color w:val="auto"/>
                <w:szCs w:val="21"/>
                <w:highlight w:val="none"/>
              </w:rPr>
              <w:t>单价（元）</w:t>
            </w:r>
          </w:p>
        </w:tc>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小计</w:t>
            </w:r>
          </w:p>
          <w:p>
            <w:pPr>
              <w:pStyle w:val="2"/>
              <w:ind w:firstLine="0" w:firstLineChars="0"/>
              <w:rPr>
                <w:color w:val="auto"/>
                <w:highlight w:val="none"/>
                <w:lang w:val="en-US"/>
              </w:rPr>
            </w:pPr>
            <w:r>
              <w:rPr>
                <w:rFonts w:hint="eastAsia"/>
                <w:color w:val="auto"/>
                <w:highlight w:val="none"/>
                <w:lang w:val="en-U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源丽大厦</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丽水路276号</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158</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南北西岸</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花园岗街与小河路交叉口</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8420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554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806"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市二医院</w:t>
            </w:r>
          </w:p>
        </w:tc>
        <w:tc>
          <w:tcPr>
            <w:tcW w:w="156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温州路126号</w:t>
            </w:r>
          </w:p>
        </w:tc>
        <w:tc>
          <w:tcPr>
            <w:tcW w:w="1018"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6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140</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登云阁</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登云路428号</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1"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2</w:t>
            </w:r>
          </w:p>
        </w:tc>
        <w:tc>
          <w:tcPr>
            <w:tcW w:w="144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229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rPr>
                <w:rFonts w:ascii="宋体" w:hAnsi="宋体" w:cs="宋体"/>
                <w:color w:val="auto"/>
                <w:szCs w:val="21"/>
                <w:highlight w:val="none"/>
              </w:rPr>
            </w:pPr>
          </w:p>
        </w:tc>
        <w:tc>
          <w:tcPr>
            <w:tcW w:w="1565" w:type="dxa"/>
            <w:vMerge w:val="continue"/>
            <w:shd w:val="clear" w:color="auto" w:fill="auto"/>
            <w:vAlign w:val="center"/>
          </w:tcPr>
          <w:p>
            <w:pPr>
              <w:rPr>
                <w:rFonts w:ascii="宋体" w:hAnsi="宋体" w:cs="宋体"/>
                <w:color w:val="auto"/>
                <w:szCs w:val="21"/>
                <w:highlight w:val="none"/>
              </w:rPr>
            </w:pPr>
          </w:p>
        </w:tc>
        <w:tc>
          <w:tcPr>
            <w:tcW w:w="1018" w:type="dxa"/>
            <w:vMerge w:val="continue"/>
            <w:shd w:val="clear" w:color="auto" w:fill="auto"/>
            <w:vAlign w:val="center"/>
          </w:tcPr>
          <w:p>
            <w:pPr>
              <w:rPr>
                <w:rFonts w:ascii="宋体" w:hAnsi="宋体" w:cs="宋体"/>
                <w:color w:val="auto"/>
                <w:szCs w:val="21"/>
                <w:highlight w:val="none"/>
              </w:rPr>
            </w:pPr>
          </w:p>
        </w:tc>
        <w:tc>
          <w:tcPr>
            <w:tcW w:w="661" w:type="dxa"/>
            <w:vMerge w:val="continue"/>
            <w:shd w:val="clear" w:color="auto" w:fill="auto"/>
            <w:vAlign w:val="center"/>
          </w:tcPr>
          <w:p>
            <w:pPr>
              <w:rPr>
                <w:rFonts w:ascii="宋体" w:hAnsi="宋体" w:cs="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34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806"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运河人家</w:t>
            </w:r>
          </w:p>
        </w:tc>
        <w:tc>
          <w:tcPr>
            <w:tcW w:w="156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杭印路与绍兴路交叉口</w:t>
            </w:r>
          </w:p>
        </w:tc>
        <w:tc>
          <w:tcPr>
            <w:tcW w:w="1018"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3</w:t>
            </w:r>
          </w:p>
        </w:tc>
        <w:tc>
          <w:tcPr>
            <w:tcW w:w="144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467</w:t>
            </w:r>
          </w:p>
        </w:tc>
        <w:tc>
          <w:tcPr>
            <w:tcW w:w="846" w:type="dxa"/>
            <w:vAlign w:val="center"/>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806"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北国之春</w:t>
            </w:r>
          </w:p>
        </w:tc>
        <w:tc>
          <w:tcPr>
            <w:tcW w:w="156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衢州街105号</w:t>
            </w:r>
          </w:p>
        </w:tc>
        <w:tc>
          <w:tcPr>
            <w:tcW w:w="1018"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2</w:t>
            </w:r>
          </w:p>
        </w:tc>
        <w:tc>
          <w:tcPr>
            <w:tcW w:w="144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348</w:t>
            </w:r>
          </w:p>
        </w:tc>
        <w:tc>
          <w:tcPr>
            <w:tcW w:w="846" w:type="dxa"/>
            <w:vAlign w:val="center"/>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南北商务港</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温州路71号</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办公</w:t>
            </w:r>
          </w:p>
        </w:tc>
        <w:tc>
          <w:tcPr>
            <w:tcW w:w="661"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w:t>
            </w:r>
          </w:p>
        </w:tc>
        <w:tc>
          <w:tcPr>
            <w:tcW w:w="144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224</w:t>
            </w:r>
          </w:p>
        </w:tc>
        <w:tc>
          <w:tcPr>
            <w:tcW w:w="846" w:type="dxa"/>
            <w:vAlign w:val="center"/>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rPr>
                <w:rFonts w:ascii="宋体" w:hAnsi="宋体" w:cs="宋体"/>
                <w:color w:val="auto"/>
                <w:szCs w:val="21"/>
                <w:highlight w:val="none"/>
              </w:rPr>
            </w:pPr>
          </w:p>
        </w:tc>
        <w:tc>
          <w:tcPr>
            <w:tcW w:w="1565" w:type="dxa"/>
            <w:vMerge w:val="continue"/>
            <w:shd w:val="clear" w:color="auto" w:fill="auto"/>
            <w:vAlign w:val="center"/>
          </w:tcPr>
          <w:p>
            <w:pPr>
              <w:rPr>
                <w:rFonts w:ascii="宋体" w:hAnsi="宋体" w:cs="宋体"/>
                <w:color w:val="auto"/>
                <w:szCs w:val="21"/>
                <w:highlight w:val="none"/>
              </w:rPr>
            </w:pPr>
          </w:p>
        </w:tc>
        <w:tc>
          <w:tcPr>
            <w:tcW w:w="1018" w:type="dxa"/>
            <w:vMerge w:val="continue"/>
            <w:shd w:val="clear" w:color="auto" w:fill="auto"/>
            <w:vAlign w:val="center"/>
          </w:tcPr>
          <w:p>
            <w:pPr>
              <w:rPr>
                <w:rFonts w:ascii="宋体" w:hAnsi="宋体" w:cs="宋体"/>
                <w:color w:val="auto"/>
                <w:szCs w:val="21"/>
                <w:highlight w:val="none"/>
              </w:rPr>
            </w:pPr>
          </w:p>
        </w:tc>
        <w:tc>
          <w:tcPr>
            <w:tcW w:w="661" w:type="dxa"/>
            <w:vMerge w:val="continue"/>
            <w:shd w:val="clear" w:color="auto" w:fill="auto"/>
            <w:vAlign w:val="center"/>
          </w:tcPr>
          <w:p>
            <w:pPr>
              <w:rPr>
                <w:rFonts w:ascii="宋体" w:hAnsi="宋体" w:cs="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64</w:t>
            </w:r>
          </w:p>
        </w:tc>
        <w:tc>
          <w:tcPr>
            <w:tcW w:w="846" w:type="dxa"/>
            <w:vAlign w:val="center"/>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806"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定海西园</w:t>
            </w:r>
          </w:p>
        </w:tc>
        <w:tc>
          <w:tcPr>
            <w:tcW w:w="156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永庆路与丽水路交叉口</w:t>
            </w:r>
          </w:p>
        </w:tc>
        <w:tc>
          <w:tcPr>
            <w:tcW w:w="1018"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6</w:t>
            </w:r>
          </w:p>
        </w:tc>
        <w:tc>
          <w:tcPr>
            <w:tcW w:w="144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976</w:t>
            </w:r>
          </w:p>
        </w:tc>
        <w:tc>
          <w:tcPr>
            <w:tcW w:w="846" w:type="dxa"/>
            <w:vAlign w:val="center"/>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806"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左岸花园</w:t>
            </w:r>
          </w:p>
        </w:tc>
        <w:tc>
          <w:tcPr>
            <w:tcW w:w="156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永庆路120号</w:t>
            </w:r>
          </w:p>
        </w:tc>
        <w:tc>
          <w:tcPr>
            <w:tcW w:w="1018"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8</w:t>
            </w:r>
          </w:p>
        </w:tc>
        <w:tc>
          <w:tcPr>
            <w:tcW w:w="144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586</w:t>
            </w:r>
          </w:p>
        </w:tc>
        <w:tc>
          <w:tcPr>
            <w:tcW w:w="846" w:type="dxa"/>
            <w:vAlign w:val="center"/>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白马公寓</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密渡桥路1号</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708</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16</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转角灯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凯德视界轩</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登云路99号</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208</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46</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嘉泰馨庭</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登云路291号</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662</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42</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1806"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上风阁</w:t>
            </w:r>
          </w:p>
        </w:tc>
        <w:tc>
          <w:tcPr>
            <w:tcW w:w="1565"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和盛街111号</w:t>
            </w:r>
          </w:p>
        </w:tc>
        <w:tc>
          <w:tcPr>
            <w:tcW w:w="1018"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1"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1"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157</w:t>
            </w:r>
          </w:p>
        </w:tc>
        <w:tc>
          <w:tcPr>
            <w:tcW w:w="846" w:type="dxa"/>
            <w:shd w:val="clear" w:color="auto" w:fill="FFFFFF"/>
          </w:tcPr>
          <w:p>
            <w:pPr>
              <w:jc w:val="center"/>
              <w:rPr>
                <w:rFonts w:ascii="宋体" w:hAnsi="宋体"/>
                <w:color w:val="auto"/>
                <w:szCs w:val="21"/>
                <w:highlight w:val="none"/>
              </w:rPr>
            </w:pPr>
          </w:p>
        </w:tc>
        <w:tc>
          <w:tcPr>
            <w:tcW w:w="846" w:type="dxa"/>
            <w:shd w:val="clear" w:color="auto" w:fill="FFFFFF"/>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百瑞运河大饭店</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金华路58号</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经营</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立杆组合投光灯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37</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埋地灯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LED点光源</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24624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15</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联合世纪新筑</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莫干山路与余杭塘河交叉口</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金卤灯光灯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LED线条灯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1432</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16</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信义巷小区</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莫干山路与余杭塘路交叉口</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54</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vAlign w:val="center"/>
          </w:tcPr>
          <w:p>
            <w:pPr>
              <w:jc w:val="center"/>
              <w:rPr>
                <w:rFonts w:ascii="宋体" w:hAnsi="宋体"/>
                <w:color w:val="auto"/>
                <w:szCs w:val="21"/>
                <w:highlight w:val="none"/>
              </w:rPr>
            </w:pPr>
          </w:p>
        </w:tc>
        <w:tc>
          <w:tcPr>
            <w:tcW w:w="1806" w:type="dxa"/>
            <w:vMerge w:val="continue"/>
            <w:vAlign w:val="center"/>
          </w:tcPr>
          <w:p>
            <w:pPr>
              <w:jc w:val="center"/>
              <w:rPr>
                <w:rFonts w:ascii="宋体" w:hAnsi="宋体"/>
                <w:color w:val="auto"/>
                <w:szCs w:val="21"/>
                <w:highlight w:val="none"/>
              </w:rPr>
            </w:pPr>
          </w:p>
        </w:tc>
        <w:tc>
          <w:tcPr>
            <w:tcW w:w="1565" w:type="dxa"/>
            <w:vMerge w:val="continue"/>
            <w:vAlign w:val="center"/>
          </w:tcPr>
          <w:p>
            <w:pPr>
              <w:jc w:val="center"/>
              <w:rPr>
                <w:rFonts w:ascii="宋体" w:hAnsi="宋体"/>
                <w:color w:val="auto"/>
                <w:szCs w:val="21"/>
                <w:highlight w:val="none"/>
              </w:rPr>
            </w:pPr>
          </w:p>
        </w:tc>
        <w:tc>
          <w:tcPr>
            <w:tcW w:w="1018" w:type="dxa"/>
            <w:vMerge w:val="continue"/>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金卤投光灯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30</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vAlign w:val="center"/>
          </w:tcPr>
          <w:p>
            <w:pPr>
              <w:jc w:val="center"/>
              <w:rPr>
                <w:rFonts w:ascii="宋体" w:hAnsi="宋体"/>
                <w:color w:val="auto"/>
                <w:szCs w:val="21"/>
                <w:highlight w:val="none"/>
              </w:rPr>
            </w:pPr>
          </w:p>
        </w:tc>
        <w:tc>
          <w:tcPr>
            <w:tcW w:w="1806" w:type="dxa"/>
            <w:vMerge w:val="continue"/>
            <w:vAlign w:val="center"/>
          </w:tcPr>
          <w:p>
            <w:pPr>
              <w:jc w:val="center"/>
              <w:rPr>
                <w:rFonts w:ascii="宋体" w:hAnsi="宋体"/>
                <w:color w:val="auto"/>
                <w:szCs w:val="21"/>
                <w:highlight w:val="none"/>
              </w:rPr>
            </w:pPr>
          </w:p>
        </w:tc>
        <w:tc>
          <w:tcPr>
            <w:tcW w:w="1565" w:type="dxa"/>
            <w:vMerge w:val="continue"/>
            <w:vAlign w:val="center"/>
          </w:tcPr>
          <w:p>
            <w:pPr>
              <w:jc w:val="center"/>
              <w:rPr>
                <w:rFonts w:ascii="宋体" w:hAnsi="宋体"/>
                <w:color w:val="auto"/>
                <w:szCs w:val="21"/>
                <w:highlight w:val="none"/>
              </w:rPr>
            </w:pPr>
          </w:p>
        </w:tc>
        <w:tc>
          <w:tcPr>
            <w:tcW w:w="1018" w:type="dxa"/>
            <w:vMerge w:val="continue"/>
            <w:vAlign w:val="center"/>
          </w:tcPr>
          <w:p>
            <w:pPr>
              <w:jc w:val="center"/>
              <w:rPr>
                <w:rFonts w:ascii="宋体" w:hAnsi="宋体"/>
                <w:color w:val="auto"/>
                <w:szCs w:val="21"/>
                <w:highlight w:val="none"/>
              </w:rPr>
            </w:pPr>
          </w:p>
        </w:tc>
        <w:tc>
          <w:tcPr>
            <w:tcW w:w="661" w:type="dxa"/>
            <w:vMerge w:val="continue"/>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126</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17</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D32街区</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登云路及小河路交叉口</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经营</w:t>
            </w:r>
          </w:p>
        </w:tc>
        <w:tc>
          <w:tcPr>
            <w:tcW w:w="66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LED线条灯（18W/米 蓝色）</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82</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vAlign w:val="center"/>
          </w:tcPr>
          <w:p>
            <w:pPr>
              <w:jc w:val="center"/>
              <w:rPr>
                <w:rFonts w:ascii="宋体" w:hAnsi="宋体"/>
                <w:color w:val="auto"/>
                <w:szCs w:val="21"/>
                <w:highlight w:val="none"/>
              </w:rPr>
            </w:pPr>
          </w:p>
        </w:tc>
        <w:tc>
          <w:tcPr>
            <w:tcW w:w="1806" w:type="dxa"/>
            <w:vMerge w:val="continue"/>
            <w:vAlign w:val="center"/>
          </w:tcPr>
          <w:p>
            <w:pPr>
              <w:jc w:val="center"/>
              <w:rPr>
                <w:rFonts w:ascii="宋体" w:hAnsi="宋体"/>
                <w:color w:val="auto"/>
                <w:szCs w:val="21"/>
                <w:highlight w:val="none"/>
              </w:rPr>
            </w:pPr>
          </w:p>
        </w:tc>
        <w:tc>
          <w:tcPr>
            <w:tcW w:w="1565" w:type="dxa"/>
            <w:vMerge w:val="continue"/>
            <w:vAlign w:val="center"/>
          </w:tcPr>
          <w:p>
            <w:pPr>
              <w:jc w:val="center"/>
              <w:rPr>
                <w:rFonts w:ascii="宋体" w:hAnsi="宋体"/>
                <w:color w:val="auto"/>
                <w:szCs w:val="21"/>
                <w:highlight w:val="none"/>
              </w:rPr>
            </w:pPr>
          </w:p>
        </w:tc>
        <w:tc>
          <w:tcPr>
            <w:tcW w:w="1018" w:type="dxa"/>
            <w:vMerge w:val="continue"/>
            <w:vAlign w:val="center"/>
          </w:tcPr>
          <w:p>
            <w:pPr>
              <w:jc w:val="center"/>
              <w:rPr>
                <w:rFonts w:ascii="宋体" w:hAnsi="宋体"/>
                <w:color w:val="auto"/>
                <w:szCs w:val="21"/>
                <w:highlight w:val="none"/>
              </w:rPr>
            </w:pPr>
          </w:p>
        </w:tc>
        <w:tc>
          <w:tcPr>
            <w:tcW w:w="661" w:type="dxa"/>
            <w:vMerge w:val="continue"/>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LED线条灯（12W/米 RGB）</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1197</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vAlign w:val="center"/>
          </w:tcPr>
          <w:p>
            <w:pPr>
              <w:jc w:val="center"/>
              <w:rPr>
                <w:rFonts w:ascii="宋体" w:hAnsi="宋体"/>
                <w:color w:val="auto"/>
                <w:szCs w:val="21"/>
                <w:highlight w:val="none"/>
              </w:rPr>
            </w:pPr>
          </w:p>
        </w:tc>
        <w:tc>
          <w:tcPr>
            <w:tcW w:w="1806" w:type="dxa"/>
            <w:vMerge w:val="continue"/>
            <w:vAlign w:val="center"/>
          </w:tcPr>
          <w:p>
            <w:pPr>
              <w:jc w:val="center"/>
              <w:rPr>
                <w:rFonts w:ascii="宋体" w:hAnsi="宋体"/>
                <w:color w:val="auto"/>
                <w:szCs w:val="21"/>
                <w:highlight w:val="none"/>
              </w:rPr>
            </w:pPr>
          </w:p>
        </w:tc>
        <w:tc>
          <w:tcPr>
            <w:tcW w:w="1565" w:type="dxa"/>
            <w:vMerge w:val="continue"/>
            <w:vAlign w:val="center"/>
          </w:tcPr>
          <w:p>
            <w:pPr>
              <w:jc w:val="center"/>
              <w:rPr>
                <w:rFonts w:ascii="宋体" w:hAnsi="宋体"/>
                <w:color w:val="auto"/>
                <w:szCs w:val="21"/>
                <w:highlight w:val="none"/>
              </w:rPr>
            </w:pPr>
          </w:p>
        </w:tc>
        <w:tc>
          <w:tcPr>
            <w:tcW w:w="1018" w:type="dxa"/>
            <w:vMerge w:val="continue"/>
            <w:vAlign w:val="center"/>
          </w:tcPr>
          <w:p>
            <w:pPr>
              <w:jc w:val="center"/>
              <w:rPr>
                <w:rFonts w:ascii="宋体" w:hAnsi="宋体"/>
                <w:color w:val="auto"/>
                <w:szCs w:val="21"/>
                <w:highlight w:val="none"/>
              </w:rPr>
            </w:pPr>
          </w:p>
        </w:tc>
        <w:tc>
          <w:tcPr>
            <w:tcW w:w="661" w:type="dxa"/>
            <w:vMerge w:val="continue"/>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LED线条灯（3W RGB）</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15</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vAlign w:val="center"/>
          </w:tcPr>
          <w:p>
            <w:pPr>
              <w:jc w:val="center"/>
              <w:rPr>
                <w:rFonts w:ascii="宋体" w:hAnsi="宋体"/>
                <w:color w:val="auto"/>
                <w:szCs w:val="21"/>
                <w:highlight w:val="none"/>
              </w:rPr>
            </w:pPr>
          </w:p>
        </w:tc>
        <w:tc>
          <w:tcPr>
            <w:tcW w:w="1806" w:type="dxa"/>
            <w:vMerge w:val="continue"/>
            <w:vAlign w:val="center"/>
          </w:tcPr>
          <w:p>
            <w:pPr>
              <w:jc w:val="center"/>
              <w:rPr>
                <w:rFonts w:ascii="宋体" w:hAnsi="宋体"/>
                <w:color w:val="auto"/>
                <w:szCs w:val="21"/>
                <w:highlight w:val="none"/>
              </w:rPr>
            </w:pPr>
          </w:p>
        </w:tc>
        <w:tc>
          <w:tcPr>
            <w:tcW w:w="1565" w:type="dxa"/>
            <w:vMerge w:val="continue"/>
            <w:vAlign w:val="center"/>
          </w:tcPr>
          <w:p>
            <w:pPr>
              <w:jc w:val="center"/>
              <w:rPr>
                <w:rFonts w:ascii="宋体" w:hAnsi="宋体"/>
                <w:color w:val="auto"/>
                <w:szCs w:val="21"/>
                <w:highlight w:val="none"/>
              </w:rPr>
            </w:pPr>
          </w:p>
        </w:tc>
        <w:tc>
          <w:tcPr>
            <w:tcW w:w="1018" w:type="dxa"/>
            <w:vMerge w:val="continue"/>
            <w:vAlign w:val="center"/>
          </w:tcPr>
          <w:p>
            <w:pPr>
              <w:jc w:val="center"/>
              <w:rPr>
                <w:rFonts w:ascii="宋体" w:hAnsi="宋体"/>
                <w:color w:val="auto"/>
                <w:szCs w:val="21"/>
                <w:highlight w:val="none"/>
              </w:rPr>
            </w:pPr>
          </w:p>
        </w:tc>
        <w:tc>
          <w:tcPr>
            <w:tcW w:w="661" w:type="dxa"/>
            <w:vMerge w:val="continue"/>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12W定制吸顶灯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18</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vAlign w:val="center"/>
          </w:tcPr>
          <w:p>
            <w:pPr>
              <w:jc w:val="center"/>
              <w:rPr>
                <w:rFonts w:ascii="宋体" w:hAnsi="宋体"/>
                <w:color w:val="auto"/>
                <w:szCs w:val="21"/>
                <w:highlight w:val="none"/>
              </w:rPr>
            </w:pPr>
          </w:p>
        </w:tc>
        <w:tc>
          <w:tcPr>
            <w:tcW w:w="1806" w:type="dxa"/>
            <w:vMerge w:val="continue"/>
            <w:vAlign w:val="center"/>
          </w:tcPr>
          <w:p>
            <w:pPr>
              <w:jc w:val="center"/>
              <w:rPr>
                <w:rFonts w:ascii="宋体" w:hAnsi="宋体"/>
                <w:color w:val="auto"/>
                <w:szCs w:val="21"/>
                <w:highlight w:val="none"/>
              </w:rPr>
            </w:pPr>
          </w:p>
        </w:tc>
        <w:tc>
          <w:tcPr>
            <w:tcW w:w="1565" w:type="dxa"/>
            <w:vMerge w:val="continue"/>
            <w:vAlign w:val="center"/>
          </w:tcPr>
          <w:p>
            <w:pPr>
              <w:jc w:val="center"/>
              <w:rPr>
                <w:rFonts w:ascii="宋体" w:hAnsi="宋体"/>
                <w:color w:val="auto"/>
                <w:szCs w:val="21"/>
                <w:highlight w:val="none"/>
              </w:rPr>
            </w:pPr>
          </w:p>
        </w:tc>
        <w:tc>
          <w:tcPr>
            <w:tcW w:w="1018" w:type="dxa"/>
            <w:vMerge w:val="continue"/>
            <w:vAlign w:val="center"/>
          </w:tcPr>
          <w:p>
            <w:pPr>
              <w:jc w:val="center"/>
              <w:rPr>
                <w:rFonts w:ascii="宋体" w:hAnsi="宋体"/>
                <w:color w:val="auto"/>
                <w:szCs w:val="21"/>
                <w:highlight w:val="none"/>
              </w:rPr>
            </w:pPr>
          </w:p>
        </w:tc>
        <w:tc>
          <w:tcPr>
            <w:tcW w:w="661" w:type="dxa"/>
            <w:vMerge w:val="continue"/>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3WLED射灯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181</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18</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金华路、运河广场</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金华路、运河广场</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RGB单色</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427</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金卤灯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304</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LED投光灯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268</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LED线条灯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319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19</w:t>
            </w:r>
          </w:p>
        </w:tc>
        <w:tc>
          <w:tcPr>
            <w:tcW w:w="180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莫干山路</w:t>
            </w:r>
          </w:p>
        </w:tc>
        <w:tc>
          <w:tcPr>
            <w:tcW w:w="1565"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莫干山路沿线</w:t>
            </w:r>
          </w:p>
        </w:tc>
        <w:tc>
          <w:tcPr>
            <w:tcW w:w="1018"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LED绿化投光灯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1607</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LED绿化地埋灯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265</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LED绿化地埋灯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32</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地埋线条灯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75</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灯串</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1900</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球泡灯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小挂件</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161</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壁灯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射灯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87</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shd w:val="clear" w:color="auto" w:fill="auto"/>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投影灯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20</w:t>
            </w:r>
          </w:p>
        </w:tc>
        <w:tc>
          <w:tcPr>
            <w:tcW w:w="1806"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拱宸桥东商街区</w:t>
            </w:r>
          </w:p>
        </w:tc>
        <w:tc>
          <w:tcPr>
            <w:tcW w:w="156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拱宸桥东</w:t>
            </w:r>
          </w:p>
        </w:tc>
        <w:tc>
          <w:tcPr>
            <w:tcW w:w="1018"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LED景观灯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1329</w:t>
            </w:r>
          </w:p>
        </w:tc>
        <w:tc>
          <w:tcPr>
            <w:tcW w:w="846" w:type="dxa"/>
          </w:tcPr>
          <w:p>
            <w:pPr>
              <w:jc w:val="center"/>
              <w:rPr>
                <w:rFonts w:ascii="宋体" w:hAnsi="宋体"/>
                <w:color w:val="auto"/>
                <w:szCs w:val="21"/>
                <w:highlight w:val="none"/>
              </w:rPr>
            </w:pPr>
          </w:p>
        </w:tc>
        <w:tc>
          <w:tcPr>
            <w:tcW w:w="846"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Align w:val="center"/>
          </w:tcPr>
          <w:p>
            <w:pPr>
              <w:jc w:val="center"/>
              <w:rPr>
                <w:rFonts w:ascii="宋体" w:hAnsi="宋体"/>
                <w:color w:val="auto"/>
                <w:szCs w:val="21"/>
                <w:highlight w:val="none"/>
              </w:rPr>
            </w:pPr>
            <w:r>
              <w:rPr>
                <w:rFonts w:hint="eastAsia" w:ascii="宋体" w:hAnsi="宋体"/>
                <w:color w:val="auto"/>
                <w:szCs w:val="21"/>
                <w:highlight w:val="none"/>
              </w:rPr>
              <w:t>21</w:t>
            </w:r>
          </w:p>
        </w:tc>
        <w:tc>
          <w:tcPr>
            <w:tcW w:w="1806"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游步道、绿地等暗区</w:t>
            </w:r>
          </w:p>
        </w:tc>
        <w:tc>
          <w:tcPr>
            <w:tcW w:w="156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w:t>
            </w:r>
          </w:p>
        </w:tc>
        <w:tc>
          <w:tcPr>
            <w:tcW w:w="1018"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LED庭院灯、草坪灯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1145</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22</w:t>
            </w:r>
          </w:p>
        </w:tc>
        <w:tc>
          <w:tcPr>
            <w:tcW w:w="180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塘河夜跑廊道</w:t>
            </w:r>
          </w:p>
        </w:tc>
        <w:tc>
          <w:tcPr>
            <w:tcW w:w="1565" w:type="dxa"/>
            <w:vMerge w:val="restart"/>
            <w:shd w:val="clear" w:color="auto" w:fill="auto"/>
            <w:vAlign w:val="center"/>
          </w:tcPr>
          <w:p>
            <w:pPr>
              <w:jc w:val="center"/>
              <w:rPr>
                <w:rFonts w:ascii="宋体" w:hAnsi="宋体"/>
                <w:color w:val="auto"/>
                <w:szCs w:val="21"/>
                <w:highlight w:val="none"/>
              </w:rPr>
            </w:pPr>
          </w:p>
        </w:tc>
        <w:tc>
          <w:tcPr>
            <w:tcW w:w="1018"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公共区城</w:t>
            </w: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LED点光源(双透)</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5156</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Merge w:val="continue"/>
            <w:vAlign w:val="center"/>
          </w:tcPr>
          <w:p>
            <w:pPr>
              <w:jc w:val="center"/>
              <w:rPr>
                <w:rFonts w:ascii="宋体" w:hAnsi="宋体"/>
                <w:color w:val="auto"/>
                <w:szCs w:val="21"/>
                <w:highlight w:val="none"/>
              </w:rPr>
            </w:pPr>
          </w:p>
        </w:tc>
        <w:tc>
          <w:tcPr>
            <w:tcW w:w="1806" w:type="dxa"/>
            <w:vMerge w:val="continue"/>
            <w:shd w:val="clear" w:color="auto" w:fill="auto"/>
            <w:vAlign w:val="center"/>
          </w:tcPr>
          <w:p>
            <w:pPr>
              <w:jc w:val="center"/>
              <w:rPr>
                <w:rFonts w:ascii="宋体" w:hAnsi="宋体"/>
                <w:color w:val="auto"/>
                <w:szCs w:val="21"/>
                <w:highlight w:val="none"/>
              </w:rPr>
            </w:pPr>
          </w:p>
        </w:tc>
        <w:tc>
          <w:tcPr>
            <w:tcW w:w="1565" w:type="dxa"/>
            <w:vMerge w:val="continue"/>
            <w:shd w:val="clear" w:color="auto" w:fill="auto"/>
            <w:vAlign w:val="center"/>
          </w:tcPr>
          <w:p>
            <w:pPr>
              <w:jc w:val="center"/>
              <w:rPr>
                <w:rFonts w:ascii="宋体" w:hAnsi="宋体"/>
                <w:color w:val="auto"/>
                <w:szCs w:val="21"/>
                <w:highlight w:val="none"/>
              </w:rPr>
            </w:pPr>
          </w:p>
        </w:tc>
        <w:tc>
          <w:tcPr>
            <w:tcW w:w="1018" w:type="dxa"/>
            <w:vMerge w:val="continue"/>
            <w:shd w:val="clear" w:color="auto" w:fill="auto"/>
            <w:vAlign w:val="center"/>
          </w:tcPr>
          <w:p>
            <w:pPr>
              <w:jc w:val="center"/>
              <w:rPr>
                <w:rFonts w:ascii="宋体" w:hAnsi="宋体"/>
                <w:color w:val="auto"/>
                <w:szCs w:val="21"/>
                <w:highlight w:val="none"/>
              </w:rPr>
            </w:pPr>
          </w:p>
        </w:tc>
        <w:tc>
          <w:tcPr>
            <w:tcW w:w="661" w:type="dxa"/>
            <w:shd w:val="clear" w:color="auto" w:fill="auto"/>
            <w:vAlign w:val="center"/>
          </w:tcPr>
          <w:p>
            <w:pPr>
              <w:jc w:val="center"/>
              <w:rPr>
                <w:rFonts w:ascii="宋体" w:hAnsi="宋体"/>
                <w:color w:val="auto"/>
                <w:szCs w:val="21"/>
                <w:highlight w:val="none"/>
              </w:rPr>
            </w:pPr>
          </w:p>
        </w:tc>
        <w:tc>
          <w:tcPr>
            <w:tcW w:w="1441"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LED点光源(单透)</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390</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dxa"/>
            <w:vAlign w:val="center"/>
          </w:tcPr>
          <w:p>
            <w:pPr>
              <w:jc w:val="center"/>
              <w:rPr>
                <w:rFonts w:ascii="宋体" w:hAnsi="宋体"/>
                <w:color w:val="auto"/>
                <w:szCs w:val="21"/>
                <w:highlight w:val="none"/>
              </w:rPr>
            </w:pPr>
            <w:r>
              <w:rPr>
                <w:rFonts w:ascii="宋体" w:hAnsi="宋体"/>
                <w:color w:val="auto"/>
                <w:szCs w:val="21"/>
                <w:highlight w:val="none"/>
              </w:rPr>
              <w:t>23</w:t>
            </w:r>
          </w:p>
        </w:tc>
        <w:tc>
          <w:tcPr>
            <w:tcW w:w="5050" w:type="dxa"/>
            <w:gridSpan w:val="4"/>
            <w:shd w:val="clear" w:color="auto" w:fill="auto"/>
            <w:vAlign w:val="center"/>
          </w:tcPr>
          <w:p>
            <w:pPr>
              <w:jc w:val="center"/>
              <w:rPr>
                <w:rFonts w:ascii="宋体" w:hAnsi="宋体"/>
                <w:color w:val="auto"/>
                <w:szCs w:val="21"/>
                <w:highlight w:val="none"/>
              </w:rPr>
            </w:pPr>
            <w:r>
              <w:rPr>
                <w:rFonts w:hint="eastAsia" w:ascii="宋体" w:hAnsi="宋体"/>
                <w:b/>
                <w:color w:val="auto"/>
                <w:szCs w:val="21"/>
                <w:highlight w:val="none"/>
              </w:rPr>
              <w:t>夜景动态方案制作及维护费</w:t>
            </w:r>
          </w:p>
        </w:tc>
        <w:tc>
          <w:tcPr>
            <w:tcW w:w="1441" w:type="dxa"/>
            <w:shd w:val="clear" w:color="auto" w:fill="auto"/>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w:t>
            </w:r>
          </w:p>
        </w:tc>
        <w:tc>
          <w:tcPr>
            <w:tcW w:w="850" w:type="dxa"/>
            <w:shd w:val="clear" w:color="auto" w:fill="auto"/>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846" w:type="dxa"/>
          </w:tcPr>
          <w:p>
            <w:pPr>
              <w:jc w:val="center"/>
              <w:rPr>
                <w:rFonts w:ascii="宋体" w:hAnsi="宋体" w:cs="宋体"/>
                <w:color w:val="auto"/>
                <w:szCs w:val="21"/>
                <w:highlight w:val="none"/>
              </w:rPr>
            </w:pPr>
          </w:p>
        </w:tc>
        <w:tc>
          <w:tcPr>
            <w:tcW w:w="846" w:type="dxa"/>
            <w:shd w:val="clear" w:color="auto" w:fill="auto"/>
            <w:vAlign w:val="center"/>
          </w:tcPr>
          <w:p>
            <w:pPr>
              <w:jc w:val="center"/>
              <w:rPr>
                <w:rFonts w:ascii="宋体" w:hAnsi="宋体" w:cs="宋体"/>
                <w:color w:val="auto"/>
                <w:szCs w:val="21"/>
                <w:highlight w:val="none"/>
              </w:rPr>
            </w:pPr>
          </w:p>
        </w:tc>
      </w:tr>
    </w:tbl>
    <w:p>
      <w:pPr>
        <w:pStyle w:val="23"/>
        <w:adjustRightInd w:val="0"/>
        <w:snapToGrid w:val="0"/>
        <w:spacing w:line="360" w:lineRule="auto"/>
        <w:ind w:firstLine="480"/>
        <w:rPr>
          <w:rFonts w:hAnsi="宋体"/>
          <w:b/>
          <w:color w:val="auto"/>
          <w:szCs w:val="21"/>
          <w:highlight w:val="none"/>
        </w:rPr>
      </w:pPr>
      <w:r>
        <w:rPr>
          <w:rFonts w:hint="eastAsia" w:cs="Arial"/>
          <w:b/>
          <w:color w:val="auto"/>
          <w:highlight w:val="none"/>
          <w:u w:val="single"/>
        </w:rPr>
        <w:t>注：</w:t>
      </w:r>
      <w:r>
        <w:rPr>
          <w:rFonts w:hint="eastAsia" w:hAnsi="宋体"/>
          <w:b/>
          <w:color w:val="auto"/>
          <w:szCs w:val="21"/>
          <w:highlight w:val="none"/>
        </w:rPr>
        <w:t>标项二报价包括用于夜景动态方案制作与维护费用，建议不少于1.5元/盏，相关报价由投标单位综合考虑。</w:t>
      </w:r>
    </w:p>
    <w:p>
      <w:pPr>
        <w:pStyle w:val="23"/>
        <w:adjustRightInd w:val="0"/>
        <w:snapToGrid w:val="0"/>
        <w:spacing w:line="360" w:lineRule="auto"/>
        <w:ind w:firstLine="480"/>
        <w:rPr>
          <w:rFonts w:ascii="Arial" w:hAnsi="Arial" w:cs="Arial"/>
          <w:color w:val="auto"/>
          <w:highlight w:val="none"/>
        </w:rPr>
      </w:pPr>
    </w:p>
    <w:p>
      <w:pPr>
        <w:pStyle w:val="23"/>
        <w:adjustRightInd w:val="0"/>
        <w:snapToGrid w:val="0"/>
        <w:spacing w:line="360" w:lineRule="auto"/>
        <w:ind w:firstLine="480"/>
        <w:rPr>
          <w:rFonts w:ascii="Arial" w:hAnsi="Arial" w:cs="Arial"/>
          <w:color w:val="auto"/>
          <w:highlight w:val="none"/>
        </w:rPr>
      </w:pPr>
      <w:r>
        <w:rPr>
          <w:rFonts w:ascii="Arial" w:hAnsi="Arial" w:cs="Arial"/>
          <w:color w:val="auto"/>
          <w:highlight w:val="none"/>
        </w:rPr>
        <w:t>投标人全称（盖单位公章）：</w:t>
      </w:r>
    </w:p>
    <w:p>
      <w:pPr>
        <w:pStyle w:val="23"/>
        <w:adjustRightInd w:val="0"/>
        <w:snapToGrid w:val="0"/>
        <w:spacing w:line="360" w:lineRule="auto"/>
        <w:ind w:firstLine="480"/>
        <w:rPr>
          <w:rFonts w:ascii="Arial" w:hAnsi="Arial" w:cs="Arial"/>
          <w:color w:val="auto"/>
          <w:highlight w:val="none"/>
        </w:rPr>
      </w:pPr>
      <w:r>
        <w:rPr>
          <w:rFonts w:ascii="Arial" w:hAnsi="Arial" w:cs="Arial"/>
          <w:color w:val="auto"/>
          <w:highlight w:val="none"/>
        </w:rPr>
        <w:t>投标文件签署人（签字或盖章）：</w:t>
      </w:r>
    </w:p>
    <w:p>
      <w:pPr>
        <w:pStyle w:val="23"/>
        <w:adjustRightInd w:val="0"/>
        <w:snapToGrid w:val="0"/>
        <w:spacing w:line="360" w:lineRule="auto"/>
        <w:ind w:firstLine="480"/>
        <w:rPr>
          <w:rFonts w:ascii="Arial" w:hAnsi="Arial" w:cs="Arial"/>
          <w:color w:val="auto"/>
          <w:highlight w:val="none"/>
        </w:rPr>
      </w:pPr>
      <w:r>
        <w:rPr>
          <w:rFonts w:ascii="Arial" w:hAnsi="Arial" w:cs="Arial"/>
          <w:color w:val="auto"/>
          <w:highlight w:val="none"/>
        </w:rPr>
        <w:t>日期：</w:t>
      </w:r>
    </w:p>
    <w:p>
      <w:pPr>
        <w:pStyle w:val="2"/>
        <w:ind w:firstLine="420"/>
        <w:rPr>
          <w:color w:val="auto"/>
          <w:highlight w:val="none"/>
          <w:lang w:val="en-US"/>
        </w:rPr>
      </w:pPr>
    </w:p>
    <w:p>
      <w:pPr>
        <w:widowControl/>
        <w:jc w:val="left"/>
        <w:rPr>
          <w:rFonts w:ascii="Arial" w:hAnsi="Arial" w:cs="Arial"/>
          <w:b/>
          <w:bCs/>
          <w:color w:val="auto"/>
          <w:szCs w:val="32"/>
          <w:highlight w:val="none"/>
        </w:rPr>
      </w:pPr>
    </w:p>
    <w:p>
      <w:pPr>
        <w:widowControl/>
        <w:jc w:val="left"/>
        <w:rPr>
          <w:rFonts w:ascii="Arial" w:hAnsi="Arial" w:cs="Arial"/>
          <w:b/>
          <w:bCs/>
          <w:color w:val="auto"/>
          <w:szCs w:val="32"/>
          <w:highlight w:val="none"/>
        </w:rPr>
      </w:pPr>
      <w:r>
        <w:rPr>
          <w:rFonts w:cs="Arial"/>
          <w:color w:val="auto"/>
          <w:highlight w:val="none"/>
        </w:rPr>
        <w:br w:type="page"/>
      </w:r>
    </w:p>
    <w:p>
      <w:pPr>
        <w:pStyle w:val="5"/>
        <w:ind w:firstLine="422"/>
        <w:rPr>
          <w:rFonts w:cs="Arial"/>
          <w:color w:val="auto"/>
          <w:highlight w:val="none"/>
        </w:rPr>
      </w:pPr>
      <w:r>
        <w:rPr>
          <w:rFonts w:cs="Arial"/>
          <w:color w:val="auto"/>
          <w:highlight w:val="none"/>
        </w:rPr>
        <w:t>四、交纳采购代理服务费承诺书</w:t>
      </w:r>
      <w:bookmarkEnd w:id="77"/>
      <w:bookmarkEnd w:id="78"/>
    </w:p>
    <w:p>
      <w:pPr>
        <w:adjustRightInd w:val="0"/>
        <w:snapToGrid w:val="0"/>
        <w:spacing w:line="300" w:lineRule="auto"/>
        <w:ind w:firstLine="422"/>
        <w:jc w:val="center"/>
        <w:rPr>
          <w:rFonts w:ascii="Arial" w:hAnsi="Arial" w:cs="Arial"/>
          <w:b/>
          <w:bCs/>
          <w:color w:val="auto"/>
          <w:sz w:val="24"/>
          <w:highlight w:val="none"/>
        </w:rPr>
      </w:pP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交纳采购代理服务费承诺书</w:t>
      </w:r>
    </w:p>
    <w:p>
      <w:pPr>
        <w:adjustRightInd w:val="0"/>
        <w:snapToGrid w:val="0"/>
        <w:spacing w:line="300" w:lineRule="auto"/>
        <w:rPr>
          <w:rFonts w:ascii="Arial" w:hAnsi="Arial" w:cs="Arial"/>
          <w:color w:val="auto"/>
          <w:szCs w:val="21"/>
          <w:highlight w:val="none"/>
        </w:rPr>
      </w:pPr>
      <w:r>
        <w:rPr>
          <w:rFonts w:ascii="Arial" w:hAnsi="Arial" w:cs="Arial"/>
          <w:color w:val="auto"/>
          <w:szCs w:val="21"/>
          <w:highlight w:val="none"/>
        </w:rPr>
        <w:t>浙江省成套招标代理有限公司：</w:t>
      </w:r>
    </w:p>
    <w:p>
      <w:pPr>
        <w:adjustRightInd w:val="0"/>
        <w:snapToGrid w:val="0"/>
        <w:spacing w:line="300" w:lineRule="auto"/>
        <w:ind w:firstLine="420" w:firstLineChars="200"/>
        <w:rPr>
          <w:rFonts w:ascii="Arial" w:hAnsi="Arial" w:cs="Arial"/>
          <w:color w:val="auto"/>
          <w:szCs w:val="21"/>
          <w:highlight w:val="none"/>
        </w:rPr>
      </w:pP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我公司在你公司组织的</w:t>
      </w:r>
      <w:r>
        <w:rPr>
          <w:rFonts w:ascii="Arial" w:hAnsi="Arial" w:cs="Arial"/>
          <w:color w:val="auto"/>
          <w:szCs w:val="21"/>
          <w:highlight w:val="none"/>
          <w:u w:val="single"/>
        </w:rPr>
        <w:t>杭州市拱墅区城市管理局（采购人）</w:t>
      </w:r>
      <w:r>
        <w:rPr>
          <w:rFonts w:hint="eastAsia" w:ascii="Arial" w:hAnsi="Arial" w:cs="Arial"/>
          <w:color w:val="auto"/>
          <w:szCs w:val="21"/>
          <w:highlight w:val="none"/>
          <w:u w:val="single"/>
        </w:rPr>
        <w:t>2020年拱墅区“峰会”亮灯工程第二次运行维护项目</w:t>
      </w:r>
      <w:r>
        <w:rPr>
          <w:rFonts w:ascii="Arial" w:hAnsi="Arial" w:cs="Arial"/>
          <w:color w:val="auto"/>
          <w:szCs w:val="21"/>
          <w:highlight w:val="none"/>
          <w:u w:val="single"/>
        </w:rPr>
        <w:t>（项目名称）</w:t>
      </w:r>
      <w:r>
        <w:rPr>
          <w:rFonts w:hint="eastAsia" w:ascii="Arial" w:hAnsi="Arial" w:cs="Arial"/>
          <w:color w:val="auto"/>
          <w:szCs w:val="21"/>
          <w:highlight w:val="none"/>
          <w:u w:val="single"/>
          <w:lang w:eastAsia="zh-CN"/>
        </w:rPr>
        <w:t>CTZB-2020040466</w:t>
      </w:r>
      <w:r>
        <w:rPr>
          <w:rFonts w:ascii="Arial" w:hAnsi="Arial" w:cs="Arial"/>
          <w:color w:val="auto"/>
          <w:szCs w:val="21"/>
          <w:highlight w:val="none"/>
          <w:u w:val="single"/>
        </w:rPr>
        <w:t>（项目编号）</w:t>
      </w:r>
      <w:r>
        <w:rPr>
          <w:rFonts w:ascii="Arial" w:hAnsi="Arial" w:cs="Arial"/>
          <w:color w:val="auto"/>
          <w:szCs w:val="21"/>
          <w:highlight w:val="none"/>
        </w:rPr>
        <w:t>的招标中若获中标，我公司保证在</w:t>
      </w:r>
      <w:r>
        <w:rPr>
          <w:rFonts w:ascii="Arial" w:hAnsi="Arial" w:cs="Arial"/>
          <w:b/>
          <w:color w:val="auto"/>
          <w:szCs w:val="21"/>
          <w:highlight w:val="none"/>
        </w:rPr>
        <w:t>收到你公司通知后</w:t>
      </w:r>
      <w:r>
        <w:rPr>
          <w:rFonts w:ascii="Arial" w:hAnsi="Arial" w:cs="Arial"/>
          <w:color w:val="auto"/>
          <w:szCs w:val="21"/>
          <w:highlight w:val="none"/>
        </w:rPr>
        <w:t>按招标文件中</w:t>
      </w:r>
      <w:r>
        <w:rPr>
          <w:rFonts w:ascii="Arial" w:hAnsi="Arial" w:cs="Arial"/>
          <w:b/>
          <w:color w:val="auto"/>
          <w:szCs w:val="21"/>
          <w:highlight w:val="none"/>
        </w:rPr>
        <w:t>前附表</w:t>
      </w:r>
      <w:r>
        <w:rPr>
          <w:rFonts w:ascii="Arial" w:hAnsi="Arial" w:cs="Arial"/>
          <w:color w:val="auto"/>
          <w:szCs w:val="21"/>
          <w:highlight w:val="none"/>
        </w:rPr>
        <w:t>的规定，向你公司即浙江省成套招标代理有限公司支付采购代理服务费。如我公司未按上述承诺支付采购代理服务费，你公司有权取消我公司中标资格，由此产生的一切法律后果和责任由我公司承担。我公司声明放弃对此提出任何异议和追索的权利。</w:t>
      </w:r>
    </w:p>
    <w:p>
      <w:pPr>
        <w:adjustRightInd w:val="0"/>
        <w:snapToGrid w:val="0"/>
        <w:spacing w:line="300" w:lineRule="auto"/>
        <w:ind w:firstLine="420" w:firstLineChars="200"/>
        <w:rPr>
          <w:rFonts w:ascii="Arial" w:hAnsi="Arial" w:cs="Arial"/>
          <w:color w:val="auto"/>
          <w:szCs w:val="21"/>
          <w:highlight w:val="none"/>
        </w:rPr>
      </w:pP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特此承诺。</w:t>
      </w:r>
    </w:p>
    <w:p>
      <w:pPr>
        <w:pStyle w:val="23"/>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投标人全称（盖单位公章）：</w:t>
      </w:r>
    </w:p>
    <w:p>
      <w:pPr>
        <w:pStyle w:val="23"/>
        <w:adjustRightInd w:val="0"/>
        <w:snapToGrid w:val="0"/>
        <w:spacing w:line="300" w:lineRule="auto"/>
        <w:ind w:firstLine="420" w:firstLineChars="200"/>
        <w:rPr>
          <w:rFonts w:ascii="Arial" w:hAnsi="Arial" w:cs="Arial"/>
          <w:color w:val="auto"/>
          <w:highlight w:val="none"/>
          <w:u w:val="single"/>
        </w:rPr>
      </w:pPr>
      <w:r>
        <w:rPr>
          <w:rFonts w:ascii="Arial" w:hAnsi="Arial" w:cs="Arial"/>
          <w:color w:val="auto"/>
          <w:highlight w:val="none"/>
        </w:rPr>
        <w:t>日期：</w:t>
      </w:r>
      <w:r>
        <w:rPr>
          <w:rFonts w:ascii="Arial" w:hAnsi="Arial" w:cs="Arial"/>
          <w:color w:val="auto"/>
          <w:kern w:val="0"/>
          <w:szCs w:val="21"/>
          <w:highlight w:val="none"/>
        </w:rPr>
        <w:t>年月日</w:t>
      </w:r>
    </w:p>
    <w:p>
      <w:pPr>
        <w:pStyle w:val="5"/>
        <w:ind w:firstLine="422"/>
        <w:rPr>
          <w:rFonts w:cs="Arial"/>
          <w:color w:val="auto"/>
          <w:highlight w:val="none"/>
        </w:rPr>
      </w:pPr>
      <w:r>
        <w:rPr>
          <w:rFonts w:cs="Arial"/>
          <w:color w:val="auto"/>
          <w:highlight w:val="none"/>
        </w:rPr>
        <w:br w:type="page"/>
      </w:r>
      <w:r>
        <w:rPr>
          <w:rFonts w:cs="Arial"/>
          <w:color w:val="auto"/>
          <w:highlight w:val="none"/>
        </w:rPr>
        <w:t>五、中小企业声明函、监狱企业声明函及其相关的充分的证明材料、残疾人福利性单位声明函</w:t>
      </w: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中小企业声明函</w:t>
      </w:r>
    </w:p>
    <w:p>
      <w:pPr>
        <w:widowControl/>
        <w:snapToGrid w:val="0"/>
        <w:spacing w:line="300" w:lineRule="auto"/>
        <w:jc w:val="center"/>
        <w:rPr>
          <w:rFonts w:ascii="Arial" w:hAnsi="Arial" w:cs="Arial"/>
          <w:b/>
          <w:bCs/>
          <w:color w:val="auto"/>
          <w:sz w:val="32"/>
          <w:highlight w:val="none"/>
        </w:rPr>
      </w:pPr>
      <w:r>
        <w:rPr>
          <w:rFonts w:ascii="Arial" w:hAnsi="Arial" w:cs="Arial"/>
          <w:b/>
          <w:color w:val="auto"/>
          <w:sz w:val="24"/>
          <w:highlight w:val="none"/>
        </w:rPr>
        <w:t>【</w:t>
      </w:r>
      <w:r>
        <w:rPr>
          <w:rFonts w:ascii="Arial" w:hAnsi="Arial" w:cs="Arial"/>
          <w:b/>
          <w:bCs/>
          <w:color w:val="auto"/>
          <w:sz w:val="24"/>
          <w:highlight w:val="none"/>
        </w:rPr>
        <w:t>非小微企业不用提供</w:t>
      </w:r>
      <w:r>
        <w:rPr>
          <w:rFonts w:ascii="Arial" w:hAnsi="Arial" w:cs="Arial"/>
          <w:b/>
          <w:color w:val="auto"/>
          <w:sz w:val="24"/>
          <w:highlight w:val="none"/>
        </w:rPr>
        <w:t>】</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本企业郑重声明，根据《政府采购促进中小企业发展暂行办法》（财库[2011]181号）的规定，本企业为（填写行业）（请填写：小型、微型）企业。即，本企业同时满足以下条件：</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1.根据《工业和信息化部、国家统计局、国家发展和改革委员会、财政部关于印发中小企业划型标准规定的通知》（工信部联企业[2011]300号）规定的划分标准，本企业为______（请填写：小型、微型）企业。</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2.本企业参加</w:t>
      </w:r>
      <w:r>
        <w:rPr>
          <w:rFonts w:ascii="Arial" w:hAnsi="Arial" w:cs="Arial"/>
          <w:color w:val="auto"/>
          <w:kern w:val="0"/>
          <w:szCs w:val="21"/>
          <w:highlight w:val="none"/>
          <w:u w:val="single"/>
        </w:rPr>
        <w:t>杭州市拱墅区城市管理局</w:t>
      </w:r>
      <w:r>
        <w:rPr>
          <w:rFonts w:ascii="Arial" w:hAnsi="Arial" w:cs="Arial"/>
          <w:color w:val="auto"/>
          <w:kern w:val="0"/>
          <w:szCs w:val="21"/>
          <w:highlight w:val="none"/>
        </w:rPr>
        <w:t>（采购人）</w:t>
      </w:r>
      <w:r>
        <w:rPr>
          <w:rFonts w:hint="eastAsia" w:ascii="Arial" w:hAnsi="Arial" w:cs="Arial"/>
          <w:color w:val="auto"/>
          <w:kern w:val="0"/>
          <w:szCs w:val="21"/>
          <w:highlight w:val="none"/>
          <w:u w:val="single"/>
        </w:rPr>
        <w:t>2020年拱墅区“峰会”亮灯工程第二次运行维护项目</w:t>
      </w:r>
      <w:r>
        <w:rPr>
          <w:rFonts w:ascii="Arial" w:hAnsi="Arial" w:cs="Arial"/>
          <w:color w:val="auto"/>
          <w:kern w:val="0"/>
          <w:szCs w:val="21"/>
          <w:highlight w:val="none"/>
        </w:rPr>
        <w:t>（项目名称）</w:t>
      </w:r>
      <w:r>
        <w:rPr>
          <w:rFonts w:hint="eastAsia" w:ascii="Arial" w:hAnsi="Arial" w:cs="Arial"/>
          <w:color w:val="auto"/>
          <w:kern w:val="0"/>
          <w:szCs w:val="21"/>
          <w:highlight w:val="none"/>
          <w:u w:val="single"/>
          <w:lang w:eastAsia="zh-CN"/>
        </w:rPr>
        <w:t>CTZB-2020040466</w:t>
      </w:r>
      <w:r>
        <w:rPr>
          <w:rFonts w:ascii="Arial" w:hAnsi="Arial" w:cs="Arial"/>
          <w:color w:val="auto"/>
          <w:kern w:val="0"/>
          <w:szCs w:val="21"/>
          <w:highlight w:val="none"/>
        </w:rPr>
        <w:t>（项目编号）采购活动，由本企业为本项目提供服务。</w:t>
      </w:r>
    </w:p>
    <w:p>
      <w:pPr>
        <w:widowControl/>
        <w:snapToGrid w:val="0"/>
        <w:spacing w:line="30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本企业对上述声明的真实性负责。如有虚假，将依法承担相应责任。</w:t>
      </w:r>
    </w:p>
    <w:p>
      <w:pPr>
        <w:adjustRightInd w:val="0"/>
        <w:snapToGrid w:val="0"/>
        <w:spacing w:line="300" w:lineRule="auto"/>
        <w:ind w:firstLine="420" w:firstLineChars="200"/>
        <w:rPr>
          <w:rFonts w:ascii="Arial" w:hAnsi="Arial" w:cs="Arial"/>
          <w:color w:val="auto"/>
          <w:kern w:val="0"/>
          <w:szCs w:val="21"/>
          <w:highlight w:val="none"/>
        </w:rPr>
      </w:pPr>
    </w:p>
    <w:p>
      <w:pPr>
        <w:adjustRightInd w:val="0"/>
        <w:snapToGrid w:val="0"/>
        <w:spacing w:line="300" w:lineRule="auto"/>
        <w:ind w:firstLine="420" w:firstLineChars="200"/>
        <w:rPr>
          <w:rFonts w:ascii="Arial" w:hAnsi="Arial" w:cs="Arial"/>
          <w:color w:val="auto"/>
          <w:kern w:val="0"/>
          <w:szCs w:val="21"/>
          <w:highlight w:val="none"/>
          <w:u w:val="single"/>
        </w:rPr>
      </w:pPr>
      <w:r>
        <w:rPr>
          <w:rFonts w:ascii="Arial" w:hAnsi="Arial" w:cs="Arial"/>
          <w:color w:val="auto"/>
          <w:kern w:val="0"/>
          <w:szCs w:val="21"/>
          <w:highlight w:val="none"/>
        </w:rPr>
        <w:t>投标人名称（盖章）：</w:t>
      </w:r>
    </w:p>
    <w:p>
      <w:pPr>
        <w:adjustRightInd w:val="0"/>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日期：年月日</w:t>
      </w:r>
    </w:p>
    <w:p>
      <w:pPr>
        <w:snapToGrid w:val="0"/>
        <w:spacing w:line="300" w:lineRule="auto"/>
        <w:ind w:firstLine="480"/>
        <w:rPr>
          <w:rFonts w:ascii="Arial" w:hAnsi="Arial" w:cs="Arial"/>
          <w:color w:val="auto"/>
          <w:szCs w:val="21"/>
          <w:highlight w:val="none"/>
        </w:rPr>
      </w:pP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说明：</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1）投标人为小型、微型企业的提供此函，其他类型单位不需提供此表。</w:t>
      </w:r>
    </w:p>
    <w:p>
      <w:pPr>
        <w:pStyle w:val="23"/>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br w:type="page"/>
      </w: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监狱企业声明函</w:t>
      </w:r>
    </w:p>
    <w:p>
      <w:pPr>
        <w:adjustRightInd w:val="0"/>
        <w:snapToGrid w:val="0"/>
        <w:spacing w:line="300" w:lineRule="auto"/>
        <w:jc w:val="center"/>
        <w:rPr>
          <w:rFonts w:ascii="Arial" w:hAnsi="Arial" w:cs="Arial"/>
          <w:b/>
          <w:color w:val="auto"/>
          <w:sz w:val="24"/>
          <w:highlight w:val="none"/>
        </w:rPr>
      </w:pPr>
      <w:r>
        <w:rPr>
          <w:rFonts w:ascii="Arial" w:hAnsi="Arial" w:cs="Arial"/>
          <w:b/>
          <w:color w:val="auto"/>
          <w:sz w:val="24"/>
          <w:highlight w:val="none"/>
        </w:rPr>
        <w:t>【</w:t>
      </w:r>
      <w:r>
        <w:rPr>
          <w:rFonts w:ascii="Arial" w:hAnsi="Arial" w:cs="Arial"/>
          <w:b/>
          <w:bCs/>
          <w:color w:val="auto"/>
          <w:sz w:val="24"/>
          <w:highlight w:val="none"/>
        </w:rPr>
        <w:t>非监狱企业不用提供</w:t>
      </w:r>
      <w:r>
        <w:rPr>
          <w:rFonts w:ascii="Arial" w:hAnsi="Arial" w:cs="Arial"/>
          <w:b/>
          <w:color w:val="auto"/>
          <w:sz w:val="24"/>
          <w:highlight w:val="none"/>
        </w:rPr>
        <w:t>】</w:t>
      </w:r>
    </w:p>
    <w:p>
      <w:pPr>
        <w:widowControl/>
        <w:adjustRightInd w:val="0"/>
        <w:snapToGrid w:val="0"/>
        <w:spacing w:line="300" w:lineRule="auto"/>
        <w:ind w:firstLine="420" w:firstLineChars="200"/>
        <w:rPr>
          <w:rFonts w:ascii="Arial" w:hAnsi="Arial" w:cs="Arial"/>
          <w:color w:val="auto"/>
          <w:szCs w:val="21"/>
          <w:highlight w:val="none"/>
        </w:rPr>
      </w:pPr>
    </w:p>
    <w:p>
      <w:pPr>
        <w:widowControl/>
        <w:adjustRightInd w:val="0"/>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t>本企业郑重声明，根据《关于政府采购支持监狱企业发展有关问题的通知》（财库[2014]68号）的规定，本企业为</w:t>
      </w:r>
      <w:r>
        <w:rPr>
          <w:rFonts w:ascii="Arial" w:hAnsi="Arial" w:cs="Arial"/>
          <w:color w:val="auto"/>
          <w:szCs w:val="21"/>
          <w:highlight w:val="none"/>
          <w:u w:val="single"/>
        </w:rPr>
        <w:t>监狱企业</w:t>
      </w:r>
      <w:r>
        <w:rPr>
          <w:rFonts w:ascii="Arial" w:hAnsi="Arial" w:cs="Arial"/>
          <w:color w:val="auto"/>
          <w:szCs w:val="21"/>
          <w:highlight w:val="none"/>
        </w:rPr>
        <w:t>。</w:t>
      </w:r>
    </w:p>
    <w:p>
      <w:pPr>
        <w:widowControl/>
        <w:adjustRightInd w:val="0"/>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t>根据上述标准，我企业属于</w:t>
      </w:r>
      <w:r>
        <w:rPr>
          <w:rFonts w:ascii="Arial" w:hAnsi="Arial" w:cs="Arial"/>
          <w:color w:val="auto"/>
          <w:szCs w:val="21"/>
          <w:highlight w:val="none"/>
          <w:u w:val="single"/>
        </w:rPr>
        <w:t>监狱企业</w:t>
      </w:r>
      <w:r>
        <w:rPr>
          <w:rFonts w:ascii="Arial" w:hAnsi="Arial" w:cs="Arial"/>
          <w:color w:val="auto"/>
          <w:szCs w:val="21"/>
          <w:highlight w:val="none"/>
        </w:rPr>
        <w:t>的理由为：。</w:t>
      </w:r>
    </w:p>
    <w:p>
      <w:pPr>
        <w:widowControl/>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本企业为参加</w:t>
      </w:r>
      <w:r>
        <w:rPr>
          <w:rFonts w:ascii="Arial" w:hAnsi="Arial" w:cs="Arial"/>
          <w:color w:val="auto"/>
          <w:kern w:val="0"/>
          <w:szCs w:val="21"/>
          <w:highlight w:val="none"/>
          <w:u w:val="single"/>
        </w:rPr>
        <w:t>杭州市拱墅区城市管理局</w:t>
      </w:r>
      <w:r>
        <w:rPr>
          <w:rFonts w:ascii="Arial" w:hAnsi="Arial" w:cs="Arial"/>
          <w:color w:val="auto"/>
          <w:kern w:val="0"/>
          <w:szCs w:val="21"/>
          <w:highlight w:val="none"/>
        </w:rPr>
        <w:t>（采购人）</w:t>
      </w:r>
      <w:r>
        <w:rPr>
          <w:rFonts w:hint="eastAsia" w:ascii="Arial" w:hAnsi="Arial" w:cs="Arial"/>
          <w:color w:val="auto"/>
          <w:kern w:val="0"/>
          <w:szCs w:val="21"/>
          <w:highlight w:val="none"/>
          <w:u w:val="single"/>
        </w:rPr>
        <w:t>2020年拱墅区“峰会”亮灯工程第二次运行维护项目</w:t>
      </w:r>
      <w:r>
        <w:rPr>
          <w:rFonts w:ascii="Arial" w:hAnsi="Arial" w:cs="Arial"/>
          <w:color w:val="auto"/>
          <w:kern w:val="0"/>
          <w:szCs w:val="21"/>
          <w:highlight w:val="none"/>
        </w:rPr>
        <w:t>（项目名称）</w:t>
      </w:r>
      <w:r>
        <w:rPr>
          <w:rFonts w:hint="eastAsia" w:ascii="Arial" w:hAnsi="Arial" w:cs="Arial"/>
          <w:color w:val="auto"/>
          <w:kern w:val="0"/>
          <w:szCs w:val="21"/>
          <w:highlight w:val="none"/>
          <w:u w:val="single"/>
          <w:lang w:eastAsia="zh-CN"/>
        </w:rPr>
        <w:t>CTZB-2020040466</w:t>
      </w:r>
      <w:r>
        <w:rPr>
          <w:rFonts w:ascii="Arial" w:hAnsi="Arial" w:cs="Arial"/>
          <w:color w:val="auto"/>
          <w:kern w:val="0"/>
          <w:szCs w:val="21"/>
          <w:highlight w:val="none"/>
        </w:rPr>
        <w:t>（项目编号）</w:t>
      </w:r>
      <w:r>
        <w:rPr>
          <w:rFonts w:ascii="Arial" w:hAnsi="Arial" w:cs="Arial"/>
          <w:color w:val="auto"/>
          <w:szCs w:val="21"/>
          <w:highlight w:val="none"/>
        </w:rPr>
        <w:t>采购活动提供本企业</w:t>
      </w:r>
      <w:r>
        <w:rPr>
          <w:rFonts w:ascii="Arial" w:hAnsi="Arial" w:cs="Arial"/>
          <w:color w:val="auto"/>
          <w:szCs w:val="21"/>
          <w:highlight w:val="none"/>
          <w:u w:val="single"/>
        </w:rPr>
        <w:t>的服务</w:t>
      </w:r>
      <w:r>
        <w:rPr>
          <w:rFonts w:ascii="Arial" w:hAnsi="Arial" w:cs="Arial"/>
          <w:color w:val="auto"/>
          <w:szCs w:val="21"/>
          <w:highlight w:val="none"/>
        </w:rPr>
        <w:t>。</w:t>
      </w:r>
    </w:p>
    <w:p>
      <w:pPr>
        <w:widowControl/>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本企业对上述声明的真实性负责。如有虚假，将依法承担相应责任。</w:t>
      </w:r>
    </w:p>
    <w:p>
      <w:pPr>
        <w:adjustRightInd w:val="0"/>
        <w:snapToGrid w:val="0"/>
        <w:spacing w:line="300" w:lineRule="auto"/>
        <w:ind w:firstLine="420" w:firstLineChars="200"/>
        <w:jc w:val="center"/>
        <w:rPr>
          <w:rFonts w:ascii="Arial" w:hAnsi="Arial" w:cs="Arial"/>
          <w:color w:val="auto"/>
          <w:szCs w:val="21"/>
          <w:highlight w:val="none"/>
        </w:rPr>
      </w:pPr>
    </w:p>
    <w:p>
      <w:pPr>
        <w:adjustRightInd w:val="0"/>
        <w:snapToGrid w:val="0"/>
        <w:spacing w:line="300" w:lineRule="auto"/>
        <w:ind w:firstLine="420" w:firstLineChars="200"/>
        <w:rPr>
          <w:rFonts w:ascii="Arial" w:hAnsi="Arial" w:cs="Arial"/>
          <w:color w:val="auto"/>
          <w:kern w:val="0"/>
          <w:szCs w:val="21"/>
          <w:highlight w:val="none"/>
          <w:u w:val="single"/>
        </w:rPr>
      </w:pPr>
      <w:r>
        <w:rPr>
          <w:rFonts w:ascii="Arial" w:hAnsi="Arial" w:cs="Arial"/>
          <w:color w:val="auto"/>
          <w:kern w:val="0"/>
          <w:szCs w:val="21"/>
          <w:highlight w:val="none"/>
        </w:rPr>
        <w:t>投标人名称（盖章）：</w:t>
      </w:r>
    </w:p>
    <w:p>
      <w:pPr>
        <w:adjustRightInd w:val="0"/>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日期：年月日</w:t>
      </w:r>
    </w:p>
    <w:p>
      <w:pPr>
        <w:widowControl/>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监狱企业参加政府采购活动时，应当提供由省级以上监狱管理局、戒毒管理局（含新疆生产建设兵团）出具的属于监狱企业的证明文件。</w:t>
      </w:r>
    </w:p>
    <w:p>
      <w:pPr>
        <w:widowControl/>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3"/>
        <w:adjustRightInd w:val="0"/>
        <w:snapToGrid w:val="0"/>
        <w:spacing w:line="300" w:lineRule="auto"/>
        <w:ind w:firstLine="420" w:firstLineChars="200"/>
        <w:rPr>
          <w:rFonts w:ascii="Arial" w:hAnsi="Arial" w:cs="Arial"/>
          <w:color w:val="auto"/>
          <w:szCs w:val="21"/>
          <w:highlight w:val="none"/>
        </w:rPr>
      </w:pPr>
    </w:p>
    <w:p>
      <w:pPr>
        <w:snapToGrid w:val="0"/>
        <w:spacing w:line="300" w:lineRule="auto"/>
        <w:jc w:val="center"/>
        <w:rPr>
          <w:rFonts w:ascii="Arial" w:hAnsi="Arial" w:cs="Arial"/>
          <w:b/>
          <w:bCs/>
          <w:color w:val="auto"/>
          <w:sz w:val="28"/>
          <w:szCs w:val="28"/>
          <w:highlight w:val="none"/>
        </w:rPr>
      </w:pPr>
      <w:bookmarkStart w:id="79" w:name="OLE_LINK13"/>
      <w:bookmarkStart w:id="80" w:name="OLE_LINK14"/>
      <w:r>
        <w:rPr>
          <w:rFonts w:ascii="Arial" w:hAnsi="Arial" w:cs="Arial"/>
          <w:b/>
          <w:bCs/>
          <w:color w:val="auto"/>
          <w:sz w:val="28"/>
          <w:szCs w:val="28"/>
          <w:highlight w:val="none"/>
        </w:rPr>
        <w:t>残疾人福利性单位声明函</w:t>
      </w:r>
    </w:p>
    <w:bookmarkEnd w:id="79"/>
    <w:bookmarkEnd w:id="80"/>
    <w:p>
      <w:pPr>
        <w:snapToGrid w:val="0"/>
        <w:spacing w:line="300" w:lineRule="auto"/>
        <w:ind w:firstLine="444" w:firstLineChars="200"/>
        <w:rPr>
          <w:rFonts w:ascii="Arial" w:hAnsi="Arial" w:cs="Arial"/>
          <w:color w:val="auto"/>
          <w:spacing w:val="6"/>
          <w:szCs w:val="21"/>
          <w:highlight w:val="none"/>
        </w:rPr>
      </w:pPr>
      <w:r>
        <w:rPr>
          <w:rFonts w:ascii="Arial" w:hAnsi="Arial" w:cs="Arial"/>
          <w:color w:val="auto"/>
          <w:spacing w:val="6"/>
          <w:szCs w:val="21"/>
          <w:highlight w:val="none"/>
        </w:rPr>
        <w:t>本单位郑重声明，根据《财政部民政部中国残疾人联合会关于促进残疾人就业政府采购政策的通知》（财库</w:t>
      </w:r>
      <w:r>
        <w:rPr>
          <w:rFonts w:ascii="Arial" w:hAnsi="Arial" w:cs="Arial"/>
          <w:color w:val="auto"/>
          <w:szCs w:val="21"/>
          <w:highlight w:val="none"/>
        </w:rPr>
        <w:t>〔2017〕141</w:t>
      </w:r>
      <w:r>
        <w:rPr>
          <w:rFonts w:ascii="Arial" w:hAnsi="Arial" w:cs="Arial"/>
          <w:color w:val="auto"/>
          <w:spacing w:val="6"/>
          <w:szCs w:val="21"/>
          <w:highlight w:val="none"/>
        </w:rPr>
        <w:t>号）的规定，本单位为符合条件的残疾人福利性单位，且本单位参加</w:t>
      </w:r>
      <w:r>
        <w:rPr>
          <w:rFonts w:ascii="Arial" w:hAnsi="Arial" w:cs="Arial"/>
          <w:color w:val="auto"/>
          <w:kern w:val="0"/>
          <w:szCs w:val="21"/>
          <w:highlight w:val="none"/>
          <w:u w:val="single"/>
        </w:rPr>
        <w:t>杭州市拱墅区城市管理局</w:t>
      </w:r>
      <w:r>
        <w:rPr>
          <w:rFonts w:ascii="Arial" w:hAnsi="Arial" w:cs="Arial"/>
          <w:color w:val="auto"/>
          <w:kern w:val="0"/>
          <w:szCs w:val="21"/>
          <w:highlight w:val="none"/>
        </w:rPr>
        <w:t>（采购人）</w:t>
      </w:r>
      <w:r>
        <w:rPr>
          <w:rFonts w:hint="eastAsia" w:ascii="Arial" w:hAnsi="Arial" w:cs="Arial"/>
          <w:color w:val="auto"/>
          <w:kern w:val="0"/>
          <w:szCs w:val="21"/>
          <w:highlight w:val="none"/>
          <w:u w:val="single"/>
        </w:rPr>
        <w:t>2020年拱墅区“峰会”亮灯工程第二次运行维护项目</w:t>
      </w:r>
      <w:r>
        <w:rPr>
          <w:rFonts w:ascii="Arial" w:hAnsi="Arial" w:cs="Arial"/>
          <w:color w:val="auto"/>
          <w:kern w:val="0"/>
          <w:szCs w:val="21"/>
          <w:highlight w:val="none"/>
        </w:rPr>
        <w:t>（项目名称）</w:t>
      </w:r>
      <w:r>
        <w:rPr>
          <w:rFonts w:hint="eastAsia" w:ascii="Arial" w:hAnsi="Arial" w:cs="Arial"/>
          <w:color w:val="auto"/>
          <w:kern w:val="0"/>
          <w:szCs w:val="21"/>
          <w:highlight w:val="none"/>
          <w:u w:val="single"/>
          <w:lang w:eastAsia="zh-CN"/>
        </w:rPr>
        <w:t>CTZB-2020040466</w:t>
      </w:r>
      <w:r>
        <w:rPr>
          <w:rFonts w:ascii="Arial" w:hAnsi="Arial" w:cs="Arial"/>
          <w:color w:val="auto"/>
          <w:kern w:val="0"/>
          <w:szCs w:val="21"/>
          <w:highlight w:val="none"/>
        </w:rPr>
        <w:t>（项目编号）</w:t>
      </w:r>
      <w:r>
        <w:rPr>
          <w:rFonts w:ascii="Arial" w:hAnsi="Arial" w:cs="Arial"/>
          <w:color w:val="auto"/>
          <w:spacing w:val="6"/>
          <w:szCs w:val="21"/>
          <w:highlight w:val="none"/>
        </w:rPr>
        <w:t>采购活动并由本单位提供服务。</w:t>
      </w:r>
    </w:p>
    <w:p>
      <w:pPr>
        <w:snapToGrid w:val="0"/>
        <w:spacing w:line="300" w:lineRule="auto"/>
        <w:ind w:firstLine="444" w:firstLineChars="200"/>
        <w:rPr>
          <w:rFonts w:ascii="Arial" w:hAnsi="Arial" w:cs="Arial"/>
          <w:color w:val="auto"/>
          <w:spacing w:val="6"/>
          <w:szCs w:val="21"/>
          <w:highlight w:val="none"/>
        </w:rPr>
      </w:pPr>
      <w:r>
        <w:rPr>
          <w:rFonts w:ascii="Arial" w:hAnsi="Arial" w:cs="Arial"/>
          <w:color w:val="auto"/>
          <w:spacing w:val="6"/>
          <w:szCs w:val="21"/>
          <w:highlight w:val="none"/>
        </w:rPr>
        <w:t>本单位对上述声明的真实性负责。如有虚假，将依法承担相应责任。</w:t>
      </w:r>
    </w:p>
    <w:p>
      <w:pPr>
        <w:snapToGrid w:val="0"/>
        <w:spacing w:line="300" w:lineRule="auto"/>
        <w:ind w:firstLine="444" w:firstLineChars="200"/>
        <w:rPr>
          <w:rFonts w:ascii="Arial" w:hAnsi="Arial" w:cs="Arial"/>
          <w:color w:val="auto"/>
          <w:spacing w:val="6"/>
          <w:szCs w:val="21"/>
          <w:highlight w:val="none"/>
        </w:rPr>
      </w:pPr>
    </w:p>
    <w:p>
      <w:pPr>
        <w:snapToGrid w:val="0"/>
        <w:spacing w:line="300" w:lineRule="auto"/>
        <w:ind w:firstLine="444" w:firstLineChars="200"/>
        <w:rPr>
          <w:rFonts w:ascii="Arial" w:hAnsi="Arial" w:cs="Arial"/>
          <w:color w:val="auto"/>
          <w:spacing w:val="6"/>
          <w:szCs w:val="21"/>
          <w:highlight w:val="none"/>
        </w:rPr>
      </w:pPr>
    </w:p>
    <w:p>
      <w:pPr>
        <w:adjustRightInd w:val="0"/>
        <w:snapToGrid w:val="0"/>
        <w:spacing w:line="300" w:lineRule="auto"/>
        <w:ind w:firstLine="420" w:firstLineChars="200"/>
        <w:rPr>
          <w:rFonts w:ascii="Arial" w:hAnsi="Arial" w:cs="Arial"/>
          <w:color w:val="auto"/>
          <w:kern w:val="0"/>
          <w:szCs w:val="21"/>
          <w:highlight w:val="none"/>
          <w:u w:val="single"/>
        </w:rPr>
      </w:pPr>
      <w:r>
        <w:rPr>
          <w:rFonts w:ascii="Arial" w:hAnsi="Arial" w:cs="Arial"/>
          <w:color w:val="auto"/>
          <w:kern w:val="0"/>
          <w:szCs w:val="21"/>
          <w:highlight w:val="none"/>
        </w:rPr>
        <w:t>投标人名称（盖章）：</w:t>
      </w:r>
    </w:p>
    <w:p>
      <w:pPr>
        <w:adjustRightInd w:val="0"/>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日期：年月日</w:t>
      </w:r>
    </w:p>
    <w:p>
      <w:pPr>
        <w:rPr>
          <w:rFonts w:ascii="Arial" w:hAnsi="Arial" w:cs="Arial"/>
          <w:color w:val="auto"/>
          <w:szCs w:val="21"/>
          <w:highlight w:val="none"/>
        </w:rPr>
      </w:pPr>
      <w:r>
        <w:rPr>
          <w:rFonts w:ascii="Arial" w:hAnsi="Arial" w:cs="Arial"/>
          <w:color w:val="auto"/>
          <w:szCs w:val="21"/>
          <w:highlight w:val="none"/>
        </w:rPr>
        <w:br w:type="page"/>
      </w:r>
    </w:p>
    <w:p>
      <w:pPr>
        <w:pStyle w:val="4"/>
        <w:spacing w:before="120"/>
        <w:ind w:firstLine="422"/>
        <w:rPr>
          <w:rFonts w:cs="Arial"/>
          <w:color w:val="auto"/>
          <w:highlight w:val="none"/>
          <w:lang w:val="en-US"/>
        </w:rPr>
      </w:pPr>
      <w:r>
        <w:rPr>
          <w:rFonts w:cs="Arial"/>
          <w:color w:val="auto"/>
          <w:highlight w:val="none"/>
          <w:lang w:val="en-US"/>
        </w:rPr>
        <w:t>第三章商务技术文件</w:t>
      </w:r>
    </w:p>
    <w:p>
      <w:pPr>
        <w:pStyle w:val="5"/>
        <w:ind w:firstLine="422"/>
        <w:rPr>
          <w:rFonts w:cs="Arial"/>
          <w:color w:val="auto"/>
          <w:highlight w:val="none"/>
        </w:rPr>
      </w:pPr>
      <w:bookmarkStart w:id="81" w:name="_Toc437953149"/>
      <w:r>
        <w:rPr>
          <w:rFonts w:cs="Arial"/>
          <w:color w:val="auto"/>
          <w:highlight w:val="none"/>
        </w:rPr>
        <w:t>商务技术文件封面</w:t>
      </w:r>
      <w:bookmarkEnd w:id="81"/>
    </w:p>
    <w:p>
      <w:pPr>
        <w:tabs>
          <w:tab w:val="left" w:pos="2580"/>
          <w:tab w:val="left" w:pos="5940"/>
        </w:tabs>
        <w:autoSpaceDE w:val="0"/>
        <w:autoSpaceDN w:val="0"/>
        <w:adjustRightInd w:val="0"/>
        <w:snapToGrid w:val="0"/>
        <w:spacing w:line="300" w:lineRule="auto"/>
        <w:ind w:right="-20" w:firstLine="735" w:firstLineChars="350"/>
        <w:rPr>
          <w:rFonts w:ascii="Arial" w:hAnsi="Arial" w:cs="Arial"/>
          <w:color w:val="auto"/>
          <w:highlight w:val="none"/>
        </w:rPr>
      </w:pPr>
    </w:p>
    <w:p>
      <w:pPr>
        <w:tabs>
          <w:tab w:val="left" w:pos="2580"/>
          <w:tab w:val="left" w:pos="5940"/>
        </w:tabs>
        <w:autoSpaceDE w:val="0"/>
        <w:autoSpaceDN w:val="0"/>
        <w:adjustRightInd w:val="0"/>
        <w:snapToGrid w:val="0"/>
        <w:spacing w:line="300" w:lineRule="auto"/>
        <w:ind w:right="-20" w:firstLine="735" w:firstLineChars="350"/>
        <w:rPr>
          <w:rFonts w:ascii="Arial" w:hAnsi="Arial" w:cs="Arial"/>
          <w:color w:val="auto"/>
          <w:highlight w:val="none"/>
        </w:rPr>
      </w:pPr>
    </w:p>
    <w:p>
      <w:pPr>
        <w:tabs>
          <w:tab w:val="left" w:pos="2580"/>
          <w:tab w:val="left" w:pos="5940"/>
        </w:tabs>
        <w:autoSpaceDE w:val="0"/>
        <w:autoSpaceDN w:val="0"/>
        <w:adjustRightInd w:val="0"/>
        <w:snapToGrid w:val="0"/>
        <w:spacing w:line="300" w:lineRule="auto"/>
        <w:ind w:right="-20"/>
        <w:rPr>
          <w:rFonts w:ascii="Arial" w:hAnsi="Arial" w:cs="Arial"/>
          <w:color w:val="auto"/>
          <w:kern w:val="0"/>
          <w:sz w:val="28"/>
          <w:highlight w:val="none"/>
        </w:rPr>
      </w:pPr>
      <w:r>
        <w:rPr>
          <w:rFonts w:ascii="Arial" w:hAnsi="Arial" w:cs="Arial"/>
          <w:color w:val="auto"/>
          <w:kern w:val="0"/>
          <w:sz w:val="28"/>
          <w:highlight w:val="none"/>
        </w:rPr>
        <w:t>采购人：</w:t>
      </w:r>
      <w:r>
        <w:rPr>
          <w:rFonts w:ascii="Arial" w:hAnsi="Arial" w:cs="Arial"/>
          <w:color w:val="auto"/>
          <w:kern w:val="0"/>
          <w:sz w:val="28"/>
          <w:highlight w:val="none"/>
          <w:u w:val="single"/>
        </w:rPr>
        <w:t>杭州市拱墅区城市管理局</w:t>
      </w:r>
    </w:p>
    <w:p>
      <w:pPr>
        <w:tabs>
          <w:tab w:val="left" w:pos="2580"/>
          <w:tab w:val="left" w:pos="5940"/>
        </w:tabs>
        <w:autoSpaceDE w:val="0"/>
        <w:autoSpaceDN w:val="0"/>
        <w:adjustRightInd w:val="0"/>
        <w:snapToGrid w:val="0"/>
        <w:spacing w:line="300" w:lineRule="auto"/>
        <w:ind w:right="-20"/>
        <w:rPr>
          <w:rFonts w:ascii="Arial" w:hAnsi="Arial" w:cs="Arial"/>
          <w:color w:val="auto"/>
          <w:kern w:val="0"/>
          <w:sz w:val="28"/>
          <w:highlight w:val="none"/>
          <w:u w:val="single"/>
        </w:rPr>
      </w:pPr>
      <w:r>
        <w:rPr>
          <w:rFonts w:ascii="Arial" w:hAnsi="Arial" w:cs="Arial"/>
          <w:color w:val="auto"/>
          <w:kern w:val="0"/>
          <w:sz w:val="28"/>
          <w:highlight w:val="none"/>
        </w:rPr>
        <w:t>项目名称：</w:t>
      </w:r>
      <w:r>
        <w:rPr>
          <w:rFonts w:hint="eastAsia" w:ascii="Arial" w:hAnsi="Arial" w:cs="Arial"/>
          <w:color w:val="auto"/>
          <w:kern w:val="0"/>
          <w:sz w:val="28"/>
          <w:highlight w:val="none"/>
          <w:u w:val="single"/>
        </w:rPr>
        <w:t>2020年拱墅区“峰会”亮灯工程第二次运行维护项目</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auto"/>
          <w:kern w:val="0"/>
          <w:sz w:val="28"/>
          <w:highlight w:val="none"/>
          <w:u w:val="single"/>
          <w:lang w:eastAsia="zh-CN"/>
        </w:rPr>
      </w:pPr>
      <w:r>
        <w:rPr>
          <w:rFonts w:ascii="Arial" w:hAnsi="Arial" w:cs="Arial"/>
          <w:color w:val="auto"/>
          <w:kern w:val="0"/>
          <w:sz w:val="28"/>
          <w:highlight w:val="none"/>
        </w:rPr>
        <w:t>项目编号：</w:t>
      </w:r>
      <w:r>
        <w:rPr>
          <w:rFonts w:hint="eastAsia" w:ascii="Arial" w:hAnsi="Arial" w:cs="Arial"/>
          <w:color w:val="auto"/>
          <w:kern w:val="0"/>
          <w:sz w:val="28"/>
          <w:highlight w:val="none"/>
          <w:u w:val="single"/>
          <w:lang w:eastAsia="zh-CN"/>
        </w:rPr>
        <w:t>CTZB-2020040466</w:t>
      </w:r>
    </w:p>
    <w:p>
      <w:pPr>
        <w:tabs>
          <w:tab w:val="left" w:pos="2580"/>
          <w:tab w:val="left" w:pos="5940"/>
        </w:tabs>
        <w:autoSpaceDE w:val="0"/>
        <w:autoSpaceDN w:val="0"/>
        <w:adjustRightInd w:val="0"/>
        <w:snapToGrid w:val="0"/>
        <w:spacing w:line="300" w:lineRule="auto"/>
        <w:ind w:right="-20"/>
        <w:rPr>
          <w:rFonts w:ascii="Arial" w:hAnsi="Arial" w:cs="Arial"/>
          <w:color w:val="auto"/>
          <w:kern w:val="0"/>
          <w:sz w:val="28"/>
          <w:highlight w:val="none"/>
          <w:u w:val="single"/>
        </w:rPr>
      </w:pPr>
      <w:r>
        <w:rPr>
          <w:rFonts w:ascii="Arial" w:hAnsi="Arial" w:cs="Arial"/>
          <w:color w:val="auto"/>
          <w:kern w:val="0"/>
          <w:sz w:val="28"/>
          <w:highlight w:val="none"/>
        </w:rPr>
        <w:t>标段名称：</w:t>
      </w:r>
      <w:r>
        <w:rPr>
          <w:rFonts w:ascii="Arial" w:hAnsi="Arial" w:cs="Arial"/>
          <w:color w:val="auto"/>
          <w:kern w:val="0"/>
          <w:sz w:val="28"/>
          <w:highlight w:val="none"/>
          <w:u w:val="single"/>
        </w:rPr>
        <w:t>20</w:t>
      </w:r>
      <w:r>
        <w:rPr>
          <w:rFonts w:hint="eastAsia" w:ascii="Arial" w:hAnsi="Arial" w:cs="Arial"/>
          <w:color w:val="auto"/>
          <w:kern w:val="0"/>
          <w:sz w:val="28"/>
          <w:highlight w:val="none"/>
          <w:u w:val="single"/>
        </w:rPr>
        <w:t>20</w:t>
      </w:r>
      <w:r>
        <w:rPr>
          <w:rFonts w:ascii="Arial" w:hAnsi="Arial" w:cs="Arial"/>
          <w:color w:val="auto"/>
          <w:kern w:val="0"/>
          <w:sz w:val="28"/>
          <w:highlight w:val="none"/>
          <w:u w:val="single"/>
        </w:rPr>
        <w:t>年拱墅区“峰会”亮灯工程第</w:t>
      </w:r>
      <w:r>
        <w:rPr>
          <w:rFonts w:hint="eastAsia" w:ascii="Arial" w:hAnsi="Arial" w:cs="Arial"/>
          <w:color w:val="auto"/>
          <w:kern w:val="0"/>
          <w:sz w:val="28"/>
          <w:highlight w:val="none"/>
          <w:u w:val="single"/>
        </w:rPr>
        <w:t>二</w:t>
      </w:r>
      <w:r>
        <w:rPr>
          <w:rFonts w:ascii="Arial" w:hAnsi="Arial" w:cs="Arial"/>
          <w:color w:val="auto"/>
          <w:kern w:val="0"/>
          <w:sz w:val="28"/>
          <w:highlight w:val="none"/>
          <w:u w:val="single"/>
        </w:rPr>
        <w:t>次运行维护项目</w:t>
      </w:r>
      <w:r>
        <w:rPr>
          <w:rFonts w:hint="eastAsia" w:ascii="Arial" w:hAnsi="Arial" w:cs="Arial"/>
          <w:color w:val="auto"/>
          <w:kern w:val="0"/>
          <w:sz w:val="28"/>
          <w:highlight w:val="none"/>
          <w:u w:val="single"/>
        </w:rPr>
        <w:t>标段一/</w:t>
      </w:r>
      <w:r>
        <w:rPr>
          <w:rFonts w:ascii="Arial" w:hAnsi="Arial" w:cs="Arial"/>
          <w:color w:val="auto"/>
          <w:kern w:val="0"/>
          <w:sz w:val="28"/>
          <w:highlight w:val="none"/>
          <w:u w:val="single"/>
        </w:rPr>
        <w:t>20</w:t>
      </w:r>
      <w:r>
        <w:rPr>
          <w:rFonts w:hint="eastAsia" w:ascii="Arial" w:hAnsi="Arial" w:cs="Arial"/>
          <w:color w:val="auto"/>
          <w:kern w:val="0"/>
          <w:sz w:val="28"/>
          <w:highlight w:val="none"/>
          <w:u w:val="single"/>
        </w:rPr>
        <w:t>20</w:t>
      </w:r>
      <w:r>
        <w:rPr>
          <w:rFonts w:ascii="Arial" w:hAnsi="Arial" w:cs="Arial"/>
          <w:color w:val="auto"/>
          <w:kern w:val="0"/>
          <w:sz w:val="28"/>
          <w:highlight w:val="none"/>
          <w:u w:val="single"/>
        </w:rPr>
        <w:t>年拱墅区“峰会”亮灯工程第</w:t>
      </w:r>
      <w:r>
        <w:rPr>
          <w:rFonts w:hint="eastAsia" w:ascii="Arial" w:hAnsi="Arial" w:cs="Arial"/>
          <w:color w:val="auto"/>
          <w:kern w:val="0"/>
          <w:sz w:val="28"/>
          <w:highlight w:val="none"/>
          <w:u w:val="single"/>
        </w:rPr>
        <w:t>二</w:t>
      </w:r>
      <w:r>
        <w:rPr>
          <w:rFonts w:ascii="Arial" w:hAnsi="Arial" w:cs="Arial"/>
          <w:color w:val="auto"/>
          <w:kern w:val="0"/>
          <w:sz w:val="28"/>
          <w:highlight w:val="none"/>
          <w:u w:val="single"/>
        </w:rPr>
        <w:t>次运行维护项目</w:t>
      </w:r>
      <w:r>
        <w:rPr>
          <w:rFonts w:hint="eastAsia" w:ascii="Arial" w:hAnsi="Arial" w:cs="Arial"/>
          <w:color w:val="auto"/>
          <w:kern w:val="0"/>
          <w:sz w:val="28"/>
          <w:highlight w:val="none"/>
          <w:u w:val="single"/>
        </w:rPr>
        <w:t>标段二（投标单位按所投标段填写，如投标单位2个标段都投，就按标段分开填写）</w:t>
      </w:r>
    </w:p>
    <w:p>
      <w:pPr>
        <w:autoSpaceDE w:val="0"/>
        <w:autoSpaceDN w:val="0"/>
        <w:adjustRightInd w:val="0"/>
        <w:snapToGrid w:val="0"/>
        <w:spacing w:line="300" w:lineRule="auto"/>
        <w:jc w:val="left"/>
        <w:rPr>
          <w:rFonts w:ascii="Arial" w:hAnsi="Arial" w:cs="Arial"/>
          <w:b/>
          <w:bCs/>
          <w:color w:val="auto"/>
          <w:kern w:val="0"/>
          <w:sz w:val="44"/>
          <w:szCs w:val="4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autoSpaceDE w:val="0"/>
        <w:autoSpaceDN w:val="0"/>
        <w:adjustRightInd w:val="0"/>
        <w:snapToGrid w:val="0"/>
        <w:spacing w:line="300" w:lineRule="auto"/>
        <w:jc w:val="left"/>
        <w:rPr>
          <w:rFonts w:ascii="Arial" w:hAnsi="Arial" w:cs="Arial"/>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rFonts w:ascii="Arial" w:hAnsi="Arial" w:cs="Arial"/>
          <w:color w:val="auto"/>
          <w:kern w:val="0"/>
          <w:sz w:val="72"/>
          <w:highlight w:val="none"/>
        </w:rPr>
      </w:pPr>
      <w:r>
        <w:rPr>
          <w:rFonts w:ascii="Arial" w:hAnsi="Arial" w:cs="Arial"/>
          <w:color w:val="auto"/>
          <w:kern w:val="0"/>
          <w:sz w:val="72"/>
          <w:highlight w:val="none"/>
        </w:rPr>
        <w:t>投标文件</w:t>
      </w:r>
    </w:p>
    <w:p>
      <w:pPr>
        <w:tabs>
          <w:tab w:val="left" w:pos="1805"/>
          <w:tab w:val="left" w:pos="5360"/>
        </w:tabs>
        <w:autoSpaceDE w:val="0"/>
        <w:autoSpaceDN w:val="0"/>
        <w:adjustRightInd w:val="0"/>
        <w:snapToGrid w:val="0"/>
        <w:spacing w:line="300" w:lineRule="auto"/>
        <w:ind w:right="-20"/>
        <w:jc w:val="center"/>
        <w:rPr>
          <w:rFonts w:ascii="Arial" w:hAnsi="Arial" w:cs="Arial"/>
          <w:color w:val="auto"/>
          <w:kern w:val="0"/>
          <w:sz w:val="72"/>
          <w:highlight w:val="none"/>
        </w:rPr>
      </w:pPr>
      <w:r>
        <w:rPr>
          <w:rFonts w:ascii="Arial" w:hAnsi="Arial" w:cs="Arial"/>
          <w:color w:val="auto"/>
          <w:kern w:val="0"/>
          <w:sz w:val="72"/>
          <w:highlight w:val="none"/>
        </w:rPr>
        <w:t>（商务技术文件）</w:t>
      </w:r>
    </w:p>
    <w:p>
      <w:pPr>
        <w:autoSpaceDE w:val="0"/>
        <w:autoSpaceDN w:val="0"/>
        <w:adjustRightInd w:val="0"/>
        <w:snapToGrid w:val="0"/>
        <w:spacing w:line="300" w:lineRule="auto"/>
        <w:jc w:val="left"/>
        <w:rPr>
          <w:rFonts w:ascii="Arial" w:hAnsi="Arial" w:cs="Arial"/>
          <w:color w:val="auto"/>
          <w:kern w:val="0"/>
          <w:sz w:val="16"/>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autoSpaceDE w:val="0"/>
        <w:autoSpaceDN w:val="0"/>
        <w:adjustRightInd w:val="0"/>
        <w:snapToGrid w:val="0"/>
        <w:spacing w:line="300" w:lineRule="auto"/>
        <w:jc w:val="left"/>
        <w:rPr>
          <w:rFonts w:ascii="Arial" w:hAnsi="Arial" w:cs="Arial"/>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rFonts w:ascii="Arial" w:hAnsi="Arial" w:cs="Arial"/>
          <w:color w:val="auto"/>
          <w:kern w:val="0"/>
          <w:sz w:val="28"/>
          <w:highlight w:val="none"/>
        </w:rPr>
      </w:pPr>
      <w:r>
        <w:rPr>
          <w:rFonts w:ascii="Arial" w:hAnsi="Arial" w:cs="Arial"/>
          <w:color w:val="auto"/>
          <w:kern w:val="0"/>
          <w:sz w:val="28"/>
          <w:highlight w:val="none"/>
        </w:rPr>
        <w:t>投标人：（盖单位公章）</w:t>
      </w:r>
    </w:p>
    <w:p>
      <w:pPr>
        <w:tabs>
          <w:tab w:val="left" w:pos="6080"/>
          <w:tab w:val="left" w:pos="6640"/>
        </w:tabs>
        <w:autoSpaceDE w:val="0"/>
        <w:autoSpaceDN w:val="0"/>
        <w:adjustRightInd w:val="0"/>
        <w:snapToGrid w:val="0"/>
        <w:spacing w:line="300" w:lineRule="auto"/>
        <w:ind w:left="774" w:right="403"/>
        <w:jc w:val="left"/>
        <w:rPr>
          <w:rFonts w:ascii="Arial" w:hAnsi="Arial" w:cs="Arial"/>
          <w:color w:val="auto"/>
          <w:kern w:val="0"/>
          <w:sz w:val="28"/>
          <w:highlight w:val="none"/>
        </w:rPr>
      </w:pPr>
      <w:r>
        <w:rPr>
          <w:rFonts w:ascii="Arial" w:hAnsi="Arial" w:cs="Arial"/>
          <w:color w:val="auto"/>
          <w:kern w:val="0"/>
          <w:sz w:val="28"/>
          <w:highlight w:val="none"/>
        </w:rPr>
        <w:t>投标文件签署人：（签字或盖章）</w:t>
      </w:r>
    </w:p>
    <w:p>
      <w:pPr>
        <w:tabs>
          <w:tab w:val="left" w:pos="6080"/>
          <w:tab w:val="left" w:pos="6640"/>
        </w:tabs>
        <w:autoSpaceDE w:val="0"/>
        <w:autoSpaceDN w:val="0"/>
        <w:adjustRightInd w:val="0"/>
        <w:snapToGrid w:val="0"/>
        <w:spacing w:line="300" w:lineRule="auto"/>
        <w:ind w:left="774" w:right="403"/>
        <w:jc w:val="left"/>
        <w:rPr>
          <w:rFonts w:ascii="Arial" w:hAnsi="Arial" w:cs="Arial"/>
          <w:color w:val="auto"/>
          <w:kern w:val="0"/>
          <w:sz w:val="28"/>
          <w:highlight w:val="none"/>
        </w:rPr>
      </w:pPr>
    </w:p>
    <w:p>
      <w:pPr>
        <w:tabs>
          <w:tab w:val="left" w:pos="3280"/>
          <w:tab w:val="left" w:pos="4680"/>
          <w:tab w:val="left" w:pos="6080"/>
        </w:tabs>
        <w:autoSpaceDE w:val="0"/>
        <w:autoSpaceDN w:val="0"/>
        <w:adjustRightInd w:val="0"/>
        <w:snapToGrid w:val="0"/>
        <w:spacing w:line="300" w:lineRule="auto"/>
        <w:ind w:left="2173" w:leftChars="1035" w:right="-20" w:firstLine="546" w:firstLineChars="195"/>
        <w:jc w:val="left"/>
        <w:rPr>
          <w:rFonts w:ascii="Arial" w:hAnsi="Arial" w:cs="Arial"/>
          <w:color w:val="auto"/>
          <w:kern w:val="0"/>
          <w:sz w:val="28"/>
          <w:highlight w:val="none"/>
        </w:rPr>
      </w:pPr>
      <w:r>
        <w:rPr>
          <w:rFonts w:ascii="Arial" w:hAnsi="Arial" w:cs="Arial"/>
          <w:color w:val="auto"/>
          <w:kern w:val="0"/>
          <w:sz w:val="28"/>
          <w:highlight w:val="none"/>
        </w:rPr>
        <w:t>年月日</w:t>
      </w:r>
    </w:p>
    <w:p>
      <w:pPr>
        <w:pStyle w:val="5"/>
        <w:ind w:firstLine="422"/>
        <w:rPr>
          <w:rFonts w:cs="Arial"/>
          <w:color w:val="auto"/>
          <w:highlight w:val="none"/>
        </w:rPr>
      </w:pPr>
      <w:r>
        <w:rPr>
          <w:rFonts w:cs="Arial"/>
          <w:color w:val="auto"/>
          <w:highlight w:val="none"/>
        </w:rPr>
        <w:br w:type="page"/>
      </w:r>
      <w:r>
        <w:rPr>
          <w:rFonts w:cs="Arial"/>
          <w:color w:val="auto"/>
          <w:highlight w:val="none"/>
        </w:rPr>
        <w:t>一、法定代表人资格证明书</w:t>
      </w: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法定代表人资格证明书</w:t>
      </w:r>
    </w:p>
    <w:p>
      <w:pPr>
        <w:adjustRightInd w:val="0"/>
        <w:snapToGrid w:val="0"/>
        <w:spacing w:line="300" w:lineRule="auto"/>
        <w:ind w:firstLine="420" w:firstLineChars="200"/>
        <w:rPr>
          <w:rFonts w:ascii="Arial" w:hAnsi="Arial" w:cs="Arial"/>
          <w:color w:val="auto"/>
          <w:szCs w:val="21"/>
          <w:highlight w:val="none"/>
        </w:rPr>
      </w:pPr>
    </w:p>
    <w:p>
      <w:pPr>
        <w:adjustRightInd w:val="0"/>
        <w:snapToGrid w:val="0"/>
        <w:spacing w:line="300" w:lineRule="auto"/>
        <w:ind w:firstLine="420" w:firstLineChars="200"/>
        <w:rPr>
          <w:rFonts w:ascii="Arial" w:hAnsi="Arial" w:cs="Arial"/>
          <w:color w:val="auto"/>
          <w:szCs w:val="21"/>
          <w:highlight w:val="none"/>
        </w:rPr>
      </w:pPr>
    </w:p>
    <w:p>
      <w:pPr>
        <w:adjustRightInd w:val="0"/>
        <w:snapToGrid w:val="0"/>
        <w:spacing w:line="300" w:lineRule="auto"/>
        <w:ind w:firstLine="420" w:firstLineChars="200"/>
        <w:rPr>
          <w:rFonts w:ascii="Arial" w:hAnsi="Arial" w:cs="Arial"/>
          <w:color w:val="auto"/>
          <w:szCs w:val="21"/>
          <w:highlight w:val="none"/>
          <w:u w:val="single"/>
        </w:rPr>
      </w:pPr>
      <w:r>
        <w:rPr>
          <w:rFonts w:ascii="Arial" w:hAnsi="Arial" w:cs="Arial"/>
          <w:color w:val="auto"/>
          <w:szCs w:val="21"/>
          <w:highlight w:val="none"/>
        </w:rPr>
        <w:t>投标人名称：</w:t>
      </w:r>
    </w:p>
    <w:p>
      <w:pPr>
        <w:adjustRightInd w:val="0"/>
        <w:snapToGrid w:val="0"/>
        <w:spacing w:line="300" w:lineRule="auto"/>
        <w:ind w:firstLine="420" w:firstLineChars="200"/>
        <w:rPr>
          <w:rFonts w:ascii="Arial" w:hAnsi="Arial" w:cs="Arial"/>
          <w:color w:val="auto"/>
          <w:szCs w:val="21"/>
          <w:highlight w:val="none"/>
          <w:u w:val="single"/>
        </w:rPr>
      </w:pPr>
      <w:r>
        <w:rPr>
          <w:rFonts w:ascii="Arial" w:hAnsi="Arial" w:cs="Arial"/>
          <w:color w:val="auto"/>
          <w:szCs w:val="21"/>
          <w:highlight w:val="none"/>
        </w:rPr>
        <w:t>法定地址：</w:t>
      </w:r>
    </w:p>
    <w:p>
      <w:pPr>
        <w:adjustRightInd w:val="0"/>
        <w:snapToGrid w:val="0"/>
        <w:spacing w:line="300" w:lineRule="auto"/>
        <w:ind w:firstLine="420" w:firstLineChars="200"/>
        <w:rPr>
          <w:rFonts w:ascii="Arial" w:hAnsi="Arial" w:cs="Arial"/>
          <w:color w:val="auto"/>
          <w:szCs w:val="21"/>
          <w:highlight w:val="none"/>
          <w:u w:val="single"/>
        </w:rPr>
      </w:pPr>
      <w:r>
        <w:rPr>
          <w:rFonts w:ascii="Arial" w:hAnsi="Arial" w:cs="Arial"/>
          <w:color w:val="auto"/>
          <w:szCs w:val="21"/>
          <w:highlight w:val="none"/>
        </w:rPr>
        <w:t>姓名：性别：年龄：职务：</w:t>
      </w:r>
    </w:p>
    <w:p>
      <w:pPr>
        <w:adjustRightInd w:val="0"/>
        <w:snapToGrid w:val="0"/>
        <w:spacing w:line="300" w:lineRule="auto"/>
        <w:ind w:firstLine="420" w:firstLineChars="200"/>
        <w:rPr>
          <w:rFonts w:ascii="Arial" w:hAnsi="Arial" w:cs="Arial"/>
          <w:color w:val="auto"/>
          <w:szCs w:val="21"/>
          <w:highlight w:val="none"/>
          <w:u w:val="single"/>
        </w:rPr>
      </w:pPr>
      <w:r>
        <w:rPr>
          <w:rFonts w:ascii="Arial" w:hAnsi="Arial" w:cs="Arial"/>
          <w:color w:val="auto"/>
          <w:szCs w:val="21"/>
          <w:highlight w:val="none"/>
        </w:rPr>
        <w:t>身份证号码：</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该同志系公司法定代表人。</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特此证明！</w:t>
      </w:r>
    </w:p>
    <w:p>
      <w:pPr>
        <w:adjustRightInd w:val="0"/>
        <w:snapToGrid w:val="0"/>
        <w:spacing w:line="300" w:lineRule="auto"/>
        <w:ind w:right="900" w:firstLine="315" w:firstLineChars="150"/>
        <w:rPr>
          <w:rFonts w:ascii="Arial" w:hAnsi="Arial" w:cs="Arial"/>
          <w:color w:val="auto"/>
          <w:szCs w:val="21"/>
          <w:highlight w:val="none"/>
        </w:rPr>
      </w:pPr>
    </w:p>
    <w:p>
      <w:pPr>
        <w:adjustRightInd w:val="0"/>
        <w:snapToGrid w:val="0"/>
        <w:spacing w:line="300" w:lineRule="auto"/>
        <w:ind w:right="900" w:firstLine="315" w:firstLineChars="150"/>
        <w:rPr>
          <w:rFonts w:ascii="Arial" w:hAnsi="Arial" w:cs="Arial"/>
          <w:color w:val="auto"/>
          <w:szCs w:val="21"/>
          <w:highlight w:val="none"/>
        </w:rPr>
      </w:pPr>
    </w:p>
    <w:p>
      <w:pPr>
        <w:adjustRightInd w:val="0"/>
        <w:snapToGrid w:val="0"/>
        <w:spacing w:line="300" w:lineRule="auto"/>
        <w:ind w:right="900" w:firstLine="315" w:firstLineChars="150"/>
        <w:rPr>
          <w:rFonts w:ascii="Arial" w:hAnsi="Arial" w:cs="Arial"/>
          <w:color w:val="auto"/>
          <w:szCs w:val="21"/>
          <w:highlight w:val="none"/>
        </w:rPr>
      </w:pPr>
      <w:r>
        <w:rPr>
          <w:rFonts w:ascii="Arial" w:hAnsi="Arial" w:cs="Arial"/>
          <w:color w:val="auto"/>
          <w:szCs w:val="21"/>
          <w:highlight w:val="none"/>
        </w:rPr>
        <w:t>投标人：（盖章）</w:t>
      </w:r>
    </w:p>
    <w:p>
      <w:pPr>
        <w:adjustRightInd w:val="0"/>
        <w:snapToGrid w:val="0"/>
        <w:spacing w:line="300" w:lineRule="auto"/>
        <w:ind w:right="900" w:firstLine="315" w:firstLineChars="150"/>
        <w:rPr>
          <w:rFonts w:ascii="Arial" w:hAnsi="Arial" w:cs="Arial"/>
          <w:color w:val="auto"/>
          <w:szCs w:val="21"/>
          <w:highlight w:val="none"/>
        </w:rPr>
      </w:pPr>
      <w:r>
        <w:rPr>
          <w:rFonts w:ascii="Arial" w:hAnsi="Arial" w:cs="Arial"/>
          <w:color w:val="auto"/>
          <w:szCs w:val="21"/>
          <w:highlight w:val="none"/>
        </w:rPr>
        <w:t>日期：年月日</w:t>
      </w:r>
    </w:p>
    <w:p>
      <w:pPr>
        <w:snapToGrid w:val="0"/>
        <w:spacing w:line="300" w:lineRule="auto"/>
        <w:rPr>
          <w:rFonts w:ascii="Arial" w:hAnsi="Arial" w:cs="Arial"/>
          <w:color w:val="auto"/>
          <w:highlight w:val="none"/>
        </w:rPr>
      </w:pPr>
      <w:r>
        <w:rPr>
          <w:rFonts w:ascii="Arial" w:hAnsi="Arial" w:cs="Arial"/>
          <w:color w:val="auto"/>
          <w:highlight w:val="none"/>
        </w:rPr>
        <w:br w:type="page"/>
      </w:r>
    </w:p>
    <w:p>
      <w:pPr>
        <w:pStyle w:val="5"/>
        <w:ind w:firstLine="422"/>
        <w:rPr>
          <w:rFonts w:cs="Arial"/>
          <w:color w:val="auto"/>
          <w:highlight w:val="none"/>
        </w:rPr>
      </w:pPr>
      <w:bookmarkStart w:id="82" w:name="_Toc345575535"/>
      <w:bookmarkStart w:id="83" w:name="_Toc336683576"/>
      <w:r>
        <w:rPr>
          <w:rFonts w:cs="Arial"/>
          <w:color w:val="auto"/>
          <w:highlight w:val="none"/>
        </w:rPr>
        <w:t>二、法定代表人授权开标委托书格式</w:t>
      </w:r>
      <w:bookmarkEnd w:id="82"/>
      <w:bookmarkEnd w:id="83"/>
    </w:p>
    <w:p>
      <w:pPr>
        <w:widowControl/>
        <w:snapToGrid w:val="0"/>
        <w:spacing w:line="300" w:lineRule="auto"/>
        <w:jc w:val="left"/>
        <w:rPr>
          <w:rFonts w:ascii="Arial" w:hAnsi="Arial" w:cs="Arial"/>
          <w:b/>
          <w:bCs/>
          <w:color w:val="auto"/>
          <w:sz w:val="32"/>
          <w:szCs w:val="20"/>
          <w:highlight w:val="none"/>
        </w:rPr>
      </w:pP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法定代表人授权开标委托书</w:t>
      </w:r>
    </w:p>
    <w:p>
      <w:pPr>
        <w:pStyle w:val="23"/>
        <w:adjustRightInd w:val="0"/>
        <w:snapToGrid w:val="0"/>
        <w:spacing w:line="300" w:lineRule="auto"/>
        <w:ind w:firstLine="420" w:firstLineChars="200"/>
        <w:rPr>
          <w:rFonts w:ascii="Arial" w:hAnsi="Arial" w:cs="Arial"/>
          <w:color w:val="auto"/>
          <w:highlight w:val="none"/>
          <w:u w:val="single"/>
        </w:rPr>
      </w:pPr>
    </w:p>
    <w:p>
      <w:pPr>
        <w:pStyle w:val="23"/>
        <w:adjustRightInd w:val="0"/>
        <w:snapToGrid w:val="0"/>
        <w:spacing w:line="300" w:lineRule="auto"/>
        <w:rPr>
          <w:rFonts w:ascii="Arial" w:hAnsi="Arial" w:cs="Arial"/>
          <w:color w:val="auto"/>
          <w:highlight w:val="none"/>
          <w:u w:val="single"/>
        </w:rPr>
      </w:pPr>
      <w:r>
        <w:rPr>
          <w:rFonts w:ascii="Arial" w:hAnsi="Arial" w:cs="Arial"/>
          <w:color w:val="auto"/>
          <w:highlight w:val="none"/>
          <w:u w:val="single"/>
        </w:rPr>
        <w:t>杭州市拱墅区城市管理局：</w:t>
      </w:r>
    </w:p>
    <w:p>
      <w:pPr>
        <w:pStyle w:val="23"/>
        <w:adjustRightInd w:val="0"/>
        <w:snapToGrid w:val="0"/>
        <w:spacing w:line="300" w:lineRule="auto"/>
        <w:rPr>
          <w:rFonts w:ascii="Arial" w:hAnsi="Arial" w:cs="Arial"/>
          <w:color w:val="auto"/>
          <w:highlight w:val="none"/>
          <w:u w:val="single"/>
        </w:rPr>
      </w:pPr>
      <w:r>
        <w:rPr>
          <w:rFonts w:ascii="Arial" w:hAnsi="Arial" w:cs="Arial"/>
          <w:color w:val="auto"/>
          <w:highlight w:val="none"/>
          <w:u w:val="single"/>
        </w:rPr>
        <w:t>浙江省成套招标代理有限公司：</w:t>
      </w:r>
    </w:p>
    <w:p>
      <w:pPr>
        <w:pStyle w:val="23"/>
        <w:snapToGrid w:val="0"/>
        <w:spacing w:line="300" w:lineRule="auto"/>
        <w:ind w:firstLine="420" w:firstLineChars="200"/>
        <w:rPr>
          <w:rFonts w:ascii="Arial" w:hAnsi="Arial" w:cs="Arial"/>
          <w:color w:val="auto"/>
          <w:highlight w:val="none"/>
        </w:rPr>
      </w:pPr>
      <w:r>
        <w:rPr>
          <w:rFonts w:ascii="Arial" w:hAnsi="Arial" w:cs="Arial"/>
          <w:color w:val="auto"/>
          <w:highlight w:val="none"/>
        </w:rPr>
        <w:t>我</w:t>
      </w:r>
      <w:r>
        <w:rPr>
          <w:rFonts w:ascii="Arial" w:hAnsi="Arial" w:cs="Arial"/>
          <w:color w:val="auto"/>
          <w:highlight w:val="none"/>
          <w:u w:val="single"/>
        </w:rPr>
        <w:t>（法定代表人姓名）</w:t>
      </w:r>
      <w:r>
        <w:rPr>
          <w:rFonts w:ascii="Arial" w:hAnsi="Arial" w:cs="Arial"/>
          <w:color w:val="auto"/>
          <w:highlight w:val="none"/>
        </w:rPr>
        <w:t>以</w:t>
      </w:r>
      <w:r>
        <w:rPr>
          <w:rFonts w:ascii="Arial" w:hAnsi="Arial" w:cs="Arial"/>
          <w:color w:val="auto"/>
          <w:highlight w:val="none"/>
          <w:u w:val="single"/>
        </w:rPr>
        <w:t>（投标人全称）</w:t>
      </w:r>
      <w:r>
        <w:rPr>
          <w:rFonts w:ascii="Arial" w:hAnsi="Arial" w:cs="Arial"/>
          <w:color w:val="auto"/>
          <w:highlight w:val="none"/>
        </w:rPr>
        <w:t>法定代表人的身份授权我单位在职员工</w:t>
      </w:r>
      <w:r>
        <w:rPr>
          <w:rFonts w:ascii="Arial" w:hAnsi="Arial" w:cs="Arial"/>
          <w:color w:val="auto"/>
          <w:highlight w:val="none"/>
          <w:u w:val="single"/>
        </w:rPr>
        <w:t>（授权代表姓名）</w:t>
      </w:r>
      <w:r>
        <w:rPr>
          <w:rFonts w:ascii="Arial" w:hAnsi="Arial" w:cs="Arial"/>
          <w:color w:val="auto"/>
          <w:highlight w:val="none"/>
        </w:rPr>
        <w:t>、</w:t>
      </w:r>
      <w:r>
        <w:rPr>
          <w:rFonts w:ascii="Arial" w:hAnsi="Arial" w:cs="Arial"/>
          <w:color w:val="auto"/>
          <w:highlight w:val="none"/>
          <w:u w:val="single"/>
        </w:rPr>
        <w:t>（身份证号）</w:t>
      </w:r>
      <w:r>
        <w:rPr>
          <w:rFonts w:ascii="Arial" w:hAnsi="Arial" w:cs="Arial"/>
          <w:color w:val="auto"/>
          <w:highlight w:val="none"/>
        </w:rPr>
        <w:t>，为我单位的授权代表，参加你机构组织的</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（项目编号）的开标活动，签署开标活动中需由投标人签署相关文件、澄清答复、说明等与本项目投标有关的资料。我单位承认授权代表做出的与本项目开标活动有关的全部行为。</w:t>
      </w:r>
    </w:p>
    <w:p>
      <w:pPr>
        <w:pStyle w:val="23"/>
        <w:snapToGrid w:val="0"/>
        <w:spacing w:line="300" w:lineRule="auto"/>
        <w:ind w:firstLine="420" w:firstLineChars="200"/>
        <w:rPr>
          <w:rFonts w:ascii="Arial" w:hAnsi="Arial" w:cs="Arial"/>
          <w:color w:val="auto"/>
          <w:highlight w:val="none"/>
          <w:u w:val="single"/>
        </w:rPr>
      </w:pPr>
      <w:r>
        <w:rPr>
          <w:rFonts w:ascii="Arial" w:hAnsi="Arial" w:cs="Arial"/>
          <w:color w:val="auto"/>
          <w:highlight w:val="none"/>
        </w:rPr>
        <w:t>投标人全称（盖单位公章）：</w:t>
      </w:r>
    </w:p>
    <w:p>
      <w:pPr>
        <w:snapToGrid w:val="0"/>
        <w:spacing w:line="300" w:lineRule="auto"/>
        <w:ind w:firstLine="420" w:firstLineChars="200"/>
        <w:rPr>
          <w:rFonts w:ascii="Arial" w:hAnsi="Arial" w:cs="Arial"/>
          <w:color w:val="auto"/>
          <w:highlight w:val="none"/>
          <w:u w:val="single"/>
        </w:rPr>
      </w:pPr>
      <w:r>
        <w:rPr>
          <w:rFonts w:ascii="Arial" w:hAnsi="Arial" w:cs="Arial"/>
          <w:color w:val="auto"/>
          <w:highlight w:val="none"/>
        </w:rPr>
        <w:t>法定代表人联系方式：</w:t>
      </w:r>
    </w:p>
    <w:p>
      <w:pPr>
        <w:pStyle w:val="23"/>
        <w:snapToGrid w:val="0"/>
        <w:spacing w:line="300" w:lineRule="auto"/>
        <w:ind w:firstLine="420" w:firstLineChars="200"/>
        <w:rPr>
          <w:rFonts w:ascii="Arial" w:hAnsi="Arial" w:cs="Arial"/>
          <w:color w:val="auto"/>
          <w:highlight w:val="none"/>
        </w:rPr>
      </w:pPr>
      <w:r>
        <w:rPr>
          <w:rFonts w:ascii="Arial" w:hAnsi="Arial" w:cs="Arial"/>
          <w:color w:val="auto"/>
          <w:highlight w:val="none"/>
        </w:rPr>
        <w:t>日期：年月日</w:t>
      </w:r>
    </w:p>
    <w:p>
      <w:pPr>
        <w:pStyle w:val="23"/>
        <w:snapToGrid w:val="0"/>
        <w:spacing w:line="300" w:lineRule="auto"/>
        <w:ind w:firstLine="480"/>
        <w:rPr>
          <w:rFonts w:ascii="Arial" w:hAnsi="Arial" w:cs="Arial"/>
          <w:color w:val="auto"/>
          <w:highlight w:val="none"/>
        </w:rPr>
      </w:pPr>
      <w:r>
        <w:rPr>
          <w:rFonts w:ascii="Arial" w:hAnsi="Arial" w:cs="Arial"/>
          <w:color w:val="auto"/>
          <w:highlight w:val="none"/>
        </w:rPr>
        <w:t>附：</w:t>
      </w:r>
    </w:p>
    <w:p>
      <w:pPr>
        <w:snapToGrid w:val="0"/>
        <w:spacing w:line="300" w:lineRule="auto"/>
        <w:ind w:firstLine="422" w:firstLineChars="200"/>
        <w:rPr>
          <w:rFonts w:ascii="Arial" w:hAnsi="Arial" w:cs="Arial"/>
          <w:b/>
          <w:color w:val="auto"/>
          <w:highlight w:val="none"/>
        </w:rPr>
      </w:pPr>
      <w:r>
        <w:rPr>
          <w:rFonts w:ascii="Arial" w:hAnsi="Arial" w:cs="Arial"/>
          <w:b/>
          <w:color w:val="auto"/>
          <w:highlight w:val="none"/>
        </w:rPr>
        <w:t>法定代表人身份证复印件</w:t>
      </w:r>
    </w:p>
    <w:p>
      <w:pPr>
        <w:pStyle w:val="23"/>
        <w:snapToGrid w:val="0"/>
        <w:spacing w:line="300" w:lineRule="auto"/>
        <w:ind w:firstLine="480"/>
        <w:rPr>
          <w:rFonts w:ascii="Arial" w:hAnsi="Arial" w:cs="Arial"/>
          <w:color w:val="auto"/>
          <w:highlight w:val="none"/>
        </w:rPr>
      </w:pPr>
    </w:p>
    <w:p>
      <w:pPr>
        <w:pStyle w:val="23"/>
        <w:snapToGrid w:val="0"/>
        <w:spacing w:line="300" w:lineRule="auto"/>
        <w:ind w:firstLine="420" w:firstLineChars="200"/>
        <w:rPr>
          <w:rFonts w:ascii="Arial" w:hAnsi="Arial" w:cs="Arial"/>
          <w:color w:val="auto"/>
          <w:highlight w:val="none"/>
        </w:rPr>
      </w:pPr>
    </w:p>
    <w:p>
      <w:pPr>
        <w:pStyle w:val="23"/>
        <w:snapToGrid w:val="0"/>
        <w:spacing w:line="300" w:lineRule="auto"/>
        <w:ind w:firstLine="420" w:firstLineChars="200"/>
        <w:rPr>
          <w:rFonts w:ascii="Arial" w:hAnsi="Arial" w:cs="Arial"/>
          <w:color w:val="auto"/>
          <w:highlight w:val="none"/>
        </w:rPr>
      </w:pPr>
    </w:p>
    <w:p>
      <w:pPr>
        <w:pStyle w:val="23"/>
        <w:snapToGrid w:val="0"/>
        <w:spacing w:line="300" w:lineRule="auto"/>
        <w:ind w:firstLine="420" w:firstLineChars="200"/>
        <w:rPr>
          <w:rFonts w:ascii="Arial" w:hAnsi="Arial" w:cs="Arial"/>
          <w:color w:val="auto"/>
          <w:highlight w:val="none"/>
          <w:u w:val="single"/>
        </w:rPr>
      </w:pPr>
      <w:r>
        <w:rPr>
          <w:rFonts w:ascii="Arial" w:hAnsi="Arial" w:cs="Arial"/>
          <w:color w:val="auto"/>
          <w:highlight w:val="none"/>
        </w:rPr>
        <w:t>授权代表姓名：身份证号码：职务：手机：</w:t>
      </w:r>
    </w:p>
    <w:p>
      <w:pPr>
        <w:snapToGrid w:val="0"/>
        <w:spacing w:line="300" w:lineRule="auto"/>
        <w:ind w:firstLine="422" w:firstLineChars="200"/>
        <w:rPr>
          <w:rFonts w:ascii="Arial" w:hAnsi="Arial" w:cs="Arial"/>
          <w:b/>
          <w:color w:val="auto"/>
          <w:highlight w:val="none"/>
        </w:rPr>
      </w:pPr>
      <w:r>
        <w:rPr>
          <w:rFonts w:ascii="Arial" w:hAnsi="Arial" w:cs="Arial"/>
          <w:b/>
          <w:color w:val="auto"/>
          <w:highlight w:val="none"/>
        </w:rPr>
        <w:t>授权代表身份证复印件：</w:t>
      </w:r>
    </w:p>
    <w:p>
      <w:pPr>
        <w:snapToGrid w:val="0"/>
        <w:spacing w:line="300" w:lineRule="auto"/>
        <w:ind w:firstLine="422" w:firstLineChars="200"/>
        <w:rPr>
          <w:rFonts w:ascii="Arial" w:hAnsi="Arial" w:cs="Arial"/>
          <w:b/>
          <w:color w:val="auto"/>
          <w:highlight w:val="none"/>
        </w:rPr>
      </w:pPr>
    </w:p>
    <w:p>
      <w:pPr>
        <w:snapToGrid w:val="0"/>
        <w:spacing w:line="300" w:lineRule="auto"/>
        <w:ind w:firstLine="422" w:firstLineChars="200"/>
        <w:rPr>
          <w:rFonts w:ascii="Arial" w:hAnsi="Arial" w:cs="Arial"/>
          <w:b/>
          <w:color w:val="auto"/>
          <w:highlight w:val="none"/>
        </w:rPr>
      </w:pPr>
    </w:p>
    <w:p>
      <w:pPr>
        <w:snapToGrid w:val="0"/>
        <w:spacing w:line="300" w:lineRule="auto"/>
        <w:ind w:firstLine="422" w:firstLineChars="200"/>
        <w:rPr>
          <w:rFonts w:ascii="Arial" w:hAnsi="Arial" w:cs="Arial"/>
          <w:b/>
          <w:color w:val="auto"/>
          <w:highlight w:val="none"/>
        </w:rPr>
      </w:pPr>
      <w:r>
        <w:rPr>
          <w:rFonts w:ascii="Arial" w:hAnsi="Arial" w:cs="Arial"/>
          <w:b/>
          <w:color w:val="auto"/>
          <w:highlight w:val="none"/>
        </w:rPr>
        <w:t>后附：社保缴纳证明（由社保机构在采购活动期间（招标公告发布日至投标截止日）出具）。</w:t>
      </w:r>
    </w:p>
    <w:p>
      <w:pPr>
        <w:snapToGrid w:val="0"/>
        <w:spacing w:line="300" w:lineRule="auto"/>
        <w:ind w:firstLine="422" w:firstLineChars="200"/>
        <w:rPr>
          <w:rFonts w:ascii="Arial" w:hAnsi="Arial" w:cs="Arial"/>
          <w:b/>
          <w:color w:val="auto"/>
          <w:highlight w:val="none"/>
        </w:rPr>
      </w:pPr>
    </w:p>
    <w:p>
      <w:pPr>
        <w:snapToGrid w:val="0"/>
        <w:spacing w:line="300" w:lineRule="auto"/>
        <w:ind w:firstLine="422" w:firstLineChars="200"/>
        <w:rPr>
          <w:rFonts w:ascii="Arial" w:hAnsi="Arial" w:cs="Arial"/>
          <w:b/>
          <w:color w:val="auto"/>
          <w:highlight w:val="none"/>
        </w:rPr>
      </w:pPr>
    </w:p>
    <w:p>
      <w:pPr>
        <w:snapToGrid w:val="0"/>
        <w:spacing w:line="300" w:lineRule="auto"/>
        <w:ind w:firstLine="422" w:firstLineChars="200"/>
        <w:rPr>
          <w:rFonts w:ascii="Arial" w:hAnsi="Arial" w:cs="Arial"/>
          <w:b/>
          <w:color w:val="auto"/>
          <w:highlight w:val="none"/>
        </w:rPr>
      </w:pPr>
      <w:r>
        <w:rPr>
          <w:rFonts w:ascii="Arial" w:hAnsi="Arial" w:cs="Arial"/>
          <w:b/>
          <w:color w:val="auto"/>
          <w:highlight w:val="none"/>
        </w:rPr>
        <w:t>注：投标人法定代表人作为投标人代表参与本项目开标活动时，不需提供此委托书。</w:t>
      </w:r>
    </w:p>
    <w:p>
      <w:pPr>
        <w:snapToGrid w:val="0"/>
        <w:spacing w:line="300" w:lineRule="auto"/>
        <w:ind w:firstLine="422" w:firstLineChars="200"/>
        <w:rPr>
          <w:rFonts w:ascii="Arial" w:hAnsi="Arial" w:cs="Arial"/>
          <w:b/>
          <w:color w:val="auto"/>
          <w:highlight w:val="none"/>
        </w:rPr>
      </w:pPr>
      <w:r>
        <w:rPr>
          <w:rFonts w:ascii="Arial" w:hAnsi="Arial" w:cs="Arial"/>
          <w:b/>
          <w:color w:val="auto"/>
          <w:highlight w:val="none"/>
        </w:rPr>
        <w:t>投标代表参与开标时，需另行随身携带此授权委托书。</w:t>
      </w:r>
    </w:p>
    <w:p>
      <w:pPr>
        <w:pStyle w:val="5"/>
        <w:ind w:firstLine="420"/>
        <w:rPr>
          <w:rFonts w:cs="Arial"/>
          <w:color w:val="auto"/>
          <w:highlight w:val="none"/>
        </w:rPr>
      </w:pPr>
      <w:r>
        <w:rPr>
          <w:rFonts w:cs="Arial"/>
          <w:b w:val="0"/>
          <w:color w:val="auto"/>
          <w:highlight w:val="none"/>
        </w:rPr>
        <w:br w:type="page"/>
      </w:r>
      <w:bookmarkStart w:id="84" w:name="_Toc345575543"/>
      <w:bookmarkStart w:id="85" w:name="_Toc336683581"/>
      <w:r>
        <w:rPr>
          <w:rFonts w:cs="Arial"/>
          <w:color w:val="auto"/>
          <w:highlight w:val="none"/>
        </w:rPr>
        <w:t>三、偏离表</w:t>
      </w:r>
      <w:bookmarkEnd w:id="84"/>
      <w:bookmarkEnd w:id="85"/>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偏离表</w:t>
      </w:r>
    </w:p>
    <w:p>
      <w:pPr>
        <w:snapToGrid w:val="0"/>
        <w:spacing w:line="300" w:lineRule="auto"/>
        <w:rPr>
          <w:rFonts w:ascii="Arial" w:hAnsi="Arial" w:cs="Arial"/>
          <w:color w:val="auto"/>
          <w:highlight w:val="none"/>
        </w:rPr>
      </w:pPr>
      <w:r>
        <w:rPr>
          <w:rFonts w:ascii="Arial" w:hAnsi="Arial" w:cs="Arial"/>
          <w:color w:val="auto"/>
          <w:highlight w:val="none"/>
        </w:rPr>
        <w:t>采购人：杭州市拱墅区城市管理局</w:t>
      </w:r>
    </w:p>
    <w:p>
      <w:pPr>
        <w:snapToGrid w:val="0"/>
        <w:spacing w:line="300" w:lineRule="auto"/>
        <w:rPr>
          <w:rFonts w:ascii="Arial" w:hAnsi="Arial" w:cs="Arial"/>
          <w:color w:val="auto"/>
          <w:highlight w:val="none"/>
        </w:rPr>
      </w:pPr>
      <w:r>
        <w:rPr>
          <w:rFonts w:ascii="Arial" w:hAnsi="Arial" w:cs="Arial"/>
          <w:color w:val="auto"/>
          <w:highlight w:val="none"/>
        </w:rPr>
        <w:t>项目名称：</w:t>
      </w:r>
      <w:r>
        <w:rPr>
          <w:rFonts w:hint="eastAsia" w:ascii="Arial" w:hAnsi="Arial" w:cs="Arial"/>
          <w:color w:val="auto"/>
          <w:highlight w:val="none"/>
        </w:rPr>
        <w:t>2020年拱墅区“峰会”亮灯工程第二次运行维护项目</w:t>
      </w:r>
    </w:p>
    <w:p>
      <w:pPr>
        <w:snapToGrid w:val="0"/>
        <w:spacing w:line="300" w:lineRule="auto"/>
        <w:rPr>
          <w:rFonts w:hint="eastAsia" w:ascii="Arial" w:hAnsi="Arial" w:eastAsia="宋体" w:cs="Arial"/>
          <w:color w:val="auto"/>
          <w:highlight w:val="none"/>
          <w:lang w:eastAsia="zh-CN"/>
        </w:rPr>
      </w:pPr>
      <w:r>
        <w:rPr>
          <w:rFonts w:ascii="Arial" w:hAnsi="Arial" w:cs="Arial"/>
          <w:color w:val="auto"/>
          <w:highlight w:val="none"/>
        </w:rPr>
        <w:t>项目编号：</w:t>
      </w:r>
      <w:r>
        <w:rPr>
          <w:rFonts w:hint="eastAsia" w:ascii="Arial" w:hAnsi="Arial" w:cs="Arial"/>
          <w:color w:val="auto"/>
          <w:highlight w:val="none"/>
          <w:lang w:eastAsia="zh-CN"/>
        </w:rPr>
        <w:t>CTZB-2020040466</w:t>
      </w:r>
    </w:p>
    <w:tbl>
      <w:tblPr>
        <w:tblStyle w:val="47"/>
        <w:tblW w:w="928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3060"/>
        <w:gridCol w:w="2340"/>
        <w:gridCol w:w="2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序号</w:t>
            </w:r>
          </w:p>
        </w:tc>
        <w:tc>
          <w:tcPr>
            <w:tcW w:w="306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招标文件要求</w:t>
            </w:r>
          </w:p>
        </w:tc>
        <w:tc>
          <w:tcPr>
            <w:tcW w:w="234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投标响应</w:t>
            </w:r>
          </w:p>
        </w:tc>
        <w:tc>
          <w:tcPr>
            <w:tcW w:w="288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一</w:t>
            </w:r>
          </w:p>
        </w:tc>
        <w:tc>
          <w:tcPr>
            <w:tcW w:w="306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项目技术规范和服务要求</w:t>
            </w: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w:t>
            </w:r>
          </w:p>
        </w:tc>
        <w:tc>
          <w:tcPr>
            <w:tcW w:w="306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w:t>
            </w: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p>
        </w:tc>
        <w:tc>
          <w:tcPr>
            <w:tcW w:w="3060" w:type="dxa"/>
            <w:vAlign w:val="center"/>
          </w:tcPr>
          <w:p>
            <w:pPr>
              <w:snapToGrid w:val="0"/>
              <w:spacing w:line="300" w:lineRule="auto"/>
              <w:jc w:val="center"/>
              <w:rPr>
                <w:rFonts w:ascii="Arial" w:hAnsi="Arial" w:cs="Arial"/>
                <w:color w:val="auto"/>
                <w:highlight w:val="none"/>
              </w:rPr>
            </w:pP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二</w:t>
            </w:r>
          </w:p>
        </w:tc>
        <w:tc>
          <w:tcPr>
            <w:tcW w:w="306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合同条款</w:t>
            </w: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w:t>
            </w:r>
          </w:p>
        </w:tc>
        <w:tc>
          <w:tcPr>
            <w:tcW w:w="306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w:t>
            </w: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p>
        </w:tc>
        <w:tc>
          <w:tcPr>
            <w:tcW w:w="3060" w:type="dxa"/>
            <w:vAlign w:val="center"/>
          </w:tcPr>
          <w:p>
            <w:pPr>
              <w:snapToGrid w:val="0"/>
              <w:spacing w:line="300" w:lineRule="auto"/>
              <w:jc w:val="center"/>
              <w:rPr>
                <w:rFonts w:ascii="Arial" w:hAnsi="Arial" w:cs="Arial"/>
                <w:color w:val="auto"/>
                <w:highlight w:val="none"/>
              </w:rPr>
            </w:pP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p>
        </w:tc>
        <w:tc>
          <w:tcPr>
            <w:tcW w:w="3060" w:type="dxa"/>
            <w:vAlign w:val="center"/>
          </w:tcPr>
          <w:p>
            <w:pPr>
              <w:snapToGrid w:val="0"/>
              <w:spacing w:line="300" w:lineRule="auto"/>
              <w:jc w:val="center"/>
              <w:rPr>
                <w:rFonts w:ascii="Arial" w:hAnsi="Arial" w:cs="Arial"/>
                <w:color w:val="auto"/>
                <w:highlight w:val="none"/>
              </w:rPr>
            </w:pP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p>
        </w:tc>
        <w:tc>
          <w:tcPr>
            <w:tcW w:w="3060" w:type="dxa"/>
            <w:vAlign w:val="center"/>
          </w:tcPr>
          <w:p>
            <w:pPr>
              <w:snapToGrid w:val="0"/>
              <w:spacing w:line="300" w:lineRule="auto"/>
              <w:jc w:val="center"/>
              <w:rPr>
                <w:rFonts w:ascii="Arial" w:hAnsi="Arial" w:cs="Arial"/>
                <w:color w:val="auto"/>
                <w:highlight w:val="none"/>
              </w:rPr>
            </w:pP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p>
        </w:tc>
        <w:tc>
          <w:tcPr>
            <w:tcW w:w="3060" w:type="dxa"/>
            <w:vAlign w:val="center"/>
          </w:tcPr>
          <w:p>
            <w:pPr>
              <w:snapToGrid w:val="0"/>
              <w:spacing w:line="300" w:lineRule="auto"/>
              <w:jc w:val="center"/>
              <w:rPr>
                <w:rFonts w:ascii="Arial" w:hAnsi="Arial" w:cs="Arial"/>
                <w:color w:val="auto"/>
                <w:highlight w:val="none"/>
              </w:rPr>
            </w:pP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snapToGrid w:val="0"/>
              <w:spacing w:line="300" w:lineRule="auto"/>
              <w:jc w:val="center"/>
              <w:rPr>
                <w:rFonts w:ascii="Arial" w:hAnsi="Arial" w:cs="Arial"/>
                <w:color w:val="auto"/>
                <w:highlight w:val="none"/>
              </w:rPr>
            </w:pPr>
          </w:p>
        </w:tc>
        <w:tc>
          <w:tcPr>
            <w:tcW w:w="3060" w:type="dxa"/>
            <w:vAlign w:val="center"/>
          </w:tcPr>
          <w:p>
            <w:pPr>
              <w:snapToGrid w:val="0"/>
              <w:spacing w:line="300" w:lineRule="auto"/>
              <w:jc w:val="center"/>
              <w:rPr>
                <w:rFonts w:ascii="Arial" w:hAnsi="Arial" w:cs="Arial"/>
                <w:color w:val="auto"/>
                <w:highlight w:val="none"/>
              </w:rPr>
            </w:pPr>
          </w:p>
        </w:tc>
        <w:tc>
          <w:tcPr>
            <w:tcW w:w="2340" w:type="dxa"/>
            <w:vAlign w:val="center"/>
          </w:tcPr>
          <w:p>
            <w:pPr>
              <w:snapToGrid w:val="0"/>
              <w:spacing w:line="300" w:lineRule="auto"/>
              <w:jc w:val="center"/>
              <w:rPr>
                <w:rFonts w:ascii="Arial" w:hAnsi="Arial" w:cs="Arial"/>
                <w:color w:val="auto"/>
                <w:highlight w:val="none"/>
              </w:rPr>
            </w:pPr>
          </w:p>
        </w:tc>
        <w:tc>
          <w:tcPr>
            <w:tcW w:w="2880" w:type="dxa"/>
            <w:vAlign w:val="center"/>
          </w:tcPr>
          <w:p>
            <w:pPr>
              <w:snapToGrid w:val="0"/>
              <w:spacing w:line="300" w:lineRule="auto"/>
              <w:jc w:val="center"/>
              <w:rPr>
                <w:rFonts w:ascii="Arial" w:hAnsi="Arial" w:cs="Arial"/>
                <w:color w:val="auto"/>
                <w:highlight w:val="none"/>
              </w:rPr>
            </w:pPr>
          </w:p>
        </w:tc>
      </w:tr>
    </w:tbl>
    <w:p>
      <w:pPr>
        <w:snapToGrid w:val="0"/>
        <w:spacing w:line="300" w:lineRule="auto"/>
        <w:rPr>
          <w:rFonts w:ascii="Arial" w:hAnsi="Arial" w:cs="Arial"/>
          <w:color w:val="auto"/>
          <w:highlight w:val="none"/>
        </w:rPr>
      </w:pPr>
      <w:r>
        <w:rPr>
          <w:rFonts w:ascii="Arial" w:hAnsi="Arial" w:cs="Arial"/>
          <w:color w:val="auto"/>
          <w:highlight w:val="none"/>
        </w:rPr>
        <w:t>填表说明：对招标文件有任何偏离（包括正偏离及负偏离）均应汇总并填写在此表中。</w:t>
      </w:r>
    </w:p>
    <w:p>
      <w:pPr>
        <w:snapToGrid w:val="0"/>
        <w:spacing w:line="300" w:lineRule="auto"/>
        <w:rPr>
          <w:rFonts w:ascii="Arial" w:hAnsi="Arial" w:cs="Arial"/>
          <w:color w:val="auto"/>
          <w:spacing w:val="20"/>
          <w:highlight w:val="none"/>
          <w:u w:val="single"/>
        </w:rPr>
      </w:pPr>
      <w:r>
        <w:rPr>
          <w:rFonts w:ascii="Arial" w:hAnsi="Arial" w:cs="Arial"/>
          <w:color w:val="auto"/>
          <w:highlight w:val="none"/>
        </w:rPr>
        <w:t>投标人全称（盖单位公章）：</w:t>
      </w:r>
    </w:p>
    <w:p>
      <w:pPr>
        <w:snapToGrid w:val="0"/>
        <w:spacing w:line="300" w:lineRule="auto"/>
        <w:rPr>
          <w:rFonts w:ascii="Arial" w:hAnsi="Arial" w:cs="Arial"/>
          <w:color w:val="auto"/>
          <w:highlight w:val="none"/>
        </w:rPr>
      </w:pPr>
      <w:r>
        <w:rPr>
          <w:rFonts w:ascii="Arial" w:hAnsi="Arial" w:cs="Arial"/>
          <w:color w:val="auto"/>
          <w:spacing w:val="20"/>
          <w:highlight w:val="none"/>
        </w:rPr>
        <w:t>日期：</w:t>
      </w:r>
      <w:r>
        <w:rPr>
          <w:rFonts w:ascii="Arial" w:hAnsi="Arial" w:cs="Arial"/>
          <w:color w:val="auto"/>
          <w:highlight w:val="none"/>
        </w:rPr>
        <w:t>年月日</w:t>
      </w:r>
    </w:p>
    <w:p>
      <w:pPr>
        <w:snapToGrid w:val="0"/>
        <w:spacing w:line="300" w:lineRule="auto"/>
        <w:rPr>
          <w:rFonts w:ascii="Arial" w:hAnsi="Arial" w:cs="Arial"/>
          <w:color w:val="auto"/>
          <w:highlight w:val="none"/>
        </w:rPr>
      </w:pPr>
    </w:p>
    <w:p>
      <w:pPr>
        <w:snapToGrid w:val="0"/>
        <w:spacing w:line="300" w:lineRule="auto"/>
        <w:ind w:firstLine="420" w:firstLineChars="200"/>
        <w:rPr>
          <w:rFonts w:ascii="Arial" w:hAnsi="Arial" w:cs="Arial"/>
          <w:color w:val="auto"/>
          <w:szCs w:val="21"/>
          <w:highlight w:val="none"/>
        </w:rPr>
      </w:pPr>
      <w:r>
        <w:rPr>
          <w:rFonts w:ascii="Arial" w:hAnsi="Arial" w:cs="Arial"/>
          <w:color w:val="auto"/>
          <w:highlight w:val="none"/>
        </w:rPr>
        <w:t>说明：</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1、如投标人提交的投标文件响应条款与招标文件的要求存在正、负偏离，需逐项填写《偏离表》。完全满足招标文件要求的投标人只需填写“完全满足招标文件的全部要求”。</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2、若投标人以未在偏离表中列出的负偏离为由，不按招标文件要求签约，采购人有权取消该投标人的中标资格，并按有关规定重新确定中标单位或另行采购。</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3、投标人可调整、修改上述表格。</w:t>
      </w:r>
    </w:p>
    <w:p>
      <w:pPr>
        <w:snapToGrid w:val="0"/>
        <w:spacing w:line="300" w:lineRule="auto"/>
        <w:rPr>
          <w:rFonts w:ascii="Arial" w:hAnsi="Arial" w:cs="Arial"/>
          <w:color w:val="auto"/>
          <w:spacing w:val="20"/>
          <w:highlight w:val="none"/>
        </w:rPr>
      </w:pPr>
    </w:p>
    <w:p>
      <w:pPr>
        <w:snapToGrid w:val="0"/>
        <w:spacing w:line="300" w:lineRule="auto"/>
        <w:rPr>
          <w:rFonts w:ascii="Arial" w:hAnsi="Arial" w:cs="Arial"/>
          <w:color w:val="auto"/>
          <w:highlight w:val="none"/>
        </w:rPr>
      </w:pPr>
      <w:r>
        <w:rPr>
          <w:rFonts w:ascii="Arial" w:hAnsi="Arial" w:cs="Arial"/>
          <w:color w:val="auto"/>
          <w:spacing w:val="20"/>
          <w:highlight w:val="none"/>
        </w:rPr>
        <w:br w:type="page"/>
      </w:r>
    </w:p>
    <w:p>
      <w:pPr>
        <w:pStyle w:val="5"/>
        <w:ind w:firstLine="422"/>
        <w:rPr>
          <w:rFonts w:cs="Arial"/>
          <w:color w:val="auto"/>
          <w:highlight w:val="none"/>
        </w:rPr>
      </w:pPr>
      <w:bookmarkStart w:id="86" w:name="_Toc345575550"/>
      <w:bookmarkStart w:id="87" w:name="_Toc245088215"/>
      <w:r>
        <w:rPr>
          <w:rFonts w:cs="Arial"/>
          <w:color w:val="auto"/>
          <w:szCs w:val="21"/>
          <w:highlight w:val="none"/>
        </w:rPr>
        <w:t>四</w:t>
      </w:r>
      <w:r>
        <w:rPr>
          <w:rFonts w:cs="Arial"/>
          <w:color w:val="auto"/>
          <w:highlight w:val="none"/>
        </w:rPr>
        <w:t>、</w:t>
      </w:r>
      <w:bookmarkEnd w:id="86"/>
      <w:bookmarkEnd w:id="87"/>
      <w:r>
        <w:rPr>
          <w:rFonts w:cs="Arial"/>
          <w:color w:val="auto"/>
          <w:highlight w:val="none"/>
        </w:rPr>
        <w:t>廉政承诺书</w:t>
      </w: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廉政承诺书</w:t>
      </w:r>
    </w:p>
    <w:p>
      <w:pPr>
        <w:snapToGrid w:val="0"/>
        <w:spacing w:line="300" w:lineRule="auto"/>
        <w:rPr>
          <w:rFonts w:ascii="Arial" w:hAnsi="Arial" w:cs="Arial"/>
          <w:color w:val="auto"/>
          <w:szCs w:val="21"/>
          <w:highlight w:val="none"/>
        </w:rPr>
      </w:pPr>
      <w:r>
        <w:rPr>
          <w:rFonts w:ascii="Arial" w:hAnsi="Arial" w:cs="Arial"/>
          <w:color w:val="auto"/>
          <w:szCs w:val="21"/>
          <w:highlight w:val="none"/>
          <w:u w:val="single"/>
        </w:rPr>
        <w:t>杭州市拱墅区城市管理局</w:t>
      </w:r>
      <w:r>
        <w:rPr>
          <w:rFonts w:ascii="Arial" w:hAnsi="Arial" w:cs="Arial"/>
          <w:color w:val="auto"/>
          <w:szCs w:val="21"/>
          <w:highlight w:val="none"/>
        </w:rPr>
        <w:t>：</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我单位响应</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w:t>
      </w:r>
      <w:r>
        <w:rPr>
          <w:rFonts w:ascii="Arial" w:hAnsi="Arial" w:cs="Arial"/>
          <w:color w:val="auto"/>
          <w:szCs w:val="21"/>
          <w:highlight w:val="none"/>
        </w:rPr>
        <w:t>招标要求参加投标。在这次投标过程中和中标后，我们将严格遵守国家法律法规要求，并郑重承诺：</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一、不向项目有关人员及部门赠送礼金礼物、有价证券、回扣以及中介费、介绍费、咨询费等好处费；</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二、不为项目有关人员及部门报销应由你方单位或个人支付的费用；</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三、不向项目有关人员及部门提供有可能影响公正的宴请和健身娱乐等活动；</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四、不为项目有关人员及部门出国（境）、旅游等提供方便；</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五、不为项目有关人员个人装修住房、婚丧嫁娶、配偶子女工作安排等提供好处；</w:t>
      </w:r>
    </w:p>
    <w:p>
      <w:pPr>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如违反上述承诺，你单位有权立即取消我单位投标、中标资格，有权拒绝我单位在一定时期内进入你单位进行项目建设或其他经营活动，并通报政府采购监管部门。由此引起的相应损失均由我单位承担。</w:t>
      </w:r>
    </w:p>
    <w:p>
      <w:pPr>
        <w:snapToGrid w:val="0"/>
        <w:spacing w:line="300" w:lineRule="auto"/>
        <w:rPr>
          <w:rFonts w:ascii="Arial" w:hAnsi="Arial" w:cs="Arial"/>
          <w:color w:val="auto"/>
          <w:highlight w:val="none"/>
        </w:rPr>
      </w:pPr>
    </w:p>
    <w:p>
      <w:pPr>
        <w:snapToGrid w:val="0"/>
        <w:spacing w:line="300" w:lineRule="auto"/>
        <w:rPr>
          <w:rFonts w:ascii="Arial" w:hAnsi="Arial" w:cs="Arial"/>
          <w:color w:val="auto"/>
          <w:highlight w:val="none"/>
        </w:rPr>
      </w:pPr>
    </w:p>
    <w:p>
      <w:pPr>
        <w:snapToGrid w:val="0"/>
        <w:spacing w:line="300" w:lineRule="auto"/>
        <w:rPr>
          <w:rFonts w:ascii="Arial" w:hAnsi="Arial" w:cs="Arial"/>
          <w:color w:val="auto"/>
          <w:spacing w:val="20"/>
          <w:highlight w:val="none"/>
          <w:u w:val="single"/>
        </w:rPr>
      </w:pPr>
      <w:r>
        <w:rPr>
          <w:rFonts w:ascii="Arial" w:hAnsi="Arial" w:cs="Arial"/>
          <w:color w:val="auto"/>
          <w:highlight w:val="none"/>
        </w:rPr>
        <w:t>投标人全称（盖单位公章）：</w:t>
      </w:r>
    </w:p>
    <w:p>
      <w:pPr>
        <w:snapToGrid w:val="0"/>
        <w:spacing w:line="300" w:lineRule="auto"/>
        <w:rPr>
          <w:rFonts w:ascii="Arial" w:hAnsi="Arial" w:cs="Arial"/>
          <w:color w:val="auto"/>
          <w:highlight w:val="none"/>
        </w:rPr>
      </w:pPr>
      <w:r>
        <w:rPr>
          <w:rFonts w:ascii="Arial" w:hAnsi="Arial" w:cs="Arial"/>
          <w:color w:val="auto"/>
          <w:highlight w:val="none"/>
        </w:rPr>
        <w:t>日期：年月日</w:t>
      </w:r>
    </w:p>
    <w:p>
      <w:pPr>
        <w:rPr>
          <w:rFonts w:ascii="Arial" w:hAnsi="Arial" w:cs="Arial"/>
          <w:color w:val="auto"/>
          <w:highlight w:val="none"/>
        </w:rPr>
      </w:pPr>
      <w:r>
        <w:rPr>
          <w:rFonts w:ascii="Arial" w:hAnsi="Arial" w:cs="Arial"/>
          <w:color w:val="auto"/>
          <w:highlight w:val="none"/>
        </w:rPr>
        <w:br w:type="page"/>
      </w:r>
    </w:p>
    <w:p>
      <w:pPr>
        <w:pStyle w:val="5"/>
        <w:ind w:firstLine="422"/>
        <w:rPr>
          <w:rFonts w:cs="Arial"/>
          <w:color w:val="auto"/>
          <w:highlight w:val="none"/>
        </w:rPr>
      </w:pPr>
      <w:bookmarkStart w:id="88" w:name="_Toc345575552"/>
      <w:r>
        <w:rPr>
          <w:rFonts w:cs="Arial"/>
          <w:color w:val="auto"/>
          <w:highlight w:val="none"/>
        </w:rPr>
        <w:t>五、其他资信资料</w:t>
      </w:r>
      <w:bookmarkEnd w:id="88"/>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其他资信资料</w:t>
      </w: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（一）投标人具有的信用情况</w:t>
      </w: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（二）投标人具有的管理体系认证情况</w:t>
      </w: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（三）投标人具有的荣誉情况</w:t>
      </w: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（四）投标人的员工管理考核制度</w:t>
      </w: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（五）投标人的安全生产管理制度</w:t>
      </w: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（六）服务网点</w:t>
      </w:r>
    </w:p>
    <w:p>
      <w:pPr>
        <w:snapToGrid w:val="0"/>
        <w:spacing w:line="300" w:lineRule="auto"/>
        <w:ind w:firstLine="420" w:firstLineChars="200"/>
        <w:jc w:val="left"/>
        <w:rPr>
          <w:rFonts w:ascii="Arial" w:hAnsi="Arial" w:cs="Arial"/>
          <w:color w:val="auto"/>
          <w:highlight w:val="none"/>
        </w:rPr>
      </w:pP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说明：</w:t>
      </w: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1）投标文件中提供以上有效证书的复印件。</w:t>
      </w:r>
    </w:p>
    <w:p>
      <w:pPr>
        <w:snapToGrid w:val="0"/>
        <w:spacing w:line="300" w:lineRule="auto"/>
        <w:ind w:firstLine="420" w:firstLineChars="200"/>
        <w:jc w:val="left"/>
        <w:rPr>
          <w:rFonts w:ascii="Arial" w:hAnsi="Arial" w:cs="Arial"/>
          <w:color w:val="auto"/>
          <w:highlight w:val="none"/>
        </w:rPr>
      </w:pPr>
      <w:r>
        <w:rPr>
          <w:rFonts w:ascii="Arial" w:hAnsi="Arial" w:cs="Arial"/>
          <w:color w:val="auto"/>
          <w:highlight w:val="none"/>
        </w:rPr>
        <w:t>2）请对照评标细则提供相应内容。不限于表格形式，可采用其他形式表述。</w:t>
      </w:r>
    </w:p>
    <w:p>
      <w:pPr>
        <w:snapToGrid w:val="0"/>
        <w:spacing w:line="300" w:lineRule="auto"/>
        <w:ind w:firstLine="420" w:firstLineChars="200"/>
        <w:jc w:val="left"/>
        <w:rPr>
          <w:rFonts w:ascii="Arial" w:hAnsi="Arial" w:cs="Arial"/>
          <w:color w:val="auto"/>
          <w:highlight w:val="none"/>
        </w:rPr>
      </w:pPr>
    </w:p>
    <w:p>
      <w:pPr>
        <w:snapToGrid w:val="0"/>
        <w:spacing w:line="300" w:lineRule="auto"/>
        <w:ind w:firstLine="420" w:firstLineChars="200"/>
        <w:jc w:val="left"/>
        <w:rPr>
          <w:rFonts w:ascii="Arial" w:hAnsi="Arial" w:cs="Arial"/>
          <w:color w:val="auto"/>
          <w:highlight w:val="none"/>
        </w:rPr>
      </w:pPr>
    </w:p>
    <w:p>
      <w:pPr>
        <w:snapToGrid w:val="0"/>
        <w:spacing w:line="300" w:lineRule="auto"/>
        <w:ind w:firstLine="480"/>
        <w:rPr>
          <w:rFonts w:ascii="Arial" w:hAnsi="Arial" w:cs="Arial"/>
          <w:color w:val="auto"/>
          <w:szCs w:val="21"/>
          <w:highlight w:val="none"/>
        </w:rPr>
      </w:pPr>
    </w:p>
    <w:p>
      <w:pPr>
        <w:pStyle w:val="20"/>
        <w:snapToGrid w:val="0"/>
        <w:spacing w:line="300" w:lineRule="auto"/>
        <w:ind w:left="840" w:hanging="420"/>
        <w:rPr>
          <w:rFonts w:ascii="Arial" w:hAnsi="Arial" w:cs="Arial"/>
          <w:color w:val="auto"/>
          <w:spacing w:val="20"/>
          <w:highlight w:val="none"/>
        </w:rPr>
      </w:pPr>
      <w:r>
        <w:rPr>
          <w:rFonts w:ascii="Arial" w:hAnsi="Arial" w:cs="Arial"/>
          <w:color w:val="auto"/>
          <w:highlight w:val="none"/>
        </w:rPr>
        <w:br w:type="page"/>
      </w:r>
    </w:p>
    <w:p>
      <w:pPr>
        <w:pStyle w:val="5"/>
        <w:ind w:firstLine="422"/>
        <w:rPr>
          <w:rFonts w:cs="Arial"/>
          <w:color w:val="auto"/>
          <w:highlight w:val="none"/>
        </w:rPr>
      </w:pPr>
      <w:bookmarkStart w:id="89" w:name="_Toc345575551"/>
      <w:bookmarkStart w:id="90" w:name="_Toc336683582"/>
      <w:r>
        <w:rPr>
          <w:rFonts w:cs="Arial"/>
          <w:color w:val="auto"/>
          <w:highlight w:val="none"/>
        </w:rPr>
        <w:t>六、投标人类似项目业绩情况格式</w:t>
      </w:r>
      <w:bookmarkEnd w:id="89"/>
      <w:bookmarkEnd w:id="90"/>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投标人类似项目业绩情况</w:t>
      </w:r>
    </w:p>
    <w:p>
      <w:pPr>
        <w:snapToGrid w:val="0"/>
        <w:spacing w:line="300" w:lineRule="auto"/>
        <w:rPr>
          <w:rFonts w:ascii="Arial" w:hAnsi="Arial" w:cs="Arial"/>
          <w:color w:val="auto"/>
          <w:highlight w:val="none"/>
        </w:rPr>
      </w:pPr>
      <w:r>
        <w:rPr>
          <w:rFonts w:ascii="Arial" w:hAnsi="Arial" w:cs="Arial"/>
          <w:color w:val="auto"/>
          <w:highlight w:val="none"/>
        </w:rPr>
        <w:t>采购人：杭州市拱墅区城市管理局</w:t>
      </w:r>
    </w:p>
    <w:p>
      <w:pPr>
        <w:snapToGrid w:val="0"/>
        <w:spacing w:line="300" w:lineRule="auto"/>
        <w:rPr>
          <w:rFonts w:ascii="Arial" w:hAnsi="Arial" w:cs="Arial"/>
          <w:color w:val="auto"/>
          <w:highlight w:val="none"/>
        </w:rPr>
      </w:pPr>
      <w:r>
        <w:rPr>
          <w:rFonts w:ascii="Arial" w:hAnsi="Arial" w:cs="Arial"/>
          <w:color w:val="auto"/>
          <w:highlight w:val="none"/>
        </w:rPr>
        <w:t>项目名称：</w:t>
      </w:r>
      <w:r>
        <w:rPr>
          <w:rFonts w:hint="eastAsia" w:ascii="Arial" w:hAnsi="Arial" w:cs="Arial"/>
          <w:color w:val="auto"/>
          <w:highlight w:val="none"/>
        </w:rPr>
        <w:t>2020年拱墅区“峰会”亮灯工程第二次运行维护项目</w:t>
      </w:r>
    </w:p>
    <w:p>
      <w:pPr>
        <w:snapToGrid w:val="0"/>
        <w:spacing w:line="300" w:lineRule="auto"/>
        <w:rPr>
          <w:rFonts w:hint="eastAsia" w:ascii="Arial" w:hAnsi="Arial" w:eastAsia="宋体" w:cs="Arial"/>
          <w:color w:val="auto"/>
          <w:highlight w:val="none"/>
          <w:lang w:eastAsia="zh-CN"/>
        </w:rPr>
      </w:pPr>
      <w:r>
        <w:rPr>
          <w:rFonts w:ascii="Arial" w:hAnsi="Arial" w:cs="Arial"/>
          <w:color w:val="auto"/>
          <w:highlight w:val="none"/>
        </w:rPr>
        <w:t>项目编号：</w:t>
      </w:r>
      <w:r>
        <w:rPr>
          <w:rFonts w:hint="eastAsia" w:ascii="Arial" w:hAnsi="Arial" w:cs="Arial"/>
          <w:color w:val="auto"/>
          <w:highlight w:val="none"/>
          <w:lang w:eastAsia="zh-CN"/>
        </w:rPr>
        <w:t>CTZB-2020040466</w:t>
      </w:r>
    </w:p>
    <w:tbl>
      <w:tblPr>
        <w:tblStyle w:val="47"/>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1440"/>
        <w:gridCol w:w="1620"/>
        <w:gridCol w:w="1080"/>
        <w:gridCol w:w="1080"/>
        <w:gridCol w:w="900"/>
        <w:gridCol w:w="90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aps/>
                <w:color w:val="auto"/>
                <w:highlight w:val="none"/>
              </w:rPr>
            </w:pPr>
            <w:r>
              <w:rPr>
                <w:rFonts w:ascii="Arial" w:hAnsi="Arial" w:cs="Arial"/>
                <w:caps/>
                <w:color w:val="auto"/>
                <w:highlight w:val="none"/>
              </w:rPr>
              <w:t>序号</w:t>
            </w:r>
          </w:p>
        </w:tc>
        <w:tc>
          <w:tcPr>
            <w:tcW w:w="1080" w:type="dxa"/>
            <w:vAlign w:val="center"/>
          </w:tcPr>
          <w:p>
            <w:pPr>
              <w:snapToGrid w:val="0"/>
              <w:spacing w:line="300" w:lineRule="auto"/>
              <w:jc w:val="center"/>
              <w:rPr>
                <w:rFonts w:ascii="Arial" w:hAnsi="Arial" w:cs="Arial"/>
                <w:caps/>
                <w:color w:val="auto"/>
                <w:highlight w:val="none"/>
              </w:rPr>
            </w:pPr>
            <w:r>
              <w:rPr>
                <w:rFonts w:ascii="Arial" w:hAnsi="Arial" w:cs="Arial"/>
                <w:color w:val="auto"/>
                <w:highlight w:val="none"/>
              </w:rPr>
              <w:t>合同编号</w:t>
            </w:r>
          </w:p>
        </w:tc>
        <w:tc>
          <w:tcPr>
            <w:tcW w:w="1440" w:type="dxa"/>
            <w:vAlign w:val="center"/>
          </w:tcPr>
          <w:p>
            <w:pPr>
              <w:snapToGrid w:val="0"/>
              <w:spacing w:line="300" w:lineRule="auto"/>
              <w:jc w:val="center"/>
              <w:rPr>
                <w:rFonts w:ascii="Arial" w:hAnsi="Arial" w:cs="Arial"/>
                <w:caps/>
                <w:color w:val="auto"/>
                <w:highlight w:val="none"/>
              </w:rPr>
            </w:pPr>
            <w:r>
              <w:rPr>
                <w:rFonts w:ascii="Arial" w:hAnsi="Arial" w:cs="Arial"/>
                <w:caps/>
                <w:color w:val="auto"/>
                <w:highlight w:val="none"/>
              </w:rPr>
              <w:t>用户名称</w:t>
            </w:r>
          </w:p>
        </w:tc>
        <w:tc>
          <w:tcPr>
            <w:tcW w:w="1620" w:type="dxa"/>
            <w:vAlign w:val="center"/>
          </w:tcPr>
          <w:p>
            <w:pPr>
              <w:snapToGrid w:val="0"/>
              <w:spacing w:line="300" w:lineRule="auto"/>
              <w:jc w:val="center"/>
              <w:rPr>
                <w:rFonts w:ascii="Arial" w:hAnsi="Arial" w:cs="Arial"/>
                <w:caps/>
                <w:color w:val="auto"/>
                <w:highlight w:val="none"/>
              </w:rPr>
            </w:pPr>
            <w:r>
              <w:rPr>
                <w:rFonts w:ascii="Arial" w:hAnsi="Arial" w:cs="Arial"/>
                <w:caps/>
                <w:color w:val="auto"/>
                <w:highlight w:val="none"/>
              </w:rPr>
              <w:t>合同内容描述</w:t>
            </w:r>
          </w:p>
        </w:tc>
        <w:tc>
          <w:tcPr>
            <w:tcW w:w="1080" w:type="dxa"/>
            <w:vAlign w:val="center"/>
          </w:tcPr>
          <w:p>
            <w:pPr>
              <w:snapToGrid w:val="0"/>
              <w:spacing w:line="300" w:lineRule="auto"/>
              <w:jc w:val="center"/>
              <w:rPr>
                <w:rFonts w:ascii="Arial" w:hAnsi="Arial" w:cs="Arial"/>
                <w:caps/>
                <w:color w:val="auto"/>
                <w:highlight w:val="none"/>
              </w:rPr>
            </w:pPr>
            <w:r>
              <w:rPr>
                <w:rFonts w:ascii="Arial" w:hAnsi="Arial" w:cs="Arial"/>
                <w:caps/>
                <w:color w:val="auto"/>
                <w:highlight w:val="none"/>
              </w:rPr>
              <w:t>合同金额</w:t>
            </w:r>
          </w:p>
        </w:tc>
        <w:tc>
          <w:tcPr>
            <w:tcW w:w="1080" w:type="dxa"/>
            <w:vAlign w:val="center"/>
          </w:tcPr>
          <w:p>
            <w:pPr>
              <w:snapToGrid w:val="0"/>
              <w:spacing w:line="300" w:lineRule="auto"/>
              <w:jc w:val="center"/>
              <w:rPr>
                <w:rFonts w:ascii="Arial" w:hAnsi="Arial" w:cs="Arial"/>
                <w:caps/>
                <w:color w:val="auto"/>
                <w:highlight w:val="none"/>
              </w:rPr>
            </w:pPr>
            <w:r>
              <w:rPr>
                <w:rFonts w:ascii="Arial" w:hAnsi="Arial" w:cs="Arial"/>
                <w:color w:val="auto"/>
                <w:highlight w:val="none"/>
              </w:rPr>
              <w:t>签约及完成日期</w:t>
            </w:r>
          </w:p>
        </w:tc>
        <w:tc>
          <w:tcPr>
            <w:tcW w:w="90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联系人</w:t>
            </w:r>
          </w:p>
        </w:tc>
        <w:tc>
          <w:tcPr>
            <w:tcW w:w="900"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联系电话</w:t>
            </w:r>
          </w:p>
        </w:tc>
        <w:tc>
          <w:tcPr>
            <w:tcW w:w="719" w:type="dxa"/>
            <w:vAlign w:val="center"/>
          </w:tcPr>
          <w:p>
            <w:pPr>
              <w:snapToGrid w:val="0"/>
              <w:spacing w:line="300" w:lineRule="auto"/>
              <w:jc w:val="center"/>
              <w:rPr>
                <w:rFonts w:ascii="Arial" w:hAnsi="Arial" w:cs="Arial"/>
                <w:color w:val="auto"/>
                <w:highlight w:val="none"/>
              </w:rPr>
            </w:pPr>
            <w:r>
              <w:rPr>
                <w:rFonts w:ascii="Arial" w:hAnsi="Arial" w:cs="Arial"/>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440" w:type="dxa"/>
            <w:vAlign w:val="center"/>
          </w:tcPr>
          <w:p>
            <w:pPr>
              <w:snapToGrid w:val="0"/>
              <w:spacing w:line="300" w:lineRule="auto"/>
              <w:jc w:val="center"/>
              <w:rPr>
                <w:rFonts w:ascii="Arial" w:hAnsi="Arial" w:cs="Arial"/>
                <w:color w:val="auto"/>
                <w:spacing w:val="20"/>
                <w:highlight w:val="none"/>
              </w:rPr>
            </w:pPr>
          </w:p>
        </w:tc>
        <w:tc>
          <w:tcPr>
            <w:tcW w:w="162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108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900" w:type="dxa"/>
            <w:vAlign w:val="center"/>
          </w:tcPr>
          <w:p>
            <w:pPr>
              <w:snapToGrid w:val="0"/>
              <w:spacing w:line="300" w:lineRule="auto"/>
              <w:jc w:val="center"/>
              <w:rPr>
                <w:rFonts w:ascii="Arial" w:hAnsi="Arial" w:cs="Arial"/>
                <w:color w:val="auto"/>
                <w:spacing w:val="20"/>
                <w:highlight w:val="none"/>
              </w:rPr>
            </w:pPr>
          </w:p>
        </w:tc>
        <w:tc>
          <w:tcPr>
            <w:tcW w:w="719" w:type="dxa"/>
            <w:vAlign w:val="center"/>
          </w:tcPr>
          <w:p>
            <w:pPr>
              <w:snapToGrid w:val="0"/>
              <w:spacing w:line="300" w:lineRule="auto"/>
              <w:jc w:val="center"/>
              <w:rPr>
                <w:rFonts w:ascii="Arial" w:hAnsi="Arial" w:cs="Arial"/>
                <w:color w:val="auto"/>
                <w:spacing w:val="20"/>
                <w:highlight w:val="none"/>
              </w:rPr>
            </w:pPr>
          </w:p>
        </w:tc>
      </w:tr>
    </w:tbl>
    <w:p>
      <w:pPr>
        <w:adjustRightInd w:val="0"/>
        <w:snapToGrid w:val="0"/>
        <w:spacing w:line="300" w:lineRule="auto"/>
        <w:rPr>
          <w:rFonts w:ascii="Arial" w:hAnsi="Arial" w:cs="Arial"/>
          <w:color w:val="auto"/>
          <w:highlight w:val="none"/>
        </w:rPr>
      </w:pPr>
      <w:r>
        <w:rPr>
          <w:rFonts w:ascii="Arial" w:hAnsi="Arial" w:cs="Arial"/>
          <w:color w:val="auto"/>
          <w:highlight w:val="none"/>
        </w:rPr>
        <w:t>填表说明：</w:t>
      </w:r>
    </w:p>
    <w:p>
      <w:pPr>
        <w:numPr>
          <w:ilvl w:val="0"/>
          <w:numId w:val="3"/>
        </w:numPr>
        <w:adjustRightInd w:val="0"/>
        <w:snapToGrid w:val="0"/>
        <w:spacing w:line="300" w:lineRule="auto"/>
        <w:rPr>
          <w:rFonts w:ascii="Arial" w:hAnsi="Arial" w:cs="Arial"/>
          <w:color w:val="auto"/>
          <w:highlight w:val="none"/>
        </w:rPr>
      </w:pPr>
      <w:r>
        <w:rPr>
          <w:rFonts w:ascii="Arial" w:hAnsi="Arial" w:cs="Arial"/>
          <w:color w:val="auto"/>
          <w:highlight w:val="none"/>
        </w:rPr>
        <w:t>此表不提供，可视为无业绩。</w:t>
      </w:r>
    </w:p>
    <w:p>
      <w:pPr>
        <w:numPr>
          <w:ilvl w:val="0"/>
          <w:numId w:val="3"/>
        </w:numPr>
        <w:adjustRightInd w:val="0"/>
        <w:snapToGrid w:val="0"/>
        <w:spacing w:line="300" w:lineRule="auto"/>
        <w:rPr>
          <w:rFonts w:ascii="Arial" w:hAnsi="Arial" w:cs="Arial"/>
          <w:color w:val="auto"/>
          <w:highlight w:val="none"/>
        </w:rPr>
      </w:pPr>
      <w:r>
        <w:rPr>
          <w:rFonts w:ascii="Arial" w:hAnsi="Arial" w:cs="Arial"/>
          <w:color w:val="auto"/>
          <w:highlight w:val="none"/>
        </w:rPr>
        <w:t>此表仅提供了格式，表格不够可自行增加。</w:t>
      </w:r>
    </w:p>
    <w:p>
      <w:pPr>
        <w:numPr>
          <w:ilvl w:val="0"/>
          <w:numId w:val="3"/>
        </w:numPr>
        <w:adjustRightInd w:val="0"/>
        <w:snapToGrid w:val="0"/>
        <w:spacing w:line="300" w:lineRule="auto"/>
        <w:rPr>
          <w:rFonts w:ascii="Arial" w:hAnsi="Arial" w:cs="Arial"/>
          <w:color w:val="auto"/>
          <w:highlight w:val="none"/>
        </w:rPr>
      </w:pPr>
      <w:r>
        <w:rPr>
          <w:rFonts w:ascii="Arial" w:hAnsi="Arial" w:cs="Arial"/>
          <w:color w:val="auto"/>
          <w:highlight w:val="none"/>
        </w:rPr>
        <w:t>表后附合同、用户评价等相关证明材料。</w:t>
      </w:r>
    </w:p>
    <w:p>
      <w:pPr>
        <w:numPr>
          <w:ilvl w:val="0"/>
          <w:numId w:val="3"/>
        </w:numPr>
        <w:adjustRightInd w:val="0"/>
        <w:snapToGrid w:val="0"/>
        <w:spacing w:line="300" w:lineRule="auto"/>
        <w:rPr>
          <w:rFonts w:ascii="Arial" w:hAnsi="Arial" w:cs="Arial"/>
          <w:color w:val="auto"/>
          <w:highlight w:val="none"/>
        </w:rPr>
      </w:pPr>
      <w:r>
        <w:rPr>
          <w:rFonts w:ascii="Arial" w:hAnsi="Arial" w:cs="Arial"/>
          <w:color w:val="auto"/>
          <w:highlight w:val="none"/>
        </w:rPr>
        <w:t>请对照评标细则提供相应内容。不限于表格形式，可采用其他形式表述。</w:t>
      </w:r>
    </w:p>
    <w:p>
      <w:pPr>
        <w:adjustRightInd w:val="0"/>
        <w:snapToGrid w:val="0"/>
        <w:spacing w:line="300" w:lineRule="auto"/>
        <w:rPr>
          <w:rFonts w:ascii="Arial" w:hAnsi="Arial" w:cs="Arial"/>
          <w:color w:val="auto"/>
          <w:highlight w:val="none"/>
        </w:rPr>
      </w:pPr>
    </w:p>
    <w:p>
      <w:pPr>
        <w:snapToGrid w:val="0"/>
        <w:spacing w:line="300" w:lineRule="auto"/>
        <w:rPr>
          <w:rFonts w:ascii="Arial" w:hAnsi="Arial" w:cs="Arial"/>
          <w:color w:val="auto"/>
          <w:spacing w:val="20"/>
          <w:highlight w:val="none"/>
          <w:u w:val="single"/>
        </w:rPr>
      </w:pPr>
      <w:r>
        <w:rPr>
          <w:rFonts w:ascii="Arial" w:hAnsi="Arial" w:cs="Arial"/>
          <w:color w:val="auto"/>
          <w:highlight w:val="none"/>
        </w:rPr>
        <w:t>投标人全称（盖单位公章）：</w:t>
      </w:r>
    </w:p>
    <w:p>
      <w:pPr>
        <w:snapToGrid w:val="0"/>
        <w:spacing w:line="300" w:lineRule="auto"/>
        <w:rPr>
          <w:rFonts w:ascii="Arial" w:hAnsi="Arial" w:cs="Arial"/>
          <w:color w:val="auto"/>
          <w:highlight w:val="none"/>
        </w:rPr>
      </w:pPr>
      <w:r>
        <w:rPr>
          <w:rFonts w:ascii="Arial" w:hAnsi="Arial" w:cs="Arial"/>
          <w:color w:val="auto"/>
          <w:spacing w:val="20"/>
          <w:highlight w:val="none"/>
        </w:rPr>
        <w:t>日期：</w:t>
      </w:r>
      <w:r>
        <w:rPr>
          <w:rFonts w:ascii="Arial" w:hAnsi="Arial" w:cs="Arial"/>
          <w:color w:val="auto"/>
          <w:highlight w:val="none"/>
        </w:rPr>
        <w:t>年月日</w:t>
      </w:r>
    </w:p>
    <w:p>
      <w:pPr>
        <w:snapToGrid w:val="0"/>
        <w:spacing w:line="300" w:lineRule="auto"/>
        <w:jc w:val="center"/>
        <w:rPr>
          <w:rFonts w:ascii="Arial" w:hAnsi="Arial" w:cs="Arial"/>
          <w:b/>
          <w:bCs/>
          <w:color w:val="auto"/>
          <w:sz w:val="28"/>
          <w:szCs w:val="28"/>
          <w:highlight w:val="none"/>
        </w:rPr>
      </w:pPr>
      <w:r>
        <w:rPr>
          <w:rFonts w:ascii="Arial" w:hAnsi="Arial" w:cs="Arial"/>
          <w:color w:val="auto"/>
          <w:spacing w:val="20"/>
          <w:highlight w:val="none"/>
        </w:rPr>
        <w:br w:type="page"/>
      </w:r>
      <w:r>
        <w:rPr>
          <w:rFonts w:ascii="Arial" w:hAnsi="Arial" w:cs="Arial"/>
          <w:b/>
          <w:bCs/>
          <w:color w:val="auto"/>
          <w:sz w:val="28"/>
          <w:szCs w:val="28"/>
          <w:highlight w:val="none"/>
        </w:rPr>
        <w:t>近三年履约行为调查表</w:t>
      </w:r>
    </w:p>
    <w:tbl>
      <w:tblPr>
        <w:tblStyle w:val="47"/>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4"/>
        <w:gridCol w:w="5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35" w:type="dxa"/>
            <w:gridSpan w:val="2"/>
            <w:vAlign w:val="center"/>
          </w:tcPr>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投标人应如实填写下列内容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44" w:type="dxa"/>
            <w:vAlign w:val="center"/>
          </w:tcPr>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1.有无介入诉讼案件</w:t>
            </w:r>
          </w:p>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（时间、地点、原因）</w:t>
            </w:r>
          </w:p>
        </w:tc>
        <w:tc>
          <w:tcPr>
            <w:tcW w:w="5691" w:type="dxa"/>
            <w:vAlign w:val="center"/>
          </w:tcPr>
          <w:p>
            <w:pPr>
              <w:snapToGrid w:val="0"/>
              <w:spacing w:line="300" w:lineRule="auto"/>
              <w:jc w:val="center"/>
              <w:rPr>
                <w:rFonts w:ascii="Arial" w:hAnsi="Arial" w:cs="Arial"/>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44" w:type="dxa"/>
            <w:vAlign w:val="center"/>
          </w:tcPr>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2.有无被限制投标</w:t>
            </w:r>
          </w:p>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（原因、时间）</w:t>
            </w:r>
          </w:p>
        </w:tc>
        <w:tc>
          <w:tcPr>
            <w:tcW w:w="5691" w:type="dxa"/>
            <w:vAlign w:val="center"/>
          </w:tcPr>
          <w:p>
            <w:pPr>
              <w:snapToGrid w:val="0"/>
              <w:spacing w:line="300" w:lineRule="auto"/>
              <w:jc w:val="center"/>
              <w:rPr>
                <w:rFonts w:ascii="Arial" w:hAnsi="Arial" w:cs="Arial"/>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44" w:type="dxa"/>
            <w:vAlign w:val="center"/>
          </w:tcPr>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3.有无受通报批评</w:t>
            </w:r>
          </w:p>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（原因、时间）</w:t>
            </w:r>
          </w:p>
        </w:tc>
        <w:tc>
          <w:tcPr>
            <w:tcW w:w="5691" w:type="dxa"/>
            <w:vAlign w:val="center"/>
          </w:tcPr>
          <w:p>
            <w:pPr>
              <w:snapToGrid w:val="0"/>
              <w:spacing w:line="300" w:lineRule="auto"/>
              <w:jc w:val="center"/>
              <w:rPr>
                <w:rFonts w:ascii="Arial" w:hAnsi="Arial" w:cs="Arial"/>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44" w:type="dxa"/>
            <w:vAlign w:val="center"/>
          </w:tcPr>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4.有无被中止合同</w:t>
            </w:r>
          </w:p>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（原因、时间）</w:t>
            </w:r>
          </w:p>
        </w:tc>
        <w:tc>
          <w:tcPr>
            <w:tcW w:w="5691" w:type="dxa"/>
            <w:vAlign w:val="center"/>
          </w:tcPr>
          <w:p>
            <w:pPr>
              <w:snapToGrid w:val="0"/>
              <w:spacing w:line="300" w:lineRule="auto"/>
              <w:jc w:val="center"/>
              <w:rPr>
                <w:rFonts w:ascii="Arial" w:hAnsi="Arial" w:cs="Arial"/>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44" w:type="dxa"/>
            <w:vAlign w:val="center"/>
          </w:tcPr>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5.有无不良廉政行为</w:t>
            </w:r>
          </w:p>
          <w:p>
            <w:pPr>
              <w:snapToGrid w:val="0"/>
              <w:spacing w:line="300" w:lineRule="auto"/>
              <w:jc w:val="center"/>
              <w:rPr>
                <w:rFonts w:ascii="Arial" w:hAnsi="Arial" w:cs="Arial"/>
                <w:bCs/>
                <w:color w:val="auto"/>
                <w:szCs w:val="21"/>
                <w:highlight w:val="none"/>
              </w:rPr>
            </w:pPr>
            <w:r>
              <w:rPr>
                <w:rFonts w:ascii="Arial" w:hAnsi="Arial" w:cs="Arial"/>
                <w:bCs/>
                <w:color w:val="auto"/>
                <w:szCs w:val="21"/>
                <w:highlight w:val="none"/>
              </w:rPr>
              <w:t>（原因、时间）</w:t>
            </w:r>
          </w:p>
        </w:tc>
        <w:tc>
          <w:tcPr>
            <w:tcW w:w="5691" w:type="dxa"/>
            <w:vAlign w:val="center"/>
          </w:tcPr>
          <w:p>
            <w:pPr>
              <w:snapToGrid w:val="0"/>
              <w:spacing w:line="300" w:lineRule="auto"/>
              <w:jc w:val="center"/>
              <w:rPr>
                <w:rFonts w:ascii="Arial" w:hAnsi="Arial" w:cs="Arial"/>
                <w:bCs/>
                <w:color w:val="auto"/>
                <w:szCs w:val="21"/>
                <w:highlight w:val="none"/>
              </w:rPr>
            </w:pPr>
          </w:p>
        </w:tc>
      </w:tr>
    </w:tbl>
    <w:p>
      <w:pPr>
        <w:snapToGrid w:val="0"/>
        <w:spacing w:line="300" w:lineRule="auto"/>
        <w:rPr>
          <w:rFonts w:ascii="Arial" w:hAnsi="Arial" w:cs="Arial"/>
          <w:color w:val="auto"/>
          <w:spacing w:val="20"/>
          <w:highlight w:val="none"/>
          <w:u w:val="single"/>
        </w:rPr>
      </w:pPr>
      <w:r>
        <w:rPr>
          <w:rFonts w:ascii="Arial" w:hAnsi="Arial" w:cs="Arial"/>
          <w:color w:val="auto"/>
          <w:highlight w:val="none"/>
        </w:rPr>
        <w:t>投标人全称（盖单位公章）：</w:t>
      </w:r>
    </w:p>
    <w:p>
      <w:pPr>
        <w:snapToGrid w:val="0"/>
        <w:spacing w:line="300" w:lineRule="auto"/>
        <w:rPr>
          <w:rFonts w:ascii="Arial" w:hAnsi="Arial" w:cs="Arial"/>
          <w:color w:val="auto"/>
          <w:spacing w:val="20"/>
          <w:highlight w:val="none"/>
        </w:rPr>
      </w:pPr>
      <w:r>
        <w:rPr>
          <w:rFonts w:ascii="Arial" w:hAnsi="Arial" w:cs="Arial"/>
          <w:color w:val="auto"/>
          <w:spacing w:val="20"/>
          <w:highlight w:val="none"/>
        </w:rPr>
        <w:t>日期：</w:t>
      </w:r>
      <w:r>
        <w:rPr>
          <w:rFonts w:ascii="Arial" w:hAnsi="Arial" w:cs="Arial"/>
          <w:color w:val="auto"/>
          <w:highlight w:val="none"/>
        </w:rPr>
        <w:t>年月日</w:t>
      </w:r>
    </w:p>
    <w:p>
      <w:pPr>
        <w:snapToGrid w:val="0"/>
        <w:spacing w:line="300" w:lineRule="auto"/>
        <w:rPr>
          <w:rFonts w:ascii="Arial" w:hAnsi="Arial" w:cs="Arial"/>
          <w:color w:val="auto"/>
          <w:spacing w:val="20"/>
          <w:highlight w:val="none"/>
        </w:rPr>
      </w:pPr>
    </w:p>
    <w:p>
      <w:pPr>
        <w:pStyle w:val="5"/>
        <w:ind w:firstLine="502"/>
        <w:rPr>
          <w:rFonts w:cs="Arial"/>
          <w:color w:val="auto"/>
          <w:highlight w:val="none"/>
        </w:rPr>
      </w:pPr>
      <w:r>
        <w:rPr>
          <w:rFonts w:cs="Arial"/>
          <w:color w:val="auto"/>
          <w:spacing w:val="20"/>
          <w:highlight w:val="none"/>
        </w:rPr>
        <w:br w:type="page"/>
      </w:r>
      <w:bookmarkStart w:id="91" w:name="_Toc345575544"/>
      <w:bookmarkStart w:id="92" w:name="_Toc245088206"/>
      <w:r>
        <w:rPr>
          <w:rFonts w:cs="Arial"/>
          <w:color w:val="auto"/>
          <w:spacing w:val="20"/>
          <w:highlight w:val="none"/>
        </w:rPr>
        <w:t>七</w:t>
      </w:r>
      <w:r>
        <w:rPr>
          <w:rFonts w:cs="Arial"/>
          <w:color w:val="auto"/>
          <w:highlight w:val="none"/>
        </w:rPr>
        <w:t>、</w:t>
      </w:r>
      <w:bookmarkEnd w:id="91"/>
      <w:bookmarkEnd w:id="92"/>
      <w:r>
        <w:rPr>
          <w:rFonts w:cs="Arial"/>
          <w:color w:val="auto"/>
          <w:highlight w:val="none"/>
        </w:rPr>
        <w:t>提供针对项目的完整技术解决方案</w:t>
      </w: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提供针对本项目的完整技术解决方案</w:t>
      </w:r>
    </w:p>
    <w:p>
      <w:pPr>
        <w:pStyle w:val="5"/>
        <w:spacing w:before="120"/>
        <w:ind w:firstLine="422"/>
        <w:rPr>
          <w:rFonts w:cs="Arial"/>
          <w:color w:val="auto"/>
          <w:highlight w:val="none"/>
        </w:rPr>
      </w:pPr>
      <w:bookmarkStart w:id="93" w:name="_Toc336683583"/>
      <w:r>
        <w:rPr>
          <w:rFonts w:cs="Arial"/>
          <w:color w:val="auto"/>
          <w:highlight w:val="none"/>
        </w:rPr>
        <w:t>（一）项目需求分析</w:t>
      </w:r>
    </w:p>
    <w:p>
      <w:pPr>
        <w:adjustRightInd w:val="0"/>
        <w:snapToGrid w:val="0"/>
        <w:spacing w:line="300" w:lineRule="auto"/>
        <w:ind w:firstLine="420" w:firstLineChars="200"/>
        <w:rPr>
          <w:rFonts w:ascii="Arial" w:hAnsi="Arial" w:cs="Arial"/>
          <w:color w:val="auto"/>
          <w:highlight w:val="none"/>
          <w:u w:val="single"/>
        </w:rPr>
      </w:pPr>
      <w:r>
        <w:rPr>
          <w:rFonts w:ascii="Arial" w:hAnsi="Arial" w:cs="Arial"/>
          <w:color w:val="auto"/>
          <w:highlight w:val="none"/>
          <w:u w:val="single"/>
        </w:rPr>
        <w:t>【】</w:t>
      </w:r>
    </w:p>
    <w:p>
      <w:pPr>
        <w:pStyle w:val="5"/>
        <w:spacing w:before="120"/>
        <w:ind w:firstLine="422"/>
        <w:rPr>
          <w:rFonts w:cs="Arial"/>
          <w:color w:val="auto"/>
          <w:highlight w:val="none"/>
        </w:rPr>
      </w:pPr>
      <w:r>
        <w:rPr>
          <w:rFonts w:cs="Arial"/>
          <w:color w:val="auto"/>
          <w:highlight w:val="none"/>
        </w:rPr>
        <w:t>（二）采购需求响应说明</w:t>
      </w:r>
    </w:p>
    <w:tbl>
      <w:tblPr>
        <w:tblStyle w:val="47"/>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2790"/>
        <w:gridCol w:w="2205"/>
        <w:gridCol w:w="3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736" w:type="dxa"/>
            <w:gridSpan w:val="3"/>
            <w:tcBorders>
              <w:right w:val="single" w:color="auto" w:sz="4" w:space="0"/>
            </w:tcBorders>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招标文件要求</w:t>
            </w:r>
          </w:p>
        </w:tc>
        <w:tc>
          <w:tcPr>
            <w:tcW w:w="3586" w:type="dxa"/>
            <w:vMerge w:val="restart"/>
            <w:tcBorders>
              <w:left w:val="single" w:color="auto" w:sz="4" w:space="0"/>
            </w:tcBorders>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承诺内容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snapToGrid w:val="0"/>
              <w:spacing w:line="300" w:lineRule="auto"/>
              <w:jc w:val="center"/>
              <w:rPr>
                <w:rFonts w:ascii="Arial" w:hAnsi="Arial" w:cs="Arial"/>
                <w:color w:val="auto"/>
                <w:kern w:val="40"/>
                <w:szCs w:val="21"/>
                <w:highlight w:val="none"/>
              </w:rPr>
            </w:pPr>
            <w:r>
              <w:rPr>
                <w:rFonts w:ascii="Arial" w:hAnsi="Arial" w:cs="Arial"/>
                <w:color w:val="auto"/>
                <w:kern w:val="40"/>
                <w:szCs w:val="21"/>
                <w:highlight w:val="none"/>
              </w:rPr>
              <w:t>序号</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r>
              <w:rPr>
                <w:rFonts w:ascii="Arial" w:hAnsi="Arial" w:cs="Arial"/>
                <w:color w:val="auto"/>
                <w:kern w:val="40"/>
                <w:szCs w:val="21"/>
                <w:highlight w:val="none"/>
              </w:rPr>
              <w:t>内容名称</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r>
              <w:rPr>
                <w:rFonts w:ascii="Arial" w:hAnsi="Arial" w:cs="Arial"/>
                <w:color w:val="auto"/>
                <w:kern w:val="40"/>
                <w:szCs w:val="21"/>
                <w:highlight w:val="none"/>
              </w:rPr>
              <w:t>具体要求</w:t>
            </w:r>
          </w:p>
        </w:tc>
        <w:tc>
          <w:tcPr>
            <w:tcW w:w="3586" w:type="dxa"/>
            <w:vMerge w:val="continue"/>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snapToGrid w:val="0"/>
              <w:spacing w:line="300" w:lineRule="auto"/>
              <w:jc w:val="center"/>
              <w:rPr>
                <w:rFonts w:ascii="Arial" w:hAnsi="Arial" w:cs="Arial"/>
                <w:color w:val="auto"/>
                <w:kern w:val="40"/>
                <w:szCs w:val="21"/>
                <w:highlight w:val="none"/>
              </w:rPr>
            </w:pPr>
            <w:r>
              <w:rPr>
                <w:rFonts w:ascii="Arial" w:hAnsi="Arial" w:cs="Arial"/>
                <w:color w:val="auto"/>
                <w:kern w:val="40"/>
                <w:szCs w:val="21"/>
                <w:highlight w:val="none"/>
              </w:rPr>
              <w:t>一</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r>
              <w:rPr>
                <w:rFonts w:ascii="Arial" w:hAnsi="Arial" w:cs="Arial"/>
                <w:color w:val="auto"/>
                <w:kern w:val="40"/>
                <w:szCs w:val="21"/>
                <w:highlight w:val="none"/>
              </w:rPr>
              <w:t>采购需求</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kern w:val="40"/>
                <w:szCs w:val="21"/>
                <w:highlight w:val="none"/>
              </w:rPr>
            </w:pPr>
            <w:r>
              <w:rPr>
                <w:rFonts w:ascii="Arial" w:hAnsi="Arial" w:cs="Arial"/>
                <w:color w:val="auto"/>
                <w:szCs w:val="21"/>
                <w:highlight w:val="none"/>
              </w:rPr>
              <w:t>1</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color w:val="auto"/>
                <w:kern w:val="40"/>
                <w:szCs w:val="21"/>
                <w:highlight w:val="none"/>
              </w:rPr>
            </w:pPr>
            <w:r>
              <w:rPr>
                <w:rFonts w:ascii="Arial" w:hAnsi="Arial" w:cs="Arial"/>
                <w:color w:val="auto"/>
                <w:highlight w:val="none"/>
                <w:lang w:val="zh-CN"/>
              </w:rPr>
              <w:t>承包方式</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kern w:val="40"/>
                <w:szCs w:val="21"/>
                <w:highlight w:val="none"/>
              </w:rPr>
            </w:pPr>
            <w:r>
              <w:rPr>
                <w:rFonts w:ascii="Arial" w:hAnsi="Arial" w:cs="Arial"/>
                <w:color w:val="auto"/>
                <w:szCs w:val="21"/>
                <w:highlight w:val="none"/>
              </w:rPr>
              <w:t>2</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color w:val="auto"/>
                <w:kern w:val="40"/>
                <w:szCs w:val="21"/>
                <w:highlight w:val="none"/>
              </w:rPr>
            </w:pPr>
            <w:r>
              <w:rPr>
                <w:rFonts w:ascii="Arial" w:hAnsi="Arial" w:cs="Arial"/>
                <w:color w:val="auto"/>
                <w:kern w:val="40"/>
                <w:szCs w:val="21"/>
                <w:highlight w:val="none"/>
              </w:rPr>
              <w:t>工作规范</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kern w:val="40"/>
                <w:szCs w:val="21"/>
                <w:highlight w:val="none"/>
              </w:rPr>
            </w:pPr>
            <w:r>
              <w:rPr>
                <w:rFonts w:ascii="Arial" w:hAnsi="Arial" w:cs="Arial"/>
                <w:color w:val="auto"/>
                <w:szCs w:val="21"/>
                <w:highlight w:val="none"/>
              </w:rPr>
              <w:t>3</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color w:val="auto"/>
                <w:kern w:val="40"/>
                <w:szCs w:val="21"/>
                <w:highlight w:val="none"/>
              </w:rPr>
            </w:pPr>
            <w:r>
              <w:rPr>
                <w:rFonts w:ascii="Arial" w:hAnsi="Arial" w:cs="Arial"/>
                <w:color w:val="auto"/>
                <w:highlight w:val="none"/>
                <w:lang w:val="zh-CN"/>
              </w:rPr>
              <w:t>设施养护服务要求</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kern w:val="40"/>
                <w:szCs w:val="21"/>
                <w:highlight w:val="none"/>
              </w:rPr>
            </w:pPr>
            <w:r>
              <w:rPr>
                <w:rFonts w:ascii="Arial" w:hAnsi="Arial" w:cs="Arial"/>
                <w:color w:val="auto"/>
                <w:szCs w:val="21"/>
                <w:highlight w:val="none"/>
              </w:rPr>
              <w:t>4</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color w:val="auto"/>
                <w:kern w:val="40"/>
                <w:szCs w:val="21"/>
                <w:highlight w:val="none"/>
              </w:rPr>
            </w:pPr>
            <w:r>
              <w:rPr>
                <w:rFonts w:ascii="Arial" w:hAnsi="Arial" w:cs="Arial"/>
                <w:color w:val="auto"/>
                <w:highlight w:val="none"/>
                <w:lang w:val="zh-CN"/>
              </w:rPr>
              <w:t>设施养护服务招标范围</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kern w:val="40"/>
                <w:szCs w:val="21"/>
                <w:highlight w:val="none"/>
              </w:rPr>
            </w:pPr>
            <w:r>
              <w:rPr>
                <w:rFonts w:ascii="Arial" w:hAnsi="Arial" w:cs="Arial"/>
                <w:color w:val="auto"/>
                <w:szCs w:val="21"/>
                <w:highlight w:val="none"/>
              </w:rPr>
              <w:t>5</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color w:val="auto"/>
                <w:kern w:val="40"/>
                <w:szCs w:val="21"/>
                <w:highlight w:val="none"/>
              </w:rPr>
            </w:pPr>
            <w:r>
              <w:rPr>
                <w:rFonts w:ascii="Arial" w:hAnsi="Arial" w:cs="Arial"/>
                <w:color w:val="auto"/>
                <w:highlight w:val="none"/>
                <w:lang w:val="zh-CN"/>
              </w:rPr>
              <w:t>服务网点设立</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kern w:val="40"/>
                <w:szCs w:val="21"/>
                <w:highlight w:val="none"/>
              </w:rPr>
            </w:pPr>
            <w:r>
              <w:rPr>
                <w:rFonts w:ascii="Arial" w:hAnsi="Arial" w:cs="Arial"/>
                <w:color w:val="auto"/>
                <w:szCs w:val="21"/>
                <w:highlight w:val="none"/>
              </w:rPr>
              <w:t>6</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color w:val="auto"/>
                <w:kern w:val="40"/>
                <w:szCs w:val="21"/>
                <w:highlight w:val="none"/>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szCs w:val="21"/>
                <w:highlight w:val="none"/>
              </w:rPr>
            </w:pPr>
            <w:r>
              <w:rPr>
                <w:rFonts w:ascii="Arial" w:hAnsi="Arial" w:cs="Arial"/>
                <w:color w:val="auto"/>
                <w:szCs w:val="21"/>
                <w:highlight w:val="none"/>
              </w:rPr>
              <w:t>二</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b/>
                <w:bCs/>
                <w:color w:val="auto"/>
                <w:highlight w:val="none"/>
              </w:rPr>
            </w:pPr>
            <w:r>
              <w:rPr>
                <w:rFonts w:ascii="Arial" w:hAnsi="Arial" w:cs="Arial"/>
                <w:b/>
                <w:bCs/>
                <w:color w:val="auto"/>
                <w:highlight w:val="none"/>
              </w:rPr>
              <w:t>商务要求</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szCs w:val="21"/>
                <w:highlight w:val="none"/>
              </w:rPr>
            </w:pPr>
            <w:r>
              <w:rPr>
                <w:rFonts w:ascii="Arial" w:hAnsi="Arial" w:cs="Arial"/>
                <w:color w:val="auto"/>
                <w:szCs w:val="21"/>
                <w:highlight w:val="none"/>
              </w:rPr>
              <w:t>1</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b/>
                <w:bCs/>
                <w:color w:val="auto"/>
                <w:highlight w:val="none"/>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auto"/>
                <w:szCs w:val="21"/>
                <w:highlight w:val="none"/>
              </w:rPr>
            </w:pPr>
            <w:r>
              <w:rPr>
                <w:rFonts w:ascii="Arial" w:hAnsi="Arial" w:cs="Arial"/>
                <w:color w:val="auto"/>
                <w:szCs w:val="21"/>
                <w:highlight w:val="none"/>
              </w:rPr>
              <w:t>2</w:t>
            </w:r>
          </w:p>
        </w:tc>
        <w:tc>
          <w:tcPr>
            <w:tcW w:w="2790" w:type="dxa"/>
            <w:tcBorders>
              <w:left w:val="single" w:color="auto" w:sz="4" w:space="0"/>
              <w:right w:val="single" w:color="auto" w:sz="4" w:space="0"/>
            </w:tcBorders>
            <w:vAlign w:val="center"/>
          </w:tcPr>
          <w:p>
            <w:pPr>
              <w:adjustRightInd w:val="0"/>
              <w:snapToGrid w:val="0"/>
              <w:spacing w:line="300" w:lineRule="auto"/>
              <w:jc w:val="left"/>
              <w:rPr>
                <w:rFonts w:ascii="Arial" w:hAnsi="Arial" w:cs="Arial"/>
                <w:b/>
                <w:bCs/>
                <w:color w:val="auto"/>
                <w:highlight w:val="none"/>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auto"/>
                <w:kern w:val="40"/>
                <w:szCs w:val="21"/>
                <w:highlight w:val="none"/>
              </w:rPr>
            </w:pPr>
          </w:p>
        </w:tc>
        <w:tc>
          <w:tcPr>
            <w:tcW w:w="3586" w:type="dxa"/>
            <w:tcBorders>
              <w:left w:val="single" w:color="auto" w:sz="4" w:space="0"/>
            </w:tcBorders>
            <w:vAlign w:val="center"/>
          </w:tcPr>
          <w:p>
            <w:pPr>
              <w:snapToGrid w:val="0"/>
              <w:spacing w:line="300" w:lineRule="auto"/>
              <w:jc w:val="center"/>
              <w:rPr>
                <w:rFonts w:ascii="Arial" w:hAnsi="Arial" w:cs="Arial"/>
                <w:color w:val="auto"/>
                <w:kern w:val="40"/>
                <w:szCs w:val="21"/>
                <w:highlight w:val="none"/>
              </w:rPr>
            </w:pPr>
          </w:p>
        </w:tc>
      </w:tr>
    </w:tbl>
    <w:p>
      <w:pPr>
        <w:adjustRightInd w:val="0"/>
        <w:snapToGrid w:val="0"/>
        <w:spacing w:line="300" w:lineRule="auto"/>
        <w:ind w:firstLine="420" w:firstLineChars="200"/>
        <w:rPr>
          <w:rFonts w:ascii="Arial" w:hAnsi="Arial" w:cs="Arial"/>
          <w:color w:val="auto"/>
          <w:highlight w:val="none"/>
        </w:rPr>
      </w:pPr>
    </w:p>
    <w:p>
      <w:pPr>
        <w:adjustRightInd w:val="0"/>
        <w:snapToGrid w:val="0"/>
        <w:spacing w:line="300" w:lineRule="auto"/>
        <w:ind w:firstLine="420" w:firstLineChars="200"/>
        <w:rPr>
          <w:rFonts w:ascii="Arial" w:hAnsi="Arial" w:cs="Arial"/>
          <w:color w:val="auto"/>
          <w:highlight w:val="none"/>
        </w:rPr>
      </w:pPr>
    </w:p>
    <w:p>
      <w:pPr>
        <w:snapToGrid w:val="0"/>
        <w:spacing w:line="300" w:lineRule="auto"/>
        <w:rPr>
          <w:rFonts w:ascii="Arial" w:hAnsi="Arial" w:cs="Arial"/>
          <w:color w:val="auto"/>
          <w:spacing w:val="20"/>
          <w:highlight w:val="none"/>
          <w:u w:val="single"/>
        </w:rPr>
      </w:pPr>
      <w:r>
        <w:rPr>
          <w:rFonts w:ascii="Arial" w:hAnsi="Arial" w:cs="Arial"/>
          <w:color w:val="auto"/>
          <w:highlight w:val="none"/>
        </w:rPr>
        <w:t>投标人全称（盖单位公章）：</w:t>
      </w:r>
    </w:p>
    <w:p>
      <w:pPr>
        <w:snapToGrid w:val="0"/>
        <w:spacing w:line="300" w:lineRule="auto"/>
        <w:rPr>
          <w:rFonts w:ascii="Arial" w:hAnsi="Arial" w:cs="Arial"/>
          <w:color w:val="auto"/>
          <w:spacing w:val="20"/>
          <w:highlight w:val="none"/>
        </w:rPr>
      </w:pPr>
      <w:r>
        <w:rPr>
          <w:rFonts w:ascii="Arial" w:hAnsi="Arial" w:cs="Arial"/>
          <w:color w:val="auto"/>
          <w:spacing w:val="20"/>
          <w:highlight w:val="none"/>
        </w:rPr>
        <w:t>日期：</w:t>
      </w:r>
      <w:r>
        <w:rPr>
          <w:rFonts w:ascii="Arial" w:hAnsi="Arial" w:cs="Arial"/>
          <w:color w:val="auto"/>
          <w:highlight w:val="none"/>
        </w:rPr>
        <w:t>年月日</w:t>
      </w:r>
    </w:p>
    <w:p>
      <w:pPr>
        <w:adjustRightInd w:val="0"/>
        <w:snapToGrid w:val="0"/>
        <w:spacing w:line="300" w:lineRule="auto"/>
        <w:ind w:firstLine="420" w:firstLineChars="200"/>
        <w:rPr>
          <w:rFonts w:ascii="Arial" w:hAnsi="Arial" w:cs="Arial"/>
          <w:color w:val="auto"/>
          <w:highlight w:val="none"/>
        </w:rPr>
      </w:pP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说明：</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1）投标人应对招标文件要求进行逐条响应，并说明具体响应内容。</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szCs w:val="21"/>
          <w:highlight w:val="none"/>
        </w:rPr>
        <w:t>2）</w:t>
      </w:r>
      <w:r>
        <w:rPr>
          <w:rFonts w:ascii="Arial" w:hAnsi="Arial" w:cs="Arial"/>
          <w:color w:val="auto"/>
          <w:highlight w:val="none"/>
        </w:rPr>
        <w:t>投标人</w:t>
      </w:r>
      <w:r>
        <w:rPr>
          <w:rFonts w:ascii="Arial" w:hAnsi="Arial" w:cs="Arial"/>
          <w:color w:val="auto"/>
          <w:szCs w:val="21"/>
          <w:highlight w:val="none"/>
        </w:rPr>
        <w:t>不得提供与本项目采购无关的其他商品、服务。</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3）不限于表格形式，可采用其他形式表述。</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4）招标文件《第四部分项目技术规范和服务要求》规定的实质性内容应作出具体、明确的响应承诺。</w:t>
      </w:r>
    </w:p>
    <w:p>
      <w:pPr>
        <w:rPr>
          <w:rFonts w:ascii="Arial" w:hAnsi="Arial" w:cs="Arial"/>
          <w:color w:val="auto"/>
          <w:highlight w:val="none"/>
        </w:rPr>
      </w:pPr>
      <w:r>
        <w:rPr>
          <w:rFonts w:ascii="Arial" w:hAnsi="Arial" w:cs="Arial"/>
          <w:color w:val="auto"/>
          <w:highlight w:val="none"/>
        </w:rPr>
        <w:br w:type="page"/>
      </w:r>
    </w:p>
    <w:p>
      <w:pPr>
        <w:pStyle w:val="2"/>
        <w:ind w:firstLine="420"/>
        <w:rPr>
          <w:rFonts w:ascii="Arial" w:hAnsi="Arial" w:cs="Arial"/>
          <w:color w:val="auto"/>
          <w:highlight w:val="none"/>
          <w:lang w:val="en-US"/>
        </w:rPr>
      </w:pPr>
    </w:p>
    <w:p>
      <w:pPr>
        <w:adjustRightInd w:val="0"/>
        <w:snapToGrid w:val="0"/>
        <w:spacing w:line="300" w:lineRule="auto"/>
        <w:ind w:left="301" w:hanging="301" w:hangingChars="100"/>
        <w:jc w:val="center"/>
        <w:rPr>
          <w:rFonts w:ascii="Arial" w:hAnsi="Arial" w:cs="Arial"/>
          <w:b/>
          <w:bCs/>
          <w:color w:val="auto"/>
          <w:sz w:val="30"/>
          <w:szCs w:val="30"/>
          <w:highlight w:val="none"/>
        </w:rPr>
      </w:pPr>
      <w:r>
        <w:rPr>
          <w:rFonts w:ascii="Arial" w:hAnsi="Arial" w:cs="Arial"/>
          <w:b/>
          <w:bCs/>
          <w:color w:val="auto"/>
          <w:sz w:val="30"/>
          <w:szCs w:val="30"/>
          <w:highlight w:val="none"/>
        </w:rPr>
        <w:t>政府强制采购的节能产品用于本项目的承诺书</w:t>
      </w:r>
    </w:p>
    <w:p>
      <w:pPr>
        <w:adjustRightInd w:val="0"/>
        <w:snapToGrid w:val="0"/>
        <w:spacing w:line="300" w:lineRule="auto"/>
        <w:ind w:firstLine="420" w:firstLineChars="200"/>
        <w:rPr>
          <w:rFonts w:ascii="Arial" w:hAnsi="Arial" w:cs="Arial"/>
          <w:color w:val="auto"/>
          <w:szCs w:val="21"/>
          <w:highlight w:val="none"/>
        </w:rPr>
      </w:pPr>
    </w:p>
    <w:p>
      <w:pPr>
        <w:snapToGrid w:val="0"/>
        <w:spacing w:line="300" w:lineRule="auto"/>
        <w:ind w:firstLine="420" w:firstLineChars="200"/>
        <w:rPr>
          <w:rFonts w:ascii="Arial" w:hAnsi="Arial" w:cs="Arial"/>
          <w:color w:val="auto"/>
          <w:highlight w:val="none"/>
        </w:rPr>
      </w:pPr>
      <w:r>
        <w:rPr>
          <w:rFonts w:ascii="Arial" w:hAnsi="Arial" w:cs="Arial"/>
          <w:color w:val="auto"/>
          <w:szCs w:val="21"/>
          <w:highlight w:val="none"/>
        </w:rPr>
        <w:t>根据财政部、国家发展改革委、生态环境部、国家市场监管总局《关于调整优化节能产品、环境标志产品政府采购执行机制的通知》（财库〔2019〕9号）文件规定。本项目中如有产品为政府强制采购的节能品目产品，我单位作为</w:t>
      </w:r>
      <w:r>
        <w:rPr>
          <w:rFonts w:ascii="Arial" w:hAnsi="Arial" w:cs="Arial"/>
          <w:color w:val="auto"/>
          <w:highlight w:val="none"/>
          <w:u w:val="single"/>
        </w:rPr>
        <w:t>杭州市拱墅区城市管理局</w:t>
      </w:r>
      <w:r>
        <w:rPr>
          <w:rFonts w:ascii="Arial" w:hAnsi="Arial" w:cs="Arial"/>
          <w:color w:val="auto"/>
          <w:highlight w:val="none"/>
        </w:rPr>
        <w:t>（采购人）</w:t>
      </w:r>
      <w:r>
        <w:rPr>
          <w:rFonts w:hint="eastAsia" w:ascii="Arial" w:hAnsi="Arial" w:cs="Arial"/>
          <w:color w:val="auto"/>
          <w:highlight w:val="none"/>
          <w:u w:val="single"/>
        </w:rPr>
        <w:t>2020年拱墅区“峰会”亮灯工程第二次运行维护项目</w:t>
      </w:r>
      <w:r>
        <w:rPr>
          <w:rFonts w:ascii="Arial" w:hAnsi="Arial" w:cs="Arial"/>
          <w:color w:val="auto"/>
          <w:highlight w:val="none"/>
        </w:rPr>
        <w:t>（项目名称）</w:t>
      </w:r>
      <w:r>
        <w:rPr>
          <w:rFonts w:hint="eastAsia" w:ascii="Arial" w:hAnsi="Arial" w:cs="Arial"/>
          <w:color w:val="auto"/>
          <w:highlight w:val="none"/>
          <w:u w:val="single"/>
          <w:lang w:eastAsia="zh-CN"/>
        </w:rPr>
        <w:t>CTZB-2020040466</w:t>
      </w:r>
      <w:r>
        <w:rPr>
          <w:rFonts w:ascii="Arial" w:hAnsi="Arial" w:cs="Arial"/>
          <w:color w:val="auto"/>
          <w:highlight w:val="none"/>
        </w:rPr>
        <w:t>（项目编号）</w:t>
      </w:r>
      <w:r>
        <w:rPr>
          <w:rFonts w:hint="eastAsia" w:ascii="Arial" w:hAnsi="Arial" w:cs="Arial"/>
          <w:color w:val="auto"/>
          <w:highlight w:val="none"/>
          <w:u w:val="single"/>
        </w:rPr>
        <w:t xml:space="preserve">    </w:t>
      </w:r>
      <w:r>
        <w:rPr>
          <w:rFonts w:ascii="Arial" w:hAnsi="Arial" w:cs="Arial"/>
          <w:color w:val="auto"/>
          <w:highlight w:val="none"/>
        </w:rPr>
        <w:t>（标</w:t>
      </w:r>
      <w:r>
        <w:rPr>
          <w:rFonts w:hint="eastAsia" w:ascii="Arial" w:hAnsi="Arial" w:cs="Arial"/>
          <w:color w:val="auto"/>
          <w:highlight w:val="none"/>
        </w:rPr>
        <w:t>段</w:t>
      </w:r>
      <w:r>
        <w:rPr>
          <w:rFonts w:ascii="Arial" w:hAnsi="Arial" w:cs="Arial"/>
          <w:color w:val="auto"/>
          <w:highlight w:val="none"/>
        </w:rPr>
        <w:t>名称）</w:t>
      </w:r>
      <w:r>
        <w:rPr>
          <w:rFonts w:ascii="Arial" w:hAnsi="Arial" w:cs="Arial"/>
          <w:color w:val="auto"/>
          <w:szCs w:val="21"/>
          <w:highlight w:val="none"/>
        </w:rPr>
        <w:t>的供应商，承诺将提供经《参与实施政府采购节能产品认证机构名录》中的机构认证的节能产品用于本项目。</w:t>
      </w:r>
    </w:p>
    <w:p>
      <w:pPr>
        <w:adjustRightInd w:val="0"/>
        <w:snapToGrid w:val="0"/>
        <w:spacing w:line="300" w:lineRule="auto"/>
        <w:ind w:firstLine="420" w:firstLineChars="200"/>
        <w:rPr>
          <w:rFonts w:ascii="Arial" w:hAnsi="Arial" w:cs="Arial"/>
          <w:color w:val="auto"/>
          <w:szCs w:val="21"/>
          <w:highlight w:val="none"/>
        </w:rPr>
      </w:pPr>
    </w:p>
    <w:p>
      <w:pPr>
        <w:adjustRightInd w:val="0"/>
        <w:snapToGrid w:val="0"/>
        <w:spacing w:line="300" w:lineRule="auto"/>
        <w:ind w:firstLine="420" w:firstLineChars="200"/>
        <w:rPr>
          <w:rFonts w:ascii="Arial" w:hAnsi="Arial" w:cs="Arial"/>
          <w:color w:val="auto"/>
          <w:spacing w:val="20"/>
          <w:szCs w:val="21"/>
          <w:highlight w:val="none"/>
          <w:u w:val="single"/>
        </w:rPr>
      </w:pPr>
      <w:r>
        <w:rPr>
          <w:rFonts w:ascii="Arial" w:hAnsi="Arial" w:cs="Arial"/>
          <w:color w:val="auto"/>
          <w:szCs w:val="21"/>
          <w:highlight w:val="none"/>
        </w:rPr>
        <w:t>投标人全称：（盖单位公章）</w:t>
      </w:r>
    </w:p>
    <w:p>
      <w:pPr>
        <w:adjustRightInd w:val="0"/>
        <w:snapToGrid w:val="0"/>
        <w:spacing w:line="300" w:lineRule="auto"/>
        <w:ind w:firstLine="420" w:firstLineChars="200"/>
        <w:rPr>
          <w:rFonts w:ascii="Arial" w:hAnsi="Arial" w:cs="Arial"/>
          <w:color w:val="auto"/>
          <w:szCs w:val="21"/>
          <w:highlight w:val="none"/>
        </w:rPr>
      </w:pPr>
      <w:r>
        <w:rPr>
          <w:rFonts w:ascii="Arial" w:hAnsi="Arial" w:cs="Arial"/>
          <w:color w:val="auto"/>
          <w:szCs w:val="21"/>
          <w:highlight w:val="none"/>
        </w:rPr>
        <w:t>日期：2020年月日</w:t>
      </w:r>
    </w:p>
    <w:p>
      <w:pPr>
        <w:pStyle w:val="2"/>
        <w:ind w:firstLine="420"/>
        <w:rPr>
          <w:rFonts w:ascii="Arial" w:hAnsi="Arial" w:cs="Arial"/>
          <w:color w:val="auto"/>
          <w:highlight w:val="none"/>
          <w:lang w:val="en-US"/>
        </w:rPr>
      </w:pPr>
    </w:p>
    <w:p>
      <w:pPr>
        <w:rPr>
          <w:rFonts w:ascii="Arial" w:hAnsi="Arial" w:cs="Arial"/>
          <w:color w:val="auto"/>
          <w:highlight w:val="none"/>
        </w:rPr>
      </w:pPr>
      <w:r>
        <w:rPr>
          <w:rFonts w:ascii="Arial" w:hAnsi="Arial" w:cs="Arial"/>
          <w:color w:val="auto"/>
          <w:highlight w:val="none"/>
        </w:rPr>
        <w:br w:type="page"/>
      </w:r>
    </w:p>
    <w:p>
      <w:pPr>
        <w:adjustRightInd w:val="0"/>
        <w:snapToGrid w:val="0"/>
        <w:spacing w:line="300" w:lineRule="auto"/>
        <w:ind w:firstLine="420" w:firstLineChars="200"/>
        <w:rPr>
          <w:rFonts w:ascii="Arial" w:hAnsi="Arial" w:cs="Arial"/>
          <w:color w:val="auto"/>
          <w:highlight w:val="none"/>
        </w:rPr>
      </w:pPr>
    </w:p>
    <w:p>
      <w:pPr>
        <w:pStyle w:val="5"/>
        <w:spacing w:before="120"/>
        <w:ind w:firstLine="422"/>
        <w:rPr>
          <w:rFonts w:cs="Arial"/>
          <w:color w:val="auto"/>
          <w:highlight w:val="none"/>
        </w:rPr>
      </w:pPr>
      <w:r>
        <w:rPr>
          <w:rFonts w:cs="Arial"/>
          <w:color w:val="auto"/>
          <w:highlight w:val="none"/>
        </w:rPr>
        <w:t>（三）服务方案</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1.景观照明设施养护方案</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2.养护方案组织和技术措施</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3.安全文明养护体系制度</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4.景观照明设施养护考核方案</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5.中标后养护移交平稳过渡计划实施方案</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6.日常巡查管理方案</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7.部分更换提升方案</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8.应急保障措施</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9.拟投入本项目的设施</w:t>
      </w:r>
    </w:p>
    <w:p>
      <w:pPr>
        <w:adjustRightInd w:val="0"/>
        <w:snapToGrid w:val="0"/>
        <w:spacing w:line="300" w:lineRule="auto"/>
        <w:ind w:firstLine="420" w:firstLineChars="200"/>
        <w:rPr>
          <w:rFonts w:ascii="Arial" w:hAnsi="Arial" w:cs="Arial"/>
          <w:color w:val="auto"/>
          <w:highlight w:val="none"/>
        </w:rPr>
      </w:pPr>
      <w:r>
        <w:rPr>
          <w:rFonts w:ascii="Arial" w:hAnsi="Arial" w:cs="Arial"/>
          <w:color w:val="auto"/>
          <w:highlight w:val="none"/>
        </w:rPr>
        <w:t>【说明】请对照评标细则提供相应内容。不限于表格形式，可采用其他形式表述。</w:t>
      </w:r>
    </w:p>
    <w:p>
      <w:pPr>
        <w:pStyle w:val="5"/>
        <w:spacing w:before="120"/>
        <w:ind w:firstLine="422"/>
        <w:rPr>
          <w:rFonts w:cs="Arial"/>
          <w:color w:val="auto"/>
          <w:highlight w:val="none"/>
        </w:rPr>
      </w:pPr>
      <w:r>
        <w:rPr>
          <w:rFonts w:cs="Arial"/>
          <w:color w:val="auto"/>
          <w:highlight w:val="none"/>
        </w:rPr>
        <w:t>（四）项目管理机构</w:t>
      </w:r>
    </w:p>
    <w:p>
      <w:pPr>
        <w:adjustRightInd w:val="0"/>
        <w:snapToGrid w:val="0"/>
        <w:spacing w:line="300" w:lineRule="auto"/>
        <w:jc w:val="center"/>
        <w:rPr>
          <w:rFonts w:ascii="Arial" w:hAnsi="Arial" w:cs="Arial"/>
          <w:b/>
          <w:color w:val="auto"/>
          <w:sz w:val="24"/>
          <w:highlight w:val="none"/>
        </w:rPr>
      </w:pPr>
      <w:r>
        <w:rPr>
          <w:rFonts w:ascii="Arial" w:hAnsi="Arial" w:cs="Arial"/>
          <w:b/>
          <w:color w:val="auto"/>
          <w:sz w:val="24"/>
          <w:highlight w:val="none"/>
        </w:rPr>
        <w:t>项目管理机构</w:t>
      </w:r>
    </w:p>
    <w:p>
      <w:pPr>
        <w:pStyle w:val="121"/>
        <w:adjustRightInd w:val="0"/>
        <w:snapToGrid w:val="0"/>
        <w:spacing w:line="300" w:lineRule="auto"/>
        <w:ind w:firstLine="420" w:firstLineChars="200"/>
        <w:rPr>
          <w:rFonts w:ascii="Arial" w:hAnsi="Arial" w:cs="Arial"/>
          <w:color w:val="auto"/>
          <w:kern w:val="2"/>
          <w:sz w:val="21"/>
          <w:szCs w:val="21"/>
          <w:highlight w:val="none"/>
        </w:rPr>
      </w:pPr>
      <w:r>
        <w:rPr>
          <w:rFonts w:ascii="Arial" w:hAnsi="Arial" w:cs="Arial"/>
          <w:color w:val="auto"/>
          <w:kern w:val="2"/>
          <w:sz w:val="21"/>
          <w:szCs w:val="21"/>
          <w:highlight w:val="none"/>
        </w:rPr>
        <w:t>1）项目团队组织架构</w:t>
      </w:r>
    </w:p>
    <w:p>
      <w:pPr>
        <w:pStyle w:val="121"/>
        <w:adjustRightInd w:val="0"/>
        <w:snapToGrid w:val="0"/>
        <w:spacing w:line="300" w:lineRule="auto"/>
        <w:ind w:firstLine="420" w:firstLineChars="200"/>
        <w:rPr>
          <w:rFonts w:ascii="Arial" w:hAnsi="Arial" w:cs="Arial"/>
          <w:color w:val="auto"/>
          <w:kern w:val="2"/>
          <w:sz w:val="21"/>
          <w:szCs w:val="21"/>
          <w:highlight w:val="none"/>
        </w:rPr>
      </w:pPr>
      <w:r>
        <w:rPr>
          <w:rFonts w:ascii="Arial" w:hAnsi="Arial" w:cs="Arial"/>
          <w:color w:val="auto"/>
          <w:sz w:val="21"/>
          <w:szCs w:val="21"/>
          <w:highlight w:val="none"/>
        </w:rPr>
        <w:t>格式不做统一规定，由投标人自选设计。</w:t>
      </w:r>
    </w:p>
    <w:p>
      <w:pPr>
        <w:pStyle w:val="121"/>
        <w:adjustRightInd w:val="0"/>
        <w:snapToGrid w:val="0"/>
        <w:spacing w:line="300" w:lineRule="auto"/>
        <w:ind w:firstLine="420" w:firstLineChars="200"/>
        <w:rPr>
          <w:rFonts w:ascii="Arial" w:hAnsi="Arial" w:cs="Arial"/>
          <w:color w:val="auto"/>
          <w:kern w:val="2"/>
          <w:sz w:val="21"/>
          <w:szCs w:val="21"/>
          <w:highlight w:val="none"/>
        </w:rPr>
      </w:pPr>
      <w:r>
        <w:rPr>
          <w:rFonts w:ascii="Arial" w:hAnsi="Arial" w:cs="Arial"/>
          <w:color w:val="auto"/>
          <w:kern w:val="2"/>
          <w:sz w:val="21"/>
          <w:szCs w:val="21"/>
          <w:highlight w:val="none"/>
        </w:rPr>
        <w:t>2）项目团队的成员介绍（项目负责人及主要专业技术人员的资格、职称、业绩情况并附证书复印件）</w:t>
      </w:r>
    </w:p>
    <w:p>
      <w:pPr>
        <w:pStyle w:val="121"/>
        <w:adjustRightInd w:val="0"/>
        <w:snapToGrid w:val="0"/>
        <w:spacing w:line="300" w:lineRule="auto"/>
        <w:ind w:firstLine="420" w:firstLineChars="200"/>
        <w:rPr>
          <w:rFonts w:ascii="Arial" w:hAnsi="Arial" w:cs="Arial"/>
          <w:color w:val="auto"/>
          <w:kern w:val="2"/>
          <w:sz w:val="21"/>
          <w:szCs w:val="21"/>
          <w:highlight w:val="none"/>
        </w:rPr>
      </w:pPr>
      <w:r>
        <w:rPr>
          <w:rFonts w:ascii="Arial" w:hAnsi="Arial" w:cs="Arial"/>
          <w:color w:val="auto"/>
          <w:kern w:val="2"/>
          <w:sz w:val="21"/>
          <w:szCs w:val="21"/>
          <w:highlight w:val="none"/>
        </w:rPr>
        <w:t>【说明】请对照评标细则提供相应内容。不限于表格形式，可采用其他形式表述。</w:t>
      </w:r>
    </w:p>
    <w:p>
      <w:pPr>
        <w:snapToGrid w:val="0"/>
        <w:spacing w:line="300" w:lineRule="auto"/>
        <w:jc w:val="center"/>
        <w:rPr>
          <w:rFonts w:ascii="Arial" w:hAnsi="Arial" w:cs="Arial"/>
          <w:b/>
          <w:color w:val="auto"/>
          <w:sz w:val="24"/>
          <w:highlight w:val="none"/>
        </w:rPr>
      </w:pPr>
      <w:r>
        <w:rPr>
          <w:rFonts w:ascii="Arial" w:hAnsi="Arial" w:cs="Arial"/>
          <w:b/>
          <w:color w:val="auto"/>
          <w:sz w:val="24"/>
          <w:highlight w:val="none"/>
        </w:rPr>
        <w:t>项目负责人简历表</w:t>
      </w:r>
    </w:p>
    <w:tbl>
      <w:tblPr>
        <w:tblStyle w:val="47"/>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567"/>
        <w:gridCol w:w="1566"/>
        <w:gridCol w:w="1566"/>
        <w:gridCol w:w="156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姓名</w:t>
            </w:r>
          </w:p>
        </w:tc>
        <w:tc>
          <w:tcPr>
            <w:tcW w:w="1567" w:type="dxa"/>
            <w:vAlign w:val="center"/>
          </w:tcPr>
          <w:p>
            <w:pPr>
              <w:snapToGrid w:val="0"/>
              <w:spacing w:line="300" w:lineRule="auto"/>
              <w:jc w:val="center"/>
              <w:rPr>
                <w:rFonts w:ascii="Arial" w:hAnsi="Arial" w:cs="Arial"/>
                <w:color w:val="auto"/>
                <w:szCs w:val="21"/>
                <w:highlight w:val="none"/>
              </w:rPr>
            </w:pPr>
          </w:p>
        </w:tc>
        <w:tc>
          <w:tcPr>
            <w:tcW w:w="1566"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性别</w:t>
            </w:r>
          </w:p>
        </w:tc>
        <w:tc>
          <w:tcPr>
            <w:tcW w:w="1566" w:type="dxa"/>
            <w:vAlign w:val="center"/>
          </w:tcPr>
          <w:p>
            <w:pPr>
              <w:snapToGrid w:val="0"/>
              <w:spacing w:line="300" w:lineRule="auto"/>
              <w:jc w:val="center"/>
              <w:rPr>
                <w:rFonts w:ascii="Arial" w:hAnsi="Arial" w:cs="Arial"/>
                <w:color w:val="auto"/>
                <w:szCs w:val="21"/>
                <w:highlight w:val="none"/>
              </w:rPr>
            </w:pPr>
          </w:p>
        </w:tc>
        <w:tc>
          <w:tcPr>
            <w:tcW w:w="1566"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年龄</w:t>
            </w:r>
          </w:p>
        </w:tc>
        <w:tc>
          <w:tcPr>
            <w:tcW w:w="1488" w:type="dxa"/>
            <w:vAlign w:val="center"/>
          </w:tcPr>
          <w:p>
            <w:pPr>
              <w:snapToGrid w:val="0"/>
              <w:spacing w:line="30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职务</w:t>
            </w:r>
          </w:p>
        </w:tc>
        <w:tc>
          <w:tcPr>
            <w:tcW w:w="1567" w:type="dxa"/>
            <w:vAlign w:val="center"/>
          </w:tcPr>
          <w:p>
            <w:pPr>
              <w:snapToGrid w:val="0"/>
              <w:spacing w:line="300" w:lineRule="auto"/>
              <w:jc w:val="center"/>
              <w:rPr>
                <w:rFonts w:ascii="Arial" w:hAnsi="Arial" w:cs="Arial"/>
                <w:color w:val="auto"/>
                <w:szCs w:val="21"/>
                <w:highlight w:val="none"/>
              </w:rPr>
            </w:pPr>
          </w:p>
        </w:tc>
        <w:tc>
          <w:tcPr>
            <w:tcW w:w="1566"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职称</w:t>
            </w:r>
          </w:p>
        </w:tc>
        <w:tc>
          <w:tcPr>
            <w:tcW w:w="1566" w:type="dxa"/>
            <w:vAlign w:val="center"/>
          </w:tcPr>
          <w:p>
            <w:pPr>
              <w:snapToGrid w:val="0"/>
              <w:spacing w:line="300" w:lineRule="auto"/>
              <w:jc w:val="center"/>
              <w:rPr>
                <w:rFonts w:ascii="Arial" w:hAnsi="Arial" w:cs="Arial"/>
                <w:color w:val="auto"/>
                <w:szCs w:val="21"/>
                <w:highlight w:val="none"/>
              </w:rPr>
            </w:pPr>
          </w:p>
        </w:tc>
        <w:tc>
          <w:tcPr>
            <w:tcW w:w="1566"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学历</w:t>
            </w:r>
          </w:p>
        </w:tc>
        <w:tc>
          <w:tcPr>
            <w:tcW w:w="1488" w:type="dxa"/>
            <w:vAlign w:val="center"/>
          </w:tcPr>
          <w:p>
            <w:pPr>
              <w:snapToGrid w:val="0"/>
              <w:spacing w:line="30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32" w:type="dxa"/>
            <w:gridSpan w:val="2"/>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参加工作时间</w:t>
            </w:r>
          </w:p>
        </w:tc>
        <w:tc>
          <w:tcPr>
            <w:tcW w:w="6186" w:type="dxa"/>
            <w:gridSpan w:val="4"/>
            <w:vAlign w:val="center"/>
          </w:tcPr>
          <w:p>
            <w:pPr>
              <w:snapToGrid w:val="0"/>
              <w:spacing w:line="30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18" w:type="dxa"/>
            <w:gridSpan w:val="6"/>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承担过项目情况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采购单位</w:t>
            </w:r>
          </w:p>
        </w:tc>
        <w:tc>
          <w:tcPr>
            <w:tcW w:w="1567"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项目名称</w:t>
            </w:r>
          </w:p>
        </w:tc>
        <w:tc>
          <w:tcPr>
            <w:tcW w:w="1566"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主要内容</w:t>
            </w:r>
          </w:p>
        </w:tc>
        <w:tc>
          <w:tcPr>
            <w:tcW w:w="3132" w:type="dxa"/>
            <w:gridSpan w:val="2"/>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采购单位联系人</w:t>
            </w:r>
          </w:p>
        </w:tc>
        <w:tc>
          <w:tcPr>
            <w:tcW w:w="1488"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left"/>
              <w:rPr>
                <w:rFonts w:ascii="Arial" w:hAnsi="Arial" w:cs="Arial"/>
                <w:color w:val="auto"/>
                <w:szCs w:val="21"/>
                <w:highlight w:val="none"/>
              </w:rPr>
            </w:pPr>
          </w:p>
        </w:tc>
        <w:tc>
          <w:tcPr>
            <w:tcW w:w="1567" w:type="dxa"/>
            <w:vAlign w:val="center"/>
          </w:tcPr>
          <w:p>
            <w:pPr>
              <w:snapToGrid w:val="0"/>
              <w:spacing w:line="300" w:lineRule="auto"/>
              <w:jc w:val="left"/>
              <w:rPr>
                <w:rFonts w:ascii="Arial" w:hAnsi="Arial" w:cs="Arial"/>
                <w:color w:val="auto"/>
                <w:szCs w:val="21"/>
                <w:highlight w:val="none"/>
              </w:rPr>
            </w:pPr>
          </w:p>
        </w:tc>
        <w:tc>
          <w:tcPr>
            <w:tcW w:w="1566" w:type="dxa"/>
            <w:vAlign w:val="center"/>
          </w:tcPr>
          <w:p>
            <w:pPr>
              <w:snapToGrid w:val="0"/>
              <w:spacing w:line="300" w:lineRule="auto"/>
              <w:jc w:val="left"/>
              <w:rPr>
                <w:rFonts w:ascii="Arial" w:hAnsi="Arial" w:cs="Arial"/>
                <w:color w:val="auto"/>
                <w:szCs w:val="21"/>
                <w:highlight w:val="none"/>
              </w:rPr>
            </w:pPr>
          </w:p>
        </w:tc>
        <w:tc>
          <w:tcPr>
            <w:tcW w:w="3132" w:type="dxa"/>
            <w:gridSpan w:val="2"/>
            <w:vAlign w:val="center"/>
          </w:tcPr>
          <w:p>
            <w:pPr>
              <w:snapToGrid w:val="0"/>
              <w:spacing w:line="300" w:lineRule="auto"/>
              <w:jc w:val="left"/>
              <w:rPr>
                <w:rFonts w:ascii="Arial" w:hAnsi="Arial" w:cs="Arial"/>
                <w:color w:val="auto"/>
                <w:szCs w:val="21"/>
                <w:highlight w:val="none"/>
              </w:rPr>
            </w:pPr>
          </w:p>
        </w:tc>
        <w:tc>
          <w:tcPr>
            <w:tcW w:w="1488" w:type="dxa"/>
            <w:vAlign w:val="center"/>
          </w:tcPr>
          <w:p>
            <w:pPr>
              <w:snapToGrid w:val="0"/>
              <w:spacing w:line="300" w:lineRule="auto"/>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left"/>
              <w:rPr>
                <w:rFonts w:ascii="Arial" w:hAnsi="Arial" w:cs="Arial"/>
                <w:color w:val="auto"/>
                <w:szCs w:val="21"/>
                <w:highlight w:val="none"/>
              </w:rPr>
            </w:pPr>
          </w:p>
          <w:p>
            <w:pPr>
              <w:snapToGrid w:val="0"/>
              <w:spacing w:line="300" w:lineRule="auto"/>
              <w:jc w:val="left"/>
              <w:rPr>
                <w:rFonts w:ascii="Arial" w:hAnsi="Arial" w:cs="Arial"/>
                <w:color w:val="auto"/>
                <w:szCs w:val="21"/>
                <w:highlight w:val="none"/>
              </w:rPr>
            </w:pPr>
          </w:p>
        </w:tc>
        <w:tc>
          <w:tcPr>
            <w:tcW w:w="1567" w:type="dxa"/>
            <w:vAlign w:val="center"/>
          </w:tcPr>
          <w:p>
            <w:pPr>
              <w:snapToGrid w:val="0"/>
              <w:spacing w:line="300" w:lineRule="auto"/>
              <w:jc w:val="left"/>
              <w:rPr>
                <w:rFonts w:ascii="Arial" w:hAnsi="Arial" w:cs="Arial"/>
                <w:color w:val="auto"/>
                <w:szCs w:val="21"/>
                <w:highlight w:val="none"/>
              </w:rPr>
            </w:pPr>
          </w:p>
        </w:tc>
        <w:tc>
          <w:tcPr>
            <w:tcW w:w="1566" w:type="dxa"/>
            <w:vAlign w:val="center"/>
          </w:tcPr>
          <w:p>
            <w:pPr>
              <w:snapToGrid w:val="0"/>
              <w:spacing w:line="300" w:lineRule="auto"/>
              <w:jc w:val="left"/>
              <w:rPr>
                <w:rFonts w:ascii="Arial" w:hAnsi="Arial" w:cs="Arial"/>
                <w:color w:val="auto"/>
                <w:szCs w:val="21"/>
                <w:highlight w:val="none"/>
              </w:rPr>
            </w:pPr>
          </w:p>
        </w:tc>
        <w:tc>
          <w:tcPr>
            <w:tcW w:w="3132" w:type="dxa"/>
            <w:gridSpan w:val="2"/>
            <w:vAlign w:val="center"/>
          </w:tcPr>
          <w:p>
            <w:pPr>
              <w:snapToGrid w:val="0"/>
              <w:spacing w:line="300" w:lineRule="auto"/>
              <w:jc w:val="left"/>
              <w:rPr>
                <w:rFonts w:ascii="Arial" w:hAnsi="Arial" w:cs="Arial"/>
                <w:color w:val="auto"/>
                <w:szCs w:val="21"/>
                <w:highlight w:val="none"/>
              </w:rPr>
            </w:pPr>
          </w:p>
        </w:tc>
        <w:tc>
          <w:tcPr>
            <w:tcW w:w="1488" w:type="dxa"/>
            <w:vAlign w:val="center"/>
          </w:tcPr>
          <w:p>
            <w:pPr>
              <w:snapToGrid w:val="0"/>
              <w:spacing w:line="300" w:lineRule="auto"/>
              <w:jc w:val="left"/>
              <w:rPr>
                <w:rFonts w:ascii="Arial" w:hAnsi="Arial" w:cs="Arial"/>
                <w:color w:val="auto"/>
                <w:szCs w:val="21"/>
                <w:highlight w:val="none"/>
              </w:rPr>
            </w:pPr>
          </w:p>
        </w:tc>
      </w:tr>
    </w:tbl>
    <w:p>
      <w:pPr>
        <w:snapToGrid w:val="0"/>
        <w:spacing w:line="300" w:lineRule="auto"/>
        <w:jc w:val="left"/>
        <w:rPr>
          <w:rFonts w:ascii="Arial" w:hAnsi="Arial" w:cs="Arial"/>
          <w:b/>
          <w:color w:val="auto"/>
          <w:sz w:val="24"/>
          <w:highlight w:val="none"/>
        </w:rPr>
      </w:pPr>
    </w:p>
    <w:p>
      <w:pPr>
        <w:snapToGrid w:val="0"/>
        <w:spacing w:line="300" w:lineRule="auto"/>
        <w:jc w:val="center"/>
        <w:rPr>
          <w:rFonts w:ascii="Arial" w:hAnsi="Arial" w:cs="Arial"/>
          <w:b/>
          <w:color w:val="auto"/>
          <w:sz w:val="24"/>
          <w:highlight w:val="none"/>
        </w:rPr>
      </w:pPr>
      <w:r>
        <w:rPr>
          <w:rFonts w:ascii="Arial" w:hAnsi="Arial" w:cs="Arial"/>
          <w:b/>
          <w:color w:val="auto"/>
          <w:sz w:val="24"/>
          <w:highlight w:val="none"/>
        </w:rPr>
        <w:t>其他专业人员介绍</w:t>
      </w:r>
    </w:p>
    <w:tbl>
      <w:tblPr>
        <w:tblStyle w:val="47"/>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7"/>
        <w:gridCol w:w="1328"/>
        <w:gridCol w:w="1329"/>
        <w:gridCol w:w="1329"/>
        <w:gridCol w:w="1328"/>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序号</w:t>
            </w:r>
          </w:p>
        </w:tc>
        <w:tc>
          <w:tcPr>
            <w:tcW w:w="1327"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姓名</w:t>
            </w:r>
          </w:p>
        </w:tc>
        <w:tc>
          <w:tcPr>
            <w:tcW w:w="1328"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性别</w:t>
            </w:r>
          </w:p>
        </w:tc>
        <w:tc>
          <w:tcPr>
            <w:tcW w:w="1329"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年龄</w:t>
            </w:r>
          </w:p>
        </w:tc>
        <w:tc>
          <w:tcPr>
            <w:tcW w:w="1329"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职称</w:t>
            </w:r>
          </w:p>
        </w:tc>
        <w:tc>
          <w:tcPr>
            <w:tcW w:w="1328"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专业</w:t>
            </w:r>
          </w:p>
        </w:tc>
        <w:tc>
          <w:tcPr>
            <w:tcW w:w="1329" w:type="dxa"/>
            <w:vAlign w:val="center"/>
          </w:tcPr>
          <w:p>
            <w:pPr>
              <w:snapToGrid w:val="0"/>
              <w:spacing w:line="300" w:lineRule="auto"/>
              <w:jc w:val="center"/>
              <w:rPr>
                <w:rFonts w:ascii="Arial" w:hAnsi="Arial" w:cs="Arial"/>
                <w:color w:val="auto"/>
                <w:szCs w:val="21"/>
                <w:highlight w:val="none"/>
              </w:rPr>
            </w:pPr>
            <w:r>
              <w:rPr>
                <w:rFonts w:ascii="Arial" w:hAnsi="Arial" w:cs="Arial"/>
                <w:color w:val="auto"/>
                <w:szCs w:val="21"/>
                <w:highlight w:val="none"/>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ascii="Arial" w:hAnsi="Arial" w:cs="Arial"/>
                <w:color w:val="auto"/>
                <w:szCs w:val="21"/>
                <w:highlight w:val="none"/>
              </w:rPr>
            </w:pPr>
          </w:p>
        </w:tc>
        <w:tc>
          <w:tcPr>
            <w:tcW w:w="1327" w:type="dxa"/>
            <w:vAlign w:val="center"/>
          </w:tcPr>
          <w:p>
            <w:pPr>
              <w:snapToGrid w:val="0"/>
              <w:spacing w:line="300" w:lineRule="auto"/>
              <w:jc w:val="center"/>
              <w:rPr>
                <w:rFonts w:ascii="Arial" w:hAnsi="Arial" w:cs="Arial"/>
                <w:color w:val="auto"/>
                <w:szCs w:val="21"/>
                <w:highlight w:val="none"/>
              </w:rPr>
            </w:pPr>
          </w:p>
        </w:tc>
        <w:tc>
          <w:tcPr>
            <w:tcW w:w="1328"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c>
          <w:tcPr>
            <w:tcW w:w="1328"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ascii="Arial" w:hAnsi="Arial" w:cs="Arial"/>
                <w:color w:val="auto"/>
                <w:szCs w:val="21"/>
                <w:highlight w:val="none"/>
              </w:rPr>
            </w:pPr>
          </w:p>
        </w:tc>
        <w:tc>
          <w:tcPr>
            <w:tcW w:w="1327" w:type="dxa"/>
            <w:vAlign w:val="center"/>
          </w:tcPr>
          <w:p>
            <w:pPr>
              <w:snapToGrid w:val="0"/>
              <w:spacing w:line="300" w:lineRule="auto"/>
              <w:jc w:val="center"/>
              <w:rPr>
                <w:rFonts w:ascii="Arial" w:hAnsi="Arial" w:cs="Arial"/>
                <w:color w:val="auto"/>
                <w:szCs w:val="21"/>
                <w:highlight w:val="none"/>
              </w:rPr>
            </w:pPr>
          </w:p>
        </w:tc>
        <w:tc>
          <w:tcPr>
            <w:tcW w:w="1328"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c>
          <w:tcPr>
            <w:tcW w:w="1328"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ascii="Arial" w:hAnsi="Arial" w:cs="Arial"/>
                <w:color w:val="auto"/>
                <w:szCs w:val="21"/>
                <w:highlight w:val="none"/>
              </w:rPr>
            </w:pPr>
          </w:p>
        </w:tc>
        <w:tc>
          <w:tcPr>
            <w:tcW w:w="1327" w:type="dxa"/>
            <w:vAlign w:val="center"/>
          </w:tcPr>
          <w:p>
            <w:pPr>
              <w:snapToGrid w:val="0"/>
              <w:spacing w:line="300" w:lineRule="auto"/>
              <w:jc w:val="center"/>
              <w:rPr>
                <w:rFonts w:ascii="Arial" w:hAnsi="Arial" w:cs="Arial"/>
                <w:color w:val="auto"/>
                <w:szCs w:val="21"/>
                <w:highlight w:val="none"/>
              </w:rPr>
            </w:pPr>
          </w:p>
        </w:tc>
        <w:tc>
          <w:tcPr>
            <w:tcW w:w="1328"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c>
          <w:tcPr>
            <w:tcW w:w="1328"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ascii="Arial" w:hAnsi="Arial" w:cs="Arial"/>
                <w:color w:val="auto"/>
                <w:szCs w:val="21"/>
                <w:highlight w:val="none"/>
              </w:rPr>
            </w:pPr>
          </w:p>
        </w:tc>
        <w:tc>
          <w:tcPr>
            <w:tcW w:w="1327" w:type="dxa"/>
            <w:vAlign w:val="center"/>
          </w:tcPr>
          <w:p>
            <w:pPr>
              <w:snapToGrid w:val="0"/>
              <w:spacing w:line="300" w:lineRule="auto"/>
              <w:jc w:val="center"/>
              <w:rPr>
                <w:rFonts w:ascii="Arial" w:hAnsi="Arial" w:cs="Arial"/>
                <w:color w:val="auto"/>
                <w:szCs w:val="21"/>
                <w:highlight w:val="none"/>
              </w:rPr>
            </w:pPr>
          </w:p>
        </w:tc>
        <w:tc>
          <w:tcPr>
            <w:tcW w:w="1328"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c>
          <w:tcPr>
            <w:tcW w:w="1328" w:type="dxa"/>
            <w:vAlign w:val="center"/>
          </w:tcPr>
          <w:p>
            <w:pPr>
              <w:snapToGrid w:val="0"/>
              <w:spacing w:line="300" w:lineRule="auto"/>
              <w:jc w:val="center"/>
              <w:rPr>
                <w:rFonts w:ascii="Arial" w:hAnsi="Arial" w:cs="Arial"/>
                <w:color w:val="auto"/>
                <w:szCs w:val="21"/>
                <w:highlight w:val="none"/>
              </w:rPr>
            </w:pPr>
          </w:p>
        </w:tc>
        <w:tc>
          <w:tcPr>
            <w:tcW w:w="1329" w:type="dxa"/>
            <w:vAlign w:val="center"/>
          </w:tcPr>
          <w:p>
            <w:pPr>
              <w:snapToGrid w:val="0"/>
              <w:spacing w:line="300" w:lineRule="auto"/>
              <w:jc w:val="center"/>
              <w:rPr>
                <w:rFonts w:ascii="Arial" w:hAnsi="Arial" w:cs="Arial"/>
                <w:color w:val="auto"/>
                <w:szCs w:val="21"/>
                <w:highlight w:val="none"/>
              </w:rPr>
            </w:pPr>
          </w:p>
        </w:tc>
      </w:tr>
      <w:bookmarkEnd w:id="93"/>
    </w:tbl>
    <w:p>
      <w:pPr>
        <w:pStyle w:val="2"/>
        <w:ind w:firstLine="420"/>
        <w:rPr>
          <w:rFonts w:ascii="Arial" w:hAnsi="Arial" w:cs="Arial"/>
          <w:color w:val="auto"/>
          <w:highlight w:val="none"/>
        </w:rPr>
      </w:pPr>
    </w:p>
    <w:p>
      <w:pPr>
        <w:pStyle w:val="5"/>
        <w:ind w:firstLine="502"/>
        <w:rPr>
          <w:rFonts w:cs="Arial"/>
          <w:color w:val="auto"/>
          <w:highlight w:val="none"/>
        </w:rPr>
      </w:pPr>
      <w:r>
        <w:rPr>
          <w:rFonts w:cs="Arial"/>
          <w:color w:val="auto"/>
          <w:spacing w:val="20"/>
          <w:highlight w:val="none"/>
        </w:rPr>
        <w:t>八</w:t>
      </w:r>
      <w:r>
        <w:rPr>
          <w:rFonts w:cs="Arial"/>
          <w:color w:val="auto"/>
          <w:highlight w:val="none"/>
        </w:rPr>
        <w:t>、政府采购活动现场确认声明书</w:t>
      </w:r>
    </w:p>
    <w:p>
      <w:pPr>
        <w:snapToGrid w:val="0"/>
        <w:spacing w:line="300" w:lineRule="auto"/>
        <w:jc w:val="center"/>
        <w:rPr>
          <w:rFonts w:ascii="Arial" w:hAnsi="Arial" w:cs="Arial"/>
          <w:b/>
          <w:bCs/>
          <w:color w:val="auto"/>
          <w:sz w:val="28"/>
          <w:szCs w:val="28"/>
          <w:highlight w:val="none"/>
        </w:rPr>
      </w:pPr>
      <w:r>
        <w:rPr>
          <w:rFonts w:ascii="Arial" w:hAnsi="Arial" w:cs="Arial"/>
          <w:b/>
          <w:bCs/>
          <w:color w:val="auto"/>
          <w:sz w:val="28"/>
          <w:szCs w:val="28"/>
          <w:highlight w:val="none"/>
        </w:rPr>
        <w:t>政府采购活动现场确认声明书</w:t>
      </w:r>
    </w:p>
    <w:p>
      <w:pPr>
        <w:pStyle w:val="108"/>
        <w:widowControl w:val="0"/>
        <w:snapToGrid w:val="0"/>
        <w:spacing w:line="300" w:lineRule="auto"/>
        <w:jc w:val="both"/>
        <w:rPr>
          <w:rFonts w:hint="default" w:ascii="Arial" w:hAnsi="Arial" w:cs="Arial"/>
          <w:b/>
          <w:color w:val="auto"/>
          <w:szCs w:val="21"/>
          <w:highlight w:val="none"/>
        </w:rPr>
      </w:pPr>
      <w:r>
        <w:rPr>
          <w:rFonts w:hint="default" w:ascii="Arial" w:hAnsi="Arial" w:cs="Arial"/>
          <w:color w:val="auto"/>
          <w:kern w:val="0"/>
          <w:szCs w:val="21"/>
          <w:highlight w:val="none"/>
        </w:rPr>
        <w:t>浙江省成套招标代理有限公司：</w:t>
      </w:r>
    </w:p>
    <w:p>
      <w:pPr>
        <w:pStyle w:val="108"/>
        <w:adjustRightInd w:val="0"/>
        <w:snapToGrid w:val="0"/>
        <w:spacing w:line="300" w:lineRule="auto"/>
        <w:ind w:firstLine="444" w:firstLineChars="200"/>
        <w:rPr>
          <w:rFonts w:hint="default" w:ascii="Arial" w:hAnsi="Arial" w:cs="Arial"/>
          <w:color w:val="auto"/>
          <w:highlight w:val="none"/>
          <w:u w:val="single"/>
        </w:rPr>
      </w:pPr>
      <w:r>
        <w:rPr>
          <w:rFonts w:hint="default" w:ascii="Arial" w:hAnsi="Arial" w:cs="Arial"/>
          <w:color w:val="auto"/>
          <w:spacing w:val="6"/>
          <w:szCs w:val="21"/>
          <w:highlight w:val="none"/>
        </w:rPr>
        <w:t>本人经由单位法定代表人合法授权参加</w:t>
      </w:r>
      <w:r>
        <w:rPr>
          <w:rFonts w:hint="default" w:ascii="Arial" w:hAnsi="Arial" w:cs="Arial"/>
          <w:color w:val="auto"/>
          <w:highlight w:val="none"/>
          <w:u w:val="single"/>
        </w:rPr>
        <w:t>杭州市拱墅区城市管理局</w:t>
      </w:r>
      <w:r>
        <w:rPr>
          <w:rFonts w:hint="default" w:ascii="Arial" w:hAnsi="Arial" w:cs="Arial"/>
          <w:color w:val="auto"/>
          <w:highlight w:val="none"/>
        </w:rPr>
        <w:t>（采购人）</w:t>
      </w:r>
      <w:r>
        <w:rPr>
          <w:rFonts w:ascii="Arial" w:hAnsi="Arial" w:cs="Arial"/>
          <w:color w:val="auto"/>
          <w:highlight w:val="none"/>
          <w:u w:val="single"/>
        </w:rPr>
        <w:t>2020年拱墅区“峰会”亮灯工程第二次运行维护项目</w:t>
      </w:r>
      <w:r>
        <w:rPr>
          <w:rFonts w:hint="default" w:ascii="Arial" w:hAnsi="Arial" w:cs="Arial"/>
          <w:color w:val="auto"/>
          <w:highlight w:val="none"/>
        </w:rPr>
        <w:t>（项目名称）</w:t>
      </w:r>
      <w:r>
        <w:rPr>
          <w:rFonts w:hint="eastAsia" w:ascii="Arial" w:hAnsi="Arial" w:cs="Arial"/>
          <w:color w:val="auto"/>
          <w:highlight w:val="none"/>
          <w:u w:val="single"/>
          <w:lang w:eastAsia="zh-CN"/>
        </w:rPr>
        <w:t>CTZB-2020040466</w:t>
      </w:r>
      <w:r>
        <w:rPr>
          <w:rFonts w:hint="default" w:ascii="Arial" w:hAnsi="Arial" w:cs="Arial"/>
          <w:color w:val="auto"/>
          <w:highlight w:val="none"/>
        </w:rPr>
        <w:t>（项目编号）</w:t>
      </w:r>
      <w:r>
        <w:rPr>
          <w:rFonts w:ascii="Arial" w:hAnsi="Arial" w:cs="Arial"/>
          <w:color w:val="auto"/>
          <w:highlight w:val="none"/>
          <w:u w:val="single"/>
        </w:rPr>
        <w:t xml:space="preserve">                 </w:t>
      </w:r>
      <w:r>
        <w:rPr>
          <w:rFonts w:hint="default" w:ascii="Arial" w:hAnsi="Arial" w:cs="Arial"/>
          <w:color w:val="auto"/>
          <w:highlight w:val="none"/>
        </w:rPr>
        <w:t>（标段名称）</w:t>
      </w:r>
      <w:r>
        <w:rPr>
          <w:rFonts w:hint="default" w:ascii="Arial" w:hAnsi="Arial" w:cs="Arial"/>
          <w:color w:val="auto"/>
          <w:spacing w:val="6"/>
          <w:szCs w:val="21"/>
          <w:highlight w:val="none"/>
        </w:rPr>
        <w:t>政府采购活动，经与本单位法人代表人联系确认，现就有关公平竞争事项郑重声明如下：</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一、本单位与采购人之间 □不存在利害关系 □存在下列利害关系：</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A.投资关系    B.行政隶属关系    C.业务指导关系</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D.其他可能</w:t>
      </w:r>
      <w:r>
        <w:rPr>
          <w:rFonts w:hint="default" w:ascii="Arial" w:hAnsi="Arial" w:cs="Arial"/>
          <w:color w:val="auto"/>
          <w:szCs w:val="21"/>
          <w:highlight w:val="none"/>
        </w:rPr>
        <w:t>影响采购公正的</w:t>
      </w:r>
      <w:r>
        <w:rPr>
          <w:rFonts w:hint="default" w:ascii="Arial" w:hAnsi="Arial" w:cs="Arial"/>
          <w:color w:val="auto"/>
          <w:kern w:val="0"/>
          <w:szCs w:val="21"/>
          <w:highlight w:val="none"/>
        </w:rPr>
        <w:t>利害关系</w:t>
      </w:r>
      <w:r>
        <w:rPr>
          <w:rFonts w:hint="default" w:ascii="Arial" w:hAnsi="Arial" w:cs="Arial"/>
          <w:color w:val="auto"/>
          <w:kern w:val="0"/>
          <w:szCs w:val="21"/>
          <w:highlight w:val="none"/>
          <w:u w:val="single"/>
        </w:rPr>
        <w:t>（如有，请如实说明）</w:t>
      </w:r>
      <w:r>
        <w:rPr>
          <w:rFonts w:hint="default" w:ascii="Arial" w:hAnsi="Arial" w:cs="Arial"/>
          <w:color w:val="auto"/>
          <w:kern w:val="0"/>
          <w:szCs w:val="21"/>
          <w:highlight w:val="none"/>
        </w:rPr>
        <w:t>。</w:t>
      </w:r>
    </w:p>
    <w:p>
      <w:pPr>
        <w:pStyle w:val="109"/>
        <w:widowControl/>
        <w:adjustRightInd w:val="0"/>
        <w:snapToGrid w:val="0"/>
        <w:spacing w:line="300" w:lineRule="auto"/>
        <w:ind w:firstLine="444" w:firstLineChars="200"/>
        <w:rPr>
          <w:rFonts w:hint="default" w:ascii="Arial" w:hAnsi="Arial" w:cs="Arial"/>
          <w:color w:val="auto"/>
          <w:kern w:val="0"/>
          <w:szCs w:val="21"/>
          <w:highlight w:val="none"/>
        </w:rPr>
      </w:pPr>
      <w:r>
        <w:rPr>
          <w:rFonts w:hint="default" w:ascii="Arial" w:hAnsi="Arial" w:cs="Arial"/>
          <w:color w:val="auto"/>
          <w:spacing w:val="6"/>
          <w:szCs w:val="21"/>
          <w:highlight w:val="none"/>
        </w:rPr>
        <w:t>二、</w:t>
      </w:r>
      <w:r>
        <w:rPr>
          <w:rFonts w:hint="default" w:ascii="Arial" w:hAnsi="Arial" w:cs="Arial"/>
          <w:color w:val="auto"/>
          <w:kern w:val="0"/>
          <w:szCs w:val="21"/>
          <w:highlight w:val="none"/>
        </w:rPr>
        <w:t>现已清楚知道参加本项目采购活动的其他所有供应商名称，本单位 □与其他所有供应商之间均不存在利害关系 □与</w:t>
      </w:r>
      <w:r>
        <w:rPr>
          <w:rFonts w:hint="default" w:ascii="Arial" w:hAnsi="Arial" w:cs="Arial"/>
          <w:color w:val="auto"/>
          <w:kern w:val="0"/>
          <w:szCs w:val="21"/>
          <w:highlight w:val="none"/>
          <w:u w:val="single"/>
        </w:rPr>
        <w:t>（供应商名称）</w:t>
      </w:r>
      <w:r>
        <w:rPr>
          <w:rFonts w:hint="default" w:ascii="Arial" w:hAnsi="Arial" w:cs="Arial"/>
          <w:color w:val="auto"/>
          <w:kern w:val="0"/>
          <w:szCs w:val="21"/>
          <w:highlight w:val="none"/>
        </w:rPr>
        <w:t>之间存在下列利害关系：</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A.法定代表人或负责人或实际控制人是同一人</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B.法定代表人或负责人或实际控制人是夫妻关系</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C.法定代表人或负责人或实际控制人是直系血亲关系</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D.法定代表人或负责人或实际控制人存在三代以内旁系血亲关系</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E.法定代表人或负责人或实际控制人存在近姻亲关系</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F.法定代表人或负责人或实际控制人存在股份控制或实际控制关系</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G.存在共同直接或间接投资设立子公司、联营企业和合营企业情况</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H.存在分级代理或代销关系、同一生产制造商关系、管理关系、重要业务（占主营业务收入50%以上）或重要财务往来关系（如融资）等其他实质性控制关系</w:t>
      </w:r>
    </w:p>
    <w:p>
      <w:pPr>
        <w:pStyle w:val="109"/>
        <w:widowControl/>
        <w:adjustRightInd w:val="0"/>
        <w:snapToGrid w:val="0"/>
        <w:spacing w:line="300" w:lineRule="auto"/>
        <w:ind w:firstLine="420" w:firstLineChars="200"/>
        <w:rPr>
          <w:rFonts w:hint="default" w:ascii="Arial" w:hAnsi="Arial" w:cs="Arial"/>
          <w:color w:val="auto"/>
          <w:spacing w:val="6"/>
          <w:szCs w:val="21"/>
          <w:highlight w:val="none"/>
        </w:rPr>
      </w:pPr>
      <w:r>
        <w:rPr>
          <w:rFonts w:hint="default" w:ascii="Arial" w:hAnsi="Arial" w:cs="Arial"/>
          <w:color w:val="auto"/>
          <w:szCs w:val="21"/>
          <w:highlight w:val="none"/>
        </w:rPr>
        <w:t>I</w:t>
      </w:r>
      <w:r>
        <w:rPr>
          <w:rFonts w:hint="default" w:ascii="Arial" w:hAnsi="Arial" w:cs="Arial"/>
          <w:color w:val="auto"/>
          <w:kern w:val="0"/>
          <w:szCs w:val="21"/>
          <w:highlight w:val="none"/>
        </w:rPr>
        <w:t>.</w:t>
      </w:r>
      <w:r>
        <w:rPr>
          <w:rFonts w:hint="default" w:ascii="Arial" w:hAnsi="Arial" w:cs="Arial"/>
          <w:color w:val="auto"/>
          <w:szCs w:val="21"/>
          <w:highlight w:val="none"/>
        </w:rPr>
        <w:t>其他利害关系情况</w:t>
      </w:r>
      <w:r>
        <w:rPr>
          <w:rFonts w:hint="default" w:ascii="Arial" w:hAnsi="Arial" w:cs="Arial"/>
          <w:color w:val="auto"/>
          <w:kern w:val="0"/>
          <w:szCs w:val="21"/>
          <w:highlight w:val="none"/>
        </w:rPr>
        <w:t>。</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szCs w:val="21"/>
          <w:highlight w:val="none"/>
        </w:rPr>
        <w:t>三、现已清楚知道并</w:t>
      </w:r>
      <w:r>
        <w:rPr>
          <w:rFonts w:hint="default" w:ascii="Arial" w:hAnsi="Arial" w:cs="Arial"/>
          <w:color w:val="auto"/>
          <w:kern w:val="0"/>
          <w:szCs w:val="21"/>
          <w:highlight w:val="none"/>
        </w:rPr>
        <w:t>严格遵守政府采购法律法规和现场纪律。</w:t>
      </w:r>
    </w:p>
    <w:p>
      <w:pPr>
        <w:pStyle w:val="109"/>
        <w:widowControl/>
        <w:adjustRightInd w:val="0"/>
        <w:snapToGrid w:val="0"/>
        <w:spacing w:line="30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四、我发现供应商之间存在或可能存在上述第二条第项利害关系。</w:t>
      </w:r>
    </w:p>
    <w:p>
      <w:pPr>
        <w:pStyle w:val="109"/>
        <w:widowControl/>
        <w:adjustRightInd w:val="0"/>
        <w:snapToGrid w:val="0"/>
        <w:spacing w:line="300" w:lineRule="auto"/>
        <w:rPr>
          <w:rFonts w:hint="default" w:ascii="Arial" w:hAnsi="Arial" w:cs="Arial"/>
          <w:color w:val="auto"/>
          <w:sz w:val="24"/>
          <w:szCs w:val="24"/>
          <w:highlight w:val="none"/>
        </w:rPr>
      </w:pPr>
    </w:p>
    <w:p>
      <w:pPr>
        <w:snapToGrid w:val="0"/>
        <w:spacing w:line="300" w:lineRule="auto"/>
        <w:ind w:firstLine="420" w:firstLineChars="200"/>
        <w:rPr>
          <w:rFonts w:ascii="Arial" w:hAnsi="Arial" w:cs="Arial"/>
          <w:color w:val="auto"/>
          <w:spacing w:val="20"/>
          <w:highlight w:val="none"/>
          <w:u w:val="single"/>
        </w:rPr>
      </w:pPr>
      <w:r>
        <w:rPr>
          <w:rFonts w:ascii="Arial" w:hAnsi="Arial" w:cs="Arial"/>
          <w:color w:val="auto"/>
          <w:szCs w:val="21"/>
          <w:highlight w:val="none"/>
        </w:rPr>
        <w:t>投标人全称：（盖单位公章）</w:t>
      </w:r>
    </w:p>
    <w:p>
      <w:pPr>
        <w:snapToGrid w:val="0"/>
        <w:spacing w:line="300" w:lineRule="auto"/>
        <w:ind w:firstLine="420" w:firstLineChars="200"/>
        <w:rPr>
          <w:rFonts w:ascii="Arial" w:hAnsi="Arial" w:cs="Arial"/>
          <w:color w:val="auto"/>
          <w:highlight w:val="none"/>
        </w:rPr>
      </w:pPr>
      <w:r>
        <w:rPr>
          <w:rFonts w:ascii="Arial" w:hAnsi="Arial" w:cs="Arial"/>
          <w:color w:val="auto"/>
          <w:highlight w:val="none"/>
        </w:rPr>
        <w:t>日期：2020年月日</w:t>
      </w:r>
    </w:p>
    <w:p>
      <w:pPr>
        <w:rPr>
          <w:rFonts w:ascii="Arial" w:hAnsi="Arial" w:cs="Arial"/>
          <w:color w:val="auto"/>
          <w:highlight w:val="none"/>
        </w:rPr>
      </w:pPr>
      <w:r>
        <w:rPr>
          <w:rFonts w:ascii="Arial" w:hAnsi="Arial" w:cs="Arial"/>
          <w:color w:val="auto"/>
          <w:highlight w:val="none"/>
        </w:rPr>
        <w:br w:type="page"/>
      </w:r>
    </w:p>
    <w:p>
      <w:pPr>
        <w:spacing w:line="300" w:lineRule="auto"/>
        <w:jc w:val="center"/>
        <w:rPr>
          <w:color w:val="auto"/>
          <w:sz w:val="24"/>
          <w:szCs w:val="32"/>
          <w:highlight w:val="none"/>
        </w:rPr>
      </w:pPr>
      <w:r>
        <w:rPr>
          <w:color w:val="auto"/>
          <w:sz w:val="24"/>
          <w:szCs w:val="32"/>
          <w:highlight w:val="none"/>
        </w:rPr>
        <w:t>政府采购支持中小企业信用融资相关事项通知</w:t>
      </w:r>
    </w:p>
    <w:p>
      <w:pPr>
        <w:spacing w:line="300" w:lineRule="auto"/>
        <w:ind w:firstLine="480" w:firstLineChars="200"/>
        <w:rPr>
          <w:color w:val="auto"/>
          <w:sz w:val="24"/>
          <w:szCs w:val="32"/>
          <w:highlight w:val="none"/>
        </w:rPr>
      </w:pPr>
      <w:r>
        <w:rPr>
          <w:color w:val="auto"/>
          <w:sz w:val="24"/>
          <w:szCs w:val="32"/>
          <w:highlight w:val="none"/>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00" w:lineRule="auto"/>
        <w:ind w:firstLine="480" w:firstLineChars="200"/>
        <w:rPr>
          <w:color w:val="auto"/>
          <w:sz w:val="24"/>
          <w:szCs w:val="32"/>
          <w:highlight w:val="none"/>
        </w:rPr>
      </w:pPr>
      <w:r>
        <w:rPr>
          <w:color w:val="auto"/>
          <w:sz w:val="24"/>
          <w:szCs w:val="32"/>
          <w:highlight w:val="none"/>
        </w:rPr>
        <w:t>一、适用对象</w:t>
      </w:r>
    </w:p>
    <w:p>
      <w:pPr>
        <w:spacing w:line="300" w:lineRule="auto"/>
        <w:ind w:firstLine="480" w:firstLineChars="200"/>
        <w:rPr>
          <w:color w:val="auto"/>
          <w:sz w:val="24"/>
          <w:szCs w:val="32"/>
          <w:highlight w:val="none"/>
        </w:rPr>
      </w:pPr>
      <w:r>
        <w:rPr>
          <w:color w:val="auto"/>
          <w:sz w:val="24"/>
          <w:szCs w:val="32"/>
          <w:highlight w:val="none"/>
        </w:rPr>
        <w:t>在浙江政府采购网注册入库，并取得杭州市政府采购合同的杭州市内中小企业供应商。</w:t>
      </w:r>
    </w:p>
    <w:p>
      <w:pPr>
        <w:spacing w:line="300" w:lineRule="auto"/>
        <w:ind w:firstLine="480" w:firstLineChars="200"/>
        <w:rPr>
          <w:color w:val="auto"/>
          <w:sz w:val="24"/>
          <w:szCs w:val="32"/>
          <w:highlight w:val="none"/>
        </w:rPr>
      </w:pPr>
      <w:r>
        <w:rPr>
          <w:color w:val="auto"/>
          <w:sz w:val="24"/>
          <w:szCs w:val="32"/>
          <w:highlight w:val="none"/>
        </w:rPr>
        <w:t>二、相关信息获取方式</w:t>
      </w:r>
    </w:p>
    <w:p>
      <w:pPr>
        <w:spacing w:line="300" w:lineRule="auto"/>
        <w:ind w:firstLine="480" w:firstLineChars="200"/>
        <w:rPr>
          <w:color w:val="auto"/>
          <w:sz w:val="24"/>
          <w:szCs w:val="32"/>
          <w:highlight w:val="none"/>
        </w:rPr>
      </w:pPr>
      <w:r>
        <w:rPr>
          <w:color w:val="auto"/>
          <w:sz w:val="24"/>
          <w:szCs w:val="32"/>
          <w:highlight w:val="none"/>
        </w:rPr>
        <w:t>请登陆杭州市政府采购网“中小企业信用融资”模块，查看信用融资政策文件及各相关银行服务方案。</w:t>
      </w:r>
    </w:p>
    <w:p>
      <w:pPr>
        <w:spacing w:line="300" w:lineRule="auto"/>
        <w:ind w:firstLine="480" w:firstLineChars="200"/>
        <w:rPr>
          <w:color w:val="auto"/>
          <w:sz w:val="24"/>
          <w:szCs w:val="32"/>
          <w:highlight w:val="none"/>
        </w:rPr>
      </w:pPr>
      <w:r>
        <w:rPr>
          <w:color w:val="auto"/>
          <w:sz w:val="24"/>
          <w:szCs w:val="32"/>
          <w:highlight w:val="none"/>
        </w:rPr>
        <w:t>三、申请方式和步骤</w:t>
      </w:r>
    </w:p>
    <w:p>
      <w:pPr>
        <w:spacing w:line="300" w:lineRule="auto"/>
        <w:ind w:firstLine="480" w:firstLineChars="200"/>
        <w:rPr>
          <w:color w:val="auto"/>
          <w:sz w:val="24"/>
          <w:szCs w:val="32"/>
          <w:highlight w:val="none"/>
        </w:rPr>
      </w:pPr>
      <w:r>
        <w:rPr>
          <w:color w:val="auto"/>
          <w:sz w:val="24"/>
          <w:szCs w:val="32"/>
          <w:highlight w:val="none"/>
        </w:rPr>
        <w:t>（一）“云采贷”融资</w:t>
      </w:r>
    </w:p>
    <w:p>
      <w:pPr>
        <w:spacing w:line="300" w:lineRule="auto"/>
        <w:ind w:firstLine="480" w:firstLineChars="200"/>
        <w:rPr>
          <w:color w:val="auto"/>
          <w:sz w:val="24"/>
          <w:szCs w:val="32"/>
          <w:highlight w:val="none"/>
        </w:rPr>
      </w:pPr>
      <w:r>
        <w:rPr>
          <w:color w:val="auto"/>
          <w:sz w:val="24"/>
          <w:szCs w:val="32"/>
          <w:highlight w:val="none"/>
        </w:rPr>
        <w:t>1、供应商先与银行对接，办理融资前期手续；</w:t>
      </w:r>
    </w:p>
    <w:p>
      <w:pPr>
        <w:spacing w:line="300" w:lineRule="auto"/>
        <w:ind w:firstLine="480" w:firstLineChars="200"/>
        <w:rPr>
          <w:color w:val="auto"/>
          <w:sz w:val="24"/>
          <w:szCs w:val="32"/>
          <w:highlight w:val="none"/>
        </w:rPr>
      </w:pPr>
      <w:r>
        <w:rPr>
          <w:color w:val="auto"/>
          <w:sz w:val="24"/>
          <w:szCs w:val="32"/>
          <w:highlight w:val="none"/>
        </w:rPr>
        <w:t>2、供应商中标后，登陆“中小企业信用融资”模块测算授信额度，并向银行发出融资申请；</w:t>
      </w:r>
    </w:p>
    <w:p>
      <w:pPr>
        <w:spacing w:line="300" w:lineRule="auto"/>
        <w:ind w:firstLine="480" w:firstLineChars="200"/>
        <w:rPr>
          <w:color w:val="auto"/>
          <w:sz w:val="24"/>
          <w:szCs w:val="32"/>
          <w:highlight w:val="none"/>
        </w:rPr>
      </w:pPr>
      <w:r>
        <w:rPr>
          <w:color w:val="auto"/>
          <w:sz w:val="24"/>
          <w:szCs w:val="32"/>
          <w:highlight w:val="none"/>
        </w:rPr>
        <w:t>3、银行线上审批通过后，办理放贷手续。</w:t>
      </w:r>
    </w:p>
    <w:p>
      <w:pPr>
        <w:spacing w:line="300" w:lineRule="auto"/>
        <w:ind w:firstLine="480" w:firstLineChars="200"/>
        <w:rPr>
          <w:color w:val="auto"/>
          <w:sz w:val="24"/>
          <w:szCs w:val="32"/>
          <w:highlight w:val="none"/>
        </w:rPr>
      </w:pPr>
      <w:r>
        <w:rPr>
          <w:color w:val="auto"/>
          <w:sz w:val="24"/>
          <w:szCs w:val="32"/>
          <w:highlight w:val="none"/>
        </w:rPr>
        <w:t>（二）一般融资</w:t>
      </w:r>
    </w:p>
    <w:p>
      <w:pPr>
        <w:spacing w:line="300" w:lineRule="auto"/>
        <w:ind w:firstLine="480" w:firstLineChars="200"/>
        <w:rPr>
          <w:color w:val="auto"/>
          <w:sz w:val="24"/>
          <w:szCs w:val="32"/>
          <w:highlight w:val="none"/>
        </w:rPr>
      </w:pPr>
      <w:r>
        <w:rPr>
          <w:color w:val="auto"/>
          <w:sz w:val="24"/>
          <w:szCs w:val="32"/>
          <w:highlight w:val="none"/>
        </w:rPr>
        <w:t>1、供应商先与银行对接，办理融资前期手续；</w:t>
      </w:r>
    </w:p>
    <w:p>
      <w:pPr>
        <w:spacing w:line="300" w:lineRule="auto"/>
        <w:ind w:firstLine="480" w:firstLineChars="200"/>
        <w:rPr>
          <w:color w:val="auto"/>
          <w:sz w:val="24"/>
          <w:szCs w:val="32"/>
          <w:highlight w:val="none"/>
        </w:rPr>
      </w:pPr>
      <w:r>
        <w:rPr>
          <w:color w:val="auto"/>
          <w:sz w:val="24"/>
          <w:szCs w:val="32"/>
          <w:highlight w:val="none"/>
        </w:rPr>
        <w:t>2、供应商中标后，登陆杭州市政府采购网“中小企业信用融资”模块，向相关合作银行发出融资申请；</w:t>
      </w:r>
    </w:p>
    <w:p>
      <w:pPr>
        <w:spacing w:line="300" w:lineRule="auto"/>
        <w:ind w:firstLine="480" w:firstLineChars="200"/>
        <w:rPr>
          <w:color w:val="auto"/>
          <w:sz w:val="24"/>
          <w:szCs w:val="32"/>
          <w:highlight w:val="none"/>
        </w:rPr>
      </w:pPr>
      <w:r>
        <w:rPr>
          <w:color w:val="auto"/>
          <w:sz w:val="24"/>
          <w:szCs w:val="32"/>
          <w:highlight w:val="none"/>
        </w:rPr>
        <w:t>3、银行在“中小企业信用融资”模块受理申请；</w:t>
      </w:r>
    </w:p>
    <w:p>
      <w:pPr>
        <w:spacing w:line="300" w:lineRule="auto"/>
        <w:ind w:firstLine="480" w:firstLineChars="200"/>
        <w:rPr>
          <w:color w:val="auto"/>
          <w:sz w:val="24"/>
          <w:szCs w:val="32"/>
          <w:highlight w:val="none"/>
        </w:rPr>
      </w:pPr>
      <w:r>
        <w:rPr>
          <w:color w:val="auto"/>
          <w:sz w:val="24"/>
          <w:szCs w:val="32"/>
          <w:highlight w:val="none"/>
        </w:rPr>
        <w:t>4、银行、供应商线下办理审批、放贷事宜。</w:t>
      </w:r>
    </w:p>
    <w:p>
      <w:pPr>
        <w:spacing w:line="300" w:lineRule="auto"/>
        <w:ind w:firstLine="480" w:firstLineChars="200"/>
        <w:rPr>
          <w:color w:val="auto"/>
          <w:sz w:val="24"/>
          <w:szCs w:val="32"/>
          <w:highlight w:val="none"/>
        </w:rPr>
      </w:pPr>
      <w:r>
        <w:rPr>
          <w:color w:val="auto"/>
          <w:sz w:val="24"/>
          <w:szCs w:val="32"/>
          <w:highlight w:val="none"/>
        </w:rPr>
        <w:t>四、注意事项</w:t>
      </w:r>
    </w:p>
    <w:p>
      <w:pPr>
        <w:spacing w:line="300" w:lineRule="auto"/>
        <w:ind w:firstLine="480" w:firstLineChars="200"/>
        <w:rPr>
          <w:color w:val="auto"/>
          <w:sz w:val="24"/>
          <w:szCs w:val="32"/>
          <w:highlight w:val="none"/>
        </w:rPr>
      </w:pPr>
      <w:r>
        <w:rPr>
          <w:color w:val="auto"/>
          <w:sz w:val="24"/>
          <w:szCs w:val="32"/>
          <w:highlight w:val="none"/>
        </w:rPr>
        <w:t>1、供应商需确保政府采购合同的收款银行与融资银行一致。</w:t>
      </w:r>
    </w:p>
    <w:p>
      <w:pPr>
        <w:spacing w:line="300" w:lineRule="auto"/>
        <w:ind w:firstLine="480" w:firstLineChars="200"/>
        <w:rPr>
          <w:color w:val="auto"/>
          <w:sz w:val="24"/>
          <w:szCs w:val="32"/>
          <w:highlight w:val="none"/>
        </w:rPr>
      </w:pPr>
      <w:r>
        <w:rPr>
          <w:color w:val="auto"/>
          <w:sz w:val="24"/>
          <w:szCs w:val="32"/>
          <w:highlight w:val="none"/>
        </w:rPr>
        <w:t>2、请各采购单位积极支持和配合政府采购信用融资工作，在合同备案环节仔细核对收款银行、账号信息等内容，一旦录入将无法修改。</w:t>
      </w:r>
    </w:p>
    <w:p>
      <w:pPr>
        <w:pStyle w:val="2"/>
        <w:ind w:firstLine="480"/>
        <w:rPr>
          <w:color w:val="auto"/>
          <w:sz w:val="24"/>
          <w:szCs w:val="32"/>
          <w:highlight w:val="none"/>
          <w:lang w:val="en-US"/>
        </w:rPr>
      </w:pPr>
      <w:r>
        <w:rPr>
          <w:color w:val="auto"/>
          <w:sz w:val="24"/>
          <w:szCs w:val="32"/>
          <w:highlight w:val="none"/>
          <w:lang w:val="en-US"/>
        </w:rPr>
        <w:t>3、技术服务热线：87210880；如有业务问题可与各合作银行联系。</w:t>
      </w:r>
    </w:p>
    <w:p>
      <w:pPr>
        <w:widowControl/>
        <w:jc w:val="left"/>
        <w:rPr>
          <w:rFonts w:ascii="宋体" w:hAnsi="宋体"/>
          <w:color w:val="auto"/>
          <w:sz w:val="24"/>
          <w:szCs w:val="32"/>
          <w:highlight w:val="none"/>
        </w:rPr>
      </w:pPr>
      <w:r>
        <w:rPr>
          <w:color w:val="auto"/>
          <w:sz w:val="24"/>
          <w:szCs w:val="32"/>
          <w:highlight w:val="none"/>
        </w:rPr>
        <w:br w:type="page"/>
      </w:r>
    </w:p>
    <w:p>
      <w:pPr>
        <w:pStyle w:val="2"/>
        <w:ind w:firstLine="420"/>
        <w:rPr>
          <w:color w:val="auto"/>
          <w:highlight w:val="none"/>
        </w:rPr>
      </w:pPr>
    </w:p>
    <w:p>
      <w:pPr>
        <w:pStyle w:val="2"/>
        <w:ind w:firstLine="0" w:firstLineChars="0"/>
        <w:rPr>
          <w:rFonts w:asciiTheme="minorEastAsia" w:hAnsiTheme="minorEastAsia" w:eastAsiaTheme="minorEastAsia"/>
          <w:b/>
          <w:color w:val="auto"/>
          <w:sz w:val="28"/>
          <w:szCs w:val="28"/>
          <w:highlight w:val="none"/>
        </w:rPr>
      </w:pPr>
      <w:r>
        <w:rPr>
          <w:rFonts w:cs="Arial" w:asciiTheme="minorEastAsia" w:hAnsiTheme="minorEastAsia" w:eastAsiaTheme="minorEastAsia"/>
          <w:b/>
          <w:color w:val="auto"/>
          <w:sz w:val="28"/>
          <w:szCs w:val="28"/>
          <w:highlight w:val="none"/>
        </w:rPr>
        <w:t>20</w:t>
      </w:r>
      <w:r>
        <w:rPr>
          <w:rFonts w:hint="eastAsia" w:cs="Arial" w:asciiTheme="minorEastAsia" w:hAnsiTheme="minorEastAsia" w:eastAsiaTheme="minorEastAsia"/>
          <w:b/>
          <w:color w:val="auto"/>
          <w:sz w:val="28"/>
          <w:szCs w:val="28"/>
          <w:highlight w:val="none"/>
        </w:rPr>
        <w:t>20</w:t>
      </w:r>
      <w:r>
        <w:rPr>
          <w:rFonts w:cs="Arial" w:asciiTheme="minorEastAsia" w:hAnsiTheme="minorEastAsia" w:eastAsiaTheme="minorEastAsia"/>
          <w:b/>
          <w:color w:val="auto"/>
          <w:sz w:val="28"/>
          <w:szCs w:val="28"/>
          <w:highlight w:val="none"/>
        </w:rPr>
        <w:t>年拱墅区“峰会”亮灯工程第</w:t>
      </w:r>
      <w:r>
        <w:rPr>
          <w:rFonts w:hint="eastAsia" w:cs="Arial" w:asciiTheme="minorEastAsia" w:hAnsiTheme="minorEastAsia" w:eastAsiaTheme="minorEastAsia"/>
          <w:b/>
          <w:color w:val="auto"/>
          <w:sz w:val="28"/>
          <w:szCs w:val="28"/>
          <w:highlight w:val="none"/>
        </w:rPr>
        <w:t>二</w:t>
      </w:r>
      <w:r>
        <w:rPr>
          <w:rFonts w:cs="Arial" w:asciiTheme="minorEastAsia" w:hAnsiTheme="minorEastAsia" w:eastAsiaTheme="minorEastAsia"/>
          <w:b/>
          <w:color w:val="auto"/>
          <w:sz w:val="28"/>
          <w:szCs w:val="28"/>
          <w:highlight w:val="none"/>
        </w:rPr>
        <w:t>次运行维护项目</w:t>
      </w:r>
      <w:r>
        <w:rPr>
          <w:rFonts w:hint="eastAsia" w:cs="Arial" w:asciiTheme="minorEastAsia" w:hAnsiTheme="minorEastAsia" w:eastAsiaTheme="minorEastAsia"/>
          <w:b/>
          <w:color w:val="auto"/>
          <w:sz w:val="28"/>
          <w:szCs w:val="28"/>
          <w:highlight w:val="none"/>
        </w:rPr>
        <w:t>（标段一）</w:t>
      </w:r>
      <w:r>
        <w:rPr>
          <w:rFonts w:hint="eastAsia" w:asciiTheme="minorEastAsia" w:hAnsiTheme="minorEastAsia" w:eastAsiaTheme="minorEastAsia"/>
          <w:b/>
          <w:color w:val="auto"/>
          <w:sz w:val="28"/>
          <w:szCs w:val="28"/>
          <w:highlight w:val="none"/>
        </w:rPr>
        <w:t>养护清单</w:t>
      </w:r>
    </w:p>
    <w:tbl>
      <w:tblPr>
        <w:tblStyle w:val="47"/>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1374"/>
        <w:gridCol w:w="2339"/>
        <w:gridCol w:w="799"/>
        <w:gridCol w:w="675"/>
        <w:gridCol w:w="1161"/>
        <w:gridCol w:w="85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38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名称</w:t>
            </w:r>
          </w:p>
        </w:tc>
        <w:tc>
          <w:tcPr>
            <w:tcW w:w="2353"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地址</w:t>
            </w:r>
          </w:p>
        </w:tc>
        <w:tc>
          <w:tcPr>
            <w:tcW w:w="80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性质</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幢数</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灯具类型</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数量</w:t>
            </w:r>
          </w:p>
          <w:p>
            <w:pPr>
              <w:jc w:val="center"/>
              <w:rPr>
                <w:rFonts w:ascii="宋体" w:hAnsi="宋体"/>
                <w:color w:val="auto"/>
                <w:szCs w:val="21"/>
                <w:highlight w:val="none"/>
              </w:rPr>
            </w:pPr>
            <w:r>
              <w:rPr>
                <w:rFonts w:hint="eastAsia" w:ascii="宋体" w:hAnsi="宋体"/>
                <w:color w:val="auto"/>
                <w:szCs w:val="21"/>
                <w:highlight w:val="none"/>
              </w:rPr>
              <w:t>（套）</w:t>
            </w:r>
          </w:p>
        </w:tc>
        <w:tc>
          <w:tcPr>
            <w:tcW w:w="98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38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大塘新村</w:t>
            </w:r>
          </w:p>
        </w:tc>
        <w:tc>
          <w:tcPr>
            <w:tcW w:w="2353"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湖墅南路与文晖路交叉口</w:t>
            </w:r>
          </w:p>
        </w:tc>
        <w:tc>
          <w:tcPr>
            <w:tcW w:w="80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729</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38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叶青苑</w:t>
            </w:r>
          </w:p>
        </w:tc>
        <w:tc>
          <w:tcPr>
            <w:tcW w:w="2353"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清河闸弄35号</w:t>
            </w:r>
          </w:p>
        </w:tc>
        <w:tc>
          <w:tcPr>
            <w:tcW w:w="802"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ascii="宋体" w:hAnsi="宋体"/>
                <w:color w:val="auto"/>
                <w:szCs w:val="21"/>
                <w:highlight w:val="none"/>
              </w:rPr>
              <w:t>4</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324</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锦绣新村</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湖墅南路290号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149</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德胜路359号</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湖墅南路与德胜路交叉口</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381"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仓基新村</w:t>
            </w:r>
          </w:p>
        </w:tc>
        <w:tc>
          <w:tcPr>
            <w:tcW w:w="2353"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湖墅南路460号</w:t>
            </w:r>
          </w:p>
        </w:tc>
        <w:tc>
          <w:tcPr>
            <w:tcW w:w="802"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1125"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1509</w:t>
            </w:r>
          </w:p>
        </w:tc>
        <w:tc>
          <w:tcPr>
            <w:tcW w:w="985" w:type="dxa"/>
            <w:shd w:val="clear" w:color="auto" w:fill="FFFFFF"/>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教师进修学院</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湖墅南路460号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111</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贾家弄新村</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杭州市拱墅区和睦路56号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326</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紫兰公寓</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湖墅北路58号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7329</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560</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大关公寓</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湖墅北路99号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43</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127</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武警公寓</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湖墅北路58号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198</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哑巴弄1号</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湖墅北路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明真宫</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和睦路224号大关路和小河路口</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42</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凯德龙湾</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小河路登云路交叉口</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7120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900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远大花园</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东粮泊巷1号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115</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15</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左家新村</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湖墅南路396号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800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6600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16</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昆仑公馆</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长板巷99号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732</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转角灯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24</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17</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市林业水利局</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德胜路353号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259</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72</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18</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清水公寓</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德胜西路德胜巷13号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992</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7431</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19</w:t>
            </w:r>
          </w:p>
        </w:tc>
        <w:tc>
          <w:tcPr>
            <w:tcW w:w="138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上岛公馆</w:t>
            </w:r>
          </w:p>
        </w:tc>
        <w:tc>
          <w:tcPr>
            <w:tcW w:w="2353"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中策职业学校东南角</w:t>
            </w:r>
          </w:p>
        </w:tc>
        <w:tc>
          <w:tcPr>
            <w:tcW w:w="802"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住宅</w:t>
            </w:r>
          </w:p>
        </w:tc>
        <w:tc>
          <w:tcPr>
            <w:tcW w:w="677"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337</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vAlign w:val="center"/>
          </w:tcPr>
          <w:p>
            <w:pPr>
              <w:jc w:val="center"/>
              <w:rPr>
                <w:rFonts w:ascii="宋体" w:hAnsi="宋体"/>
                <w:color w:val="auto"/>
                <w:szCs w:val="21"/>
                <w:highlight w:val="none"/>
              </w:rPr>
            </w:pPr>
          </w:p>
        </w:tc>
        <w:tc>
          <w:tcPr>
            <w:tcW w:w="1381" w:type="dxa"/>
            <w:vMerge w:val="continue"/>
            <w:vAlign w:val="center"/>
          </w:tcPr>
          <w:p>
            <w:pPr>
              <w:jc w:val="center"/>
              <w:rPr>
                <w:rFonts w:ascii="宋体" w:hAnsi="宋体"/>
                <w:color w:val="auto"/>
                <w:szCs w:val="21"/>
                <w:highlight w:val="none"/>
              </w:rPr>
            </w:pPr>
          </w:p>
        </w:tc>
        <w:tc>
          <w:tcPr>
            <w:tcW w:w="2353" w:type="dxa"/>
            <w:vMerge w:val="continue"/>
            <w:vAlign w:val="center"/>
          </w:tcPr>
          <w:p>
            <w:pPr>
              <w:jc w:val="center"/>
              <w:rPr>
                <w:rFonts w:ascii="宋体" w:hAnsi="宋体"/>
                <w:color w:val="auto"/>
                <w:szCs w:val="21"/>
                <w:highlight w:val="none"/>
              </w:rPr>
            </w:pPr>
          </w:p>
        </w:tc>
        <w:tc>
          <w:tcPr>
            <w:tcW w:w="802" w:type="dxa"/>
            <w:vMerge w:val="continue"/>
            <w:vAlign w:val="center"/>
          </w:tcPr>
          <w:p>
            <w:pPr>
              <w:jc w:val="center"/>
              <w:rPr>
                <w:rFonts w:ascii="宋体" w:hAnsi="宋体"/>
                <w:color w:val="auto"/>
                <w:szCs w:val="21"/>
                <w:highlight w:val="none"/>
              </w:rPr>
            </w:pPr>
          </w:p>
        </w:tc>
        <w:tc>
          <w:tcPr>
            <w:tcW w:w="677" w:type="dxa"/>
            <w:vMerge w:val="continue"/>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3680</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20</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红石中央</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潮王路225号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LED线形洗墙灯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687</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21</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杭办大厦</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霞湾巷65号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336</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9700</w:t>
            </w:r>
          </w:p>
        </w:tc>
        <w:tc>
          <w:tcPr>
            <w:tcW w:w="985"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Align w:val="center"/>
          </w:tcPr>
          <w:p>
            <w:pPr>
              <w:jc w:val="center"/>
              <w:rPr>
                <w:rFonts w:ascii="宋体" w:hAnsi="宋体"/>
                <w:color w:val="auto"/>
                <w:szCs w:val="21"/>
                <w:highlight w:val="none"/>
              </w:rPr>
            </w:pPr>
            <w:r>
              <w:rPr>
                <w:rFonts w:hint="eastAsia" w:ascii="宋体" w:hAnsi="宋体"/>
                <w:color w:val="auto"/>
                <w:szCs w:val="21"/>
                <w:highlight w:val="none"/>
              </w:rPr>
              <w:t>22</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杭办大厦2号楼</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霞湾巷65号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117</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23</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湖墅嘉园</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和睦路196-1号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779</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24</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景上公寓</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和睦路248号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435</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25</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远洋公馆</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大关路101号</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711</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26</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锦昌文华苑</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丽水路100号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753</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11130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27</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武林公寓1#</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170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28</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密渡桥路2号、8号</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125"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290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29</w:t>
            </w:r>
          </w:p>
          <w:p>
            <w:pPr>
              <w:jc w:val="center"/>
              <w:rPr>
                <w:rFonts w:ascii="宋体" w:hAnsi="宋体"/>
                <w:color w:val="auto"/>
                <w:szCs w:val="21"/>
                <w:highlight w:val="none"/>
              </w:rPr>
            </w:pP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香积寺路302号</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香积寺路</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77"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庭院灯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13</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壁灯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17</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轮廓灯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142</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57</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线条投光灯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投光灯A</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18</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地埋灯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泛光灯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32</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s="宋体"/>
                <w:color w:val="auto"/>
                <w:szCs w:val="21"/>
                <w:highlight w:val="none"/>
              </w:rPr>
            </w:pPr>
          </w:p>
        </w:tc>
        <w:tc>
          <w:tcPr>
            <w:tcW w:w="2353" w:type="dxa"/>
            <w:vMerge w:val="continue"/>
            <w:shd w:val="clear" w:color="auto" w:fill="auto"/>
            <w:vAlign w:val="center"/>
          </w:tcPr>
          <w:p>
            <w:pPr>
              <w:jc w:val="center"/>
              <w:rPr>
                <w:rFonts w:ascii="宋体" w:hAnsi="宋体" w:cs="宋体"/>
                <w:color w:val="auto"/>
                <w:szCs w:val="21"/>
                <w:highlight w:val="none"/>
              </w:rPr>
            </w:pPr>
          </w:p>
        </w:tc>
        <w:tc>
          <w:tcPr>
            <w:tcW w:w="802" w:type="dxa"/>
            <w:vMerge w:val="continue"/>
            <w:shd w:val="clear" w:color="auto" w:fill="auto"/>
            <w:vAlign w:val="center"/>
          </w:tcPr>
          <w:p>
            <w:pPr>
              <w:jc w:val="center"/>
              <w:rPr>
                <w:rFonts w:ascii="宋体" w:hAnsi="宋体" w:cs="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窄束投光灯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30</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纳德大酒店</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环城北路160号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经营</w:t>
            </w:r>
          </w:p>
        </w:tc>
        <w:tc>
          <w:tcPr>
            <w:tcW w:w="677"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15</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rPr>
                <w:rFonts w:ascii="宋体" w:hAnsi="宋体" w:cs="宋体"/>
                <w:color w:val="auto"/>
                <w:szCs w:val="21"/>
                <w:highlight w:val="none"/>
              </w:rPr>
            </w:pPr>
          </w:p>
        </w:tc>
        <w:tc>
          <w:tcPr>
            <w:tcW w:w="2353" w:type="dxa"/>
            <w:vMerge w:val="continue"/>
            <w:shd w:val="clear" w:color="auto" w:fill="auto"/>
            <w:vAlign w:val="center"/>
          </w:tcPr>
          <w:p>
            <w:pPr>
              <w:rPr>
                <w:rFonts w:ascii="宋体" w:hAnsi="宋体" w:cs="宋体"/>
                <w:color w:val="auto"/>
                <w:szCs w:val="21"/>
                <w:highlight w:val="none"/>
              </w:rPr>
            </w:pPr>
          </w:p>
        </w:tc>
        <w:tc>
          <w:tcPr>
            <w:tcW w:w="802" w:type="dxa"/>
            <w:vMerge w:val="continue"/>
            <w:shd w:val="clear" w:color="auto" w:fill="auto"/>
            <w:vAlign w:val="center"/>
          </w:tcPr>
          <w:p>
            <w:pPr>
              <w:rPr>
                <w:rFonts w:ascii="宋体" w:hAnsi="宋体" w:cs="宋体"/>
                <w:color w:val="auto"/>
                <w:szCs w:val="21"/>
                <w:highlight w:val="none"/>
              </w:rPr>
            </w:pPr>
          </w:p>
        </w:tc>
        <w:tc>
          <w:tcPr>
            <w:tcW w:w="677" w:type="dxa"/>
            <w:vMerge w:val="continue"/>
            <w:shd w:val="clear" w:color="auto" w:fill="auto"/>
            <w:vAlign w:val="center"/>
          </w:tcPr>
          <w:p>
            <w:pPr>
              <w:rPr>
                <w:rFonts w:ascii="宋体" w:hAnsi="宋体" w:cs="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窗台灯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171</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rPr>
                <w:rFonts w:ascii="宋体" w:hAnsi="宋体" w:cs="宋体"/>
                <w:color w:val="auto"/>
                <w:szCs w:val="21"/>
                <w:highlight w:val="none"/>
              </w:rPr>
            </w:pPr>
          </w:p>
        </w:tc>
        <w:tc>
          <w:tcPr>
            <w:tcW w:w="2353" w:type="dxa"/>
            <w:vMerge w:val="continue"/>
            <w:shd w:val="clear" w:color="auto" w:fill="auto"/>
            <w:vAlign w:val="center"/>
          </w:tcPr>
          <w:p>
            <w:pPr>
              <w:rPr>
                <w:rFonts w:ascii="宋体" w:hAnsi="宋体" w:cs="宋体"/>
                <w:color w:val="auto"/>
                <w:szCs w:val="21"/>
                <w:highlight w:val="none"/>
              </w:rPr>
            </w:pPr>
          </w:p>
        </w:tc>
        <w:tc>
          <w:tcPr>
            <w:tcW w:w="802" w:type="dxa"/>
            <w:vMerge w:val="continue"/>
            <w:shd w:val="clear" w:color="auto" w:fill="auto"/>
            <w:vAlign w:val="center"/>
          </w:tcPr>
          <w:p>
            <w:pPr>
              <w:rPr>
                <w:rFonts w:ascii="宋体" w:hAnsi="宋体" w:cs="宋体"/>
                <w:color w:val="auto"/>
                <w:szCs w:val="21"/>
                <w:highlight w:val="none"/>
              </w:rPr>
            </w:pPr>
          </w:p>
        </w:tc>
        <w:tc>
          <w:tcPr>
            <w:tcW w:w="677" w:type="dxa"/>
            <w:vMerge w:val="continue"/>
            <w:shd w:val="clear" w:color="auto" w:fill="auto"/>
            <w:vAlign w:val="center"/>
          </w:tcPr>
          <w:p>
            <w:pPr>
              <w:rPr>
                <w:rFonts w:ascii="宋体" w:hAnsi="宋体" w:cs="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97</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31</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华浙国税大楼</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环城北路142号</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办公</w:t>
            </w:r>
          </w:p>
        </w:tc>
        <w:tc>
          <w:tcPr>
            <w:tcW w:w="677"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4</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color w:val="auto"/>
                <w:szCs w:val="21"/>
                <w:highlight w:val="none"/>
              </w:rPr>
            </w:pPr>
          </w:p>
        </w:tc>
        <w:tc>
          <w:tcPr>
            <w:tcW w:w="2353" w:type="dxa"/>
            <w:vMerge w:val="continue"/>
            <w:shd w:val="clear" w:color="auto" w:fill="auto"/>
            <w:vAlign w:val="center"/>
          </w:tcPr>
          <w:p>
            <w:pPr>
              <w:jc w:val="center"/>
              <w:rPr>
                <w:color w:val="auto"/>
                <w:szCs w:val="21"/>
                <w:highlight w:val="none"/>
              </w:rPr>
            </w:pPr>
          </w:p>
        </w:tc>
        <w:tc>
          <w:tcPr>
            <w:tcW w:w="802" w:type="dxa"/>
            <w:vMerge w:val="continue"/>
            <w:shd w:val="clear" w:color="auto" w:fill="auto"/>
            <w:vAlign w:val="center"/>
          </w:tcPr>
          <w:p>
            <w:pPr>
              <w:jc w:val="center"/>
              <w:rPr>
                <w:color w:val="auto"/>
                <w:szCs w:val="21"/>
                <w:highlight w:val="none"/>
              </w:rPr>
            </w:pPr>
          </w:p>
        </w:tc>
        <w:tc>
          <w:tcPr>
            <w:tcW w:w="677" w:type="dxa"/>
            <w:vMerge w:val="continue"/>
            <w:shd w:val="clear" w:color="auto" w:fill="auto"/>
            <w:vAlign w:val="center"/>
          </w:tcPr>
          <w:p>
            <w:pPr>
              <w:jc w:val="center"/>
              <w:rPr>
                <w:color w:val="auto"/>
                <w:szCs w:val="21"/>
                <w:highlight w:val="none"/>
              </w:rPr>
            </w:pPr>
          </w:p>
        </w:tc>
        <w:tc>
          <w:tcPr>
            <w:tcW w:w="1125" w:type="dxa"/>
            <w:shd w:val="clear" w:color="auto" w:fill="auto"/>
            <w:vAlign w:val="center"/>
          </w:tcPr>
          <w:p>
            <w:pPr>
              <w:jc w:val="center"/>
              <w:rPr>
                <w:color w:val="auto"/>
                <w:szCs w:val="21"/>
                <w:highlight w:val="none"/>
              </w:rPr>
            </w:pPr>
          </w:p>
        </w:tc>
        <w:tc>
          <w:tcPr>
            <w:tcW w:w="850" w:type="dxa"/>
            <w:shd w:val="clear" w:color="auto" w:fill="auto"/>
            <w:vAlign w:val="center"/>
          </w:tcPr>
          <w:p>
            <w:pPr>
              <w:jc w:val="center"/>
              <w:rPr>
                <w:color w:val="auto"/>
                <w:szCs w:val="21"/>
                <w:highlight w:val="none"/>
              </w:rPr>
            </w:pP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rPr>
                <w:rFonts w:ascii="宋体" w:hAnsi="宋体" w:cs="宋体"/>
                <w:color w:val="auto"/>
                <w:szCs w:val="21"/>
                <w:highlight w:val="none"/>
              </w:rPr>
            </w:pPr>
          </w:p>
        </w:tc>
        <w:tc>
          <w:tcPr>
            <w:tcW w:w="2353" w:type="dxa"/>
            <w:vMerge w:val="continue"/>
            <w:shd w:val="clear" w:color="auto" w:fill="auto"/>
            <w:vAlign w:val="center"/>
          </w:tcPr>
          <w:p>
            <w:pPr>
              <w:rPr>
                <w:rFonts w:ascii="宋体" w:hAnsi="宋体" w:cs="宋体"/>
                <w:color w:val="auto"/>
                <w:szCs w:val="21"/>
                <w:highlight w:val="none"/>
              </w:rPr>
            </w:pPr>
          </w:p>
        </w:tc>
        <w:tc>
          <w:tcPr>
            <w:tcW w:w="802" w:type="dxa"/>
            <w:vMerge w:val="continue"/>
            <w:shd w:val="clear" w:color="auto" w:fill="auto"/>
            <w:vAlign w:val="center"/>
          </w:tcPr>
          <w:p>
            <w:pPr>
              <w:rPr>
                <w:rFonts w:ascii="宋体" w:hAnsi="宋体" w:cs="宋体"/>
                <w:color w:val="auto"/>
                <w:szCs w:val="21"/>
                <w:highlight w:val="none"/>
              </w:rPr>
            </w:pPr>
          </w:p>
        </w:tc>
        <w:tc>
          <w:tcPr>
            <w:tcW w:w="677" w:type="dxa"/>
            <w:vMerge w:val="continue"/>
            <w:shd w:val="clear" w:color="auto" w:fill="auto"/>
            <w:vAlign w:val="center"/>
          </w:tcPr>
          <w:p>
            <w:pPr>
              <w:rPr>
                <w:rFonts w:ascii="宋体" w:hAnsi="宋体" w:cs="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342</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32</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水晶城</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上塘路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经营</w:t>
            </w:r>
          </w:p>
        </w:tc>
        <w:tc>
          <w:tcPr>
            <w:tcW w:w="6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投光灯，洗墙灯，线条灯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217</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33</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华浙广场公园</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　</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77" w:type="dxa"/>
            <w:vMerge w:val="restart"/>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庭院灯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16</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照树灯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23</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地埋投光灯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草坪灯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21</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34</w:t>
            </w:r>
          </w:p>
        </w:tc>
        <w:tc>
          <w:tcPr>
            <w:tcW w:w="138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大关路</w:t>
            </w:r>
          </w:p>
        </w:tc>
        <w:tc>
          <w:tcPr>
            <w:tcW w:w="2353"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大关路沿线</w:t>
            </w:r>
          </w:p>
        </w:tc>
        <w:tc>
          <w:tcPr>
            <w:tcW w:w="802"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77" w:type="dxa"/>
            <w:vMerge w:val="restart"/>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ind w:firstLine="630" w:firstLineChars="300"/>
              <w:jc w:val="center"/>
              <w:rPr>
                <w:rFonts w:ascii="宋体" w:hAnsi="宋体" w:cs="宋体"/>
                <w:color w:val="auto"/>
                <w:szCs w:val="21"/>
                <w:highlight w:val="none"/>
              </w:rPr>
            </w:pPr>
            <w:r>
              <w:rPr>
                <w:rFonts w:hint="eastAsia" w:ascii="宋体" w:hAnsi="宋体"/>
                <w:color w:val="auto"/>
                <w:szCs w:val="21"/>
                <w:highlight w:val="none"/>
              </w:rPr>
              <w:t>LED洗墙灯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3565</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78</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转角灯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392</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草坪灯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18</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庭院灯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29</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vMerge w:val="continue"/>
            <w:shd w:val="clear" w:color="auto" w:fill="auto"/>
            <w:vAlign w:val="center"/>
          </w:tcPr>
          <w:p>
            <w:pPr>
              <w:jc w:val="center"/>
              <w:rPr>
                <w:rFonts w:ascii="宋体" w:hAnsi="宋体"/>
                <w:color w:val="auto"/>
                <w:szCs w:val="21"/>
                <w:highlight w:val="none"/>
              </w:rPr>
            </w:pPr>
          </w:p>
        </w:tc>
        <w:tc>
          <w:tcPr>
            <w:tcW w:w="1381" w:type="dxa"/>
            <w:vMerge w:val="continue"/>
            <w:shd w:val="clear" w:color="auto" w:fill="auto"/>
            <w:vAlign w:val="center"/>
          </w:tcPr>
          <w:p>
            <w:pPr>
              <w:jc w:val="center"/>
              <w:rPr>
                <w:rFonts w:ascii="宋体" w:hAnsi="宋体"/>
                <w:color w:val="auto"/>
                <w:szCs w:val="21"/>
                <w:highlight w:val="none"/>
              </w:rPr>
            </w:pPr>
          </w:p>
        </w:tc>
        <w:tc>
          <w:tcPr>
            <w:tcW w:w="2353" w:type="dxa"/>
            <w:vMerge w:val="continue"/>
            <w:shd w:val="clear" w:color="auto" w:fill="auto"/>
            <w:vAlign w:val="center"/>
          </w:tcPr>
          <w:p>
            <w:pPr>
              <w:jc w:val="center"/>
              <w:rPr>
                <w:rFonts w:ascii="宋体" w:hAnsi="宋体"/>
                <w:color w:val="auto"/>
                <w:szCs w:val="21"/>
                <w:highlight w:val="none"/>
              </w:rPr>
            </w:pPr>
          </w:p>
        </w:tc>
        <w:tc>
          <w:tcPr>
            <w:tcW w:w="802" w:type="dxa"/>
            <w:vMerge w:val="continue"/>
            <w:shd w:val="clear" w:color="auto" w:fill="auto"/>
            <w:vAlign w:val="center"/>
          </w:tcPr>
          <w:p>
            <w:pPr>
              <w:jc w:val="center"/>
              <w:rPr>
                <w:rFonts w:ascii="宋体" w:hAnsi="宋体"/>
                <w:color w:val="auto"/>
                <w:szCs w:val="21"/>
                <w:highlight w:val="none"/>
              </w:rPr>
            </w:pPr>
          </w:p>
        </w:tc>
        <w:tc>
          <w:tcPr>
            <w:tcW w:w="677" w:type="dxa"/>
            <w:vMerge w:val="continue"/>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插地射灯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24</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35</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密渡桥路公建</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密渡桥路</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77" w:type="dxa"/>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160</w:t>
            </w:r>
          </w:p>
        </w:tc>
        <w:tc>
          <w:tcPr>
            <w:tcW w:w="985"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36</w:t>
            </w:r>
          </w:p>
        </w:tc>
        <w:tc>
          <w:tcPr>
            <w:tcW w:w="138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运河沿线景观石</w:t>
            </w:r>
          </w:p>
        </w:tc>
        <w:tc>
          <w:tcPr>
            <w:tcW w:w="2353"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运河沿线　</w:t>
            </w:r>
          </w:p>
        </w:tc>
        <w:tc>
          <w:tcPr>
            <w:tcW w:w="802"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77" w:type="dxa"/>
            <w:shd w:val="clear" w:color="auto" w:fill="auto"/>
            <w:vAlign w:val="center"/>
          </w:tcPr>
          <w:p>
            <w:pPr>
              <w:jc w:val="center"/>
              <w:rPr>
                <w:rFonts w:ascii="宋体" w:hAnsi="宋体"/>
                <w:color w:val="auto"/>
                <w:szCs w:val="21"/>
                <w:highlight w:val="none"/>
              </w:rPr>
            </w:pPr>
          </w:p>
        </w:tc>
        <w:tc>
          <w:tcPr>
            <w:tcW w:w="1125"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30</w:t>
            </w:r>
          </w:p>
        </w:tc>
        <w:tc>
          <w:tcPr>
            <w:tcW w:w="985" w:type="dxa"/>
            <w:shd w:val="clear" w:color="auto" w:fill="auto"/>
            <w:vAlign w:val="center"/>
          </w:tcPr>
          <w:p>
            <w:pPr>
              <w:jc w:val="center"/>
              <w:rPr>
                <w:rFonts w:ascii="宋体" w:hAnsi="宋体"/>
                <w:color w:val="auto"/>
                <w:szCs w:val="21"/>
                <w:highlight w:val="none"/>
              </w:rPr>
            </w:pPr>
          </w:p>
        </w:tc>
      </w:tr>
    </w:tbl>
    <w:p>
      <w:pPr>
        <w:pStyle w:val="2"/>
        <w:ind w:firstLine="0" w:firstLineChars="0"/>
        <w:rPr>
          <w:rFonts w:cs="Arial" w:asciiTheme="minorEastAsia" w:hAnsiTheme="minorEastAsia" w:eastAsiaTheme="minorEastAsia"/>
          <w:b/>
          <w:color w:val="auto"/>
          <w:sz w:val="28"/>
          <w:szCs w:val="28"/>
          <w:highlight w:val="none"/>
        </w:rPr>
      </w:pPr>
    </w:p>
    <w:p>
      <w:pPr>
        <w:pStyle w:val="2"/>
        <w:ind w:firstLine="0" w:firstLineChars="0"/>
        <w:rPr>
          <w:rFonts w:cs="Arial" w:asciiTheme="minorEastAsia" w:hAnsiTheme="minorEastAsia" w:eastAsiaTheme="minorEastAsia"/>
          <w:b/>
          <w:color w:val="auto"/>
          <w:sz w:val="28"/>
          <w:szCs w:val="28"/>
          <w:highlight w:val="none"/>
        </w:rPr>
      </w:pPr>
      <w:r>
        <w:rPr>
          <w:rFonts w:cs="Arial" w:asciiTheme="minorEastAsia" w:hAnsiTheme="minorEastAsia" w:eastAsiaTheme="minorEastAsia"/>
          <w:b/>
          <w:color w:val="auto"/>
          <w:sz w:val="28"/>
          <w:szCs w:val="28"/>
          <w:highlight w:val="none"/>
        </w:rPr>
        <w:t>20</w:t>
      </w:r>
      <w:r>
        <w:rPr>
          <w:rFonts w:hint="eastAsia" w:cs="Arial" w:asciiTheme="minorEastAsia" w:hAnsiTheme="minorEastAsia" w:eastAsiaTheme="minorEastAsia"/>
          <w:b/>
          <w:color w:val="auto"/>
          <w:sz w:val="28"/>
          <w:szCs w:val="28"/>
          <w:highlight w:val="none"/>
        </w:rPr>
        <w:t>20</w:t>
      </w:r>
      <w:r>
        <w:rPr>
          <w:rFonts w:cs="Arial" w:asciiTheme="minorEastAsia" w:hAnsiTheme="minorEastAsia" w:eastAsiaTheme="minorEastAsia"/>
          <w:b/>
          <w:color w:val="auto"/>
          <w:sz w:val="28"/>
          <w:szCs w:val="28"/>
          <w:highlight w:val="none"/>
        </w:rPr>
        <w:t>年拱墅区“峰会”亮灯工程第</w:t>
      </w:r>
      <w:r>
        <w:rPr>
          <w:rFonts w:hint="eastAsia" w:cs="Arial" w:asciiTheme="minorEastAsia" w:hAnsiTheme="minorEastAsia" w:eastAsiaTheme="minorEastAsia"/>
          <w:b/>
          <w:color w:val="auto"/>
          <w:sz w:val="28"/>
          <w:szCs w:val="28"/>
          <w:highlight w:val="none"/>
        </w:rPr>
        <w:t>二</w:t>
      </w:r>
      <w:r>
        <w:rPr>
          <w:rFonts w:cs="Arial" w:asciiTheme="minorEastAsia" w:hAnsiTheme="minorEastAsia" w:eastAsiaTheme="minorEastAsia"/>
          <w:b/>
          <w:color w:val="auto"/>
          <w:sz w:val="28"/>
          <w:szCs w:val="28"/>
          <w:highlight w:val="none"/>
        </w:rPr>
        <w:t>次运行维护项目</w:t>
      </w:r>
      <w:r>
        <w:rPr>
          <w:rFonts w:hint="eastAsia" w:cs="Arial" w:asciiTheme="minorEastAsia" w:hAnsiTheme="minorEastAsia" w:eastAsiaTheme="minorEastAsia"/>
          <w:b/>
          <w:color w:val="auto"/>
          <w:sz w:val="28"/>
          <w:szCs w:val="28"/>
          <w:highlight w:val="none"/>
        </w:rPr>
        <w:t>（标段二）</w:t>
      </w:r>
      <w:r>
        <w:rPr>
          <w:rFonts w:hint="eastAsia" w:asciiTheme="minorEastAsia" w:hAnsiTheme="minorEastAsia" w:eastAsiaTheme="minorEastAsia"/>
          <w:b/>
          <w:color w:val="auto"/>
          <w:sz w:val="28"/>
          <w:szCs w:val="28"/>
          <w:highlight w:val="none"/>
        </w:rPr>
        <w:t>养护清单</w:t>
      </w:r>
    </w:p>
    <w:tbl>
      <w:tblPr>
        <w:tblStyle w:val="47"/>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821"/>
        <w:gridCol w:w="1577"/>
        <w:gridCol w:w="1026"/>
        <w:gridCol w:w="664"/>
        <w:gridCol w:w="1449"/>
        <w:gridCol w:w="850"/>
        <w:gridCol w:w="740"/>
        <w:gridCol w:w="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82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名称</w:t>
            </w:r>
          </w:p>
        </w:tc>
        <w:tc>
          <w:tcPr>
            <w:tcW w:w="1577"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地址</w:t>
            </w:r>
          </w:p>
        </w:tc>
        <w:tc>
          <w:tcPr>
            <w:tcW w:w="102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性质</w:t>
            </w:r>
          </w:p>
        </w:tc>
        <w:tc>
          <w:tcPr>
            <w:tcW w:w="664"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幢数</w:t>
            </w:r>
          </w:p>
        </w:tc>
        <w:tc>
          <w:tcPr>
            <w:tcW w:w="1449"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灯具类型</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数量</w:t>
            </w:r>
          </w:p>
          <w:p>
            <w:pPr>
              <w:jc w:val="center"/>
              <w:rPr>
                <w:rFonts w:ascii="宋体" w:hAnsi="宋体"/>
                <w:color w:val="auto"/>
                <w:szCs w:val="21"/>
                <w:highlight w:val="none"/>
              </w:rPr>
            </w:pPr>
            <w:r>
              <w:rPr>
                <w:rFonts w:hint="eastAsia" w:ascii="宋体" w:hAnsi="宋体"/>
                <w:color w:val="auto"/>
                <w:szCs w:val="21"/>
                <w:highlight w:val="none"/>
              </w:rPr>
              <w:t>（套）</w:t>
            </w:r>
          </w:p>
        </w:tc>
        <w:tc>
          <w:tcPr>
            <w:tcW w:w="858" w:type="dxa"/>
            <w:gridSpan w:val="2"/>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小计</w:t>
            </w:r>
          </w:p>
          <w:p>
            <w:pPr>
              <w:pStyle w:val="2"/>
              <w:ind w:firstLine="0" w:firstLineChars="0"/>
              <w:rPr>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源丽大厦</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丽水路276号</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30</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158</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南北西岸</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花园岗街与小河路交叉口</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点光源</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8420</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554</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82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市二医院</w:t>
            </w:r>
          </w:p>
        </w:tc>
        <w:tc>
          <w:tcPr>
            <w:tcW w:w="1577"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温州路126号</w:t>
            </w:r>
          </w:p>
        </w:tc>
        <w:tc>
          <w:tcPr>
            <w:tcW w:w="1026"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办公</w:t>
            </w:r>
          </w:p>
        </w:tc>
        <w:tc>
          <w:tcPr>
            <w:tcW w:w="664"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9"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140</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登云阁</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登云路428号</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4"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2</w:t>
            </w:r>
          </w:p>
        </w:tc>
        <w:tc>
          <w:tcPr>
            <w:tcW w:w="1449"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229</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rPr>
                <w:rFonts w:ascii="宋体" w:hAnsi="宋体" w:cs="宋体"/>
                <w:color w:val="auto"/>
                <w:szCs w:val="21"/>
                <w:highlight w:val="none"/>
              </w:rPr>
            </w:pPr>
          </w:p>
        </w:tc>
        <w:tc>
          <w:tcPr>
            <w:tcW w:w="1577" w:type="dxa"/>
            <w:vMerge w:val="continue"/>
            <w:shd w:val="clear" w:color="auto" w:fill="auto"/>
            <w:vAlign w:val="center"/>
          </w:tcPr>
          <w:p>
            <w:pPr>
              <w:rPr>
                <w:rFonts w:ascii="宋体" w:hAnsi="宋体" w:cs="宋体"/>
                <w:color w:val="auto"/>
                <w:szCs w:val="21"/>
                <w:highlight w:val="none"/>
              </w:rPr>
            </w:pPr>
          </w:p>
        </w:tc>
        <w:tc>
          <w:tcPr>
            <w:tcW w:w="1026" w:type="dxa"/>
            <w:vMerge w:val="continue"/>
            <w:shd w:val="clear" w:color="auto" w:fill="auto"/>
            <w:vAlign w:val="center"/>
          </w:tcPr>
          <w:p>
            <w:pPr>
              <w:rPr>
                <w:rFonts w:ascii="宋体" w:hAnsi="宋体" w:cs="宋体"/>
                <w:color w:val="auto"/>
                <w:szCs w:val="21"/>
                <w:highlight w:val="none"/>
              </w:rPr>
            </w:pPr>
          </w:p>
        </w:tc>
        <w:tc>
          <w:tcPr>
            <w:tcW w:w="664" w:type="dxa"/>
            <w:vMerge w:val="continue"/>
            <w:shd w:val="clear" w:color="auto" w:fill="auto"/>
            <w:vAlign w:val="center"/>
          </w:tcPr>
          <w:p>
            <w:pPr>
              <w:rPr>
                <w:rFonts w:ascii="宋体" w:hAnsi="宋体" w:cs="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34</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82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运河人家</w:t>
            </w:r>
          </w:p>
        </w:tc>
        <w:tc>
          <w:tcPr>
            <w:tcW w:w="1577"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杭印路与绍兴路交叉口</w:t>
            </w:r>
          </w:p>
        </w:tc>
        <w:tc>
          <w:tcPr>
            <w:tcW w:w="1026"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4"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3</w:t>
            </w:r>
          </w:p>
        </w:tc>
        <w:tc>
          <w:tcPr>
            <w:tcW w:w="1449"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　467</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82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北国之春</w:t>
            </w:r>
          </w:p>
        </w:tc>
        <w:tc>
          <w:tcPr>
            <w:tcW w:w="1577"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衢州街105号</w:t>
            </w:r>
          </w:p>
        </w:tc>
        <w:tc>
          <w:tcPr>
            <w:tcW w:w="1026"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4"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2</w:t>
            </w:r>
          </w:p>
        </w:tc>
        <w:tc>
          <w:tcPr>
            <w:tcW w:w="1449"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　348</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南北商务港</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温州路71号</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办公</w:t>
            </w:r>
          </w:p>
        </w:tc>
        <w:tc>
          <w:tcPr>
            <w:tcW w:w="664" w:type="dxa"/>
            <w:vMerge w:val="restart"/>
            <w:shd w:val="clear" w:color="auto" w:fill="auto"/>
            <w:vAlign w:val="center"/>
          </w:tcPr>
          <w:p>
            <w:pPr>
              <w:jc w:val="center"/>
              <w:rPr>
                <w:rFonts w:ascii="宋体" w:hAnsi="宋体" w:cs="宋体"/>
                <w:color w:val="auto"/>
                <w:szCs w:val="21"/>
                <w:highlight w:val="none"/>
              </w:rPr>
            </w:pPr>
            <w:r>
              <w:rPr>
                <w:rFonts w:hint="eastAsia"/>
                <w:color w:val="auto"/>
                <w:szCs w:val="21"/>
                <w:highlight w:val="none"/>
              </w:rPr>
              <w:t>1</w:t>
            </w:r>
          </w:p>
        </w:tc>
        <w:tc>
          <w:tcPr>
            <w:tcW w:w="1449"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　224</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rPr>
                <w:rFonts w:ascii="宋体" w:hAnsi="宋体" w:cs="宋体"/>
                <w:color w:val="auto"/>
                <w:szCs w:val="21"/>
                <w:highlight w:val="none"/>
              </w:rPr>
            </w:pPr>
          </w:p>
        </w:tc>
        <w:tc>
          <w:tcPr>
            <w:tcW w:w="1577" w:type="dxa"/>
            <w:vMerge w:val="continue"/>
            <w:shd w:val="clear" w:color="auto" w:fill="auto"/>
            <w:vAlign w:val="center"/>
          </w:tcPr>
          <w:p>
            <w:pPr>
              <w:rPr>
                <w:rFonts w:ascii="宋体" w:hAnsi="宋体" w:cs="宋体"/>
                <w:color w:val="auto"/>
                <w:szCs w:val="21"/>
                <w:highlight w:val="none"/>
              </w:rPr>
            </w:pPr>
          </w:p>
        </w:tc>
        <w:tc>
          <w:tcPr>
            <w:tcW w:w="1026" w:type="dxa"/>
            <w:vMerge w:val="continue"/>
            <w:shd w:val="clear" w:color="auto" w:fill="auto"/>
            <w:vAlign w:val="center"/>
          </w:tcPr>
          <w:p>
            <w:pPr>
              <w:rPr>
                <w:rFonts w:ascii="宋体" w:hAnsi="宋体" w:cs="宋体"/>
                <w:color w:val="auto"/>
                <w:szCs w:val="21"/>
                <w:highlight w:val="none"/>
              </w:rPr>
            </w:pPr>
          </w:p>
        </w:tc>
        <w:tc>
          <w:tcPr>
            <w:tcW w:w="664" w:type="dxa"/>
            <w:vMerge w:val="continue"/>
            <w:shd w:val="clear" w:color="auto" w:fill="auto"/>
            <w:vAlign w:val="center"/>
          </w:tcPr>
          <w:p>
            <w:pPr>
              <w:rPr>
                <w:rFonts w:ascii="宋体" w:hAnsi="宋体" w:cs="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　64</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82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定海西园</w:t>
            </w:r>
          </w:p>
        </w:tc>
        <w:tc>
          <w:tcPr>
            <w:tcW w:w="1577"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永庆路与丽水路交叉口</w:t>
            </w:r>
          </w:p>
        </w:tc>
        <w:tc>
          <w:tcPr>
            <w:tcW w:w="1026"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4"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6</w:t>
            </w:r>
          </w:p>
        </w:tc>
        <w:tc>
          <w:tcPr>
            <w:tcW w:w="1449"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976　</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821"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左岸花园</w:t>
            </w:r>
          </w:p>
        </w:tc>
        <w:tc>
          <w:tcPr>
            <w:tcW w:w="1577"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永庆路120号</w:t>
            </w:r>
          </w:p>
        </w:tc>
        <w:tc>
          <w:tcPr>
            <w:tcW w:w="1026"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住宅</w:t>
            </w:r>
          </w:p>
        </w:tc>
        <w:tc>
          <w:tcPr>
            <w:tcW w:w="664"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8</w:t>
            </w:r>
          </w:p>
        </w:tc>
        <w:tc>
          <w:tcPr>
            <w:tcW w:w="1449"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color w:val="auto"/>
                <w:szCs w:val="21"/>
                <w:highlight w:val="none"/>
              </w:rPr>
              <w:t>　586</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白马公寓</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密渡桥路1号</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708</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16</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转角灯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139</w:t>
            </w:r>
          </w:p>
        </w:tc>
        <w:tc>
          <w:tcPr>
            <w:tcW w:w="858" w:type="dxa"/>
            <w:gridSpan w:val="2"/>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凯德视界轩</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登云路99号</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208</w:t>
            </w:r>
          </w:p>
        </w:tc>
        <w:tc>
          <w:tcPr>
            <w:tcW w:w="858" w:type="dxa"/>
            <w:gridSpan w:val="2"/>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46</w:t>
            </w:r>
          </w:p>
        </w:tc>
        <w:tc>
          <w:tcPr>
            <w:tcW w:w="858" w:type="dxa"/>
            <w:gridSpan w:val="2"/>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嘉泰馨庭</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登云路291号</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662</w:t>
            </w:r>
          </w:p>
        </w:tc>
        <w:tc>
          <w:tcPr>
            <w:tcW w:w="858" w:type="dxa"/>
            <w:gridSpan w:val="2"/>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42</w:t>
            </w:r>
          </w:p>
        </w:tc>
        <w:tc>
          <w:tcPr>
            <w:tcW w:w="858" w:type="dxa"/>
            <w:gridSpan w:val="2"/>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1821"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上风阁</w:t>
            </w:r>
          </w:p>
        </w:tc>
        <w:tc>
          <w:tcPr>
            <w:tcW w:w="1577"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和盛街111号</w:t>
            </w:r>
          </w:p>
        </w:tc>
        <w:tc>
          <w:tcPr>
            <w:tcW w:w="1026" w:type="dxa"/>
            <w:shd w:val="clear" w:color="auto" w:fill="FFFFFF"/>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4"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9"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洗墙灯</w:t>
            </w:r>
          </w:p>
        </w:tc>
        <w:tc>
          <w:tcPr>
            <w:tcW w:w="850" w:type="dxa"/>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157</w:t>
            </w:r>
          </w:p>
        </w:tc>
        <w:tc>
          <w:tcPr>
            <w:tcW w:w="858" w:type="dxa"/>
            <w:gridSpan w:val="2"/>
            <w:shd w:val="clear" w:color="auto" w:fill="FFFFFF"/>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百瑞运河大饭店</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金华路58号</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经营</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立杆组合投光灯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37</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埋地灯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LED点光源</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24624</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15</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联合世纪新筑</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莫干山路与余杭塘河交叉口</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金卤灯光灯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119</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LED线条灯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1432</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16</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信义巷小区</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莫干山路与余杭塘路交叉口</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住宅</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54</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vAlign w:val="center"/>
          </w:tcPr>
          <w:p>
            <w:pPr>
              <w:jc w:val="center"/>
              <w:rPr>
                <w:rFonts w:ascii="宋体" w:hAnsi="宋体"/>
                <w:color w:val="auto"/>
                <w:szCs w:val="21"/>
                <w:highlight w:val="none"/>
              </w:rPr>
            </w:pPr>
          </w:p>
        </w:tc>
        <w:tc>
          <w:tcPr>
            <w:tcW w:w="1821" w:type="dxa"/>
            <w:vMerge w:val="continue"/>
            <w:vAlign w:val="center"/>
          </w:tcPr>
          <w:p>
            <w:pPr>
              <w:jc w:val="center"/>
              <w:rPr>
                <w:rFonts w:ascii="宋体" w:hAnsi="宋体"/>
                <w:color w:val="auto"/>
                <w:szCs w:val="21"/>
                <w:highlight w:val="none"/>
              </w:rPr>
            </w:pPr>
          </w:p>
        </w:tc>
        <w:tc>
          <w:tcPr>
            <w:tcW w:w="1577" w:type="dxa"/>
            <w:vMerge w:val="continue"/>
            <w:vAlign w:val="center"/>
          </w:tcPr>
          <w:p>
            <w:pPr>
              <w:jc w:val="center"/>
              <w:rPr>
                <w:rFonts w:ascii="宋体" w:hAnsi="宋体"/>
                <w:color w:val="auto"/>
                <w:szCs w:val="21"/>
                <w:highlight w:val="none"/>
              </w:rPr>
            </w:pPr>
          </w:p>
        </w:tc>
        <w:tc>
          <w:tcPr>
            <w:tcW w:w="1026" w:type="dxa"/>
            <w:vMerge w:val="continue"/>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金卤投光灯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30</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vAlign w:val="center"/>
          </w:tcPr>
          <w:p>
            <w:pPr>
              <w:jc w:val="center"/>
              <w:rPr>
                <w:rFonts w:ascii="宋体" w:hAnsi="宋体"/>
                <w:color w:val="auto"/>
                <w:szCs w:val="21"/>
                <w:highlight w:val="none"/>
              </w:rPr>
            </w:pPr>
          </w:p>
        </w:tc>
        <w:tc>
          <w:tcPr>
            <w:tcW w:w="1821" w:type="dxa"/>
            <w:vMerge w:val="continue"/>
            <w:vAlign w:val="center"/>
          </w:tcPr>
          <w:p>
            <w:pPr>
              <w:jc w:val="center"/>
              <w:rPr>
                <w:rFonts w:ascii="宋体" w:hAnsi="宋体"/>
                <w:color w:val="auto"/>
                <w:szCs w:val="21"/>
                <w:highlight w:val="none"/>
              </w:rPr>
            </w:pPr>
          </w:p>
        </w:tc>
        <w:tc>
          <w:tcPr>
            <w:tcW w:w="1577" w:type="dxa"/>
            <w:vMerge w:val="continue"/>
            <w:vAlign w:val="center"/>
          </w:tcPr>
          <w:p>
            <w:pPr>
              <w:jc w:val="center"/>
              <w:rPr>
                <w:rFonts w:ascii="宋体" w:hAnsi="宋体"/>
                <w:color w:val="auto"/>
                <w:szCs w:val="21"/>
                <w:highlight w:val="none"/>
              </w:rPr>
            </w:pPr>
          </w:p>
        </w:tc>
        <w:tc>
          <w:tcPr>
            <w:tcW w:w="1026" w:type="dxa"/>
            <w:vMerge w:val="continue"/>
            <w:vAlign w:val="center"/>
          </w:tcPr>
          <w:p>
            <w:pPr>
              <w:jc w:val="center"/>
              <w:rPr>
                <w:rFonts w:ascii="宋体" w:hAnsi="宋体"/>
                <w:color w:val="auto"/>
                <w:szCs w:val="21"/>
                <w:highlight w:val="none"/>
              </w:rPr>
            </w:pPr>
          </w:p>
        </w:tc>
        <w:tc>
          <w:tcPr>
            <w:tcW w:w="664" w:type="dxa"/>
            <w:vMerge w:val="continue"/>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LED洗墙灯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126</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17</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D32街区</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登云路及小河路交叉口</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经营</w:t>
            </w:r>
          </w:p>
        </w:tc>
        <w:tc>
          <w:tcPr>
            <w:tcW w:w="664"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LED线条灯（18W/米 蓝色）</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82</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vAlign w:val="center"/>
          </w:tcPr>
          <w:p>
            <w:pPr>
              <w:jc w:val="center"/>
              <w:rPr>
                <w:rFonts w:ascii="宋体" w:hAnsi="宋体"/>
                <w:color w:val="auto"/>
                <w:szCs w:val="21"/>
                <w:highlight w:val="none"/>
              </w:rPr>
            </w:pPr>
          </w:p>
        </w:tc>
        <w:tc>
          <w:tcPr>
            <w:tcW w:w="1821" w:type="dxa"/>
            <w:vMerge w:val="continue"/>
            <w:vAlign w:val="center"/>
          </w:tcPr>
          <w:p>
            <w:pPr>
              <w:jc w:val="center"/>
              <w:rPr>
                <w:rFonts w:ascii="宋体" w:hAnsi="宋体"/>
                <w:color w:val="auto"/>
                <w:szCs w:val="21"/>
                <w:highlight w:val="none"/>
              </w:rPr>
            </w:pPr>
          </w:p>
        </w:tc>
        <w:tc>
          <w:tcPr>
            <w:tcW w:w="1577" w:type="dxa"/>
            <w:vMerge w:val="continue"/>
            <w:vAlign w:val="center"/>
          </w:tcPr>
          <w:p>
            <w:pPr>
              <w:jc w:val="center"/>
              <w:rPr>
                <w:rFonts w:ascii="宋体" w:hAnsi="宋体"/>
                <w:color w:val="auto"/>
                <w:szCs w:val="21"/>
                <w:highlight w:val="none"/>
              </w:rPr>
            </w:pPr>
          </w:p>
        </w:tc>
        <w:tc>
          <w:tcPr>
            <w:tcW w:w="1026" w:type="dxa"/>
            <w:vMerge w:val="continue"/>
            <w:vAlign w:val="center"/>
          </w:tcPr>
          <w:p>
            <w:pPr>
              <w:jc w:val="center"/>
              <w:rPr>
                <w:rFonts w:ascii="宋体" w:hAnsi="宋体"/>
                <w:color w:val="auto"/>
                <w:szCs w:val="21"/>
                <w:highlight w:val="none"/>
              </w:rPr>
            </w:pPr>
          </w:p>
        </w:tc>
        <w:tc>
          <w:tcPr>
            <w:tcW w:w="664" w:type="dxa"/>
            <w:vMerge w:val="continue"/>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LED线条灯（12W/米 RGB）</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1197</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vAlign w:val="center"/>
          </w:tcPr>
          <w:p>
            <w:pPr>
              <w:jc w:val="center"/>
              <w:rPr>
                <w:rFonts w:ascii="宋体" w:hAnsi="宋体"/>
                <w:color w:val="auto"/>
                <w:szCs w:val="21"/>
                <w:highlight w:val="none"/>
              </w:rPr>
            </w:pPr>
          </w:p>
        </w:tc>
        <w:tc>
          <w:tcPr>
            <w:tcW w:w="1821" w:type="dxa"/>
            <w:vMerge w:val="continue"/>
            <w:vAlign w:val="center"/>
          </w:tcPr>
          <w:p>
            <w:pPr>
              <w:jc w:val="center"/>
              <w:rPr>
                <w:rFonts w:ascii="宋体" w:hAnsi="宋体"/>
                <w:color w:val="auto"/>
                <w:szCs w:val="21"/>
                <w:highlight w:val="none"/>
              </w:rPr>
            </w:pPr>
          </w:p>
        </w:tc>
        <w:tc>
          <w:tcPr>
            <w:tcW w:w="1577" w:type="dxa"/>
            <w:vMerge w:val="continue"/>
            <w:vAlign w:val="center"/>
          </w:tcPr>
          <w:p>
            <w:pPr>
              <w:jc w:val="center"/>
              <w:rPr>
                <w:rFonts w:ascii="宋体" w:hAnsi="宋体"/>
                <w:color w:val="auto"/>
                <w:szCs w:val="21"/>
                <w:highlight w:val="none"/>
              </w:rPr>
            </w:pPr>
          </w:p>
        </w:tc>
        <w:tc>
          <w:tcPr>
            <w:tcW w:w="1026" w:type="dxa"/>
            <w:vMerge w:val="continue"/>
            <w:vAlign w:val="center"/>
          </w:tcPr>
          <w:p>
            <w:pPr>
              <w:jc w:val="center"/>
              <w:rPr>
                <w:rFonts w:ascii="宋体" w:hAnsi="宋体"/>
                <w:color w:val="auto"/>
                <w:szCs w:val="21"/>
                <w:highlight w:val="none"/>
              </w:rPr>
            </w:pPr>
          </w:p>
        </w:tc>
        <w:tc>
          <w:tcPr>
            <w:tcW w:w="664" w:type="dxa"/>
            <w:vMerge w:val="continue"/>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LED线条灯（3W RGB）</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15</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vAlign w:val="center"/>
          </w:tcPr>
          <w:p>
            <w:pPr>
              <w:jc w:val="center"/>
              <w:rPr>
                <w:rFonts w:ascii="宋体" w:hAnsi="宋体"/>
                <w:color w:val="auto"/>
                <w:szCs w:val="21"/>
                <w:highlight w:val="none"/>
              </w:rPr>
            </w:pPr>
          </w:p>
        </w:tc>
        <w:tc>
          <w:tcPr>
            <w:tcW w:w="1821" w:type="dxa"/>
            <w:vMerge w:val="continue"/>
            <w:vAlign w:val="center"/>
          </w:tcPr>
          <w:p>
            <w:pPr>
              <w:jc w:val="center"/>
              <w:rPr>
                <w:rFonts w:ascii="宋体" w:hAnsi="宋体"/>
                <w:color w:val="auto"/>
                <w:szCs w:val="21"/>
                <w:highlight w:val="none"/>
              </w:rPr>
            </w:pPr>
          </w:p>
        </w:tc>
        <w:tc>
          <w:tcPr>
            <w:tcW w:w="1577" w:type="dxa"/>
            <w:vMerge w:val="continue"/>
            <w:vAlign w:val="center"/>
          </w:tcPr>
          <w:p>
            <w:pPr>
              <w:jc w:val="center"/>
              <w:rPr>
                <w:rFonts w:ascii="宋体" w:hAnsi="宋体"/>
                <w:color w:val="auto"/>
                <w:szCs w:val="21"/>
                <w:highlight w:val="none"/>
              </w:rPr>
            </w:pPr>
          </w:p>
        </w:tc>
        <w:tc>
          <w:tcPr>
            <w:tcW w:w="1026" w:type="dxa"/>
            <w:vMerge w:val="continue"/>
            <w:vAlign w:val="center"/>
          </w:tcPr>
          <w:p>
            <w:pPr>
              <w:jc w:val="center"/>
              <w:rPr>
                <w:rFonts w:ascii="宋体" w:hAnsi="宋体"/>
                <w:color w:val="auto"/>
                <w:szCs w:val="21"/>
                <w:highlight w:val="none"/>
              </w:rPr>
            </w:pPr>
          </w:p>
        </w:tc>
        <w:tc>
          <w:tcPr>
            <w:tcW w:w="664" w:type="dxa"/>
            <w:vMerge w:val="continue"/>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12W定制吸顶灯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18</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vAlign w:val="center"/>
          </w:tcPr>
          <w:p>
            <w:pPr>
              <w:jc w:val="center"/>
              <w:rPr>
                <w:rFonts w:ascii="宋体" w:hAnsi="宋体"/>
                <w:color w:val="auto"/>
                <w:szCs w:val="21"/>
                <w:highlight w:val="none"/>
              </w:rPr>
            </w:pPr>
          </w:p>
        </w:tc>
        <w:tc>
          <w:tcPr>
            <w:tcW w:w="1821" w:type="dxa"/>
            <w:vMerge w:val="continue"/>
            <w:vAlign w:val="center"/>
          </w:tcPr>
          <w:p>
            <w:pPr>
              <w:jc w:val="center"/>
              <w:rPr>
                <w:rFonts w:ascii="宋体" w:hAnsi="宋体"/>
                <w:color w:val="auto"/>
                <w:szCs w:val="21"/>
                <w:highlight w:val="none"/>
              </w:rPr>
            </w:pPr>
          </w:p>
        </w:tc>
        <w:tc>
          <w:tcPr>
            <w:tcW w:w="1577" w:type="dxa"/>
            <w:vMerge w:val="continue"/>
            <w:vAlign w:val="center"/>
          </w:tcPr>
          <w:p>
            <w:pPr>
              <w:jc w:val="center"/>
              <w:rPr>
                <w:rFonts w:ascii="宋体" w:hAnsi="宋体"/>
                <w:color w:val="auto"/>
                <w:szCs w:val="21"/>
                <w:highlight w:val="none"/>
              </w:rPr>
            </w:pPr>
          </w:p>
        </w:tc>
        <w:tc>
          <w:tcPr>
            <w:tcW w:w="1026" w:type="dxa"/>
            <w:vMerge w:val="continue"/>
            <w:vAlign w:val="center"/>
          </w:tcPr>
          <w:p>
            <w:pPr>
              <w:jc w:val="center"/>
              <w:rPr>
                <w:rFonts w:ascii="宋体" w:hAnsi="宋体"/>
                <w:color w:val="auto"/>
                <w:szCs w:val="21"/>
                <w:highlight w:val="none"/>
              </w:rPr>
            </w:pPr>
          </w:p>
        </w:tc>
        <w:tc>
          <w:tcPr>
            <w:tcW w:w="664" w:type="dxa"/>
            <w:vMerge w:val="continue"/>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3WLED射灯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181</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18</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金华路、运河广场</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金华路、运河广场</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RGB单色</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427</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金卤灯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304</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LED投光灯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268</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LED线条灯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319</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19</w:t>
            </w:r>
          </w:p>
        </w:tc>
        <w:tc>
          <w:tcPr>
            <w:tcW w:w="1821"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莫干山路</w:t>
            </w:r>
          </w:p>
        </w:tc>
        <w:tc>
          <w:tcPr>
            <w:tcW w:w="1577"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莫干山路沿线</w:t>
            </w:r>
          </w:p>
        </w:tc>
        <w:tc>
          <w:tcPr>
            <w:tcW w:w="1026" w:type="dxa"/>
            <w:vMerge w:val="restart"/>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LED绿化投光灯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1607</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LED绿化地埋灯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265</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LED绿化地埋灯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32</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地埋线条灯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75</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灯串</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1900</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球泡灯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小挂件</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161</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壁灯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射灯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87</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shd w:val="clear" w:color="auto" w:fill="auto"/>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投影灯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20</w:t>
            </w:r>
          </w:p>
        </w:tc>
        <w:tc>
          <w:tcPr>
            <w:tcW w:w="182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拱宸桥东商街区</w:t>
            </w:r>
          </w:p>
        </w:tc>
        <w:tc>
          <w:tcPr>
            <w:tcW w:w="1577"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拱宸桥东</w:t>
            </w:r>
          </w:p>
        </w:tc>
        <w:tc>
          <w:tcPr>
            <w:tcW w:w="1026"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LED景观灯</w:t>
            </w:r>
          </w:p>
        </w:tc>
        <w:tc>
          <w:tcPr>
            <w:tcW w:w="850"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1329</w:t>
            </w:r>
          </w:p>
        </w:tc>
        <w:tc>
          <w:tcPr>
            <w:tcW w:w="74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Align w:val="center"/>
          </w:tcPr>
          <w:p>
            <w:pPr>
              <w:jc w:val="center"/>
              <w:rPr>
                <w:rFonts w:ascii="宋体" w:hAnsi="宋体"/>
                <w:color w:val="auto"/>
                <w:szCs w:val="21"/>
                <w:highlight w:val="none"/>
              </w:rPr>
            </w:pPr>
            <w:r>
              <w:rPr>
                <w:rFonts w:hint="eastAsia" w:ascii="宋体" w:hAnsi="宋体"/>
                <w:color w:val="auto"/>
                <w:szCs w:val="21"/>
                <w:highlight w:val="none"/>
              </w:rPr>
              <w:t>21</w:t>
            </w:r>
          </w:p>
        </w:tc>
        <w:tc>
          <w:tcPr>
            <w:tcW w:w="1821"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游步道、绿地等暗区</w:t>
            </w:r>
          </w:p>
        </w:tc>
        <w:tc>
          <w:tcPr>
            <w:tcW w:w="1577"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　</w:t>
            </w:r>
          </w:p>
        </w:tc>
        <w:tc>
          <w:tcPr>
            <w:tcW w:w="1026" w:type="dxa"/>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公共区域</w:t>
            </w: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LED庭院灯、草坪灯</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1145</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22</w:t>
            </w:r>
          </w:p>
        </w:tc>
        <w:tc>
          <w:tcPr>
            <w:tcW w:w="1821"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塘河夜跑廊道</w:t>
            </w:r>
          </w:p>
        </w:tc>
        <w:tc>
          <w:tcPr>
            <w:tcW w:w="1577" w:type="dxa"/>
            <w:vMerge w:val="restart"/>
            <w:shd w:val="clear" w:color="auto" w:fill="auto"/>
            <w:vAlign w:val="center"/>
          </w:tcPr>
          <w:p>
            <w:pPr>
              <w:jc w:val="center"/>
              <w:rPr>
                <w:rFonts w:ascii="宋体" w:hAnsi="宋体"/>
                <w:color w:val="auto"/>
                <w:szCs w:val="21"/>
                <w:highlight w:val="none"/>
              </w:rPr>
            </w:pPr>
          </w:p>
        </w:tc>
        <w:tc>
          <w:tcPr>
            <w:tcW w:w="1026" w:type="dxa"/>
            <w:vMerge w:val="restar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公共区城</w:t>
            </w: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LED点光源(双透)</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5156</w:t>
            </w:r>
          </w:p>
        </w:tc>
        <w:tc>
          <w:tcPr>
            <w:tcW w:w="740" w:type="dxa"/>
            <w:shd w:val="clear" w:color="auto" w:fill="auto"/>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 w:type="dxa"/>
          <w:trHeight w:val="465" w:hRule="atLeast"/>
          <w:jc w:val="center"/>
        </w:trPr>
        <w:tc>
          <w:tcPr>
            <w:tcW w:w="846" w:type="dxa"/>
            <w:vMerge w:val="continue"/>
            <w:vAlign w:val="center"/>
          </w:tcPr>
          <w:p>
            <w:pPr>
              <w:jc w:val="center"/>
              <w:rPr>
                <w:rFonts w:ascii="宋体" w:hAnsi="宋体"/>
                <w:color w:val="auto"/>
                <w:szCs w:val="21"/>
                <w:highlight w:val="none"/>
              </w:rPr>
            </w:pPr>
          </w:p>
        </w:tc>
        <w:tc>
          <w:tcPr>
            <w:tcW w:w="1821" w:type="dxa"/>
            <w:vMerge w:val="continue"/>
            <w:shd w:val="clear" w:color="auto" w:fill="auto"/>
            <w:vAlign w:val="center"/>
          </w:tcPr>
          <w:p>
            <w:pPr>
              <w:jc w:val="center"/>
              <w:rPr>
                <w:rFonts w:ascii="宋体" w:hAnsi="宋体"/>
                <w:color w:val="auto"/>
                <w:szCs w:val="21"/>
                <w:highlight w:val="none"/>
              </w:rPr>
            </w:pPr>
          </w:p>
        </w:tc>
        <w:tc>
          <w:tcPr>
            <w:tcW w:w="1577" w:type="dxa"/>
            <w:vMerge w:val="continue"/>
            <w:shd w:val="clear" w:color="auto" w:fill="auto"/>
            <w:vAlign w:val="center"/>
          </w:tcPr>
          <w:p>
            <w:pPr>
              <w:jc w:val="center"/>
              <w:rPr>
                <w:rFonts w:ascii="宋体" w:hAnsi="宋体"/>
                <w:color w:val="auto"/>
                <w:szCs w:val="21"/>
                <w:highlight w:val="none"/>
              </w:rPr>
            </w:pPr>
          </w:p>
        </w:tc>
        <w:tc>
          <w:tcPr>
            <w:tcW w:w="1026" w:type="dxa"/>
            <w:vMerge w:val="continue"/>
            <w:shd w:val="clear" w:color="auto" w:fill="auto"/>
            <w:vAlign w:val="center"/>
          </w:tcPr>
          <w:p>
            <w:pPr>
              <w:jc w:val="center"/>
              <w:rPr>
                <w:rFonts w:ascii="宋体" w:hAnsi="宋体"/>
                <w:color w:val="auto"/>
                <w:szCs w:val="21"/>
                <w:highlight w:val="none"/>
              </w:rPr>
            </w:pPr>
          </w:p>
        </w:tc>
        <w:tc>
          <w:tcPr>
            <w:tcW w:w="664" w:type="dxa"/>
            <w:shd w:val="clear" w:color="auto" w:fill="auto"/>
            <w:vAlign w:val="center"/>
          </w:tcPr>
          <w:p>
            <w:pPr>
              <w:jc w:val="center"/>
              <w:rPr>
                <w:rFonts w:ascii="宋体" w:hAnsi="宋体"/>
                <w:color w:val="auto"/>
                <w:szCs w:val="21"/>
                <w:highlight w:val="none"/>
              </w:rPr>
            </w:pPr>
          </w:p>
        </w:tc>
        <w:tc>
          <w:tcPr>
            <w:tcW w:w="144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LED点光源(单透)</w:t>
            </w:r>
          </w:p>
        </w:tc>
        <w:tc>
          <w:tcPr>
            <w:tcW w:w="850"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390</w:t>
            </w:r>
          </w:p>
        </w:tc>
        <w:tc>
          <w:tcPr>
            <w:tcW w:w="740" w:type="dxa"/>
            <w:shd w:val="clear" w:color="auto" w:fill="auto"/>
            <w:vAlign w:val="center"/>
          </w:tcPr>
          <w:p>
            <w:pPr>
              <w:jc w:val="center"/>
              <w:rPr>
                <w:rFonts w:ascii="宋体" w:hAnsi="宋体" w:cs="宋体"/>
                <w:color w:val="auto"/>
                <w:szCs w:val="21"/>
                <w:highlight w:val="none"/>
              </w:rPr>
            </w:pPr>
          </w:p>
        </w:tc>
      </w:tr>
    </w:tbl>
    <w:p>
      <w:pPr>
        <w:pStyle w:val="2"/>
        <w:ind w:firstLine="0" w:firstLineChars="0"/>
        <w:rPr>
          <w:rFonts w:cs="Arial" w:asciiTheme="minorEastAsia" w:hAnsiTheme="minorEastAsia" w:eastAsiaTheme="minorEastAsia"/>
          <w:b/>
          <w:color w:val="auto"/>
          <w:sz w:val="28"/>
          <w:szCs w:val="28"/>
          <w:highlight w:val="none"/>
        </w:rPr>
      </w:pPr>
    </w:p>
    <w:sectPr>
      <w:headerReference r:id="rId3" w:type="default"/>
      <w:footerReference r:id="rId4" w:type="default"/>
      <w:footerReference r:id="rId5" w:type="even"/>
      <w:pgSz w:w="11906" w:h="16838"/>
      <w:pgMar w:top="1247" w:right="1247" w:bottom="1247" w:left="1474" w:header="851" w:footer="850"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MS UI Gothic">
    <w:panose1 w:val="020B0600070205080204"/>
    <w:charset w:val="80"/>
    <w:family w:val="swiss"/>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center"/>
    </w:pPr>
    <w:r>
      <w:rPr>
        <w:rFonts w:hint="eastAsia"/>
      </w:rPr>
      <w:t>第</w:t>
    </w:r>
    <w:r>
      <w:fldChar w:fldCharType="begin"/>
    </w:r>
    <w:r>
      <w:instrText xml:space="preserve"> PAGE   \* MERGEFORMAT </w:instrText>
    </w:r>
    <w:r>
      <w:fldChar w:fldCharType="separate"/>
    </w:r>
    <w:r>
      <w:t>57</w:t>
    </w:r>
    <w:r>
      <w:rPr>
        <w:lang w:val="zh-CN"/>
      </w:rP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51"/>
      </w:rPr>
    </w:pPr>
    <w:r>
      <w:fldChar w:fldCharType="begin"/>
    </w:r>
    <w:r>
      <w:rPr>
        <w:rStyle w:val="51"/>
      </w:rPr>
      <w:instrText xml:space="preserve">PAGE  </w:instrText>
    </w:r>
    <w: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4" w:space="1"/>
      </w:pBdr>
      <w:rPr>
        <w:rFonts w:ascii="宋体" w:hAnsi="宋体"/>
        <w:b w:val="0"/>
        <w:iCs/>
        <w:sz w:val="18"/>
        <w:szCs w:val="18"/>
      </w:rPr>
    </w:pPr>
    <w:r>
      <w:rPr>
        <w:rFonts w:hint="eastAsia" w:ascii="宋体" w:hAnsi="宋体"/>
        <w:b w:val="0"/>
        <w:iCs/>
        <w:sz w:val="18"/>
        <w:szCs w:val="18"/>
      </w:rPr>
      <w:t>2020年拱墅区“峰会”亮灯工程笫二次运行维护项目招标文件（</w:t>
    </w:r>
    <w:r>
      <w:rPr>
        <w:rFonts w:hint="eastAsia" w:ascii="宋体" w:hAnsi="宋体"/>
        <w:b w:val="0"/>
        <w:iCs/>
        <w:sz w:val="18"/>
        <w:szCs w:val="18"/>
        <w:lang w:val="en-US"/>
      </w:rPr>
      <w:t>公开招标</w:t>
    </w:r>
    <w:r>
      <w:rPr>
        <w:rFonts w:hint="eastAsia" w:ascii="宋体" w:hAnsi="宋体"/>
        <w:b w:val="0"/>
        <w:i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
    <w:nsid w:val="34D75E7E"/>
    <w:multiLevelType w:val="multilevel"/>
    <w:tmpl w:val="34D75E7E"/>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6B335080"/>
    <w:multiLevelType w:val="multilevel"/>
    <w:tmpl w:val="6B335080"/>
    <w:lvl w:ilvl="0" w:tentative="0">
      <w:start w:val="1"/>
      <w:numFmt w:val="decimal"/>
      <w:lvlText w:val="%1）"/>
      <w:lvlJc w:val="left"/>
      <w:pPr>
        <w:tabs>
          <w:tab w:val="left" w:pos="454"/>
        </w:tabs>
        <w:ind w:left="0" w:firstLine="454"/>
      </w:pPr>
      <w:rPr>
        <w:rFonts w:hint="default" w:ascii="Arial" w:hAnsi="Arial"/>
        <w:b w:val="0"/>
        <w:i w:val="0"/>
        <w:sz w:val="21"/>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6BF"/>
    <w:rsid w:val="00001ECC"/>
    <w:rsid w:val="00002224"/>
    <w:rsid w:val="00005907"/>
    <w:rsid w:val="00012973"/>
    <w:rsid w:val="000130CB"/>
    <w:rsid w:val="00024227"/>
    <w:rsid w:val="000275D7"/>
    <w:rsid w:val="000277DB"/>
    <w:rsid w:val="00027910"/>
    <w:rsid w:val="00030451"/>
    <w:rsid w:val="0003154F"/>
    <w:rsid w:val="000328EA"/>
    <w:rsid w:val="00037248"/>
    <w:rsid w:val="000400B8"/>
    <w:rsid w:val="00040F66"/>
    <w:rsid w:val="00043322"/>
    <w:rsid w:val="00044235"/>
    <w:rsid w:val="00046D53"/>
    <w:rsid w:val="000471A2"/>
    <w:rsid w:val="0005139D"/>
    <w:rsid w:val="000514F4"/>
    <w:rsid w:val="00056041"/>
    <w:rsid w:val="000561CB"/>
    <w:rsid w:val="00056734"/>
    <w:rsid w:val="000608C6"/>
    <w:rsid w:val="0006192E"/>
    <w:rsid w:val="00061C9E"/>
    <w:rsid w:val="000674D1"/>
    <w:rsid w:val="000742B1"/>
    <w:rsid w:val="000749BD"/>
    <w:rsid w:val="000812FA"/>
    <w:rsid w:val="0008437E"/>
    <w:rsid w:val="00092B45"/>
    <w:rsid w:val="000944A5"/>
    <w:rsid w:val="00095599"/>
    <w:rsid w:val="00095BE7"/>
    <w:rsid w:val="000A3272"/>
    <w:rsid w:val="000A4899"/>
    <w:rsid w:val="000A7C0B"/>
    <w:rsid w:val="000A7F4F"/>
    <w:rsid w:val="000B1EE8"/>
    <w:rsid w:val="000B338A"/>
    <w:rsid w:val="000C2E85"/>
    <w:rsid w:val="000C4025"/>
    <w:rsid w:val="000C6D47"/>
    <w:rsid w:val="000E0C4A"/>
    <w:rsid w:val="000E1328"/>
    <w:rsid w:val="000E2B96"/>
    <w:rsid w:val="000E6386"/>
    <w:rsid w:val="000E6C05"/>
    <w:rsid w:val="000F426B"/>
    <w:rsid w:val="000F6A51"/>
    <w:rsid w:val="001039B8"/>
    <w:rsid w:val="001040CE"/>
    <w:rsid w:val="001040FC"/>
    <w:rsid w:val="00107A41"/>
    <w:rsid w:val="00107A9C"/>
    <w:rsid w:val="00113159"/>
    <w:rsid w:val="00113CD0"/>
    <w:rsid w:val="001148B0"/>
    <w:rsid w:val="00116DED"/>
    <w:rsid w:val="001170C4"/>
    <w:rsid w:val="00125A17"/>
    <w:rsid w:val="00127BE4"/>
    <w:rsid w:val="00132505"/>
    <w:rsid w:val="00132FBB"/>
    <w:rsid w:val="00135A23"/>
    <w:rsid w:val="00137D54"/>
    <w:rsid w:val="001412A9"/>
    <w:rsid w:val="00144D4D"/>
    <w:rsid w:val="001455A9"/>
    <w:rsid w:val="00145D94"/>
    <w:rsid w:val="0014769F"/>
    <w:rsid w:val="001478A7"/>
    <w:rsid w:val="00151576"/>
    <w:rsid w:val="0015373A"/>
    <w:rsid w:val="00153AEC"/>
    <w:rsid w:val="001543E7"/>
    <w:rsid w:val="00154451"/>
    <w:rsid w:val="001649F7"/>
    <w:rsid w:val="0016570D"/>
    <w:rsid w:val="00165A41"/>
    <w:rsid w:val="001711DE"/>
    <w:rsid w:val="00171318"/>
    <w:rsid w:val="00172A27"/>
    <w:rsid w:val="001749C1"/>
    <w:rsid w:val="00177386"/>
    <w:rsid w:val="001813E5"/>
    <w:rsid w:val="001848A8"/>
    <w:rsid w:val="0018490B"/>
    <w:rsid w:val="00185D4D"/>
    <w:rsid w:val="00186865"/>
    <w:rsid w:val="00187848"/>
    <w:rsid w:val="00190F2A"/>
    <w:rsid w:val="00191F6C"/>
    <w:rsid w:val="001932B3"/>
    <w:rsid w:val="00193731"/>
    <w:rsid w:val="001A0A94"/>
    <w:rsid w:val="001A204B"/>
    <w:rsid w:val="001A32C2"/>
    <w:rsid w:val="001A34B8"/>
    <w:rsid w:val="001A712A"/>
    <w:rsid w:val="001B0032"/>
    <w:rsid w:val="001B1ACB"/>
    <w:rsid w:val="001B589D"/>
    <w:rsid w:val="001B7694"/>
    <w:rsid w:val="001C0E9B"/>
    <w:rsid w:val="001C30EB"/>
    <w:rsid w:val="001C3E72"/>
    <w:rsid w:val="001C4C67"/>
    <w:rsid w:val="001C5752"/>
    <w:rsid w:val="001C64AB"/>
    <w:rsid w:val="001C6705"/>
    <w:rsid w:val="001C6D0B"/>
    <w:rsid w:val="001D3AB6"/>
    <w:rsid w:val="001E19F7"/>
    <w:rsid w:val="001E3951"/>
    <w:rsid w:val="001E44B7"/>
    <w:rsid w:val="001E547B"/>
    <w:rsid w:val="001E6BF9"/>
    <w:rsid w:val="001E7493"/>
    <w:rsid w:val="001F5411"/>
    <w:rsid w:val="001F6C24"/>
    <w:rsid w:val="0020256A"/>
    <w:rsid w:val="00202DB0"/>
    <w:rsid w:val="00206B2C"/>
    <w:rsid w:val="00230865"/>
    <w:rsid w:val="00231C38"/>
    <w:rsid w:val="002337CA"/>
    <w:rsid w:val="00235D29"/>
    <w:rsid w:val="00245EAA"/>
    <w:rsid w:val="00252239"/>
    <w:rsid w:val="00252840"/>
    <w:rsid w:val="00253889"/>
    <w:rsid w:val="00253AAC"/>
    <w:rsid w:val="002568B3"/>
    <w:rsid w:val="00257989"/>
    <w:rsid w:val="00260F1E"/>
    <w:rsid w:val="00262BF3"/>
    <w:rsid w:val="0026309C"/>
    <w:rsid w:val="002635CE"/>
    <w:rsid w:val="00267CE9"/>
    <w:rsid w:val="00274BA2"/>
    <w:rsid w:val="002754A7"/>
    <w:rsid w:val="00276AA1"/>
    <w:rsid w:val="00276D43"/>
    <w:rsid w:val="00277847"/>
    <w:rsid w:val="0028143B"/>
    <w:rsid w:val="00281D9B"/>
    <w:rsid w:val="00291D87"/>
    <w:rsid w:val="00291F28"/>
    <w:rsid w:val="0029214C"/>
    <w:rsid w:val="00292545"/>
    <w:rsid w:val="00293A96"/>
    <w:rsid w:val="002953E5"/>
    <w:rsid w:val="0029619E"/>
    <w:rsid w:val="002979B4"/>
    <w:rsid w:val="002A0041"/>
    <w:rsid w:val="002A3CCB"/>
    <w:rsid w:val="002A7D6B"/>
    <w:rsid w:val="002B1880"/>
    <w:rsid w:val="002B39CF"/>
    <w:rsid w:val="002B75CA"/>
    <w:rsid w:val="002C1D57"/>
    <w:rsid w:val="002C2B8A"/>
    <w:rsid w:val="002C53EB"/>
    <w:rsid w:val="002D02A2"/>
    <w:rsid w:val="002D2047"/>
    <w:rsid w:val="002D273B"/>
    <w:rsid w:val="002D5B8D"/>
    <w:rsid w:val="002D5C7B"/>
    <w:rsid w:val="002E127F"/>
    <w:rsid w:val="002E1659"/>
    <w:rsid w:val="002E1E57"/>
    <w:rsid w:val="002E2C39"/>
    <w:rsid w:val="002E34C6"/>
    <w:rsid w:val="002E3A9D"/>
    <w:rsid w:val="002E4580"/>
    <w:rsid w:val="002E507B"/>
    <w:rsid w:val="002F16EF"/>
    <w:rsid w:val="002F618D"/>
    <w:rsid w:val="00304304"/>
    <w:rsid w:val="00304F32"/>
    <w:rsid w:val="00310127"/>
    <w:rsid w:val="0031175F"/>
    <w:rsid w:val="003155BE"/>
    <w:rsid w:val="00315927"/>
    <w:rsid w:val="00315EB1"/>
    <w:rsid w:val="00315FB7"/>
    <w:rsid w:val="00316A0C"/>
    <w:rsid w:val="003246DB"/>
    <w:rsid w:val="00330412"/>
    <w:rsid w:val="00331A1B"/>
    <w:rsid w:val="003326E0"/>
    <w:rsid w:val="003329D6"/>
    <w:rsid w:val="003364AB"/>
    <w:rsid w:val="0033697E"/>
    <w:rsid w:val="00337987"/>
    <w:rsid w:val="00340DF9"/>
    <w:rsid w:val="00341923"/>
    <w:rsid w:val="00343E1A"/>
    <w:rsid w:val="003450D2"/>
    <w:rsid w:val="003478B4"/>
    <w:rsid w:val="00347E36"/>
    <w:rsid w:val="00351A35"/>
    <w:rsid w:val="003601C7"/>
    <w:rsid w:val="00362770"/>
    <w:rsid w:val="00371FD4"/>
    <w:rsid w:val="00374227"/>
    <w:rsid w:val="003745B5"/>
    <w:rsid w:val="00380738"/>
    <w:rsid w:val="00382046"/>
    <w:rsid w:val="00382EF3"/>
    <w:rsid w:val="003833B8"/>
    <w:rsid w:val="003837C9"/>
    <w:rsid w:val="00391BB5"/>
    <w:rsid w:val="003968C4"/>
    <w:rsid w:val="003A1D97"/>
    <w:rsid w:val="003A4912"/>
    <w:rsid w:val="003A55F8"/>
    <w:rsid w:val="003A63F1"/>
    <w:rsid w:val="003A6EA7"/>
    <w:rsid w:val="003A7E40"/>
    <w:rsid w:val="003B2A35"/>
    <w:rsid w:val="003B3853"/>
    <w:rsid w:val="003B3B85"/>
    <w:rsid w:val="003B53A7"/>
    <w:rsid w:val="003C02CC"/>
    <w:rsid w:val="003C2EB1"/>
    <w:rsid w:val="003C52B2"/>
    <w:rsid w:val="003C6D68"/>
    <w:rsid w:val="003D0B29"/>
    <w:rsid w:val="003D3EB6"/>
    <w:rsid w:val="003D4FB4"/>
    <w:rsid w:val="003D687A"/>
    <w:rsid w:val="003E2930"/>
    <w:rsid w:val="003E2F8C"/>
    <w:rsid w:val="003E571E"/>
    <w:rsid w:val="003E6E76"/>
    <w:rsid w:val="003E7C05"/>
    <w:rsid w:val="003F2521"/>
    <w:rsid w:val="003F3C21"/>
    <w:rsid w:val="00400468"/>
    <w:rsid w:val="00406E93"/>
    <w:rsid w:val="00407163"/>
    <w:rsid w:val="00407A17"/>
    <w:rsid w:val="00410577"/>
    <w:rsid w:val="00411B0D"/>
    <w:rsid w:val="00413CEB"/>
    <w:rsid w:val="00414E0B"/>
    <w:rsid w:val="0041515C"/>
    <w:rsid w:val="00416288"/>
    <w:rsid w:val="00416589"/>
    <w:rsid w:val="00422D66"/>
    <w:rsid w:val="0042352E"/>
    <w:rsid w:val="00424DAC"/>
    <w:rsid w:val="004255F3"/>
    <w:rsid w:val="00427A94"/>
    <w:rsid w:val="00427AAB"/>
    <w:rsid w:val="00431927"/>
    <w:rsid w:val="0043274C"/>
    <w:rsid w:val="004355FC"/>
    <w:rsid w:val="0043592A"/>
    <w:rsid w:val="00436337"/>
    <w:rsid w:val="004377A1"/>
    <w:rsid w:val="0044026B"/>
    <w:rsid w:val="00442D40"/>
    <w:rsid w:val="00443735"/>
    <w:rsid w:val="004471FD"/>
    <w:rsid w:val="00450E54"/>
    <w:rsid w:val="00453966"/>
    <w:rsid w:val="00456942"/>
    <w:rsid w:val="00462D30"/>
    <w:rsid w:val="00465C44"/>
    <w:rsid w:val="00466FE5"/>
    <w:rsid w:val="004711E1"/>
    <w:rsid w:val="0047178F"/>
    <w:rsid w:val="004739C8"/>
    <w:rsid w:val="00473F89"/>
    <w:rsid w:val="00474EE8"/>
    <w:rsid w:val="004757E2"/>
    <w:rsid w:val="0047591A"/>
    <w:rsid w:val="0047767D"/>
    <w:rsid w:val="004804E3"/>
    <w:rsid w:val="00482D85"/>
    <w:rsid w:val="004877C1"/>
    <w:rsid w:val="004878DD"/>
    <w:rsid w:val="00492515"/>
    <w:rsid w:val="0049777B"/>
    <w:rsid w:val="004A037F"/>
    <w:rsid w:val="004A57BE"/>
    <w:rsid w:val="004A6B66"/>
    <w:rsid w:val="004A6F79"/>
    <w:rsid w:val="004B0968"/>
    <w:rsid w:val="004B2897"/>
    <w:rsid w:val="004B3EAB"/>
    <w:rsid w:val="004B7109"/>
    <w:rsid w:val="004C0EB2"/>
    <w:rsid w:val="004C4D4C"/>
    <w:rsid w:val="004C588F"/>
    <w:rsid w:val="004C63F9"/>
    <w:rsid w:val="004D0EEE"/>
    <w:rsid w:val="004D4830"/>
    <w:rsid w:val="004D6A45"/>
    <w:rsid w:val="004D6F5B"/>
    <w:rsid w:val="004E0224"/>
    <w:rsid w:val="004E1450"/>
    <w:rsid w:val="004E341B"/>
    <w:rsid w:val="004E6F07"/>
    <w:rsid w:val="004F47AC"/>
    <w:rsid w:val="004F4956"/>
    <w:rsid w:val="004F579B"/>
    <w:rsid w:val="004F60EE"/>
    <w:rsid w:val="004F6103"/>
    <w:rsid w:val="004F6B61"/>
    <w:rsid w:val="004F76C2"/>
    <w:rsid w:val="005013AB"/>
    <w:rsid w:val="00503582"/>
    <w:rsid w:val="00506243"/>
    <w:rsid w:val="00506608"/>
    <w:rsid w:val="00506EB6"/>
    <w:rsid w:val="00514BEE"/>
    <w:rsid w:val="00515035"/>
    <w:rsid w:val="00516590"/>
    <w:rsid w:val="00517284"/>
    <w:rsid w:val="00520E68"/>
    <w:rsid w:val="00521108"/>
    <w:rsid w:val="00523276"/>
    <w:rsid w:val="00524832"/>
    <w:rsid w:val="00526D9A"/>
    <w:rsid w:val="00526FB2"/>
    <w:rsid w:val="005272A1"/>
    <w:rsid w:val="00530394"/>
    <w:rsid w:val="0053267F"/>
    <w:rsid w:val="005336EF"/>
    <w:rsid w:val="00535482"/>
    <w:rsid w:val="0053601F"/>
    <w:rsid w:val="005404EF"/>
    <w:rsid w:val="00540957"/>
    <w:rsid w:val="00540D84"/>
    <w:rsid w:val="005438B2"/>
    <w:rsid w:val="005463E2"/>
    <w:rsid w:val="0055135C"/>
    <w:rsid w:val="00551598"/>
    <w:rsid w:val="00551E1B"/>
    <w:rsid w:val="0055584F"/>
    <w:rsid w:val="00556A1E"/>
    <w:rsid w:val="00560855"/>
    <w:rsid w:val="0056210A"/>
    <w:rsid w:val="005629CF"/>
    <w:rsid w:val="00563462"/>
    <w:rsid w:val="00564B59"/>
    <w:rsid w:val="00566818"/>
    <w:rsid w:val="00567134"/>
    <w:rsid w:val="0056753C"/>
    <w:rsid w:val="00567FC2"/>
    <w:rsid w:val="005720F0"/>
    <w:rsid w:val="00572740"/>
    <w:rsid w:val="0057459D"/>
    <w:rsid w:val="00574D4D"/>
    <w:rsid w:val="005764F8"/>
    <w:rsid w:val="00577F33"/>
    <w:rsid w:val="005821CD"/>
    <w:rsid w:val="00584BF1"/>
    <w:rsid w:val="00586729"/>
    <w:rsid w:val="00590ABA"/>
    <w:rsid w:val="00591168"/>
    <w:rsid w:val="0059140C"/>
    <w:rsid w:val="00594A18"/>
    <w:rsid w:val="00594C92"/>
    <w:rsid w:val="005975BF"/>
    <w:rsid w:val="005977CD"/>
    <w:rsid w:val="005A3334"/>
    <w:rsid w:val="005A5E25"/>
    <w:rsid w:val="005A7630"/>
    <w:rsid w:val="005C07DF"/>
    <w:rsid w:val="005C79ED"/>
    <w:rsid w:val="005D4D86"/>
    <w:rsid w:val="005D5519"/>
    <w:rsid w:val="005D5EB7"/>
    <w:rsid w:val="005D6A02"/>
    <w:rsid w:val="005D74B0"/>
    <w:rsid w:val="005D780B"/>
    <w:rsid w:val="005E1055"/>
    <w:rsid w:val="005E520F"/>
    <w:rsid w:val="005E55C3"/>
    <w:rsid w:val="005F0975"/>
    <w:rsid w:val="005F2B97"/>
    <w:rsid w:val="005F312D"/>
    <w:rsid w:val="005F3820"/>
    <w:rsid w:val="005F3A54"/>
    <w:rsid w:val="0060154D"/>
    <w:rsid w:val="00601A8D"/>
    <w:rsid w:val="00604518"/>
    <w:rsid w:val="006045E1"/>
    <w:rsid w:val="00606CCE"/>
    <w:rsid w:val="00607E33"/>
    <w:rsid w:val="00613710"/>
    <w:rsid w:val="00614810"/>
    <w:rsid w:val="00623B21"/>
    <w:rsid w:val="006240B5"/>
    <w:rsid w:val="006254D9"/>
    <w:rsid w:val="006276F0"/>
    <w:rsid w:val="006311D9"/>
    <w:rsid w:val="00631B72"/>
    <w:rsid w:val="006426B5"/>
    <w:rsid w:val="00642E1C"/>
    <w:rsid w:val="006468D4"/>
    <w:rsid w:val="00653ECF"/>
    <w:rsid w:val="00654F2E"/>
    <w:rsid w:val="00657312"/>
    <w:rsid w:val="00657F4E"/>
    <w:rsid w:val="0066159C"/>
    <w:rsid w:val="006619F3"/>
    <w:rsid w:val="00665763"/>
    <w:rsid w:val="00666ADE"/>
    <w:rsid w:val="00667C27"/>
    <w:rsid w:val="0067340D"/>
    <w:rsid w:val="00673936"/>
    <w:rsid w:val="00674603"/>
    <w:rsid w:val="0067524C"/>
    <w:rsid w:val="00677D28"/>
    <w:rsid w:val="00680977"/>
    <w:rsid w:val="00683D74"/>
    <w:rsid w:val="0068503D"/>
    <w:rsid w:val="006918F4"/>
    <w:rsid w:val="0069395F"/>
    <w:rsid w:val="00694043"/>
    <w:rsid w:val="00695BDC"/>
    <w:rsid w:val="00697CBD"/>
    <w:rsid w:val="006A1175"/>
    <w:rsid w:val="006A2059"/>
    <w:rsid w:val="006A3D73"/>
    <w:rsid w:val="006A6AA2"/>
    <w:rsid w:val="006A75FC"/>
    <w:rsid w:val="006B0B1D"/>
    <w:rsid w:val="006D3058"/>
    <w:rsid w:val="006D48FF"/>
    <w:rsid w:val="006D6E43"/>
    <w:rsid w:val="006D7AE1"/>
    <w:rsid w:val="006D7F7A"/>
    <w:rsid w:val="006E002B"/>
    <w:rsid w:val="006E33CD"/>
    <w:rsid w:val="006F1E85"/>
    <w:rsid w:val="006F5D5C"/>
    <w:rsid w:val="006F6788"/>
    <w:rsid w:val="006F68A4"/>
    <w:rsid w:val="00700B2E"/>
    <w:rsid w:val="00701D25"/>
    <w:rsid w:val="00702CBF"/>
    <w:rsid w:val="007030DA"/>
    <w:rsid w:val="007030F3"/>
    <w:rsid w:val="00704EBA"/>
    <w:rsid w:val="007108D8"/>
    <w:rsid w:val="00711610"/>
    <w:rsid w:val="0071320B"/>
    <w:rsid w:val="00713F81"/>
    <w:rsid w:val="00715739"/>
    <w:rsid w:val="007167F5"/>
    <w:rsid w:val="00717A2F"/>
    <w:rsid w:val="0072659F"/>
    <w:rsid w:val="007355CC"/>
    <w:rsid w:val="007374A6"/>
    <w:rsid w:val="00740CF6"/>
    <w:rsid w:val="00741116"/>
    <w:rsid w:val="00742375"/>
    <w:rsid w:val="00744D53"/>
    <w:rsid w:val="007501E0"/>
    <w:rsid w:val="007524D0"/>
    <w:rsid w:val="00752D56"/>
    <w:rsid w:val="00753A16"/>
    <w:rsid w:val="007637E5"/>
    <w:rsid w:val="0076660E"/>
    <w:rsid w:val="0076711D"/>
    <w:rsid w:val="00770913"/>
    <w:rsid w:val="0077262B"/>
    <w:rsid w:val="007734E9"/>
    <w:rsid w:val="00774BC7"/>
    <w:rsid w:val="00775E03"/>
    <w:rsid w:val="00777E96"/>
    <w:rsid w:val="007801F5"/>
    <w:rsid w:val="00780C10"/>
    <w:rsid w:val="00782E97"/>
    <w:rsid w:val="00782F25"/>
    <w:rsid w:val="00783B14"/>
    <w:rsid w:val="00784DF3"/>
    <w:rsid w:val="00785427"/>
    <w:rsid w:val="0079155D"/>
    <w:rsid w:val="00791FDD"/>
    <w:rsid w:val="00792C0A"/>
    <w:rsid w:val="007931F2"/>
    <w:rsid w:val="00793D7C"/>
    <w:rsid w:val="00794326"/>
    <w:rsid w:val="00794CE4"/>
    <w:rsid w:val="00795FBA"/>
    <w:rsid w:val="007A12D0"/>
    <w:rsid w:val="007A4683"/>
    <w:rsid w:val="007A6595"/>
    <w:rsid w:val="007A6ECA"/>
    <w:rsid w:val="007B00C3"/>
    <w:rsid w:val="007B1549"/>
    <w:rsid w:val="007B3983"/>
    <w:rsid w:val="007B50E7"/>
    <w:rsid w:val="007B5270"/>
    <w:rsid w:val="007B7631"/>
    <w:rsid w:val="007C1208"/>
    <w:rsid w:val="007C19FC"/>
    <w:rsid w:val="007C2855"/>
    <w:rsid w:val="007C33CB"/>
    <w:rsid w:val="007C3DF8"/>
    <w:rsid w:val="007C7899"/>
    <w:rsid w:val="007D018C"/>
    <w:rsid w:val="007D19B6"/>
    <w:rsid w:val="007D2479"/>
    <w:rsid w:val="007E15B8"/>
    <w:rsid w:val="007E19AC"/>
    <w:rsid w:val="007E2176"/>
    <w:rsid w:val="007E584D"/>
    <w:rsid w:val="007E6B28"/>
    <w:rsid w:val="007E79EC"/>
    <w:rsid w:val="007F157E"/>
    <w:rsid w:val="007F2F9E"/>
    <w:rsid w:val="007F30A3"/>
    <w:rsid w:val="007F3F53"/>
    <w:rsid w:val="007F5E92"/>
    <w:rsid w:val="007F63C9"/>
    <w:rsid w:val="007F68F7"/>
    <w:rsid w:val="00802F88"/>
    <w:rsid w:val="00804300"/>
    <w:rsid w:val="00805D71"/>
    <w:rsid w:val="00815D77"/>
    <w:rsid w:val="00816714"/>
    <w:rsid w:val="00817048"/>
    <w:rsid w:val="0081773D"/>
    <w:rsid w:val="00817D81"/>
    <w:rsid w:val="00823314"/>
    <w:rsid w:val="00823CD3"/>
    <w:rsid w:val="008241D5"/>
    <w:rsid w:val="0083004E"/>
    <w:rsid w:val="008313DE"/>
    <w:rsid w:val="00833A56"/>
    <w:rsid w:val="0083411C"/>
    <w:rsid w:val="00834142"/>
    <w:rsid w:val="008351DD"/>
    <w:rsid w:val="00835CDD"/>
    <w:rsid w:val="00835D57"/>
    <w:rsid w:val="008363CA"/>
    <w:rsid w:val="008407FA"/>
    <w:rsid w:val="00840C8A"/>
    <w:rsid w:val="00845CB8"/>
    <w:rsid w:val="00850255"/>
    <w:rsid w:val="008504AD"/>
    <w:rsid w:val="00850653"/>
    <w:rsid w:val="00856D44"/>
    <w:rsid w:val="008579EE"/>
    <w:rsid w:val="00860FF5"/>
    <w:rsid w:val="00862ADD"/>
    <w:rsid w:val="008656A9"/>
    <w:rsid w:val="008678E6"/>
    <w:rsid w:val="008721DD"/>
    <w:rsid w:val="008748DE"/>
    <w:rsid w:val="008751F5"/>
    <w:rsid w:val="00882143"/>
    <w:rsid w:val="008839EA"/>
    <w:rsid w:val="00885C34"/>
    <w:rsid w:val="0088638E"/>
    <w:rsid w:val="00887070"/>
    <w:rsid w:val="00892112"/>
    <w:rsid w:val="00893CD6"/>
    <w:rsid w:val="00893FB7"/>
    <w:rsid w:val="00895E71"/>
    <w:rsid w:val="00896195"/>
    <w:rsid w:val="0089784A"/>
    <w:rsid w:val="00897EC0"/>
    <w:rsid w:val="008A007B"/>
    <w:rsid w:val="008A23F3"/>
    <w:rsid w:val="008A661B"/>
    <w:rsid w:val="008A7657"/>
    <w:rsid w:val="008B01E5"/>
    <w:rsid w:val="008B2A8B"/>
    <w:rsid w:val="008B3330"/>
    <w:rsid w:val="008B3547"/>
    <w:rsid w:val="008B5B5D"/>
    <w:rsid w:val="008C42F5"/>
    <w:rsid w:val="008D164B"/>
    <w:rsid w:val="008D3907"/>
    <w:rsid w:val="008D64D6"/>
    <w:rsid w:val="008D7CB1"/>
    <w:rsid w:val="008E3A52"/>
    <w:rsid w:val="008E4EFE"/>
    <w:rsid w:val="008E76A4"/>
    <w:rsid w:val="008F08A6"/>
    <w:rsid w:val="008F1891"/>
    <w:rsid w:val="008F2310"/>
    <w:rsid w:val="008F44C8"/>
    <w:rsid w:val="008F4545"/>
    <w:rsid w:val="008F7B57"/>
    <w:rsid w:val="0090015D"/>
    <w:rsid w:val="00901CDA"/>
    <w:rsid w:val="0090321E"/>
    <w:rsid w:val="009038C0"/>
    <w:rsid w:val="00904246"/>
    <w:rsid w:val="0091079F"/>
    <w:rsid w:val="00913925"/>
    <w:rsid w:val="009222C8"/>
    <w:rsid w:val="00924CBF"/>
    <w:rsid w:val="00932825"/>
    <w:rsid w:val="00933F28"/>
    <w:rsid w:val="009341A2"/>
    <w:rsid w:val="00935017"/>
    <w:rsid w:val="009402C1"/>
    <w:rsid w:val="00940943"/>
    <w:rsid w:val="00943B2D"/>
    <w:rsid w:val="00943E1F"/>
    <w:rsid w:val="00945AE8"/>
    <w:rsid w:val="00947540"/>
    <w:rsid w:val="00951864"/>
    <w:rsid w:val="00952354"/>
    <w:rsid w:val="00953288"/>
    <w:rsid w:val="00956035"/>
    <w:rsid w:val="009578AB"/>
    <w:rsid w:val="00957D8A"/>
    <w:rsid w:val="00962057"/>
    <w:rsid w:val="0096284D"/>
    <w:rsid w:val="00966D9B"/>
    <w:rsid w:val="00970BA0"/>
    <w:rsid w:val="00971158"/>
    <w:rsid w:val="00974794"/>
    <w:rsid w:val="0097502A"/>
    <w:rsid w:val="00977BD3"/>
    <w:rsid w:val="00981406"/>
    <w:rsid w:val="00990F56"/>
    <w:rsid w:val="0099117A"/>
    <w:rsid w:val="009913AF"/>
    <w:rsid w:val="00991CFA"/>
    <w:rsid w:val="00992783"/>
    <w:rsid w:val="009935F0"/>
    <w:rsid w:val="00993DE8"/>
    <w:rsid w:val="009A2B94"/>
    <w:rsid w:val="009A501F"/>
    <w:rsid w:val="009A7100"/>
    <w:rsid w:val="009B0DAC"/>
    <w:rsid w:val="009B17AC"/>
    <w:rsid w:val="009B36DF"/>
    <w:rsid w:val="009B4FCB"/>
    <w:rsid w:val="009B5BE1"/>
    <w:rsid w:val="009B6D43"/>
    <w:rsid w:val="009B72B4"/>
    <w:rsid w:val="009C30E6"/>
    <w:rsid w:val="009C57FA"/>
    <w:rsid w:val="009C7BA0"/>
    <w:rsid w:val="009D2B92"/>
    <w:rsid w:val="009D5501"/>
    <w:rsid w:val="009D5789"/>
    <w:rsid w:val="009D6CC0"/>
    <w:rsid w:val="009E227D"/>
    <w:rsid w:val="009E38DB"/>
    <w:rsid w:val="009E41F1"/>
    <w:rsid w:val="009E6644"/>
    <w:rsid w:val="009F18A5"/>
    <w:rsid w:val="009F26AB"/>
    <w:rsid w:val="009F4155"/>
    <w:rsid w:val="009F4B4C"/>
    <w:rsid w:val="009F6FB5"/>
    <w:rsid w:val="00A07332"/>
    <w:rsid w:val="00A076D3"/>
    <w:rsid w:val="00A07D70"/>
    <w:rsid w:val="00A123D7"/>
    <w:rsid w:val="00A14048"/>
    <w:rsid w:val="00A15283"/>
    <w:rsid w:val="00A15B6E"/>
    <w:rsid w:val="00A16F50"/>
    <w:rsid w:val="00A20D4B"/>
    <w:rsid w:val="00A23040"/>
    <w:rsid w:val="00A2460F"/>
    <w:rsid w:val="00A26E90"/>
    <w:rsid w:val="00A30353"/>
    <w:rsid w:val="00A30545"/>
    <w:rsid w:val="00A3230E"/>
    <w:rsid w:val="00A33A47"/>
    <w:rsid w:val="00A364B9"/>
    <w:rsid w:val="00A419A0"/>
    <w:rsid w:val="00A428E2"/>
    <w:rsid w:val="00A4391C"/>
    <w:rsid w:val="00A44B0A"/>
    <w:rsid w:val="00A451F7"/>
    <w:rsid w:val="00A52720"/>
    <w:rsid w:val="00A54697"/>
    <w:rsid w:val="00A55D2F"/>
    <w:rsid w:val="00A56730"/>
    <w:rsid w:val="00A62D36"/>
    <w:rsid w:val="00A637BC"/>
    <w:rsid w:val="00A64553"/>
    <w:rsid w:val="00A64D87"/>
    <w:rsid w:val="00A65A11"/>
    <w:rsid w:val="00A66DA8"/>
    <w:rsid w:val="00A672DC"/>
    <w:rsid w:val="00A70099"/>
    <w:rsid w:val="00A742CE"/>
    <w:rsid w:val="00A743D0"/>
    <w:rsid w:val="00A807F2"/>
    <w:rsid w:val="00A859FD"/>
    <w:rsid w:val="00A85E3A"/>
    <w:rsid w:val="00A86002"/>
    <w:rsid w:val="00A87165"/>
    <w:rsid w:val="00A87A10"/>
    <w:rsid w:val="00A911CA"/>
    <w:rsid w:val="00A93EB5"/>
    <w:rsid w:val="00A94631"/>
    <w:rsid w:val="00A955C8"/>
    <w:rsid w:val="00AA2B87"/>
    <w:rsid w:val="00AA3504"/>
    <w:rsid w:val="00AA473C"/>
    <w:rsid w:val="00AA5382"/>
    <w:rsid w:val="00AA7877"/>
    <w:rsid w:val="00AB0193"/>
    <w:rsid w:val="00AB4225"/>
    <w:rsid w:val="00AB5D3E"/>
    <w:rsid w:val="00AC1506"/>
    <w:rsid w:val="00AC3373"/>
    <w:rsid w:val="00AC43E3"/>
    <w:rsid w:val="00AC4571"/>
    <w:rsid w:val="00AD031B"/>
    <w:rsid w:val="00AD2400"/>
    <w:rsid w:val="00AD4D68"/>
    <w:rsid w:val="00AE25E9"/>
    <w:rsid w:val="00AE2B31"/>
    <w:rsid w:val="00AE351E"/>
    <w:rsid w:val="00AE66C4"/>
    <w:rsid w:val="00AE7396"/>
    <w:rsid w:val="00AF0670"/>
    <w:rsid w:val="00AF6578"/>
    <w:rsid w:val="00B02BEB"/>
    <w:rsid w:val="00B04DCB"/>
    <w:rsid w:val="00B06DFC"/>
    <w:rsid w:val="00B1138E"/>
    <w:rsid w:val="00B123DA"/>
    <w:rsid w:val="00B13797"/>
    <w:rsid w:val="00B14EED"/>
    <w:rsid w:val="00B152DE"/>
    <w:rsid w:val="00B158B4"/>
    <w:rsid w:val="00B15BBA"/>
    <w:rsid w:val="00B161D1"/>
    <w:rsid w:val="00B1626B"/>
    <w:rsid w:val="00B177A2"/>
    <w:rsid w:val="00B2016D"/>
    <w:rsid w:val="00B203EC"/>
    <w:rsid w:val="00B21280"/>
    <w:rsid w:val="00B2183B"/>
    <w:rsid w:val="00B219EA"/>
    <w:rsid w:val="00B2309C"/>
    <w:rsid w:val="00B24066"/>
    <w:rsid w:val="00B241FC"/>
    <w:rsid w:val="00B24434"/>
    <w:rsid w:val="00B25ABE"/>
    <w:rsid w:val="00B313EE"/>
    <w:rsid w:val="00B420FE"/>
    <w:rsid w:val="00B4309C"/>
    <w:rsid w:val="00B43A26"/>
    <w:rsid w:val="00B44529"/>
    <w:rsid w:val="00B46281"/>
    <w:rsid w:val="00B5330C"/>
    <w:rsid w:val="00B54345"/>
    <w:rsid w:val="00B63626"/>
    <w:rsid w:val="00B65D46"/>
    <w:rsid w:val="00B676E6"/>
    <w:rsid w:val="00B67F1E"/>
    <w:rsid w:val="00B7084A"/>
    <w:rsid w:val="00B70C62"/>
    <w:rsid w:val="00B73663"/>
    <w:rsid w:val="00B74D57"/>
    <w:rsid w:val="00B75310"/>
    <w:rsid w:val="00B80F6C"/>
    <w:rsid w:val="00B815E9"/>
    <w:rsid w:val="00B82082"/>
    <w:rsid w:val="00B84A2C"/>
    <w:rsid w:val="00B853CF"/>
    <w:rsid w:val="00B859C7"/>
    <w:rsid w:val="00B8653C"/>
    <w:rsid w:val="00B872BE"/>
    <w:rsid w:val="00B91E61"/>
    <w:rsid w:val="00B9225C"/>
    <w:rsid w:val="00B930BA"/>
    <w:rsid w:val="00B93C1C"/>
    <w:rsid w:val="00B95CD2"/>
    <w:rsid w:val="00B96324"/>
    <w:rsid w:val="00BA1088"/>
    <w:rsid w:val="00BA1305"/>
    <w:rsid w:val="00BA4B1E"/>
    <w:rsid w:val="00BA593F"/>
    <w:rsid w:val="00BA6B5B"/>
    <w:rsid w:val="00BA6CA5"/>
    <w:rsid w:val="00BA7C75"/>
    <w:rsid w:val="00BB3468"/>
    <w:rsid w:val="00BB3819"/>
    <w:rsid w:val="00BB3E86"/>
    <w:rsid w:val="00BB6AB9"/>
    <w:rsid w:val="00BB7477"/>
    <w:rsid w:val="00BC0068"/>
    <w:rsid w:val="00BC492B"/>
    <w:rsid w:val="00BC754D"/>
    <w:rsid w:val="00BD0144"/>
    <w:rsid w:val="00BD1810"/>
    <w:rsid w:val="00BD3258"/>
    <w:rsid w:val="00BD371F"/>
    <w:rsid w:val="00BD46E5"/>
    <w:rsid w:val="00BD6960"/>
    <w:rsid w:val="00BD7B2D"/>
    <w:rsid w:val="00BE1996"/>
    <w:rsid w:val="00BE1E1A"/>
    <w:rsid w:val="00BE25B4"/>
    <w:rsid w:val="00BE380D"/>
    <w:rsid w:val="00BE50D3"/>
    <w:rsid w:val="00BF0208"/>
    <w:rsid w:val="00BF0E7B"/>
    <w:rsid w:val="00BF15C5"/>
    <w:rsid w:val="00BF1D47"/>
    <w:rsid w:val="00BF2644"/>
    <w:rsid w:val="00BF3247"/>
    <w:rsid w:val="00BF38C2"/>
    <w:rsid w:val="00BF4612"/>
    <w:rsid w:val="00BF68F9"/>
    <w:rsid w:val="00C0162D"/>
    <w:rsid w:val="00C05C83"/>
    <w:rsid w:val="00C07077"/>
    <w:rsid w:val="00C07416"/>
    <w:rsid w:val="00C11842"/>
    <w:rsid w:val="00C137F1"/>
    <w:rsid w:val="00C13E88"/>
    <w:rsid w:val="00C17D0E"/>
    <w:rsid w:val="00C207F1"/>
    <w:rsid w:val="00C24D21"/>
    <w:rsid w:val="00C24F95"/>
    <w:rsid w:val="00C2526F"/>
    <w:rsid w:val="00C279C2"/>
    <w:rsid w:val="00C301B9"/>
    <w:rsid w:val="00C34846"/>
    <w:rsid w:val="00C36E3F"/>
    <w:rsid w:val="00C40F64"/>
    <w:rsid w:val="00C42710"/>
    <w:rsid w:val="00C447E1"/>
    <w:rsid w:val="00C44D33"/>
    <w:rsid w:val="00C51D64"/>
    <w:rsid w:val="00C528A1"/>
    <w:rsid w:val="00C54F1A"/>
    <w:rsid w:val="00C60823"/>
    <w:rsid w:val="00C609FD"/>
    <w:rsid w:val="00C62488"/>
    <w:rsid w:val="00C63E21"/>
    <w:rsid w:val="00C64193"/>
    <w:rsid w:val="00C64BC4"/>
    <w:rsid w:val="00C65802"/>
    <w:rsid w:val="00C65851"/>
    <w:rsid w:val="00C67A93"/>
    <w:rsid w:val="00C708BA"/>
    <w:rsid w:val="00C746EE"/>
    <w:rsid w:val="00C74D0E"/>
    <w:rsid w:val="00C75EFB"/>
    <w:rsid w:val="00C763D8"/>
    <w:rsid w:val="00C77FDE"/>
    <w:rsid w:val="00C80CD5"/>
    <w:rsid w:val="00C86104"/>
    <w:rsid w:val="00C9559D"/>
    <w:rsid w:val="00C96B6A"/>
    <w:rsid w:val="00C96E2A"/>
    <w:rsid w:val="00C9767D"/>
    <w:rsid w:val="00CA0200"/>
    <w:rsid w:val="00CA05EF"/>
    <w:rsid w:val="00CA14A9"/>
    <w:rsid w:val="00CA573F"/>
    <w:rsid w:val="00CA57E8"/>
    <w:rsid w:val="00CA785E"/>
    <w:rsid w:val="00CB4346"/>
    <w:rsid w:val="00CB4713"/>
    <w:rsid w:val="00CB6695"/>
    <w:rsid w:val="00CB7847"/>
    <w:rsid w:val="00CC47FC"/>
    <w:rsid w:val="00CD05E3"/>
    <w:rsid w:val="00CD3431"/>
    <w:rsid w:val="00CD4A47"/>
    <w:rsid w:val="00CD4D7A"/>
    <w:rsid w:val="00CD50EB"/>
    <w:rsid w:val="00CE0DC5"/>
    <w:rsid w:val="00CF1CA7"/>
    <w:rsid w:val="00CF43F3"/>
    <w:rsid w:val="00CF6D36"/>
    <w:rsid w:val="00D014D7"/>
    <w:rsid w:val="00D016DF"/>
    <w:rsid w:val="00D02AE1"/>
    <w:rsid w:val="00D04AC4"/>
    <w:rsid w:val="00D053E9"/>
    <w:rsid w:val="00D06C74"/>
    <w:rsid w:val="00D07798"/>
    <w:rsid w:val="00D07C15"/>
    <w:rsid w:val="00D11A03"/>
    <w:rsid w:val="00D12575"/>
    <w:rsid w:val="00D13E9F"/>
    <w:rsid w:val="00D16705"/>
    <w:rsid w:val="00D16994"/>
    <w:rsid w:val="00D21740"/>
    <w:rsid w:val="00D2216D"/>
    <w:rsid w:val="00D237F2"/>
    <w:rsid w:val="00D2413C"/>
    <w:rsid w:val="00D312C0"/>
    <w:rsid w:val="00D3199E"/>
    <w:rsid w:val="00D3359D"/>
    <w:rsid w:val="00D34226"/>
    <w:rsid w:val="00D4719A"/>
    <w:rsid w:val="00D471F7"/>
    <w:rsid w:val="00D52461"/>
    <w:rsid w:val="00D54E83"/>
    <w:rsid w:val="00D61644"/>
    <w:rsid w:val="00D664B9"/>
    <w:rsid w:val="00D7575B"/>
    <w:rsid w:val="00D76207"/>
    <w:rsid w:val="00D766DF"/>
    <w:rsid w:val="00D76AC1"/>
    <w:rsid w:val="00D81744"/>
    <w:rsid w:val="00D835B6"/>
    <w:rsid w:val="00D8371F"/>
    <w:rsid w:val="00D837CB"/>
    <w:rsid w:val="00D856A8"/>
    <w:rsid w:val="00D87E81"/>
    <w:rsid w:val="00D90AF2"/>
    <w:rsid w:val="00D9211D"/>
    <w:rsid w:val="00D92640"/>
    <w:rsid w:val="00D92C53"/>
    <w:rsid w:val="00D9304E"/>
    <w:rsid w:val="00D9349D"/>
    <w:rsid w:val="00D93929"/>
    <w:rsid w:val="00D93B9F"/>
    <w:rsid w:val="00D965BD"/>
    <w:rsid w:val="00DA2265"/>
    <w:rsid w:val="00DA2743"/>
    <w:rsid w:val="00DA77DC"/>
    <w:rsid w:val="00DB01FD"/>
    <w:rsid w:val="00DB3A31"/>
    <w:rsid w:val="00DB5EB5"/>
    <w:rsid w:val="00DC09F6"/>
    <w:rsid w:val="00DC0AB9"/>
    <w:rsid w:val="00DC5666"/>
    <w:rsid w:val="00DC5DEC"/>
    <w:rsid w:val="00DD1462"/>
    <w:rsid w:val="00DD1617"/>
    <w:rsid w:val="00DD423F"/>
    <w:rsid w:val="00DE170B"/>
    <w:rsid w:val="00DE6B93"/>
    <w:rsid w:val="00DE6C08"/>
    <w:rsid w:val="00DE70DA"/>
    <w:rsid w:val="00DF56A8"/>
    <w:rsid w:val="00DF5B8E"/>
    <w:rsid w:val="00DF6A73"/>
    <w:rsid w:val="00DF6AB0"/>
    <w:rsid w:val="00DF7A23"/>
    <w:rsid w:val="00DF7D76"/>
    <w:rsid w:val="00E02760"/>
    <w:rsid w:val="00E0509E"/>
    <w:rsid w:val="00E05129"/>
    <w:rsid w:val="00E10B3A"/>
    <w:rsid w:val="00E10CE4"/>
    <w:rsid w:val="00E14C54"/>
    <w:rsid w:val="00E15085"/>
    <w:rsid w:val="00E16AEA"/>
    <w:rsid w:val="00E20AF7"/>
    <w:rsid w:val="00E23D68"/>
    <w:rsid w:val="00E26BF4"/>
    <w:rsid w:val="00E34060"/>
    <w:rsid w:val="00E34966"/>
    <w:rsid w:val="00E35C05"/>
    <w:rsid w:val="00E370B1"/>
    <w:rsid w:val="00E41EAD"/>
    <w:rsid w:val="00E43E42"/>
    <w:rsid w:val="00E45A7C"/>
    <w:rsid w:val="00E45D92"/>
    <w:rsid w:val="00E50599"/>
    <w:rsid w:val="00E512F0"/>
    <w:rsid w:val="00E5335F"/>
    <w:rsid w:val="00E57490"/>
    <w:rsid w:val="00E61B10"/>
    <w:rsid w:val="00E6463E"/>
    <w:rsid w:val="00E65AC6"/>
    <w:rsid w:val="00E72190"/>
    <w:rsid w:val="00E75A74"/>
    <w:rsid w:val="00E81DA0"/>
    <w:rsid w:val="00E8517C"/>
    <w:rsid w:val="00E85E8C"/>
    <w:rsid w:val="00E87A84"/>
    <w:rsid w:val="00E87D57"/>
    <w:rsid w:val="00E90C84"/>
    <w:rsid w:val="00EA1BF7"/>
    <w:rsid w:val="00EA20BA"/>
    <w:rsid w:val="00EA280D"/>
    <w:rsid w:val="00EA287C"/>
    <w:rsid w:val="00EA427D"/>
    <w:rsid w:val="00EA4489"/>
    <w:rsid w:val="00EA4798"/>
    <w:rsid w:val="00EA7F28"/>
    <w:rsid w:val="00EB2277"/>
    <w:rsid w:val="00EB2E13"/>
    <w:rsid w:val="00EB6E46"/>
    <w:rsid w:val="00EB6FD7"/>
    <w:rsid w:val="00EB7C90"/>
    <w:rsid w:val="00EB7DBF"/>
    <w:rsid w:val="00EC1FAB"/>
    <w:rsid w:val="00EC3317"/>
    <w:rsid w:val="00EC5370"/>
    <w:rsid w:val="00EC60AD"/>
    <w:rsid w:val="00ED5403"/>
    <w:rsid w:val="00ED6B79"/>
    <w:rsid w:val="00EE0B64"/>
    <w:rsid w:val="00EE11BC"/>
    <w:rsid w:val="00EE1D9D"/>
    <w:rsid w:val="00EE3D29"/>
    <w:rsid w:val="00EE5717"/>
    <w:rsid w:val="00EE5DAE"/>
    <w:rsid w:val="00EE6136"/>
    <w:rsid w:val="00EE7189"/>
    <w:rsid w:val="00EE7C04"/>
    <w:rsid w:val="00EF3563"/>
    <w:rsid w:val="00EF4ABF"/>
    <w:rsid w:val="00EF64A7"/>
    <w:rsid w:val="00F00E47"/>
    <w:rsid w:val="00F07830"/>
    <w:rsid w:val="00F10359"/>
    <w:rsid w:val="00F127BD"/>
    <w:rsid w:val="00F128AB"/>
    <w:rsid w:val="00F1461F"/>
    <w:rsid w:val="00F14E38"/>
    <w:rsid w:val="00F15F13"/>
    <w:rsid w:val="00F1785A"/>
    <w:rsid w:val="00F20A79"/>
    <w:rsid w:val="00F21D36"/>
    <w:rsid w:val="00F22C9A"/>
    <w:rsid w:val="00F24B4A"/>
    <w:rsid w:val="00F25125"/>
    <w:rsid w:val="00F34F1F"/>
    <w:rsid w:val="00F359C4"/>
    <w:rsid w:val="00F359DD"/>
    <w:rsid w:val="00F366D0"/>
    <w:rsid w:val="00F36C31"/>
    <w:rsid w:val="00F404E1"/>
    <w:rsid w:val="00F408D3"/>
    <w:rsid w:val="00F44B3C"/>
    <w:rsid w:val="00F47336"/>
    <w:rsid w:val="00F473DF"/>
    <w:rsid w:val="00F508B4"/>
    <w:rsid w:val="00F52D87"/>
    <w:rsid w:val="00F536DD"/>
    <w:rsid w:val="00F60128"/>
    <w:rsid w:val="00F61B93"/>
    <w:rsid w:val="00F6207D"/>
    <w:rsid w:val="00F673F5"/>
    <w:rsid w:val="00F7088C"/>
    <w:rsid w:val="00F72CFC"/>
    <w:rsid w:val="00F742BD"/>
    <w:rsid w:val="00F80538"/>
    <w:rsid w:val="00F8084A"/>
    <w:rsid w:val="00F83683"/>
    <w:rsid w:val="00F83EFE"/>
    <w:rsid w:val="00F84AFE"/>
    <w:rsid w:val="00F864F3"/>
    <w:rsid w:val="00F903EB"/>
    <w:rsid w:val="00F919C6"/>
    <w:rsid w:val="00F9219F"/>
    <w:rsid w:val="00F93E12"/>
    <w:rsid w:val="00F9412A"/>
    <w:rsid w:val="00FA3D0E"/>
    <w:rsid w:val="00FA4008"/>
    <w:rsid w:val="00FA4AB8"/>
    <w:rsid w:val="00FA714B"/>
    <w:rsid w:val="00FA7D3D"/>
    <w:rsid w:val="00FB0A63"/>
    <w:rsid w:val="00FB159E"/>
    <w:rsid w:val="00FB1BA2"/>
    <w:rsid w:val="00FB25F5"/>
    <w:rsid w:val="00FB284A"/>
    <w:rsid w:val="00FB4EE8"/>
    <w:rsid w:val="00FB6D4A"/>
    <w:rsid w:val="00FB75A9"/>
    <w:rsid w:val="00FC0045"/>
    <w:rsid w:val="00FC343C"/>
    <w:rsid w:val="00FC3840"/>
    <w:rsid w:val="00FC39F7"/>
    <w:rsid w:val="00FC46A2"/>
    <w:rsid w:val="00FC5EA6"/>
    <w:rsid w:val="00FC765B"/>
    <w:rsid w:val="00FD24F5"/>
    <w:rsid w:val="00FD3869"/>
    <w:rsid w:val="00FD6A6F"/>
    <w:rsid w:val="00FD7FC7"/>
    <w:rsid w:val="00FE2518"/>
    <w:rsid w:val="00FE2C23"/>
    <w:rsid w:val="00FE4BF5"/>
    <w:rsid w:val="00FF120A"/>
    <w:rsid w:val="00FF4E98"/>
    <w:rsid w:val="00FF5EFC"/>
    <w:rsid w:val="01276AEA"/>
    <w:rsid w:val="01335C81"/>
    <w:rsid w:val="01C22791"/>
    <w:rsid w:val="02972D7A"/>
    <w:rsid w:val="02C9742B"/>
    <w:rsid w:val="03062A92"/>
    <w:rsid w:val="03F832AC"/>
    <w:rsid w:val="03FC2290"/>
    <w:rsid w:val="043C53DA"/>
    <w:rsid w:val="05685253"/>
    <w:rsid w:val="06300170"/>
    <w:rsid w:val="0639322F"/>
    <w:rsid w:val="064E1166"/>
    <w:rsid w:val="06AF6F07"/>
    <w:rsid w:val="072077ED"/>
    <w:rsid w:val="07593450"/>
    <w:rsid w:val="07747AB2"/>
    <w:rsid w:val="07DC7176"/>
    <w:rsid w:val="09262E03"/>
    <w:rsid w:val="09536EBC"/>
    <w:rsid w:val="0957754B"/>
    <w:rsid w:val="0A41473E"/>
    <w:rsid w:val="0A614A16"/>
    <w:rsid w:val="0A65795E"/>
    <w:rsid w:val="0A9B6C9E"/>
    <w:rsid w:val="0A9D09AE"/>
    <w:rsid w:val="0B904F82"/>
    <w:rsid w:val="0BC03AE6"/>
    <w:rsid w:val="0C5F10D8"/>
    <w:rsid w:val="0D66256A"/>
    <w:rsid w:val="0DD0636F"/>
    <w:rsid w:val="0E3946FA"/>
    <w:rsid w:val="0E9101C0"/>
    <w:rsid w:val="0E91682D"/>
    <w:rsid w:val="0EE25F5B"/>
    <w:rsid w:val="0F234409"/>
    <w:rsid w:val="0F6B60B9"/>
    <w:rsid w:val="0FE904EB"/>
    <w:rsid w:val="10537FD8"/>
    <w:rsid w:val="105E01EE"/>
    <w:rsid w:val="106E4EE5"/>
    <w:rsid w:val="107951D5"/>
    <w:rsid w:val="10F433AC"/>
    <w:rsid w:val="11C45511"/>
    <w:rsid w:val="11FC32F5"/>
    <w:rsid w:val="12E43A81"/>
    <w:rsid w:val="132C1BB7"/>
    <w:rsid w:val="13435D63"/>
    <w:rsid w:val="135732D7"/>
    <w:rsid w:val="13B346D0"/>
    <w:rsid w:val="13C65147"/>
    <w:rsid w:val="141E1427"/>
    <w:rsid w:val="145B025E"/>
    <w:rsid w:val="15990148"/>
    <w:rsid w:val="16165BCA"/>
    <w:rsid w:val="161A45D0"/>
    <w:rsid w:val="170C007C"/>
    <w:rsid w:val="172D3E35"/>
    <w:rsid w:val="17DC1F96"/>
    <w:rsid w:val="184B2F92"/>
    <w:rsid w:val="186F0251"/>
    <w:rsid w:val="18DF3E5F"/>
    <w:rsid w:val="19861CCA"/>
    <w:rsid w:val="1A3C4BA7"/>
    <w:rsid w:val="1A607057"/>
    <w:rsid w:val="1AC603D6"/>
    <w:rsid w:val="1AEC6EBB"/>
    <w:rsid w:val="1C6E0CB4"/>
    <w:rsid w:val="1C80013C"/>
    <w:rsid w:val="1C9804C7"/>
    <w:rsid w:val="1CB67754"/>
    <w:rsid w:val="1D010536"/>
    <w:rsid w:val="1EEE4FC8"/>
    <w:rsid w:val="1F3358CF"/>
    <w:rsid w:val="1FA7103E"/>
    <w:rsid w:val="1FB735A7"/>
    <w:rsid w:val="204A15B0"/>
    <w:rsid w:val="2138364C"/>
    <w:rsid w:val="21491903"/>
    <w:rsid w:val="217F78A9"/>
    <w:rsid w:val="21B76AE0"/>
    <w:rsid w:val="21C004F0"/>
    <w:rsid w:val="21CF072A"/>
    <w:rsid w:val="21D2397A"/>
    <w:rsid w:val="222C0284"/>
    <w:rsid w:val="225A73CF"/>
    <w:rsid w:val="2344205F"/>
    <w:rsid w:val="23C5528B"/>
    <w:rsid w:val="241B0380"/>
    <w:rsid w:val="24492EF6"/>
    <w:rsid w:val="24DC4C4A"/>
    <w:rsid w:val="24E66EA1"/>
    <w:rsid w:val="250613CB"/>
    <w:rsid w:val="25C208AF"/>
    <w:rsid w:val="267F31B6"/>
    <w:rsid w:val="26854532"/>
    <w:rsid w:val="26D177FB"/>
    <w:rsid w:val="26F13311"/>
    <w:rsid w:val="28063666"/>
    <w:rsid w:val="289C0176"/>
    <w:rsid w:val="29A61708"/>
    <w:rsid w:val="29BA1836"/>
    <w:rsid w:val="2A6F35DF"/>
    <w:rsid w:val="2ACB3B45"/>
    <w:rsid w:val="2BAC0864"/>
    <w:rsid w:val="2C060A03"/>
    <w:rsid w:val="2C3B1D90"/>
    <w:rsid w:val="2C4325A6"/>
    <w:rsid w:val="2C735DF7"/>
    <w:rsid w:val="2CA27FE4"/>
    <w:rsid w:val="2D1B7041"/>
    <w:rsid w:val="2E4A5FD4"/>
    <w:rsid w:val="2FF355D3"/>
    <w:rsid w:val="30F60197"/>
    <w:rsid w:val="320B0789"/>
    <w:rsid w:val="33923493"/>
    <w:rsid w:val="33C21BCF"/>
    <w:rsid w:val="34083F6D"/>
    <w:rsid w:val="347C35A3"/>
    <w:rsid w:val="35EF4884"/>
    <w:rsid w:val="36C52865"/>
    <w:rsid w:val="37266088"/>
    <w:rsid w:val="37617167"/>
    <w:rsid w:val="37FA0203"/>
    <w:rsid w:val="38113BCA"/>
    <w:rsid w:val="3893297A"/>
    <w:rsid w:val="39086B4D"/>
    <w:rsid w:val="3BDB4002"/>
    <w:rsid w:val="3C114560"/>
    <w:rsid w:val="3D520F15"/>
    <w:rsid w:val="3DDB314A"/>
    <w:rsid w:val="3DFB0FE6"/>
    <w:rsid w:val="3E3E0274"/>
    <w:rsid w:val="3E4001B0"/>
    <w:rsid w:val="3E725C9B"/>
    <w:rsid w:val="3F4D7C80"/>
    <w:rsid w:val="40AD7563"/>
    <w:rsid w:val="41377E63"/>
    <w:rsid w:val="41C5159C"/>
    <w:rsid w:val="41D50910"/>
    <w:rsid w:val="431E1BAC"/>
    <w:rsid w:val="43C64C69"/>
    <w:rsid w:val="44443D40"/>
    <w:rsid w:val="44F45AEA"/>
    <w:rsid w:val="458617B3"/>
    <w:rsid w:val="45FD4563"/>
    <w:rsid w:val="464949DA"/>
    <w:rsid w:val="468F024E"/>
    <w:rsid w:val="46D8111A"/>
    <w:rsid w:val="46E165F5"/>
    <w:rsid w:val="4724546D"/>
    <w:rsid w:val="47297713"/>
    <w:rsid w:val="47491FEC"/>
    <w:rsid w:val="475046E8"/>
    <w:rsid w:val="47983B26"/>
    <w:rsid w:val="48624CD1"/>
    <w:rsid w:val="48743B13"/>
    <w:rsid w:val="49323680"/>
    <w:rsid w:val="49765A93"/>
    <w:rsid w:val="4A686A76"/>
    <w:rsid w:val="4A8E4470"/>
    <w:rsid w:val="4AEC7AA6"/>
    <w:rsid w:val="4B6A0AC7"/>
    <w:rsid w:val="4B9B7997"/>
    <w:rsid w:val="4B9E6CF7"/>
    <w:rsid w:val="4CC10381"/>
    <w:rsid w:val="4CD04273"/>
    <w:rsid w:val="4D266065"/>
    <w:rsid w:val="4D8C480A"/>
    <w:rsid w:val="4FB452DA"/>
    <w:rsid w:val="4FF54C94"/>
    <w:rsid w:val="5004577A"/>
    <w:rsid w:val="511A6D2E"/>
    <w:rsid w:val="52324B8F"/>
    <w:rsid w:val="531C7277"/>
    <w:rsid w:val="53451851"/>
    <w:rsid w:val="535A1B4B"/>
    <w:rsid w:val="53615531"/>
    <w:rsid w:val="53E14122"/>
    <w:rsid w:val="540873C0"/>
    <w:rsid w:val="541E2C3A"/>
    <w:rsid w:val="542759FB"/>
    <w:rsid w:val="546B7053"/>
    <w:rsid w:val="554B3F70"/>
    <w:rsid w:val="560E2A20"/>
    <w:rsid w:val="56260D65"/>
    <w:rsid w:val="56835C47"/>
    <w:rsid w:val="56C77DA4"/>
    <w:rsid w:val="57216773"/>
    <w:rsid w:val="581A04C2"/>
    <w:rsid w:val="591439A8"/>
    <w:rsid w:val="59C0604D"/>
    <w:rsid w:val="5B297B2A"/>
    <w:rsid w:val="5BA544A8"/>
    <w:rsid w:val="5CE37E74"/>
    <w:rsid w:val="5D0B63B0"/>
    <w:rsid w:val="5D131C8E"/>
    <w:rsid w:val="5E735300"/>
    <w:rsid w:val="5F596990"/>
    <w:rsid w:val="5FB81CC0"/>
    <w:rsid w:val="60681B2E"/>
    <w:rsid w:val="614800A8"/>
    <w:rsid w:val="61526439"/>
    <w:rsid w:val="615A0E66"/>
    <w:rsid w:val="615D6562"/>
    <w:rsid w:val="616E5D6A"/>
    <w:rsid w:val="61A916E1"/>
    <w:rsid w:val="61F55C43"/>
    <w:rsid w:val="62015856"/>
    <w:rsid w:val="623A5150"/>
    <w:rsid w:val="62C31B33"/>
    <w:rsid w:val="62D4155C"/>
    <w:rsid w:val="62E77FD3"/>
    <w:rsid w:val="64F96BE8"/>
    <w:rsid w:val="665B06EC"/>
    <w:rsid w:val="66AE6533"/>
    <w:rsid w:val="66B66640"/>
    <w:rsid w:val="673D21B4"/>
    <w:rsid w:val="67EB6DB1"/>
    <w:rsid w:val="68311DA3"/>
    <w:rsid w:val="68E55E5C"/>
    <w:rsid w:val="692E2A1B"/>
    <w:rsid w:val="69B40038"/>
    <w:rsid w:val="6A0B6345"/>
    <w:rsid w:val="6AC34C9D"/>
    <w:rsid w:val="6AF13082"/>
    <w:rsid w:val="6B130DBF"/>
    <w:rsid w:val="6BA01F21"/>
    <w:rsid w:val="6C03549C"/>
    <w:rsid w:val="6CC76ADE"/>
    <w:rsid w:val="6D00363E"/>
    <w:rsid w:val="6D88756A"/>
    <w:rsid w:val="6DF17DC2"/>
    <w:rsid w:val="6E2D3567"/>
    <w:rsid w:val="6E691012"/>
    <w:rsid w:val="6E8C6C5F"/>
    <w:rsid w:val="6EC801D0"/>
    <w:rsid w:val="6EE65167"/>
    <w:rsid w:val="6EFF37C3"/>
    <w:rsid w:val="6F336260"/>
    <w:rsid w:val="6F853E06"/>
    <w:rsid w:val="6FF72081"/>
    <w:rsid w:val="705F5A4F"/>
    <w:rsid w:val="706B4B9A"/>
    <w:rsid w:val="70A50B16"/>
    <w:rsid w:val="70E33530"/>
    <w:rsid w:val="70F8119D"/>
    <w:rsid w:val="70FF69C0"/>
    <w:rsid w:val="72365499"/>
    <w:rsid w:val="72EB6D92"/>
    <w:rsid w:val="72EC5D71"/>
    <w:rsid w:val="730A40B7"/>
    <w:rsid w:val="73D86015"/>
    <w:rsid w:val="743E2E6F"/>
    <w:rsid w:val="747045AD"/>
    <w:rsid w:val="755056F9"/>
    <w:rsid w:val="75B069D8"/>
    <w:rsid w:val="75F11B9B"/>
    <w:rsid w:val="766E1636"/>
    <w:rsid w:val="7843265A"/>
    <w:rsid w:val="787700F7"/>
    <w:rsid w:val="78C2422D"/>
    <w:rsid w:val="7973712A"/>
    <w:rsid w:val="7A034D87"/>
    <w:rsid w:val="7A8A63B4"/>
    <w:rsid w:val="7AB65962"/>
    <w:rsid w:val="7B1F3B63"/>
    <w:rsid w:val="7B761638"/>
    <w:rsid w:val="7C0D3DFA"/>
    <w:rsid w:val="7C2C7249"/>
    <w:rsid w:val="7C45411D"/>
    <w:rsid w:val="7E383703"/>
    <w:rsid w:val="7EC7407F"/>
    <w:rsid w:val="7F855C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keepLines/>
      <w:snapToGrid w:val="0"/>
      <w:spacing w:beforeLines="50" w:line="300" w:lineRule="auto"/>
      <w:jc w:val="center"/>
      <w:outlineLvl w:val="0"/>
    </w:pPr>
    <w:rPr>
      <w:b/>
      <w:bCs/>
      <w:kern w:val="44"/>
      <w:sz w:val="30"/>
      <w:szCs w:val="44"/>
    </w:rPr>
  </w:style>
  <w:style w:type="paragraph" w:styleId="4">
    <w:name w:val="heading 2"/>
    <w:basedOn w:val="1"/>
    <w:next w:val="1"/>
    <w:link w:val="59"/>
    <w:qFormat/>
    <w:uiPriority w:val="0"/>
    <w:pPr>
      <w:keepNext/>
      <w:keepLines/>
      <w:tabs>
        <w:tab w:val="left" w:pos="2985"/>
      </w:tabs>
      <w:adjustRightInd w:val="0"/>
      <w:snapToGrid w:val="0"/>
      <w:spacing w:beforeLines="50" w:line="300" w:lineRule="auto"/>
      <w:ind w:firstLine="200" w:firstLineChars="200"/>
      <w:outlineLvl w:val="1"/>
    </w:pPr>
    <w:rPr>
      <w:rFonts w:ascii="Arial" w:hAnsi="Arial"/>
      <w:b/>
      <w:bCs/>
      <w:szCs w:val="28"/>
      <w:lang w:val="zh-CN"/>
    </w:rPr>
  </w:style>
  <w:style w:type="paragraph" w:styleId="5">
    <w:name w:val="heading 3"/>
    <w:basedOn w:val="1"/>
    <w:next w:val="1"/>
    <w:qFormat/>
    <w:uiPriority w:val="0"/>
    <w:pPr>
      <w:keepNext/>
      <w:keepLines/>
      <w:tabs>
        <w:tab w:val="left" w:pos="720"/>
      </w:tabs>
      <w:adjustRightInd w:val="0"/>
      <w:spacing w:line="300" w:lineRule="auto"/>
      <w:ind w:firstLine="200" w:firstLineChars="200"/>
      <w:outlineLvl w:val="2"/>
    </w:pPr>
    <w:rPr>
      <w:rFonts w:ascii="Arial" w:hAnsi="Arial"/>
      <w:b/>
      <w:bCs/>
      <w:szCs w:val="32"/>
    </w:rPr>
  </w:style>
  <w:style w:type="paragraph" w:styleId="6">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0"/>
    <w:qFormat/>
    <w:uiPriority w:val="0"/>
    <w:pPr>
      <w:autoSpaceDE w:val="0"/>
      <w:autoSpaceDN w:val="0"/>
      <w:adjustRightInd w:val="0"/>
      <w:spacing w:line="300" w:lineRule="auto"/>
      <w:ind w:firstLine="422" w:firstLineChars="200"/>
    </w:pPr>
    <w:rPr>
      <w:rFonts w:ascii="宋体" w:hAnsi="宋体"/>
      <w:szCs w:val="21"/>
      <w:lang w:val="zh-CN"/>
    </w:rPr>
  </w:style>
  <w:style w:type="paragraph" w:styleId="12">
    <w:name w:val="List 3"/>
    <w:basedOn w:val="1"/>
    <w:qFormat/>
    <w:uiPriority w:val="0"/>
    <w:pPr>
      <w:ind w:left="100" w:leftChars="400" w:hanging="200" w:hangingChars="200"/>
    </w:pPr>
    <w:rPr>
      <w:szCs w:val="20"/>
    </w:rPr>
  </w:style>
  <w:style w:type="paragraph" w:styleId="13">
    <w:name w:val="toc 7"/>
    <w:basedOn w:val="1"/>
    <w:next w:val="1"/>
    <w:qFormat/>
    <w:uiPriority w:val="0"/>
    <w:pPr>
      <w:ind w:left="1260"/>
      <w:jc w:val="left"/>
    </w:pPr>
    <w:rPr>
      <w:sz w:val="18"/>
      <w:szCs w:val="18"/>
    </w:rPr>
  </w:style>
  <w:style w:type="paragraph" w:styleId="14">
    <w:name w:val="Normal Indent"/>
    <w:basedOn w:val="1"/>
    <w:next w:val="1"/>
    <w:link w:val="68"/>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5">
    <w:name w:val="Document Map"/>
    <w:basedOn w:val="1"/>
    <w:qFormat/>
    <w:uiPriority w:val="0"/>
    <w:pPr>
      <w:shd w:val="clear" w:color="auto" w:fill="000080"/>
    </w:pPr>
  </w:style>
  <w:style w:type="paragraph" w:styleId="16">
    <w:name w:val="toa heading"/>
    <w:basedOn w:val="1"/>
    <w:next w:val="1"/>
    <w:unhideWhenUsed/>
    <w:qFormat/>
    <w:uiPriority w:val="99"/>
    <w:pPr>
      <w:spacing w:before="120"/>
    </w:pPr>
    <w:rPr>
      <w:rFonts w:ascii="Arial" w:hAnsi="Arial"/>
      <w:sz w:val="24"/>
    </w:rPr>
  </w:style>
  <w:style w:type="paragraph" w:styleId="17">
    <w:name w:val="annotation text"/>
    <w:basedOn w:val="1"/>
    <w:link w:val="93"/>
    <w:unhideWhenUsed/>
    <w:qFormat/>
    <w:uiPriority w:val="0"/>
    <w:pPr>
      <w:jc w:val="left"/>
    </w:pPr>
  </w:style>
  <w:style w:type="paragraph" w:styleId="18">
    <w:name w:val="Body Text 3"/>
    <w:basedOn w:val="1"/>
    <w:qFormat/>
    <w:uiPriority w:val="0"/>
    <w:pPr>
      <w:jc w:val="center"/>
    </w:pPr>
    <w:rPr>
      <w:szCs w:val="20"/>
    </w:rPr>
  </w:style>
  <w:style w:type="paragraph" w:styleId="19">
    <w:name w:val="Body Text Indent"/>
    <w:basedOn w:val="1"/>
    <w:qFormat/>
    <w:uiPriority w:val="0"/>
    <w:pPr>
      <w:snapToGrid w:val="0"/>
      <w:spacing w:line="300" w:lineRule="auto"/>
      <w:ind w:firstLine="480" w:firstLineChars="200"/>
    </w:pPr>
    <w:rPr>
      <w:rFonts w:ascii="宋体" w:hAnsi="宋体"/>
    </w:rPr>
  </w:style>
  <w:style w:type="paragraph" w:styleId="20">
    <w:name w:val="List 2"/>
    <w:basedOn w:val="1"/>
    <w:qFormat/>
    <w:uiPriority w:val="0"/>
    <w:pPr>
      <w:ind w:left="100" w:leftChars="200" w:hanging="200" w:hangingChars="200"/>
    </w:pPr>
  </w:style>
  <w:style w:type="paragraph" w:styleId="21">
    <w:name w:val="toc 5"/>
    <w:basedOn w:val="1"/>
    <w:next w:val="1"/>
    <w:qFormat/>
    <w:uiPriority w:val="0"/>
    <w:pPr>
      <w:ind w:left="840"/>
      <w:jc w:val="left"/>
    </w:pPr>
    <w:rPr>
      <w:sz w:val="18"/>
      <w:szCs w:val="18"/>
    </w:rPr>
  </w:style>
  <w:style w:type="paragraph" w:styleId="22">
    <w:name w:val="toc 3"/>
    <w:basedOn w:val="1"/>
    <w:next w:val="1"/>
    <w:qFormat/>
    <w:uiPriority w:val="39"/>
    <w:pPr>
      <w:ind w:left="420"/>
      <w:jc w:val="left"/>
    </w:pPr>
    <w:rPr>
      <w:i/>
      <w:iCs/>
      <w:sz w:val="20"/>
      <w:szCs w:val="20"/>
    </w:rPr>
  </w:style>
  <w:style w:type="paragraph" w:styleId="23">
    <w:name w:val="Plain Text"/>
    <w:basedOn w:val="1"/>
    <w:link w:val="86"/>
    <w:qFormat/>
    <w:uiPriority w:val="0"/>
    <w:rPr>
      <w:rFonts w:ascii="宋体" w:hAnsi="Courier New"/>
      <w:szCs w:val="20"/>
    </w:rPr>
  </w:style>
  <w:style w:type="paragraph" w:styleId="24">
    <w:name w:val="toc 8"/>
    <w:basedOn w:val="1"/>
    <w:next w:val="1"/>
    <w:qFormat/>
    <w:uiPriority w:val="0"/>
    <w:pPr>
      <w:ind w:left="1470"/>
      <w:jc w:val="left"/>
    </w:pPr>
    <w:rPr>
      <w:sz w:val="18"/>
      <w:szCs w:val="18"/>
    </w:rPr>
  </w:style>
  <w:style w:type="paragraph" w:styleId="25">
    <w:name w:val="Date"/>
    <w:basedOn w:val="1"/>
    <w:next w:val="1"/>
    <w:qFormat/>
    <w:uiPriority w:val="0"/>
    <w:pPr>
      <w:ind w:left="100" w:leftChars="2500"/>
    </w:pPr>
    <w:rPr>
      <w:rFonts w:ascii="宋体"/>
      <w:sz w:val="24"/>
      <w:szCs w:val="21"/>
      <w:lang w:val="zh-CN"/>
    </w:rPr>
  </w:style>
  <w:style w:type="paragraph" w:styleId="26">
    <w:name w:val="Body Text Indent 2"/>
    <w:basedOn w:val="1"/>
    <w:qFormat/>
    <w:uiPriority w:val="0"/>
    <w:pPr>
      <w:adjustRightInd w:val="0"/>
      <w:spacing w:line="360" w:lineRule="auto"/>
      <w:ind w:firstLine="601"/>
      <w:textAlignment w:val="baseline"/>
    </w:pPr>
    <w:rPr>
      <w:rFonts w:ascii="宋体"/>
      <w:kern w:val="0"/>
      <w:sz w:val="28"/>
      <w:szCs w:val="20"/>
    </w:rPr>
  </w:style>
  <w:style w:type="paragraph" w:styleId="27">
    <w:name w:val="Balloon Text"/>
    <w:basedOn w:val="1"/>
    <w:qFormat/>
    <w:uiPriority w:val="0"/>
    <w:rPr>
      <w:sz w:val="18"/>
      <w:szCs w:val="18"/>
    </w:rPr>
  </w:style>
  <w:style w:type="paragraph" w:styleId="28">
    <w:name w:val="footer"/>
    <w:basedOn w:val="1"/>
    <w:link w:val="73"/>
    <w:qFormat/>
    <w:uiPriority w:val="0"/>
    <w:pPr>
      <w:tabs>
        <w:tab w:val="center" w:pos="4153"/>
        <w:tab w:val="right" w:pos="8306"/>
      </w:tabs>
      <w:snapToGrid w:val="0"/>
      <w:jc w:val="left"/>
    </w:pPr>
    <w:rPr>
      <w:sz w:val="18"/>
      <w:szCs w:val="18"/>
    </w:rPr>
  </w:style>
  <w:style w:type="paragraph" w:styleId="29">
    <w:name w:val="header"/>
    <w:basedOn w:val="1"/>
    <w:link w:val="69"/>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9403"/>
      </w:tabs>
      <w:snapToGrid w:val="0"/>
      <w:spacing w:line="360" w:lineRule="auto"/>
    </w:pPr>
    <w:rPr>
      <w:rFonts w:ascii="Arial" w:hAnsi="Arial"/>
      <w:b/>
      <w:bCs/>
      <w:caps/>
    </w:rPr>
  </w:style>
  <w:style w:type="paragraph" w:styleId="31">
    <w:name w:val="toc 4"/>
    <w:basedOn w:val="1"/>
    <w:next w:val="1"/>
    <w:qFormat/>
    <w:uiPriority w:val="0"/>
    <w:pPr>
      <w:spacing w:line="360" w:lineRule="auto"/>
      <w:ind w:left="720"/>
      <w:jc w:val="left"/>
    </w:pPr>
    <w:rPr>
      <w:sz w:val="24"/>
    </w:rPr>
  </w:style>
  <w:style w:type="paragraph" w:styleId="32">
    <w:name w:val="Subtitle"/>
    <w:basedOn w:val="1"/>
    <w:next w:val="1"/>
    <w:link w:val="70"/>
    <w:qFormat/>
    <w:uiPriority w:val="0"/>
    <w:pPr>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ind w:left="200" w:hanging="200" w:hangingChars="200"/>
    </w:pPr>
  </w:style>
  <w:style w:type="paragraph" w:styleId="34">
    <w:name w:val="toc 6"/>
    <w:basedOn w:val="1"/>
    <w:next w:val="1"/>
    <w:qFormat/>
    <w:uiPriority w:val="0"/>
    <w:pPr>
      <w:ind w:left="1050"/>
      <w:jc w:val="left"/>
    </w:pPr>
    <w:rPr>
      <w:sz w:val="18"/>
      <w:szCs w:val="18"/>
    </w:rPr>
  </w:style>
  <w:style w:type="paragraph" w:styleId="35">
    <w:name w:val="List 5"/>
    <w:basedOn w:val="1"/>
    <w:qFormat/>
    <w:uiPriority w:val="0"/>
    <w:pPr>
      <w:ind w:left="100" w:leftChars="800" w:hanging="200" w:hangingChars="200"/>
    </w:pPr>
    <w:rPr>
      <w:szCs w:val="20"/>
    </w:rPr>
  </w:style>
  <w:style w:type="paragraph" w:styleId="36">
    <w:name w:val="Body Text Indent 3"/>
    <w:basedOn w:val="1"/>
    <w:qFormat/>
    <w:uiPriority w:val="0"/>
    <w:pPr>
      <w:spacing w:line="360" w:lineRule="auto"/>
      <w:ind w:firstLine="420"/>
    </w:pPr>
    <w:rPr>
      <w:sz w:val="24"/>
      <w:szCs w:val="20"/>
    </w:rPr>
  </w:style>
  <w:style w:type="paragraph" w:styleId="37">
    <w:name w:val="toc 2"/>
    <w:basedOn w:val="1"/>
    <w:next w:val="1"/>
    <w:qFormat/>
    <w:uiPriority w:val="39"/>
    <w:pPr>
      <w:tabs>
        <w:tab w:val="right" w:leader="dot" w:pos="9403"/>
      </w:tabs>
      <w:snapToGrid w:val="0"/>
      <w:spacing w:line="360" w:lineRule="auto"/>
      <w:ind w:firstLine="200" w:firstLineChars="200"/>
    </w:pPr>
    <w:rPr>
      <w:rFonts w:ascii="Arial" w:hAnsi="Arial"/>
      <w:smallCaps/>
    </w:rPr>
  </w:style>
  <w:style w:type="paragraph" w:styleId="38">
    <w:name w:val="toc 9"/>
    <w:basedOn w:val="1"/>
    <w:next w:val="1"/>
    <w:qFormat/>
    <w:uiPriority w:val="0"/>
    <w:pPr>
      <w:ind w:left="1680"/>
      <w:jc w:val="left"/>
    </w:pPr>
    <w:rPr>
      <w:sz w:val="18"/>
      <w:szCs w:val="18"/>
    </w:rPr>
  </w:style>
  <w:style w:type="paragraph" w:styleId="39">
    <w:name w:val="Body Text 2"/>
    <w:basedOn w:val="1"/>
    <w:qFormat/>
    <w:uiPriority w:val="0"/>
    <w:pPr>
      <w:spacing w:after="120" w:line="480" w:lineRule="auto"/>
    </w:pPr>
  </w:style>
  <w:style w:type="paragraph" w:styleId="40">
    <w:name w:val="List 4"/>
    <w:basedOn w:val="1"/>
    <w:qFormat/>
    <w:uiPriority w:val="0"/>
    <w:pPr>
      <w:ind w:left="100" w:leftChars="600" w:hanging="200" w:hangingChars="200"/>
    </w:pPr>
    <w:rPr>
      <w:szCs w:val="20"/>
    </w:rPr>
  </w:style>
  <w:style w:type="paragraph" w:styleId="41">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2">
    <w:name w:val="Normal (Web)"/>
    <w:basedOn w:val="1"/>
    <w:qFormat/>
    <w:uiPriority w:val="99"/>
    <w:pPr>
      <w:widowControl/>
      <w:spacing w:before="100" w:beforeAutospacing="1" w:after="100" w:afterAutospacing="1"/>
      <w:jc w:val="left"/>
    </w:pPr>
    <w:rPr>
      <w:rFonts w:ascii="宋体" w:hAnsi="宋体"/>
      <w:kern w:val="0"/>
      <w:sz w:val="24"/>
    </w:rPr>
  </w:style>
  <w:style w:type="paragraph" w:styleId="43">
    <w:name w:val="index 1"/>
    <w:basedOn w:val="1"/>
    <w:next w:val="1"/>
    <w:qFormat/>
    <w:uiPriority w:val="0"/>
    <w:pPr>
      <w:widowControl/>
      <w:spacing w:line="360" w:lineRule="auto"/>
      <w:jc w:val="center"/>
    </w:pPr>
    <w:rPr>
      <w:rFonts w:ascii="Arial" w:hAnsi="Arial" w:cs="Arial"/>
      <w:kern w:val="0"/>
      <w:sz w:val="24"/>
    </w:rPr>
  </w:style>
  <w:style w:type="paragraph" w:styleId="44">
    <w:name w:val="Title"/>
    <w:basedOn w:val="1"/>
    <w:link w:val="146"/>
    <w:qFormat/>
    <w:uiPriority w:val="99"/>
    <w:pPr>
      <w:widowControl/>
      <w:overflowPunct w:val="0"/>
      <w:autoSpaceDE w:val="0"/>
      <w:autoSpaceDN w:val="0"/>
      <w:adjustRightInd w:val="0"/>
      <w:jc w:val="center"/>
      <w:textAlignment w:val="baseline"/>
    </w:pPr>
    <w:rPr>
      <w:b/>
      <w:kern w:val="0"/>
      <w:sz w:val="24"/>
      <w:szCs w:val="20"/>
      <w:lang w:val="en-GB"/>
    </w:rPr>
  </w:style>
  <w:style w:type="paragraph" w:styleId="45">
    <w:name w:val="annotation subject"/>
    <w:basedOn w:val="17"/>
    <w:next w:val="17"/>
    <w:link w:val="80"/>
    <w:unhideWhenUsed/>
    <w:qFormat/>
    <w:uiPriority w:val="99"/>
    <w:rPr>
      <w:b/>
      <w:bCs/>
    </w:rPr>
  </w:style>
  <w:style w:type="paragraph" w:styleId="46">
    <w:name w:val="Body Text First Indent"/>
    <w:basedOn w:val="2"/>
    <w:link w:val="77"/>
    <w:qFormat/>
    <w:uiPriority w:val="0"/>
    <w:pPr>
      <w:autoSpaceDE/>
      <w:autoSpaceDN/>
      <w:adjustRightInd/>
      <w:spacing w:after="120" w:line="240" w:lineRule="auto"/>
      <w:ind w:firstLine="420" w:firstLineChars="100"/>
    </w:p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Emphasis"/>
    <w:qFormat/>
    <w:uiPriority w:val="0"/>
    <w:rPr>
      <w:color w:val="CC0033"/>
    </w:rPr>
  </w:style>
  <w:style w:type="character" w:styleId="54">
    <w:name w:val="Hyperlink"/>
    <w:qFormat/>
    <w:uiPriority w:val="99"/>
    <w:rPr>
      <w:color w:val="0000FF"/>
      <w:u w:val="single"/>
    </w:rPr>
  </w:style>
  <w:style w:type="character" w:styleId="55">
    <w:name w:val="annotation reference"/>
    <w:unhideWhenUsed/>
    <w:qFormat/>
    <w:uiPriority w:val="0"/>
    <w:rPr>
      <w:sz w:val="21"/>
      <w:szCs w:val="21"/>
    </w:rPr>
  </w:style>
  <w:style w:type="character" w:customStyle="1" w:styleId="56">
    <w:name w:val="标题 1 Char"/>
    <w:link w:val="3"/>
    <w:qFormat/>
    <w:uiPriority w:val="0"/>
    <w:rPr>
      <w:rFonts w:eastAsia="宋体"/>
      <w:b/>
      <w:bCs/>
      <w:kern w:val="44"/>
      <w:sz w:val="30"/>
      <w:szCs w:val="44"/>
    </w:rPr>
  </w:style>
  <w:style w:type="character" w:customStyle="1" w:styleId="57">
    <w:name w:val="标题 3 Char"/>
    <w:qFormat/>
    <w:uiPriority w:val="0"/>
    <w:rPr>
      <w:rFonts w:eastAsia="宋体"/>
      <w:b/>
      <w:kern w:val="2"/>
      <w:sz w:val="32"/>
      <w:lang w:val="en-US" w:eastAsia="zh-CN"/>
    </w:rPr>
  </w:style>
  <w:style w:type="character" w:customStyle="1" w:styleId="58">
    <w:name w:val="md"/>
    <w:basedOn w:val="49"/>
    <w:qFormat/>
    <w:uiPriority w:val="0"/>
  </w:style>
  <w:style w:type="character" w:customStyle="1" w:styleId="59">
    <w:name w:val="标题 2 Char"/>
    <w:link w:val="4"/>
    <w:qFormat/>
    <w:uiPriority w:val="0"/>
    <w:rPr>
      <w:rFonts w:ascii="Arial" w:hAnsi="Arial" w:eastAsia="宋体"/>
      <w:b/>
      <w:bCs/>
      <w:kern w:val="2"/>
      <w:sz w:val="21"/>
      <w:szCs w:val="28"/>
      <w:lang w:val="zh-CN"/>
    </w:rPr>
  </w:style>
  <w:style w:type="character" w:customStyle="1" w:styleId="60">
    <w:name w:val="正文文本 Char"/>
    <w:link w:val="2"/>
    <w:qFormat/>
    <w:uiPriority w:val="0"/>
    <w:rPr>
      <w:rFonts w:ascii="宋体" w:hAnsi="宋体" w:eastAsia="宋体"/>
      <w:kern w:val="2"/>
      <w:sz w:val="21"/>
      <w:szCs w:val="21"/>
      <w:lang w:val="zh-CN"/>
    </w:rPr>
  </w:style>
  <w:style w:type="character" w:customStyle="1" w:styleId="61">
    <w:name w:val="Char Char3"/>
    <w:qFormat/>
    <w:uiPriority w:val="0"/>
    <w:rPr>
      <w:rFonts w:ascii="Arial" w:hAnsi="Arial" w:eastAsia="宋体"/>
      <w:b/>
      <w:bCs/>
      <w:kern w:val="2"/>
      <w:sz w:val="21"/>
      <w:szCs w:val="32"/>
      <w:lang w:val="en-US" w:eastAsia="zh-CN" w:bidi="ar-SA"/>
    </w:rPr>
  </w:style>
  <w:style w:type="character" w:customStyle="1" w:styleId="62">
    <w:name w:val="普通文字 Char Char Char"/>
    <w:qFormat/>
    <w:uiPriority w:val="0"/>
    <w:rPr>
      <w:rFonts w:ascii="宋体" w:hAnsi="Courier New" w:eastAsia="宋体"/>
      <w:kern w:val="2"/>
      <w:sz w:val="21"/>
      <w:lang w:val="en-US" w:eastAsia="zh-CN" w:bidi="ar-SA"/>
    </w:rPr>
  </w:style>
  <w:style w:type="character" w:customStyle="1" w:styleId="63">
    <w:name w:val="标题 1 Char Char"/>
    <w:qFormat/>
    <w:uiPriority w:val="0"/>
    <w:rPr>
      <w:rFonts w:eastAsia="宋体"/>
      <w:b/>
      <w:spacing w:val="-2"/>
      <w:sz w:val="24"/>
      <w:lang w:val="en-US" w:eastAsia="zh-CN"/>
    </w:rPr>
  </w:style>
  <w:style w:type="character" w:customStyle="1" w:styleId="64">
    <w:name w:val="正文2 Char Char"/>
    <w:link w:val="65"/>
    <w:qFormat/>
    <w:uiPriority w:val="0"/>
    <w:rPr>
      <w:kern w:val="2"/>
      <w:sz w:val="24"/>
    </w:rPr>
  </w:style>
  <w:style w:type="paragraph" w:customStyle="1" w:styleId="65">
    <w:name w:val="正文2"/>
    <w:basedOn w:val="1"/>
    <w:link w:val="64"/>
    <w:qFormat/>
    <w:uiPriority w:val="0"/>
    <w:pPr>
      <w:spacing w:before="156" w:line="360" w:lineRule="auto"/>
      <w:ind w:firstLine="510" w:firstLineChars="200"/>
    </w:pPr>
    <w:rPr>
      <w:sz w:val="24"/>
      <w:szCs w:val="20"/>
    </w:rPr>
  </w:style>
  <w:style w:type="character" w:customStyle="1" w:styleId="66">
    <w:name w:val="DN-正文 Char Char"/>
    <w:link w:val="67"/>
    <w:qFormat/>
    <w:uiPriority w:val="0"/>
    <w:rPr>
      <w:rFonts w:eastAsia="宋体"/>
      <w:kern w:val="2"/>
      <w:sz w:val="21"/>
      <w:szCs w:val="24"/>
      <w:lang w:val="en-US" w:eastAsia="zh-CN" w:bidi="ar-SA"/>
    </w:rPr>
  </w:style>
  <w:style w:type="paragraph" w:customStyle="1" w:styleId="67">
    <w:name w:val="DN-正文"/>
    <w:basedOn w:val="14"/>
    <w:link w:val="66"/>
    <w:qFormat/>
    <w:uiPriority w:val="0"/>
    <w:pPr>
      <w:widowControl w:val="0"/>
      <w:adjustRightInd/>
      <w:snapToGrid/>
      <w:spacing w:line="400" w:lineRule="exact"/>
      <w:ind w:firstLine="200" w:firstLineChars="200"/>
    </w:pPr>
    <w:rPr>
      <w:rFonts w:ascii="Times New Roman"/>
      <w:snapToGrid/>
      <w:color w:val="auto"/>
      <w:kern w:val="2"/>
      <w:sz w:val="21"/>
      <w:szCs w:val="24"/>
    </w:rPr>
  </w:style>
  <w:style w:type="character" w:customStyle="1" w:styleId="68">
    <w:name w:val="正文缩进 Char"/>
    <w:link w:val="14"/>
    <w:qFormat/>
    <w:uiPriority w:val="0"/>
    <w:rPr>
      <w:rFonts w:ascii="宋体"/>
      <w:snapToGrid w:val="0"/>
      <w:color w:val="000000"/>
      <w:kern w:val="28"/>
      <w:sz w:val="28"/>
    </w:rPr>
  </w:style>
  <w:style w:type="character" w:customStyle="1" w:styleId="69">
    <w:name w:val="页眉 Char"/>
    <w:link w:val="29"/>
    <w:qFormat/>
    <w:uiPriority w:val="99"/>
    <w:rPr>
      <w:kern w:val="2"/>
      <w:sz w:val="18"/>
      <w:szCs w:val="18"/>
    </w:rPr>
  </w:style>
  <w:style w:type="character" w:customStyle="1" w:styleId="70">
    <w:name w:val="副标题 Char"/>
    <w:link w:val="32"/>
    <w:qFormat/>
    <w:uiPriority w:val="0"/>
    <w:rPr>
      <w:rFonts w:ascii="Cambria" w:hAnsi="Cambria"/>
      <w:b/>
      <w:bCs/>
      <w:kern w:val="28"/>
      <w:sz w:val="32"/>
      <w:szCs w:val="32"/>
    </w:rPr>
  </w:style>
  <w:style w:type="character" w:customStyle="1" w:styleId="71">
    <w:name w:val="页脚 Char Char"/>
    <w:qFormat/>
    <w:uiPriority w:val="0"/>
    <w:rPr>
      <w:kern w:val="2"/>
      <w:sz w:val="18"/>
      <w:szCs w:val="18"/>
    </w:rPr>
  </w:style>
  <w:style w:type="character" w:customStyle="1" w:styleId="72">
    <w:name w:val="样式1 Char"/>
    <w:qFormat/>
    <w:uiPriority w:val="0"/>
    <w:rPr>
      <w:rFonts w:ascii="Arial" w:hAnsi="Arial" w:eastAsia="宋体"/>
      <w:kern w:val="2"/>
      <w:sz w:val="21"/>
      <w:szCs w:val="24"/>
      <w:lang w:val="en-US" w:eastAsia="zh-CN" w:bidi="ar-SA"/>
    </w:rPr>
  </w:style>
  <w:style w:type="character" w:customStyle="1" w:styleId="73">
    <w:name w:val="页脚 Char"/>
    <w:link w:val="28"/>
    <w:qFormat/>
    <w:uiPriority w:val="0"/>
    <w:rPr>
      <w:kern w:val="2"/>
      <w:sz w:val="18"/>
      <w:szCs w:val="18"/>
    </w:rPr>
  </w:style>
  <w:style w:type="character" w:customStyle="1" w:styleId="74">
    <w:name w:val="样式1 Char Char"/>
    <w:link w:val="75"/>
    <w:qFormat/>
    <w:uiPriority w:val="0"/>
    <w:rPr>
      <w:rFonts w:ascii="Arial" w:hAnsi="Arial"/>
      <w:kern w:val="2"/>
      <w:sz w:val="21"/>
      <w:szCs w:val="24"/>
    </w:rPr>
  </w:style>
  <w:style w:type="paragraph" w:customStyle="1" w:styleId="75">
    <w:name w:val="样式1"/>
    <w:basedOn w:val="1"/>
    <w:link w:val="74"/>
    <w:qFormat/>
    <w:uiPriority w:val="0"/>
    <w:pPr>
      <w:spacing w:line="360" w:lineRule="exact"/>
      <w:ind w:firstLine="200" w:firstLineChars="200"/>
    </w:pPr>
    <w:rPr>
      <w:rFonts w:ascii="Arial" w:hAnsi="Arial"/>
    </w:rPr>
  </w:style>
  <w:style w:type="character" w:customStyle="1" w:styleId="76">
    <w:name w:val="unnamed51"/>
    <w:qFormat/>
    <w:uiPriority w:val="0"/>
    <w:rPr>
      <w:sz w:val="22"/>
      <w:szCs w:val="22"/>
    </w:rPr>
  </w:style>
  <w:style w:type="character" w:customStyle="1" w:styleId="77">
    <w:name w:val="正文首行缩进 Char"/>
    <w:link w:val="46"/>
    <w:qFormat/>
    <w:uiPriority w:val="0"/>
    <w:rPr>
      <w:rFonts w:ascii="宋体"/>
      <w:kern w:val="2"/>
      <w:sz w:val="21"/>
      <w:szCs w:val="21"/>
      <w:lang w:val="zh-CN"/>
    </w:rPr>
  </w:style>
  <w:style w:type="character" w:customStyle="1" w:styleId="78">
    <w:name w:val="Char Char Char"/>
    <w:link w:val="79"/>
    <w:qFormat/>
    <w:uiPriority w:val="0"/>
    <w:rPr>
      <w:rFonts w:ascii="宋体" w:hAnsi="宋体"/>
      <w:b/>
      <w:kern w:val="2"/>
      <w:sz w:val="21"/>
      <w:szCs w:val="21"/>
    </w:rPr>
  </w:style>
  <w:style w:type="paragraph" w:customStyle="1" w:styleId="79">
    <w:name w:val="Char31"/>
    <w:basedOn w:val="29"/>
    <w:next w:val="29"/>
    <w:link w:val="78"/>
    <w:qFormat/>
    <w:uiPriority w:val="0"/>
    <w:pPr>
      <w:snapToGrid/>
      <w:jc w:val="right"/>
    </w:pPr>
    <w:rPr>
      <w:rFonts w:ascii="宋体" w:hAnsi="宋体"/>
      <w:b/>
      <w:sz w:val="21"/>
      <w:szCs w:val="21"/>
    </w:rPr>
  </w:style>
  <w:style w:type="character" w:customStyle="1" w:styleId="80">
    <w:name w:val="批注主题 Char"/>
    <w:link w:val="45"/>
    <w:semiHidden/>
    <w:qFormat/>
    <w:uiPriority w:val="99"/>
    <w:rPr>
      <w:b/>
      <w:bCs/>
      <w:kern w:val="2"/>
      <w:sz w:val="21"/>
      <w:szCs w:val="24"/>
    </w:rPr>
  </w:style>
  <w:style w:type="character" w:customStyle="1" w:styleId="81">
    <w:name w:val="彩色列表 - 强调文字颜色 1 Char"/>
    <w:link w:val="82"/>
    <w:qFormat/>
    <w:uiPriority w:val="0"/>
    <w:rPr>
      <w:kern w:val="2"/>
      <w:sz w:val="21"/>
      <w:szCs w:val="24"/>
    </w:rPr>
  </w:style>
  <w:style w:type="paragraph" w:customStyle="1" w:styleId="82">
    <w:name w:val="彩色列表 - 强调文字颜色 11"/>
    <w:basedOn w:val="1"/>
    <w:link w:val="81"/>
    <w:qFormat/>
    <w:uiPriority w:val="0"/>
    <w:pPr>
      <w:ind w:firstLine="420" w:firstLineChars="200"/>
    </w:pPr>
  </w:style>
  <w:style w:type="character" w:customStyle="1" w:styleId="83">
    <w:name w:val="样式1 Char Char Char"/>
    <w:qFormat/>
    <w:uiPriority w:val="0"/>
    <w:rPr>
      <w:rFonts w:ascii="Arial" w:hAnsi="Arial" w:eastAsia="宋体"/>
      <w:kern w:val="2"/>
      <w:sz w:val="21"/>
      <w:szCs w:val="24"/>
      <w:lang w:val="en-US" w:eastAsia="zh-CN" w:bidi="ar-SA"/>
    </w:rPr>
  </w:style>
  <w:style w:type="character" w:customStyle="1" w:styleId="84">
    <w:name w:val="zbggmain style9"/>
    <w:qFormat/>
    <w:uiPriority w:val="0"/>
  </w:style>
  <w:style w:type="character" w:customStyle="1" w:styleId="85">
    <w:name w:val="副标题 Char1"/>
    <w:qFormat/>
    <w:uiPriority w:val="11"/>
    <w:rPr>
      <w:rFonts w:ascii="Cambria" w:hAnsi="Cambria" w:cs="Times New Roman"/>
      <w:b/>
      <w:bCs/>
      <w:kern w:val="28"/>
      <w:sz w:val="32"/>
      <w:szCs w:val="32"/>
    </w:rPr>
  </w:style>
  <w:style w:type="character" w:customStyle="1" w:styleId="86">
    <w:name w:val="纯文本 Char"/>
    <w:link w:val="23"/>
    <w:qFormat/>
    <w:uiPriority w:val="0"/>
    <w:rPr>
      <w:rFonts w:ascii="宋体" w:hAnsi="Courier New" w:eastAsia="宋体"/>
      <w:kern w:val="2"/>
      <w:sz w:val="21"/>
      <w:lang w:val="en-US" w:eastAsia="zh-CN" w:bidi="ar-SA"/>
    </w:rPr>
  </w:style>
  <w:style w:type="character" w:customStyle="1" w:styleId="87">
    <w:name w:val="HTML 预设格式 Char"/>
    <w:link w:val="41"/>
    <w:qFormat/>
    <w:uiPriority w:val="0"/>
    <w:rPr>
      <w:rFonts w:ascii="宋体" w:hAnsi="宋体" w:cs="宋体"/>
      <w:sz w:val="24"/>
      <w:szCs w:val="24"/>
    </w:rPr>
  </w:style>
  <w:style w:type="character" w:customStyle="1" w:styleId="88">
    <w:name w:val="结算规范正文 Char Char"/>
    <w:link w:val="89"/>
    <w:qFormat/>
    <w:uiPriority w:val="0"/>
    <w:rPr>
      <w:rFonts w:ascii="宋体" w:hAnsi="宋体" w:eastAsia="宋体" w:cs="宋体"/>
      <w:kern w:val="2"/>
      <w:sz w:val="24"/>
      <w:lang w:val="en-US" w:eastAsia="zh-CN" w:bidi="ar-SA"/>
    </w:rPr>
  </w:style>
  <w:style w:type="paragraph" w:customStyle="1" w:styleId="89">
    <w:name w:val="结算规范正文"/>
    <w:basedOn w:val="1"/>
    <w:link w:val="88"/>
    <w:qFormat/>
    <w:uiPriority w:val="0"/>
    <w:pPr>
      <w:adjustRightInd w:val="0"/>
      <w:spacing w:beforeLines="50" w:line="360" w:lineRule="auto"/>
      <w:ind w:firstLine="480" w:firstLineChars="200"/>
    </w:pPr>
    <w:rPr>
      <w:rFonts w:ascii="宋体" w:hAnsi="宋体" w:cs="宋体"/>
      <w:sz w:val="24"/>
      <w:szCs w:val="20"/>
    </w:rPr>
  </w:style>
  <w:style w:type="character" w:customStyle="1" w:styleId="90">
    <w:name w:val="My正文 Char"/>
    <w:link w:val="91"/>
    <w:qFormat/>
    <w:uiPriority w:val="0"/>
    <w:rPr>
      <w:rFonts w:ascii="Arial" w:hAnsi="Arial"/>
      <w:sz w:val="24"/>
    </w:rPr>
  </w:style>
  <w:style w:type="paragraph" w:customStyle="1" w:styleId="91">
    <w:name w:val="My正文"/>
    <w:basedOn w:val="1"/>
    <w:link w:val="90"/>
    <w:qFormat/>
    <w:uiPriority w:val="0"/>
    <w:pPr>
      <w:adjustRightInd w:val="0"/>
      <w:spacing w:before="120" w:line="360" w:lineRule="auto"/>
      <w:ind w:firstLine="567"/>
      <w:textAlignment w:val="baseline"/>
    </w:pPr>
    <w:rPr>
      <w:rFonts w:ascii="Arial" w:hAnsi="Arial"/>
      <w:kern w:val="0"/>
      <w:sz w:val="24"/>
      <w:szCs w:val="20"/>
    </w:rPr>
  </w:style>
  <w:style w:type="character" w:customStyle="1" w:styleId="92">
    <w:name w:val="fontstyle01"/>
    <w:qFormat/>
    <w:uiPriority w:val="0"/>
    <w:rPr>
      <w:rFonts w:hint="eastAsia" w:ascii="宋体" w:hAnsi="宋体" w:eastAsia="宋体"/>
      <w:color w:val="000000"/>
      <w:sz w:val="22"/>
      <w:szCs w:val="22"/>
    </w:rPr>
  </w:style>
  <w:style w:type="character" w:customStyle="1" w:styleId="93">
    <w:name w:val="批注文字 Char"/>
    <w:link w:val="17"/>
    <w:qFormat/>
    <w:uiPriority w:val="0"/>
    <w:rPr>
      <w:kern w:val="2"/>
      <w:sz w:val="21"/>
      <w:szCs w:val="24"/>
    </w:rPr>
  </w:style>
  <w:style w:type="paragraph" w:customStyle="1" w:styleId="94">
    <w:name w:val="TOC 标题1"/>
    <w:basedOn w:val="3"/>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95">
    <w:name w:val="内文正文"/>
    <w:basedOn w:val="23"/>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96">
    <w:name w:val="Char"/>
    <w:basedOn w:val="1"/>
    <w:qFormat/>
    <w:uiPriority w:val="0"/>
    <w:rPr>
      <w:rFonts w:ascii="仿宋_GB2312" w:eastAsia="仿宋_GB2312"/>
      <w:b/>
      <w:sz w:val="32"/>
      <w:szCs w:val="32"/>
    </w:rPr>
  </w:style>
  <w:style w:type="paragraph" w:customStyle="1" w:styleId="97">
    <w:name w:val="普通(网站)1"/>
    <w:basedOn w:val="1"/>
    <w:qFormat/>
    <w:uiPriority w:val="0"/>
    <w:pPr>
      <w:widowControl/>
      <w:jc w:val="left"/>
    </w:pPr>
    <w:rPr>
      <w:rFonts w:ascii="ˎ̥" w:hAnsi="ˎ̥" w:cs="宋体"/>
      <w:color w:val="000000"/>
      <w:kern w:val="0"/>
      <w:sz w:val="13"/>
      <w:szCs w:val="13"/>
    </w:rPr>
  </w:style>
  <w:style w:type="paragraph" w:customStyle="1" w:styleId="9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9">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100">
    <w:name w:val="彩色底纹 - 强调文字颜色 11"/>
    <w:qFormat/>
    <w:uiPriority w:val="71"/>
    <w:rPr>
      <w:rFonts w:ascii="Times New Roman" w:hAnsi="Times New Roman" w:eastAsia="宋体" w:cs="Times New Roman"/>
      <w:kern w:val="2"/>
      <w:sz w:val="21"/>
      <w:szCs w:val="24"/>
      <w:lang w:val="en-US" w:eastAsia="zh-CN" w:bidi="ar-SA"/>
    </w:rPr>
  </w:style>
  <w:style w:type="paragraph" w:customStyle="1" w:styleId="10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02">
    <w:name w:val="样式4"/>
    <w:basedOn w:val="28"/>
    <w:qFormat/>
    <w:uiPriority w:val="0"/>
    <w:pPr>
      <w:pBdr>
        <w:top w:val="single" w:color="auto" w:sz="4" w:space="1"/>
        <w:bottom w:val="single" w:color="auto" w:sz="4" w:space="1"/>
      </w:pBdr>
      <w:tabs>
        <w:tab w:val="right" w:pos="9901"/>
        <w:tab w:val="clear" w:pos="4153"/>
        <w:tab w:val="clear" w:pos="8306"/>
      </w:tabs>
    </w:pPr>
    <w:rPr>
      <w:sz w:val="21"/>
    </w:rPr>
  </w:style>
  <w:style w:type="paragraph" w:customStyle="1" w:styleId="103">
    <w:name w:val="Char1 Char Char Char"/>
    <w:basedOn w:val="1"/>
    <w:qFormat/>
    <w:uiPriority w:val="0"/>
    <w:rPr>
      <w:szCs w:val="20"/>
    </w:rPr>
  </w:style>
  <w:style w:type="paragraph" w:customStyle="1" w:styleId="104">
    <w:name w:val="默认段落字体 Para Char Char Char Char Char Char Char"/>
    <w:basedOn w:val="1"/>
    <w:qFormat/>
    <w:uiPriority w:val="0"/>
    <w:rPr>
      <w:rFonts w:eastAsia="仿宋_GB2312"/>
      <w:sz w:val="28"/>
    </w:rPr>
  </w:style>
  <w:style w:type="paragraph" w:customStyle="1" w:styleId="105">
    <w:name w:val="1"/>
    <w:basedOn w:val="1"/>
    <w:next w:val="36"/>
    <w:qFormat/>
    <w:uiPriority w:val="0"/>
    <w:pPr>
      <w:widowControl/>
      <w:snapToGrid w:val="0"/>
      <w:spacing w:line="440" w:lineRule="atLeast"/>
      <w:ind w:firstLine="480"/>
    </w:pPr>
    <w:rPr>
      <w:kern w:val="0"/>
      <w:sz w:val="24"/>
      <w:szCs w:val="20"/>
    </w:rPr>
  </w:style>
  <w:style w:type="paragraph" w:customStyle="1" w:styleId="106">
    <w:name w:val="正文缩进1"/>
    <w:basedOn w:val="1"/>
    <w:next w:val="1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07">
    <w:name w:val="正文－恩普"/>
    <w:basedOn w:val="14"/>
    <w:qFormat/>
    <w:uiPriority w:val="0"/>
    <w:pPr>
      <w:adjustRightInd/>
      <w:snapToGrid/>
      <w:spacing w:afterLines="50" w:line="360" w:lineRule="auto"/>
      <w:ind w:firstLine="480" w:firstLineChars="200"/>
      <w:jc w:val="left"/>
    </w:pPr>
    <w:rPr>
      <w:rFonts w:ascii="Times New Roman"/>
      <w:snapToGrid/>
      <w:color w:val="auto"/>
      <w:kern w:val="0"/>
      <w:sz w:val="24"/>
    </w:rPr>
  </w:style>
  <w:style w:type="paragraph" w:customStyle="1" w:styleId="108">
    <w:name w:val="纯文本1"/>
    <w:basedOn w:val="109"/>
    <w:qFormat/>
    <w:uiPriority w:val="0"/>
    <w:pPr>
      <w:widowControl/>
      <w:jc w:val="left"/>
    </w:pPr>
    <w:rPr>
      <w:rFonts w:ascii="宋体" w:hAnsi="Courier New"/>
    </w:rPr>
  </w:style>
  <w:style w:type="paragraph" w:customStyle="1" w:styleId="10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0">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111">
    <w:name w:val="Char Char1 Char Char Char"/>
    <w:basedOn w:val="1"/>
    <w:qFormat/>
    <w:uiPriority w:val="0"/>
    <w:rPr>
      <w:rFonts w:ascii="仿宋_GB2312" w:eastAsia="仿宋_GB2312"/>
      <w:b/>
      <w:sz w:val="32"/>
      <w:szCs w:val="32"/>
    </w:rPr>
  </w:style>
  <w:style w:type="paragraph" w:customStyle="1" w:styleId="112">
    <w:name w:val="列出段落1"/>
    <w:basedOn w:val="1"/>
    <w:qFormat/>
    <w:uiPriority w:val="0"/>
    <w:pPr>
      <w:ind w:firstLine="420" w:firstLineChars="200"/>
    </w:pPr>
    <w:rPr>
      <w:sz w:val="24"/>
    </w:rPr>
  </w:style>
  <w:style w:type="paragraph" w:customStyle="1" w:styleId="113">
    <w:name w:val="默认段落字体 Para Char"/>
    <w:basedOn w:val="1"/>
    <w:qFormat/>
    <w:uiPriority w:val="0"/>
    <w:pPr>
      <w:tabs>
        <w:tab w:val="left" w:pos="454"/>
      </w:tabs>
      <w:ind w:firstLine="420"/>
    </w:pPr>
  </w:style>
  <w:style w:type="paragraph" w:customStyle="1" w:styleId="114">
    <w:name w:val="Char1 Char Char Char1"/>
    <w:basedOn w:val="1"/>
    <w:qFormat/>
    <w:uiPriority w:val="0"/>
    <w:rPr>
      <w:rFonts w:ascii="仿宋_GB2312" w:eastAsia="仿宋_GB2312" w:cs="仿宋_GB2312"/>
      <w:b/>
      <w:bCs/>
      <w:sz w:val="32"/>
      <w:szCs w:val="32"/>
    </w:rPr>
  </w:style>
  <w:style w:type="paragraph" w:customStyle="1" w:styleId="11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16">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17">
    <w:name w:val="Char1 Char Char Char Char Char Char"/>
    <w:basedOn w:val="1"/>
    <w:qFormat/>
    <w:uiPriority w:val="0"/>
    <w:rPr>
      <w:rFonts w:ascii="仿宋_GB2312" w:eastAsia="仿宋_GB2312"/>
      <w:b/>
      <w:sz w:val="32"/>
      <w:szCs w:val="32"/>
    </w:rPr>
  </w:style>
  <w:style w:type="paragraph" w:customStyle="1" w:styleId="118">
    <w:name w:val="Char11"/>
    <w:basedOn w:val="1"/>
    <w:qFormat/>
    <w:uiPriority w:val="0"/>
    <w:rPr>
      <w:rFonts w:ascii="仿宋_GB2312" w:eastAsia="仿宋_GB2312"/>
      <w:b/>
      <w:sz w:val="32"/>
      <w:szCs w:val="32"/>
    </w:rPr>
  </w:style>
  <w:style w:type="paragraph" w:customStyle="1" w:styleId="119">
    <w:name w:val="Char4"/>
    <w:basedOn w:val="14"/>
    <w:qFormat/>
    <w:uiPriority w:val="0"/>
    <w:pPr>
      <w:adjustRightInd/>
      <w:snapToGrid/>
      <w:spacing w:afterLines="50" w:line="360" w:lineRule="auto"/>
      <w:ind w:firstLine="480" w:firstLineChars="200"/>
      <w:jc w:val="left"/>
    </w:pPr>
    <w:rPr>
      <w:rFonts w:ascii="Times New Roman"/>
      <w:snapToGrid/>
      <w:color w:val="auto"/>
      <w:kern w:val="2"/>
      <w:sz w:val="21"/>
    </w:rPr>
  </w:style>
  <w:style w:type="paragraph" w:customStyle="1" w:styleId="120">
    <w:name w:val="Char1"/>
    <w:basedOn w:val="1"/>
    <w:qFormat/>
    <w:uiPriority w:val="0"/>
    <w:rPr>
      <w:rFonts w:ascii="仿宋_GB2312" w:eastAsia="仿宋_GB2312"/>
      <w:b/>
      <w:sz w:val="32"/>
      <w:szCs w:val="32"/>
    </w:rPr>
  </w:style>
  <w:style w:type="paragraph" w:customStyle="1" w:styleId="121">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122">
    <w:name w:val="Test2"/>
    <w:basedOn w:val="4"/>
    <w:qFormat/>
    <w:uiPriority w:val="0"/>
    <w:pPr>
      <w:widowControl/>
      <w:spacing w:before="360" w:after="360" w:line="240" w:lineRule="atLeast"/>
      <w:jc w:val="left"/>
    </w:pPr>
    <w:rPr>
      <w:rFonts w:ascii="宋体"/>
      <w:snapToGrid w:val="0"/>
      <w:kern w:val="0"/>
      <w:sz w:val="28"/>
      <w:szCs w:val="32"/>
      <w:lang w:val="en-US"/>
    </w:rPr>
  </w:style>
  <w:style w:type="paragraph" w:customStyle="1" w:styleId="123">
    <w:name w:val="正文文字表格居中"/>
    <w:basedOn w:val="1"/>
    <w:next w:val="39"/>
    <w:qFormat/>
    <w:uiPriority w:val="0"/>
    <w:pPr>
      <w:snapToGrid w:val="0"/>
      <w:spacing w:line="360" w:lineRule="auto"/>
    </w:pPr>
    <w:rPr>
      <w:rFonts w:ascii="宋体"/>
      <w:b/>
      <w:sz w:val="24"/>
      <w:szCs w:val="20"/>
    </w:rPr>
  </w:style>
  <w:style w:type="paragraph" w:customStyle="1" w:styleId="124">
    <w:name w:val="Char Char1"/>
    <w:basedOn w:val="1"/>
    <w:qFormat/>
    <w:uiPriority w:val="0"/>
    <w:pPr>
      <w:widowControl/>
      <w:spacing w:after="160" w:line="240" w:lineRule="exact"/>
      <w:jc w:val="left"/>
    </w:pPr>
    <w:rPr>
      <w:rFonts w:eastAsia="仿宋_GB2312"/>
      <w:sz w:val="28"/>
    </w:rPr>
  </w:style>
  <w:style w:type="paragraph" w:customStyle="1" w:styleId="125">
    <w:name w:val="Char Char1 Char Char Char Char Char Char"/>
    <w:basedOn w:val="1"/>
    <w:qFormat/>
    <w:uiPriority w:val="0"/>
    <w:rPr>
      <w:rFonts w:ascii="仿宋_GB2312" w:eastAsia="仿宋_GB2312"/>
      <w:b/>
      <w:sz w:val="32"/>
      <w:szCs w:val="32"/>
    </w:rPr>
  </w:style>
  <w:style w:type="paragraph" w:customStyle="1" w:styleId="126">
    <w:name w:val="Char2"/>
    <w:basedOn w:val="1"/>
    <w:qFormat/>
    <w:uiPriority w:val="0"/>
    <w:rPr>
      <w:rFonts w:ascii="仿宋_GB2312" w:eastAsia="仿宋_GB2312"/>
      <w:b/>
      <w:sz w:val="32"/>
      <w:szCs w:val="32"/>
    </w:rPr>
  </w:style>
  <w:style w:type="paragraph" w:customStyle="1" w:styleId="127">
    <w:name w:val="Char Char Char Char"/>
    <w:basedOn w:val="1"/>
    <w:qFormat/>
    <w:uiPriority w:val="0"/>
    <w:rPr>
      <w:rFonts w:eastAsia="仿宋_GB2312"/>
      <w:sz w:val="28"/>
    </w:rPr>
  </w:style>
  <w:style w:type="paragraph" w:customStyle="1" w:styleId="128">
    <w:name w:val="Char3"/>
    <w:basedOn w:val="1"/>
    <w:qFormat/>
    <w:uiPriority w:val="0"/>
    <w:pPr>
      <w:tabs>
        <w:tab w:val="left" w:pos="425"/>
      </w:tabs>
      <w:ind w:left="425" w:hanging="425"/>
    </w:pPr>
    <w:rPr>
      <w:sz w:val="24"/>
    </w:rPr>
  </w:style>
  <w:style w:type="paragraph" w:customStyle="1" w:styleId="12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130">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31">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32">
    <w:name w:val="列出段落2"/>
    <w:basedOn w:val="1"/>
    <w:qFormat/>
    <w:uiPriority w:val="34"/>
    <w:pPr>
      <w:ind w:firstLine="420" w:firstLineChars="200"/>
    </w:pPr>
    <w:rPr>
      <w:rFonts w:ascii="Calibri" w:hAnsi="Calibri"/>
      <w:szCs w:val="22"/>
    </w:rPr>
  </w:style>
  <w:style w:type="paragraph" w:customStyle="1" w:styleId="133">
    <w:name w:val="Char Char Char Char Char Char Char Char Char Char"/>
    <w:basedOn w:val="1"/>
    <w:qFormat/>
    <w:uiPriority w:val="0"/>
    <w:rPr>
      <w:rFonts w:ascii="仿宋_GB2312" w:eastAsia="仿宋_GB2312"/>
      <w:b/>
      <w:sz w:val="32"/>
      <w:szCs w:val="32"/>
    </w:rPr>
  </w:style>
  <w:style w:type="paragraph" w:customStyle="1" w:styleId="134">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3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37">
    <w:name w:val="Char Char Char Char1"/>
    <w:basedOn w:val="1"/>
    <w:qFormat/>
    <w:uiPriority w:val="0"/>
  </w:style>
  <w:style w:type="paragraph" w:customStyle="1" w:styleId="13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9">
    <w:name w:val="Char12"/>
    <w:basedOn w:val="1"/>
    <w:qFormat/>
    <w:uiPriority w:val="0"/>
    <w:rPr>
      <w:rFonts w:ascii="仿宋_GB2312" w:eastAsia="仿宋_GB2312"/>
      <w:b/>
      <w:sz w:val="32"/>
      <w:szCs w:val="32"/>
    </w:rPr>
  </w:style>
  <w:style w:type="paragraph" w:styleId="140">
    <w:name w:val="List Paragraph"/>
    <w:basedOn w:val="1"/>
    <w:qFormat/>
    <w:uiPriority w:val="99"/>
    <w:pPr>
      <w:ind w:firstLine="420" w:firstLineChars="200"/>
    </w:pPr>
    <w:rPr>
      <w:rFonts w:ascii="Calibri" w:hAnsi="Calibri"/>
      <w:szCs w:val="22"/>
    </w:rPr>
  </w:style>
  <w:style w:type="paragraph" w:customStyle="1" w:styleId="141">
    <w:name w:val="正文中文"/>
    <w:basedOn w:val="1"/>
    <w:qFormat/>
    <w:uiPriority w:val="0"/>
    <w:pPr>
      <w:spacing w:line="360" w:lineRule="auto"/>
      <w:ind w:firstLine="200" w:firstLineChars="200"/>
      <w:jc w:val="left"/>
    </w:pPr>
    <w:rPr>
      <w:sz w:val="24"/>
      <w:szCs w:val="22"/>
    </w:rPr>
  </w:style>
  <w:style w:type="paragraph" w:customStyle="1" w:styleId="142">
    <w:name w:val="_Style 2"/>
    <w:qFormat/>
    <w:uiPriority w:val="1"/>
    <w:pPr>
      <w:widowControl w:val="0"/>
      <w:jc w:val="both"/>
    </w:pPr>
    <w:rPr>
      <w:rFonts w:ascii="Times New Roman" w:hAnsi="Times New Roman" w:eastAsia="宋体" w:cs="Calibri"/>
      <w:kern w:val="2"/>
      <w:sz w:val="21"/>
      <w:szCs w:val="22"/>
      <w:lang w:val="en-US" w:eastAsia="zh-CN" w:bidi="ar-SA"/>
    </w:rPr>
  </w:style>
  <w:style w:type="paragraph" w:customStyle="1" w:styleId="143">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44">
    <w:name w:val="Normal Indent1"/>
    <w:basedOn w:val="1"/>
    <w:qFormat/>
    <w:uiPriority w:val="0"/>
    <w:pPr>
      <w:ind w:firstLine="420" w:firstLineChars="200"/>
    </w:pPr>
  </w:style>
  <w:style w:type="character" w:customStyle="1" w:styleId="145">
    <w:name w:val="font11"/>
    <w:basedOn w:val="49"/>
    <w:qFormat/>
    <w:uiPriority w:val="0"/>
    <w:rPr>
      <w:rFonts w:hint="eastAsia" w:ascii="黑体" w:hAnsi="宋体" w:eastAsia="黑体" w:cs="黑体"/>
      <w:color w:val="000000"/>
      <w:sz w:val="18"/>
      <w:szCs w:val="18"/>
      <w:u w:val="none"/>
    </w:rPr>
  </w:style>
  <w:style w:type="character" w:customStyle="1" w:styleId="146">
    <w:name w:val="标题 Char"/>
    <w:link w:val="44"/>
    <w:qFormat/>
    <w:locked/>
    <w:uiPriority w:val="99"/>
    <w:rPr>
      <w:rFonts w:ascii="Times New Roman" w:hAnsi="Times New Roman" w:eastAsia="宋体" w:cs="Times New Roman"/>
      <w:b/>
      <w:sz w:val="24"/>
      <w:lang w:val="en-GB"/>
    </w:rPr>
  </w:style>
  <w:style w:type="character" w:customStyle="1" w:styleId="147">
    <w:name w:val="普通文字 Char1"/>
    <w:uiPriority w:val="0"/>
    <w:rPr>
      <w:rFonts w:ascii="宋体" w:hAnsi="Courier New" w:eastAsia="宋体"/>
      <w:kern w:val="2"/>
      <w:sz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0823D-BFB2-4D92-8690-AAD335387D75}">
  <ds:schemaRefs/>
</ds:datastoreItem>
</file>

<file path=docProps/app.xml><?xml version="1.0" encoding="utf-8"?>
<Properties xmlns="http://schemas.openxmlformats.org/officeDocument/2006/extended-properties" xmlns:vt="http://schemas.openxmlformats.org/officeDocument/2006/docPropsVTypes">
  <Template>Normal.dotm</Template>
  <Company>Opium-Tec</Company>
  <Pages>79</Pages>
  <Words>8654</Words>
  <Characters>49330</Characters>
  <Lines>411</Lines>
  <Paragraphs>115</Paragraphs>
  <TotalTime>1304</TotalTime>
  <ScaleCrop>false</ScaleCrop>
  <LinksUpToDate>false</LinksUpToDate>
  <CharactersWithSpaces>57869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2018-07-18T13:59:00Z</dcterms:created>
  <dc:creator>SYM</dc:creator>
  <cp:lastModifiedBy>周咪咪</cp:lastModifiedBy>
  <cp:lastPrinted>2020-04-20T08:48:00Z</cp:lastPrinted>
  <dcterms:modified xsi:type="dcterms:W3CDTF">2020-04-29T08:50:12Z</dcterms:modified>
  <dc:title>内部资料，注意保密</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