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8"/>
          <w:szCs w:val="48"/>
        </w:rPr>
      </w:pPr>
      <w:bookmarkStart w:id="0" w:name="_Hlt67893495"/>
      <w:bookmarkEnd w:id="0"/>
      <w:bookmarkStart w:id="517" w:name="_GoBack"/>
      <w:bookmarkEnd w:id="517"/>
    </w:p>
    <w:p>
      <w:pPr>
        <w:spacing w:line="360" w:lineRule="auto"/>
        <w:jc w:val="center"/>
        <w:rPr>
          <w:b/>
          <w:sz w:val="48"/>
          <w:szCs w:val="48"/>
        </w:rPr>
      </w:pPr>
    </w:p>
    <w:p>
      <w:pPr>
        <w:spacing w:line="360" w:lineRule="auto"/>
        <w:jc w:val="center"/>
        <w:rPr>
          <w:b/>
          <w:sz w:val="48"/>
          <w:szCs w:val="48"/>
        </w:rPr>
      </w:pPr>
    </w:p>
    <w:p>
      <w:pPr>
        <w:spacing w:line="360" w:lineRule="auto"/>
        <w:jc w:val="center"/>
        <w:rPr>
          <w:rFonts w:hint="eastAsia" w:hAnsi="宋体"/>
          <w:b/>
          <w:sz w:val="44"/>
          <w:szCs w:val="44"/>
        </w:rPr>
      </w:pPr>
      <w:r>
        <w:rPr>
          <w:rFonts w:hAnsi="宋体"/>
          <w:b/>
          <w:sz w:val="44"/>
          <w:szCs w:val="44"/>
        </w:rPr>
        <w:t>杭州市临平区第一人民医院</w:t>
      </w:r>
    </w:p>
    <w:p>
      <w:pPr>
        <w:pStyle w:val="2"/>
        <w:jc w:val="center"/>
        <w:rPr>
          <w:rFonts w:ascii="Times New Roman" w:hAnsi="宋体" w:eastAsia="宋体"/>
          <w:bCs w:val="0"/>
          <w:sz w:val="44"/>
          <w:szCs w:val="44"/>
          <w:lang w:val="en-US"/>
        </w:rPr>
      </w:pPr>
      <w:r>
        <w:rPr>
          <w:rFonts w:ascii="Times New Roman" w:hAnsi="宋体" w:eastAsia="宋体"/>
          <w:bCs w:val="0"/>
          <w:sz w:val="44"/>
          <w:szCs w:val="44"/>
          <w:lang w:val="en-US"/>
        </w:rPr>
        <w:t>医共体医疗设备维保外包项目</w:t>
      </w:r>
    </w:p>
    <w:p>
      <w:pPr>
        <w:spacing w:line="360" w:lineRule="auto"/>
        <w:jc w:val="center"/>
        <w:rPr>
          <w:b/>
          <w:sz w:val="48"/>
          <w:szCs w:val="48"/>
        </w:rPr>
      </w:pPr>
      <w:r>
        <w:rPr>
          <w:rFonts w:hint="eastAsia"/>
          <w:b/>
          <w:sz w:val="48"/>
          <w:szCs w:val="48"/>
        </w:rPr>
        <w:t>招标文件</w:t>
      </w:r>
    </w:p>
    <w:p>
      <w:pPr>
        <w:spacing w:line="360" w:lineRule="auto"/>
        <w:jc w:val="center"/>
        <w:rPr>
          <w:b/>
          <w:sz w:val="36"/>
          <w:szCs w:val="36"/>
        </w:rPr>
      </w:pPr>
      <w:r>
        <w:rPr>
          <w:rFonts w:hint="eastAsia"/>
          <w:b/>
          <w:sz w:val="36"/>
          <w:szCs w:val="36"/>
        </w:rPr>
        <w:t>（电子招投标）</w:t>
      </w:r>
    </w:p>
    <w:p>
      <w:pPr>
        <w:spacing w:line="360" w:lineRule="auto"/>
        <w:jc w:val="center"/>
        <w:rPr>
          <w:rFonts w:hint="eastAsia" w:ascii="宋体" w:hAnsi="宋体"/>
          <w:sz w:val="32"/>
          <w:szCs w:val="32"/>
        </w:rPr>
      </w:pPr>
      <w:r>
        <w:rPr>
          <w:rFonts w:hint="eastAsia" w:ascii="宋体" w:hAnsi="宋体"/>
          <w:sz w:val="32"/>
          <w:szCs w:val="32"/>
        </w:rPr>
        <w:t>项目编号:0625-23215663</w:t>
      </w: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left"/>
        <w:rPr>
          <w:rFonts w:hint="eastAsia" w:ascii="宋体" w:hAnsi="宋体"/>
          <w:sz w:val="32"/>
          <w:szCs w:val="32"/>
        </w:rPr>
      </w:pPr>
      <w:r>
        <w:rPr>
          <w:rFonts w:hint="eastAsia" w:ascii="宋体" w:hAnsi="宋体"/>
          <w:sz w:val="32"/>
          <w:szCs w:val="32"/>
        </w:rPr>
        <w:t xml:space="preserve">    采 购 人：</w:t>
      </w:r>
      <w:r>
        <w:rPr>
          <w:rFonts w:ascii="宋体" w:hAnsi="宋体"/>
          <w:sz w:val="32"/>
          <w:szCs w:val="32"/>
        </w:rPr>
        <w:t>杭州市临平区第一人民医院</w:t>
      </w:r>
    </w:p>
    <w:p>
      <w:pPr>
        <w:spacing w:line="360" w:lineRule="auto"/>
        <w:jc w:val="center"/>
        <w:rPr>
          <w:rFonts w:hint="eastAsia" w:ascii="宋体" w:hAnsi="宋体"/>
          <w:sz w:val="32"/>
          <w:szCs w:val="32"/>
        </w:rPr>
      </w:pPr>
      <w:r>
        <w:rPr>
          <w:rFonts w:hint="eastAsia" w:ascii="宋体" w:hAnsi="宋体"/>
          <w:sz w:val="32"/>
          <w:szCs w:val="32"/>
        </w:rPr>
        <w:t>采购代理机构：浙江省国际技术设备招标有限公司</w:t>
      </w:r>
    </w:p>
    <w:p>
      <w:pPr>
        <w:pStyle w:val="2"/>
        <w:rPr>
          <w:lang w:val="en-US"/>
        </w:rPr>
      </w:pPr>
    </w:p>
    <w:p>
      <w:pPr>
        <w:snapToGrid w:val="0"/>
        <w:spacing w:line="360" w:lineRule="auto"/>
        <w:jc w:val="center"/>
      </w:pPr>
      <w:r>
        <w:rPr>
          <w:rFonts w:hint="eastAsia" w:ascii="宋体" w:hAnsi="宋体"/>
          <w:sz w:val="32"/>
          <w:szCs w:val="32"/>
        </w:rPr>
        <w:t>2023年6月</w:t>
      </w:r>
    </w:p>
    <w:p>
      <w:pPr>
        <w:spacing w:line="360" w:lineRule="auto"/>
        <w:jc w:val="center"/>
        <w:rPr>
          <w:rFonts w:ascii="宋体" w:hAnsi="宋体" w:cs="宋体"/>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linePitch="312" w:charSpace="0"/>
        </w:sectPr>
      </w:pPr>
    </w:p>
    <w:p>
      <w:pPr>
        <w:adjustRightInd/>
        <w:spacing w:before="480" w:beforeLines="200" w:after="240" w:afterLines="100" w:line="360" w:lineRule="auto"/>
        <w:jc w:val="center"/>
        <w:rPr>
          <w:rFonts w:ascii="宋体" w:hAnsi="宋体"/>
          <w:b/>
          <w:sz w:val="36"/>
          <w:szCs w:val="36"/>
        </w:rPr>
      </w:pPr>
      <w:r>
        <w:rPr>
          <w:rFonts w:hint="eastAsia" w:ascii="宋体" w:hAnsi="宋体"/>
          <w:b/>
          <w:sz w:val="36"/>
          <w:szCs w:val="36"/>
        </w:rPr>
        <w:t>目  录</w:t>
      </w:r>
    </w:p>
    <w:p>
      <w:pPr>
        <w:spacing w:line="360" w:lineRule="auto"/>
        <w:rPr>
          <w:rFonts w:ascii="宋体" w:hAnsi="宋体" w:cs="宋体"/>
          <w:sz w:val="32"/>
          <w:szCs w:val="32"/>
        </w:rPr>
      </w:pPr>
      <w:r>
        <w:rPr>
          <w:rFonts w:hint="eastAsia" w:ascii="宋体" w:hAnsi="宋体" w:cs="宋体"/>
          <w:sz w:val="32"/>
          <w:szCs w:val="32"/>
        </w:rPr>
        <w:tab/>
      </w:r>
      <w:r>
        <w:rPr>
          <w:rFonts w:hint="eastAsia" w:ascii="宋体" w:hAnsi="宋体" w:cs="宋体"/>
          <w:sz w:val="32"/>
          <w:szCs w:val="32"/>
        </w:rPr>
        <w:t>第一部分</w:t>
      </w:r>
      <w:r>
        <w:rPr>
          <w:rFonts w:hint="eastAsia" w:ascii="宋体" w:hAnsi="宋体" w:cs="宋体"/>
          <w:sz w:val="32"/>
          <w:szCs w:val="32"/>
        </w:rPr>
        <w:tab/>
      </w:r>
      <w:r>
        <w:rPr>
          <w:rFonts w:hint="eastAsia" w:ascii="宋体" w:hAnsi="宋体" w:cs="宋体"/>
          <w:sz w:val="32"/>
          <w:szCs w:val="32"/>
        </w:rPr>
        <w:t>招标公告</w:t>
      </w:r>
    </w:p>
    <w:p>
      <w:pPr>
        <w:spacing w:line="360" w:lineRule="auto"/>
        <w:rPr>
          <w:rFonts w:ascii="宋体" w:hAnsi="宋体" w:cs="宋体"/>
          <w:sz w:val="32"/>
          <w:szCs w:val="32"/>
        </w:rPr>
      </w:pPr>
      <w:r>
        <w:rPr>
          <w:rFonts w:hint="eastAsia" w:ascii="宋体" w:hAnsi="宋体" w:cs="宋体"/>
          <w:sz w:val="32"/>
          <w:szCs w:val="32"/>
        </w:rPr>
        <w:tab/>
      </w:r>
      <w:r>
        <w:rPr>
          <w:rFonts w:hint="eastAsia" w:ascii="宋体" w:hAnsi="宋体" w:cs="宋体"/>
          <w:sz w:val="32"/>
          <w:szCs w:val="32"/>
        </w:rPr>
        <w:t>第二部分</w:t>
      </w:r>
      <w:r>
        <w:rPr>
          <w:rFonts w:hint="eastAsia" w:ascii="宋体" w:hAnsi="宋体" w:cs="宋体"/>
          <w:sz w:val="32"/>
          <w:szCs w:val="32"/>
        </w:rPr>
        <w:tab/>
      </w:r>
      <w:r>
        <w:rPr>
          <w:rFonts w:hint="eastAsia" w:ascii="宋体" w:hAnsi="宋体" w:cs="宋体"/>
          <w:sz w:val="32"/>
          <w:szCs w:val="32"/>
        </w:rPr>
        <w:t>投标人须知</w:t>
      </w:r>
    </w:p>
    <w:p>
      <w:pPr>
        <w:spacing w:line="360" w:lineRule="auto"/>
        <w:rPr>
          <w:rFonts w:ascii="宋体" w:hAnsi="宋体" w:cs="宋体"/>
          <w:sz w:val="32"/>
          <w:szCs w:val="32"/>
        </w:rPr>
      </w:pPr>
      <w:r>
        <w:rPr>
          <w:rFonts w:hint="eastAsia" w:ascii="宋体" w:hAnsi="宋体" w:cs="宋体"/>
          <w:sz w:val="32"/>
          <w:szCs w:val="32"/>
        </w:rPr>
        <w:tab/>
      </w:r>
      <w:r>
        <w:rPr>
          <w:rFonts w:hint="eastAsia" w:ascii="宋体" w:hAnsi="宋体" w:cs="宋体"/>
          <w:sz w:val="32"/>
          <w:szCs w:val="32"/>
        </w:rPr>
        <w:t>第三部分</w:t>
      </w:r>
      <w:r>
        <w:rPr>
          <w:rFonts w:hint="eastAsia" w:ascii="宋体" w:hAnsi="宋体" w:cs="宋体"/>
          <w:sz w:val="32"/>
          <w:szCs w:val="32"/>
        </w:rPr>
        <w:tab/>
      </w:r>
      <w:r>
        <w:rPr>
          <w:rFonts w:hint="eastAsia" w:ascii="宋体" w:hAnsi="宋体" w:cs="宋体"/>
          <w:sz w:val="32"/>
          <w:szCs w:val="32"/>
        </w:rPr>
        <w:t>采购需求</w:t>
      </w:r>
    </w:p>
    <w:p>
      <w:pPr>
        <w:spacing w:line="360" w:lineRule="auto"/>
        <w:rPr>
          <w:rFonts w:ascii="宋体" w:hAnsi="宋体" w:cs="宋体"/>
          <w:sz w:val="32"/>
          <w:szCs w:val="32"/>
        </w:rPr>
      </w:pPr>
      <w:r>
        <w:rPr>
          <w:rFonts w:hint="eastAsia" w:ascii="宋体" w:hAnsi="宋体" w:cs="宋体"/>
          <w:sz w:val="32"/>
          <w:szCs w:val="32"/>
        </w:rPr>
        <w:tab/>
      </w:r>
      <w:r>
        <w:rPr>
          <w:rFonts w:hint="eastAsia" w:ascii="宋体" w:hAnsi="宋体" w:cs="宋体"/>
          <w:sz w:val="32"/>
          <w:szCs w:val="32"/>
        </w:rPr>
        <w:t>第四部分</w:t>
      </w:r>
      <w:r>
        <w:rPr>
          <w:rFonts w:hint="eastAsia" w:ascii="宋体" w:hAnsi="宋体" w:cs="宋体"/>
          <w:sz w:val="32"/>
          <w:szCs w:val="32"/>
        </w:rPr>
        <w:tab/>
      </w:r>
      <w:r>
        <w:rPr>
          <w:rFonts w:hint="eastAsia" w:ascii="宋体" w:hAnsi="宋体" w:cs="宋体"/>
          <w:sz w:val="32"/>
          <w:szCs w:val="32"/>
        </w:rPr>
        <w:t>评标办法</w:t>
      </w:r>
    </w:p>
    <w:p>
      <w:pPr>
        <w:spacing w:line="360" w:lineRule="auto"/>
        <w:rPr>
          <w:rFonts w:ascii="宋体" w:hAnsi="宋体" w:cs="宋体"/>
          <w:sz w:val="32"/>
          <w:szCs w:val="32"/>
        </w:rPr>
      </w:pPr>
      <w:r>
        <w:rPr>
          <w:rFonts w:hint="eastAsia" w:ascii="宋体" w:hAnsi="宋体" w:cs="宋体"/>
          <w:sz w:val="32"/>
          <w:szCs w:val="32"/>
        </w:rPr>
        <w:tab/>
      </w:r>
      <w:r>
        <w:rPr>
          <w:rFonts w:hint="eastAsia" w:ascii="宋体" w:hAnsi="宋体" w:cs="宋体"/>
          <w:sz w:val="32"/>
          <w:szCs w:val="32"/>
        </w:rPr>
        <w:t>第五部分</w:t>
      </w:r>
      <w:r>
        <w:rPr>
          <w:rFonts w:hint="eastAsia" w:ascii="宋体" w:hAnsi="宋体" w:cs="宋体"/>
          <w:sz w:val="32"/>
          <w:szCs w:val="32"/>
        </w:rPr>
        <w:tab/>
      </w:r>
      <w:r>
        <w:rPr>
          <w:rFonts w:hint="eastAsia" w:ascii="宋体" w:hAnsi="宋体" w:cs="宋体"/>
          <w:sz w:val="32"/>
          <w:szCs w:val="32"/>
        </w:rPr>
        <w:t>拟签订的合同文本</w:t>
      </w:r>
    </w:p>
    <w:p>
      <w:pPr>
        <w:spacing w:line="360" w:lineRule="auto"/>
        <w:jc w:val="left"/>
        <w:rPr>
          <w:rFonts w:ascii="宋体" w:hAnsi="宋体" w:cs="宋体"/>
          <w:sz w:val="32"/>
          <w:szCs w:val="32"/>
        </w:rPr>
      </w:pPr>
      <w:r>
        <w:rPr>
          <w:rFonts w:hint="eastAsia" w:ascii="宋体" w:hAnsi="宋体" w:cs="宋体"/>
          <w:sz w:val="32"/>
          <w:szCs w:val="32"/>
        </w:rPr>
        <w:tab/>
      </w:r>
      <w:r>
        <w:rPr>
          <w:rFonts w:hint="eastAsia" w:ascii="宋体" w:hAnsi="宋体" w:cs="宋体"/>
          <w:sz w:val="32"/>
          <w:szCs w:val="32"/>
        </w:rPr>
        <w:t>第六部分</w:t>
      </w:r>
      <w:r>
        <w:rPr>
          <w:rFonts w:hint="eastAsia" w:ascii="宋体" w:hAnsi="宋体" w:cs="宋体"/>
          <w:sz w:val="32"/>
          <w:szCs w:val="32"/>
        </w:rPr>
        <w:tab/>
      </w:r>
      <w:r>
        <w:rPr>
          <w:rFonts w:hint="eastAsia" w:ascii="宋体" w:hAnsi="宋体" w:cs="宋体"/>
          <w:sz w:val="32"/>
          <w:szCs w:val="32"/>
        </w:rPr>
        <w:t>应提交的有关格式范例</w:t>
      </w:r>
    </w:p>
    <w:p>
      <w:pPr>
        <w:adjustRightInd/>
        <w:spacing w:line="360" w:lineRule="auto"/>
        <w:jc w:val="center"/>
        <w:outlineLvl w:val="0"/>
        <w:rPr>
          <w:rFonts w:ascii="宋体" w:hAnsi="宋体" w:cs="宋体"/>
          <w:b/>
          <w:sz w:val="36"/>
          <w:szCs w:val="20"/>
        </w:rPr>
        <w:sectPr>
          <w:pgSz w:w="11906" w:h="16838"/>
          <w:pgMar w:top="1440" w:right="1800" w:bottom="1440" w:left="1800" w:header="851" w:footer="992" w:gutter="0"/>
          <w:cols w:space="720" w:num="1"/>
          <w:titlePg/>
          <w:docGrid w:linePitch="312" w:charSpace="0"/>
        </w:sectPr>
      </w:pPr>
      <w:bookmarkStart w:id="1" w:name="_Hlt74728647"/>
      <w:bookmarkEnd w:id="1"/>
      <w:bookmarkStart w:id="2" w:name="_Hlt74707423"/>
      <w:bookmarkEnd w:id="2"/>
      <w:bookmarkStart w:id="3" w:name="_Hlt74729822"/>
      <w:bookmarkEnd w:id="3"/>
      <w:bookmarkStart w:id="4" w:name="_Hlt74649545"/>
      <w:bookmarkEnd w:id="4"/>
      <w:bookmarkStart w:id="5" w:name="_Hlt91233176"/>
      <w:bookmarkEnd w:id="5"/>
      <w:bookmarkStart w:id="6" w:name="第二部分"/>
      <w:bookmarkStart w:id="7" w:name="_Toc91899870"/>
      <w:bookmarkStart w:id="8" w:name="_Toc91899871"/>
    </w:p>
    <w:p>
      <w:pPr>
        <w:adjustRightInd/>
        <w:spacing w:before="480" w:beforeLines="200" w:after="240" w:afterLines="100" w:line="360" w:lineRule="auto"/>
        <w:jc w:val="center"/>
        <w:rPr>
          <w:rFonts w:ascii="宋体" w:hAnsi="宋体"/>
          <w:b/>
          <w:szCs w:val="21"/>
        </w:rPr>
      </w:pPr>
      <w:r>
        <w:rPr>
          <w:rFonts w:hint="eastAsia" w:ascii="宋体" w:hAnsi="宋体"/>
          <w:b/>
          <w:sz w:val="36"/>
          <w:szCs w:val="36"/>
        </w:rPr>
        <w:t>第一部分 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szCs w:val="21"/>
          <w:u w:val="single"/>
        </w:rPr>
        <w:t>杭州市临平区第一人民医院医共体医疗设备维保外包项目</w:t>
      </w:r>
      <w:r>
        <w:rPr>
          <w:rFonts w:hint="eastAsia" w:ascii="宋体" w:hAnsi="宋体" w:cs="宋体"/>
          <w:szCs w:val="21"/>
        </w:rPr>
        <w:t>招标项目的潜在投标人应在政采云平台（</w:t>
      </w:r>
      <w:r>
        <w:rPr>
          <w:rFonts w:ascii="宋体" w:hAnsi="宋体"/>
          <w:szCs w:val="21"/>
        </w:rPr>
        <w:fldChar w:fldCharType="begin"/>
      </w:r>
      <w:r>
        <w:rPr>
          <w:rFonts w:ascii="宋体" w:hAnsi="宋体"/>
          <w:szCs w:val="21"/>
        </w:rPr>
        <w:instrText xml:space="preserve">HYPERLINK "https://www.zcygov.cn/）获取（下载）招标文件，并于202%20年%20月%20日%20点%20分00秒"</w:instrText>
      </w:r>
      <w:r>
        <w:rPr>
          <w:rFonts w:ascii="宋体" w:hAnsi="宋体"/>
          <w:szCs w:val="21"/>
        </w:rPr>
        <w:fldChar w:fldCharType="separate"/>
      </w:r>
      <w:r>
        <w:rPr>
          <w:rStyle w:val="76"/>
          <w:rFonts w:hint="eastAsia" w:ascii="宋体" w:hAnsi="宋体" w:eastAsia="宋体" w:cs="宋体"/>
          <w:snapToGrid/>
          <w:kern w:val="2"/>
          <w:sz w:val="21"/>
          <w:szCs w:val="21"/>
        </w:rPr>
        <w:t>https://www.zcygov.cn/）获取（下载）招标文件，并于2023年7月7日13点30分</w:t>
      </w:r>
      <w:r>
        <w:rPr>
          <w:rStyle w:val="76"/>
          <w:rFonts w:hint="eastAsia" w:ascii="宋体" w:hAnsi="宋体" w:eastAsia="宋体" w:cs="宋体"/>
          <w:bCs/>
          <w:snapToGrid/>
          <w:kern w:val="2"/>
          <w:sz w:val="21"/>
          <w:szCs w:val="21"/>
        </w:rPr>
        <w:t>00秒</w:t>
      </w:r>
      <w:r>
        <w:rPr>
          <w:rFonts w:ascii="宋体" w:hAnsi="宋体"/>
          <w:szCs w:val="21"/>
        </w:rPr>
        <w:fldChar w:fldCharType="end"/>
      </w:r>
      <w:r>
        <w:rPr>
          <w:rFonts w:hint="eastAsia" w:ascii="宋体" w:hAnsi="宋体" w:cs="宋体"/>
          <w:bCs/>
          <w:szCs w:val="21"/>
        </w:rPr>
        <w:t>（北京时间）前</w:t>
      </w:r>
      <w:r>
        <w:rPr>
          <w:rFonts w:hint="eastAsia" w:ascii="宋体" w:hAnsi="宋体" w:cs="宋体"/>
          <w:szCs w:val="21"/>
        </w:rPr>
        <w:t>递交（上传）投标文件。</w:t>
      </w:r>
    </w:p>
    <w:p>
      <w:pPr>
        <w:spacing w:line="360" w:lineRule="auto"/>
        <w:rPr>
          <w:rFonts w:ascii="宋体" w:hAnsi="宋体" w:cs="宋体"/>
          <w:b/>
          <w:szCs w:val="21"/>
        </w:rPr>
      </w:pPr>
      <w:r>
        <w:rPr>
          <w:rFonts w:hint="eastAsia" w:ascii="宋体" w:hAnsi="宋体" w:cs="宋体"/>
          <w:b/>
          <w:szCs w:val="21"/>
        </w:rPr>
        <w:t xml:space="preserve">一、项目基本情况                                            </w:t>
      </w:r>
    </w:p>
    <w:p>
      <w:pPr>
        <w:spacing w:line="360" w:lineRule="auto"/>
        <w:ind w:firstLine="420" w:firstLineChars="200"/>
        <w:rPr>
          <w:rFonts w:ascii="宋体" w:hAnsi="宋体" w:cs="宋体"/>
          <w:szCs w:val="21"/>
        </w:rPr>
      </w:pPr>
      <w:r>
        <w:rPr>
          <w:rFonts w:hint="eastAsia" w:ascii="宋体" w:hAnsi="宋体" w:cs="宋体"/>
          <w:szCs w:val="21"/>
        </w:rPr>
        <w:t>项目编号：</w:t>
      </w:r>
      <w:r>
        <w:rPr>
          <w:rFonts w:ascii="宋体" w:hAnsi="宋体" w:cs="宋体"/>
          <w:szCs w:val="21"/>
        </w:rPr>
        <w:t xml:space="preserve"> </w:t>
      </w:r>
      <w:r>
        <w:rPr>
          <w:rFonts w:hint="eastAsia" w:ascii="宋体" w:hAnsi="宋体" w:cs="宋体"/>
          <w:szCs w:val="21"/>
        </w:rPr>
        <w:t>0625-23215663</w:t>
      </w:r>
    </w:p>
    <w:p>
      <w:pPr>
        <w:spacing w:line="360" w:lineRule="auto"/>
        <w:ind w:firstLine="420" w:firstLineChars="200"/>
        <w:rPr>
          <w:rFonts w:ascii="宋体" w:hAnsi="宋体" w:cs="宋体"/>
          <w:szCs w:val="21"/>
        </w:rPr>
      </w:pPr>
      <w:r>
        <w:rPr>
          <w:rFonts w:hint="eastAsia" w:ascii="宋体" w:hAnsi="宋体" w:cs="宋体"/>
          <w:szCs w:val="21"/>
        </w:rPr>
        <w:t>项目名称：</w:t>
      </w:r>
      <w:r>
        <w:rPr>
          <w:rFonts w:ascii="宋体" w:hAnsi="宋体" w:cs="宋体"/>
          <w:szCs w:val="21"/>
        </w:rPr>
        <w:t>医共体医疗设备维保外包项目</w:t>
      </w:r>
    </w:p>
    <w:p>
      <w:pPr>
        <w:spacing w:line="360" w:lineRule="auto"/>
        <w:ind w:firstLine="420" w:firstLineChars="200"/>
        <w:rPr>
          <w:rFonts w:hint="eastAsia" w:ascii="宋体" w:hAnsi="宋体" w:cs="宋体"/>
          <w:szCs w:val="21"/>
        </w:rPr>
      </w:pPr>
      <w:r>
        <w:rPr>
          <w:rFonts w:hint="eastAsia" w:ascii="宋体" w:hAnsi="宋体" w:cs="宋体"/>
          <w:szCs w:val="21"/>
        </w:rPr>
        <w:t>预算金额（元）：9,000,000.00</w:t>
      </w:r>
    </w:p>
    <w:p>
      <w:pPr>
        <w:spacing w:line="360" w:lineRule="auto"/>
        <w:ind w:firstLine="420" w:firstLineChars="200"/>
        <w:rPr>
          <w:rFonts w:ascii="宋体" w:hAnsi="宋体" w:cs="宋体"/>
          <w:szCs w:val="21"/>
        </w:rPr>
      </w:pPr>
      <w:r>
        <w:rPr>
          <w:rFonts w:hint="eastAsia" w:ascii="宋体" w:hAnsi="宋体" w:cs="宋体"/>
          <w:szCs w:val="21"/>
        </w:rPr>
        <w:t>最高限价（元）：9,000,000.00</w:t>
      </w:r>
    </w:p>
    <w:p>
      <w:pPr>
        <w:pStyle w:val="5"/>
        <w:spacing w:line="360" w:lineRule="auto"/>
        <w:ind w:firstLine="420" w:firstLineChars="200"/>
        <w:rPr>
          <w:rFonts w:hint="eastAsia" w:hAnsi="宋体" w:cs="宋体"/>
          <w:snapToGrid/>
          <w:color w:val="auto"/>
          <w:kern w:val="2"/>
          <w:sz w:val="21"/>
          <w:szCs w:val="21"/>
        </w:rPr>
      </w:pPr>
      <w:r>
        <w:rPr>
          <w:rFonts w:hint="eastAsia" w:hAnsi="宋体" w:cs="宋体"/>
          <w:snapToGrid/>
          <w:color w:val="auto"/>
          <w:kern w:val="2"/>
          <w:sz w:val="21"/>
          <w:szCs w:val="21"/>
        </w:rPr>
        <w:t xml:space="preserve">采购需求： </w:t>
      </w:r>
    </w:p>
    <w:p>
      <w:pPr>
        <w:spacing w:line="360" w:lineRule="auto"/>
        <w:ind w:firstLine="420" w:firstLineChars="200"/>
        <w:jc w:val="left"/>
        <w:rPr>
          <w:rFonts w:hint="eastAsia" w:ascii="宋体" w:hAnsi="宋体" w:cs="宋体"/>
          <w:szCs w:val="21"/>
        </w:rPr>
      </w:pPr>
      <w:r>
        <w:rPr>
          <w:rFonts w:hint="eastAsia" w:ascii="宋体" w:hAnsi="宋体" w:cs="宋体"/>
          <w:szCs w:val="21"/>
        </w:rPr>
        <w:tab/>
      </w:r>
      <w:r>
        <w:rPr>
          <w:rFonts w:hint="eastAsia" w:ascii="宋体" w:hAnsi="宋体" w:cs="宋体"/>
          <w:szCs w:val="21"/>
        </w:rPr>
        <w:t>标项1：</w:t>
      </w:r>
    </w:p>
    <w:p>
      <w:pPr>
        <w:spacing w:line="360" w:lineRule="auto"/>
        <w:ind w:firstLine="420" w:firstLineChars="200"/>
        <w:jc w:val="left"/>
        <w:rPr>
          <w:rFonts w:ascii="宋体" w:hAnsi="宋体" w:cs="宋体"/>
          <w:szCs w:val="21"/>
        </w:rPr>
      </w:pPr>
      <w:r>
        <w:rPr>
          <w:rFonts w:hint="eastAsia" w:ascii="宋体" w:hAnsi="宋体" w:cs="宋体"/>
          <w:szCs w:val="21"/>
        </w:rPr>
        <w:tab/>
      </w:r>
      <w:r>
        <w:rPr>
          <w:rFonts w:ascii="宋体" w:hAnsi="宋体" w:cs="宋体"/>
          <w:szCs w:val="21"/>
        </w:rPr>
        <w:t>标项名称：医共体医疗设备维保外包项目</w:t>
      </w:r>
    </w:p>
    <w:p>
      <w:pPr>
        <w:spacing w:line="360" w:lineRule="auto"/>
        <w:ind w:firstLine="420" w:firstLineChars="200"/>
        <w:jc w:val="left"/>
        <w:rPr>
          <w:rFonts w:ascii="宋体" w:hAnsi="宋体" w:cs="宋体"/>
          <w:szCs w:val="21"/>
        </w:rPr>
      </w:pPr>
      <w:r>
        <w:rPr>
          <w:rFonts w:ascii="宋体" w:hAnsi="宋体" w:cs="宋体"/>
          <w:szCs w:val="21"/>
        </w:rPr>
        <w:tab/>
      </w:r>
      <w:r>
        <w:rPr>
          <w:rFonts w:ascii="宋体" w:hAnsi="宋体" w:cs="宋体"/>
          <w:szCs w:val="21"/>
        </w:rPr>
        <w:t>数量：</w:t>
      </w:r>
      <w:r>
        <w:rPr>
          <w:rFonts w:hint="eastAsia" w:ascii="宋体" w:hAnsi="宋体" w:cs="宋体"/>
          <w:szCs w:val="21"/>
        </w:rPr>
        <w:t>1</w:t>
      </w:r>
    </w:p>
    <w:p>
      <w:pPr>
        <w:spacing w:line="360" w:lineRule="auto"/>
        <w:ind w:firstLine="420" w:firstLineChars="200"/>
        <w:jc w:val="left"/>
        <w:rPr>
          <w:rFonts w:ascii="宋体" w:hAnsi="宋体" w:cs="宋体"/>
          <w:szCs w:val="21"/>
        </w:rPr>
      </w:pPr>
      <w:r>
        <w:rPr>
          <w:rFonts w:ascii="宋体" w:hAnsi="宋体" w:cs="宋体"/>
          <w:szCs w:val="21"/>
        </w:rPr>
        <w:tab/>
      </w:r>
      <w:r>
        <w:rPr>
          <w:rFonts w:ascii="宋体" w:hAnsi="宋体" w:cs="宋体"/>
          <w:szCs w:val="21"/>
        </w:rPr>
        <w:t>单位：</w:t>
      </w:r>
      <w:r>
        <w:rPr>
          <w:rFonts w:hint="eastAsia" w:ascii="宋体" w:hAnsi="宋体" w:cs="宋体"/>
          <w:szCs w:val="21"/>
        </w:rPr>
        <w:t>年</w:t>
      </w:r>
    </w:p>
    <w:p>
      <w:pPr>
        <w:spacing w:line="360" w:lineRule="auto"/>
        <w:ind w:firstLine="420" w:firstLineChars="200"/>
        <w:jc w:val="left"/>
        <w:rPr>
          <w:rFonts w:hint="eastAsia" w:ascii="宋体" w:hAnsi="宋体" w:cs="宋体"/>
          <w:szCs w:val="21"/>
        </w:rPr>
      </w:pPr>
      <w:r>
        <w:rPr>
          <w:rFonts w:ascii="宋体" w:hAnsi="宋体" w:cs="宋体"/>
          <w:szCs w:val="21"/>
        </w:rPr>
        <w:tab/>
      </w:r>
      <w:r>
        <w:rPr>
          <w:rFonts w:ascii="宋体" w:hAnsi="宋体" w:cs="宋体"/>
          <w:szCs w:val="21"/>
        </w:rPr>
        <w:t>预算金额（元）：</w:t>
      </w:r>
      <w:r>
        <w:rPr>
          <w:rFonts w:hint="eastAsia" w:ascii="宋体" w:hAnsi="宋体" w:cs="宋体"/>
          <w:szCs w:val="21"/>
        </w:rPr>
        <w:t>9,000,000.00</w:t>
      </w:r>
    </w:p>
    <w:p>
      <w:pPr>
        <w:spacing w:line="360" w:lineRule="auto"/>
        <w:ind w:firstLine="420" w:firstLineChars="200"/>
        <w:rPr>
          <w:rFonts w:ascii="宋体" w:hAnsi="宋体" w:cs="宋体"/>
          <w:szCs w:val="21"/>
        </w:rPr>
      </w:pPr>
      <w:r>
        <w:rPr>
          <w:rFonts w:ascii="宋体" w:hAnsi="宋体" w:cs="宋体"/>
          <w:szCs w:val="21"/>
        </w:rPr>
        <w:tab/>
      </w:r>
      <w:r>
        <w:rPr>
          <w:rFonts w:ascii="宋体" w:hAnsi="宋体" w:cs="宋体"/>
          <w:szCs w:val="21"/>
        </w:rPr>
        <w:t>简要规格描述或项目基本概况介绍、用途：</w:t>
      </w:r>
      <w:r>
        <w:rPr>
          <w:rFonts w:hint="eastAsia" w:ascii="宋体" w:hAnsi="宋体" w:cs="宋体"/>
          <w:szCs w:val="21"/>
        </w:rPr>
        <w:t>（元）：</w:t>
      </w:r>
      <w:r>
        <w:rPr>
          <w:rFonts w:ascii="宋体" w:hAnsi="宋体" w:cs="宋体"/>
          <w:szCs w:val="21"/>
        </w:rPr>
        <w:t>本院医共体内所有在用医疗设备维保</w:t>
      </w:r>
      <w:r>
        <w:rPr>
          <w:rFonts w:hint="eastAsia" w:ascii="宋体" w:hAnsi="宋体" w:cs="宋体"/>
          <w:szCs w:val="21"/>
        </w:rPr>
        <w:t>。具体以招标文件第三部分采购需求为准，供应商可点击本公告下方“浏览采购文件”查看采购需求。</w:t>
      </w:r>
    </w:p>
    <w:p>
      <w:pPr>
        <w:spacing w:line="360" w:lineRule="auto"/>
        <w:ind w:firstLine="420" w:firstLineChars="200"/>
        <w:jc w:val="left"/>
        <w:rPr>
          <w:rFonts w:ascii="宋体" w:hAnsi="宋体" w:cs="宋体"/>
          <w:szCs w:val="21"/>
        </w:rPr>
      </w:pPr>
      <w:r>
        <w:rPr>
          <w:rFonts w:ascii="宋体" w:hAnsi="宋体" w:cs="宋体"/>
          <w:szCs w:val="21"/>
        </w:rPr>
        <w:tab/>
      </w:r>
      <w:r>
        <w:rPr>
          <w:rFonts w:ascii="宋体" w:hAnsi="宋体" w:cs="宋体"/>
          <w:szCs w:val="21"/>
        </w:rPr>
        <w:t>备注：不允许</w:t>
      </w:r>
      <w:r>
        <w:rPr>
          <w:rFonts w:hint="eastAsia" w:ascii="宋体" w:hAnsi="宋体" w:cs="宋体"/>
          <w:szCs w:val="21"/>
        </w:rPr>
        <w:t>采购</w:t>
      </w:r>
      <w:r>
        <w:rPr>
          <w:rFonts w:ascii="宋体" w:hAnsi="宋体" w:cs="宋体"/>
          <w:szCs w:val="21"/>
        </w:rPr>
        <w:t>进口</w:t>
      </w:r>
      <w:r>
        <w:rPr>
          <w:rFonts w:hint="eastAsia" w:ascii="宋体" w:hAnsi="宋体" w:cs="宋体"/>
          <w:szCs w:val="21"/>
        </w:rPr>
        <w:t>服务；</w:t>
      </w:r>
    </w:p>
    <w:p>
      <w:pPr>
        <w:spacing w:line="360" w:lineRule="auto"/>
        <w:ind w:firstLine="420" w:firstLineChars="200"/>
        <w:jc w:val="left"/>
        <w:rPr>
          <w:rFonts w:ascii="宋体" w:hAnsi="宋体" w:cs="宋体"/>
          <w:szCs w:val="21"/>
        </w:rPr>
      </w:pPr>
      <w:r>
        <w:rPr>
          <w:rFonts w:ascii="宋体" w:hAnsi="宋体" w:cs="宋体"/>
          <w:szCs w:val="21"/>
        </w:rPr>
        <w:t>合同履约期限：</w:t>
      </w:r>
      <w:r>
        <w:rPr>
          <w:rFonts w:hint="eastAsia" w:ascii="宋体" w:hAnsi="宋体" w:cs="宋体"/>
          <w:szCs w:val="21"/>
        </w:rPr>
        <w:t>服务期：1年。</w:t>
      </w:r>
    </w:p>
    <w:p>
      <w:pPr>
        <w:spacing w:line="360" w:lineRule="auto"/>
        <w:ind w:firstLine="420" w:firstLineChars="200"/>
        <w:jc w:val="left"/>
        <w:rPr>
          <w:rFonts w:hint="eastAsia" w:ascii="宋体" w:hAnsi="宋体" w:cs="宋体"/>
          <w:szCs w:val="21"/>
        </w:rPr>
      </w:pPr>
      <w:r>
        <w:rPr>
          <w:rFonts w:ascii="宋体" w:hAnsi="宋体" w:cs="宋体"/>
          <w:szCs w:val="21"/>
        </w:rPr>
        <w:t xml:space="preserve">本项目接受联合体投标： </w:t>
      </w:r>
      <w:r>
        <w:rPr>
          <w:rFonts w:ascii="宋体" w:hAnsi="宋体" w:cs="宋体"/>
          <w:szCs w:val="21"/>
        </w:rPr>
        <w:sym w:font="Wingdings 2" w:char="F052"/>
      </w:r>
      <w:r>
        <w:rPr>
          <w:rFonts w:ascii="宋体" w:hAnsi="宋体" w:cs="宋体"/>
          <w:szCs w:val="21"/>
        </w:rPr>
        <w:t>是，☐否。</w:t>
      </w:r>
    </w:p>
    <w:p>
      <w:pPr>
        <w:spacing w:line="360" w:lineRule="auto"/>
        <w:rPr>
          <w:rFonts w:ascii="宋体" w:hAnsi="宋体" w:cs="宋体"/>
          <w:b/>
          <w:szCs w:val="21"/>
        </w:rPr>
      </w:pPr>
      <w:r>
        <w:rPr>
          <w:rFonts w:hint="eastAsia" w:ascii="宋体" w:hAnsi="宋体" w:cs="宋体"/>
          <w:b/>
          <w:szCs w:val="21"/>
        </w:rPr>
        <w:t>二、申请人的资格要求：</w:t>
      </w:r>
    </w:p>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2.落实政府采购政策需满足的资格要求：</w:t>
      </w:r>
    </w:p>
    <w:p>
      <w:pPr>
        <w:spacing w:line="360" w:lineRule="auto"/>
        <w:ind w:firstLine="420" w:firstLineChars="200"/>
        <w:rPr>
          <w:rFonts w:ascii="宋体" w:hAnsi="宋体" w:cs="宋体"/>
          <w:szCs w:val="21"/>
        </w:rPr>
      </w:pPr>
      <w:r>
        <w:rPr>
          <w:rFonts w:hint="eastAsia" w:ascii="MS Gothic" w:hAnsi="MS Gothic" w:eastAsia="MS Gothic" w:cs="宋体"/>
          <w:kern w:val="0"/>
          <w:szCs w:val="21"/>
        </w:rPr>
        <w:t>☐</w:t>
      </w:r>
      <w:r>
        <w:rPr>
          <w:rFonts w:hint="eastAsia" w:ascii="宋体" w:hAnsi="宋体" w:cs="宋体"/>
          <w:szCs w:val="21"/>
        </w:rPr>
        <w:t>无</w:t>
      </w:r>
      <w:r>
        <w:rPr>
          <w:rFonts w:hint="eastAsia" w:ascii="宋体" w:hAnsi="宋体" w:cs="宋体"/>
          <w:snapToGrid w:val="0"/>
          <w:kern w:val="28"/>
          <w:szCs w:val="21"/>
        </w:rPr>
        <w:t>（注：不得限制大中型企业与小微企业组成联合体参与投标）；</w:t>
      </w:r>
    </w:p>
    <w:p>
      <w:pPr>
        <w:spacing w:line="360" w:lineRule="auto"/>
        <w:ind w:firstLine="420" w:firstLineChars="200"/>
        <w:rPr>
          <w:rFonts w:ascii="宋体" w:hAnsi="宋体" w:cs="宋体"/>
          <w:szCs w:val="21"/>
        </w:rPr>
      </w:pPr>
      <w:r>
        <w:rPr>
          <w:rFonts w:hAnsi="宋体"/>
          <w:szCs w:val="21"/>
        </w:rPr>
        <w:sym w:font="Wingdings 2" w:char="F052"/>
      </w:r>
      <w:r>
        <w:rPr>
          <w:rFonts w:hint="eastAsia" w:ascii="宋体" w:hAnsi="宋体" w:cs="宋体"/>
          <w:kern w:val="0"/>
          <w:szCs w:val="21"/>
        </w:rPr>
        <w:t>专</w:t>
      </w:r>
      <w:r>
        <w:rPr>
          <w:rFonts w:hint="eastAsia" w:ascii="宋体" w:hAnsi="宋体" w:cs="宋体"/>
          <w:szCs w:val="21"/>
        </w:rPr>
        <w:t>门面向中小企业</w:t>
      </w:r>
    </w:p>
    <w:p>
      <w:pPr>
        <w:spacing w:line="360" w:lineRule="auto"/>
        <w:ind w:firstLine="785" w:firstLineChars="374"/>
        <w:rPr>
          <w:rFonts w:ascii="宋体" w:hAnsi="宋体" w:cs="宋体"/>
          <w:szCs w:val="21"/>
        </w:rPr>
      </w:pPr>
      <w:r>
        <w:rPr>
          <w:rFonts w:hAnsi="宋体"/>
          <w:szCs w:val="21"/>
        </w:rPr>
        <w:sym w:font="Wingdings 2" w:char="F052"/>
      </w:r>
      <w:r>
        <w:rPr>
          <w:rFonts w:hint="eastAsia" w:ascii="宋体" w:hAnsi="宋体" w:cs="宋体"/>
          <w:szCs w:val="21"/>
        </w:rPr>
        <w:t>服务全部由符合政策要求的中小企业承接，提供中小企业声明函；</w:t>
      </w:r>
    </w:p>
    <w:p>
      <w:pPr>
        <w:spacing w:line="360" w:lineRule="auto"/>
        <w:ind w:firstLine="735" w:firstLineChars="350"/>
        <w:rPr>
          <w:rFonts w:ascii="宋体" w:hAnsi="宋体" w:cs="宋体"/>
          <w:szCs w:val="21"/>
        </w:rPr>
      </w:pPr>
      <w:r>
        <w:rPr>
          <w:rFonts w:hint="eastAsia" w:ascii="MS Gothic" w:hAnsi="MS Gothic" w:eastAsia="MS Gothic" w:cs="宋体"/>
          <w:kern w:val="0"/>
          <w:szCs w:val="21"/>
        </w:rPr>
        <w:t>☐</w:t>
      </w:r>
      <w:r>
        <w:rPr>
          <w:rFonts w:hint="eastAsia" w:ascii="宋体" w:hAnsi="宋体" w:cs="宋体"/>
          <w:szCs w:val="21"/>
        </w:rPr>
        <w:t>服务全部由符合政策要求的小微企业承接，提供中小企业声明函；</w:t>
      </w:r>
    </w:p>
    <w:p>
      <w:pPr>
        <w:spacing w:line="360" w:lineRule="auto"/>
        <w:ind w:firstLine="420" w:firstLineChars="200"/>
        <w:rPr>
          <w:rFonts w:hint="eastAsia" w:ascii="宋体" w:hAnsi="宋体" w:cs="宋体"/>
          <w:szCs w:val="21"/>
        </w:rPr>
      </w:pPr>
      <w:r>
        <w:rPr>
          <w:rFonts w:hint="eastAsia" w:ascii="宋体" w:hAnsi="宋体" w:cs="宋体"/>
          <w:szCs w:val="21"/>
        </w:rPr>
        <w:t>3.本项目的特定资格要求：公益一类事业单位不得参与承接本服务项目。</w:t>
      </w:r>
    </w:p>
    <w:p>
      <w:pPr>
        <w:spacing w:line="360" w:lineRule="auto"/>
        <w:rPr>
          <w:rFonts w:ascii="宋体" w:hAnsi="宋体" w:cs="宋体"/>
          <w:b/>
          <w:szCs w:val="21"/>
        </w:rPr>
      </w:pPr>
      <w:r>
        <w:rPr>
          <w:rFonts w:hint="eastAsia" w:ascii="宋体" w:hAnsi="宋体" w:cs="宋体"/>
          <w:b/>
          <w:szCs w:val="21"/>
        </w:rPr>
        <w:t xml:space="preserve">三、获取招标文件 </w:t>
      </w:r>
    </w:p>
    <w:p>
      <w:pPr>
        <w:spacing w:line="360" w:lineRule="auto"/>
        <w:ind w:firstLine="422" w:firstLineChars="200"/>
        <w:rPr>
          <w:rFonts w:ascii="宋体" w:hAnsi="宋体" w:cs="宋体"/>
          <w:szCs w:val="21"/>
        </w:rPr>
      </w:pPr>
      <w:r>
        <w:rPr>
          <w:rFonts w:hint="eastAsia" w:ascii="宋体" w:hAnsi="宋体" w:cs="宋体"/>
          <w:b/>
          <w:szCs w:val="21"/>
        </w:rPr>
        <w:t>时间：</w:t>
      </w:r>
      <w:r>
        <w:rPr>
          <w:rFonts w:hint="eastAsia" w:ascii="宋体" w:hAnsi="宋体" w:cs="宋体"/>
          <w:szCs w:val="21"/>
        </w:rPr>
        <w:t>公告发出即日起至</w:t>
      </w:r>
      <w:r>
        <w:rPr>
          <w:rFonts w:hint="eastAsia" w:ascii="宋体" w:hAnsi="宋体" w:cs="宋体"/>
          <w:szCs w:val="21"/>
          <w:u w:val="single"/>
        </w:rPr>
        <w:t>2023年7月7日</w:t>
      </w:r>
      <w:r>
        <w:rPr>
          <w:rFonts w:hint="eastAsia" w:ascii="宋体" w:hAnsi="宋体" w:cs="宋体"/>
          <w:szCs w:val="21"/>
        </w:rPr>
        <w:t>，每天上午00:00至12:00 ，下午12:00至23:59（北京时间，线上获取法定节假日均可，线下获取文件法定节假日除外）</w:t>
      </w:r>
    </w:p>
    <w:p>
      <w:pPr>
        <w:spacing w:line="360"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pPr>
        <w:spacing w:line="360"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pPr>
        <w:spacing w:line="360"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pPr>
        <w:spacing w:line="360" w:lineRule="auto"/>
        <w:rPr>
          <w:rFonts w:ascii="宋体" w:hAnsi="宋体" w:cs="宋体"/>
          <w:b/>
          <w:szCs w:val="21"/>
        </w:rPr>
      </w:pPr>
      <w:r>
        <w:rPr>
          <w:rFonts w:hint="eastAsia" w:ascii="宋体" w:hAnsi="宋体" w:cs="宋体"/>
          <w:b/>
          <w:szCs w:val="21"/>
        </w:rPr>
        <w:t>四、提交投标文件截止时间、开标时间和地点</w:t>
      </w:r>
    </w:p>
    <w:p>
      <w:pPr>
        <w:spacing w:line="360"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2023年7月7日13点30分00秒</w:t>
      </w:r>
      <w:r>
        <w:rPr>
          <w:rFonts w:hint="eastAsia" w:ascii="宋体" w:hAnsi="宋体" w:cs="宋体"/>
          <w:szCs w:val="21"/>
        </w:rPr>
        <w:t>（北京时间）</w:t>
      </w:r>
    </w:p>
    <w:p>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政采云平台（https://www.zcygov.cn/） </w:t>
      </w:r>
    </w:p>
    <w:p>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2023年7月7日13点30分00秒</w:t>
      </w:r>
      <w:r>
        <w:rPr>
          <w:rFonts w:hint="eastAsia" w:ascii="宋体" w:hAnsi="宋体" w:cs="宋体"/>
          <w:szCs w:val="21"/>
        </w:rPr>
        <w:t>（北京时间）</w:t>
      </w:r>
    </w:p>
    <w:p>
      <w:pPr>
        <w:spacing w:line="360"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pPr>
        <w:spacing w:line="360" w:lineRule="auto"/>
        <w:rPr>
          <w:rFonts w:ascii="宋体" w:hAnsi="宋体" w:cs="宋体"/>
          <w:szCs w:val="21"/>
        </w:rPr>
      </w:pPr>
      <w:r>
        <w:rPr>
          <w:rFonts w:hint="eastAsia" w:ascii="宋体" w:hAnsi="宋体" w:cs="宋体"/>
          <w:b/>
          <w:szCs w:val="21"/>
        </w:rPr>
        <w:t xml:space="preserve">五、公告期限 </w:t>
      </w:r>
    </w:p>
    <w:p>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pPr>
        <w:spacing w:line="360" w:lineRule="auto"/>
        <w:rPr>
          <w:rFonts w:ascii="宋体" w:hAnsi="宋体" w:cs="宋体"/>
          <w:b/>
          <w:szCs w:val="21"/>
        </w:rPr>
      </w:pPr>
      <w:r>
        <w:rPr>
          <w:rFonts w:hint="eastAsia" w:ascii="宋体" w:hAnsi="宋体" w:cs="宋体"/>
          <w:b/>
          <w:szCs w:val="21"/>
        </w:rPr>
        <w:t>六、其他补充事宜</w:t>
      </w:r>
    </w:p>
    <w:p>
      <w:pPr>
        <w:spacing w:line="360" w:lineRule="auto"/>
        <w:ind w:firstLine="420" w:firstLineChars="200"/>
        <w:rPr>
          <w:rFonts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szCs w:val="21"/>
        </w:rPr>
      </w:pPr>
      <w:r>
        <w:rPr>
          <w:rFonts w:hint="eastAsia" w:ascii="宋体" w:hAnsi="宋体" w:cs="宋体"/>
          <w:szCs w:val="21"/>
        </w:rPr>
        <w:t>4.其他事项：（1）以联合体形式投标的，提供联合协议(本项目不接受联合体投标或者投标人不以联合体形式投标的，则不需要提供)。（2）单位负责人为同一人或者存在直接控股、管理关系的不同供应商，不得参加同一合同项下的政府采购活动；为采购项目提供整体设计、规范编制或者项目管理、监理、检测等服务后不得再参加该采购项目的其他采购活动。（3）需要落实的政府采购政策：包括节约资源、保护环境、支持创新、促进中小企业发展等。详见招标文件的第二部分总则。（4）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5）招标文件公告期限与招标公告的公告期限一致。</w:t>
      </w:r>
    </w:p>
    <w:p>
      <w:pPr>
        <w:spacing w:line="360" w:lineRule="auto"/>
        <w:rPr>
          <w:rFonts w:ascii="宋体" w:hAnsi="宋体" w:cs="宋体"/>
          <w:b/>
          <w:szCs w:val="21"/>
        </w:rPr>
      </w:pPr>
      <w:r>
        <w:rPr>
          <w:rFonts w:hint="eastAsia" w:ascii="宋体" w:hAnsi="宋体" w:cs="宋体"/>
          <w:b/>
          <w:szCs w:val="21"/>
        </w:rPr>
        <w:t>七、对本次采购提出询问、质疑、投诉，请按以下方式联系</w:t>
      </w:r>
    </w:p>
    <w:p>
      <w:pPr>
        <w:spacing w:line="360" w:lineRule="auto"/>
        <w:ind w:firstLine="420" w:firstLineChars="200"/>
        <w:jc w:val="left"/>
        <w:rPr>
          <w:szCs w:val="21"/>
        </w:rPr>
      </w:pPr>
      <w:r>
        <w:rPr>
          <w:rFonts w:hint="eastAsia"/>
          <w:szCs w:val="21"/>
        </w:rPr>
        <w:t>1、采购人信息</w:t>
      </w:r>
    </w:p>
    <w:p>
      <w:pPr>
        <w:spacing w:line="360" w:lineRule="auto"/>
        <w:ind w:firstLine="420" w:firstLineChars="200"/>
        <w:jc w:val="left"/>
        <w:rPr>
          <w:szCs w:val="21"/>
        </w:rPr>
      </w:pPr>
      <w:bookmarkStart w:id="9" w:name="_Toc28359009"/>
      <w:bookmarkStart w:id="10" w:name="_Toc28359086"/>
      <w:r>
        <w:rPr>
          <w:rFonts w:hint="eastAsia"/>
          <w:szCs w:val="21"/>
        </w:rPr>
        <w:t>名  称：</w:t>
      </w:r>
      <w:r>
        <w:rPr>
          <w:szCs w:val="21"/>
        </w:rPr>
        <w:t>杭州市临平区第一人民医院</w:t>
      </w:r>
    </w:p>
    <w:p>
      <w:pPr>
        <w:spacing w:line="360" w:lineRule="auto"/>
        <w:ind w:firstLine="420" w:firstLineChars="200"/>
        <w:jc w:val="left"/>
        <w:rPr>
          <w:rFonts w:hint="eastAsia"/>
          <w:szCs w:val="21"/>
        </w:rPr>
      </w:pPr>
      <w:r>
        <w:rPr>
          <w:rFonts w:hint="eastAsia"/>
          <w:szCs w:val="21"/>
        </w:rPr>
        <w:t>地  址：杭州市</w:t>
      </w:r>
      <w:r>
        <w:rPr>
          <w:szCs w:val="21"/>
        </w:rPr>
        <w:t>临平区</w:t>
      </w:r>
      <w:r>
        <w:rPr>
          <w:rFonts w:hint="eastAsia"/>
          <w:szCs w:val="21"/>
        </w:rPr>
        <w:t>迎宾路369号</w:t>
      </w:r>
    </w:p>
    <w:p>
      <w:pPr>
        <w:spacing w:line="360" w:lineRule="auto"/>
        <w:ind w:firstLine="420" w:firstLineChars="200"/>
        <w:jc w:val="left"/>
        <w:rPr>
          <w:szCs w:val="21"/>
        </w:rPr>
      </w:pPr>
      <w:r>
        <w:rPr>
          <w:rFonts w:hint="eastAsia"/>
          <w:szCs w:val="21"/>
        </w:rPr>
        <w:t>项目联系人（询问）：高礼达</w:t>
      </w:r>
    </w:p>
    <w:p>
      <w:pPr>
        <w:spacing w:line="360" w:lineRule="auto"/>
        <w:ind w:firstLine="420" w:firstLineChars="200"/>
        <w:jc w:val="left"/>
        <w:rPr>
          <w:rFonts w:hint="eastAsia"/>
          <w:szCs w:val="21"/>
        </w:rPr>
      </w:pPr>
      <w:r>
        <w:rPr>
          <w:rFonts w:hint="eastAsia"/>
          <w:szCs w:val="21"/>
        </w:rPr>
        <w:t>项目联系方式（询问）：</w:t>
      </w:r>
      <w:r>
        <w:rPr>
          <w:szCs w:val="21"/>
        </w:rPr>
        <w:t>0571-89369935</w:t>
      </w:r>
    </w:p>
    <w:p>
      <w:pPr>
        <w:spacing w:line="360" w:lineRule="auto"/>
        <w:ind w:firstLine="420" w:firstLineChars="200"/>
        <w:jc w:val="left"/>
        <w:rPr>
          <w:rFonts w:hint="eastAsia"/>
          <w:szCs w:val="21"/>
        </w:rPr>
      </w:pPr>
      <w:r>
        <w:rPr>
          <w:rFonts w:hint="eastAsia"/>
          <w:szCs w:val="21"/>
        </w:rPr>
        <w:t>质疑联系人：尤虹力</w:t>
      </w:r>
    </w:p>
    <w:p>
      <w:pPr>
        <w:spacing w:line="360" w:lineRule="auto"/>
        <w:ind w:firstLine="420" w:firstLineChars="200"/>
        <w:jc w:val="left"/>
        <w:rPr>
          <w:rFonts w:hint="eastAsia"/>
          <w:szCs w:val="21"/>
        </w:rPr>
      </w:pPr>
      <w:r>
        <w:rPr>
          <w:rFonts w:hint="eastAsia"/>
          <w:szCs w:val="21"/>
        </w:rPr>
        <w:t>质疑联系方式：</w:t>
      </w:r>
      <w:r>
        <w:rPr>
          <w:szCs w:val="21"/>
        </w:rPr>
        <w:t>0571-89369917</w:t>
      </w:r>
    </w:p>
    <w:p>
      <w:pPr>
        <w:spacing w:line="360" w:lineRule="auto"/>
        <w:ind w:firstLine="420" w:firstLineChars="200"/>
        <w:jc w:val="left"/>
        <w:rPr>
          <w:szCs w:val="21"/>
        </w:rPr>
      </w:pPr>
      <w:r>
        <w:rPr>
          <w:rFonts w:hint="eastAsia"/>
          <w:szCs w:val="21"/>
        </w:rPr>
        <w:t>2.采购代理机构信息</w:t>
      </w:r>
      <w:bookmarkEnd w:id="9"/>
      <w:bookmarkEnd w:id="10"/>
    </w:p>
    <w:p>
      <w:pPr>
        <w:spacing w:line="360" w:lineRule="auto"/>
        <w:ind w:firstLine="420" w:firstLineChars="200"/>
        <w:jc w:val="left"/>
        <w:rPr>
          <w:szCs w:val="21"/>
        </w:rPr>
      </w:pPr>
      <w:r>
        <w:rPr>
          <w:rFonts w:hint="eastAsia"/>
          <w:szCs w:val="21"/>
        </w:rPr>
        <w:t>名  称：浙江省国际技术设备招标有限公司</w:t>
      </w:r>
    </w:p>
    <w:p>
      <w:pPr>
        <w:spacing w:line="360" w:lineRule="auto"/>
        <w:ind w:firstLine="420" w:firstLineChars="200"/>
        <w:jc w:val="left"/>
        <w:rPr>
          <w:szCs w:val="21"/>
        </w:rPr>
      </w:pPr>
      <w:r>
        <w:rPr>
          <w:rFonts w:hint="eastAsia"/>
          <w:szCs w:val="21"/>
        </w:rPr>
        <w:t>地  址：杭州市凤起路334号同方财富大厦14层</w:t>
      </w:r>
    </w:p>
    <w:p>
      <w:pPr>
        <w:spacing w:line="360" w:lineRule="auto"/>
        <w:ind w:firstLine="420" w:firstLineChars="200"/>
        <w:jc w:val="left"/>
        <w:rPr>
          <w:szCs w:val="21"/>
        </w:rPr>
      </w:pPr>
      <w:bookmarkStart w:id="11" w:name="_Toc28359010"/>
      <w:bookmarkStart w:id="12" w:name="_Toc28359087"/>
      <w:r>
        <w:rPr>
          <w:rFonts w:hint="eastAsia"/>
          <w:szCs w:val="21"/>
        </w:rPr>
        <w:t>项目联系人（询问）：孙翔、马菊美</w:t>
      </w:r>
    </w:p>
    <w:p>
      <w:pPr>
        <w:spacing w:line="360" w:lineRule="auto"/>
        <w:ind w:firstLine="420" w:firstLineChars="200"/>
        <w:jc w:val="left"/>
        <w:rPr>
          <w:rFonts w:hint="eastAsia"/>
          <w:szCs w:val="21"/>
          <w:u w:val="single"/>
        </w:rPr>
      </w:pPr>
      <w:r>
        <w:rPr>
          <w:rFonts w:hint="eastAsia"/>
          <w:szCs w:val="21"/>
        </w:rPr>
        <w:t>项目联系方式（询问）：0571-85860244、0571-85860232</w:t>
      </w:r>
    </w:p>
    <w:p>
      <w:pPr>
        <w:spacing w:line="360" w:lineRule="auto"/>
        <w:ind w:firstLine="420" w:firstLineChars="200"/>
        <w:jc w:val="left"/>
        <w:rPr>
          <w:szCs w:val="21"/>
        </w:rPr>
      </w:pPr>
      <w:r>
        <w:rPr>
          <w:rFonts w:hint="eastAsia"/>
          <w:szCs w:val="21"/>
        </w:rPr>
        <w:t>E-Mail：a85860244@126.com</w:t>
      </w:r>
    </w:p>
    <w:p>
      <w:pPr>
        <w:spacing w:line="360" w:lineRule="auto"/>
        <w:ind w:firstLine="420" w:firstLineChars="200"/>
        <w:jc w:val="left"/>
        <w:rPr>
          <w:rFonts w:hint="eastAsia"/>
          <w:szCs w:val="21"/>
        </w:rPr>
      </w:pPr>
      <w:r>
        <w:rPr>
          <w:rFonts w:hint="eastAsia"/>
          <w:szCs w:val="21"/>
        </w:rPr>
        <w:t>质疑联系人：喻胜良、孙荣</w:t>
      </w:r>
    </w:p>
    <w:p>
      <w:pPr>
        <w:spacing w:line="360" w:lineRule="auto"/>
        <w:ind w:firstLine="420" w:firstLineChars="200"/>
        <w:jc w:val="left"/>
        <w:rPr>
          <w:szCs w:val="21"/>
        </w:rPr>
      </w:pPr>
      <w:r>
        <w:rPr>
          <w:rFonts w:hint="eastAsia"/>
          <w:szCs w:val="21"/>
        </w:rPr>
        <w:t>质疑联系方式：0571-85860241、0571-85860270</w:t>
      </w:r>
    </w:p>
    <w:bookmarkEnd w:id="11"/>
    <w:bookmarkEnd w:id="12"/>
    <w:p>
      <w:pPr>
        <w:spacing w:line="360" w:lineRule="auto"/>
        <w:ind w:firstLine="420" w:firstLineChars="200"/>
        <w:jc w:val="left"/>
        <w:rPr>
          <w:rFonts w:hint="eastAsia"/>
          <w:szCs w:val="21"/>
        </w:rPr>
      </w:pPr>
      <w:r>
        <w:rPr>
          <w:rFonts w:hint="eastAsia"/>
          <w:szCs w:val="21"/>
        </w:rPr>
        <w:t>3.同级政府采购监督管理部门</w:t>
      </w:r>
    </w:p>
    <w:p>
      <w:pPr>
        <w:spacing w:line="360" w:lineRule="auto"/>
        <w:ind w:firstLine="420" w:firstLineChars="200"/>
        <w:jc w:val="left"/>
        <w:rPr>
          <w:szCs w:val="21"/>
        </w:rPr>
      </w:pPr>
      <w:r>
        <w:rPr>
          <w:rFonts w:hint="eastAsia"/>
          <w:szCs w:val="21"/>
        </w:rPr>
        <w:t>名  称：</w:t>
      </w:r>
      <w:r>
        <w:rPr>
          <w:szCs w:val="21"/>
        </w:rPr>
        <w:t>杭州市临平区政府采购办</w:t>
      </w:r>
    </w:p>
    <w:p>
      <w:pPr>
        <w:spacing w:line="360" w:lineRule="auto"/>
        <w:ind w:firstLine="420" w:firstLineChars="200"/>
        <w:jc w:val="left"/>
        <w:rPr>
          <w:szCs w:val="21"/>
        </w:rPr>
      </w:pPr>
      <w:r>
        <w:rPr>
          <w:szCs w:val="21"/>
        </w:rPr>
        <w:t>地址：杭州市临平东湖中路236号余杭财税大楼</w:t>
      </w:r>
    </w:p>
    <w:p>
      <w:pPr>
        <w:spacing w:line="360" w:lineRule="auto"/>
        <w:ind w:firstLine="420" w:firstLineChars="200"/>
        <w:jc w:val="left"/>
        <w:rPr>
          <w:rFonts w:hint="eastAsia"/>
          <w:szCs w:val="21"/>
        </w:rPr>
      </w:pPr>
      <w:r>
        <w:rPr>
          <w:szCs w:val="21"/>
        </w:rPr>
        <w:t>联系人：</w:t>
      </w:r>
      <w:r>
        <w:rPr>
          <w:rFonts w:hint="eastAsia"/>
          <w:szCs w:val="21"/>
        </w:rPr>
        <w:t>俞征</w:t>
      </w:r>
    </w:p>
    <w:p>
      <w:pPr>
        <w:spacing w:line="360" w:lineRule="auto"/>
        <w:ind w:firstLine="420" w:firstLineChars="200"/>
        <w:jc w:val="left"/>
        <w:rPr>
          <w:rFonts w:hint="eastAsia"/>
          <w:szCs w:val="21"/>
        </w:rPr>
      </w:pPr>
      <w:r>
        <w:rPr>
          <w:szCs w:val="21"/>
        </w:rPr>
        <w:t>联系电话：0571-89185312</w:t>
      </w:r>
    </w:p>
    <w:p>
      <w:pPr>
        <w:spacing w:line="360" w:lineRule="auto"/>
        <w:ind w:firstLine="420" w:firstLineChars="200"/>
        <w:rPr>
          <w:szCs w:val="21"/>
        </w:rPr>
      </w:pPr>
    </w:p>
    <w:p>
      <w:pPr>
        <w:wordWrap w:val="0"/>
        <w:spacing w:line="360" w:lineRule="auto"/>
        <w:ind w:firstLine="420" w:firstLineChars="200"/>
        <w:jc w:val="left"/>
        <w:rPr>
          <w:szCs w:val="21"/>
        </w:rPr>
      </w:pPr>
      <w:r>
        <w:rPr>
          <w:rFonts w:hAnsi="宋体"/>
          <w:szCs w:val="21"/>
        </w:rPr>
        <w:t>若对项目采购电子交易系统操作有疑问，可登录政采云（</w:t>
      </w:r>
      <w:r>
        <w:rPr>
          <w:szCs w:val="21"/>
        </w:rPr>
        <w:t>https://www.zcygov.cn/</w:t>
      </w:r>
      <w:r>
        <w:rPr>
          <w:rFonts w:hAnsi="宋体"/>
          <w:szCs w:val="21"/>
        </w:rPr>
        <w:t>），点击右侧咨询小采，获取采小蜜智能服务管家帮助，或拨打政采云服务热线</w:t>
      </w:r>
      <w:r>
        <w:rPr>
          <w:szCs w:val="21"/>
        </w:rPr>
        <w:t>400-881-7190</w:t>
      </w:r>
      <w:r>
        <w:rPr>
          <w:rFonts w:hAnsi="宋体"/>
          <w:szCs w:val="21"/>
        </w:rPr>
        <w:t>获取热线服务帮助。</w:t>
      </w:r>
    </w:p>
    <w:p>
      <w:pPr>
        <w:spacing w:line="360" w:lineRule="auto"/>
        <w:rPr>
          <w:rFonts w:ascii="宋体" w:hAnsi="宋体" w:cs="宋体"/>
          <w:b/>
          <w:szCs w:val="21"/>
        </w:rPr>
      </w:pPr>
      <w:r>
        <w:rPr>
          <w:szCs w:val="21"/>
        </w:rPr>
        <w:t>CA</w:t>
      </w:r>
      <w:r>
        <w:rPr>
          <w:rFonts w:hAnsi="宋体"/>
          <w:szCs w:val="21"/>
        </w:rPr>
        <w:t>问题联系电话（人工）：汇信</w:t>
      </w:r>
      <w:r>
        <w:rPr>
          <w:szCs w:val="21"/>
        </w:rPr>
        <w:t>CA 400-888-4636</w:t>
      </w:r>
      <w:r>
        <w:rPr>
          <w:rFonts w:hAnsi="宋体"/>
          <w:szCs w:val="21"/>
        </w:rPr>
        <w:t>；天谷</w:t>
      </w:r>
      <w:r>
        <w:rPr>
          <w:szCs w:val="21"/>
        </w:rPr>
        <w:t>CA 400-087-819</w:t>
      </w:r>
    </w:p>
    <w:p>
      <w:pPr>
        <w:adjustRightInd/>
        <w:spacing w:line="360" w:lineRule="auto"/>
        <w:jc w:val="center"/>
        <w:outlineLvl w:val="0"/>
        <w:rPr>
          <w:rFonts w:ascii="宋体" w:hAnsi="宋体" w:cs="宋体"/>
          <w:b/>
          <w:szCs w:val="21"/>
        </w:rPr>
        <w:sectPr>
          <w:headerReference r:id="rId10" w:type="first"/>
          <w:footerReference r:id="rId12" w:type="first"/>
          <w:headerReference r:id="rId9" w:type="default"/>
          <w:footerReference r:id="rId11" w:type="default"/>
          <w:pgSz w:w="11906" w:h="16838"/>
          <w:pgMar w:top="1440" w:right="1800" w:bottom="1440" w:left="1800" w:header="851" w:footer="992" w:gutter="0"/>
          <w:pgNumType w:start="1"/>
          <w:cols w:space="720" w:num="1"/>
          <w:titlePg/>
          <w:docGrid w:linePitch="312" w:charSpace="0"/>
        </w:sectPr>
      </w:pPr>
    </w:p>
    <w:p>
      <w:pPr>
        <w:adjustRightInd/>
        <w:spacing w:before="480" w:beforeLines="200" w:after="240" w:afterLines="100" w:line="360" w:lineRule="auto"/>
        <w:jc w:val="center"/>
        <w:rPr>
          <w:rFonts w:ascii="宋体" w:hAnsi="宋体"/>
          <w:b/>
          <w:sz w:val="36"/>
          <w:szCs w:val="36"/>
        </w:rPr>
      </w:pPr>
      <w:r>
        <w:rPr>
          <w:rFonts w:hint="eastAsia" w:ascii="宋体" w:hAnsi="宋体"/>
          <w:b/>
          <w:sz w:val="36"/>
          <w:szCs w:val="36"/>
        </w:rPr>
        <w:t>第二部分</w:t>
      </w:r>
      <w:bookmarkEnd w:id="6"/>
      <w:r>
        <w:rPr>
          <w:rFonts w:hint="eastAsia" w:ascii="宋体" w:hAnsi="宋体"/>
          <w:b/>
          <w:sz w:val="36"/>
          <w:szCs w:val="36"/>
        </w:rPr>
        <w:t xml:space="preserve"> 投标人须知</w:t>
      </w:r>
      <w:bookmarkEnd w:id="7"/>
    </w:p>
    <w:p>
      <w:pPr>
        <w:adjustRightInd/>
        <w:spacing w:before="360" w:beforeLines="150" w:line="360" w:lineRule="auto"/>
        <w:jc w:val="center"/>
        <w:outlineLvl w:val="0"/>
        <w:rPr>
          <w:rFonts w:ascii="宋体" w:hAnsi="宋体" w:cs="宋体"/>
          <w:b/>
          <w:sz w:val="32"/>
          <w:szCs w:val="20"/>
        </w:rPr>
      </w:pPr>
      <w:r>
        <w:rPr>
          <w:rFonts w:hint="eastAsia" w:ascii="宋体" w:hAnsi="宋体" w:cs="宋体"/>
          <w:b/>
          <w:sz w:val="32"/>
          <w:szCs w:val="20"/>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507"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rFonts w:ascii="宋体" w:hAnsi="宋体" w:cs="宋体"/>
                <w:b/>
                <w:szCs w:val="21"/>
              </w:rPr>
            </w:pPr>
            <w:r>
              <w:rPr>
                <w:rFonts w:hint="eastAsia" w:ascii="宋体" w:hAnsi="宋体" w:cs="宋体"/>
                <w:b/>
                <w:szCs w:val="21"/>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288" w:lineRule="auto"/>
              <w:jc w:val="center"/>
              <w:rPr>
                <w:rFonts w:ascii="宋体" w:hAnsi="宋体" w:cs="宋体"/>
                <w:b/>
                <w:szCs w:val="21"/>
              </w:rPr>
            </w:pPr>
            <w:r>
              <w:rPr>
                <w:rFonts w:hint="eastAsia" w:ascii="宋体" w:hAnsi="宋体" w:cs="宋体"/>
                <w:b/>
                <w:szCs w:val="21"/>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88" w:lineRule="auto"/>
              <w:jc w:val="center"/>
              <w:rPr>
                <w:rFonts w:ascii="宋体" w:hAnsi="宋体" w:cs="宋体"/>
                <w:b/>
                <w:szCs w:val="21"/>
              </w:rPr>
            </w:pPr>
            <w:r>
              <w:rPr>
                <w:rFonts w:hint="eastAsia" w:ascii="宋体" w:hAnsi="宋体" w:cs="宋体"/>
                <w:b/>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259"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288" w:lineRule="auto"/>
              <w:jc w:val="center"/>
              <w:rPr>
                <w:rFonts w:ascii="宋体" w:hAnsi="宋体" w:cs="宋体"/>
                <w:b/>
                <w:szCs w:val="21"/>
              </w:rPr>
            </w:pPr>
            <w:r>
              <w:rPr>
                <w:rFonts w:hint="eastAsia" w:ascii="宋体" w:hAnsi="宋体" w:cs="宋体"/>
                <w:b/>
                <w:szCs w:val="21"/>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288" w:lineRule="auto"/>
              <w:rPr>
                <w:rFonts w:ascii="宋体" w:hAnsi="宋体" w:cs="宋体"/>
                <w:szCs w:val="21"/>
              </w:rPr>
            </w:pPr>
            <w:r>
              <w:rPr>
                <w:rFonts w:hint="eastAsia" w:ascii="宋体" w:hAnsi="宋体" w:cs="宋体"/>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288" w:lineRule="auto"/>
              <w:jc w:val="center"/>
              <w:rPr>
                <w:rFonts w:ascii="宋体" w:hAnsi="宋体" w:cs="宋体"/>
                <w:b/>
                <w:szCs w:val="21"/>
              </w:rPr>
            </w:pPr>
            <w:r>
              <w:rPr>
                <w:rFonts w:hint="eastAsia" w:ascii="宋体" w:hAnsi="宋体" w:cs="宋体"/>
                <w:b/>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288" w:lineRule="auto"/>
              <w:rPr>
                <w:rFonts w:hint="eastAsia" w:ascii="宋体" w:hAnsi="宋体" w:cs="宋体"/>
                <w:szCs w:val="21"/>
              </w:rPr>
            </w:pPr>
            <w:r>
              <w:rPr>
                <w:rFonts w:hint="eastAsia" w:ascii="宋体" w:hAnsi="宋体" w:cs="宋体"/>
                <w:szCs w:val="21"/>
              </w:rPr>
              <w:t>标的：</w:t>
            </w:r>
            <w:r>
              <w:rPr>
                <w:rFonts w:ascii="宋体" w:hAnsi="宋体" w:cs="宋体"/>
                <w:szCs w:val="21"/>
                <w:u w:val="single"/>
              </w:rPr>
              <w:t>医共体医疗设备维保外包项目</w:t>
            </w:r>
          </w:p>
          <w:p>
            <w:pPr>
              <w:spacing w:line="288" w:lineRule="auto"/>
              <w:rPr>
                <w:rFonts w:ascii="宋体" w:hAnsi="宋体" w:cs="宋体"/>
                <w:szCs w:val="21"/>
              </w:rPr>
            </w:pPr>
            <w:r>
              <w:rPr>
                <w:rFonts w:hint="eastAsia" w:ascii="宋体" w:hAnsi="宋体" w:cs="宋体"/>
                <w:szCs w:val="21"/>
              </w:rPr>
              <w:t>对应的工信部联企业〔</w:t>
            </w:r>
            <w:r>
              <w:rPr>
                <w:rFonts w:ascii="宋体" w:hAnsi="宋体" w:cs="宋体"/>
                <w:szCs w:val="21"/>
              </w:rPr>
              <w:t>2011</w:t>
            </w:r>
            <w:r>
              <w:rPr>
                <w:rFonts w:hint="eastAsia" w:ascii="宋体" w:hAnsi="宋体" w:cs="宋体"/>
                <w:szCs w:val="21"/>
              </w:rPr>
              <w:t>〕</w:t>
            </w:r>
            <w:r>
              <w:rPr>
                <w:rFonts w:ascii="宋体" w:hAnsi="宋体" w:cs="宋体"/>
                <w:szCs w:val="21"/>
              </w:rPr>
              <w:t>300</w:t>
            </w:r>
            <w:r>
              <w:rPr>
                <w:rFonts w:hint="eastAsia" w:ascii="宋体" w:hAnsi="宋体" w:cs="宋体"/>
                <w:szCs w:val="21"/>
              </w:rPr>
              <w:t>号文件中，中小企业划分标准所属行业是：</w:t>
            </w:r>
            <w:r>
              <w:rPr>
                <w:rFonts w:hint="eastAsia" w:ascii="宋体" w:hAnsi="宋体" w:cs="宋体"/>
                <w:szCs w:val="21"/>
                <w:u w:val="single"/>
              </w:rPr>
              <w:t>（十六）其他未列明行业。（从业人员</w:t>
            </w:r>
            <w:r>
              <w:rPr>
                <w:rFonts w:ascii="宋体" w:hAnsi="宋体" w:cs="宋体"/>
                <w:szCs w:val="21"/>
                <w:u w:val="single"/>
              </w:rPr>
              <w:t>300</w:t>
            </w:r>
            <w:r>
              <w:rPr>
                <w:rFonts w:hint="eastAsia" w:ascii="宋体" w:hAnsi="宋体" w:cs="宋体"/>
                <w:szCs w:val="21"/>
                <w:u w:val="single"/>
              </w:rPr>
              <w:t>人以下的为中小微型企业。其中，从业人员</w:t>
            </w:r>
            <w:r>
              <w:rPr>
                <w:rFonts w:ascii="宋体" w:hAnsi="宋体" w:cs="宋体"/>
                <w:szCs w:val="21"/>
                <w:u w:val="single"/>
              </w:rPr>
              <w:t xml:space="preserve">100 </w:t>
            </w:r>
            <w:r>
              <w:rPr>
                <w:rFonts w:hint="eastAsia" w:ascii="宋体" w:hAnsi="宋体" w:cs="宋体"/>
                <w:szCs w:val="21"/>
                <w:u w:val="single"/>
              </w:rPr>
              <w:t>人及以上的为中型企业；从业人员</w:t>
            </w:r>
            <w:r>
              <w:rPr>
                <w:rFonts w:ascii="宋体" w:hAnsi="宋体" w:cs="宋体"/>
                <w:szCs w:val="21"/>
                <w:u w:val="single"/>
              </w:rPr>
              <w:t xml:space="preserve">10 </w:t>
            </w:r>
            <w:r>
              <w:rPr>
                <w:rFonts w:hint="eastAsia" w:ascii="宋体" w:hAnsi="宋体" w:cs="宋体"/>
                <w:szCs w:val="21"/>
                <w:u w:val="single"/>
              </w:rPr>
              <w:t>人及以上的为小型企业；从业人员</w:t>
            </w:r>
            <w:r>
              <w:rPr>
                <w:rFonts w:ascii="宋体" w:hAnsi="宋体" w:cs="宋体"/>
                <w:szCs w:val="21"/>
                <w:u w:val="single"/>
              </w:rPr>
              <w:t xml:space="preserve">10 </w:t>
            </w:r>
            <w:r>
              <w:rPr>
                <w:rFonts w:hint="eastAsia" w:ascii="宋体" w:hAnsi="宋体" w:cs="宋体"/>
                <w:szCs w:val="21"/>
                <w:u w:val="single"/>
              </w:rPr>
              <w:t>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288" w:lineRule="auto"/>
              <w:jc w:val="center"/>
              <w:rPr>
                <w:rFonts w:ascii="宋体" w:hAnsi="宋体" w:cs="宋体"/>
                <w:b/>
                <w:szCs w:val="21"/>
              </w:rPr>
            </w:pPr>
            <w:r>
              <w:rPr>
                <w:rFonts w:hint="eastAsia" w:ascii="宋体" w:hAnsi="宋体" w:cs="宋体"/>
                <w:b/>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288" w:lineRule="auto"/>
              <w:rPr>
                <w:rFonts w:ascii="宋体" w:hAnsi="宋体" w:cs="宋体"/>
                <w:kern w:val="0"/>
                <w:szCs w:val="21"/>
              </w:rPr>
            </w:pPr>
            <w:r>
              <w:rPr>
                <w:rFonts w:hint="eastAsia" w:ascii="宋体" w:hAnsi="宋体" w:cs="宋体"/>
                <w:kern w:val="0"/>
                <w:szCs w:val="21"/>
              </w:rPr>
              <w:sym w:font="Wingdings 2" w:char="F052"/>
            </w:r>
            <w:r>
              <w:rPr>
                <w:rFonts w:hint="eastAsia" w:ascii="宋体" w:hAnsi="宋体" w:cs="宋体"/>
                <w:kern w:val="0"/>
                <w:szCs w:val="21"/>
              </w:rPr>
              <w:t>本项目不允许采购进口产品（服务）。</w:t>
            </w:r>
          </w:p>
          <w:p>
            <w:pPr>
              <w:spacing w:line="288" w:lineRule="auto"/>
              <w:rPr>
                <w:rFonts w:ascii="宋体" w:hAnsi="宋体" w:cs="宋体"/>
                <w:szCs w:val="21"/>
              </w:rPr>
            </w:pPr>
            <w:r>
              <w:rPr>
                <w:rFonts w:hint="eastAsia" w:ascii="宋体" w:hAnsi="宋体" w:cs="宋体"/>
                <w:kern w:val="0"/>
                <w:szCs w:val="21"/>
              </w:rPr>
              <w:t>☐可以采购进口产品（服务）。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067"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288" w:lineRule="auto"/>
              <w:ind w:firstLine="422" w:firstLineChars="200"/>
              <w:jc w:val="center"/>
              <w:rPr>
                <w:rFonts w:ascii="宋体" w:hAnsi="宋体" w:cs="宋体"/>
                <w:b/>
                <w:szCs w:val="21"/>
              </w:rPr>
            </w:pPr>
            <w:r>
              <w:rPr>
                <w:rFonts w:hint="eastAsia" w:ascii="宋体" w:hAnsi="宋体" w:cs="宋体"/>
                <w:b/>
                <w:szCs w:val="21"/>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288" w:lineRule="auto"/>
              <w:rPr>
                <w:rFonts w:hint="eastAsia" w:ascii="宋体" w:hAnsi="宋体" w:cs="宋体"/>
                <w:szCs w:val="21"/>
              </w:rPr>
            </w:pPr>
            <w:r>
              <w:rPr>
                <w:rFonts w:hint="eastAsia" w:ascii="宋体" w:hAnsi="宋体" w:cs="宋体"/>
                <w:kern w:val="0"/>
                <w:szCs w:val="21"/>
              </w:rPr>
              <w:sym w:font="Wingdings 2" w:char="F052"/>
            </w:r>
            <w:r>
              <w:rPr>
                <w:rFonts w:hint="eastAsia" w:ascii="宋体" w:hAnsi="宋体" w:cs="宋体"/>
                <w:kern w:val="0"/>
                <w:szCs w:val="21"/>
              </w:rPr>
              <w:t xml:space="preserve"> A</w:t>
            </w:r>
            <w:r>
              <w:rPr>
                <w:rFonts w:hint="eastAsia" w:ascii="宋体" w:hAnsi="宋体" w:cs="宋体"/>
                <w:szCs w:val="21"/>
              </w:rPr>
              <w:t>同意将非主体、非关键性的工作分包。</w:t>
            </w:r>
          </w:p>
          <w:p>
            <w:pPr>
              <w:spacing w:line="288" w:lineRule="auto"/>
              <w:rPr>
                <w:rFonts w:hint="eastAsia" w:ascii="宋体" w:hAnsi="宋体" w:cs="宋体"/>
                <w:szCs w:val="21"/>
              </w:rPr>
            </w:pPr>
            <w:r>
              <w:rPr>
                <w:rFonts w:hint="eastAsia" w:ascii="MS Gothic" w:hAnsi="MS Gothic" w:cs="宋体"/>
                <w:kern w:val="0"/>
                <w:szCs w:val="21"/>
              </w:rPr>
              <w:t>☐</w:t>
            </w:r>
            <w:r>
              <w:rPr>
                <w:rFonts w:hint="eastAsia" w:ascii="宋体" w:hAnsi="宋体" w:cs="宋体"/>
                <w:kern w:val="0"/>
                <w:szCs w:val="21"/>
              </w:rPr>
              <w:t xml:space="preserve"> B</w:t>
            </w:r>
            <w:r>
              <w:rPr>
                <w:rFonts w:hint="eastAsia" w:ascii="宋体" w:hAnsi="宋体" w:cs="宋体"/>
                <w:szCs w:val="21"/>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14"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288" w:lineRule="auto"/>
              <w:jc w:val="center"/>
              <w:rPr>
                <w:rFonts w:hint="eastAsia" w:ascii="宋体" w:hAnsi="宋体" w:cs="宋体"/>
                <w:b/>
                <w:szCs w:val="21"/>
              </w:rPr>
            </w:pPr>
            <w:r>
              <w:rPr>
                <w:rFonts w:hint="eastAsia" w:ascii="宋体" w:hAnsi="宋体" w:cs="宋体"/>
                <w:b/>
                <w:szCs w:val="21"/>
              </w:rPr>
              <w:t>开标前答疑</w:t>
            </w:r>
          </w:p>
          <w:p>
            <w:pPr>
              <w:snapToGrid w:val="0"/>
              <w:spacing w:line="288" w:lineRule="auto"/>
              <w:jc w:val="center"/>
              <w:rPr>
                <w:rFonts w:ascii="宋体" w:hAnsi="宋体" w:cs="宋体"/>
                <w:b/>
                <w:szCs w:val="21"/>
              </w:rPr>
            </w:pPr>
            <w:r>
              <w:rPr>
                <w:rFonts w:hint="eastAsia" w:ascii="宋体" w:hAnsi="宋体" w:cs="宋体"/>
                <w:b/>
                <w:szCs w:val="21"/>
              </w:rPr>
              <w:t>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288" w:lineRule="auto"/>
              <w:rPr>
                <w:rFonts w:ascii="宋体" w:hAnsi="宋体" w:cs="宋体"/>
                <w:szCs w:val="21"/>
              </w:rPr>
            </w:pPr>
            <w:r>
              <w:rPr>
                <w:rFonts w:hint="eastAsia" w:ascii="宋体" w:hAnsi="宋体" w:cs="宋体"/>
                <w:kern w:val="0"/>
                <w:szCs w:val="21"/>
              </w:rPr>
              <w:sym w:font="Wingdings 2" w:char="F052"/>
            </w:r>
            <w:r>
              <w:rPr>
                <w:rFonts w:hint="eastAsia" w:ascii="宋体" w:hAnsi="宋体" w:cs="宋体"/>
                <w:kern w:val="0"/>
                <w:szCs w:val="21"/>
              </w:rPr>
              <w:t>A</w:t>
            </w:r>
            <w:r>
              <w:rPr>
                <w:rFonts w:hint="eastAsia" w:ascii="宋体" w:hAnsi="宋体" w:cs="宋体"/>
                <w:szCs w:val="21"/>
              </w:rPr>
              <w:t>不组织。</w:t>
            </w:r>
          </w:p>
          <w:p>
            <w:pPr>
              <w:spacing w:line="288" w:lineRule="auto"/>
              <w:rPr>
                <w:rFonts w:ascii="宋体" w:hAnsi="宋体" w:cs="宋体"/>
                <w:szCs w:val="21"/>
              </w:rPr>
            </w:pPr>
            <w:r>
              <w:rPr>
                <w:rFonts w:hint="eastAsia" w:ascii="宋体" w:hAnsi="宋体" w:cs="宋体"/>
                <w:kern w:val="0"/>
                <w:szCs w:val="21"/>
              </w:rPr>
              <w:t>☐B组织。</w:t>
            </w:r>
            <w:r>
              <w:rPr>
                <w:rFonts w:hint="eastAsia" w:ascii="宋体" w:hAnsi="宋体" w:cs="宋体"/>
                <w:szCs w:val="21"/>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442"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288" w:lineRule="auto"/>
              <w:jc w:val="center"/>
              <w:rPr>
                <w:rFonts w:ascii="宋体" w:hAnsi="宋体" w:cs="宋体"/>
                <w:b/>
                <w:szCs w:val="21"/>
              </w:rPr>
            </w:pPr>
            <w:r>
              <w:rPr>
                <w:rFonts w:hint="eastAsia" w:ascii="宋体" w:hAnsi="宋体" w:cs="宋体"/>
                <w:b/>
                <w:szCs w:val="21"/>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288" w:lineRule="auto"/>
              <w:rPr>
                <w:rFonts w:ascii="宋体" w:hAnsi="宋体" w:cs="宋体"/>
                <w:szCs w:val="21"/>
              </w:rPr>
            </w:pPr>
            <w:r>
              <w:rPr>
                <w:rFonts w:hint="eastAsia" w:ascii="宋体" w:hAnsi="宋体" w:cs="宋体"/>
                <w:szCs w:val="21"/>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441"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288" w:lineRule="auto"/>
              <w:jc w:val="center"/>
              <w:rPr>
                <w:rFonts w:ascii="宋体" w:hAnsi="宋体" w:cs="宋体"/>
                <w:bCs/>
                <w:szCs w:val="21"/>
              </w:rPr>
            </w:pPr>
            <w:r>
              <w:rPr>
                <w:rFonts w:hint="eastAsia" w:ascii="宋体" w:hAnsi="宋体" w:cs="宋体"/>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288" w:lineRule="auto"/>
              <w:rPr>
                <w:rFonts w:ascii="宋体" w:hAnsi="宋体" w:cs="宋体"/>
                <w:szCs w:val="21"/>
              </w:rPr>
            </w:pP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461" w:hRule="atLeast"/>
          <w:tblHeader/>
          <w:jc w:val="center"/>
        </w:trPr>
        <w:tc>
          <w:tcPr>
            <w:tcW w:w="629" w:type="dxa"/>
            <w:vMerge w:val="restart"/>
            <w:tcBorders>
              <w:top w:val="single" w:color="auto" w:sz="4" w:space="0"/>
              <w:left w:val="single" w:color="auto" w:sz="4" w:space="0"/>
              <w:right w:val="single" w:color="auto" w:sz="4"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288" w:lineRule="auto"/>
              <w:jc w:val="center"/>
              <w:rPr>
                <w:rFonts w:hint="eastAsia" w:ascii="宋体" w:hAnsi="宋体" w:cs="宋体"/>
                <w:b/>
                <w:szCs w:val="21"/>
              </w:rPr>
            </w:pPr>
            <w:r>
              <w:rPr>
                <w:rFonts w:hint="eastAsia" w:ascii="宋体" w:hAnsi="宋体" w:cs="宋体"/>
                <w:b/>
                <w:szCs w:val="21"/>
              </w:rPr>
              <w:t>投标人应当</w:t>
            </w:r>
          </w:p>
          <w:p>
            <w:pPr>
              <w:snapToGrid w:val="0"/>
              <w:spacing w:line="288" w:lineRule="auto"/>
              <w:jc w:val="center"/>
              <w:rPr>
                <w:rFonts w:hint="eastAsia" w:ascii="宋体" w:hAnsi="宋体" w:cs="宋体"/>
                <w:b/>
                <w:szCs w:val="21"/>
              </w:rPr>
            </w:pPr>
            <w:r>
              <w:rPr>
                <w:rFonts w:hint="eastAsia" w:ascii="宋体" w:hAnsi="宋体" w:cs="宋体"/>
                <w:b/>
                <w:szCs w:val="21"/>
              </w:rPr>
              <w:t>提供的资格、</w:t>
            </w:r>
          </w:p>
          <w:p>
            <w:pPr>
              <w:snapToGrid w:val="0"/>
              <w:spacing w:line="288" w:lineRule="auto"/>
              <w:jc w:val="center"/>
              <w:rPr>
                <w:rFonts w:ascii="宋体" w:hAnsi="宋体" w:cs="宋体"/>
                <w:b/>
                <w:szCs w:val="21"/>
              </w:rPr>
            </w:pPr>
            <w:r>
              <w:rPr>
                <w:rFonts w:hint="eastAsia" w:ascii="宋体" w:hAnsi="宋体" w:cs="宋体"/>
                <w:b/>
                <w:szCs w:val="21"/>
              </w:rPr>
              <w:t>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288" w:lineRule="auto"/>
              <w:rPr>
                <w:rFonts w:ascii="宋体" w:hAnsi="宋体" w:cs="宋体"/>
                <w:szCs w:val="21"/>
              </w:rPr>
            </w:pPr>
            <w:r>
              <w:rPr>
                <w:rFonts w:hint="eastAsia" w:ascii="宋体" w:hAnsi="宋体" w:cs="宋体"/>
                <w:szCs w:val="21"/>
              </w:rPr>
              <w:t>（1）资格证明文件：见招标文件第二部分11.1。</w:t>
            </w:r>
          </w:p>
          <w:p>
            <w:pPr>
              <w:spacing w:line="288"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031" w:hRule="atLeast"/>
          <w:tblHeader/>
          <w:jc w:val="center"/>
        </w:trPr>
        <w:tc>
          <w:tcPr>
            <w:tcW w:w="629" w:type="dxa"/>
            <w:vMerge w:val="continue"/>
            <w:tcBorders>
              <w:left w:val="single" w:color="auto" w:sz="4" w:space="0"/>
              <w:bottom w:val="single" w:color="auto" w:sz="4" w:space="0"/>
              <w:right w:val="single" w:color="auto" w:sz="4" w:space="0"/>
            </w:tcBorders>
            <w:noWrap w:val="0"/>
            <w:vAlign w:val="center"/>
          </w:tcPr>
          <w:p>
            <w:pPr>
              <w:snapToGrid w:val="0"/>
              <w:spacing w:line="288" w:lineRule="auto"/>
              <w:jc w:val="center"/>
              <w:rPr>
                <w:rFonts w:ascii="宋体" w:hAnsi="宋体" w:cs="宋体"/>
                <w:szCs w:val="21"/>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288" w:lineRule="auto"/>
              <w:jc w:val="center"/>
              <w:rPr>
                <w:rFonts w:ascii="宋体" w:hAnsi="宋体" w:cs="宋体"/>
                <w:b/>
                <w:szCs w:val="21"/>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288" w:lineRule="auto"/>
              <w:rPr>
                <w:rFonts w:ascii="宋体" w:hAnsi="宋体" w:cs="宋体"/>
                <w:szCs w:val="21"/>
              </w:rPr>
            </w:pPr>
            <w:r>
              <w:rPr>
                <w:rFonts w:hint="eastAsia" w:ascii="宋体" w:hAnsi="宋体" w:cs="宋体"/>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88" w:lineRule="auto"/>
              <w:jc w:val="center"/>
              <w:rPr>
                <w:rFonts w:hint="eastAsia" w:ascii="宋体" w:hAnsi="宋体" w:cs="宋体"/>
                <w:b/>
                <w:szCs w:val="21"/>
              </w:rPr>
            </w:pPr>
            <w:r>
              <w:rPr>
                <w:rFonts w:hint="eastAsia" w:ascii="宋体" w:hAnsi="宋体" w:cs="宋体"/>
                <w:b/>
                <w:szCs w:val="21"/>
              </w:rPr>
              <w:t>节能产品、</w:t>
            </w:r>
          </w:p>
          <w:p>
            <w:pPr>
              <w:snapToGrid w:val="0"/>
              <w:spacing w:line="288" w:lineRule="auto"/>
              <w:jc w:val="center"/>
              <w:rPr>
                <w:rFonts w:ascii="宋体" w:hAnsi="宋体" w:cs="宋体"/>
                <w:b/>
                <w:szCs w:val="21"/>
              </w:rPr>
            </w:pPr>
            <w:r>
              <w:rPr>
                <w:rFonts w:hint="eastAsia" w:ascii="宋体" w:hAnsi="宋体" w:cs="宋体"/>
                <w:b/>
                <w:szCs w:val="21"/>
              </w:rPr>
              <w:t>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88" w:lineRule="auto"/>
              <w:rPr>
                <w:rFonts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88" w:lineRule="auto"/>
              <w:jc w:val="center"/>
              <w:rPr>
                <w:rFonts w:ascii="宋体" w:hAnsi="宋体" w:cs="宋体"/>
                <w:b/>
                <w:szCs w:val="21"/>
              </w:rPr>
            </w:pPr>
            <w:r>
              <w:rPr>
                <w:rFonts w:hint="eastAsia" w:ascii="宋体" w:hAnsi="宋体" w:cs="宋体"/>
                <w:b/>
                <w:szCs w:val="21"/>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88" w:lineRule="auto"/>
              <w:jc w:val="left"/>
              <w:rPr>
                <w:rFonts w:ascii="宋体" w:hAnsi="宋体" w:cs="宋体"/>
                <w:b/>
                <w:kern w:val="0"/>
                <w:szCs w:val="21"/>
                <w:lang w:val="zh-CN"/>
              </w:rPr>
            </w:pPr>
            <w:r>
              <w:rPr>
                <w:rFonts w:hint="eastAsia" w:hAnsi="宋体"/>
                <w:szCs w:val="21"/>
              </w:rPr>
              <w:t>本次采购以总价进行报价。</w:t>
            </w: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提醒：验收时检测费用由采购人承担，不包含在投标总价中。</w:t>
            </w:r>
          </w:p>
          <w:p>
            <w:pPr>
              <w:snapToGrid w:val="0"/>
              <w:spacing w:line="288"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pPr>
              <w:snapToGrid w:val="0"/>
              <w:spacing w:line="288" w:lineRule="auto"/>
              <w:ind w:firstLine="422" w:firstLineChars="2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pPr>
              <w:snapToGrid w:val="0"/>
              <w:spacing w:line="288" w:lineRule="auto"/>
              <w:ind w:firstLine="422" w:firstLineChars="2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pPr>
              <w:spacing w:line="288" w:lineRule="auto"/>
              <w:ind w:firstLine="422" w:firstLineChars="2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pPr>
              <w:spacing w:line="288" w:lineRule="auto"/>
              <w:ind w:firstLine="422" w:firstLineChars="2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477" w:hRule="atLeast"/>
          <w:tblHeader/>
          <w:jc w:val="center"/>
        </w:trPr>
        <w:tc>
          <w:tcPr>
            <w:tcW w:w="629" w:type="dxa"/>
            <w:tcBorders>
              <w:top w:val="single" w:color="auto" w:sz="4" w:space="0"/>
              <w:left w:val="single" w:color="000000" w:sz="8" w:space="0"/>
              <w:right w:val="single" w:color="000000" w:sz="2"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11</w:t>
            </w:r>
          </w:p>
        </w:tc>
        <w:tc>
          <w:tcPr>
            <w:tcW w:w="1843" w:type="dxa"/>
            <w:tcBorders>
              <w:top w:val="single" w:color="000000" w:sz="8" w:space="0"/>
              <w:left w:val="single" w:color="000000" w:sz="2" w:space="0"/>
              <w:right w:val="single" w:color="000000" w:sz="8" w:space="0"/>
            </w:tcBorders>
            <w:noWrap w:val="0"/>
            <w:vAlign w:val="center"/>
          </w:tcPr>
          <w:p>
            <w:pPr>
              <w:snapToGrid w:val="0"/>
              <w:spacing w:line="288" w:lineRule="auto"/>
              <w:jc w:val="center"/>
              <w:rPr>
                <w:rFonts w:hint="eastAsia" w:ascii="宋体" w:hAnsi="宋体" w:cs="宋体"/>
                <w:b/>
                <w:szCs w:val="21"/>
              </w:rPr>
            </w:pPr>
            <w:r>
              <w:rPr>
                <w:rFonts w:hint="eastAsia" w:ascii="宋体" w:hAnsi="宋体" w:cs="宋体"/>
                <w:b/>
                <w:szCs w:val="21"/>
              </w:rPr>
              <w:t>中小企业</w:t>
            </w:r>
          </w:p>
          <w:p>
            <w:pPr>
              <w:snapToGrid w:val="0"/>
              <w:spacing w:line="288" w:lineRule="auto"/>
              <w:jc w:val="center"/>
              <w:rPr>
                <w:rFonts w:ascii="宋体" w:hAnsi="宋体" w:cs="宋体"/>
                <w:b/>
                <w:szCs w:val="21"/>
              </w:rPr>
            </w:pPr>
            <w:r>
              <w:rPr>
                <w:rFonts w:hint="eastAsia" w:ascii="宋体" w:hAnsi="宋体" w:cs="宋体"/>
                <w:b/>
                <w:szCs w:val="21"/>
              </w:rPr>
              <w:t>信用融资</w:t>
            </w:r>
          </w:p>
        </w:tc>
        <w:tc>
          <w:tcPr>
            <w:tcW w:w="6095" w:type="dxa"/>
            <w:tcBorders>
              <w:top w:val="single" w:color="000000" w:sz="8" w:space="0"/>
              <w:left w:val="single" w:color="000000" w:sz="2" w:space="0"/>
              <w:right w:val="single" w:color="000000" w:sz="8" w:space="0"/>
            </w:tcBorders>
            <w:noWrap w:val="0"/>
            <w:vAlign w:val="center"/>
          </w:tcPr>
          <w:p>
            <w:pPr>
              <w:spacing w:line="288" w:lineRule="auto"/>
              <w:ind w:firstLine="420" w:firstLineChars="200"/>
              <w:rPr>
                <w:rFonts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11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88" w:lineRule="auto"/>
              <w:jc w:val="center"/>
              <w:rPr>
                <w:rFonts w:hint="eastAsia" w:ascii="宋体" w:hAnsi="宋体" w:cs="宋体"/>
                <w:b/>
                <w:szCs w:val="21"/>
              </w:rPr>
            </w:pPr>
            <w:r>
              <w:rPr>
                <w:rFonts w:hint="eastAsia" w:ascii="宋体" w:hAnsi="宋体" w:cs="宋体"/>
                <w:b/>
                <w:szCs w:val="21"/>
              </w:rPr>
              <w:t>备份投标文</w:t>
            </w:r>
          </w:p>
          <w:p>
            <w:pPr>
              <w:snapToGrid w:val="0"/>
              <w:spacing w:line="288" w:lineRule="auto"/>
              <w:jc w:val="center"/>
              <w:rPr>
                <w:rFonts w:hint="eastAsia" w:ascii="宋体" w:hAnsi="宋体" w:cs="宋体"/>
                <w:b/>
                <w:szCs w:val="21"/>
              </w:rPr>
            </w:pPr>
            <w:r>
              <w:rPr>
                <w:rFonts w:hint="eastAsia" w:ascii="宋体" w:hAnsi="宋体" w:cs="宋体"/>
                <w:b/>
                <w:szCs w:val="21"/>
              </w:rPr>
              <w:t>件送达地点</w:t>
            </w:r>
          </w:p>
          <w:p>
            <w:pPr>
              <w:snapToGrid w:val="0"/>
              <w:spacing w:line="288" w:lineRule="auto"/>
              <w:jc w:val="center"/>
              <w:rPr>
                <w:rFonts w:ascii="宋体" w:hAnsi="宋体" w:cs="宋体"/>
                <w:b/>
                <w:szCs w:val="21"/>
              </w:rPr>
            </w:pPr>
            <w:r>
              <w:rPr>
                <w:rFonts w:hint="eastAsia" w:ascii="宋体" w:hAnsi="宋体" w:cs="宋体"/>
                <w:b/>
                <w:szCs w:val="21"/>
              </w:rPr>
              <w:t>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2"/>
              <w:spacing w:line="288" w:lineRule="auto"/>
              <w:rPr>
                <w:rFonts w:hint="eastAsia" w:hAnsi="宋体" w:cs="宋体"/>
                <w:kern w:val="28"/>
              </w:rPr>
            </w:pPr>
            <w:r>
              <w:rPr>
                <w:rFonts w:hint="eastAsia" w:hAnsi="宋体" w:cs="宋体"/>
                <w:kern w:val="28"/>
              </w:rPr>
              <w:t>备份投标文件送达地点：</w:t>
            </w:r>
            <w:r>
              <w:rPr>
                <w:rFonts w:hint="eastAsia"/>
              </w:rPr>
              <w:t>杭州市凤起路</w:t>
            </w:r>
            <w:r>
              <w:t>334</w:t>
            </w:r>
            <w:r>
              <w:rPr>
                <w:rFonts w:hint="eastAsia"/>
              </w:rPr>
              <w:t>号同方财富大厦</w:t>
            </w:r>
            <w:r>
              <w:t>14</w:t>
            </w:r>
            <w:r>
              <w:rPr>
                <w:rFonts w:hint="eastAsia"/>
              </w:rPr>
              <w:t>层1408室</w:t>
            </w:r>
            <w:r>
              <w:rPr>
                <w:rFonts w:hint="eastAsia" w:hAnsi="宋体" w:cs="宋体"/>
                <w:kern w:val="28"/>
              </w:rPr>
              <w:t>；备份投标文件签收人员联系电话：孙翔 0571-85860244，13958025457</w:t>
            </w:r>
            <w:r>
              <w:rPr>
                <w:rFonts w:hint="eastAsia" w:hAnsi="宋体" w:cs="宋体"/>
              </w:rPr>
              <w:t>。</w:t>
            </w:r>
          </w:p>
          <w:p>
            <w:pPr>
              <w:pStyle w:val="32"/>
              <w:spacing w:line="288" w:lineRule="auto"/>
              <w:rPr>
                <w:rFonts w:hAnsi="宋体" w:cs="宋体"/>
                <w:kern w:val="28"/>
              </w:rPr>
            </w:pPr>
            <w:r>
              <w:rPr>
                <w:rFonts w:hint="eastAsia" w:hAnsi="宋体" w:cs="宋体"/>
                <w:b/>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35" w:hRule="atLeast"/>
          <w:tblHeader/>
          <w:jc w:val="center"/>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13</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288" w:lineRule="auto"/>
              <w:jc w:val="center"/>
              <w:rPr>
                <w:rFonts w:ascii="宋体" w:hAnsi="宋体" w:cs="宋体"/>
                <w:b/>
                <w:szCs w:val="21"/>
              </w:rPr>
            </w:pPr>
            <w:r>
              <w:rPr>
                <w:rFonts w:hint="eastAsia" w:ascii="宋体" w:hAnsi="宋体" w:cs="仿宋_GB2312"/>
                <w:b/>
                <w:szCs w:val="21"/>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288" w:lineRule="auto"/>
              <w:rPr>
                <w:rFonts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35" w:hRule="atLeast"/>
          <w:tblHeader/>
          <w:jc w:val="center"/>
        </w:trPr>
        <w:tc>
          <w:tcPr>
            <w:tcW w:w="629" w:type="dxa"/>
            <w:vMerge w:val="continue"/>
            <w:tcBorders>
              <w:left w:val="single" w:color="000000" w:sz="8" w:space="0"/>
              <w:right w:val="single" w:color="000000" w:sz="2" w:space="0"/>
            </w:tcBorders>
            <w:noWrap w:val="0"/>
            <w:vAlign w:val="center"/>
          </w:tcPr>
          <w:p>
            <w:pPr>
              <w:snapToGrid w:val="0"/>
              <w:spacing w:line="288" w:lineRule="auto"/>
              <w:jc w:val="center"/>
              <w:rPr>
                <w:rFonts w:ascii="宋体" w:hAnsi="宋体" w:cs="宋体"/>
                <w:szCs w:val="21"/>
              </w:rPr>
            </w:pPr>
          </w:p>
        </w:tc>
        <w:tc>
          <w:tcPr>
            <w:tcW w:w="1843" w:type="dxa"/>
            <w:vMerge w:val="continue"/>
            <w:tcBorders>
              <w:left w:val="single" w:color="000000" w:sz="2" w:space="0"/>
              <w:right w:val="single" w:color="000000" w:sz="8" w:space="0"/>
            </w:tcBorders>
            <w:noWrap w:val="0"/>
            <w:vAlign w:val="center"/>
          </w:tcPr>
          <w:p>
            <w:pPr>
              <w:snapToGrid w:val="0"/>
              <w:spacing w:line="288" w:lineRule="auto"/>
              <w:jc w:val="center"/>
              <w:rPr>
                <w:rFonts w:ascii="宋体" w:hAnsi="宋体" w:cs="宋体"/>
                <w:b/>
                <w:szCs w:val="21"/>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288" w:lineRule="auto"/>
              <w:rPr>
                <w:rFonts w:ascii="宋体" w:hAnsi="宋体" w:cs="宋体"/>
                <w:snapToGrid w:val="0"/>
                <w:kern w:val="28"/>
                <w:szCs w:val="21"/>
              </w:rPr>
            </w:pPr>
            <w:r>
              <w:rPr>
                <w:rFonts w:hint="eastAsia" w:ascii="MS Mincho" w:hAnsi="MS Mincho" w:eastAsia="MS Mincho" w:cs="MS Mincho"/>
                <w:kern w:val="0"/>
                <w:szCs w:val="21"/>
              </w:rPr>
              <w:t>☐</w:t>
            </w:r>
            <w:r>
              <w:rPr>
                <w:rFonts w:hint="eastAsia" w:ascii="宋体" w:hAnsi="宋体" w:cs="宋体"/>
                <w:snapToGrid w:val="0"/>
                <w:kern w:val="28"/>
                <w:szCs w:val="21"/>
              </w:rPr>
              <w:t>联合体投标的，联合体各方均需按招标文件第四部分评标标准要求提供资信证明文件，否则视为不符合相关要求。</w:t>
            </w:r>
          </w:p>
          <w:p>
            <w:pPr>
              <w:spacing w:line="288" w:lineRule="auto"/>
              <w:rPr>
                <w:rFonts w:ascii="宋体" w:hAnsi="宋体" w:cs="宋体"/>
                <w:snapToGrid w:val="0"/>
                <w:kern w:val="28"/>
                <w:szCs w:val="21"/>
              </w:rPr>
            </w:pPr>
            <w:r>
              <w:rPr>
                <w:rFonts w:hint="eastAsia" w:ascii="宋体" w:hAnsi="宋体" w:cs="宋体"/>
                <w:kern w:val="0"/>
                <w:szCs w:val="21"/>
              </w:rPr>
              <w:sym w:font="Wingdings 2" w:char="F052"/>
            </w:r>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35"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14</w:t>
            </w:r>
          </w:p>
        </w:tc>
        <w:tc>
          <w:tcPr>
            <w:tcW w:w="1843" w:type="dxa"/>
            <w:tcBorders>
              <w:top w:val="single" w:color="auto" w:sz="4" w:space="0"/>
              <w:left w:val="single" w:color="000000" w:sz="2" w:space="0"/>
              <w:bottom w:val="single" w:color="000000" w:sz="8" w:space="0"/>
              <w:right w:val="single" w:color="000000" w:sz="8" w:space="0"/>
            </w:tcBorders>
            <w:noWrap w:val="0"/>
            <w:vAlign w:val="center"/>
          </w:tcPr>
          <w:p>
            <w:pPr>
              <w:snapToGrid w:val="0"/>
              <w:spacing w:line="288" w:lineRule="auto"/>
              <w:jc w:val="center"/>
              <w:rPr>
                <w:szCs w:val="21"/>
              </w:rPr>
            </w:pPr>
            <w:r>
              <w:rPr>
                <w:rFonts w:hAnsi="宋体"/>
                <w:szCs w:val="21"/>
              </w:rPr>
              <w:t>代理服务费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1"/>
              </w:numPr>
              <w:adjustRightInd/>
              <w:snapToGrid w:val="0"/>
              <w:spacing w:line="288" w:lineRule="auto"/>
              <w:rPr>
                <w:szCs w:val="21"/>
              </w:rPr>
            </w:pPr>
            <w:r>
              <w:rPr>
                <w:rFonts w:hint="eastAsia" w:hAnsi="宋体"/>
                <w:szCs w:val="21"/>
              </w:rPr>
              <w:t>本项目代理服务费以一年预算金额为基准，参照计价格【</w:t>
            </w:r>
            <w:r>
              <w:rPr>
                <w:szCs w:val="21"/>
              </w:rPr>
              <w:t>2002</w:t>
            </w:r>
            <w:r>
              <w:rPr>
                <w:rFonts w:hint="eastAsia" w:hAnsi="宋体"/>
                <w:szCs w:val="21"/>
              </w:rPr>
              <w:t>】</w:t>
            </w:r>
            <w:r>
              <w:rPr>
                <w:szCs w:val="21"/>
              </w:rPr>
              <w:t>1980</w:t>
            </w:r>
            <w:r>
              <w:rPr>
                <w:rFonts w:hint="eastAsia" w:hAnsi="宋体"/>
                <w:szCs w:val="21"/>
              </w:rPr>
              <w:t>号文收费标准的</w:t>
            </w:r>
            <w:r>
              <w:rPr>
                <w:szCs w:val="21"/>
              </w:rPr>
              <w:t>80%</w:t>
            </w:r>
            <w:r>
              <w:rPr>
                <w:rFonts w:hint="eastAsia" w:hAnsi="宋体"/>
                <w:szCs w:val="21"/>
              </w:rPr>
              <w:t>向中标供应商收取，即</w:t>
            </w:r>
            <w:r>
              <w:rPr>
                <w:szCs w:val="21"/>
              </w:rPr>
              <w:t>100</w:t>
            </w:r>
            <w:r>
              <w:rPr>
                <w:rFonts w:hint="eastAsia" w:hAnsi="宋体"/>
                <w:szCs w:val="21"/>
              </w:rPr>
              <w:t>万元以下部分按</w:t>
            </w:r>
            <w:r>
              <w:rPr>
                <w:szCs w:val="21"/>
              </w:rPr>
              <w:t>1.2%</w:t>
            </w:r>
            <w:r>
              <w:rPr>
                <w:rFonts w:hint="eastAsia" w:hAnsi="宋体"/>
                <w:szCs w:val="21"/>
              </w:rPr>
              <w:t>、</w:t>
            </w:r>
            <w:r>
              <w:rPr>
                <w:szCs w:val="21"/>
              </w:rPr>
              <w:t>100-500</w:t>
            </w:r>
            <w:r>
              <w:rPr>
                <w:rFonts w:hint="eastAsia" w:hAnsi="宋体"/>
                <w:szCs w:val="21"/>
              </w:rPr>
              <w:t>万元部分按</w:t>
            </w:r>
            <w:r>
              <w:rPr>
                <w:szCs w:val="21"/>
              </w:rPr>
              <w:t>0.64%</w:t>
            </w:r>
            <w:r>
              <w:rPr>
                <w:rFonts w:hint="eastAsia" w:hAnsi="宋体"/>
                <w:szCs w:val="21"/>
              </w:rPr>
              <w:t>计，</w:t>
            </w:r>
            <w:r>
              <w:rPr>
                <w:szCs w:val="21"/>
              </w:rPr>
              <w:t>500-1000</w:t>
            </w:r>
            <w:r>
              <w:rPr>
                <w:rFonts w:hint="eastAsia" w:hAnsi="宋体"/>
                <w:szCs w:val="21"/>
              </w:rPr>
              <w:t>万元部分按</w:t>
            </w:r>
            <w:r>
              <w:rPr>
                <w:szCs w:val="21"/>
              </w:rPr>
              <w:t>0.36%</w:t>
            </w:r>
            <w:r>
              <w:rPr>
                <w:rFonts w:hint="eastAsia" w:hAnsi="宋体"/>
                <w:szCs w:val="21"/>
              </w:rPr>
              <w:t>、</w:t>
            </w:r>
            <w:r>
              <w:rPr>
                <w:szCs w:val="21"/>
              </w:rPr>
              <w:t>1000-5000</w:t>
            </w:r>
            <w:r>
              <w:rPr>
                <w:rFonts w:hint="eastAsia" w:hAnsi="宋体"/>
                <w:szCs w:val="21"/>
              </w:rPr>
              <w:t>万元部分按</w:t>
            </w:r>
            <w:r>
              <w:rPr>
                <w:szCs w:val="21"/>
              </w:rPr>
              <w:t>0.2%</w:t>
            </w:r>
            <w:r>
              <w:rPr>
                <w:rFonts w:hint="eastAsia" w:hAnsi="宋体"/>
                <w:szCs w:val="21"/>
              </w:rPr>
              <w:t>计，分段计算累积汇总。</w:t>
            </w:r>
          </w:p>
          <w:p>
            <w:pPr>
              <w:snapToGrid w:val="0"/>
              <w:spacing w:line="288" w:lineRule="auto"/>
              <w:ind w:left="359" w:leftChars="171" w:firstLine="420" w:firstLineChars="200"/>
              <w:rPr>
                <w:szCs w:val="21"/>
              </w:rPr>
            </w:pPr>
            <w:r>
              <w:rPr>
                <w:rFonts w:hAnsi="宋体"/>
                <w:szCs w:val="21"/>
              </w:rPr>
              <w:t>投标人应当自中标公告发布之日起</w:t>
            </w:r>
            <w:r>
              <w:rPr>
                <w:szCs w:val="21"/>
              </w:rPr>
              <w:t>5</w:t>
            </w:r>
            <w:r>
              <w:rPr>
                <w:rFonts w:hAnsi="宋体"/>
                <w:szCs w:val="21"/>
              </w:rPr>
              <w:t>个工作日内一次性向采购代理机构支付代理服务费，并在投标文件中出具代理服务费支付承诺书（格式见第六章）。</w:t>
            </w:r>
          </w:p>
          <w:p>
            <w:pPr>
              <w:snapToGrid w:val="0"/>
              <w:spacing w:line="288" w:lineRule="auto"/>
              <w:rPr>
                <w:szCs w:val="21"/>
              </w:rPr>
            </w:pPr>
            <w:r>
              <w:rPr>
                <w:szCs w:val="21"/>
              </w:rPr>
              <w:t>2</w:t>
            </w:r>
            <w:r>
              <w:rPr>
                <w:rFonts w:hAnsi="宋体"/>
                <w:szCs w:val="21"/>
              </w:rPr>
              <w:t>、代理服务费支付：</w:t>
            </w:r>
          </w:p>
          <w:p>
            <w:pPr>
              <w:snapToGrid w:val="0"/>
              <w:spacing w:line="288" w:lineRule="auto"/>
              <w:rPr>
                <w:szCs w:val="21"/>
              </w:rPr>
            </w:pPr>
            <w:r>
              <w:rPr>
                <w:rFonts w:hAnsi="宋体"/>
                <w:szCs w:val="21"/>
              </w:rPr>
              <w:t>①</w:t>
            </w:r>
            <w:r>
              <w:rPr>
                <w:szCs w:val="21"/>
              </w:rPr>
              <w:t xml:space="preserve"> </w:t>
            </w:r>
            <w:r>
              <w:rPr>
                <w:rFonts w:hAnsi="宋体"/>
                <w:szCs w:val="21"/>
              </w:rPr>
              <w:t>代理服务费缴纳形式：汇票</w:t>
            </w:r>
            <w:r>
              <w:rPr>
                <w:szCs w:val="21"/>
              </w:rPr>
              <w:t>/</w:t>
            </w:r>
            <w:r>
              <w:rPr>
                <w:rFonts w:hAnsi="宋体"/>
                <w:szCs w:val="21"/>
              </w:rPr>
              <w:t>支票</w:t>
            </w:r>
            <w:r>
              <w:rPr>
                <w:szCs w:val="21"/>
              </w:rPr>
              <w:t>/</w:t>
            </w:r>
            <w:r>
              <w:rPr>
                <w:rFonts w:hAnsi="宋体"/>
                <w:szCs w:val="21"/>
              </w:rPr>
              <w:t>电汇</w:t>
            </w:r>
            <w:r>
              <w:rPr>
                <w:szCs w:val="21"/>
              </w:rPr>
              <w:t>/</w:t>
            </w:r>
            <w:r>
              <w:rPr>
                <w:rFonts w:hAnsi="宋体"/>
                <w:szCs w:val="21"/>
              </w:rPr>
              <w:t>现金</w:t>
            </w:r>
          </w:p>
          <w:p>
            <w:pPr>
              <w:snapToGrid w:val="0"/>
              <w:spacing w:line="288" w:lineRule="auto"/>
              <w:rPr>
                <w:szCs w:val="21"/>
              </w:rPr>
            </w:pPr>
            <w:r>
              <w:rPr>
                <w:rFonts w:hAnsi="宋体"/>
                <w:szCs w:val="21"/>
              </w:rPr>
              <w:t>②</w:t>
            </w:r>
            <w:r>
              <w:rPr>
                <w:szCs w:val="21"/>
              </w:rPr>
              <w:t xml:space="preserve"> </w:t>
            </w:r>
            <w:r>
              <w:rPr>
                <w:rFonts w:hAnsi="宋体"/>
                <w:szCs w:val="21"/>
              </w:rPr>
              <w:t>代理服务费汇入以下账户</w:t>
            </w:r>
            <w:r>
              <w:rPr>
                <w:szCs w:val="21"/>
              </w:rPr>
              <w:t xml:space="preserve"> </w:t>
            </w:r>
            <w:r>
              <w:rPr>
                <w:rFonts w:hAnsi="宋体"/>
                <w:szCs w:val="21"/>
              </w:rPr>
              <w:t>：</w:t>
            </w:r>
          </w:p>
          <w:p>
            <w:pPr>
              <w:pStyle w:val="24"/>
              <w:spacing w:line="288" w:lineRule="auto"/>
              <w:ind w:firstLine="315" w:firstLineChars="150"/>
              <w:rPr>
                <w:rFonts w:ascii="Times New Roman" w:hAnsi="Times New Roman"/>
                <w:sz w:val="21"/>
                <w:szCs w:val="21"/>
                <w:lang w:val="en-US" w:eastAsia="zh-CN"/>
              </w:rPr>
            </w:pPr>
            <w:r>
              <w:rPr>
                <w:rFonts w:ascii="Times New Roman"/>
                <w:sz w:val="21"/>
                <w:szCs w:val="21"/>
                <w:lang w:val="en-US" w:eastAsia="zh-CN"/>
              </w:rPr>
              <w:t>收款单位（户名）：浙江省国际技术设备招标有限公司</w:t>
            </w:r>
          </w:p>
          <w:p>
            <w:pPr>
              <w:pStyle w:val="24"/>
              <w:spacing w:line="288" w:lineRule="auto"/>
              <w:ind w:firstLine="315" w:firstLineChars="150"/>
              <w:rPr>
                <w:rFonts w:ascii="Times New Roman" w:hAnsi="Times New Roman"/>
                <w:sz w:val="21"/>
                <w:szCs w:val="21"/>
                <w:lang w:val="en-US" w:eastAsia="zh-CN"/>
              </w:rPr>
            </w:pPr>
            <w:r>
              <w:rPr>
                <w:rFonts w:ascii="Times New Roman"/>
                <w:sz w:val="21"/>
                <w:szCs w:val="21"/>
                <w:lang w:val="en-US" w:eastAsia="zh-CN"/>
              </w:rPr>
              <w:t>开</w:t>
            </w:r>
            <w:r>
              <w:rPr>
                <w:rFonts w:ascii="Times New Roman" w:hAnsi="Times New Roman"/>
                <w:sz w:val="21"/>
                <w:szCs w:val="21"/>
                <w:lang w:val="en-US" w:eastAsia="zh-CN"/>
              </w:rPr>
              <w:t xml:space="preserve">  </w:t>
            </w:r>
            <w:r>
              <w:rPr>
                <w:rFonts w:ascii="Times New Roman"/>
                <w:sz w:val="21"/>
                <w:szCs w:val="21"/>
                <w:lang w:val="en-US" w:eastAsia="zh-CN"/>
              </w:rPr>
              <w:t>户：中国工商银行杭州分行武林支行</w:t>
            </w:r>
          </w:p>
          <w:p>
            <w:pPr>
              <w:snapToGrid w:val="0"/>
              <w:spacing w:line="288" w:lineRule="auto"/>
              <w:ind w:firstLine="315" w:firstLineChars="150"/>
              <w:rPr>
                <w:szCs w:val="21"/>
              </w:rPr>
            </w:pPr>
            <w:r>
              <w:rPr>
                <w:rFonts w:hAnsi="宋体"/>
                <w:szCs w:val="21"/>
              </w:rPr>
              <w:t>账</w:t>
            </w:r>
            <w:r>
              <w:rPr>
                <w:szCs w:val="21"/>
              </w:rPr>
              <w:t xml:space="preserve">  </w:t>
            </w:r>
            <w:r>
              <w:rPr>
                <w:rFonts w:hAnsi="宋体"/>
                <w:szCs w:val="21"/>
              </w:rPr>
              <w:t>号：</w:t>
            </w:r>
            <w:r>
              <w:rPr>
                <w:szCs w:val="21"/>
              </w:rPr>
              <w:t>1202021209006759843</w:t>
            </w:r>
          </w:p>
          <w:p>
            <w:pPr>
              <w:autoSpaceDE w:val="0"/>
              <w:autoSpaceDN w:val="0"/>
              <w:snapToGrid w:val="0"/>
              <w:spacing w:line="288" w:lineRule="auto"/>
              <w:ind w:left="315" w:hanging="315" w:hangingChars="150"/>
              <w:textAlignment w:val="bottom"/>
              <w:rPr>
                <w:szCs w:val="21"/>
              </w:rPr>
            </w:pPr>
            <w:r>
              <w:rPr>
                <w:szCs w:val="21"/>
              </w:rPr>
              <w:t>3</w:t>
            </w:r>
            <w:r>
              <w:rPr>
                <w:rFonts w:hAnsi="宋体"/>
                <w:szCs w:val="21"/>
              </w:rPr>
              <w:t>、提供增值税发票开票资料：单位名称、税号（统一社会信用代码）、开户行名称、账号、地址及联系电话。</w:t>
            </w:r>
          </w:p>
        </w:tc>
      </w:tr>
      <w:bookmarkEnd w:id="8"/>
    </w:tbl>
    <w:p>
      <w:pPr>
        <w:adjustRightInd/>
        <w:spacing w:before="360" w:beforeLines="150" w:line="360" w:lineRule="auto"/>
        <w:jc w:val="center"/>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288" w:lineRule="auto"/>
        <w:jc w:val="left"/>
        <w:rPr>
          <w:rFonts w:ascii="宋体" w:hAnsi="宋体" w:cs="宋体"/>
          <w:b/>
          <w:color w:val="000000"/>
          <w:szCs w:val="21"/>
        </w:rPr>
      </w:pPr>
      <w:r>
        <w:rPr>
          <w:rFonts w:hint="eastAsia" w:ascii="宋体" w:hAnsi="宋体" w:cs="宋体"/>
          <w:b/>
          <w:color w:val="000000"/>
          <w:szCs w:val="21"/>
        </w:rPr>
        <w:t>1. 适用范围</w:t>
      </w:r>
    </w:p>
    <w:p>
      <w:pPr>
        <w:snapToGrid w:val="0"/>
        <w:spacing w:line="288" w:lineRule="auto"/>
        <w:ind w:firstLine="420" w:firstLineChars="200"/>
        <w:jc w:val="left"/>
        <w:rPr>
          <w:rFonts w:ascii="宋体" w:hAnsi="宋体" w:cs="宋体"/>
          <w:color w:val="000000"/>
          <w:szCs w:val="21"/>
        </w:rPr>
      </w:pPr>
      <w:r>
        <w:rPr>
          <w:rFonts w:hint="eastAsia" w:ascii="宋体" w:hAnsi="宋体" w:cs="宋体"/>
          <w:color w:val="000000"/>
          <w:szCs w:val="21"/>
        </w:rPr>
        <w:t>本招标文件适用于该项目的招标、投标、开标、资格审查及信用信息查询、评标、定标、合同、验收等行为（法律、法规另有规定的，从其规定）。</w:t>
      </w:r>
    </w:p>
    <w:p>
      <w:pPr>
        <w:snapToGrid w:val="0"/>
        <w:spacing w:line="288" w:lineRule="auto"/>
        <w:rPr>
          <w:rFonts w:ascii="宋体" w:hAnsi="宋体" w:cs="宋体"/>
          <w:b/>
          <w:color w:val="000000"/>
          <w:szCs w:val="21"/>
        </w:rPr>
      </w:pPr>
      <w:r>
        <w:rPr>
          <w:rFonts w:hint="eastAsia" w:ascii="宋体" w:hAnsi="宋体" w:cs="宋体"/>
          <w:b/>
          <w:color w:val="000000"/>
          <w:szCs w:val="21"/>
        </w:rPr>
        <w:t>2.定义</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2.1 “采购人”系指招标公告中载明的本项目的采购人。</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2.2 “采购机构”系指招标公告中载明的本项目的采购机构。</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2.3 “投标人”系指是指响应招标、参加投标竞争的法人、其他组织或者自然人。</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2.4 “负责人”系指法人企业的法定负责人，或其他组织为法律、行政法规规定代表单位行使职权的主要负责人，或自然人本人。</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2.6“电子交易平台”是指本项目政府采购活动所依托的政府采购云平台（https://www.zcygov.cn/）。</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2.7 “▲” 系指实质性要求条款，</w:t>
      </w:r>
      <w:r>
        <w:rPr>
          <w:color w:val="000000"/>
          <w:szCs w:val="21"/>
        </w:rPr>
        <w:t>“</w:t>
      </w:r>
      <w:r>
        <w:rPr>
          <w:rFonts w:hint="eastAsia"/>
          <w:color w:val="000000"/>
          <w:szCs w:val="21"/>
        </w:rPr>
        <w:t>■</w:t>
      </w:r>
      <w:r>
        <w:rPr>
          <w:color w:val="000000"/>
          <w:szCs w:val="21"/>
        </w:rPr>
        <w:t>”</w:t>
      </w:r>
      <w:r>
        <w:rPr>
          <w:rFonts w:hAnsi="宋体"/>
          <w:color w:val="000000"/>
          <w:szCs w:val="21"/>
        </w:rPr>
        <w:t>系指</w:t>
      </w:r>
      <w:r>
        <w:rPr>
          <w:rFonts w:hint="eastAsia" w:hAnsi="宋体"/>
          <w:color w:val="000000"/>
          <w:szCs w:val="21"/>
        </w:rPr>
        <w:t>重要技术</w:t>
      </w:r>
      <w:r>
        <w:rPr>
          <w:rFonts w:hAnsi="宋体"/>
          <w:color w:val="000000"/>
          <w:szCs w:val="21"/>
        </w:rPr>
        <w:t>要求条款</w:t>
      </w:r>
      <w:r>
        <w:rPr>
          <w:rFonts w:hint="eastAsia" w:hAnsi="宋体"/>
          <w:color w:val="000000"/>
          <w:szCs w:val="21"/>
        </w:rPr>
        <w:t>（如有），</w:t>
      </w:r>
      <w:r>
        <w:rPr>
          <w:rFonts w:hint="eastAsia" w:ascii="宋体" w:hAnsi="宋体" w:cs="宋体"/>
          <w:color w:val="000000"/>
          <w:szCs w:val="21"/>
        </w:rPr>
        <w:t>“</w:t>
      </w:r>
      <w:r>
        <w:rPr>
          <w:rFonts w:ascii="Wingdings" w:hAnsi="Wingdings" w:cs="宋体"/>
          <w:color w:val="000000"/>
          <w:kern w:val="0"/>
          <w:szCs w:val="21"/>
        </w:rPr>
        <w:sym w:font="Wingdings 2" w:char="F052"/>
      </w:r>
      <w:r>
        <w:rPr>
          <w:rFonts w:hint="eastAsia" w:ascii="宋体" w:hAnsi="宋体" w:cs="宋体"/>
          <w:color w:val="000000"/>
          <w:szCs w:val="21"/>
        </w:rPr>
        <w:t>” 系指适用本项目的要求，“</w:t>
      </w:r>
      <w:r>
        <w:rPr>
          <w:rFonts w:hint="eastAsia" w:ascii="宋体" w:hAnsi="宋体" w:cs="宋体"/>
          <w:color w:val="000000"/>
          <w:kern w:val="0"/>
          <w:szCs w:val="21"/>
        </w:rPr>
        <w:t>☐</w:t>
      </w:r>
      <w:r>
        <w:rPr>
          <w:rFonts w:hint="eastAsia" w:ascii="宋体" w:hAnsi="宋体" w:cs="宋体"/>
          <w:color w:val="000000"/>
          <w:szCs w:val="21"/>
        </w:rPr>
        <w:t>” 系指不适用本项目的要求。</w:t>
      </w:r>
    </w:p>
    <w:p>
      <w:pPr>
        <w:snapToGrid w:val="0"/>
        <w:spacing w:line="288" w:lineRule="auto"/>
        <w:rPr>
          <w:rFonts w:ascii="宋体" w:hAnsi="宋体" w:cs="宋体"/>
          <w:b/>
          <w:color w:val="000000"/>
          <w:szCs w:val="21"/>
        </w:rPr>
      </w:pPr>
      <w:r>
        <w:rPr>
          <w:rFonts w:hint="eastAsia" w:ascii="宋体" w:hAnsi="宋体" w:cs="宋体"/>
          <w:b/>
          <w:color w:val="000000"/>
          <w:szCs w:val="21"/>
        </w:rPr>
        <w:t>3.采购项目需要落实的政府采购政策</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3.1 本项目原则上采购本国生产的货物、工程和服务，不允许采购进口产品。除非采购人采购进口产品，已经在采购活动开始前向财政部门提出申请并获得财政部门审核同意，且在采购需求（招标文件）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000000"/>
          <w:kern w:val="0"/>
          <w:szCs w:val="21"/>
        </w:rPr>
        <w:t>优先采购向我国企业转让技术、与我国企业签订消化吸收再创新方案的供应商的进口产品</w:t>
      </w:r>
      <w:r>
        <w:rPr>
          <w:rFonts w:hint="eastAsia" w:ascii="宋体" w:hAnsi="宋体" w:cs="宋体"/>
          <w:color w:val="000000"/>
          <w:szCs w:val="21"/>
        </w:rPr>
        <w:t>。</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3.2 支持绿色发展</w:t>
      </w:r>
    </w:p>
    <w:p>
      <w:pPr>
        <w:snapToGrid w:val="0"/>
        <w:spacing w:line="288" w:lineRule="auto"/>
        <w:ind w:firstLine="420" w:firstLineChars="200"/>
        <w:rPr>
          <w:rFonts w:ascii="宋体" w:hAnsi="宋体" w:cs="宋体"/>
          <w:b/>
          <w:color w:val="000000"/>
          <w:szCs w:val="21"/>
        </w:rPr>
      </w:pPr>
      <w:r>
        <w:rPr>
          <w:rFonts w:hint="eastAsia" w:ascii="宋体" w:hAnsi="宋体" w:cs="宋体"/>
          <w:color w:val="000000"/>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Cs w:val="21"/>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3.2.2 修缮、装修类项目采购建材的，采购人应将绿色建筑和绿色建材性能、指标等作为实质性条件纳入招标文件和合同。</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3.3支持中小企业发展</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符合中小企业划分标准的个体工商户，在政府采购活动中视同中小企业。</w:t>
      </w:r>
    </w:p>
    <w:p>
      <w:pPr>
        <w:widowControl/>
        <w:snapToGrid w:val="0"/>
        <w:spacing w:line="288" w:lineRule="auto"/>
        <w:ind w:firstLine="420" w:firstLineChars="200"/>
        <w:jc w:val="left"/>
        <w:rPr>
          <w:rFonts w:ascii="宋体" w:hAnsi="宋体" w:cs="宋体"/>
          <w:color w:val="000000"/>
          <w:kern w:val="0"/>
          <w:szCs w:val="21"/>
        </w:rPr>
      </w:pPr>
      <w:r>
        <w:rPr>
          <w:rFonts w:ascii="宋体" w:hAnsi="宋体" w:cs="宋体"/>
          <w:bCs/>
          <w:color w:val="000000"/>
          <w:szCs w:val="21"/>
        </w:rPr>
        <w:t>3.3.2</w:t>
      </w:r>
      <w:r>
        <w:rPr>
          <w:rFonts w:hint="eastAsia" w:ascii="宋体" w:hAnsi="宋体" w:cs="宋体"/>
          <w:color w:val="000000"/>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napToGrid w:val="0"/>
        <w:spacing w:line="288"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以联合体形式参加政府采购活动，联合体各方均为中小企业的，联合体视同中小企业。其中，联合体各方均为小微企业的，联合体视同小微企业。</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3.3.4符合《关于促进残疾人就业政府采购政策的通知》（财库〔2017〕141号）规定的条件并提供《残疾人福利性单位声明函》（附件1）的残疾人福利性单位视同小型、微型企业；</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3.3.7中小企业享受扶持政策获得政府采购合同的，小微企业不得将合同分包给大中型企业，中型企业不得将合同分包给大型企业。</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3.4</w:t>
      </w:r>
      <w:r>
        <w:rPr>
          <w:rFonts w:hint="eastAsia" w:ascii="宋体" w:hAnsi="宋体" w:cs="宋体"/>
          <w:bCs/>
          <w:color w:val="000000"/>
          <w:szCs w:val="21"/>
        </w:rPr>
        <w:t>支持创新发展</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3.4.1 采购人优先采购被认定为首台套产品和“制造精品”的自主创新产品。</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3.4.2首台套产品被纳入《首台套产品推广应用指导目录》之日起</w:t>
      </w:r>
      <w:r>
        <w:rPr>
          <w:rFonts w:ascii="宋体" w:hAnsi="宋体" w:cs="宋体"/>
          <w:color w:val="000000"/>
          <w:szCs w:val="21"/>
        </w:rPr>
        <w:t>3</w:t>
      </w:r>
      <w:r>
        <w:rPr>
          <w:rFonts w:hint="eastAsia" w:ascii="宋体" w:hAnsi="宋体" w:cs="宋体"/>
          <w:color w:val="000000"/>
          <w:szCs w:val="21"/>
        </w:rPr>
        <w:t>年内，以及产品核心技术高于国内领先水平，并具有明晰自主知识产权的“制造精品”产品，自认定之日起2年内视同已具备相应销售业绩，参加政府采购活动时业绩分值为满分。</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3.5平等对待内外资企业和符合条件的破产重整企业</w:t>
      </w:r>
    </w:p>
    <w:p>
      <w:pPr>
        <w:snapToGrid w:val="0"/>
        <w:spacing w:line="288" w:lineRule="auto"/>
        <w:ind w:firstLine="420" w:firstLineChars="200"/>
        <w:rPr>
          <w:rFonts w:ascii="宋体" w:hAnsi="宋体" w:cs="宋体"/>
          <w:b/>
          <w:color w:val="000000"/>
          <w:szCs w:val="21"/>
        </w:rPr>
      </w:pPr>
      <w:r>
        <w:rPr>
          <w:rFonts w:hint="eastAsia" w:ascii="宋体" w:hAnsi="宋体" w:cs="宋体"/>
          <w:color w:val="000000"/>
          <w:szCs w:val="21"/>
        </w:rPr>
        <w:t>平等对待内外资企业和符合条件的破产重整企业，切实保障企业公平竞争，平等维护企业的合法利益。</w:t>
      </w:r>
      <w:r>
        <w:rPr>
          <w:rFonts w:hint="eastAsia" w:ascii="宋体" w:hAnsi="宋体" w:cs="宋体"/>
          <w:color w:val="000000"/>
          <w:szCs w:val="21"/>
        </w:rPr>
        <w:cr/>
      </w:r>
      <w:r>
        <w:rPr>
          <w:rFonts w:hint="eastAsia" w:ascii="宋体" w:hAnsi="宋体" w:cs="宋体"/>
          <w:b/>
          <w:color w:val="000000"/>
          <w:szCs w:val="21"/>
        </w:rPr>
        <w:t>4. 询问、质疑、投诉</w:t>
      </w:r>
    </w:p>
    <w:p>
      <w:pPr>
        <w:autoSpaceDE w:val="0"/>
        <w:autoSpaceDN w:val="0"/>
        <w:snapToGrid w:val="0"/>
        <w:spacing w:line="288" w:lineRule="auto"/>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4.1在线询问、质疑、投诉。</w:t>
      </w:r>
    </w:p>
    <w:p>
      <w:pPr>
        <w:autoSpaceDE w:val="0"/>
        <w:autoSpaceDN w:val="0"/>
        <w:snapToGrid w:val="0"/>
        <w:spacing w:line="288" w:lineRule="auto"/>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288" w:lineRule="auto"/>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4.2供应商询问</w:t>
      </w:r>
    </w:p>
    <w:p>
      <w:pPr>
        <w:autoSpaceDE w:val="0"/>
        <w:autoSpaceDN w:val="0"/>
        <w:snapToGrid w:val="0"/>
        <w:spacing w:line="288" w:lineRule="auto"/>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288" w:lineRule="auto"/>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4.3供应商质疑</w:t>
      </w:r>
    </w:p>
    <w:p>
      <w:pPr>
        <w:pStyle w:val="32"/>
        <w:snapToGrid w:val="0"/>
        <w:spacing w:line="288" w:lineRule="auto"/>
        <w:ind w:firstLine="420" w:firstLineChars="200"/>
        <w:jc w:val="left"/>
        <w:rPr>
          <w:rFonts w:hAnsi="宋体" w:cs="宋体"/>
          <w:color w:val="000000"/>
        </w:rPr>
      </w:pPr>
      <w:r>
        <w:rPr>
          <w:rFonts w:hint="eastAsia" w:hAnsi="宋体" w:cs="宋体"/>
          <w:color w:val="000000"/>
          <w:kern w:val="0"/>
          <w:lang w:val="zh-CN"/>
        </w:rPr>
        <w:t>4.3</w:t>
      </w:r>
      <w:r>
        <w:rPr>
          <w:rFonts w:hint="eastAsia" w:hAnsi="宋体" w:cs="宋体"/>
          <w:color w:val="000000"/>
        </w:rPr>
        <w:t>.1提出质疑的供应商应当是参与所质疑项目采购活动的供应商。潜在供应商已依法获取其可质疑的招标文件的，可以对该文件提出质疑。</w:t>
      </w:r>
    </w:p>
    <w:p>
      <w:pPr>
        <w:pStyle w:val="32"/>
        <w:snapToGrid w:val="0"/>
        <w:spacing w:line="288" w:lineRule="auto"/>
        <w:ind w:firstLine="420" w:firstLineChars="200"/>
        <w:jc w:val="left"/>
        <w:rPr>
          <w:rFonts w:hAnsi="宋体" w:cs="宋体"/>
          <w:color w:val="000000"/>
        </w:rPr>
      </w:pPr>
      <w:r>
        <w:rPr>
          <w:rFonts w:hint="eastAsia" w:hAnsi="宋体" w:cs="宋体"/>
          <w:color w:val="000000"/>
          <w:kern w:val="0"/>
          <w:lang w:val="zh-CN"/>
        </w:rPr>
        <w:t>4.3</w:t>
      </w:r>
      <w:r>
        <w:rPr>
          <w:rFonts w:hint="eastAsia" w:hAnsi="宋体" w:cs="宋体"/>
          <w:color w:val="000000"/>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288" w:lineRule="auto"/>
        <w:ind w:firstLine="420" w:firstLineChars="200"/>
        <w:jc w:val="left"/>
        <w:rPr>
          <w:rFonts w:hint="eastAsia" w:hAnsi="宋体" w:cs="宋体"/>
          <w:snapToGrid/>
          <w:kern w:val="2"/>
          <w:sz w:val="21"/>
          <w:szCs w:val="21"/>
        </w:rPr>
      </w:pPr>
      <w:r>
        <w:rPr>
          <w:rFonts w:hint="eastAsia" w:hAnsi="宋体" w:cs="宋体"/>
          <w:snapToGrid/>
          <w:kern w:val="2"/>
          <w:sz w:val="21"/>
          <w:szCs w:val="21"/>
        </w:rPr>
        <w:t>4.3.2.1对招标文件提出质疑的，质疑期限为供应商获得招标文件之日或者招标文件公告期限届满之日</w:t>
      </w:r>
      <w:r>
        <w:rPr>
          <w:rFonts w:hint="eastAsia" w:hAnsi="宋体" w:cs="宋体"/>
          <w:sz w:val="21"/>
          <w:szCs w:val="21"/>
        </w:rPr>
        <w:t>（公告期限届满后获取招标文件的，以公告期限届满之日为准）</w:t>
      </w:r>
      <w:r>
        <w:rPr>
          <w:rFonts w:hint="eastAsia" w:hAnsi="宋体" w:cs="宋体"/>
          <w:snapToGrid/>
          <w:kern w:val="2"/>
          <w:sz w:val="21"/>
          <w:szCs w:val="21"/>
        </w:rPr>
        <w:t>起计算。</w:t>
      </w:r>
    </w:p>
    <w:p>
      <w:pPr>
        <w:pStyle w:val="5"/>
        <w:spacing w:line="288" w:lineRule="auto"/>
        <w:ind w:firstLine="420" w:firstLineChars="200"/>
        <w:jc w:val="left"/>
        <w:rPr>
          <w:rFonts w:hint="eastAsia" w:hAnsi="宋体" w:cs="宋体"/>
          <w:sz w:val="21"/>
          <w:szCs w:val="21"/>
        </w:rPr>
      </w:pPr>
      <w:r>
        <w:rPr>
          <w:rFonts w:hint="eastAsia" w:hAnsi="宋体" w:cs="宋体"/>
          <w:sz w:val="21"/>
          <w:szCs w:val="21"/>
        </w:rPr>
        <w:t>4.3.2.2对采购过程提出质疑的，质疑期限为各采购程序环节结束之日起计算。</w:t>
      </w:r>
    </w:p>
    <w:p>
      <w:pPr>
        <w:pStyle w:val="5"/>
        <w:spacing w:line="288" w:lineRule="auto"/>
        <w:ind w:firstLine="420" w:firstLineChars="200"/>
        <w:jc w:val="left"/>
        <w:rPr>
          <w:rFonts w:hAnsi="宋体" w:cs="宋体"/>
          <w:snapToGrid/>
          <w:kern w:val="2"/>
          <w:sz w:val="21"/>
          <w:szCs w:val="21"/>
        </w:rPr>
      </w:pPr>
      <w:r>
        <w:rPr>
          <w:rFonts w:hint="eastAsia" w:hAnsi="宋体" w:cs="宋体"/>
          <w:sz w:val="21"/>
          <w:szCs w:val="21"/>
        </w:rPr>
        <w:t>4.3.2.3对采购结果提出质疑的，质疑期限自采购结果公告期限届满之日起计算。</w:t>
      </w:r>
    </w:p>
    <w:p>
      <w:pPr>
        <w:pStyle w:val="32"/>
        <w:snapToGrid w:val="0"/>
        <w:spacing w:line="288" w:lineRule="auto"/>
        <w:ind w:firstLine="420" w:firstLineChars="200"/>
        <w:jc w:val="left"/>
        <w:rPr>
          <w:rFonts w:hAnsi="宋体" w:cs="宋体"/>
          <w:color w:val="000000"/>
          <w:kern w:val="0"/>
          <w:lang w:val="zh-CN"/>
        </w:rPr>
      </w:pPr>
      <w:r>
        <w:rPr>
          <w:rFonts w:hint="eastAsia" w:hAnsi="宋体" w:cs="宋体"/>
          <w:color w:val="000000"/>
          <w:kern w:val="0"/>
          <w:lang w:val="zh-CN"/>
        </w:rPr>
        <w:t>4.3.3</w:t>
      </w:r>
      <w:r>
        <w:rPr>
          <w:rFonts w:hint="eastAsia" w:hAnsi="宋体" w:cs="宋体"/>
          <w:color w:val="000000"/>
        </w:rPr>
        <w:t>供应商提出质疑应当提交质疑函和必要的证明材料。质疑函应当包括下列内容：</w:t>
      </w:r>
    </w:p>
    <w:p>
      <w:pPr>
        <w:pStyle w:val="32"/>
        <w:snapToGrid w:val="0"/>
        <w:spacing w:line="288" w:lineRule="auto"/>
        <w:ind w:firstLine="420" w:firstLineChars="200"/>
        <w:jc w:val="left"/>
        <w:rPr>
          <w:rFonts w:hAnsi="宋体" w:cs="宋体"/>
          <w:color w:val="000000"/>
          <w:kern w:val="0"/>
          <w:lang w:val="zh-CN"/>
        </w:rPr>
      </w:pPr>
      <w:r>
        <w:rPr>
          <w:rFonts w:hint="eastAsia" w:hAnsi="宋体" w:cs="宋体"/>
          <w:color w:val="000000"/>
          <w:kern w:val="0"/>
          <w:lang w:val="zh-CN"/>
        </w:rPr>
        <w:t>4.3.3.1供应商的姓名或者名称、地址、邮编、联系人及联系电话；</w:t>
      </w:r>
    </w:p>
    <w:p>
      <w:pPr>
        <w:pStyle w:val="32"/>
        <w:snapToGrid w:val="0"/>
        <w:spacing w:line="288" w:lineRule="auto"/>
        <w:ind w:firstLine="420" w:firstLineChars="200"/>
        <w:jc w:val="left"/>
        <w:rPr>
          <w:rFonts w:hAnsi="宋体" w:cs="宋体"/>
          <w:color w:val="000000"/>
          <w:kern w:val="0"/>
          <w:lang w:val="zh-CN"/>
        </w:rPr>
      </w:pPr>
      <w:r>
        <w:rPr>
          <w:rFonts w:hint="eastAsia" w:hAnsi="宋体" w:cs="宋体"/>
          <w:color w:val="000000"/>
          <w:kern w:val="0"/>
          <w:lang w:val="zh-CN"/>
        </w:rPr>
        <w:t>4.3.3.2质疑项目的名称、编号；</w:t>
      </w:r>
    </w:p>
    <w:p>
      <w:pPr>
        <w:pStyle w:val="32"/>
        <w:snapToGrid w:val="0"/>
        <w:spacing w:line="288" w:lineRule="auto"/>
        <w:ind w:firstLine="420" w:firstLineChars="200"/>
        <w:jc w:val="left"/>
        <w:rPr>
          <w:rFonts w:hAnsi="宋体" w:cs="宋体"/>
          <w:color w:val="000000"/>
          <w:kern w:val="0"/>
          <w:lang w:val="zh-CN"/>
        </w:rPr>
      </w:pPr>
      <w:r>
        <w:rPr>
          <w:rFonts w:hint="eastAsia" w:hAnsi="宋体" w:cs="宋体"/>
          <w:color w:val="000000"/>
          <w:kern w:val="0"/>
          <w:lang w:val="zh-CN"/>
        </w:rPr>
        <w:t>4.3.3.3具体、明确的质疑事项和与质疑事项相关的请求；</w:t>
      </w:r>
    </w:p>
    <w:p>
      <w:pPr>
        <w:pStyle w:val="32"/>
        <w:snapToGrid w:val="0"/>
        <w:spacing w:line="288" w:lineRule="auto"/>
        <w:ind w:firstLine="420" w:firstLineChars="200"/>
        <w:jc w:val="left"/>
        <w:rPr>
          <w:rFonts w:hAnsi="宋体" w:cs="宋体"/>
          <w:color w:val="000000"/>
          <w:kern w:val="0"/>
          <w:lang w:val="zh-CN"/>
        </w:rPr>
      </w:pPr>
      <w:r>
        <w:rPr>
          <w:rFonts w:hint="eastAsia" w:hAnsi="宋体" w:cs="宋体"/>
          <w:color w:val="000000"/>
          <w:kern w:val="0"/>
          <w:lang w:val="zh-CN"/>
        </w:rPr>
        <w:t>4.3.3.4事实依据；</w:t>
      </w:r>
    </w:p>
    <w:p>
      <w:pPr>
        <w:pStyle w:val="32"/>
        <w:snapToGrid w:val="0"/>
        <w:spacing w:line="288" w:lineRule="auto"/>
        <w:ind w:firstLine="420" w:firstLineChars="200"/>
        <w:jc w:val="left"/>
        <w:rPr>
          <w:rFonts w:hAnsi="宋体" w:cs="宋体"/>
          <w:color w:val="000000"/>
          <w:kern w:val="0"/>
          <w:lang w:val="zh-CN"/>
        </w:rPr>
      </w:pPr>
      <w:r>
        <w:rPr>
          <w:rFonts w:hint="eastAsia" w:hAnsi="宋体" w:cs="宋体"/>
          <w:color w:val="000000"/>
          <w:kern w:val="0"/>
          <w:lang w:val="zh-CN"/>
        </w:rPr>
        <w:t>4.3.3.5必要的法律依据；</w:t>
      </w:r>
    </w:p>
    <w:p>
      <w:pPr>
        <w:pStyle w:val="32"/>
        <w:snapToGrid w:val="0"/>
        <w:spacing w:line="288" w:lineRule="auto"/>
        <w:ind w:firstLine="420" w:firstLineChars="200"/>
        <w:jc w:val="left"/>
        <w:rPr>
          <w:rFonts w:hAnsi="宋体" w:cs="宋体"/>
          <w:color w:val="000000"/>
          <w:kern w:val="0"/>
          <w:lang w:val="zh-CN"/>
        </w:rPr>
      </w:pPr>
      <w:r>
        <w:rPr>
          <w:rFonts w:hint="eastAsia" w:hAnsi="宋体" w:cs="宋体"/>
          <w:color w:val="000000"/>
          <w:kern w:val="0"/>
          <w:lang w:val="zh-CN"/>
        </w:rPr>
        <w:t>4.3.3.6提出质疑的日期。</w:t>
      </w:r>
    </w:p>
    <w:p>
      <w:pPr>
        <w:pStyle w:val="888"/>
        <w:shd w:val="clear" w:color="auto" w:fill="FFFFFF"/>
        <w:adjustRightInd w:val="0"/>
        <w:snapToGrid w:val="0"/>
        <w:spacing w:before="0" w:beforeAutospacing="0" w:after="0" w:afterAutospacing="0" w:line="288" w:lineRule="auto"/>
        <w:ind w:firstLine="420" w:firstLineChars="200"/>
        <w:rPr>
          <w:color w:val="000000"/>
          <w:sz w:val="21"/>
          <w:szCs w:val="21"/>
        </w:rPr>
      </w:pPr>
      <w:r>
        <w:rPr>
          <w:rFonts w:hint="eastAsia"/>
          <w:color w:val="000000"/>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adjustRightInd w:val="0"/>
        <w:snapToGrid w:val="0"/>
        <w:spacing w:before="0" w:beforeAutospacing="0" w:after="0" w:afterAutospacing="0" w:line="288" w:lineRule="auto"/>
        <w:ind w:firstLine="420" w:firstLineChars="200"/>
        <w:rPr>
          <w:rFonts w:hint="eastAsia"/>
          <w:color w:val="000000"/>
          <w:sz w:val="21"/>
          <w:szCs w:val="21"/>
        </w:rPr>
      </w:pPr>
      <w:r>
        <w:rPr>
          <w:rFonts w:hint="eastAsia"/>
          <w:color w:val="000000"/>
          <w:sz w:val="21"/>
          <w:szCs w:val="21"/>
        </w:rPr>
        <w:t>质疑函范本及制作说明详见附件2。</w:t>
      </w:r>
    </w:p>
    <w:p>
      <w:pPr>
        <w:pStyle w:val="888"/>
        <w:shd w:val="clear" w:color="auto" w:fill="FFFFFF"/>
        <w:adjustRightInd w:val="0"/>
        <w:snapToGrid w:val="0"/>
        <w:spacing w:before="0" w:beforeAutospacing="0" w:after="0" w:afterAutospacing="0" w:line="288" w:lineRule="auto"/>
        <w:ind w:firstLine="420" w:firstLineChars="200"/>
        <w:rPr>
          <w:color w:val="000000"/>
          <w:sz w:val="21"/>
          <w:szCs w:val="21"/>
        </w:rPr>
      </w:pPr>
      <w:r>
        <w:rPr>
          <w:rFonts w:hint="eastAsia"/>
          <w:color w:val="000000"/>
          <w:sz w:val="21"/>
          <w:szCs w:val="21"/>
        </w:rPr>
        <w:t>4.3.4对同一采购程序环节的质疑，供应商须在法定质疑期内一次性提出。</w:t>
      </w:r>
    </w:p>
    <w:p>
      <w:pPr>
        <w:pStyle w:val="888"/>
        <w:shd w:val="clear" w:color="auto" w:fill="FFFFFF"/>
        <w:adjustRightInd w:val="0"/>
        <w:snapToGrid w:val="0"/>
        <w:spacing w:before="0" w:beforeAutospacing="0" w:after="0" w:afterAutospacing="0" w:line="288" w:lineRule="auto"/>
        <w:ind w:firstLine="420" w:firstLineChars="200"/>
        <w:rPr>
          <w:color w:val="000000"/>
          <w:sz w:val="21"/>
          <w:szCs w:val="21"/>
        </w:rPr>
      </w:pPr>
      <w:r>
        <w:rPr>
          <w:rFonts w:hint="eastAsia"/>
          <w:color w:val="000000"/>
          <w:sz w:val="21"/>
          <w:szCs w:val="21"/>
          <w:lang w:val="zh-CN"/>
        </w:rPr>
        <w:t>4.3</w:t>
      </w:r>
      <w:r>
        <w:rPr>
          <w:rFonts w:hint="eastAsia"/>
          <w:color w:val="000000"/>
          <w:sz w:val="21"/>
          <w:szCs w:val="21"/>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adjustRightInd w:val="0"/>
        <w:snapToGrid w:val="0"/>
        <w:spacing w:before="0" w:beforeAutospacing="0" w:after="0" w:afterAutospacing="0" w:line="288" w:lineRule="auto"/>
        <w:ind w:firstLine="420" w:firstLineChars="200"/>
        <w:rPr>
          <w:color w:val="000000"/>
          <w:sz w:val="21"/>
          <w:szCs w:val="21"/>
        </w:rPr>
      </w:pPr>
      <w:r>
        <w:rPr>
          <w:rFonts w:hint="eastAsia"/>
          <w:color w:val="000000"/>
          <w:sz w:val="21"/>
          <w:szCs w:val="21"/>
          <w:lang w:val="zh-CN"/>
        </w:rPr>
        <w:t>4.3</w:t>
      </w:r>
      <w:r>
        <w:rPr>
          <w:rFonts w:hint="eastAsia"/>
          <w:color w:val="000000"/>
          <w:sz w:val="21"/>
          <w:szCs w:val="21"/>
        </w:rPr>
        <w:t>.6询问或者质疑事项可能影响采购结果的，采购人应当暂停签订合同，已经签订合同的，应当中止履行合同。</w:t>
      </w:r>
    </w:p>
    <w:p>
      <w:pPr>
        <w:pStyle w:val="888"/>
        <w:shd w:val="clear" w:color="auto" w:fill="FFFFFF"/>
        <w:adjustRightInd w:val="0"/>
        <w:snapToGrid w:val="0"/>
        <w:spacing w:before="0" w:beforeAutospacing="0" w:after="0" w:afterAutospacing="0" w:line="288" w:lineRule="auto"/>
        <w:ind w:firstLine="420" w:firstLineChars="200"/>
        <w:rPr>
          <w:rFonts w:hint="eastAsia"/>
          <w:color w:val="000000"/>
          <w:sz w:val="21"/>
          <w:szCs w:val="21"/>
          <w:lang w:val="zh-CN"/>
        </w:rPr>
      </w:pPr>
      <w:r>
        <w:rPr>
          <w:rFonts w:hint="eastAsia"/>
          <w:color w:val="000000"/>
          <w:sz w:val="21"/>
          <w:szCs w:val="21"/>
          <w:lang w:val="zh-CN"/>
        </w:rPr>
        <w:t>4.4供应商投诉</w:t>
      </w:r>
    </w:p>
    <w:p>
      <w:pPr>
        <w:pStyle w:val="888"/>
        <w:shd w:val="clear" w:color="auto" w:fill="FFFFFF"/>
        <w:adjustRightInd w:val="0"/>
        <w:snapToGrid w:val="0"/>
        <w:spacing w:before="0" w:beforeAutospacing="0" w:after="0" w:afterAutospacing="0" w:line="288" w:lineRule="auto"/>
        <w:ind w:firstLine="420" w:firstLineChars="200"/>
        <w:rPr>
          <w:rFonts w:hint="eastAsia"/>
          <w:color w:val="000000"/>
          <w:sz w:val="21"/>
          <w:szCs w:val="21"/>
          <w:lang w:val="zh-CN"/>
        </w:rPr>
      </w:pPr>
      <w:r>
        <w:rPr>
          <w:rFonts w:hint="eastAsia"/>
          <w:color w:val="000000"/>
          <w:sz w:val="21"/>
          <w:szCs w:val="21"/>
        </w:rPr>
        <w:t>4.4.1质疑供应商对采购人、采购机构的答复不满意或者采购人、采购机构未在规定的时间内作出答复的，可以在答复期满后十五个工作日内向同级政府采购监督管理部门提出投诉。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adjustRightInd w:val="0"/>
        <w:snapToGrid w:val="0"/>
        <w:spacing w:before="0" w:beforeAutospacing="0" w:after="0" w:afterAutospacing="0" w:line="288" w:lineRule="auto"/>
        <w:ind w:firstLine="420" w:firstLineChars="200"/>
        <w:rPr>
          <w:rFonts w:hint="eastAsia"/>
          <w:color w:val="000000"/>
          <w:sz w:val="21"/>
          <w:szCs w:val="21"/>
          <w:lang w:val="zh-CN"/>
        </w:rPr>
      </w:pPr>
      <w:r>
        <w:rPr>
          <w:rFonts w:hint="eastAsia"/>
          <w:color w:val="000000"/>
          <w:sz w:val="21"/>
          <w:szCs w:val="21"/>
        </w:rPr>
        <w:t>4.4.</w:t>
      </w:r>
      <w:r>
        <w:rPr>
          <w:rFonts w:hint="eastAsia"/>
          <w:color w:val="000000"/>
          <w:sz w:val="21"/>
          <w:szCs w:val="21"/>
          <w:lang w:val="zh-CN"/>
        </w:rPr>
        <w:t>2</w:t>
      </w:r>
      <w:r>
        <w:rPr>
          <w:rFonts w:hint="eastAsia"/>
          <w:color w:val="000000"/>
          <w:sz w:val="21"/>
          <w:szCs w:val="21"/>
        </w:rPr>
        <w:t>供应商投诉的事项不得超出已质疑事项的范围，基于质疑答复内容提出的投诉事项除外。</w:t>
      </w:r>
    </w:p>
    <w:p>
      <w:pPr>
        <w:pStyle w:val="888"/>
        <w:shd w:val="clear" w:color="auto" w:fill="FFFFFF"/>
        <w:adjustRightInd w:val="0"/>
        <w:snapToGrid w:val="0"/>
        <w:spacing w:before="0" w:beforeAutospacing="0" w:after="0" w:afterAutospacing="0" w:line="288" w:lineRule="auto"/>
        <w:ind w:firstLine="420" w:firstLineChars="200"/>
        <w:rPr>
          <w:rFonts w:hint="eastAsia"/>
          <w:color w:val="000000"/>
          <w:sz w:val="21"/>
          <w:szCs w:val="21"/>
          <w:lang w:val="zh-CN"/>
        </w:rPr>
      </w:pPr>
      <w:r>
        <w:rPr>
          <w:rFonts w:hint="eastAsia"/>
          <w:color w:val="000000"/>
          <w:sz w:val="21"/>
          <w:szCs w:val="21"/>
        </w:rPr>
        <w:t>4.4.3供应商投诉应当有明确的请求和必要的证明材料。</w:t>
      </w:r>
    </w:p>
    <w:p>
      <w:pPr>
        <w:pStyle w:val="888"/>
        <w:shd w:val="clear" w:color="auto" w:fill="FFFFFF"/>
        <w:adjustRightInd w:val="0"/>
        <w:snapToGrid w:val="0"/>
        <w:spacing w:before="0" w:beforeAutospacing="0" w:after="0" w:afterAutospacing="0" w:line="288" w:lineRule="auto"/>
        <w:ind w:firstLine="420" w:firstLineChars="200"/>
        <w:rPr>
          <w:rFonts w:hint="eastAsia"/>
          <w:color w:val="000000"/>
          <w:sz w:val="21"/>
          <w:szCs w:val="21"/>
          <w:lang w:val="zh-CN"/>
        </w:rPr>
      </w:pPr>
      <w:r>
        <w:rPr>
          <w:rFonts w:hint="eastAsia"/>
          <w:color w:val="000000"/>
          <w:sz w:val="21"/>
          <w:szCs w:val="21"/>
        </w:rPr>
        <w:t>4.4.4以联合体形式参加政府采购活动的，其投诉应当由组成联合体的所有供应商共同提出。</w:t>
      </w:r>
    </w:p>
    <w:p>
      <w:pPr>
        <w:pStyle w:val="888"/>
        <w:shd w:val="clear" w:color="auto" w:fill="FFFFFF"/>
        <w:adjustRightInd w:val="0"/>
        <w:snapToGrid w:val="0"/>
        <w:spacing w:before="0" w:beforeAutospacing="0" w:after="0" w:afterAutospacing="0" w:line="288" w:lineRule="auto"/>
        <w:ind w:firstLine="420" w:firstLineChars="200"/>
        <w:rPr>
          <w:color w:val="000000"/>
          <w:sz w:val="21"/>
          <w:szCs w:val="21"/>
        </w:rPr>
      </w:pPr>
      <w:r>
        <w:rPr>
          <w:rFonts w:hint="eastAsia"/>
          <w:color w:val="000000"/>
          <w:sz w:val="21"/>
          <w:szCs w:val="21"/>
        </w:rPr>
        <w:t>投诉书范本及制作说明详见附件3。</w:t>
      </w:r>
    </w:p>
    <w:p>
      <w:pPr>
        <w:snapToGrid w:val="0"/>
        <w:spacing w:before="360" w:beforeLines="150" w:line="288" w:lineRule="auto"/>
        <w:jc w:val="center"/>
        <w:outlineLvl w:val="0"/>
        <w:rPr>
          <w:rFonts w:ascii="宋体" w:hAnsi="宋体" w:cs="宋体"/>
          <w:b/>
          <w:color w:val="000000"/>
          <w:szCs w:val="21"/>
        </w:rPr>
      </w:pPr>
      <w:r>
        <w:rPr>
          <w:rFonts w:hint="eastAsia" w:ascii="宋体" w:hAnsi="宋体" w:cs="宋体"/>
          <w:b/>
          <w:color w:val="000000"/>
          <w:szCs w:val="21"/>
        </w:rPr>
        <w:t>二、招标文件的构成、澄清、修改</w:t>
      </w:r>
    </w:p>
    <w:p>
      <w:pPr>
        <w:pStyle w:val="32"/>
        <w:snapToGrid w:val="0"/>
        <w:spacing w:line="288" w:lineRule="auto"/>
        <w:rPr>
          <w:rFonts w:hAnsi="宋体" w:cs="宋体"/>
          <w:b/>
          <w:color w:val="000000"/>
        </w:rPr>
      </w:pPr>
      <w:r>
        <w:rPr>
          <w:rFonts w:hint="eastAsia" w:hAnsi="宋体" w:cs="宋体"/>
          <w:b/>
          <w:color w:val="000000"/>
        </w:rPr>
        <w:t>5．招标文件的构成</w:t>
      </w:r>
    </w:p>
    <w:p>
      <w:pPr>
        <w:pStyle w:val="32"/>
        <w:snapToGrid w:val="0"/>
        <w:spacing w:line="288" w:lineRule="auto"/>
        <w:ind w:firstLine="420" w:firstLineChars="200"/>
        <w:rPr>
          <w:rFonts w:hint="eastAsia" w:hAnsi="宋体" w:cs="宋体"/>
          <w:color w:val="000000"/>
        </w:rPr>
      </w:pPr>
      <w:r>
        <w:rPr>
          <w:rFonts w:hint="eastAsia" w:hAnsi="宋体" w:cs="宋体"/>
          <w:color w:val="000000"/>
        </w:rPr>
        <w:t>5.1 招标文件包括下列文件及附件：</w:t>
      </w:r>
    </w:p>
    <w:p>
      <w:pPr>
        <w:pStyle w:val="32"/>
        <w:snapToGrid w:val="0"/>
        <w:spacing w:line="288" w:lineRule="auto"/>
        <w:ind w:firstLine="420" w:firstLineChars="200"/>
        <w:rPr>
          <w:rFonts w:hint="eastAsia" w:hAnsi="宋体" w:cs="宋体"/>
          <w:color w:val="000000"/>
        </w:rPr>
      </w:pPr>
      <w:r>
        <w:rPr>
          <w:rFonts w:hint="eastAsia" w:hAnsi="宋体" w:cs="宋体"/>
          <w:color w:val="000000"/>
        </w:rPr>
        <w:t>5.1.1招标公告；</w:t>
      </w:r>
    </w:p>
    <w:p>
      <w:pPr>
        <w:pStyle w:val="32"/>
        <w:snapToGrid w:val="0"/>
        <w:spacing w:line="288" w:lineRule="auto"/>
        <w:ind w:firstLine="420" w:firstLineChars="200"/>
        <w:rPr>
          <w:rFonts w:hint="eastAsia" w:hAnsi="宋体" w:cs="宋体"/>
          <w:color w:val="000000"/>
        </w:rPr>
      </w:pPr>
      <w:r>
        <w:rPr>
          <w:rFonts w:hint="eastAsia" w:hAnsi="宋体" w:cs="宋体"/>
          <w:color w:val="000000"/>
        </w:rPr>
        <w:t>5.1.2投标人须知；</w:t>
      </w:r>
    </w:p>
    <w:p>
      <w:pPr>
        <w:pStyle w:val="32"/>
        <w:snapToGrid w:val="0"/>
        <w:spacing w:line="288" w:lineRule="auto"/>
        <w:ind w:firstLine="420" w:firstLineChars="200"/>
        <w:rPr>
          <w:rFonts w:hint="eastAsia" w:hAnsi="宋体" w:cs="宋体"/>
          <w:color w:val="000000"/>
        </w:rPr>
      </w:pPr>
      <w:r>
        <w:rPr>
          <w:rFonts w:hint="eastAsia" w:hAnsi="宋体" w:cs="宋体"/>
          <w:color w:val="000000"/>
        </w:rPr>
        <w:t>5.1.3采购需求；</w:t>
      </w:r>
    </w:p>
    <w:p>
      <w:pPr>
        <w:pStyle w:val="32"/>
        <w:snapToGrid w:val="0"/>
        <w:spacing w:line="288" w:lineRule="auto"/>
        <w:ind w:firstLine="420" w:firstLineChars="200"/>
        <w:rPr>
          <w:rFonts w:hint="eastAsia" w:hAnsi="宋体" w:cs="宋体"/>
          <w:color w:val="000000"/>
        </w:rPr>
      </w:pPr>
      <w:r>
        <w:rPr>
          <w:rFonts w:hint="eastAsia" w:hAnsi="宋体" w:cs="宋体"/>
          <w:color w:val="000000"/>
        </w:rPr>
        <w:t>5.1.4评标办法；</w:t>
      </w:r>
    </w:p>
    <w:p>
      <w:pPr>
        <w:pStyle w:val="32"/>
        <w:snapToGrid w:val="0"/>
        <w:spacing w:line="288" w:lineRule="auto"/>
        <w:ind w:firstLine="420" w:firstLineChars="200"/>
        <w:rPr>
          <w:rFonts w:hint="eastAsia" w:hAnsi="宋体" w:cs="宋体"/>
          <w:color w:val="000000"/>
        </w:rPr>
      </w:pPr>
      <w:r>
        <w:rPr>
          <w:rFonts w:hint="eastAsia" w:hAnsi="宋体" w:cs="宋体"/>
          <w:color w:val="000000"/>
        </w:rPr>
        <w:t>5.1.5拟签订的合同文本；</w:t>
      </w:r>
    </w:p>
    <w:p>
      <w:pPr>
        <w:pStyle w:val="32"/>
        <w:snapToGrid w:val="0"/>
        <w:spacing w:line="288" w:lineRule="auto"/>
        <w:ind w:firstLine="420" w:firstLineChars="200"/>
        <w:rPr>
          <w:rFonts w:hAnsi="宋体" w:cs="宋体"/>
          <w:color w:val="000000"/>
        </w:rPr>
      </w:pPr>
      <w:r>
        <w:rPr>
          <w:rFonts w:hint="eastAsia" w:hAnsi="宋体" w:cs="宋体"/>
          <w:color w:val="000000"/>
        </w:rPr>
        <w:t>5.1.6应提交的有关格式范例。</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szCs w:val="21"/>
        </w:rPr>
        <w:t>5.2与本项目有关的</w:t>
      </w:r>
      <w:r>
        <w:rPr>
          <w:rFonts w:hint="eastAsia" w:ascii="宋体" w:hAnsi="宋体" w:cs="宋体"/>
          <w:bCs/>
          <w:color w:val="000000"/>
          <w:szCs w:val="21"/>
        </w:rPr>
        <w:t>澄清或者修改的内容为招标文件的组成部分</w:t>
      </w:r>
      <w:r>
        <w:rPr>
          <w:rFonts w:hint="eastAsia" w:ascii="宋体" w:hAnsi="宋体" w:cs="宋体"/>
          <w:color w:val="000000"/>
          <w:szCs w:val="21"/>
        </w:rPr>
        <w:t>。</w:t>
      </w:r>
    </w:p>
    <w:p>
      <w:pPr>
        <w:pStyle w:val="32"/>
        <w:snapToGrid w:val="0"/>
        <w:spacing w:line="288" w:lineRule="auto"/>
        <w:rPr>
          <w:rFonts w:hAnsi="宋体" w:cs="宋体"/>
          <w:b/>
          <w:color w:val="000000"/>
        </w:rPr>
      </w:pPr>
      <w:r>
        <w:rPr>
          <w:rFonts w:hint="eastAsia" w:hAnsi="宋体" w:cs="宋体"/>
          <w:b/>
          <w:color w:val="000000"/>
        </w:rPr>
        <w:t>6. 招标文件的澄清、修改</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6.1已获取招标文件的潜在投标人，若有问题需要澄清，应于投标截止时间前，以书面形式向采购机构提出。</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napToGrid w:val="0"/>
        <w:spacing w:before="360" w:beforeLines="150" w:line="288" w:lineRule="auto"/>
        <w:jc w:val="center"/>
        <w:outlineLvl w:val="0"/>
        <w:rPr>
          <w:rFonts w:ascii="宋体" w:hAnsi="宋体" w:cs="宋体"/>
          <w:b/>
          <w:color w:val="000000"/>
          <w:szCs w:val="21"/>
        </w:rPr>
      </w:pPr>
      <w:r>
        <w:rPr>
          <w:rFonts w:hint="eastAsia" w:ascii="宋体" w:hAnsi="宋体" w:cs="宋体"/>
          <w:b/>
          <w:color w:val="000000"/>
          <w:szCs w:val="21"/>
        </w:rPr>
        <w:t>三、投标</w:t>
      </w:r>
    </w:p>
    <w:p>
      <w:pPr>
        <w:pStyle w:val="32"/>
        <w:snapToGrid w:val="0"/>
        <w:spacing w:line="288" w:lineRule="auto"/>
        <w:rPr>
          <w:rFonts w:hAnsi="宋体" w:cs="宋体"/>
          <w:b/>
          <w:color w:val="000000"/>
        </w:rPr>
      </w:pPr>
      <w:r>
        <w:rPr>
          <w:rFonts w:hint="eastAsia" w:hAnsi="宋体" w:cs="宋体"/>
          <w:b/>
          <w:color w:val="000000"/>
        </w:rPr>
        <w:t>7. 招标文件的获取</w:t>
      </w:r>
    </w:p>
    <w:p>
      <w:pPr>
        <w:snapToGrid w:val="0"/>
        <w:spacing w:line="288" w:lineRule="auto"/>
        <w:ind w:firstLine="420" w:firstLineChars="200"/>
        <w:rPr>
          <w:rFonts w:ascii="宋体" w:hAnsi="宋体" w:cs="宋体"/>
          <w:snapToGrid w:val="0"/>
          <w:color w:val="000000"/>
          <w:kern w:val="28"/>
          <w:szCs w:val="21"/>
        </w:rPr>
      </w:pPr>
      <w:r>
        <w:rPr>
          <w:rFonts w:hint="eastAsia" w:ascii="宋体" w:hAnsi="宋体" w:cs="宋体"/>
          <w:snapToGrid w:val="0"/>
          <w:color w:val="000000"/>
          <w:kern w:val="28"/>
          <w:szCs w:val="21"/>
        </w:rPr>
        <w:t>详见招标公告中获取招标文件的时间期限、地点、方式及招标文件售价。</w:t>
      </w:r>
    </w:p>
    <w:p>
      <w:pPr>
        <w:pStyle w:val="32"/>
        <w:snapToGrid w:val="0"/>
        <w:spacing w:line="288" w:lineRule="auto"/>
        <w:rPr>
          <w:rFonts w:hAnsi="宋体" w:cs="宋体"/>
          <w:b/>
          <w:color w:val="000000"/>
        </w:rPr>
      </w:pPr>
      <w:r>
        <w:rPr>
          <w:rFonts w:hint="eastAsia" w:hAnsi="宋体" w:cs="宋体"/>
          <w:b/>
          <w:color w:val="000000"/>
        </w:rPr>
        <w:t>8.开标前答疑会或现场考察</w:t>
      </w:r>
    </w:p>
    <w:p>
      <w:pPr>
        <w:pStyle w:val="32"/>
        <w:snapToGrid w:val="0"/>
        <w:spacing w:line="288" w:lineRule="auto"/>
        <w:ind w:firstLine="420" w:firstLineChars="200"/>
        <w:rPr>
          <w:rFonts w:hAnsi="宋体" w:cs="宋体"/>
          <w:color w:val="000000"/>
        </w:rPr>
      </w:pPr>
      <w:r>
        <w:rPr>
          <w:rFonts w:hint="eastAsia" w:hAnsi="宋体" w:cs="宋体"/>
          <w:color w:val="000000"/>
        </w:rPr>
        <w:t>采购人组织潜在投标人现场考察或者召开开标前答疑会的，潜在投标人按第二部分投标人须知前附表的规定参加现场考察或者开标前答疑会。</w:t>
      </w:r>
    </w:p>
    <w:p>
      <w:pPr>
        <w:pStyle w:val="32"/>
        <w:snapToGrid w:val="0"/>
        <w:spacing w:line="288" w:lineRule="auto"/>
        <w:rPr>
          <w:rFonts w:hAnsi="宋体" w:cs="宋体"/>
          <w:b/>
          <w:color w:val="000000"/>
        </w:rPr>
      </w:pPr>
      <w:r>
        <w:rPr>
          <w:rFonts w:hint="eastAsia" w:hAnsi="宋体" w:cs="宋体"/>
          <w:b/>
          <w:color w:val="000000"/>
          <w:kern w:val="28"/>
        </w:rPr>
        <w:t>9.投标保证金</w:t>
      </w:r>
    </w:p>
    <w:p>
      <w:pPr>
        <w:pStyle w:val="5"/>
        <w:spacing w:line="288" w:lineRule="auto"/>
        <w:ind w:firstLine="411" w:firstLineChars="196"/>
        <w:rPr>
          <w:rFonts w:hAnsi="宋体" w:cs="宋体"/>
          <w:sz w:val="21"/>
          <w:szCs w:val="21"/>
        </w:rPr>
      </w:pPr>
      <w:r>
        <w:rPr>
          <w:rFonts w:hint="eastAsia" w:hAnsi="宋体" w:cs="宋体"/>
          <w:sz w:val="21"/>
          <w:szCs w:val="21"/>
        </w:rPr>
        <w:t>本项目不需缴纳投标保证金。</w:t>
      </w:r>
    </w:p>
    <w:p>
      <w:pPr>
        <w:pStyle w:val="32"/>
        <w:snapToGrid w:val="0"/>
        <w:spacing w:line="288" w:lineRule="auto"/>
        <w:rPr>
          <w:rFonts w:hAnsi="宋体" w:cs="宋体"/>
          <w:b/>
          <w:color w:val="000000"/>
        </w:rPr>
      </w:pPr>
      <w:r>
        <w:rPr>
          <w:rFonts w:hint="eastAsia" w:hAnsi="宋体" w:cs="宋体"/>
          <w:b/>
          <w:color w:val="000000"/>
        </w:rPr>
        <w:t>10. 投标文件的语言</w:t>
      </w:r>
    </w:p>
    <w:p>
      <w:pPr>
        <w:autoSpaceDE w:val="0"/>
        <w:autoSpaceDN w:val="0"/>
        <w:snapToGrid w:val="0"/>
        <w:spacing w:line="288" w:lineRule="auto"/>
        <w:ind w:firstLine="420" w:firstLineChars="200"/>
        <w:rPr>
          <w:rFonts w:ascii="宋体" w:hAnsi="宋体" w:cs="宋体"/>
          <w:color w:val="000000"/>
          <w:szCs w:val="21"/>
          <w:lang w:val="zh-CN"/>
        </w:rPr>
      </w:pPr>
      <w:r>
        <w:rPr>
          <w:rFonts w:hint="eastAsia" w:ascii="宋体" w:hAnsi="宋体" w:cs="宋体"/>
          <w:color w:val="000000"/>
          <w:szCs w:val="21"/>
        </w:rPr>
        <w:t>投标文件及投标人与采购有关的来往通知、函件和文件均应使用中文。</w:t>
      </w:r>
    </w:p>
    <w:p>
      <w:pPr>
        <w:pStyle w:val="32"/>
        <w:snapToGrid w:val="0"/>
        <w:spacing w:line="288" w:lineRule="auto"/>
        <w:rPr>
          <w:rFonts w:hAnsi="宋体" w:cs="宋体"/>
          <w:b/>
          <w:color w:val="000000"/>
        </w:rPr>
      </w:pPr>
      <w:r>
        <w:rPr>
          <w:rFonts w:hint="eastAsia" w:hAnsi="宋体" w:cs="宋体"/>
          <w:b/>
          <w:color w:val="000000"/>
        </w:rPr>
        <w:t>11. 投标文件的组成</w:t>
      </w:r>
    </w:p>
    <w:p>
      <w:pPr>
        <w:snapToGrid w:val="0"/>
        <w:spacing w:line="288" w:lineRule="auto"/>
        <w:ind w:firstLine="420" w:firstLineChars="200"/>
        <w:rPr>
          <w:rFonts w:hint="eastAsia" w:ascii="宋体" w:hAnsi="宋体" w:cs="宋体"/>
          <w:color w:val="000000"/>
          <w:szCs w:val="21"/>
        </w:rPr>
      </w:pPr>
      <w:r>
        <w:rPr>
          <w:rFonts w:hint="eastAsia" w:ascii="宋体" w:hAnsi="宋体" w:cs="宋体"/>
          <w:color w:val="000000"/>
          <w:szCs w:val="21"/>
        </w:rPr>
        <w:t>11.1</w:t>
      </w:r>
      <w:r>
        <w:rPr>
          <w:rFonts w:hint="eastAsia" w:ascii="宋体" w:hAnsi="宋体" w:cs="宋体"/>
          <w:b/>
          <w:color w:val="000000"/>
          <w:szCs w:val="21"/>
        </w:rPr>
        <w:t>资格文件</w:t>
      </w:r>
      <w:r>
        <w:rPr>
          <w:rFonts w:hint="eastAsia" w:ascii="宋体" w:hAnsi="宋体" w:cs="宋体"/>
          <w:color w:val="000000"/>
          <w:szCs w:val="21"/>
        </w:rPr>
        <w:t>：</w:t>
      </w:r>
    </w:p>
    <w:p>
      <w:pPr>
        <w:snapToGrid w:val="0"/>
        <w:spacing w:line="288" w:lineRule="auto"/>
        <w:ind w:firstLine="420" w:firstLineChars="20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11.1.1符合参加政府采购活动应当具备的一般条件的承诺函；</w:t>
      </w:r>
    </w:p>
    <w:p>
      <w:pPr>
        <w:snapToGrid w:val="0"/>
        <w:spacing w:line="288" w:lineRule="auto"/>
        <w:ind w:firstLine="420" w:firstLineChars="200"/>
        <w:jc w:val="left"/>
        <w:rPr>
          <w:rFonts w:hint="eastAsia" w:ascii="宋体" w:hAnsi="宋体" w:cs="宋体"/>
          <w:color w:val="000000"/>
          <w:szCs w:val="21"/>
        </w:rPr>
      </w:pPr>
      <w:r>
        <w:rPr>
          <w:rFonts w:hint="eastAsia" w:ascii="宋体" w:hAnsi="宋体" w:cs="宋体"/>
          <w:color w:val="000000"/>
          <w:szCs w:val="21"/>
        </w:rPr>
        <w:t>▲</w:t>
      </w:r>
      <w:r>
        <w:rPr>
          <w:rFonts w:ascii="宋体" w:hAnsi="宋体" w:cs="宋体"/>
          <w:color w:val="000000"/>
          <w:szCs w:val="21"/>
        </w:rPr>
        <w:t>11.1.2法人或者其他组织的营业执照等证明文件，自然人的身份证明；</w:t>
      </w:r>
    </w:p>
    <w:p>
      <w:pPr>
        <w:snapToGrid w:val="0"/>
        <w:spacing w:line="288" w:lineRule="auto"/>
        <w:ind w:firstLine="420" w:firstLineChars="200"/>
        <w:jc w:val="lef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1.1.</w:t>
      </w:r>
      <w:r>
        <w:rPr>
          <w:rFonts w:hint="eastAsia" w:ascii="宋体" w:hAnsi="宋体" w:cs="宋体"/>
          <w:color w:val="000000"/>
          <w:szCs w:val="21"/>
        </w:rPr>
        <w:t>3联合协议（如果是联合体投标需提供，非联合体投标无需提供)；</w:t>
      </w:r>
    </w:p>
    <w:p>
      <w:pPr>
        <w:snapToGrid w:val="0"/>
        <w:spacing w:line="288" w:lineRule="auto"/>
        <w:ind w:firstLine="420" w:firstLineChars="20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11.1.</w:t>
      </w:r>
      <w:r>
        <w:rPr>
          <w:rFonts w:hint="eastAsia" w:ascii="宋体" w:hAnsi="宋体" w:cs="宋体"/>
          <w:color w:val="000000"/>
          <w:szCs w:val="21"/>
        </w:rPr>
        <w:t>4</w:t>
      </w:r>
      <w:r>
        <w:rPr>
          <w:rFonts w:ascii="宋体" w:hAnsi="宋体" w:cs="宋体"/>
          <w:color w:val="000000"/>
          <w:szCs w:val="21"/>
        </w:rPr>
        <w:t>落实政府采购政策需满足的资格要求（专门面向中小企业，服务全部由符合政策要求的中小企业（或小微企业）承接的，提供相应的中小企业声明函（</w:t>
      </w:r>
      <w:r>
        <w:rPr>
          <w:rFonts w:hint="eastAsia" w:ascii="宋体" w:hAnsi="宋体" w:cs="宋体"/>
          <w:color w:val="000000"/>
          <w:szCs w:val="21"/>
        </w:rPr>
        <w:t>见</w:t>
      </w:r>
      <w:r>
        <w:rPr>
          <w:rFonts w:ascii="宋体" w:hAnsi="宋体" w:cs="宋体"/>
          <w:color w:val="000000"/>
          <w:szCs w:val="21"/>
        </w:rPr>
        <w:t>附件）。）；</w:t>
      </w:r>
    </w:p>
    <w:p>
      <w:pPr>
        <w:snapToGrid w:val="0"/>
        <w:spacing w:line="288" w:lineRule="auto"/>
        <w:ind w:firstLine="420" w:firstLineChars="200"/>
        <w:jc w:val="left"/>
        <w:rPr>
          <w:rFonts w:ascii="宋体" w:hAnsi="宋体" w:cs="宋体"/>
          <w:color w:val="000000"/>
          <w:szCs w:val="21"/>
        </w:rPr>
      </w:pPr>
      <w:r>
        <w:rPr>
          <w:rFonts w:ascii="宋体" w:hAnsi="宋体" w:cs="宋体"/>
          <w:color w:val="000000"/>
          <w:szCs w:val="21"/>
        </w:rPr>
        <w:t>11.1.</w:t>
      </w:r>
      <w:r>
        <w:rPr>
          <w:rFonts w:hint="eastAsia" w:ascii="宋体" w:hAnsi="宋体" w:cs="宋体"/>
          <w:color w:val="000000"/>
          <w:szCs w:val="21"/>
        </w:rPr>
        <w:t>5</w:t>
      </w:r>
      <w:r>
        <w:rPr>
          <w:rFonts w:ascii="宋体" w:hAnsi="宋体" w:cs="宋体"/>
          <w:color w:val="000000"/>
          <w:szCs w:val="21"/>
        </w:rPr>
        <w:t>本项目的特定资格要求。</w:t>
      </w:r>
    </w:p>
    <w:p>
      <w:pPr>
        <w:snapToGrid w:val="0"/>
        <w:spacing w:line="288" w:lineRule="auto"/>
        <w:ind w:firstLine="422" w:firstLineChars="200"/>
        <w:rPr>
          <w:rFonts w:hint="eastAsia" w:ascii="宋体" w:hAnsi="宋体" w:cs="宋体"/>
          <w:b/>
          <w:color w:val="000000"/>
          <w:szCs w:val="21"/>
          <w:lang w:val="zh-CN"/>
        </w:rPr>
      </w:pPr>
      <w:r>
        <w:rPr>
          <w:rFonts w:hint="eastAsia" w:ascii="宋体" w:hAnsi="宋体" w:cs="宋体"/>
          <w:b/>
          <w:color w:val="000000"/>
          <w:szCs w:val="21"/>
          <w:lang w:val="zh-CN"/>
        </w:rPr>
        <w:t>11.</w:t>
      </w:r>
      <w:r>
        <w:rPr>
          <w:rFonts w:hint="eastAsia" w:ascii="宋体" w:hAnsi="宋体" w:cs="宋体"/>
          <w:b/>
          <w:color w:val="000000"/>
          <w:szCs w:val="21"/>
        </w:rPr>
        <w:t>2商务技术</w:t>
      </w:r>
      <w:r>
        <w:rPr>
          <w:rFonts w:hint="eastAsia" w:ascii="宋体" w:hAnsi="宋体" w:cs="宋体"/>
          <w:b/>
          <w:color w:val="000000"/>
          <w:szCs w:val="21"/>
          <w:lang w:val="zh-CN"/>
        </w:rPr>
        <w:t>文件：</w:t>
      </w:r>
    </w:p>
    <w:p>
      <w:pPr>
        <w:snapToGrid w:val="0"/>
        <w:spacing w:line="288" w:lineRule="auto"/>
        <w:ind w:firstLine="420" w:firstLineChars="200"/>
        <w:rPr>
          <w:rFonts w:hint="eastAsia" w:ascii="宋体" w:hAnsi="宋体" w:cs="宋体"/>
          <w:b/>
          <w:color w:val="000000"/>
          <w:szCs w:val="21"/>
          <w:lang w:val="zh-CN"/>
        </w:rPr>
      </w:pPr>
      <w:r>
        <w:rPr>
          <w:rFonts w:hint="eastAsia" w:ascii="宋体" w:hAnsi="宋体" w:cs="宋体"/>
          <w:color w:val="000000"/>
          <w:szCs w:val="21"/>
        </w:rPr>
        <w:t>11.2.1投标函；</w:t>
      </w:r>
    </w:p>
    <w:p>
      <w:pPr>
        <w:snapToGrid w:val="0"/>
        <w:spacing w:line="288" w:lineRule="auto"/>
        <w:ind w:firstLine="420" w:firstLineChars="200"/>
        <w:rPr>
          <w:rFonts w:hint="eastAsia" w:ascii="宋体" w:hAnsi="宋体" w:cs="宋体"/>
          <w:color w:val="000000"/>
          <w:szCs w:val="21"/>
        </w:rPr>
      </w:pPr>
      <w:r>
        <w:rPr>
          <w:rFonts w:hint="eastAsia" w:ascii="宋体" w:hAnsi="宋体" w:cs="宋体"/>
          <w:color w:val="000000"/>
          <w:szCs w:val="21"/>
        </w:rPr>
        <w:t>11.2.2授权委托书或法定代表人（单位负责人、自然人本人）身份证明；</w:t>
      </w:r>
    </w:p>
    <w:p>
      <w:pPr>
        <w:snapToGrid w:val="0"/>
        <w:spacing w:line="288" w:lineRule="auto"/>
        <w:ind w:firstLine="420" w:firstLineChars="200"/>
        <w:rPr>
          <w:rFonts w:hint="eastAsia" w:ascii="宋体" w:hAnsi="宋体" w:cs="宋体"/>
          <w:b/>
          <w:color w:val="000000"/>
          <w:szCs w:val="21"/>
          <w:lang w:val="zh-CN"/>
        </w:rPr>
      </w:pPr>
      <w:r>
        <w:rPr>
          <w:rFonts w:hint="eastAsia" w:ascii="宋体" w:hAnsi="宋体" w:cs="宋体"/>
          <w:color w:val="000000"/>
          <w:szCs w:val="21"/>
        </w:rPr>
        <w:t>11.2.</w:t>
      </w:r>
      <w:r>
        <w:rPr>
          <w:rFonts w:ascii="宋体" w:hAnsi="宋体" w:cs="宋体"/>
          <w:color w:val="000000"/>
          <w:szCs w:val="21"/>
        </w:rPr>
        <w:t>3</w:t>
      </w:r>
      <w:r>
        <w:rPr>
          <w:rFonts w:hint="eastAsia" w:ascii="宋体" w:hAnsi="宋体" w:cs="宋体"/>
          <w:color w:val="000000"/>
          <w:szCs w:val="21"/>
        </w:rPr>
        <w:t>分包意向协议</w:t>
      </w:r>
      <w:r>
        <w:rPr>
          <w:rFonts w:hint="eastAsia" w:ascii="宋体" w:hAnsi="宋体" w:cs="宋体"/>
          <w:snapToGrid w:val="0"/>
          <w:color w:val="000000"/>
          <w:kern w:val="28"/>
          <w:szCs w:val="21"/>
        </w:rPr>
        <w:t>（如果有)</w:t>
      </w:r>
      <w:r>
        <w:rPr>
          <w:rFonts w:hint="eastAsia" w:ascii="宋体" w:hAnsi="宋体" w:cs="宋体"/>
          <w:color w:val="000000"/>
          <w:szCs w:val="21"/>
        </w:rPr>
        <w:t>；</w:t>
      </w:r>
    </w:p>
    <w:p>
      <w:pPr>
        <w:snapToGrid w:val="0"/>
        <w:spacing w:line="288" w:lineRule="auto"/>
        <w:ind w:firstLine="420" w:firstLineChars="200"/>
        <w:rPr>
          <w:rFonts w:hint="eastAsia" w:ascii="宋体" w:hAnsi="宋体" w:cs="宋体"/>
          <w:b/>
          <w:color w:val="000000"/>
          <w:szCs w:val="21"/>
          <w:lang w:val="zh-CN"/>
        </w:rPr>
      </w:pPr>
      <w:r>
        <w:rPr>
          <w:rFonts w:hint="eastAsia" w:ascii="宋体" w:hAnsi="宋体" w:cs="宋体"/>
          <w:color w:val="000000"/>
          <w:szCs w:val="21"/>
        </w:rPr>
        <w:t>11.2.</w:t>
      </w:r>
      <w:r>
        <w:rPr>
          <w:rFonts w:ascii="宋体" w:hAnsi="宋体" w:cs="宋体"/>
          <w:color w:val="000000"/>
          <w:szCs w:val="21"/>
        </w:rPr>
        <w:t>4</w:t>
      </w:r>
      <w:r>
        <w:rPr>
          <w:rFonts w:hint="eastAsia" w:ascii="宋体" w:hAnsi="宋体" w:cs="宋体"/>
          <w:color w:val="000000"/>
          <w:szCs w:val="21"/>
        </w:rPr>
        <w:t>符合性审查资料；</w:t>
      </w:r>
    </w:p>
    <w:p>
      <w:pPr>
        <w:snapToGrid w:val="0"/>
        <w:spacing w:line="288" w:lineRule="auto"/>
        <w:ind w:firstLine="420" w:firstLineChars="200"/>
        <w:rPr>
          <w:rFonts w:hint="eastAsia" w:ascii="宋体" w:hAnsi="宋体" w:cs="宋体"/>
          <w:b/>
          <w:color w:val="000000"/>
          <w:szCs w:val="21"/>
          <w:lang w:val="zh-CN"/>
        </w:rPr>
      </w:pPr>
      <w:r>
        <w:rPr>
          <w:rFonts w:hint="eastAsia" w:ascii="宋体" w:hAnsi="宋体" w:cs="宋体"/>
          <w:color w:val="000000"/>
          <w:szCs w:val="21"/>
        </w:rPr>
        <w:t>11.2.</w:t>
      </w:r>
      <w:r>
        <w:rPr>
          <w:rFonts w:ascii="宋体" w:hAnsi="宋体" w:cs="宋体"/>
          <w:color w:val="000000"/>
          <w:szCs w:val="21"/>
        </w:rPr>
        <w:t>5</w:t>
      </w:r>
      <w:r>
        <w:rPr>
          <w:rFonts w:hint="eastAsia" w:ascii="宋体" w:hAnsi="宋体" w:cs="宋体"/>
          <w:color w:val="000000"/>
          <w:szCs w:val="21"/>
        </w:rPr>
        <w:t>评标标准相应的商务技术资料；</w:t>
      </w:r>
    </w:p>
    <w:p>
      <w:pPr>
        <w:snapToGrid w:val="0"/>
        <w:spacing w:line="288" w:lineRule="auto"/>
        <w:ind w:firstLine="420" w:firstLineChars="200"/>
        <w:rPr>
          <w:rFonts w:hint="eastAsia" w:ascii="宋体" w:hAnsi="宋体" w:cs="宋体"/>
          <w:b/>
          <w:color w:val="000000"/>
          <w:szCs w:val="21"/>
          <w:lang w:val="zh-CN"/>
        </w:rPr>
      </w:pPr>
      <w:r>
        <w:rPr>
          <w:rFonts w:hint="eastAsia" w:ascii="宋体" w:hAnsi="宋体" w:cs="宋体"/>
          <w:color w:val="000000"/>
          <w:szCs w:val="21"/>
        </w:rPr>
        <w:t>11.2.</w:t>
      </w:r>
      <w:r>
        <w:rPr>
          <w:rFonts w:ascii="宋体" w:hAnsi="宋体" w:cs="宋体"/>
          <w:color w:val="000000"/>
          <w:szCs w:val="21"/>
        </w:rPr>
        <w:t>6</w:t>
      </w:r>
      <w:r>
        <w:rPr>
          <w:rFonts w:hint="eastAsia" w:ascii="宋体" w:hAnsi="宋体" w:cs="宋体"/>
          <w:color w:val="000000"/>
          <w:szCs w:val="21"/>
        </w:rPr>
        <w:t>投标标的清单；</w:t>
      </w:r>
    </w:p>
    <w:p>
      <w:pPr>
        <w:snapToGrid w:val="0"/>
        <w:spacing w:line="288" w:lineRule="auto"/>
        <w:ind w:firstLine="420" w:firstLineChars="200"/>
        <w:rPr>
          <w:rFonts w:hint="eastAsia" w:ascii="宋体" w:hAnsi="宋体" w:cs="宋体"/>
          <w:b/>
          <w:color w:val="000000"/>
          <w:szCs w:val="21"/>
          <w:lang w:val="zh-CN"/>
        </w:rPr>
      </w:pPr>
      <w:r>
        <w:rPr>
          <w:rFonts w:hint="eastAsia" w:ascii="宋体" w:hAnsi="宋体" w:cs="宋体"/>
          <w:color w:val="000000"/>
          <w:szCs w:val="21"/>
        </w:rPr>
        <w:t>11.2.</w:t>
      </w:r>
      <w:r>
        <w:rPr>
          <w:rFonts w:ascii="宋体" w:hAnsi="宋体" w:cs="宋体"/>
          <w:color w:val="000000"/>
          <w:szCs w:val="21"/>
        </w:rPr>
        <w:t>7</w:t>
      </w:r>
      <w:r>
        <w:rPr>
          <w:rFonts w:hint="eastAsia" w:ascii="宋体" w:hAnsi="宋体" w:cs="宋体"/>
          <w:color w:val="000000"/>
          <w:szCs w:val="21"/>
        </w:rPr>
        <w:t>商务技术偏离表；</w:t>
      </w:r>
    </w:p>
    <w:p>
      <w:pPr>
        <w:snapToGrid w:val="0"/>
        <w:spacing w:line="288" w:lineRule="auto"/>
        <w:ind w:firstLine="420" w:firstLineChars="200"/>
        <w:rPr>
          <w:rFonts w:ascii="宋体" w:hAnsi="宋体" w:cs="宋体"/>
          <w:color w:val="000000"/>
          <w:szCs w:val="21"/>
        </w:rPr>
      </w:pPr>
      <w:r>
        <w:rPr>
          <w:rFonts w:ascii="宋体" w:hAnsi="宋体" w:cs="宋体"/>
          <w:color w:val="000000"/>
          <w:szCs w:val="21"/>
        </w:rPr>
        <w:t>11.2.8投标人情况介绍；</w:t>
      </w:r>
    </w:p>
    <w:p>
      <w:pPr>
        <w:snapToGrid w:val="0"/>
        <w:spacing w:line="288" w:lineRule="auto"/>
        <w:ind w:firstLine="420" w:firstLineChars="200"/>
        <w:rPr>
          <w:rFonts w:ascii="宋体" w:hAnsi="宋体" w:cs="宋体"/>
          <w:color w:val="000000"/>
          <w:szCs w:val="21"/>
        </w:rPr>
      </w:pPr>
      <w:r>
        <w:rPr>
          <w:rFonts w:ascii="宋体" w:hAnsi="宋体" w:cs="宋体"/>
          <w:color w:val="000000"/>
          <w:szCs w:val="21"/>
        </w:rPr>
        <w:t>11.2.9投标人认为可以证明其能力或业绩的其他材料；</w:t>
      </w:r>
    </w:p>
    <w:p>
      <w:pPr>
        <w:snapToGrid w:val="0"/>
        <w:spacing w:line="288" w:lineRule="auto"/>
        <w:ind w:firstLine="420" w:firstLineChars="200"/>
        <w:rPr>
          <w:rFonts w:hint="eastAsia" w:ascii="宋体" w:hAnsi="宋体" w:cs="宋体"/>
          <w:color w:val="000000"/>
          <w:szCs w:val="21"/>
        </w:rPr>
      </w:pPr>
      <w:r>
        <w:rPr>
          <w:rFonts w:ascii="宋体" w:hAnsi="宋体" w:cs="宋体"/>
          <w:color w:val="000000"/>
          <w:szCs w:val="21"/>
        </w:rPr>
        <w:t>11.2.</w:t>
      </w:r>
      <w:r>
        <w:rPr>
          <w:rFonts w:hint="eastAsia" w:ascii="宋体" w:hAnsi="宋体" w:cs="宋体"/>
          <w:color w:val="000000"/>
          <w:szCs w:val="21"/>
        </w:rPr>
        <w:t>10投入的设备、软件等一览表</w:t>
      </w:r>
      <w:r>
        <w:rPr>
          <w:rFonts w:ascii="宋体" w:hAnsi="宋体" w:cs="宋体"/>
          <w:color w:val="000000"/>
          <w:szCs w:val="21"/>
        </w:rPr>
        <w:t>；</w:t>
      </w:r>
    </w:p>
    <w:p>
      <w:pPr>
        <w:snapToGrid w:val="0"/>
        <w:spacing w:line="288" w:lineRule="auto"/>
        <w:ind w:firstLine="420" w:firstLineChars="200"/>
        <w:rPr>
          <w:rFonts w:ascii="宋体" w:hAnsi="宋体" w:cs="宋体"/>
          <w:color w:val="000000"/>
          <w:szCs w:val="21"/>
        </w:rPr>
      </w:pPr>
      <w:r>
        <w:rPr>
          <w:rFonts w:ascii="宋体" w:hAnsi="宋体" w:cs="宋体"/>
          <w:color w:val="000000"/>
          <w:szCs w:val="21"/>
        </w:rPr>
        <w:t>11.2.</w:t>
      </w:r>
      <w:r>
        <w:rPr>
          <w:rFonts w:hint="eastAsia" w:ascii="宋体" w:hAnsi="宋体" w:cs="宋体"/>
          <w:color w:val="000000"/>
          <w:szCs w:val="21"/>
        </w:rPr>
        <w:t>11提供的服务团队一览表</w:t>
      </w:r>
      <w:r>
        <w:rPr>
          <w:rFonts w:ascii="宋体" w:hAnsi="宋体" w:cs="宋体"/>
          <w:color w:val="000000"/>
          <w:szCs w:val="21"/>
        </w:rPr>
        <w:t>；</w:t>
      </w:r>
    </w:p>
    <w:p>
      <w:pPr>
        <w:snapToGrid w:val="0"/>
        <w:spacing w:line="288" w:lineRule="auto"/>
        <w:ind w:firstLine="420" w:firstLineChars="200"/>
        <w:rPr>
          <w:rFonts w:ascii="宋体" w:hAnsi="宋体" w:cs="宋体"/>
          <w:color w:val="000000"/>
          <w:szCs w:val="21"/>
        </w:rPr>
      </w:pPr>
      <w:r>
        <w:rPr>
          <w:rFonts w:ascii="宋体" w:hAnsi="宋体" w:cs="宋体"/>
          <w:color w:val="000000"/>
          <w:szCs w:val="21"/>
        </w:rPr>
        <w:t>11.2.</w:t>
      </w:r>
      <w:r>
        <w:rPr>
          <w:rFonts w:hint="eastAsia" w:ascii="宋体" w:hAnsi="宋体" w:cs="宋体"/>
          <w:color w:val="000000"/>
          <w:szCs w:val="21"/>
        </w:rPr>
        <w:t>12服务的总体方案、服务的及时性等保证措施</w:t>
      </w:r>
      <w:r>
        <w:rPr>
          <w:rFonts w:ascii="宋体" w:hAnsi="宋体" w:cs="宋体"/>
          <w:color w:val="000000"/>
          <w:szCs w:val="21"/>
        </w:rPr>
        <w:t>；</w:t>
      </w:r>
    </w:p>
    <w:p>
      <w:pPr>
        <w:snapToGrid w:val="0"/>
        <w:spacing w:line="288" w:lineRule="auto"/>
        <w:ind w:firstLine="420" w:firstLineChars="200"/>
        <w:rPr>
          <w:rFonts w:hint="eastAsia" w:ascii="宋体" w:hAnsi="宋体" w:cs="宋体"/>
          <w:color w:val="000000"/>
          <w:szCs w:val="21"/>
        </w:rPr>
      </w:pPr>
      <w:r>
        <w:rPr>
          <w:rFonts w:ascii="宋体" w:hAnsi="宋体" w:cs="宋体"/>
          <w:color w:val="000000"/>
          <w:szCs w:val="21"/>
        </w:rPr>
        <w:t>11.2.</w:t>
      </w:r>
      <w:r>
        <w:rPr>
          <w:rFonts w:hint="eastAsia" w:ascii="宋体" w:hAnsi="宋体" w:cs="宋体"/>
          <w:color w:val="000000"/>
          <w:szCs w:val="21"/>
        </w:rPr>
        <w:t>13保修质量保证措施及保修的质量保证承诺；</w:t>
      </w:r>
    </w:p>
    <w:p>
      <w:pPr>
        <w:snapToGrid w:val="0"/>
        <w:spacing w:line="288" w:lineRule="auto"/>
        <w:ind w:firstLine="420" w:firstLineChars="200"/>
        <w:rPr>
          <w:rFonts w:hint="eastAsia" w:ascii="宋体" w:hAnsi="宋体" w:cs="宋体"/>
          <w:color w:val="000000"/>
          <w:szCs w:val="21"/>
        </w:rPr>
      </w:pPr>
      <w:r>
        <w:rPr>
          <w:rFonts w:ascii="宋体" w:hAnsi="宋体" w:cs="宋体"/>
          <w:color w:val="000000"/>
          <w:szCs w:val="21"/>
        </w:rPr>
        <w:t>11.2.</w:t>
      </w:r>
      <w:r>
        <w:rPr>
          <w:rFonts w:hint="eastAsia" w:ascii="宋体" w:hAnsi="宋体" w:cs="宋体"/>
          <w:color w:val="000000"/>
          <w:szCs w:val="21"/>
        </w:rPr>
        <w:t>14售后服务方案、服务响应的及时性承诺及保证措施等；</w:t>
      </w:r>
    </w:p>
    <w:p>
      <w:pPr>
        <w:snapToGrid w:val="0"/>
        <w:spacing w:line="288" w:lineRule="auto"/>
        <w:ind w:firstLine="420" w:firstLineChars="200"/>
        <w:rPr>
          <w:rFonts w:hint="eastAsia" w:ascii="宋体" w:hAnsi="宋体" w:cs="宋体"/>
          <w:color w:val="000000"/>
          <w:szCs w:val="21"/>
        </w:rPr>
      </w:pPr>
      <w:r>
        <w:rPr>
          <w:rFonts w:ascii="宋体" w:hAnsi="宋体" w:cs="宋体"/>
          <w:color w:val="000000"/>
          <w:szCs w:val="21"/>
        </w:rPr>
        <w:t>11.2.</w:t>
      </w:r>
      <w:r>
        <w:rPr>
          <w:rFonts w:hint="eastAsia" w:ascii="宋体" w:hAnsi="宋体" w:cs="宋体"/>
          <w:color w:val="000000"/>
          <w:szCs w:val="21"/>
        </w:rPr>
        <w:t>15与评审、评分有关的其他技术资料。</w:t>
      </w:r>
    </w:p>
    <w:p>
      <w:pPr>
        <w:snapToGrid w:val="0"/>
        <w:spacing w:line="288" w:lineRule="auto"/>
        <w:ind w:firstLine="420" w:firstLineChars="200"/>
        <w:rPr>
          <w:rFonts w:ascii="宋体" w:hAnsi="宋体" w:cs="宋体"/>
          <w:color w:val="000000"/>
          <w:szCs w:val="21"/>
        </w:rPr>
      </w:pPr>
      <w:r>
        <w:rPr>
          <w:rFonts w:ascii="宋体" w:hAnsi="宋体" w:cs="宋体"/>
          <w:color w:val="000000"/>
          <w:szCs w:val="21"/>
        </w:rPr>
        <w:t>11.2.1</w:t>
      </w:r>
      <w:r>
        <w:rPr>
          <w:rFonts w:hint="eastAsia" w:ascii="宋体" w:hAnsi="宋体" w:cs="宋体"/>
          <w:color w:val="000000"/>
          <w:szCs w:val="21"/>
        </w:rPr>
        <w:t>6</w:t>
      </w:r>
      <w:r>
        <w:rPr>
          <w:rFonts w:ascii="宋体" w:hAnsi="宋体" w:cs="宋体"/>
          <w:color w:val="000000"/>
          <w:szCs w:val="21"/>
        </w:rPr>
        <w:t>投标人认为需要提供的其他文件和资料</w:t>
      </w:r>
    </w:p>
    <w:p>
      <w:pPr>
        <w:snapToGrid w:val="0"/>
        <w:spacing w:line="288" w:lineRule="auto"/>
        <w:ind w:firstLine="420" w:firstLineChars="200"/>
        <w:rPr>
          <w:rFonts w:ascii="宋体" w:hAnsi="宋体" w:cs="宋体"/>
          <w:b/>
          <w:color w:val="000000"/>
          <w:szCs w:val="21"/>
          <w:lang w:val="zh-CN"/>
        </w:rPr>
      </w:pPr>
      <w:r>
        <w:rPr>
          <w:rFonts w:ascii="宋体" w:hAnsi="宋体" w:cs="宋体"/>
          <w:color w:val="000000"/>
          <w:szCs w:val="21"/>
        </w:rPr>
        <w:t>11.2.1</w:t>
      </w:r>
      <w:r>
        <w:rPr>
          <w:rFonts w:hint="eastAsia" w:ascii="宋体" w:hAnsi="宋体" w:cs="宋体"/>
          <w:color w:val="000000"/>
          <w:szCs w:val="21"/>
        </w:rPr>
        <w:t>7</w:t>
      </w:r>
      <w:r>
        <w:rPr>
          <w:rFonts w:ascii="宋体" w:hAnsi="宋体" w:cs="宋体"/>
          <w:color w:val="000000"/>
          <w:szCs w:val="21"/>
        </w:rPr>
        <w:t>政府采购供应商廉洁自律承诺书</w:t>
      </w:r>
      <w:r>
        <w:rPr>
          <w:rFonts w:hint="eastAsia" w:ascii="宋体" w:hAnsi="宋体" w:cs="宋体"/>
          <w:color w:val="000000"/>
          <w:szCs w:val="21"/>
        </w:rPr>
        <w:t>。</w:t>
      </w:r>
    </w:p>
    <w:p>
      <w:pPr>
        <w:snapToGrid w:val="0"/>
        <w:spacing w:line="288" w:lineRule="auto"/>
        <w:ind w:firstLine="420" w:firstLineChars="200"/>
        <w:rPr>
          <w:rFonts w:hint="eastAsia" w:ascii="宋体" w:hAnsi="宋体" w:cs="宋体"/>
          <w:color w:val="000000"/>
          <w:szCs w:val="21"/>
          <w:u w:val="single"/>
          <w:lang w:val="zh-CN"/>
        </w:rPr>
      </w:pPr>
      <w:r>
        <w:rPr>
          <w:rFonts w:hint="eastAsia" w:ascii="宋体" w:hAnsi="宋体" w:cs="宋体"/>
          <w:color w:val="000000"/>
          <w:kern w:val="0"/>
          <w:szCs w:val="21"/>
          <w:lang w:val="zh-CN"/>
        </w:rPr>
        <w:t>11.</w:t>
      </w:r>
      <w:r>
        <w:rPr>
          <w:rFonts w:hint="eastAsia" w:ascii="宋体" w:hAnsi="宋体" w:cs="宋体"/>
          <w:color w:val="000000"/>
          <w:kern w:val="0"/>
          <w:szCs w:val="21"/>
        </w:rPr>
        <w:t>3</w:t>
      </w:r>
      <w:r>
        <w:rPr>
          <w:rFonts w:hint="eastAsia" w:ascii="宋体" w:hAnsi="宋体" w:cs="宋体"/>
          <w:b/>
          <w:color w:val="000000"/>
          <w:szCs w:val="21"/>
        </w:rPr>
        <w:t>报价文件：</w:t>
      </w:r>
    </w:p>
    <w:p>
      <w:pPr>
        <w:snapToGrid w:val="0"/>
        <w:spacing w:line="288" w:lineRule="auto"/>
        <w:ind w:firstLine="420" w:firstLineChars="200"/>
        <w:rPr>
          <w:rFonts w:ascii="宋体" w:hAnsi="宋体" w:cs="宋体"/>
          <w:color w:val="000000"/>
          <w:szCs w:val="21"/>
        </w:rPr>
      </w:pPr>
      <w:r>
        <w:rPr>
          <w:rFonts w:ascii="宋体" w:hAnsi="宋体" w:cs="宋体"/>
          <w:color w:val="000000"/>
          <w:szCs w:val="21"/>
        </w:rPr>
        <w:t>11.3.1开标一览表（报价表，格式见第六部分）；</w:t>
      </w:r>
    </w:p>
    <w:p>
      <w:pPr>
        <w:snapToGrid w:val="0"/>
        <w:spacing w:line="288" w:lineRule="auto"/>
        <w:ind w:firstLine="420" w:firstLineChars="200"/>
        <w:rPr>
          <w:rFonts w:ascii="宋体" w:hAnsi="宋体" w:cs="宋体"/>
          <w:color w:val="000000"/>
          <w:szCs w:val="21"/>
        </w:rPr>
      </w:pPr>
      <w:r>
        <w:rPr>
          <w:rFonts w:ascii="宋体" w:hAnsi="宋体" w:cs="宋体"/>
          <w:color w:val="000000"/>
          <w:szCs w:val="21"/>
        </w:rPr>
        <w:t>11.3.</w:t>
      </w:r>
      <w:r>
        <w:rPr>
          <w:rFonts w:hint="eastAsia" w:ascii="宋体" w:hAnsi="宋体" w:cs="宋体"/>
          <w:color w:val="000000"/>
          <w:szCs w:val="21"/>
        </w:rPr>
        <w:t>2</w:t>
      </w:r>
      <w:r>
        <w:rPr>
          <w:rFonts w:ascii="宋体" w:hAnsi="宋体" w:cs="宋体"/>
          <w:color w:val="000000"/>
          <w:szCs w:val="21"/>
        </w:rPr>
        <w:t>投标人针对报价需要说明的其他文件和说明（如</w:t>
      </w:r>
      <w:r>
        <w:rPr>
          <w:rFonts w:hint="eastAsia" w:ascii="宋体" w:hAnsi="宋体" w:cs="宋体"/>
          <w:color w:val="000000"/>
          <w:szCs w:val="21"/>
        </w:rPr>
        <w:t>有</w:t>
      </w:r>
      <w:r>
        <w:rPr>
          <w:rFonts w:ascii="宋体" w:hAnsi="宋体" w:cs="宋体"/>
          <w:color w:val="000000"/>
          <w:szCs w:val="21"/>
        </w:rPr>
        <w:t>）；</w:t>
      </w:r>
    </w:p>
    <w:p>
      <w:pPr>
        <w:snapToGrid w:val="0"/>
        <w:spacing w:line="288" w:lineRule="auto"/>
        <w:ind w:firstLine="420" w:firstLineChars="200"/>
        <w:rPr>
          <w:rFonts w:ascii="宋体" w:hAnsi="宋体" w:cs="宋体"/>
          <w:color w:val="000000"/>
          <w:szCs w:val="21"/>
        </w:rPr>
      </w:pPr>
      <w:r>
        <w:rPr>
          <w:rFonts w:ascii="宋体" w:hAnsi="宋体" w:cs="宋体"/>
          <w:color w:val="000000"/>
          <w:szCs w:val="21"/>
        </w:rPr>
        <w:t>11.3.</w:t>
      </w:r>
      <w:r>
        <w:rPr>
          <w:rFonts w:hint="eastAsia" w:ascii="宋体" w:hAnsi="宋体" w:cs="宋体"/>
          <w:color w:val="000000"/>
          <w:szCs w:val="21"/>
        </w:rPr>
        <w:t>3</w:t>
      </w:r>
      <w:r>
        <w:rPr>
          <w:rFonts w:ascii="宋体" w:hAnsi="宋体" w:cs="宋体"/>
          <w:color w:val="000000"/>
          <w:szCs w:val="21"/>
        </w:rPr>
        <w:t>业务专用章使用说明函（如适用）；</w:t>
      </w:r>
    </w:p>
    <w:p>
      <w:pPr>
        <w:snapToGrid w:val="0"/>
        <w:spacing w:line="288" w:lineRule="auto"/>
        <w:ind w:firstLine="420" w:firstLineChars="200"/>
        <w:rPr>
          <w:rFonts w:hint="eastAsia" w:ascii="宋体" w:hAnsi="宋体" w:cs="宋体"/>
          <w:color w:val="000000"/>
          <w:szCs w:val="21"/>
          <w:u w:val="single"/>
          <w:lang w:val="zh-CN"/>
        </w:rPr>
      </w:pPr>
      <w:r>
        <w:rPr>
          <w:rFonts w:ascii="宋体" w:hAnsi="宋体" w:cs="宋体"/>
          <w:color w:val="000000"/>
          <w:szCs w:val="21"/>
        </w:rPr>
        <w:t>11.3.</w:t>
      </w:r>
      <w:r>
        <w:rPr>
          <w:rFonts w:hint="eastAsia" w:ascii="宋体" w:hAnsi="宋体" w:cs="宋体"/>
          <w:color w:val="000000"/>
          <w:szCs w:val="21"/>
        </w:rPr>
        <w:t>4</w:t>
      </w:r>
      <w:r>
        <w:rPr>
          <w:rFonts w:ascii="宋体" w:hAnsi="宋体" w:cs="宋体"/>
          <w:color w:val="000000"/>
          <w:szCs w:val="21"/>
        </w:rPr>
        <w:t>代理服务费支付承诺书</w:t>
      </w:r>
      <w:r>
        <w:rPr>
          <w:rFonts w:hint="eastAsia" w:ascii="宋体" w:hAnsi="宋体" w:cs="宋体"/>
          <w:color w:val="000000"/>
          <w:szCs w:val="21"/>
        </w:rPr>
        <w:t>。</w:t>
      </w:r>
    </w:p>
    <w:p>
      <w:pPr>
        <w:snapToGrid w:val="0"/>
        <w:spacing w:line="288" w:lineRule="auto"/>
        <w:ind w:firstLine="422" w:firstLineChars="200"/>
        <w:rPr>
          <w:rFonts w:hint="eastAsia" w:ascii="宋体" w:hAnsi="宋体" w:cs="宋体"/>
          <w:color w:val="000000"/>
          <w:szCs w:val="21"/>
          <w:u w:val="single"/>
          <w:lang w:val="zh-CN"/>
        </w:rPr>
      </w:pPr>
      <w:r>
        <w:rPr>
          <w:rFonts w:hint="eastAsia" w:ascii="宋体" w:hAnsi="宋体" w:cs="宋体"/>
          <w:b/>
          <w:color w:val="000000"/>
          <w:szCs w:val="21"/>
        </w:rPr>
        <w:t>投标文件含有采购人不能接受的附加条件的，投标无效；</w:t>
      </w:r>
    </w:p>
    <w:p>
      <w:pPr>
        <w:snapToGrid w:val="0"/>
        <w:spacing w:line="288" w:lineRule="auto"/>
        <w:ind w:firstLine="422" w:firstLineChars="200"/>
        <w:rPr>
          <w:rFonts w:ascii="宋体" w:hAnsi="宋体" w:cs="宋体"/>
          <w:color w:val="000000"/>
          <w:szCs w:val="21"/>
          <w:u w:val="single"/>
          <w:lang w:val="zh-CN"/>
        </w:rPr>
      </w:pPr>
      <w:r>
        <w:rPr>
          <w:rFonts w:hint="eastAsia" w:ascii="宋体" w:hAnsi="宋体" w:cs="宋体"/>
          <w:b/>
          <w:color w:val="000000"/>
          <w:szCs w:val="21"/>
        </w:rPr>
        <w:t>投标人提供虚假材料投标的，投标无效。</w:t>
      </w:r>
    </w:p>
    <w:p>
      <w:pPr>
        <w:pStyle w:val="158"/>
        <w:snapToGrid w:val="0"/>
        <w:spacing w:before="0" w:line="288" w:lineRule="auto"/>
        <w:ind w:firstLine="0" w:firstLineChars="0"/>
        <w:rPr>
          <w:rFonts w:ascii="宋体" w:hAnsi="宋体" w:cs="宋体"/>
          <w:b/>
          <w:color w:val="000000"/>
          <w:sz w:val="21"/>
          <w:szCs w:val="21"/>
        </w:rPr>
      </w:pPr>
      <w:r>
        <w:rPr>
          <w:rFonts w:hint="eastAsia" w:ascii="宋体" w:hAnsi="宋体" w:cs="宋体"/>
          <w:b/>
          <w:color w:val="000000"/>
          <w:sz w:val="21"/>
          <w:szCs w:val="21"/>
        </w:rPr>
        <w:t>12</w:t>
      </w:r>
      <w:r>
        <w:rPr>
          <w:rFonts w:hint="eastAsia" w:ascii="宋体" w:hAnsi="宋体" w:cs="宋体"/>
          <w:b/>
          <w:color w:val="000000"/>
          <w:kern w:val="0"/>
          <w:sz w:val="21"/>
          <w:szCs w:val="21"/>
          <w:lang w:val="zh-CN"/>
        </w:rPr>
        <w:t xml:space="preserve">. </w:t>
      </w:r>
      <w:r>
        <w:rPr>
          <w:rFonts w:hint="eastAsia" w:ascii="宋体" w:hAnsi="宋体" w:cs="宋体"/>
          <w:b/>
          <w:color w:val="000000"/>
          <w:sz w:val="21"/>
          <w:szCs w:val="21"/>
        </w:rPr>
        <w:t>投标文件的编制</w:t>
      </w:r>
    </w:p>
    <w:p>
      <w:pPr>
        <w:snapToGrid w:val="0"/>
        <w:spacing w:line="288" w:lineRule="auto"/>
        <w:ind w:firstLine="420" w:firstLineChars="200"/>
        <w:rPr>
          <w:rFonts w:ascii="宋体" w:hAnsi="宋体" w:cs="宋体"/>
          <w:b/>
          <w:color w:val="000000"/>
          <w:szCs w:val="21"/>
        </w:rPr>
      </w:pPr>
      <w:r>
        <w:rPr>
          <w:rFonts w:hint="eastAsia" w:ascii="宋体" w:hAnsi="宋体" w:cs="宋体"/>
          <w:color w:val="000000"/>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288"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288"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12.3使用“政采云电子交易客户端”需要提前申领CA数字证书，申领流程请自行前往“浙江政府采购网-下载专区-电子交易客户端-CA驱动和申领流程”进行查阅。</w:t>
      </w:r>
    </w:p>
    <w:p>
      <w:pPr>
        <w:snapToGrid w:val="0"/>
        <w:spacing w:line="288" w:lineRule="auto"/>
        <w:rPr>
          <w:rFonts w:ascii="宋体" w:hAnsi="宋体" w:cs="宋体"/>
          <w:b/>
          <w:color w:val="000000"/>
          <w:szCs w:val="21"/>
        </w:rPr>
      </w:pPr>
      <w:r>
        <w:rPr>
          <w:rFonts w:hint="eastAsia" w:ascii="宋体" w:hAnsi="宋体" w:cs="宋体"/>
          <w:b/>
          <w:color w:val="000000"/>
          <w:szCs w:val="21"/>
        </w:rPr>
        <w:t>13.投标文件的签署、盖章</w:t>
      </w:r>
    </w:p>
    <w:p>
      <w:pPr>
        <w:pStyle w:val="158"/>
        <w:snapToGrid w:val="0"/>
        <w:spacing w:before="0" w:line="288" w:lineRule="auto"/>
        <w:ind w:firstLine="420"/>
        <w:rPr>
          <w:rFonts w:ascii="宋体" w:hAnsi="宋体" w:cs="宋体"/>
          <w:b/>
          <w:color w:val="000000"/>
          <w:sz w:val="21"/>
          <w:szCs w:val="21"/>
        </w:rPr>
      </w:pPr>
      <w:r>
        <w:rPr>
          <w:rFonts w:hint="eastAsia" w:ascii="宋体" w:hAnsi="宋体" w:cs="宋体"/>
          <w:color w:val="000000"/>
          <w:sz w:val="21"/>
          <w:szCs w:val="21"/>
        </w:rPr>
        <w:t>13.1投标文件按照招标文件第六部分格式要求进行签署、盖章。</w:t>
      </w:r>
      <w:r>
        <w:rPr>
          <w:rFonts w:hint="eastAsia" w:ascii="宋体" w:hAnsi="宋体" w:cs="宋体"/>
          <w:b/>
          <w:color w:val="000000"/>
          <w:sz w:val="21"/>
          <w:szCs w:val="21"/>
        </w:rPr>
        <w:t>▲投标人的投标文件未按照招标文件要求签署、盖章的，其投标无效</w:t>
      </w:r>
      <w:r>
        <w:rPr>
          <w:rFonts w:hint="eastAsia" w:ascii="宋体" w:hAnsi="宋体" w:cs="宋体"/>
          <w:color w:val="000000"/>
          <w:sz w:val="21"/>
          <w:szCs w:val="21"/>
        </w:rPr>
        <w:t>。</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13.3招标文件对投标文件签署、盖章的要求适用于电子签名。</w:t>
      </w:r>
    </w:p>
    <w:p>
      <w:pPr>
        <w:pStyle w:val="158"/>
        <w:snapToGrid w:val="0"/>
        <w:spacing w:before="0" w:line="288" w:lineRule="auto"/>
        <w:ind w:firstLine="0" w:firstLineChars="0"/>
        <w:rPr>
          <w:rFonts w:ascii="宋体" w:hAnsi="宋体" w:cs="宋体"/>
          <w:b/>
          <w:color w:val="000000"/>
          <w:sz w:val="21"/>
          <w:szCs w:val="21"/>
        </w:rPr>
      </w:pPr>
      <w:r>
        <w:rPr>
          <w:rFonts w:hint="eastAsia" w:ascii="宋体" w:hAnsi="宋体" w:cs="宋体"/>
          <w:b/>
          <w:color w:val="000000"/>
          <w:sz w:val="21"/>
          <w:szCs w:val="21"/>
        </w:rPr>
        <w:t>14. 投标文件的提交、补充、修改、撤回</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14.3采购人、采购机构可以视情况延长投标文件提交的截止时间。在上述情况下，采购机构与投标人以前在投标截止期方面的全部权利、责任和义务，将适用于延长至新的投标截止期。</w:t>
      </w:r>
    </w:p>
    <w:p>
      <w:pPr>
        <w:pStyle w:val="32"/>
        <w:snapToGrid w:val="0"/>
        <w:spacing w:line="288" w:lineRule="auto"/>
        <w:rPr>
          <w:rFonts w:hAnsi="宋体" w:cs="宋体"/>
          <w:b/>
          <w:color w:val="000000"/>
        </w:rPr>
      </w:pPr>
      <w:r>
        <w:rPr>
          <w:rFonts w:hint="eastAsia" w:hAnsi="宋体" w:cs="宋体"/>
          <w:b/>
          <w:color w:val="000000"/>
        </w:rPr>
        <w:t>15.备份投标文件</w:t>
      </w:r>
    </w:p>
    <w:p>
      <w:pPr>
        <w:pStyle w:val="32"/>
        <w:snapToGrid w:val="0"/>
        <w:spacing w:line="288" w:lineRule="auto"/>
        <w:ind w:firstLine="315" w:firstLineChars="150"/>
        <w:rPr>
          <w:rFonts w:hAnsi="宋体" w:cs="宋体"/>
          <w:b/>
          <w:color w:val="000000"/>
        </w:rPr>
      </w:pPr>
      <w:r>
        <w:rPr>
          <w:rFonts w:hint="eastAsia" w:hAnsi="宋体" w:cs="宋体"/>
          <w:color w:val="000000"/>
        </w:rPr>
        <w:t xml:space="preserve"> 15.1投标人在电子交易平台传输递交投标文件后，还可以在投标截止时间前直接提交或者以邮政快递方式递交备份投标文件1份，</w:t>
      </w:r>
      <w:r>
        <w:rPr>
          <w:rFonts w:hint="eastAsia" w:hAnsi="宋体" w:cs="宋体"/>
          <w:b/>
          <w:color w:val="000000"/>
        </w:rPr>
        <w:t>但采购人、采购机构不强制或变相强制投标人提交备份投标文件。</w:t>
      </w:r>
    </w:p>
    <w:p>
      <w:pPr>
        <w:pStyle w:val="32"/>
        <w:snapToGrid w:val="0"/>
        <w:spacing w:line="288" w:lineRule="auto"/>
        <w:ind w:firstLine="420" w:firstLineChars="200"/>
        <w:rPr>
          <w:rFonts w:hAnsi="宋体" w:cs="宋体"/>
          <w:b/>
          <w:color w:val="000000"/>
        </w:rPr>
      </w:pPr>
      <w:r>
        <w:rPr>
          <w:rFonts w:hint="eastAsia" w:hAnsi="宋体" w:cs="宋体"/>
          <w:color w:val="000000"/>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rPr>
        <w:t>不符合上述制作、存储、密封规定的备份投标文件将被视为无效或者被拒绝接收。</w:t>
      </w:r>
    </w:p>
    <w:p>
      <w:pPr>
        <w:pStyle w:val="32"/>
        <w:snapToGrid w:val="0"/>
        <w:spacing w:line="288" w:lineRule="auto"/>
        <w:ind w:firstLine="420" w:firstLineChars="200"/>
        <w:rPr>
          <w:rFonts w:hAnsi="宋体" w:cs="宋体"/>
          <w:color w:val="000000"/>
        </w:rPr>
      </w:pPr>
      <w:r>
        <w:rPr>
          <w:rFonts w:hint="eastAsia" w:hAnsi="宋体" w:cs="宋体"/>
          <w:color w:val="000000"/>
        </w:rPr>
        <w:t>15.3直接提交备份投标文件的，投标人应于投标截止时间前将备份投标文件送达</w:t>
      </w:r>
      <w:r>
        <w:rPr>
          <w:rFonts w:hint="eastAsia" w:hAnsi="宋体" w:cs="宋体"/>
          <w:snapToGrid/>
          <w:color w:val="000000"/>
        </w:rPr>
        <w:t>招标文件第二部分投标人须知前附表规定的备份投标文件送达地点</w:t>
      </w:r>
      <w:r>
        <w:rPr>
          <w:rFonts w:hint="eastAsia" w:hAnsi="宋体" w:cs="宋体"/>
          <w:color w:val="000000"/>
        </w:rPr>
        <w:t>，采购机构将拒绝接受逾期送达的备份投标文件。</w:t>
      </w:r>
    </w:p>
    <w:p>
      <w:pPr>
        <w:pStyle w:val="32"/>
        <w:snapToGrid w:val="0"/>
        <w:spacing w:line="288" w:lineRule="auto"/>
        <w:ind w:firstLine="420" w:firstLineChars="200"/>
        <w:rPr>
          <w:rFonts w:hAnsi="宋体" w:cs="宋体"/>
          <w:color w:val="000000"/>
        </w:rPr>
      </w:pPr>
      <w:r>
        <w:rPr>
          <w:rFonts w:hint="eastAsia" w:hAnsi="宋体" w:cs="宋体"/>
          <w:color w:val="000000"/>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rPr>
        <w:t>招标文件第二部分投标人须知前附表规定的备份投标文件送达地点；</w:t>
      </w:r>
      <w:r>
        <w:rPr>
          <w:rFonts w:hint="eastAsia" w:hAnsi="宋体" w:cs="宋体"/>
          <w:color w:val="000000"/>
        </w:rPr>
        <w:t>送达时间以签收人签收时间为准。采购机构将拒绝接受逾期送达的备份投标文件。邮寄过程中，电子备份投标文件发生泄露、遗失、损坏或延期送达等情况的，由投标人自行负责。</w:t>
      </w:r>
    </w:p>
    <w:p>
      <w:pPr>
        <w:pStyle w:val="32"/>
        <w:snapToGrid w:val="0"/>
        <w:spacing w:line="288" w:lineRule="auto"/>
        <w:ind w:firstLine="420" w:firstLineChars="199"/>
        <w:rPr>
          <w:rFonts w:hAnsi="宋体" w:cs="宋体"/>
          <w:b/>
          <w:color w:val="000000"/>
        </w:rPr>
      </w:pPr>
      <w:r>
        <w:rPr>
          <w:rFonts w:hint="eastAsia" w:hAnsi="宋体" w:cs="宋体"/>
          <w:b/>
          <w:color w:val="000000"/>
        </w:rPr>
        <w:t>15.5投标人仅提交备份投标文件，未在电子交易平台传输递交投标文件的，投标无效。</w:t>
      </w:r>
    </w:p>
    <w:p>
      <w:pPr>
        <w:pStyle w:val="158"/>
        <w:snapToGrid w:val="0"/>
        <w:spacing w:before="0" w:line="288" w:lineRule="auto"/>
        <w:ind w:firstLine="0" w:firstLineChars="0"/>
        <w:rPr>
          <w:rFonts w:hint="eastAsia" w:ascii="宋体" w:hAnsi="宋体" w:cs="宋体"/>
          <w:b/>
          <w:color w:val="000000"/>
          <w:sz w:val="21"/>
          <w:szCs w:val="21"/>
        </w:rPr>
      </w:pPr>
      <w:r>
        <w:rPr>
          <w:rFonts w:hint="eastAsia" w:ascii="宋体" w:hAnsi="宋体" w:cs="宋体"/>
          <w:b/>
          <w:color w:val="000000"/>
          <w:sz w:val="21"/>
          <w:szCs w:val="21"/>
        </w:rPr>
        <w:t>16.投标文件的无效处理</w:t>
      </w:r>
    </w:p>
    <w:p>
      <w:pPr>
        <w:pStyle w:val="158"/>
        <w:snapToGrid w:val="0"/>
        <w:spacing w:before="0" w:line="288" w:lineRule="auto"/>
        <w:ind w:firstLine="420"/>
        <w:rPr>
          <w:rFonts w:ascii="宋体" w:hAnsi="宋体" w:cs="宋体"/>
          <w:b/>
          <w:color w:val="000000"/>
          <w:sz w:val="21"/>
          <w:szCs w:val="21"/>
        </w:rPr>
      </w:pPr>
      <w:r>
        <w:rPr>
          <w:rFonts w:hint="eastAsia" w:cs="宋体"/>
          <w:color w:val="000000"/>
          <w:sz w:val="21"/>
          <w:szCs w:val="21"/>
        </w:rPr>
        <w:t>有招标文件第四部分</w:t>
      </w:r>
      <w:r>
        <w:rPr>
          <w:rFonts w:cs="宋体"/>
          <w:color w:val="000000"/>
          <w:sz w:val="21"/>
          <w:szCs w:val="21"/>
        </w:rPr>
        <w:t>4.2规定</w:t>
      </w:r>
      <w:r>
        <w:rPr>
          <w:rFonts w:hint="eastAsia" w:cs="宋体"/>
          <w:color w:val="000000"/>
          <w:sz w:val="21"/>
          <w:szCs w:val="21"/>
        </w:rPr>
        <w:t>的情形之一的，投标无效：</w:t>
      </w:r>
    </w:p>
    <w:p>
      <w:pPr>
        <w:pStyle w:val="158"/>
        <w:snapToGrid w:val="0"/>
        <w:spacing w:before="0" w:line="288" w:lineRule="auto"/>
        <w:ind w:firstLine="0" w:firstLineChars="0"/>
        <w:rPr>
          <w:rFonts w:ascii="宋体" w:hAnsi="宋体" w:cs="宋体"/>
          <w:b/>
          <w:color w:val="000000"/>
          <w:sz w:val="21"/>
          <w:szCs w:val="21"/>
        </w:rPr>
      </w:pPr>
      <w:r>
        <w:rPr>
          <w:rFonts w:hint="eastAsia" w:ascii="宋体" w:hAnsi="宋体" w:cs="宋体"/>
          <w:b/>
          <w:color w:val="000000"/>
          <w:sz w:val="21"/>
          <w:szCs w:val="21"/>
        </w:rPr>
        <w:t>17.投标有效期</w:t>
      </w:r>
    </w:p>
    <w:p>
      <w:pPr>
        <w:snapToGrid w:val="0"/>
        <w:spacing w:line="288" w:lineRule="auto"/>
        <w:ind w:firstLine="420" w:firstLineChars="200"/>
        <w:rPr>
          <w:rFonts w:ascii="宋体" w:hAnsi="宋体" w:cs="宋体"/>
          <w:b/>
          <w:color w:val="000000"/>
          <w:szCs w:val="21"/>
        </w:rPr>
      </w:pPr>
      <w:r>
        <w:rPr>
          <w:rFonts w:hint="eastAsia" w:ascii="宋体" w:hAnsi="宋体" w:cs="宋体"/>
          <w:color w:val="000000"/>
          <w:szCs w:val="21"/>
        </w:rPr>
        <w:t>17.1投标有效期为从提交投标文件的截止之日起90天。▲</w:t>
      </w:r>
      <w:r>
        <w:rPr>
          <w:rFonts w:hint="eastAsia" w:ascii="宋体" w:hAnsi="宋体" w:cs="宋体"/>
          <w:b/>
          <w:color w:val="000000"/>
          <w:szCs w:val="21"/>
        </w:rPr>
        <w:t>投标人的投标文件中承诺的投标有效期少于招标文件中载明的投标有效期的，投标无效。</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17.2投标文件合格投递后，自投标截止日期起，在投标有效期内有效。</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pPr>
        <w:snapToGrid w:val="0"/>
        <w:spacing w:before="360" w:beforeLines="150" w:line="288" w:lineRule="auto"/>
        <w:jc w:val="center"/>
        <w:outlineLvl w:val="0"/>
        <w:rPr>
          <w:rFonts w:ascii="宋体" w:hAnsi="宋体" w:cs="宋体"/>
          <w:b/>
          <w:color w:val="000000"/>
          <w:szCs w:val="21"/>
        </w:rPr>
      </w:pPr>
      <w:r>
        <w:rPr>
          <w:rFonts w:hint="eastAsia" w:ascii="宋体" w:hAnsi="宋体" w:cs="宋体"/>
          <w:b/>
          <w:color w:val="000000"/>
          <w:szCs w:val="21"/>
        </w:rPr>
        <w:t>四、开标、资格审查与信用信息查询</w:t>
      </w:r>
    </w:p>
    <w:p>
      <w:pPr>
        <w:pStyle w:val="556"/>
        <w:snapToGrid w:val="0"/>
        <w:spacing w:before="0" w:line="288" w:lineRule="auto"/>
        <w:ind w:left="0" w:firstLine="0"/>
        <w:rPr>
          <w:rFonts w:ascii="宋体" w:hAnsi="宋体" w:cs="宋体"/>
          <w:color w:val="000000"/>
          <w:sz w:val="21"/>
          <w:szCs w:val="21"/>
        </w:rPr>
      </w:pPr>
      <w:r>
        <w:rPr>
          <w:rFonts w:hint="eastAsia" w:ascii="宋体" w:hAnsi="宋体" w:cs="宋体"/>
          <w:b/>
          <w:color w:val="000000"/>
          <w:sz w:val="21"/>
          <w:szCs w:val="21"/>
        </w:rPr>
        <w:t>18.开标</w:t>
      </w:r>
    </w:p>
    <w:p>
      <w:pPr>
        <w:pStyle w:val="556"/>
        <w:snapToGrid w:val="0"/>
        <w:spacing w:before="0" w:line="288" w:lineRule="auto"/>
        <w:ind w:left="0" w:firstLine="420" w:firstLineChars="200"/>
        <w:rPr>
          <w:rFonts w:ascii="宋体" w:hAnsi="宋体" w:cs="宋体"/>
          <w:color w:val="000000"/>
          <w:sz w:val="21"/>
          <w:szCs w:val="21"/>
        </w:rPr>
      </w:pPr>
      <w:r>
        <w:rPr>
          <w:rFonts w:hint="eastAsia" w:ascii="宋体" w:hAnsi="宋体" w:cs="宋体"/>
          <w:color w:val="000000"/>
          <w:sz w:val="21"/>
          <w:szCs w:val="21"/>
        </w:rPr>
        <w:t>18.1采购机构按照招标文件规定的时间通过电子交易平台组织开标，所有投标人均应当准时在线参加。投标人不足3家的，不得开标。</w:t>
      </w:r>
    </w:p>
    <w:p>
      <w:pPr>
        <w:pStyle w:val="556"/>
        <w:snapToGrid w:val="0"/>
        <w:spacing w:before="0" w:line="288" w:lineRule="auto"/>
        <w:ind w:left="0" w:firstLine="420" w:firstLineChars="200"/>
        <w:rPr>
          <w:rFonts w:ascii="宋体" w:hAnsi="宋体" w:cs="宋体"/>
          <w:color w:val="000000"/>
          <w:sz w:val="21"/>
          <w:szCs w:val="21"/>
        </w:rPr>
      </w:pPr>
      <w:r>
        <w:rPr>
          <w:rFonts w:hint="eastAsia" w:ascii="宋体" w:hAnsi="宋体" w:cs="宋体"/>
          <w:color w:val="000000"/>
          <w:sz w:val="21"/>
          <w:szCs w:val="21"/>
        </w:rPr>
        <w:t>18.2开标时，电子交易平台按开标时间自动提取所有投标文件。采购机构依托电子交易平台发起开始解密指令，投标人按照平台提示和招标文件的规定在半小时内完成在线解密。</w:t>
      </w:r>
    </w:p>
    <w:p>
      <w:pPr>
        <w:pStyle w:val="556"/>
        <w:snapToGrid w:val="0"/>
        <w:spacing w:before="0" w:line="288" w:lineRule="auto"/>
        <w:ind w:left="0" w:firstLine="420" w:firstLineChars="200"/>
        <w:rPr>
          <w:rFonts w:ascii="宋体" w:hAnsi="宋体" w:cs="宋体"/>
          <w:b/>
          <w:color w:val="000000"/>
          <w:sz w:val="21"/>
          <w:szCs w:val="21"/>
        </w:rPr>
      </w:pPr>
      <w:r>
        <w:rPr>
          <w:rFonts w:hint="eastAsia" w:ascii="宋体" w:hAnsi="宋体" w:cs="宋体"/>
          <w:color w:val="000000"/>
          <w:sz w:val="21"/>
          <w:szCs w:val="21"/>
        </w:rPr>
        <w:t>18.3</w:t>
      </w:r>
      <w:r>
        <w:rPr>
          <w:rFonts w:hint="eastAsia" w:ascii="宋体" w:hAnsi="宋体" w:cs="宋体"/>
          <w:b/>
          <w:color w:val="000000"/>
          <w:sz w:val="21"/>
          <w:szCs w:val="21"/>
        </w:rPr>
        <w:t>投标文件未按时解密，投标人提供了备份投标文件的，以备份投标文件作为依据，否则视为投标文件撤回。投标文件已按时解密的，备份投标文件自动失效。</w:t>
      </w:r>
    </w:p>
    <w:p>
      <w:pPr>
        <w:widowControl/>
        <w:snapToGrid w:val="0"/>
        <w:spacing w:line="288" w:lineRule="auto"/>
        <w:jc w:val="left"/>
        <w:rPr>
          <w:rFonts w:ascii="宋体" w:hAnsi="宋体" w:cs="宋体"/>
          <w:b/>
          <w:color w:val="000000"/>
          <w:szCs w:val="21"/>
        </w:rPr>
      </w:pPr>
      <w:r>
        <w:rPr>
          <w:rFonts w:hint="eastAsia" w:ascii="宋体" w:hAnsi="宋体" w:cs="宋体"/>
          <w:b/>
          <w:color w:val="000000"/>
          <w:szCs w:val="21"/>
        </w:rPr>
        <w:t>19、资格审查</w:t>
      </w:r>
    </w:p>
    <w:p>
      <w:pPr>
        <w:pStyle w:val="158"/>
        <w:snapToGrid w:val="0"/>
        <w:spacing w:before="0" w:line="288" w:lineRule="auto"/>
        <w:ind w:firstLine="420"/>
        <w:rPr>
          <w:rFonts w:ascii="宋体" w:hAnsi="宋体" w:cs="宋体"/>
          <w:color w:val="000000"/>
          <w:kern w:val="0"/>
          <w:sz w:val="21"/>
          <w:szCs w:val="21"/>
        </w:rPr>
      </w:pPr>
      <w:r>
        <w:rPr>
          <w:rFonts w:hint="eastAsia" w:ascii="宋体" w:hAnsi="宋体" w:cs="宋体"/>
          <w:color w:val="000000"/>
          <w:kern w:val="0"/>
          <w:sz w:val="21"/>
          <w:szCs w:val="21"/>
        </w:rPr>
        <w:t>19.1开标后，采购人或采购机构将依法对投标人的资格进行审查。</w:t>
      </w:r>
    </w:p>
    <w:p>
      <w:pPr>
        <w:snapToGrid w:val="0"/>
        <w:spacing w:line="288" w:lineRule="auto"/>
        <w:ind w:firstLine="420" w:firstLineChars="200"/>
        <w:rPr>
          <w:rFonts w:ascii="宋体" w:hAnsi="宋体" w:cs="宋体"/>
          <w:color w:val="000000"/>
          <w:szCs w:val="21"/>
        </w:rPr>
      </w:pPr>
      <w:r>
        <w:rPr>
          <w:rFonts w:hint="eastAsia" w:ascii="宋体" w:hAnsi="宋体" w:cs="宋体"/>
          <w:color w:val="000000"/>
          <w:kern w:val="0"/>
          <w:szCs w:val="21"/>
        </w:rPr>
        <w:t>19.2</w:t>
      </w:r>
      <w:r>
        <w:rPr>
          <w:rFonts w:hint="eastAsia" w:ascii="宋体" w:hAnsi="宋体" w:cs="宋体"/>
          <w:color w:val="000000"/>
          <w:szCs w:val="21"/>
        </w:rPr>
        <w:t>采购人或采购机构依据法律法规和招标文件的规定，对投标人的资格进行审查。</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kern w:val="0"/>
          <w:sz w:val="21"/>
          <w:szCs w:val="21"/>
        </w:rPr>
        <w:t>19.3投标人未按照招标文件要求提供与</w:t>
      </w:r>
      <w:r>
        <w:rPr>
          <w:rFonts w:hint="eastAsia" w:ascii="宋体" w:hAnsi="宋体" w:cs="宋体"/>
          <w:color w:val="000000"/>
          <w:sz w:val="21"/>
          <w:szCs w:val="21"/>
        </w:rPr>
        <w:t>资格条件相应的</w:t>
      </w:r>
      <w:r>
        <w:rPr>
          <w:rFonts w:hint="eastAsia" w:ascii="宋体" w:hAnsi="宋体" w:cs="宋体"/>
          <w:color w:val="000000"/>
          <w:kern w:val="0"/>
          <w:sz w:val="21"/>
          <w:szCs w:val="21"/>
        </w:rPr>
        <w:t>有效资格证明材料的，视为</w:t>
      </w:r>
      <w:r>
        <w:rPr>
          <w:rFonts w:hint="eastAsia" w:ascii="宋体" w:hAnsi="宋体" w:cs="宋体"/>
          <w:color w:val="000000"/>
          <w:sz w:val="21"/>
          <w:szCs w:val="21"/>
        </w:rPr>
        <w:t>投标人不具备招标文件中规定的资格要求，其投标无效。</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kern w:val="0"/>
          <w:sz w:val="21"/>
          <w:szCs w:val="21"/>
        </w:rPr>
        <w:t>19.</w:t>
      </w:r>
      <w:r>
        <w:rPr>
          <w:rFonts w:hint="eastAsia" w:ascii="宋体" w:hAnsi="宋体" w:cs="宋体"/>
          <w:color w:val="000000"/>
          <w:sz w:val="21"/>
          <w:szCs w:val="21"/>
        </w:rPr>
        <w:t>4对未通过资格审查的投标人，采购人或采购机构告知其未通过的原因。</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kern w:val="0"/>
          <w:sz w:val="21"/>
          <w:szCs w:val="21"/>
        </w:rPr>
        <w:t>19.</w:t>
      </w:r>
      <w:r>
        <w:rPr>
          <w:rFonts w:hint="eastAsia" w:ascii="宋体" w:hAnsi="宋体" w:cs="宋体"/>
          <w:color w:val="000000"/>
          <w:sz w:val="21"/>
          <w:szCs w:val="21"/>
        </w:rPr>
        <w:t>5合格投标人不足3家的，不再评标。</w:t>
      </w:r>
    </w:p>
    <w:p>
      <w:pPr>
        <w:pStyle w:val="158"/>
        <w:snapToGrid w:val="0"/>
        <w:spacing w:before="0" w:line="288" w:lineRule="auto"/>
        <w:ind w:firstLine="0" w:firstLineChars="0"/>
        <w:rPr>
          <w:rFonts w:ascii="宋体" w:hAnsi="宋体" w:cs="宋体"/>
          <w:b/>
          <w:color w:val="000000"/>
          <w:sz w:val="21"/>
          <w:szCs w:val="21"/>
        </w:rPr>
      </w:pPr>
      <w:r>
        <w:rPr>
          <w:rFonts w:hint="eastAsia" w:ascii="宋体" w:hAnsi="宋体" w:cs="宋体"/>
          <w:b/>
          <w:color w:val="000000"/>
          <w:sz w:val="21"/>
          <w:szCs w:val="21"/>
        </w:rPr>
        <w:t>20、信用信息查询</w:t>
      </w:r>
    </w:p>
    <w:p>
      <w:pPr>
        <w:pStyle w:val="158"/>
        <w:snapToGrid w:val="0"/>
        <w:spacing w:before="0" w:line="288" w:lineRule="auto"/>
        <w:ind w:firstLine="495" w:firstLineChars="0"/>
        <w:rPr>
          <w:rFonts w:ascii="宋体" w:hAnsi="宋体" w:cs="宋体"/>
          <w:color w:val="000000"/>
          <w:kern w:val="0"/>
          <w:sz w:val="21"/>
          <w:szCs w:val="21"/>
        </w:rPr>
      </w:pPr>
      <w:r>
        <w:rPr>
          <w:rFonts w:hint="eastAsia" w:ascii="宋体" w:hAnsi="宋体" w:cs="宋体"/>
          <w:color w:val="000000"/>
          <w:kern w:val="0"/>
          <w:sz w:val="21"/>
          <w:szCs w:val="21"/>
        </w:rPr>
        <w:t>20.1信用信息查询渠道及截止时间：采购机构将在资格审查时通过“信用中国”网站(www.creditchina.gov.cn)、中国政府采购网(www.ccgp.gov.cn)渠道查询投标人接受资格时的信用记录。</w:t>
      </w:r>
    </w:p>
    <w:p>
      <w:pPr>
        <w:pStyle w:val="158"/>
        <w:snapToGrid w:val="0"/>
        <w:spacing w:before="0" w:line="288" w:lineRule="auto"/>
        <w:ind w:firstLine="495" w:firstLineChars="0"/>
        <w:rPr>
          <w:rFonts w:ascii="宋体" w:hAnsi="宋体" w:cs="宋体"/>
          <w:color w:val="000000"/>
          <w:kern w:val="0"/>
          <w:sz w:val="21"/>
          <w:szCs w:val="21"/>
        </w:rPr>
      </w:pPr>
      <w:r>
        <w:rPr>
          <w:rFonts w:hint="eastAsia" w:ascii="宋体" w:hAnsi="宋体" w:cs="宋体"/>
          <w:color w:val="000000"/>
          <w:kern w:val="0"/>
          <w:sz w:val="21"/>
          <w:szCs w:val="21"/>
        </w:rPr>
        <w:t>20.2信用信息查询记录和证据留存的具体方式：现场查询的投标人的信用记录、查询结果经确认后将与采购文件一起存档。</w:t>
      </w:r>
    </w:p>
    <w:p>
      <w:pPr>
        <w:pStyle w:val="158"/>
        <w:snapToGrid w:val="0"/>
        <w:spacing w:before="0" w:line="288" w:lineRule="auto"/>
        <w:ind w:firstLine="495" w:firstLineChars="0"/>
        <w:rPr>
          <w:rFonts w:ascii="宋体" w:hAnsi="宋体" w:cs="宋体"/>
          <w:color w:val="000000"/>
          <w:kern w:val="0"/>
          <w:sz w:val="21"/>
          <w:szCs w:val="21"/>
        </w:rPr>
      </w:pPr>
      <w:r>
        <w:rPr>
          <w:rFonts w:hint="eastAsia" w:ascii="宋体" w:hAnsi="宋体" w:cs="宋体"/>
          <w:color w:val="000000"/>
          <w:kern w:val="0"/>
          <w:sz w:val="21"/>
          <w:szCs w:val="21"/>
        </w:rPr>
        <w:t>20.3信用信息的使用规则：经查询列入失信被执行人名单、重大税收违法案件当事人名单、政府采购严重违法失信行为记录名单的投标人将被拒绝参与政府采购活动。</w:t>
      </w:r>
    </w:p>
    <w:p>
      <w:pPr>
        <w:pStyle w:val="158"/>
        <w:snapToGrid w:val="0"/>
        <w:spacing w:before="0" w:line="288" w:lineRule="auto"/>
        <w:ind w:firstLine="420"/>
        <w:rPr>
          <w:rFonts w:ascii="宋体" w:hAnsi="宋体" w:cs="宋体"/>
          <w:color w:val="000000"/>
          <w:kern w:val="0"/>
          <w:sz w:val="21"/>
          <w:szCs w:val="21"/>
        </w:rPr>
      </w:pPr>
      <w:r>
        <w:rPr>
          <w:rFonts w:hint="eastAsia" w:ascii="宋体" w:hAnsi="宋体" w:cs="宋体"/>
          <w:color w:val="000000"/>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sz w:val="21"/>
          <w:szCs w:val="21"/>
        </w:rPr>
        <w:t>。</w:t>
      </w:r>
    </w:p>
    <w:p>
      <w:pPr>
        <w:snapToGrid w:val="0"/>
        <w:spacing w:before="360" w:beforeLines="150" w:line="288" w:lineRule="auto"/>
        <w:jc w:val="center"/>
        <w:outlineLvl w:val="0"/>
        <w:rPr>
          <w:rFonts w:ascii="宋体" w:hAnsi="宋体" w:cs="宋体"/>
          <w:b/>
          <w:color w:val="000000"/>
          <w:szCs w:val="21"/>
        </w:rPr>
      </w:pPr>
      <w:r>
        <w:rPr>
          <w:rFonts w:hint="eastAsia" w:ascii="宋体" w:hAnsi="宋体" w:cs="宋体"/>
          <w:b/>
          <w:color w:val="000000"/>
          <w:szCs w:val="21"/>
        </w:rPr>
        <w:t>五、评标</w:t>
      </w:r>
    </w:p>
    <w:p>
      <w:pPr>
        <w:snapToGrid w:val="0"/>
        <w:spacing w:line="288" w:lineRule="auto"/>
        <w:rPr>
          <w:rFonts w:ascii="宋体" w:hAnsi="宋体" w:cs="宋体"/>
          <w:b/>
          <w:color w:val="000000"/>
          <w:szCs w:val="21"/>
        </w:rPr>
      </w:pPr>
      <w:bookmarkStart w:id="15" w:name="_Toc91899903"/>
      <w:r>
        <w:rPr>
          <w:rFonts w:hint="eastAsia" w:ascii="宋体" w:hAnsi="宋体" w:cs="宋体"/>
          <w:b/>
          <w:color w:val="000000"/>
          <w:szCs w:val="21"/>
        </w:rPr>
        <w:t>21.</w:t>
      </w:r>
      <w:r>
        <w:rPr>
          <w:rFonts w:hint="eastAsia" w:ascii="宋体" w:hAnsi="宋体" w:cs="宋体"/>
          <w:color w:val="000000"/>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Cs w:val="21"/>
        </w:rPr>
        <w:t>详见招标文件第四部分评标办法。</w:t>
      </w:r>
    </w:p>
    <w:p>
      <w:pPr>
        <w:snapToGrid w:val="0"/>
        <w:spacing w:before="360" w:beforeLines="150" w:line="288" w:lineRule="auto"/>
        <w:jc w:val="center"/>
        <w:outlineLvl w:val="0"/>
        <w:rPr>
          <w:rFonts w:ascii="宋体" w:hAnsi="宋体" w:cs="宋体"/>
          <w:b/>
          <w:color w:val="000000"/>
          <w:szCs w:val="21"/>
        </w:rPr>
      </w:pPr>
      <w:r>
        <w:rPr>
          <w:rFonts w:hint="eastAsia" w:ascii="宋体" w:hAnsi="宋体" w:cs="宋体"/>
          <w:b/>
          <w:color w:val="000000"/>
          <w:szCs w:val="21"/>
        </w:rPr>
        <w:t>六、定 标</w:t>
      </w:r>
    </w:p>
    <w:p>
      <w:pPr>
        <w:pStyle w:val="24"/>
        <w:snapToGrid w:val="0"/>
        <w:spacing w:line="288" w:lineRule="auto"/>
        <w:ind w:firstLine="0" w:firstLineChars="0"/>
        <w:rPr>
          <w:rFonts w:cs="宋体"/>
          <w:b/>
          <w:color w:val="000000"/>
          <w:sz w:val="21"/>
          <w:szCs w:val="21"/>
        </w:rPr>
      </w:pPr>
      <w:r>
        <w:rPr>
          <w:rFonts w:hint="eastAsia" w:cs="宋体"/>
          <w:b/>
          <w:color w:val="000000"/>
          <w:sz w:val="21"/>
          <w:szCs w:val="21"/>
        </w:rPr>
        <w:t>22. 确定中标供应商</w:t>
      </w:r>
    </w:p>
    <w:p>
      <w:pPr>
        <w:pStyle w:val="158"/>
        <w:snapToGrid w:val="0"/>
        <w:spacing w:before="0" w:line="288" w:lineRule="auto"/>
        <w:ind w:firstLine="420"/>
        <w:rPr>
          <w:rFonts w:ascii="宋体" w:hAnsi="宋体" w:cs="宋体"/>
          <w:b/>
          <w:color w:val="000000"/>
          <w:sz w:val="21"/>
          <w:szCs w:val="21"/>
        </w:rPr>
      </w:pPr>
      <w:r>
        <w:rPr>
          <w:rFonts w:hint="eastAsia" w:ascii="宋体" w:hAnsi="宋体" w:cs="宋体"/>
          <w:color w:val="000000"/>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58"/>
        <w:snapToGrid w:val="0"/>
        <w:spacing w:before="0" w:line="288" w:lineRule="auto"/>
        <w:ind w:firstLine="0" w:firstLineChars="0"/>
        <w:rPr>
          <w:rFonts w:ascii="宋体" w:hAnsi="宋体" w:cs="宋体"/>
          <w:b/>
          <w:color w:val="000000"/>
          <w:sz w:val="21"/>
          <w:szCs w:val="21"/>
        </w:rPr>
      </w:pPr>
      <w:r>
        <w:rPr>
          <w:rFonts w:hint="eastAsia" w:ascii="宋体" w:hAnsi="宋体" w:cs="宋体"/>
          <w:b/>
          <w:color w:val="000000"/>
          <w:sz w:val="21"/>
          <w:szCs w:val="21"/>
        </w:rPr>
        <w:t>23. 中标通知与中标结果公告</w:t>
      </w:r>
    </w:p>
    <w:p>
      <w:pPr>
        <w:widowControl/>
        <w:shd w:val="clear" w:color="auto" w:fill="FFFFFF"/>
        <w:snapToGrid w:val="0"/>
        <w:spacing w:line="288" w:lineRule="auto"/>
        <w:ind w:firstLine="480"/>
        <w:jc w:val="left"/>
        <w:rPr>
          <w:rFonts w:ascii="宋体" w:hAnsi="宋体" w:cs="宋体"/>
          <w:color w:val="000000"/>
          <w:szCs w:val="21"/>
        </w:rPr>
      </w:pPr>
      <w:r>
        <w:rPr>
          <w:rFonts w:hint="eastAsia" w:ascii="宋体" w:hAnsi="宋体" w:cs="宋体"/>
          <w:color w:val="000000"/>
          <w:szCs w:val="21"/>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napToGrid w:val="0"/>
        <w:spacing w:line="288" w:lineRule="auto"/>
        <w:ind w:firstLine="480"/>
        <w:jc w:val="left"/>
        <w:rPr>
          <w:rFonts w:ascii="宋体" w:hAnsi="宋体" w:cs="宋体"/>
          <w:color w:val="000000"/>
          <w:szCs w:val="21"/>
        </w:rPr>
      </w:pPr>
      <w:r>
        <w:rPr>
          <w:rFonts w:hint="eastAsia" w:ascii="宋体" w:hAnsi="宋体" w:cs="宋体"/>
          <w:color w:val="000000"/>
          <w:szCs w:val="21"/>
        </w:rPr>
        <w:t>23.2中标结果公告内容包括采购人及其委托的采购机构的名称、地址、联系方式，项目名称和项目编号，中标人名称、地址和中标金额，主要中标标的的名称、规格型号、数量、单价、服务要求，开标记录、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000000"/>
          <w:szCs w:val="21"/>
        </w:rPr>
        <w:t>资格审查情况、评审专家抽取规则、符合性审查情况、</w:t>
      </w:r>
      <w:bookmarkEnd w:id="16"/>
      <w:r>
        <w:rPr>
          <w:rFonts w:hint="eastAsia" w:ascii="宋体" w:hAnsi="宋体" w:cs="宋体"/>
          <w:color w:val="000000"/>
          <w:szCs w:val="21"/>
        </w:rPr>
        <w:t>未中标情况说明、中标公告期限以及评审专家名单、评分汇总及明细。</w:t>
      </w:r>
    </w:p>
    <w:p>
      <w:pPr>
        <w:widowControl/>
        <w:shd w:val="clear" w:color="auto" w:fill="FFFFFF"/>
        <w:snapToGrid w:val="0"/>
        <w:spacing w:line="288" w:lineRule="auto"/>
        <w:ind w:firstLine="480"/>
        <w:jc w:val="left"/>
        <w:rPr>
          <w:rFonts w:ascii="宋体" w:hAnsi="宋体" w:cs="宋体"/>
          <w:b/>
          <w:color w:val="000000"/>
          <w:szCs w:val="21"/>
        </w:rPr>
      </w:pPr>
      <w:r>
        <w:rPr>
          <w:rFonts w:hint="eastAsia" w:ascii="宋体" w:hAnsi="宋体" w:cs="宋体"/>
          <w:color w:val="000000"/>
          <w:szCs w:val="21"/>
        </w:rPr>
        <w:t>23.3公告期限为1个工作日。</w:t>
      </w:r>
    </w:p>
    <w:p>
      <w:pPr>
        <w:snapToGrid w:val="0"/>
        <w:spacing w:before="360" w:beforeLines="150" w:line="288" w:lineRule="auto"/>
        <w:jc w:val="center"/>
        <w:outlineLvl w:val="0"/>
        <w:rPr>
          <w:rFonts w:ascii="宋体" w:hAnsi="宋体" w:cs="宋体"/>
          <w:b/>
          <w:color w:val="000000"/>
          <w:szCs w:val="21"/>
        </w:rPr>
      </w:pPr>
      <w:r>
        <w:rPr>
          <w:rFonts w:hint="eastAsia" w:ascii="宋体" w:hAnsi="宋体" w:cs="宋体"/>
          <w:b/>
          <w:color w:val="000000"/>
          <w:szCs w:val="21"/>
        </w:rPr>
        <w:t>七、合同授予</w:t>
      </w:r>
    </w:p>
    <w:p>
      <w:pPr>
        <w:pStyle w:val="24"/>
        <w:snapToGrid w:val="0"/>
        <w:spacing w:line="288" w:lineRule="auto"/>
        <w:ind w:firstLine="0" w:firstLineChars="0"/>
        <w:rPr>
          <w:rFonts w:cs="宋体"/>
          <w:b/>
          <w:color w:val="000000"/>
          <w:sz w:val="21"/>
          <w:szCs w:val="21"/>
        </w:rPr>
      </w:pPr>
      <w:r>
        <w:rPr>
          <w:rFonts w:hint="eastAsia" w:cs="宋体"/>
          <w:b/>
          <w:color w:val="000000"/>
          <w:sz w:val="21"/>
          <w:szCs w:val="21"/>
        </w:rPr>
        <w:t xml:space="preserve">24. </w:t>
      </w:r>
      <w:r>
        <w:rPr>
          <w:rFonts w:hint="eastAsia" w:cs="宋体"/>
          <w:color w:val="000000"/>
          <w:sz w:val="21"/>
          <w:szCs w:val="21"/>
        </w:rPr>
        <w:t>合同主要条款详见第五部分拟签订的合同文本。</w:t>
      </w:r>
    </w:p>
    <w:p>
      <w:pPr>
        <w:pStyle w:val="24"/>
        <w:snapToGrid w:val="0"/>
        <w:spacing w:line="288" w:lineRule="auto"/>
        <w:ind w:firstLine="0" w:firstLineChars="0"/>
        <w:rPr>
          <w:rFonts w:cs="宋体"/>
          <w:b/>
          <w:color w:val="000000"/>
          <w:sz w:val="21"/>
          <w:szCs w:val="21"/>
        </w:rPr>
      </w:pPr>
      <w:r>
        <w:rPr>
          <w:rFonts w:hint="eastAsia" w:cs="宋体"/>
          <w:b/>
          <w:color w:val="000000"/>
          <w:sz w:val="21"/>
          <w:szCs w:val="21"/>
        </w:rPr>
        <w:t>25. 合同的签订</w:t>
      </w:r>
    </w:p>
    <w:p>
      <w:pPr>
        <w:widowControl/>
        <w:shd w:val="clear" w:color="auto" w:fill="FFFFFF"/>
        <w:snapToGrid w:val="0"/>
        <w:spacing w:line="288" w:lineRule="auto"/>
        <w:ind w:firstLine="480"/>
        <w:jc w:val="left"/>
        <w:rPr>
          <w:rFonts w:ascii="宋体" w:hAnsi="宋体" w:cs="宋体"/>
          <w:color w:val="000000"/>
          <w:kern w:val="0"/>
          <w:szCs w:val="21"/>
        </w:rPr>
      </w:pPr>
      <w:r>
        <w:rPr>
          <w:rFonts w:hint="eastAsia" w:ascii="宋体" w:hAnsi="宋体" w:cs="宋体"/>
          <w:color w:val="000000"/>
          <w:szCs w:val="21"/>
        </w:rPr>
        <w:t>25.1</w:t>
      </w:r>
      <w:r>
        <w:rPr>
          <w:rFonts w:hint="eastAsia" w:ascii="宋体" w:hAnsi="宋体" w:cs="宋体"/>
          <w:color w:val="000000"/>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8"/>
        <w:snapToGrid w:val="0"/>
        <w:spacing w:before="0" w:line="288" w:lineRule="auto"/>
        <w:ind w:firstLine="420"/>
        <w:rPr>
          <w:rFonts w:ascii="宋体" w:hAnsi="宋体" w:cs="宋体"/>
          <w:color w:val="000000"/>
          <w:kern w:val="0"/>
          <w:sz w:val="21"/>
          <w:szCs w:val="21"/>
        </w:rPr>
      </w:pPr>
      <w:r>
        <w:rPr>
          <w:rFonts w:hint="eastAsia" w:ascii="宋体" w:hAnsi="宋体" w:cs="宋体"/>
          <w:color w:val="000000"/>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25.3如签订合同并生效后，供应商无故拒绝或延期，除按照合同条款处理外，列入不良行为记录一次，并给予通报。</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25.4中标供应商拒绝与采购人签订合同的，采购人可以按照评审报告推荐的中标或者成交候选人名单排序，确定下一候选人为中标供应商，也可以重新开展政府采购活动。</w:t>
      </w:r>
    </w:p>
    <w:p>
      <w:pPr>
        <w:pStyle w:val="158"/>
        <w:snapToGrid w:val="0"/>
        <w:spacing w:before="0" w:after="120" w:line="288" w:lineRule="auto"/>
        <w:ind w:firstLine="420"/>
        <w:rPr>
          <w:rFonts w:ascii="宋体" w:hAnsi="宋体" w:cs="宋体"/>
          <w:color w:val="000000"/>
          <w:sz w:val="21"/>
          <w:szCs w:val="21"/>
        </w:rPr>
      </w:pPr>
      <w:r>
        <w:rPr>
          <w:rFonts w:hint="eastAsia" w:ascii="宋体" w:hAnsi="宋体" w:cs="宋体"/>
          <w:color w:val="000000"/>
          <w:sz w:val="21"/>
          <w:szCs w:val="21"/>
        </w:rPr>
        <w:t>25.5采购合同由采购人与中标供应商根据招标文件、投标文件等内容通过政府采购电子交易平台在线签订，自动备案。</w:t>
      </w:r>
    </w:p>
    <w:p>
      <w:pPr>
        <w:pStyle w:val="24"/>
        <w:snapToGrid w:val="0"/>
        <w:spacing w:line="288" w:lineRule="auto"/>
        <w:ind w:firstLine="0" w:firstLineChars="0"/>
        <w:rPr>
          <w:rFonts w:cs="宋体"/>
          <w:b/>
          <w:color w:val="000000"/>
          <w:sz w:val="21"/>
          <w:szCs w:val="21"/>
        </w:rPr>
      </w:pPr>
      <w:r>
        <w:rPr>
          <w:rFonts w:hint="eastAsia" w:cs="宋体"/>
          <w:b/>
          <w:color w:val="000000"/>
          <w:sz w:val="21"/>
          <w:szCs w:val="21"/>
        </w:rPr>
        <w:t>26. 履约保证金</w:t>
      </w:r>
    </w:p>
    <w:p>
      <w:pPr>
        <w:tabs>
          <w:tab w:val="left" w:pos="0"/>
        </w:tabs>
        <w:snapToGrid w:val="0"/>
        <w:spacing w:line="288" w:lineRule="auto"/>
        <w:ind w:firstLine="482"/>
        <w:rPr>
          <w:rFonts w:hint="eastAsia" w:ascii="宋体" w:hAnsi="宋体" w:cs="宋体"/>
          <w:color w:val="000000"/>
          <w:szCs w:val="21"/>
        </w:rPr>
      </w:pPr>
      <w:r>
        <w:rPr>
          <w:rFonts w:hint="eastAsia" w:ascii="宋体" w:hAnsi="宋体" w:cs="宋体"/>
          <w:color w:val="000000"/>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color w:val="000000"/>
          <w:szCs w:val="21"/>
        </w:rPr>
        <w:t>。履约保证金的数额不得超过政府采购合同金额的</w:t>
      </w:r>
      <w:r>
        <w:rPr>
          <w:rFonts w:ascii="宋体" w:hAnsi="宋体" w:cs="宋体"/>
          <w:color w:val="000000"/>
          <w:szCs w:val="21"/>
        </w:rPr>
        <w:t>1</w:t>
      </w:r>
      <w:r>
        <w:rPr>
          <w:rFonts w:hint="eastAsia" w:ascii="宋体" w:hAnsi="宋体" w:cs="宋体"/>
          <w:color w:val="000000"/>
          <w:szCs w:val="21"/>
        </w:rPr>
        <w:t>%。鼓励和支持供应商以银行、保险公司出具的保函形式提供履约保证金。采购人不得拒收履约保函，项目验收结束后应及时退还，</w:t>
      </w:r>
      <w:r>
        <w:rPr>
          <w:rFonts w:ascii="宋体" w:hAnsi="宋体" w:cs="宋体"/>
          <w:color w:val="000000"/>
          <w:szCs w:val="21"/>
        </w:rPr>
        <w:t>延迟退还的，应当按照合同约定和法律规定承担相应的赔偿责任</w:t>
      </w:r>
      <w:r>
        <w:rPr>
          <w:rFonts w:hint="eastAsia" w:ascii="宋体" w:hAnsi="宋体" w:cs="宋体"/>
          <w:color w:val="000000"/>
          <w:szCs w:val="21"/>
        </w:rPr>
        <w:t>。</w:t>
      </w:r>
    </w:p>
    <w:p>
      <w:pPr>
        <w:tabs>
          <w:tab w:val="left" w:pos="0"/>
        </w:tabs>
        <w:snapToGrid w:val="0"/>
        <w:spacing w:line="288" w:lineRule="auto"/>
        <w:ind w:firstLine="482"/>
        <w:rPr>
          <w:rFonts w:ascii="宋体" w:hAnsi="宋体" w:cs="宋体"/>
          <w:color w:val="000000"/>
          <w:szCs w:val="21"/>
        </w:rPr>
      </w:pPr>
      <w:r>
        <w:rPr>
          <w:rFonts w:hint="eastAsia" w:ascii="宋体" w:hAnsi="宋体" w:cs="宋体"/>
          <w:bCs/>
          <w:snapToGrid w:val="0"/>
          <w:color w:val="00000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before="360" w:beforeLines="150" w:line="288" w:lineRule="auto"/>
        <w:jc w:val="center"/>
        <w:outlineLvl w:val="0"/>
        <w:rPr>
          <w:rFonts w:ascii="宋体" w:hAnsi="宋体" w:cs="宋体"/>
          <w:b/>
          <w:color w:val="000000"/>
          <w:szCs w:val="21"/>
        </w:rPr>
      </w:pPr>
      <w:r>
        <w:rPr>
          <w:rFonts w:hint="eastAsia" w:ascii="宋体" w:hAnsi="宋体" w:cs="宋体"/>
          <w:b/>
          <w:color w:val="000000"/>
          <w:szCs w:val="21"/>
        </w:rPr>
        <w:t>八、电子交易活动的中止</w:t>
      </w:r>
    </w:p>
    <w:p>
      <w:pPr>
        <w:pStyle w:val="158"/>
        <w:snapToGrid w:val="0"/>
        <w:spacing w:before="0" w:line="288" w:lineRule="auto"/>
        <w:ind w:firstLine="0" w:firstLineChars="0"/>
        <w:rPr>
          <w:rFonts w:ascii="宋体" w:hAnsi="宋体" w:cs="宋体"/>
          <w:color w:val="000000"/>
          <w:sz w:val="21"/>
          <w:szCs w:val="21"/>
        </w:rPr>
      </w:pPr>
      <w:r>
        <w:rPr>
          <w:rFonts w:hint="eastAsia" w:ascii="宋体" w:hAnsi="宋体" w:cs="宋体"/>
          <w:color w:val="000000"/>
          <w:sz w:val="21"/>
          <w:szCs w:val="21"/>
        </w:rPr>
        <w:t>2</w:t>
      </w:r>
      <w:r>
        <w:rPr>
          <w:rFonts w:hint="eastAsia" w:ascii="宋体" w:hAnsi="宋体" w:cs="宋体"/>
          <w:b/>
          <w:color w:val="000000"/>
          <w:sz w:val="21"/>
          <w:szCs w:val="21"/>
        </w:rPr>
        <w:t>7. 电子交易活动的中止。</w:t>
      </w:r>
      <w:r>
        <w:rPr>
          <w:rFonts w:hint="eastAsia" w:ascii="宋体" w:hAnsi="宋体" w:cs="宋体"/>
          <w:color w:val="000000"/>
          <w:sz w:val="21"/>
          <w:szCs w:val="21"/>
        </w:rPr>
        <w:t>采购过程中出现以下情形，导致电子交易平台无法正常运行，或者无法保证电子交易的公平、公正和安全时，采购机构可中止电子交易活动：</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 xml:space="preserve">27.1电子交易平台发生故障而无法登录访问的； </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27.2电子交易平台应用或数据库出现错误，不能进行正常操作的；</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27.3电子交易平台发现严重安全漏洞，有潜在泄密危险的；</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 xml:space="preserve">27.4病毒发作导致不能进行正常操作的； </w:t>
      </w:r>
    </w:p>
    <w:p>
      <w:pPr>
        <w:pStyle w:val="158"/>
        <w:snapToGrid w:val="0"/>
        <w:spacing w:before="0" w:line="288" w:lineRule="auto"/>
        <w:ind w:firstLine="420"/>
        <w:rPr>
          <w:rFonts w:ascii="宋体" w:hAnsi="宋体" w:cs="宋体"/>
          <w:color w:val="000000"/>
          <w:sz w:val="21"/>
          <w:szCs w:val="21"/>
        </w:rPr>
      </w:pPr>
      <w:r>
        <w:rPr>
          <w:rFonts w:hint="eastAsia" w:ascii="宋体" w:hAnsi="宋体" w:cs="宋体"/>
          <w:color w:val="000000"/>
          <w:sz w:val="21"/>
          <w:szCs w:val="21"/>
        </w:rPr>
        <w:t>27.5其他无法保证电子交易的公平、公正和安全的情况。</w:t>
      </w:r>
    </w:p>
    <w:p>
      <w:pPr>
        <w:pStyle w:val="158"/>
        <w:snapToGrid w:val="0"/>
        <w:spacing w:before="0" w:line="288" w:lineRule="auto"/>
        <w:ind w:firstLine="0" w:firstLineChars="0"/>
        <w:rPr>
          <w:rFonts w:ascii="宋体" w:hAnsi="宋体" w:cs="宋体"/>
          <w:color w:val="000000"/>
          <w:sz w:val="21"/>
          <w:szCs w:val="21"/>
        </w:rPr>
      </w:pPr>
      <w:r>
        <w:rPr>
          <w:rFonts w:hint="eastAsia" w:ascii="宋体" w:hAnsi="宋体" w:cs="宋体"/>
          <w:b/>
          <w:color w:val="000000"/>
          <w:sz w:val="21"/>
          <w:szCs w:val="21"/>
        </w:rPr>
        <w:t>28.</w:t>
      </w:r>
      <w:r>
        <w:rPr>
          <w:rFonts w:hint="eastAsia" w:ascii="宋体" w:hAnsi="宋体" w:cs="宋体"/>
          <w:color w:val="000000"/>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before="360" w:beforeLines="150" w:line="288" w:lineRule="auto"/>
        <w:jc w:val="center"/>
        <w:outlineLvl w:val="0"/>
        <w:rPr>
          <w:rFonts w:ascii="宋体" w:hAnsi="宋体" w:cs="宋体"/>
          <w:b/>
          <w:color w:val="000000"/>
          <w:szCs w:val="21"/>
        </w:rPr>
      </w:pPr>
      <w:r>
        <w:rPr>
          <w:rFonts w:hint="eastAsia" w:ascii="宋体" w:hAnsi="宋体" w:cs="宋体"/>
          <w:b/>
          <w:color w:val="000000"/>
          <w:szCs w:val="21"/>
        </w:rPr>
        <w:t>九、验收</w:t>
      </w:r>
    </w:p>
    <w:p>
      <w:pPr>
        <w:pStyle w:val="24"/>
        <w:snapToGrid w:val="0"/>
        <w:spacing w:line="288" w:lineRule="auto"/>
        <w:ind w:firstLine="0" w:firstLineChars="0"/>
        <w:rPr>
          <w:rFonts w:cs="宋体"/>
          <w:b/>
          <w:color w:val="000000"/>
          <w:sz w:val="21"/>
          <w:szCs w:val="21"/>
        </w:rPr>
      </w:pPr>
      <w:r>
        <w:rPr>
          <w:rFonts w:hint="eastAsia" w:cs="宋体"/>
          <w:b/>
          <w:color w:val="000000"/>
          <w:sz w:val="21"/>
          <w:szCs w:val="21"/>
        </w:rPr>
        <w:t>29.验收</w:t>
      </w:r>
    </w:p>
    <w:p>
      <w:pPr>
        <w:tabs>
          <w:tab w:val="left" w:pos="0"/>
        </w:tabs>
        <w:snapToGrid w:val="0"/>
        <w:spacing w:line="288" w:lineRule="auto"/>
        <w:ind w:firstLine="480"/>
        <w:rPr>
          <w:rFonts w:ascii="宋体" w:hAnsi="宋体" w:cs="宋体"/>
          <w:color w:val="000000"/>
          <w:kern w:val="0"/>
          <w:szCs w:val="21"/>
        </w:rPr>
      </w:pPr>
      <w:r>
        <w:rPr>
          <w:rFonts w:hint="eastAsia" w:ascii="宋体" w:hAnsi="宋体" w:cs="宋体"/>
          <w:color w:val="000000"/>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288" w:lineRule="auto"/>
        <w:ind w:firstLine="480"/>
        <w:rPr>
          <w:rFonts w:ascii="宋体" w:hAnsi="宋体" w:cs="宋体"/>
          <w:color w:val="000000"/>
          <w:kern w:val="0"/>
          <w:szCs w:val="21"/>
        </w:rPr>
      </w:pPr>
      <w:r>
        <w:rPr>
          <w:rFonts w:hint="eastAsia" w:ascii="宋体" w:hAnsi="宋体" w:cs="宋体"/>
          <w:color w:val="000000"/>
          <w:kern w:val="0"/>
          <w:szCs w:val="21"/>
        </w:rPr>
        <w:t>29.2采购人可以邀请参加本项目的其他投标人或者第三方机构参与验收。参与验收的投标人或者第三方机构的意见作为验收书的参考资料一并存档。</w:t>
      </w:r>
    </w:p>
    <w:p>
      <w:pPr>
        <w:tabs>
          <w:tab w:val="left" w:pos="0"/>
        </w:tabs>
        <w:snapToGrid w:val="0"/>
        <w:spacing w:line="288" w:lineRule="auto"/>
        <w:ind w:firstLine="480"/>
        <w:rPr>
          <w:rFonts w:ascii="宋体" w:hAnsi="宋体" w:cs="宋体"/>
          <w:color w:val="000000"/>
          <w:kern w:val="0"/>
          <w:szCs w:val="21"/>
        </w:rPr>
      </w:pPr>
      <w:r>
        <w:rPr>
          <w:rFonts w:hint="eastAsia" w:ascii="宋体" w:hAnsi="宋体" w:cs="宋体"/>
          <w:color w:val="000000"/>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288" w:lineRule="auto"/>
        <w:ind w:firstLine="480"/>
        <w:rPr>
          <w:rFonts w:ascii="宋体" w:hAnsi="宋体" w:cs="宋体"/>
          <w:color w:val="000000"/>
          <w:szCs w:val="21"/>
        </w:rPr>
      </w:pPr>
      <w:r>
        <w:rPr>
          <w:rFonts w:hint="eastAsia" w:ascii="宋体" w:hAnsi="宋体" w:cs="宋体"/>
          <w:color w:val="000000"/>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5"/>
    <w:p>
      <w:pPr>
        <w:spacing w:line="360" w:lineRule="auto"/>
        <w:jc w:val="center"/>
        <w:outlineLvl w:val="0"/>
        <w:rPr>
          <w:rFonts w:ascii="宋体" w:hAnsi="宋体" w:cs="宋体"/>
          <w:b/>
          <w:sz w:val="36"/>
          <w:szCs w:val="36"/>
        </w:rPr>
        <w:sectPr>
          <w:pgSz w:w="11906" w:h="16838"/>
          <w:pgMar w:top="1440" w:right="1800" w:bottom="1440" w:left="1800" w:header="851" w:footer="992" w:gutter="0"/>
          <w:cols w:space="720" w:num="1"/>
          <w:titlePg/>
          <w:docGrid w:linePitch="312" w:charSpace="0"/>
        </w:sectPr>
      </w:pPr>
      <w:bookmarkStart w:id="17" w:name="_Hlt74729768"/>
      <w:bookmarkEnd w:id="17"/>
      <w:bookmarkStart w:id="18" w:name="_Hlt75236011"/>
      <w:bookmarkEnd w:id="18"/>
      <w:bookmarkStart w:id="19" w:name="_Hlt68072998"/>
      <w:bookmarkEnd w:id="19"/>
      <w:bookmarkStart w:id="20" w:name="_Hlt68072990"/>
      <w:bookmarkEnd w:id="20"/>
      <w:bookmarkStart w:id="21" w:name="_Hlt68403820"/>
      <w:bookmarkEnd w:id="21"/>
      <w:bookmarkStart w:id="22" w:name="_Hlt74730295"/>
      <w:bookmarkEnd w:id="22"/>
      <w:bookmarkStart w:id="23" w:name="_Hlt74714665"/>
      <w:bookmarkEnd w:id="23"/>
      <w:bookmarkStart w:id="24" w:name="_Hlt75236101"/>
      <w:bookmarkEnd w:id="24"/>
      <w:bookmarkStart w:id="25" w:name="_Hlt74707468"/>
      <w:bookmarkEnd w:id="25"/>
      <w:bookmarkStart w:id="26" w:name="_Hlt68057669"/>
      <w:bookmarkEnd w:id="26"/>
      <w:bookmarkStart w:id="27" w:name="_Hlt75236290"/>
      <w:bookmarkEnd w:id="27"/>
      <w:bookmarkStart w:id="28" w:name="_Hlt68073093"/>
      <w:bookmarkEnd w:id="28"/>
      <w:bookmarkStart w:id="29" w:name="第四部分"/>
    </w:p>
    <w:p>
      <w:pPr>
        <w:adjustRightInd/>
        <w:spacing w:before="480" w:beforeLines="200" w:after="240" w:afterLines="100" w:line="360" w:lineRule="auto"/>
        <w:jc w:val="center"/>
        <w:rPr>
          <w:rFonts w:hint="eastAsia" w:ascii="宋体" w:hAnsi="宋体"/>
          <w:b/>
          <w:sz w:val="36"/>
          <w:szCs w:val="36"/>
        </w:rPr>
      </w:pPr>
      <w:r>
        <w:rPr>
          <w:rFonts w:hint="eastAsia" w:ascii="宋体" w:hAnsi="宋体"/>
          <w:b/>
          <w:sz w:val="36"/>
          <w:szCs w:val="36"/>
        </w:rPr>
        <w:t>第三部分   采购需求</w:t>
      </w:r>
    </w:p>
    <w:p>
      <w:pPr>
        <w:snapToGrid w:val="0"/>
        <w:spacing w:line="360" w:lineRule="auto"/>
        <w:jc w:val="center"/>
        <w:rPr>
          <w:rFonts w:ascii="宋体" w:hAnsi="宋体"/>
          <w:b/>
          <w:sz w:val="30"/>
        </w:rPr>
      </w:pPr>
    </w:p>
    <w:p>
      <w:pPr>
        <w:widowControl/>
        <w:numPr>
          <w:ilvl w:val="0"/>
          <w:numId w:val="2"/>
        </w:numPr>
        <w:adjustRightInd/>
        <w:spacing w:line="360" w:lineRule="auto"/>
        <w:ind w:right="67"/>
        <w:jc w:val="left"/>
        <w:outlineLvl w:val="0"/>
        <w:rPr>
          <w:rFonts w:ascii="宋体" w:hAnsi="宋体"/>
          <w:b/>
          <w:bCs/>
          <w:color w:val="000000"/>
          <w:kern w:val="0"/>
          <w:sz w:val="24"/>
        </w:rPr>
      </w:pPr>
      <w:bookmarkStart w:id="30" w:name="_Toc470431981"/>
      <w:r>
        <w:rPr>
          <w:rFonts w:ascii="宋体" w:hAnsi="宋体"/>
          <w:b/>
          <w:bCs/>
          <w:color w:val="000000"/>
          <w:kern w:val="0"/>
          <w:sz w:val="24"/>
        </w:rPr>
        <w:t>服务内容：</w:t>
      </w:r>
    </w:p>
    <w:p>
      <w:pPr>
        <w:spacing w:line="360" w:lineRule="auto"/>
        <w:rPr>
          <w:rFonts w:ascii="宋体" w:hAnsi="宋体"/>
          <w:bCs/>
          <w:color w:val="000000"/>
          <w:sz w:val="24"/>
        </w:rPr>
      </w:pPr>
      <w:r>
        <w:rPr>
          <w:rFonts w:hint="eastAsia" w:ascii="宋体" w:hAnsi="宋体"/>
          <w:bCs/>
          <w:color w:val="000000"/>
          <w:sz w:val="24"/>
        </w:rPr>
        <w:t>1.</w:t>
      </w:r>
      <w:r>
        <w:rPr>
          <w:rFonts w:ascii="宋体" w:hAnsi="宋体"/>
          <w:bCs/>
          <w:color w:val="000000"/>
          <w:sz w:val="24"/>
        </w:rPr>
        <w:t>1本院医共体内所有在用医疗设备，预估总资产</w:t>
      </w:r>
      <w:r>
        <w:rPr>
          <w:rFonts w:hint="eastAsia" w:ascii="宋体" w:hAnsi="宋体"/>
          <w:bCs/>
          <w:color w:val="000000"/>
          <w:sz w:val="24"/>
        </w:rPr>
        <w:t>约</w:t>
      </w:r>
      <w:r>
        <w:rPr>
          <w:rFonts w:ascii="宋体" w:hAnsi="宋体"/>
          <w:bCs/>
          <w:color w:val="000000"/>
          <w:sz w:val="24"/>
        </w:rPr>
        <w:t>5</w:t>
      </w:r>
      <w:r>
        <w:rPr>
          <w:rFonts w:hint="eastAsia" w:ascii="宋体" w:hAnsi="宋体"/>
          <w:bCs/>
          <w:color w:val="000000"/>
          <w:sz w:val="24"/>
        </w:rPr>
        <w:t>.</w:t>
      </w:r>
      <w:r>
        <w:rPr>
          <w:rFonts w:ascii="宋体" w:hAnsi="宋体"/>
          <w:bCs/>
          <w:color w:val="000000"/>
          <w:sz w:val="24"/>
        </w:rPr>
        <w:t>1亿元，设备数量约6200件（详见附件1）（最终服务医疗设备清单以双方实际核查为准）</w:t>
      </w:r>
      <w:r>
        <w:rPr>
          <w:rFonts w:hint="eastAsia" w:ascii="宋体" w:hAnsi="宋体"/>
          <w:bCs/>
          <w:color w:val="000000"/>
          <w:sz w:val="24"/>
        </w:rPr>
        <w:t>。</w:t>
      </w:r>
    </w:p>
    <w:p>
      <w:pPr>
        <w:spacing w:line="360" w:lineRule="auto"/>
        <w:rPr>
          <w:rFonts w:ascii="宋体" w:hAnsi="宋体"/>
          <w:bCs/>
          <w:color w:val="000000"/>
          <w:sz w:val="24"/>
        </w:rPr>
      </w:pPr>
      <w:r>
        <w:rPr>
          <w:rFonts w:hint="eastAsia" w:ascii="宋体" w:hAnsi="宋体"/>
          <w:bCs/>
          <w:color w:val="000000"/>
          <w:sz w:val="24"/>
        </w:rPr>
        <w:t>1.</w:t>
      </w:r>
      <w:r>
        <w:rPr>
          <w:rFonts w:ascii="宋体" w:hAnsi="宋体"/>
          <w:bCs/>
          <w:color w:val="000000"/>
          <w:sz w:val="24"/>
        </w:rPr>
        <w:t>2负责所有医疗在用设备的巡查、预防性维护、维修及日常设备管理等工作，并承担所有</w:t>
      </w:r>
      <w:r>
        <w:rPr>
          <w:rFonts w:hint="eastAsia" w:ascii="宋体" w:hAnsi="宋体"/>
          <w:bCs/>
          <w:color w:val="000000"/>
          <w:sz w:val="24"/>
        </w:rPr>
        <w:t>由</w:t>
      </w:r>
      <w:r>
        <w:rPr>
          <w:rFonts w:ascii="宋体" w:hAnsi="宋体"/>
          <w:bCs/>
          <w:color w:val="000000"/>
          <w:sz w:val="24"/>
        </w:rPr>
        <w:t>此产生的费用</w:t>
      </w:r>
      <w:r>
        <w:rPr>
          <w:rFonts w:hint="eastAsia" w:ascii="宋体" w:hAnsi="宋体"/>
          <w:bCs/>
          <w:color w:val="000000"/>
          <w:sz w:val="24"/>
        </w:rPr>
        <w:t>。</w:t>
      </w:r>
    </w:p>
    <w:p>
      <w:pPr>
        <w:spacing w:line="360" w:lineRule="auto"/>
        <w:rPr>
          <w:rFonts w:ascii="宋体" w:hAnsi="宋体"/>
          <w:bCs/>
          <w:color w:val="000000"/>
          <w:sz w:val="24"/>
        </w:rPr>
      </w:pPr>
      <w:r>
        <w:rPr>
          <w:rFonts w:ascii="宋体" w:hAnsi="宋体"/>
          <w:bCs/>
          <w:color w:val="000000"/>
          <w:sz w:val="24"/>
        </w:rPr>
        <w:t>■1</w:t>
      </w:r>
      <w:r>
        <w:rPr>
          <w:rFonts w:hint="eastAsia" w:ascii="宋体" w:hAnsi="宋体"/>
          <w:bCs/>
          <w:color w:val="000000"/>
          <w:sz w:val="24"/>
        </w:rPr>
        <w:t>.</w:t>
      </w:r>
      <w:r>
        <w:rPr>
          <w:rFonts w:ascii="宋体" w:hAnsi="宋体"/>
          <w:bCs/>
          <w:color w:val="000000"/>
          <w:sz w:val="24"/>
        </w:rPr>
        <w:t>3对于院方需要原厂维保的设备（详见附件2），承包方必须向原厂或原厂授权售后公司买保，提供相关</w:t>
      </w:r>
      <w:r>
        <w:rPr>
          <w:rFonts w:hint="eastAsia" w:ascii="宋体" w:hAnsi="宋体"/>
          <w:bCs/>
          <w:color w:val="000000"/>
          <w:sz w:val="24"/>
        </w:rPr>
        <w:t>合同</w:t>
      </w:r>
      <w:r>
        <w:rPr>
          <w:rFonts w:ascii="宋体" w:hAnsi="宋体"/>
          <w:bCs/>
          <w:color w:val="000000"/>
          <w:sz w:val="24"/>
        </w:rPr>
        <w:t>。</w:t>
      </w:r>
    </w:p>
    <w:p>
      <w:pPr>
        <w:spacing w:line="360" w:lineRule="auto"/>
        <w:rPr>
          <w:rFonts w:ascii="宋体" w:hAnsi="宋体"/>
          <w:bCs/>
          <w:color w:val="000000"/>
          <w:sz w:val="24"/>
        </w:rPr>
      </w:pPr>
      <w:r>
        <w:rPr>
          <w:rFonts w:hint="eastAsia" w:ascii="宋体" w:hAnsi="宋体"/>
          <w:bCs/>
          <w:color w:val="000000"/>
          <w:sz w:val="24"/>
        </w:rPr>
        <w:t>1.</w:t>
      </w:r>
      <w:r>
        <w:rPr>
          <w:rFonts w:ascii="宋体" w:hAnsi="宋体"/>
          <w:bCs/>
          <w:color w:val="000000"/>
          <w:sz w:val="24"/>
        </w:rPr>
        <w:t>4协助院方设备管理部门做好其他医疗设备管控工作</w:t>
      </w:r>
      <w:r>
        <w:rPr>
          <w:rFonts w:hint="eastAsia" w:ascii="宋体" w:hAnsi="宋体"/>
          <w:bCs/>
          <w:color w:val="000000"/>
          <w:sz w:val="24"/>
        </w:rPr>
        <w:t>。</w:t>
      </w:r>
    </w:p>
    <w:p>
      <w:pPr>
        <w:spacing w:line="360" w:lineRule="auto"/>
        <w:rPr>
          <w:sz w:val="24"/>
        </w:rPr>
      </w:pPr>
      <w:r>
        <w:rPr>
          <w:rFonts w:ascii="宋体" w:hAnsi="宋体"/>
          <w:bCs/>
          <w:color w:val="000000"/>
          <w:sz w:val="24"/>
        </w:rPr>
        <w:t>1</w:t>
      </w:r>
      <w:r>
        <w:rPr>
          <w:rFonts w:hint="eastAsia" w:ascii="宋体" w:hAnsi="宋体"/>
          <w:bCs/>
          <w:color w:val="000000"/>
          <w:sz w:val="24"/>
        </w:rPr>
        <w:t>.</w:t>
      </w:r>
      <w:r>
        <w:rPr>
          <w:rFonts w:ascii="宋体" w:hAnsi="宋体"/>
          <w:bCs/>
          <w:color w:val="000000"/>
          <w:sz w:val="24"/>
        </w:rPr>
        <w:t>5协助其</w:t>
      </w:r>
      <w:r>
        <w:rPr>
          <w:sz w:val="24"/>
        </w:rPr>
        <w:t>他相关部门做好设备相关配套工作</w:t>
      </w:r>
      <w:r>
        <w:rPr>
          <w:rFonts w:hint="eastAsia"/>
          <w:sz w:val="24"/>
        </w:rPr>
        <w:t>。</w:t>
      </w:r>
    </w:p>
    <w:p>
      <w:pPr>
        <w:widowControl/>
        <w:spacing w:line="360" w:lineRule="auto"/>
        <w:ind w:right="67"/>
        <w:jc w:val="left"/>
        <w:outlineLvl w:val="0"/>
        <w:rPr>
          <w:rFonts w:ascii="宋体" w:hAnsi="宋体"/>
          <w:b/>
          <w:bCs/>
          <w:color w:val="000000"/>
          <w:kern w:val="0"/>
          <w:sz w:val="24"/>
        </w:rPr>
      </w:pPr>
      <w:r>
        <w:rPr>
          <w:rFonts w:ascii="宋体" w:hAnsi="宋体"/>
          <w:b/>
          <w:bCs/>
          <w:color w:val="000000"/>
          <w:kern w:val="0"/>
          <w:sz w:val="24"/>
        </w:rPr>
        <w:t>二、 项目技术需求：</w:t>
      </w:r>
    </w:p>
    <w:p>
      <w:pPr>
        <w:spacing w:line="360" w:lineRule="auto"/>
        <w:rPr>
          <w:sz w:val="24"/>
        </w:rPr>
      </w:pPr>
      <w:r>
        <w:rPr>
          <w:sz w:val="24"/>
        </w:rPr>
        <w:t>1、提供有效的医疗设备管理软件，需具备如下功能及要求：</w:t>
      </w:r>
    </w:p>
    <w:p>
      <w:pPr>
        <w:pStyle w:val="790"/>
        <w:snapToGrid w:val="0"/>
        <w:ind w:firstLine="0" w:firstLineChars="0"/>
        <w:rPr>
          <w:rFonts w:ascii="宋体" w:hAnsi="宋体"/>
          <w:bCs/>
          <w:color w:val="000000"/>
          <w:szCs w:val="24"/>
        </w:rPr>
      </w:pPr>
      <w:r>
        <w:rPr>
          <w:rFonts w:ascii="宋体" w:hAnsi="宋体"/>
          <w:bCs/>
          <w:color w:val="000000"/>
          <w:szCs w:val="24"/>
        </w:rPr>
        <w:t>■1.1提供自主知识产权的医疗设备管理系统（以软件著作权登记证书复印件为准，允许投标人或投标人母公司或控股关联公司共享），该系统能为采购人提供医疗设备从采购到报废全生命周期的管理，采购人对该系统软件具有长期的使用权，投标人须做好该系统的维护保证采购人能正常使用。</w:t>
      </w:r>
    </w:p>
    <w:p>
      <w:pPr>
        <w:pStyle w:val="790"/>
        <w:ind w:firstLine="0" w:firstLineChars="0"/>
        <w:rPr>
          <w:szCs w:val="24"/>
        </w:rPr>
      </w:pPr>
      <w:r>
        <w:rPr>
          <w:rFonts w:ascii="宋体" w:hAnsi="宋体"/>
          <w:bCs/>
          <w:color w:val="000000"/>
          <w:szCs w:val="24"/>
        </w:rPr>
        <w:t>1.2</w:t>
      </w:r>
      <w:r>
        <w:rPr>
          <w:szCs w:val="24"/>
        </w:rPr>
        <w:t>设备基础信息管理：记录设备的基本信息如型号、序列号、生产厂家，记录设备从采购，安装、调拨到报废的全部过程。</w:t>
      </w:r>
    </w:p>
    <w:p>
      <w:pPr>
        <w:pStyle w:val="790"/>
        <w:ind w:firstLine="0" w:firstLineChars="0"/>
        <w:rPr>
          <w:szCs w:val="24"/>
        </w:rPr>
      </w:pPr>
      <w:r>
        <w:rPr>
          <w:rFonts w:ascii="宋体" w:hAnsi="宋体"/>
          <w:bCs/>
          <w:color w:val="000000"/>
          <w:szCs w:val="24"/>
        </w:rPr>
        <w:t>1.3</w:t>
      </w:r>
      <w:r>
        <w:rPr>
          <w:szCs w:val="24"/>
        </w:rPr>
        <w:t>设备使用情况：系统能够实时显示设备的现状，如正常、待修、在修、报废等信息。</w:t>
      </w:r>
    </w:p>
    <w:p>
      <w:pPr>
        <w:pStyle w:val="790"/>
        <w:ind w:firstLine="0" w:firstLineChars="0"/>
        <w:rPr>
          <w:rFonts w:ascii="宋体" w:hAnsi="宋体"/>
          <w:bCs/>
          <w:color w:val="000000"/>
          <w:szCs w:val="24"/>
        </w:rPr>
      </w:pPr>
      <w:r>
        <w:rPr>
          <w:rFonts w:ascii="宋体" w:hAnsi="宋体"/>
          <w:bCs/>
          <w:color w:val="000000"/>
          <w:szCs w:val="24"/>
        </w:rPr>
        <w:t>1.4合同管理：管理与设备有关的全部的合同信息，包括费用的来源情况、付款情况、发票信息和合同文本等。</w:t>
      </w:r>
    </w:p>
    <w:p>
      <w:pPr>
        <w:pStyle w:val="790"/>
        <w:ind w:firstLine="0" w:firstLineChars="0"/>
        <w:rPr>
          <w:rFonts w:ascii="宋体" w:hAnsi="宋体"/>
          <w:bCs/>
          <w:color w:val="000000"/>
          <w:szCs w:val="24"/>
        </w:rPr>
      </w:pPr>
      <w:r>
        <w:rPr>
          <w:rFonts w:ascii="宋体" w:hAnsi="宋体"/>
          <w:bCs/>
          <w:color w:val="000000"/>
          <w:szCs w:val="24"/>
        </w:rPr>
        <w:t>1.5信息提示：具备根据既定的条件自动产生巡检、强检、保养、预防性维护、性能检定、计量检定等信息并及时提醒。</w:t>
      </w:r>
    </w:p>
    <w:p>
      <w:pPr>
        <w:pStyle w:val="790"/>
        <w:ind w:firstLine="0" w:firstLineChars="0"/>
        <w:rPr>
          <w:szCs w:val="24"/>
        </w:rPr>
      </w:pPr>
      <w:r>
        <w:rPr>
          <w:rFonts w:ascii="宋体" w:hAnsi="宋体"/>
          <w:bCs/>
          <w:color w:val="000000"/>
          <w:szCs w:val="24"/>
        </w:rPr>
        <w:t>1.6监管管理</w:t>
      </w:r>
      <w:r>
        <w:rPr>
          <w:szCs w:val="24"/>
        </w:rPr>
        <w:t>：对医疗设备在使用过程中发生的不良事件和自查报告等关键信息进行实时监督。</w:t>
      </w:r>
    </w:p>
    <w:p>
      <w:pPr>
        <w:pStyle w:val="790"/>
        <w:ind w:firstLine="0" w:firstLineChars="0"/>
        <w:rPr>
          <w:rFonts w:ascii="宋体" w:hAnsi="宋体"/>
          <w:bCs/>
          <w:color w:val="000000"/>
          <w:szCs w:val="24"/>
        </w:rPr>
      </w:pPr>
      <w:r>
        <w:rPr>
          <w:rFonts w:ascii="宋体" w:hAnsi="宋体"/>
          <w:bCs/>
          <w:color w:val="000000"/>
          <w:szCs w:val="24"/>
        </w:rPr>
        <w:t>1.</w:t>
      </w:r>
      <w:r>
        <w:rPr>
          <w:rFonts w:hint="eastAsia" w:ascii="宋体" w:hAnsi="宋体"/>
          <w:bCs/>
          <w:color w:val="000000"/>
          <w:szCs w:val="24"/>
        </w:rPr>
        <w:t>7</w:t>
      </w:r>
      <w:r>
        <w:rPr>
          <w:rFonts w:ascii="宋体" w:hAnsi="宋体"/>
          <w:bCs/>
          <w:color w:val="000000"/>
          <w:szCs w:val="24"/>
        </w:rPr>
        <w:t>维修管理：实现从报修到维修完毕的全过程管理。并</w:t>
      </w:r>
      <w:r>
        <w:rPr>
          <w:rFonts w:hint="eastAsia" w:ascii="宋体" w:hAnsi="宋体"/>
          <w:bCs/>
          <w:color w:val="000000"/>
          <w:szCs w:val="24"/>
        </w:rPr>
        <w:t>记录</w:t>
      </w:r>
      <w:r>
        <w:rPr>
          <w:rFonts w:ascii="宋体" w:hAnsi="宋体"/>
          <w:bCs/>
          <w:color w:val="000000"/>
          <w:szCs w:val="24"/>
        </w:rPr>
        <w:t>设备维修中的各类的信息,包括故障情况,维修备件、时间节点等，并可通过系统对维修效率、品质等进行分析。</w:t>
      </w:r>
    </w:p>
    <w:p>
      <w:pPr>
        <w:pStyle w:val="790"/>
        <w:ind w:firstLine="0" w:firstLineChars="0"/>
        <w:rPr>
          <w:rFonts w:ascii="宋体" w:hAnsi="宋体"/>
          <w:bCs/>
          <w:color w:val="000000"/>
          <w:szCs w:val="24"/>
        </w:rPr>
      </w:pPr>
      <w:r>
        <w:rPr>
          <w:rFonts w:ascii="宋体" w:hAnsi="宋体"/>
          <w:bCs/>
          <w:color w:val="000000"/>
          <w:szCs w:val="24"/>
        </w:rPr>
        <w:t>1.</w:t>
      </w:r>
      <w:r>
        <w:rPr>
          <w:rFonts w:hint="eastAsia" w:ascii="宋体" w:hAnsi="宋体"/>
          <w:bCs/>
          <w:color w:val="000000"/>
          <w:szCs w:val="24"/>
        </w:rPr>
        <w:t>8</w:t>
      </w:r>
      <w:r>
        <w:rPr>
          <w:rFonts w:ascii="宋体" w:hAnsi="宋体"/>
          <w:bCs/>
          <w:color w:val="000000"/>
          <w:szCs w:val="24"/>
        </w:rPr>
        <w:t>供应商管理：</w:t>
      </w:r>
    </w:p>
    <w:p>
      <w:pPr>
        <w:pStyle w:val="790"/>
        <w:ind w:firstLine="0" w:firstLineChars="0"/>
        <w:rPr>
          <w:rFonts w:ascii="宋体" w:hAnsi="宋体"/>
          <w:bCs/>
          <w:color w:val="000000"/>
          <w:szCs w:val="24"/>
        </w:rPr>
      </w:pPr>
      <w:r>
        <w:rPr>
          <w:rFonts w:ascii="宋体" w:hAnsi="宋体"/>
          <w:bCs/>
          <w:color w:val="000000"/>
          <w:szCs w:val="24"/>
        </w:rPr>
        <w:t>1.</w:t>
      </w:r>
      <w:r>
        <w:rPr>
          <w:rFonts w:hint="eastAsia" w:ascii="宋体" w:hAnsi="宋体"/>
          <w:bCs/>
          <w:color w:val="000000"/>
          <w:szCs w:val="24"/>
        </w:rPr>
        <w:t>8</w:t>
      </w:r>
      <w:r>
        <w:rPr>
          <w:rFonts w:ascii="宋体" w:hAnsi="宋体"/>
          <w:bCs/>
          <w:color w:val="000000"/>
          <w:szCs w:val="24"/>
        </w:rPr>
        <w:t>.1管理维修商的资质、实现维修商的维修情况分析和评估，实现对于维修商在维修、保养过程的监管。</w:t>
      </w:r>
    </w:p>
    <w:p>
      <w:pPr>
        <w:pStyle w:val="790"/>
        <w:ind w:firstLine="0" w:firstLineChars="0"/>
        <w:rPr>
          <w:rFonts w:ascii="宋体" w:hAnsi="宋体"/>
          <w:bCs/>
          <w:color w:val="000000"/>
          <w:szCs w:val="24"/>
        </w:rPr>
      </w:pPr>
      <w:r>
        <w:rPr>
          <w:rFonts w:ascii="宋体" w:hAnsi="宋体"/>
          <w:bCs/>
          <w:color w:val="000000"/>
          <w:szCs w:val="24"/>
        </w:rPr>
        <w:t>1.</w:t>
      </w:r>
      <w:r>
        <w:rPr>
          <w:rFonts w:hint="eastAsia" w:ascii="宋体" w:hAnsi="宋体"/>
          <w:bCs/>
          <w:color w:val="000000"/>
          <w:szCs w:val="24"/>
        </w:rPr>
        <w:t>8</w:t>
      </w:r>
      <w:r>
        <w:rPr>
          <w:rFonts w:ascii="宋体" w:hAnsi="宋体"/>
          <w:bCs/>
          <w:color w:val="000000"/>
          <w:szCs w:val="24"/>
        </w:rPr>
        <w:t>.2管理设备经销商的资质、实现对经销商信息维护，如经销商信息变更（例如厂家授权变更，销售代表变更等），系统及时更新，并保留原有经销商信息，以备查验。</w:t>
      </w:r>
    </w:p>
    <w:p>
      <w:pPr>
        <w:pStyle w:val="790"/>
        <w:ind w:firstLine="0" w:firstLineChars="0"/>
        <w:rPr>
          <w:rFonts w:ascii="宋体" w:hAnsi="宋体"/>
          <w:bCs/>
          <w:color w:val="000000"/>
          <w:szCs w:val="24"/>
        </w:rPr>
      </w:pPr>
      <w:r>
        <w:rPr>
          <w:rFonts w:ascii="宋体" w:hAnsi="宋体"/>
          <w:bCs/>
          <w:color w:val="000000"/>
          <w:szCs w:val="24"/>
        </w:rPr>
        <w:t>1.</w:t>
      </w:r>
      <w:r>
        <w:rPr>
          <w:rFonts w:hint="eastAsia" w:ascii="宋体" w:hAnsi="宋体"/>
          <w:bCs/>
          <w:color w:val="000000"/>
          <w:szCs w:val="24"/>
        </w:rPr>
        <w:t>9</w:t>
      </w:r>
      <w:r>
        <w:rPr>
          <w:rFonts w:ascii="宋体" w:hAnsi="宋体"/>
          <w:bCs/>
          <w:color w:val="000000"/>
          <w:szCs w:val="24"/>
        </w:rPr>
        <w:t>设备盘点：通过移动端实现医疗设备的盘点管理功能。</w:t>
      </w:r>
    </w:p>
    <w:p>
      <w:pPr>
        <w:pStyle w:val="790"/>
        <w:ind w:firstLine="0" w:firstLineChars="0"/>
        <w:rPr>
          <w:rFonts w:ascii="宋体" w:hAnsi="宋体"/>
          <w:bCs/>
          <w:color w:val="000000"/>
          <w:szCs w:val="24"/>
        </w:rPr>
      </w:pPr>
      <w:r>
        <w:rPr>
          <w:rFonts w:ascii="宋体" w:hAnsi="宋体"/>
          <w:bCs/>
          <w:color w:val="000000"/>
          <w:szCs w:val="24"/>
        </w:rPr>
        <w:t>1.1</w:t>
      </w:r>
      <w:r>
        <w:rPr>
          <w:rFonts w:hint="eastAsia" w:ascii="宋体" w:hAnsi="宋体"/>
          <w:bCs/>
          <w:color w:val="000000"/>
          <w:szCs w:val="24"/>
        </w:rPr>
        <w:t>0</w:t>
      </w:r>
      <w:r>
        <w:rPr>
          <w:rFonts w:ascii="宋体" w:hAnsi="宋体"/>
          <w:bCs/>
          <w:color w:val="000000"/>
          <w:szCs w:val="24"/>
        </w:rPr>
        <w:t>设备巡检：实现设备的日常巡检管理。并能产生相应的提示和报表分析。及时发现并解决问题，巡检记录须有设备使用人员签字。</w:t>
      </w:r>
    </w:p>
    <w:p>
      <w:pPr>
        <w:pStyle w:val="790"/>
        <w:ind w:firstLine="0" w:firstLineChars="0"/>
        <w:rPr>
          <w:rFonts w:ascii="宋体" w:hAnsi="宋体"/>
          <w:bCs/>
          <w:color w:val="000000"/>
          <w:kern w:val="0"/>
          <w:szCs w:val="24"/>
        </w:rPr>
      </w:pPr>
      <w:r>
        <w:rPr>
          <w:rFonts w:ascii="宋体" w:hAnsi="宋体"/>
          <w:bCs/>
          <w:color w:val="000000"/>
          <w:szCs w:val="24"/>
        </w:rPr>
        <w:t>1.1</w:t>
      </w:r>
      <w:r>
        <w:rPr>
          <w:rFonts w:hint="eastAsia" w:ascii="宋体" w:hAnsi="宋体"/>
          <w:bCs/>
          <w:color w:val="000000"/>
          <w:szCs w:val="24"/>
        </w:rPr>
        <w:t>1</w:t>
      </w:r>
      <w:r>
        <w:rPr>
          <w:rFonts w:ascii="宋体" w:hAnsi="宋体"/>
          <w:bCs/>
          <w:color w:val="000000"/>
          <w:kern w:val="0"/>
          <w:szCs w:val="24"/>
        </w:rPr>
        <w:t xml:space="preserve"> 设备保养、预防性维护：实现设备的保养管理。根据制订的需求能产生相应的提示和报表分析。及时发现并解决问题，保养记录须有设备使用人员签字。</w:t>
      </w:r>
    </w:p>
    <w:p>
      <w:pPr>
        <w:pStyle w:val="790"/>
        <w:ind w:firstLine="0" w:firstLineChars="0"/>
        <w:rPr>
          <w:rFonts w:ascii="宋体" w:hAnsi="宋体"/>
          <w:bCs/>
          <w:color w:val="000000"/>
          <w:kern w:val="0"/>
          <w:szCs w:val="24"/>
        </w:rPr>
      </w:pPr>
      <w:r>
        <w:rPr>
          <w:rFonts w:ascii="宋体" w:hAnsi="宋体"/>
          <w:bCs/>
          <w:color w:val="000000"/>
          <w:szCs w:val="24"/>
        </w:rPr>
        <w:t>1.1</w:t>
      </w:r>
      <w:r>
        <w:rPr>
          <w:rFonts w:hint="eastAsia" w:ascii="宋体" w:hAnsi="宋体"/>
          <w:bCs/>
          <w:color w:val="000000"/>
          <w:szCs w:val="24"/>
        </w:rPr>
        <w:t>2</w:t>
      </w:r>
      <w:r>
        <w:rPr>
          <w:rFonts w:ascii="宋体" w:hAnsi="宋体"/>
          <w:bCs/>
          <w:color w:val="000000"/>
          <w:kern w:val="0"/>
          <w:szCs w:val="24"/>
        </w:rPr>
        <w:t xml:space="preserve"> 性能检测：实现设备的性能检测的管理。根据制订的需求能产生相应的提示和报表分析。及时发现并解决问题，检测记录须有设备使用人员签字。</w:t>
      </w:r>
      <w:bookmarkStart w:id="31" w:name="_GoBack"/>
      <w:bookmarkEnd w:id="31"/>
    </w:p>
    <w:p>
      <w:pPr>
        <w:pStyle w:val="790"/>
        <w:ind w:firstLine="0" w:firstLineChars="0"/>
        <w:rPr>
          <w:rFonts w:ascii="宋体" w:hAnsi="宋体"/>
          <w:bCs/>
          <w:color w:val="000000"/>
          <w:kern w:val="0"/>
          <w:szCs w:val="24"/>
        </w:rPr>
      </w:pPr>
      <w:r>
        <w:rPr>
          <w:rFonts w:ascii="宋体" w:hAnsi="宋体"/>
          <w:bCs/>
          <w:color w:val="000000"/>
          <w:szCs w:val="24"/>
        </w:rPr>
        <w:t>1.1</w:t>
      </w:r>
      <w:r>
        <w:rPr>
          <w:rFonts w:hint="eastAsia" w:ascii="宋体" w:hAnsi="宋体"/>
          <w:bCs/>
          <w:color w:val="000000"/>
          <w:szCs w:val="24"/>
        </w:rPr>
        <w:t>3</w:t>
      </w:r>
      <w:r>
        <w:rPr>
          <w:rFonts w:ascii="宋体" w:hAnsi="宋体"/>
          <w:bCs/>
          <w:color w:val="000000"/>
          <w:kern w:val="0"/>
          <w:szCs w:val="24"/>
        </w:rPr>
        <w:t>设备管理移动终端化：实现设备管理的移动终端化，包括：设备维修、设备保养、设备巡检等。并提供移动端的信息推送。</w:t>
      </w:r>
    </w:p>
    <w:p>
      <w:pPr>
        <w:pStyle w:val="790"/>
        <w:ind w:firstLine="0" w:firstLineChars="0"/>
        <w:rPr>
          <w:rFonts w:ascii="宋体" w:hAnsi="宋体"/>
          <w:bCs/>
          <w:color w:val="000000"/>
          <w:kern w:val="0"/>
          <w:szCs w:val="24"/>
        </w:rPr>
      </w:pPr>
      <w:r>
        <w:rPr>
          <w:rFonts w:ascii="宋体" w:hAnsi="宋体"/>
          <w:bCs/>
          <w:color w:val="000000"/>
          <w:szCs w:val="24"/>
        </w:rPr>
        <w:t>1.1</w:t>
      </w:r>
      <w:r>
        <w:rPr>
          <w:rFonts w:hint="eastAsia" w:ascii="宋体" w:hAnsi="宋体"/>
          <w:bCs/>
          <w:color w:val="000000"/>
          <w:szCs w:val="24"/>
        </w:rPr>
        <w:t>4</w:t>
      </w:r>
      <w:r>
        <w:rPr>
          <w:rFonts w:ascii="宋体" w:hAnsi="宋体"/>
          <w:bCs/>
          <w:color w:val="000000"/>
          <w:kern w:val="0"/>
          <w:szCs w:val="24"/>
        </w:rPr>
        <w:t xml:space="preserve"> 线上报修：使用人员可通过手机端扫设备码报修。</w:t>
      </w:r>
    </w:p>
    <w:p>
      <w:pPr>
        <w:pStyle w:val="790"/>
        <w:ind w:firstLine="0" w:firstLineChars="0"/>
        <w:rPr>
          <w:rFonts w:ascii="宋体" w:hAnsi="宋体"/>
          <w:bCs/>
          <w:color w:val="000000"/>
          <w:kern w:val="0"/>
          <w:szCs w:val="24"/>
        </w:rPr>
      </w:pPr>
      <w:r>
        <w:rPr>
          <w:rFonts w:ascii="宋体" w:hAnsi="宋体"/>
          <w:bCs/>
          <w:color w:val="000000"/>
          <w:szCs w:val="24"/>
        </w:rPr>
        <w:t>1.1</w:t>
      </w:r>
      <w:r>
        <w:rPr>
          <w:rFonts w:hint="eastAsia" w:ascii="宋体" w:hAnsi="宋体"/>
          <w:bCs/>
          <w:color w:val="000000"/>
          <w:szCs w:val="24"/>
        </w:rPr>
        <w:t>5</w:t>
      </w:r>
      <w:r>
        <w:rPr>
          <w:rFonts w:ascii="宋体" w:hAnsi="宋体"/>
          <w:bCs/>
          <w:color w:val="000000"/>
          <w:kern w:val="0"/>
          <w:szCs w:val="24"/>
        </w:rPr>
        <w:t>监控中心：提供相关硬件及软件，实现通过监控中心大屏，监管医疗设备运行的情况。</w:t>
      </w:r>
    </w:p>
    <w:p>
      <w:pPr>
        <w:pStyle w:val="790"/>
        <w:ind w:firstLine="0" w:firstLineChars="0"/>
        <w:rPr>
          <w:rFonts w:ascii="宋体" w:hAnsi="宋体"/>
          <w:bCs/>
          <w:color w:val="000000"/>
          <w:kern w:val="0"/>
          <w:szCs w:val="24"/>
        </w:rPr>
      </w:pPr>
      <w:r>
        <w:rPr>
          <w:rFonts w:ascii="宋体" w:hAnsi="宋体"/>
          <w:bCs/>
          <w:color w:val="000000"/>
          <w:kern w:val="0"/>
          <w:szCs w:val="24"/>
        </w:rPr>
        <w:t>1.1</w:t>
      </w:r>
      <w:r>
        <w:rPr>
          <w:rFonts w:hint="eastAsia" w:ascii="宋体" w:hAnsi="宋体"/>
          <w:bCs/>
          <w:color w:val="000000"/>
          <w:kern w:val="0"/>
          <w:szCs w:val="24"/>
        </w:rPr>
        <w:t>6</w:t>
      </w:r>
      <w:r>
        <w:rPr>
          <w:rFonts w:ascii="宋体" w:hAnsi="宋体"/>
          <w:bCs/>
          <w:color w:val="000000"/>
          <w:kern w:val="0"/>
          <w:szCs w:val="24"/>
        </w:rPr>
        <w:t>报表管理：系统提供医疗设备管理报表。如：维修费、开机率、维修时间等。</w:t>
      </w:r>
    </w:p>
    <w:p>
      <w:pPr>
        <w:pStyle w:val="790"/>
        <w:ind w:firstLine="0" w:firstLineChars="0"/>
        <w:rPr>
          <w:rFonts w:ascii="宋体" w:hAnsi="宋体"/>
          <w:bCs/>
          <w:color w:val="000000"/>
          <w:kern w:val="0"/>
          <w:szCs w:val="24"/>
        </w:rPr>
      </w:pPr>
      <w:r>
        <w:rPr>
          <w:rFonts w:ascii="宋体" w:hAnsi="宋体"/>
          <w:bCs/>
          <w:color w:val="000000"/>
          <w:kern w:val="0"/>
          <w:szCs w:val="24"/>
        </w:rPr>
        <w:t>1.1</w:t>
      </w:r>
      <w:r>
        <w:rPr>
          <w:rFonts w:hint="eastAsia" w:ascii="宋体" w:hAnsi="宋体"/>
          <w:bCs/>
          <w:color w:val="000000"/>
          <w:kern w:val="0"/>
          <w:szCs w:val="24"/>
        </w:rPr>
        <w:t>7</w:t>
      </w:r>
      <w:r>
        <w:rPr>
          <w:rFonts w:ascii="宋体" w:hAnsi="宋体"/>
          <w:bCs/>
          <w:color w:val="000000"/>
          <w:kern w:val="0"/>
          <w:szCs w:val="24"/>
        </w:rPr>
        <w:t>绩效管理：系统具备医疗设备绩效管理模块。需符合浙江省医疗设备管理规范要求，并预留升级空间，以满足日后院方的需求。</w:t>
      </w:r>
    </w:p>
    <w:p>
      <w:pPr>
        <w:pStyle w:val="790"/>
        <w:ind w:firstLine="0" w:firstLineChars="0"/>
        <w:rPr>
          <w:rFonts w:ascii="宋体" w:hAnsi="宋体"/>
          <w:bCs/>
          <w:color w:val="000000"/>
          <w:kern w:val="0"/>
          <w:szCs w:val="24"/>
        </w:rPr>
      </w:pPr>
      <w:r>
        <w:rPr>
          <w:rFonts w:ascii="宋体" w:hAnsi="宋体"/>
          <w:bCs/>
          <w:color w:val="000000"/>
          <w:kern w:val="0"/>
          <w:szCs w:val="24"/>
        </w:rPr>
        <w:t>1.1</w:t>
      </w:r>
      <w:r>
        <w:rPr>
          <w:rFonts w:hint="eastAsia" w:ascii="宋体" w:hAnsi="宋体"/>
          <w:bCs/>
          <w:color w:val="000000"/>
          <w:kern w:val="0"/>
          <w:szCs w:val="24"/>
        </w:rPr>
        <w:t>8</w:t>
      </w:r>
      <w:r>
        <w:rPr>
          <w:rFonts w:ascii="宋体" w:hAnsi="宋体"/>
          <w:bCs/>
          <w:color w:val="000000"/>
          <w:kern w:val="0"/>
          <w:szCs w:val="24"/>
        </w:rPr>
        <w:t>设备资料库：具备记录并分析设备全生命周期的数据，如：设备采购、维修、保养、巡检、计量、性能检定等，为用户采购提供有效的科学依据。</w:t>
      </w:r>
    </w:p>
    <w:p>
      <w:pPr>
        <w:pStyle w:val="790"/>
        <w:ind w:firstLine="0" w:firstLineChars="0"/>
        <w:rPr>
          <w:rFonts w:ascii="宋体" w:hAnsi="宋体"/>
          <w:bCs/>
          <w:color w:val="000000"/>
          <w:kern w:val="0"/>
          <w:szCs w:val="24"/>
        </w:rPr>
      </w:pPr>
      <w:r>
        <w:rPr>
          <w:rFonts w:ascii="宋体" w:hAnsi="宋体"/>
          <w:bCs/>
          <w:color w:val="000000"/>
          <w:kern w:val="0"/>
          <w:szCs w:val="24"/>
        </w:rPr>
        <w:t>1.</w:t>
      </w:r>
      <w:r>
        <w:rPr>
          <w:rFonts w:hint="eastAsia" w:ascii="宋体" w:hAnsi="宋体"/>
          <w:bCs/>
          <w:color w:val="000000"/>
          <w:kern w:val="0"/>
          <w:szCs w:val="24"/>
        </w:rPr>
        <w:t>19</w:t>
      </w:r>
      <w:r>
        <w:rPr>
          <w:rFonts w:ascii="宋体" w:hAnsi="宋体"/>
          <w:bCs/>
          <w:color w:val="000000"/>
          <w:kern w:val="0"/>
          <w:szCs w:val="24"/>
        </w:rPr>
        <w:t>配件库管理：进行常用配件管理。提供配件库清单。</w:t>
      </w:r>
    </w:p>
    <w:p>
      <w:pPr>
        <w:pStyle w:val="790"/>
        <w:ind w:firstLine="0" w:firstLineChars="0"/>
        <w:rPr>
          <w:rFonts w:ascii="宋体" w:hAnsi="宋体"/>
          <w:bCs/>
          <w:color w:val="000000"/>
          <w:kern w:val="0"/>
          <w:szCs w:val="24"/>
        </w:rPr>
      </w:pPr>
      <w:r>
        <w:rPr>
          <w:rFonts w:ascii="宋体" w:hAnsi="宋体"/>
          <w:bCs/>
          <w:color w:val="000000"/>
          <w:kern w:val="0"/>
          <w:szCs w:val="24"/>
        </w:rPr>
        <w:t>1.2</w:t>
      </w:r>
      <w:r>
        <w:rPr>
          <w:rFonts w:hint="eastAsia" w:ascii="宋体" w:hAnsi="宋体"/>
          <w:bCs/>
          <w:color w:val="000000"/>
          <w:kern w:val="0"/>
          <w:szCs w:val="24"/>
        </w:rPr>
        <w:t>0</w:t>
      </w:r>
      <w:r>
        <w:rPr>
          <w:rFonts w:ascii="宋体" w:hAnsi="宋体"/>
          <w:bCs/>
          <w:color w:val="000000"/>
          <w:kern w:val="0"/>
          <w:szCs w:val="24"/>
        </w:rPr>
        <w:t>硬件配置：工程师终端每人一套（包括入驻人员及医院现有工程人员，资产盘查PDA1台或手机专用APP软件1套）大显示屏1台。</w:t>
      </w:r>
    </w:p>
    <w:p>
      <w:pPr>
        <w:pStyle w:val="790"/>
        <w:ind w:firstLine="0" w:firstLineChars="0"/>
        <w:rPr>
          <w:rFonts w:ascii="宋体" w:hAnsi="宋体"/>
          <w:bCs/>
          <w:color w:val="000000"/>
          <w:kern w:val="0"/>
          <w:szCs w:val="24"/>
        </w:rPr>
      </w:pPr>
      <w:r>
        <w:rPr>
          <w:rFonts w:ascii="宋体" w:hAnsi="宋体"/>
          <w:bCs/>
          <w:color w:val="000000"/>
          <w:kern w:val="0"/>
          <w:szCs w:val="24"/>
        </w:rPr>
        <w:t>1.2</w:t>
      </w:r>
      <w:r>
        <w:rPr>
          <w:rFonts w:hint="eastAsia" w:ascii="宋体" w:hAnsi="宋体"/>
          <w:bCs/>
          <w:color w:val="000000"/>
          <w:kern w:val="0"/>
          <w:szCs w:val="24"/>
        </w:rPr>
        <w:t>1</w:t>
      </w:r>
      <w:r>
        <w:rPr>
          <w:rFonts w:ascii="宋体" w:hAnsi="宋体"/>
          <w:bCs/>
          <w:color w:val="000000"/>
          <w:kern w:val="0"/>
          <w:szCs w:val="24"/>
        </w:rPr>
        <w:t>电子签名功能：维修、巡检等结果确认。</w:t>
      </w:r>
    </w:p>
    <w:p>
      <w:pPr>
        <w:pStyle w:val="790"/>
        <w:ind w:firstLine="0" w:firstLineChars="0"/>
        <w:rPr>
          <w:rFonts w:ascii="宋体" w:hAnsi="宋体"/>
          <w:color w:val="000000"/>
          <w:kern w:val="0"/>
          <w:szCs w:val="24"/>
        </w:rPr>
      </w:pPr>
      <w:r>
        <w:rPr>
          <w:rFonts w:ascii="宋体" w:hAnsi="宋体"/>
          <w:color w:val="000000"/>
          <w:kern w:val="0"/>
          <w:szCs w:val="24"/>
        </w:rPr>
        <w:t>1.2</w:t>
      </w:r>
      <w:r>
        <w:rPr>
          <w:rFonts w:hint="eastAsia" w:ascii="宋体" w:hAnsi="宋体"/>
          <w:color w:val="000000"/>
          <w:kern w:val="0"/>
          <w:szCs w:val="24"/>
        </w:rPr>
        <w:t>2</w:t>
      </w:r>
      <w:r>
        <w:rPr>
          <w:rFonts w:ascii="宋体" w:hAnsi="宋体"/>
          <w:color w:val="000000"/>
          <w:kern w:val="0"/>
          <w:szCs w:val="24"/>
        </w:rPr>
        <w:t>具有自主知识产权管理软件扩展的手机 APP 功能。</w:t>
      </w:r>
    </w:p>
    <w:p>
      <w:pPr>
        <w:spacing w:line="360" w:lineRule="auto"/>
        <w:rPr>
          <w:sz w:val="24"/>
        </w:rPr>
      </w:pPr>
      <w:r>
        <w:rPr>
          <w:sz w:val="24"/>
        </w:rPr>
        <w:t>2、人员要求：</w:t>
      </w:r>
    </w:p>
    <w:p>
      <w:pPr>
        <w:pStyle w:val="790"/>
        <w:snapToGrid w:val="0"/>
        <w:ind w:firstLine="0" w:firstLineChars="0"/>
        <w:rPr>
          <w:rFonts w:ascii="宋体" w:hAnsi="宋体"/>
          <w:bCs/>
          <w:color w:val="000000"/>
          <w:szCs w:val="24"/>
        </w:rPr>
      </w:pPr>
      <w:r>
        <w:rPr>
          <w:rFonts w:ascii="宋体" w:hAnsi="宋体"/>
          <w:bCs/>
          <w:color w:val="000000"/>
          <w:szCs w:val="24"/>
        </w:rPr>
        <w:t>■2.1现场派驻工程师应不少于10人（具体后期和医院协商确定），另派</w:t>
      </w:r>
      <w:r>
        <w:rPr>
          <w:rFonts w:hint="eastAsia" w:ascii="宋体" w:hAnsi="宋体"/>
          <w:bCs/>
          <w:color w:val="000000"/>
          <w:szCs w:val="24"/>
        </w:rPr>
        <w:t>1名</w:t>
      </w:r>
      <w:r>
        <w:rPr>
          <w:rFonts w:ascii="宋体" w:hAnsi="宋体"/>
          <w:bCs/>
          <w:color w:val="000000"/>
          <w:szCs w:val="24"/>
        </w:rPr>
        <w:t>项目主管以及</w:t>
      </w:r>
      <w:r>
        <w:rPr>
          <w:rFonts w:hint="eastAsia" w:ascii="宋体" w:hAnsi="宋体"/>
          <w:bCs/>
          <w:color w:val="000000"/>
          <w:szCs w:val="24"/>
        </w:rPr>
        <w:t>1</w:t>
      </w:r>
      <w:r>
        <w:rPr>
          <w:rFonts w:ascii="宋体" w:hAnsi="宋体"/>
          <w:bCs/>
          <w:color w:val="000000"/>
          <w:szCs w:val="24"/>
        </w:rPr>
        <w:t>名项目运营。所有派驻人员需提供***出具的无犯罪记录证明。工作时间统一着装、佩戴工作证件。</w:t>
      </w:r>
    </w:p>
    <w:p>
      <w:pPr>
        <w:pStyle w:val="790"/>
        <w:snapToGrid w:val="0"/>
        <w:ind w:firstLine="0" w:firstLineChars="0"/>
        <w:rPr>
          <w:rFonts w:ascii="宋体" w:hAnsi="宋体"/>
          <w:bCs/>
          <w:color w:val="000000"/>
          <w:szCs w:val="24"/>
        </w:rPr>
      </w:pPr>
      <w:r>
        <w:rPr>
          <w:rFonts w:ascii="宋体" w:hAnsi="宋体"/>
          <w:bCs/>
          <w:color w:val="000000"/>
          <w:szCs w:val="24"/>
        </w:rPr>
        <w:t>■2.2项目</w:t>
      </w:r>
      <w:r>
        <w:rPr>
          <w:rFonts w:hint="eastAsia" w:ascii="宋体" w:hAnsi="宋体"/>
          <w:bCs/>
          <w:color w:val="000000"/>
          <w:szCs w:val="24"/>
        </w:rPr>
        <w:t>经理</w:t>
      </w:r>
      <w:r>
        <w:rPr>
          <w:rFonts w:ascii="宋体" w:hAnsi="宋体"/>
          <w:bCs/>
          <w:color w:val="000000"/>
          <w:kern w:val="0"/>
          <w:szCs w:val="24"/>
        </w:rPr>
        <w:t>需具有5年以上医疗器械相关工作经验及培训资格证书</w:t>
      </w:r>
      <w:r>
        <w:rPr>
          <w:rFonts w:ascii="宋体" w:hAnsi="宋体"/>
          <w:bCs/>
          <w:color w:val="000000"/>
          <w:szCs w:val="24"/>
        </w:rPr>
        <w:t>，具有3年以上医疗设备维护工作经验工程师不少于3人，其他人员需具有1年及以上医疗设备维护工作经验，并且其中必须配备一名具有血透维护管理资质的人员。需提供相关人员资质证明。</w:t>
      </w:r>
    </w:p>
    <w:p>
      <w:pPr>
        <w:pStyle w:val="790"/>
        <w:snapToGrid w:val="0"/>
        <w:ind w:firstLine="0" w:firstLineChars="0"/>
        <w:rPr>
          <w:rFonts w:ascii="宋体" w:hAnsi="宋体"/>
          <w:bCs/>
          <w:szCs w:val="24"/>
        </w:rPr>
      </w:pPr>
      <w:r>
        <w:rPr>
          <w:rFonts w:ascii="宋体" w:hAnsi="宋体"/>
          <w:bCs/>
          <w:szCs w:val="24"/>
        </w:rPr>
        <w:t>2.3作息时间与医院相同，休息天及晚间按医院需求，提供应急服务。</w:t>
      </w:r>
    </w:p>
    <w:p>
      <w:pPr>
        <w:pStyle w:val="790"/>
        <w:snapToGrid w:val="0"/>
        <w:ind w:firstLine="0" w:firstLineChars="0"/>
        <w:rPr>
          <w:rFonts w:ascii="宋体" w:hAnsi="宋体"/>
          <w:bCs/>
          <w:szCs w:val="24"/>
        </w:rPr>
      </w:pPr>
      <w:r>
        <w:rPr>
          <w:rFonts w:ascii="宋体" w:hAnsi="宋体"/>
          <w:bCs/>
          <w:szCs w:val="24"/>
        </w:rPr>
        <w:t>2.4人员要求稳定，变动须经甲方同意后方可调动。</w:t>
      </w:r>
    </w:p>
    <w:p>
      <w:pPr>
        <w:pStyle w:val="790"/>
        <w:snapToGrid w:val="0"/>
        <w:ind w:firstLine="0" w:firstLineChars="0"/>
        <w:rPr>
          <w:rFonts w:ascii="宋体" w:hAnsi="宋体"/>
          <w:bCs/>
          <w:szCs w:val="24"/>
        </w:rPr>
      </w:pPr>
      <w:r>
        <w:rPr>
          <w:rFonts w:ascii="宋体" w:hAnsi="宋体"/>
          <w:bCs/>
          <w:szCs w:val="24"/>
        </w:rPr>
        <w:t>2.5配备1名后台数据服务人员配合现场工程师团队。</w:t>
      </w:r>
    </w:p>
    <w:p>
      <w:pPr>
        <w:spacing w:line="360" w:lineRule="auto"/>
        <w:rPr>
          <w:sz w:val="24"/>
        </w:rPr>
      </w:pPr>
      <w:r>
        <w:rPr>
          <w:sz w:val="24"/>
        </w:rPr>
        <w:t>3、技术能力保障：</w:t>
      </w:r>
    </w:p>
    <w:p>
      <w:pPr>
        <w:pStyle w:val="790"/>
        <w:snapToGrid w:val="0"/>
        <w:ind w:firstLine="0" w:firstLineChars="0"/>
        <w:rPr>
          <w:rFonts w:ascii="宋体" w:hAnsi="宋体"/>
          <w:bCs/>
          <w:szCs w:val="24"/>
        </w:rPr>
      </w:pPr>
      <w:r>
        <w:rPr>
          <w:rFonts w:ascii="宋体" w:hAnsi="宋体"/>
          <w:bCs/>
          <w:szCs w:val="24"/>
        </w:rPr>
        <w:t>3.1具备医院现有放射影像医疗主要设备品牌制造商售后服务授权，授权需在有效期内，过期授权视为此条不响应。</w:t>
      </w:r>
    </w:p>
    <w:p>
      <w:pPr>
        <w:pStyle w:val="790"/>
        <w:snapToGrid w:val="0"/>
        <w:ind w:firstLine="0" w:firstLineChars="0"/>
        <w:rPr>
          <w:rFonts w:ascii="宋体" w:hAnsi="宋体"/>
          <w:bCs/>
          <w:szCs w:val="24"/>
        </w:rPr>
      </w:pPr>
      <w:r>
        <w:rPr>
          <w:rFonts w:ascii="宋体" w:hAnsi="宋体"/>
          <w:bCs/>
          <w:szCs w:val="24"/>
        </w:rPr>
        <w:t>3.2具备医院现有主要放射类设备、内窥镜设备、药品管理设备等品牌制造商售后服务授权，授权需在有效期内，过期授权视为此条不响应。</w:t>
      </w:r>
    </w:p>
    <w:p>
      <w:pPr>
        <w:pStyle w:val="790"/>
        <w:snapToGrid w:val="0"/>
        <w:ind w:firstLine="0" w:firstLineChars="0"/>
        <w:rPr>
          <w:rFonts w:ascii="宋体" w:hAnsi="宋体"/>
          <w:bCs/>
          <w:szCs w:val="24"/>
        </w:rPr>
      </w:pPr>
      <w:r>
        <w:rPr>
          <w:rFonts w:ascii="宋体" w:hAnsi="宋体"/>
          <w:bCs/>
          <w:szCs w:val="24"/>
        </w:rPr>
        <w:t>3.3根据医院需求提供医疗设备检测服务</w:t>
      </w:r>
      <w:r>
        <w:rPr>
          <w:rFonts w:hint="eastAsia" w:ascii="宋体" w:hAnsi="宋体"/>
          <w:bCs/>
          <w:szCs w:val="24"/>
        </w:rPr>
        <w:t>。</w:t>
      </w:r>
    </w:p>
    <w:p>
      <w:pPr>
        <w:pStyle w:val="790"/>
        <w:snapToGrid w:val="0"/>
        <w:ind w:left="-2" w:firstLine="0" w:firstLineChars="0"/>
        <w:rPr>
          <w:rFonts w:ascii="宋体" w:hAnsi="宋体"/>
          <w:kern w:val="0"/>
          <w:szCs w:val="24"/>
        </w:rPr>
      </w:pPr>
      <w:r>
        <w:rPr>
          <w:rFonts w:ascii="宋体" w:hAnsi="宋体"/>
          <w:bCs/>
          <w:szCs w:val="24"/>
        </w:rPr>
        <w:t>3.4具有</w:t>
      </w:r>
      <w:r>
        <w:rPr>
          <w:rFonts w:ascii="宋体" w:hAnsi="宋体"/>
          <w:kern w:val="0"/>
          <w:szCs w:val="24"/>
        </w:rPr>
        <w:t>备件、备用机仓储条件，有一定的医疗设备备件库存及备用机备用（如：监护仪、输液泵、注射泵、耳温仪等），并实现系统化管理，做好出入库信息化管理。</w:t>
      </w:r>
    </w:p>
    <w:p>
      <w:pPr>
        <w:pStyle w:val="790"/>
        <w:snapToGrid w:val="0"/>
        <w:ind w:left="-2" w:firstLine="0" w:firstLineChars="0"/>
        <w:rPr>
          <w:rFonts w:ascii="宋体" w:hAnsi="宋体"/>
          <w:color w:val="000000"/>
          <w:kern w:val="0"/>
          <w:szCs w:val="24"/>
        </w:rPr>
      </w:pPr>
      <w:r>
        <w:rPr>
          <w:rFonts w:ascii="宋体" w:hAnsi="宋体"/>
          <w:color w:val="000000"/>
          <w:kern w:val="0"/>
          <w:szCs w:val="24"/>
        </w:rPr>
        <w:t>3.5为保障及时服务，在现场技术支持团队以外，需提供二线技术保障支持能力，包括服务中心、技术专家团队介绍等内容。提供24x7 全时400技术服务支持热线。</w:t>
      </w:r>
    </w:p>
    <w:p>
      <w:pPr>
        <w:pStyle w:val="790"/>
        <w:snapToGrid w:val="0"/>
        <w:ind w:left="-2" w:firstLine="0" w:firstLineChars="0"/>
        <w:rPr>
          <w:rFonts w:ascii="宋体" w:hAnsi="宋体"/>
          <w:color w:val="000000"/>
          <w:kern w:val="0"/>
          <w:szCs w:val="24"/>
        </w:rPr>
      </w:pPr>
      <w:r>
        <w:rPr>
          <w:rFonts w:ascii="宋体" w:hAnsi="宋体"/>
          <w:color w:val="000000"/>
          <w:kern w:val="0"/>
          <w:szCs w:val="24"/>
        </w:rPr>
        <w:t>3.6工程技术人员需具备医疗设备工程师相关资质证明（设备原厂技术资质证书、职称证书、培训证书等）</w:t>
      </w:r>
      <w:r>
        <w:rPr>
          <w:rFonts w:hint="eastAsia" w:ascii="宋体" w:hAnsi="宋体"/>
          <w:color w:val="000000"/>
          <w:kern w:val="0"/>
          <w:szCs w:val="24"/>
        </w:rPr>
        <w:t>。</w:t>
      </w:r>
    </w:p>
    <w:p>
      <w:pPr>
        <w:pStyle w:val="790"/>
        <w:snapToGrid w:val="0"/>
        <w:ind w:left="-2" w:firstLine="0" w:firstLineChars="0"/>
        <w:rPr>
          <w:rFonts w:ascii="宋体" w:hAnsi="宋体"/>
          <w:color w:val="000000"/>
          <w:kern w:val="0"/>
          <w:szCs w:val="24"/>
        </w:rPr>
      </w:pPr>
      <w:r>
        <w:rPr>
          <w:rFonts w:ascii="宋体" w:hAnsi="宋体"/>
          <w:color w:val="000000"/>
          <w:kern w:val="0"/>
          <w:szCs w:val="24"/>
        </w:rPr>
        <w:t>3.7 技术资料数据库：保证向技术与质控管理数据库更新、维护设备手册、相关技术资料、用户培训记录等文件。</w:t>
      </w:r>
    </w:p>
    <w:p>
      <w:pPr>
        <w:spacing w:line="360" w:lineRule="auto"/>
        <w:rPr>
          <w:sz w:val="24"/>
        </w:rPr>
      </w:pPr>
      <w:r>
        <w:rPr>
          <w:sz w:val="24"/>
        </w:rPr>
        <w:t>4、开机率：应保障采购人所有医疗设备年平均开机率均不低于95%，按全年365天计算，包含节假日，即停机时间不超过18天。</w:t>
      </w:r>
    </w:p>
    <w:p>
      <w:pPr>
        <w:spacing w:line="360" w:lineRule="auto"/>
        <w:rPr>
          <w:sz w:val="24"/>
        </w:rPr>
      </w:pPr>
      <w:r>
        <w:rPr>
          <w:sz w:val="24"/>
        </w:rPr>
        <w:t>5、维修：</w:t>
      </w:r>
    </w:p>
    <w:p>
      <w:pPr>
        <w:pStyle w:val="790"/>
        <w:ind w:firstLine="0" w:firstLineChars="0"/>
        <w:rPr>
          <w:szCs w:val="24"/>
        </w:rPr>
      </w:pPr>
      <w:r>
        <w:rPr>
          <w:rFonts w:ascii="宋体" w:hAnsi="宋体"/>
          <w:color w:val="000000"/>
          <w:kern w:val="0"/>
          <w:szCs w:val="24"/>
        </w:rPr>
        <w:t>5.1</w:t>
      </w:r>
      <w:r>
        <w:rPr>
          <w:szCs w:val="24"/>
        </w:rPr>
        <w:t>响应时间：接到科室报修后5分钟内响应，需要现场维修的15分钟内到达现场，非工作时间1小时内到达。</w:t>
      </w:r>
    </w:p>
    <w:p>
      <w:pPr>
        <w:pStyle w:val="790"/>
        <w:ind w:firstLine="0" w:firstLineChars="0"/>
        <w:rPr>
          <w:rFonts w:ascii="宋体" w:hAnsi="宋体"/>
          <w:color w:val="000000"/>
          <w:kern w:val="0"/>
          <w:szCs w:val="24"/>
        </w:rPr>
      </w:pPr>
      <w:r>
        <w:rPr>
          <w:rFonts w:ascii="宋体" w:hAnsi="宋体"/>
          <w:color w:val="000000"/>
          <w:kern w:val="0"/>
          <w:szCs w:val="24"/>
        </w:rPr>
        <w:t>5.2 修复时间：一般故障24小时内修复，特殊情况需更换配件且配件需临时采购的72小时内修复（该情况每月不得超过总维修数的2%、放射类设备维修每季度不超过1例）</w:t>
      </w:r>
      <w:r>
        <w:rPr>
          <w:rFonts w:hint="eastAsia" w:ascii="宋体" w:hAnsi="宋体"/>
          <w:color w:val="000000"/>
          <w:kern w:val="0"/>
          <w:szCs w:val="24"/>
        </w:rPr>
        <w:t>。</w:t>
      </w:r>
    </w:p>
    <w:p>
      <w:pPr>
        <w:pStyle w:val="790"/>
        <w:ind w:firstLine="0" w:firstLineChars="0"/>
        <w:rPr>
          <w:rFonts w:ascii="宋体" w:hAnsi="宋体"/>
          <w:color w:val="000000"/>
          <w:kern w:val="0"/>
          <w:szCs w:val="24"/>
        </w:rPr>
      </w:pPr>
      <w:r>
        <w:rPr>
          <w:rFonts w:ascii="宋体" w:hAnsi="宋体"/>
          <w:color w:val="000000"/>
          <w:kern w:val="0"/>
          <w:szCs w:val="24"/>
        </w:rPr>
        <w:t>5.3按月周期内同故障连续出现3次及超过72小时不能修复的，招标人可直接向其他服务商要求维修，费用由中标方承担在服务费中直接扣除。</w:t>
      </w:r>
    </w:p>
    <w:p>
      <w:pPr>
        <w:pStyle w:val="790"/>
        <w:ind w:firstLine="0" w:firstLineChars="0"/>
        <w:rPr>
          <w:rFonts w:ascii="宋体" w:hAnsi="宋体"/>
          <w:color w:val="000000"/>
          <w:kern w:val="0"/>
          <w:szCs w:val="24"/>
        </w:rPr>
      </w:pPr>
      <w:r>
        <w:rPr>
          <w:rFonts w:ascii="宋体" w:hAnsi="宋体"/>
          <w:color w:val="000000"/>
          <w:kern w:val="0"/>
          <w:szCs w:val="24"/>
        </w:rPr>
        <w:t>5.4所有配件如需更换均应使用原厂或满足原厂条件的备件。</w:t>
      </w:r>
    </w:p>
    <w:p>
      <w:pPr>
        <w:pStyle w:val="790"/>
        <w:ind w:firstLine="0" w:firstLineChars="0"/>
        <w:rPr>
          <w:szCs w:val="24"/>
        </w:rPr>
      </w:pPr>
      <w:r>
        <w:rPr>
          <w:rFonts w:ascii="宋体" w:hAnsi="宋体"/>
          <w:color w:val="000000"/>
          <w:kern w:val="0"/>
          <w:szCs w:val="24"/>
        </w:rPr>
        <w:t>5.5维</w:t>
      </w:r>
      <w:r>
        <w:rPr>
          <w:szCs w:val="24"/>
        </w:rPr>
        <w:t>修记录完善，有使用科室确认和评价。</w:t>
      </w:r>
    </w:p>
    <w:p>
      <w:pPr>
        <w:spacing w:line="360" w:lineRule="auto"/>
        <w:rPr>
          <w:sz w:val="24"/>
        </w:rPr>
      </w:pPr>
      <w:r>
        <w:rPr>
          <w:sz w:val="24"/>
        </w:rPr>
        <w:t>6、巡检、保养、预防性维护：</w:t>
      </w:r>
    </w:p>
    <w:p>
      <w:pPr>
        <w:pStyle w:val="790"/>
        <w:snapToGrid w:val="0"/>
        <w:ind w:left="-2" w:firstLine="0" w:firstLineChars="0"/>
        <w:rPr>
          <w:rFonts w:ascii="宋体" w:hAnsi="宋体"/>
          <w:bCs/>
          <w:color w:val="000000"/>
          <w:szCs w:val="24"/>
        </w:rPr>
      </w:pPr>
      <w:r>
        <w:rPr>
          <w:rFonts w:ascii="宋体" w:hAnsi="宋体"/>
          <w:bCs/>
          <w:color w:val="000000"/>
          <w:szCs w:val="24"/>
        </w:rPr>
        <w:t>6.1按生命支持类设备每年4次，普通设备每年2次制订计划并实施，特殊设备参考原厂设备使用说明书要求执行，做到设备全覆盖。</w:t>
      </w:r>
    </w:p>
    <w:p>
      <w:pPr>
        <w:pStyle w:val="790"/>
        <w:snapToGrid w:val="0"/>
        <w:ind w:firstLine="0" w:firstLineChars="0"/>
        <w:rPr>
          <w:rFonts w:ascii="宋体" w:hAnsi="宋体"/>
          <w:bCs/>
          <w:color w:val="000000"/>
          <w:szCs w:val="24"/>
        </w:rPr>
      </w:pPr>
      <w:r>
        <w:rPr>
          <w:rFonts w:ascii="宋体" w:hAnsi="宋体"/>
          <w:bCs/>
          <w:color w:val="000000"/>
          <w:szCs w:val="24"/>
        </w:rPr>
        <w:t>6.2记录完善，有使用科室确认和评价。</w:t>
      </w:r>
    </w:p>
    <w:p>
      <w:pPr>
        <w:pStyle w:val="790"/>
        <w:snapToGrid w:val="0"/>
        <w:ind w:firstLine="0" w:firstLineChars="0"/>
        <w:rPr>
          <w:rFonts w:ascii="宋体" w:hAnsi="宋体"/>
          <w:bCs/>
          <w:color w:val="000000"/>
          <w:szCs w:val="24"/>
        </w:rPr>
      </w:pPr>
      <w:r>
        <w:rPr>
          <w:rFonts w:ascii="宋体" w:hAnsi="宋体"/>
          <w:bCs/>
          <w:color w:val="000000"/>
          <w:szCs w:val="24"/>
        </w:rPr>
        <w:t>6.3延期不超过30天。</w:t>
      </w:r>
    </w:p>
    <w:p>
      <w:pPr>
        <w:spacing w:line="360" w:lineRule="auto"/>
        <w:rPr>
          <w:sz w:val="24"/>
        </w:rPr>
      </w:pPr>
      <w:r>
        <w:rPr>
          <w:sz w:val="24"/>
        </w:rPr>
        <w:t>7、计量：按计量法要求整理计量台账，提前30天提示检定，配合做好送检和现场检定及标识更新。</w:t>
      </w:r>
    </w:p>
    <w:p>
      <w:pPr>
        <w:spacing w:line="360" w:lineRule="auto"/>
        <w:rPr>
          <w:sz w:val="24"/>
        </w:rPr>
      </w:pPr>
      <w:r>
        <w:rPr>
          <w:rFonts w:hint="eastAsia"/>
          <w:sz w:val="24"/>
        </w:rPr>
        <w:t>8</w:t>
      </w:r>
      <w:r>
        <w:rPr>
          <w:sz w:val="24"/>
        </w:rPr>
        <w:t>、配件：此次项目维修及更换配件覆盖本院医共体所有医疗设备。并要求现场设立常用配件库，一般年消耗量大于5件的需有库存。更换下来的零配件根据医院要求进行管理</w:t>
      </w:r>
      <w:r>
        <w:rPr>
          <w:rFonts w:hint="eastAsia"/>
          <w:sz w:val="24"/>
        </w:rPr>
        <w:t>。</w:t>
      </w:r>
    </w:p>
    <w:p>
      <w:pPr>
        <w:spacing w:line="360" w:lineRule="auto"/>
        <w:rPr>
          <w:sz w:val="24"/>
        </w:rPr>
      </w:pPr>
      <w:r>
        <w:rPr>
          <w:rFonts w:hint="eastAsia"/>
          <w:sz w:val="24"/>
        </w:rPr>
        <w:t>9</w:t>
      </w:r>
      <w:r>
        <w:rPr>
          <w:sz w:val="24"/>
        </w:rPr>
        <w:t>、报废：采购人综合该设备的使用年限、故障率、维修费用、性能等情况进行评估确定报废处理。如果因中标方维护不当造成未到报废年限的设备需要报废，中标方需根据医院要求提供同型号备用设备，根据情况承担相应的责任并纳入合作考核。</w:t>
      </w:r>
    </w:p>
    <w:p>
      <w:pPr>
        <w:spacing w:line="360" w:lineRule="auto"/>
        <w:rPr>
          <w:sz w:val="24"/>
        </w:rPr>
      </w:pPr>
      <w:r>
        <w:rPr>
          <w:sz w:val="24"/>
        </w:rPr>
        <w:t>1</w:t>
      </w:r>
      <w:r>
        <w:rPr>
          <w:rFonts w:hint="eastAsia"/>
          <w:sz w:val="24"/>
        </w:rPr>
        <w:t>0</w:t>
      </w:r>
      <w:r>
        <w:rPr>
          <w:sz w:val="24"/>
        </w:rPr>
        <w:t>、使用培训：定期组织使用人员进行培训指导，保证使用人员能正确操作。</w:t>
      </w:r>
    </w:p>
    <w:p>
      <w:pPr>
        <w:spacing w:line="360" w:lineRule="auto"/>
        <w:rPr>
          <w:sz w:val="24"/>
        </w:rPr>
      </w:pPr>
      <w:r>
        <w:rPr>
          <w:sz w:val="24"/>
        </w:rPr>
        <w:t>1</w:t>
      </w:r>
      <w:r>
        <w:rPr>
          <w:rFonts w:hint="eastAsia"/>
          <w:sz w:val="24"/>
        </w:rPr>
        <w:t>1</w:t>
      </w:r>
      <w:r>
        <w:rPr>
          <w:sz w:val="24"/>
        </w:rPr>
        <w:t>、出入保：设备报废维保费减除和新增设备计维保费按实际发生时间计算（精确到月），投标人提供费率方案，总比率不高于设备采购价的4%。</w:t>
      </w:r>
    </w:p>
    <w:p>
      <w:pPr>
        <w:spacing w:line="360" w:lineRule="auto"/>
        <w:rPr>
          <w:sz w:val="24"/>
        </w:rPr>
      </w:pPr>
      <w:r>
        <w:rPr>
          <w:rFonts w:ascii="宋体" w:hAnsi="宋体"/>
          <w:bCs/>
          <w:color w:val="000000"/>
          <w:sz w:val="24"/>
        </w:rPr>
        <w:t>■</w:t>
      </w:r>
      <w:r>
        <w:rPr>
          <w:sz w:val="24"/>
        </w:rPr>
        <w:t>1</w:t>
      </w:r>
      <w:r>
        <w:rPr>
          <w:rFonts w:hint="eastAsia"/>
          <w:sz w:val="24"/>
        </w:rPr>
        <w:t>2</w:t>
      </w:r>
      <w:r>
        <w:rPr>
          <w:sz w:val="24"/>
        </w:rPr>
        <w:t>、</w:t>
      </w:r>
      <w:r>
        <w:rPr>
          <w:rFonts w:hint="eastAsia"/>
          <w:sz w:val="24"/>
        </w:rPr>
        <w:t>院方要求的购买</w:t>
      </w:r>
      <w:r>
        <w:rPr>
          <w:sz w:val="24"/>
        </w:rPr>
        <w:t>原厂</w:t>
      </w:r>
      <w:r>
        <w:rPr>
          <w:rFonts w:hint="eastAsia"/>
          <w:sz w:val="24"/>
        </w:rPr>
        <w:t>保修</w:t>
      </w:r>
      <w:r>
        <w:rPr>
          <w:sz w:val="24"/>
        </w:rPr>
        <w:t>服务</w:t>
      </w:r>
      <w:r>
        <w:rPr>
          <w:rFonts w:hint="eastAsia"/>
          <w:sz w:val="24"/>
        </w:rPr>
        <w:t>的</w:t>
      </w:r>
      <w:r>
        <w:rPr>
          <w:sz w:val="24"/>
        </w:rPr>
        <w:t>医疗设备</w:t>
      </w:r>
      <w:r>
        <w:rPr>
          <w:rFonts w:hint="eastAsia"/>
          <w:sz w:val="24"/>
        </w:rPr>
        <w:t>（详见清单），中标方需提供原厂或授权代理商合同进行备案管理。</w:t>
      </w:r>
    </w:p>
    <w:p>
      <w:pPr>
        <w:spacing w:line="360" w:lineRule="auto"/>
        <w:rPr>
          <w:sz w:val="24"/>
        </w:rPr>
      </w:pPr>
      <w:r>
        <w:rPr>
          <w:sz w:val="24"/>
        </w:rPr>
        <w:t>1</w:t>
      </w:r>
      <w:r>
        <w:rPr>
          <w:rFonts w:hint="eastAsia"/>
          <w:sz w:val="24"/>
        </w:rPr>
        <w:t>3</w:t>
      </w:r>
      <w:r>
        <w:rPr>
          <w:sz w:val="24"/>
        </w:rPr>
        <w:t>、做好质控标准调整后可能增加的工作量。</w:t>
      </w:r>
    </w:p>
    <w:p>
      <w:pPr>
        <w:spacing w:line="360" w:lineRule="auto"/>
        <w:rPr>
          <w:sz w:val="24"/>
        </w:rPr>
      </w:pPr>
      <w:r>
        <w:rPr>
          <w:sz w:val="24"/>
        </w:rPr>
        <w:t>1</w:t>
      </w:r>
      <w:r>
        <w:rPr>
          <w:rFonts w:hint="eastAsia"/>
          <w:sz w:val="24"/>
        </w:rPr>
        <w:t>4</w:t>
      </w:r>
      <w:r>
        <w:rPr>
          <w:sz w:val="24"/>
        </w:rPr>
        <w:t>、含试剂检验设备（有保修协议的）不纳入维保，但纳入管理范围。</w:t>
      </w:r>
    </w:p>
    <w:p>
      <w:pPr>
        <w:spacing w:line="360" w:lineRule="auto"/>
        <w:rPr>
          <w:sz w:val="24"/>
        </w:rPr>
      </w:pPr>
      <w:r>
        <w:rPr>
          <w:sz w:val="24"/>
        </w:rPr>
        <w:t>1</w:t>
      </w:r>
      <w:r>
        <w:rPr>
          <w:rFonts w:hint="eastAsia"/>
          <w:sz w:val="24"/>
        </w:rPr>
        <w:t>5</w:t>
      </w:r>
      <w:r>
        <w:rPr>
          <w:sz w:val="24"/>
        </w:rPr>
        <w:t>、中标方需无条件积极配合医院各项临时性、应急性工作（相关工作范围内）。</w:t>
      </w:r>
    </w:p>
    <w:p>
      <w:pPr>
        <w:spacing w:line="360" w:lineRule="auto"/>
        <w:rPr>
          <w:sz w:val="24"/>
        </w:rPr>
      </w:pPr>
      <w:r>
        <w:rPr>
          <w:sz w:val="24"/>
        </w:rPr>
        <w:t>1</w:t>
      </w:r>
      <w:r>
        <w:rPr>
          <w:rFonts w:hint="eastAsia"/>
          <w:sz w:val="24"/>
        </w:rPr>
        <w:t>6</w:t>
      </w:r>
      <w:r>
        <w:rPr>
          <w:sz w:val="24"/>
        </w:rPr>
        <w:t>、院方制定相关工作及人员考核机制，中标方需认真履行相关义务，院方对其工作情况定期进行评分总结，相关结果作为年度考核结果的依据。</w:t>
      </w:r>
    </w:p>
    <w:p>
      <w:pPr>
        <w:spacing w:line="360" w:lineRule="auto"/>
        <w:rPr>
          <w:bCs/>
          <w:sz w:val="24"/>
        </w:rPr>
      </w:pPr>
      <w:r>
        <w:rPr>
          <w:bCs/>
          <w:sz w:val="24"/>
        </w:rPr>
        <w:t>1</w:t>
      </w:r>
      <w:r>
        <w:rPr>
          <w:rFonts w:hint="eastAsia"/>
          <w:bCs/>
          <w:sz w:val="24"/>
        </w:rPr>
        <w:t>7</w:t>
      </w:r>
      <w:r>
        <w:rPr>
          <w:bCs/>
          <w:sz w:val="24"/>
        </w:rPr>
        <w:t>、</w:t>
      </w:r>
      <w:r>
        <w:rPr>
          <w:sz w:val="24"/>
        </w:rPr>
        <w:t>等级医院评审：协助医院进行医院等级评审工作，保证服务内容在相关条款中高标准审核通过</w:t>
      </w:r>
      <w:r>
        <w:rPr>
          <w:rFonts w:hint="eastAsia"/>
          <w:sz w:val="24"/>
        </w:rPr>
        <w:t>。</w:t>
      </w:r>
    </w:p>
    <w:p>
      <w:pPr>
        <w:snapToGrid w:val="0"/>
        <w:spacing w:line="360" w:lineRule="auto"/>
        <w:rPr>
          <w:rFonts w:ascii="宋体" w:hAnsi="宋体"/>
          <w:bCs/>
          <w:color w:val="000000"/>
          <w:sz w:val="24"/>
        </w:rPr>
      </w:pPr>
      <w:r>
        <w:rPr>
          <w:rFonts w:ascii="宋体" w:hAnsi="宋体"/>
          <w:bCs/>
          <w:color w:val="000000"/>
          <w:sz w:val="24"/>
        </w:rPr>
        <w:t>三、商务要求：</w:t>
      </w:r>
    </w:p>
    <w:p>
      <w:pPr>
        <w:spacing w:line="360" w:lineRule="auto"/>
        <w:rPr>
          <w:sz w:val="24"/>
        </w:rPr>
      </w:pPr>
      <w:r>
        <w:rPr>
          <w:sz w:val="24"/>
        </w:rPr>
        <w:t>1、</w:t>
      </w:r>
      <w:r>
        <w:rPr>
          <w:sz w:val="24"/>
          <w:lang w:val="zh-CN"/>
        </w:rPr>
        <w:t>付款方式：</w:t>
      </w:r>
      <w:r>
        <w:rPr>
          <w:sz w:val="24"/>
        </w:rPr>
        <w:t>本项目以人工投入为主且实行按月定期结算支付款项。采用先服务后付款、按月支付的方式。每月初完成上月考核，根据考核结果开具发票，收到发票10个工作日内支付该月的全部项目款项。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lang w:val="zh-CN"/>
        </w:rPr>
      </w:pPr>
      <w:r>
        <w:rPr>
          <w:color w:val="000000"/>
          <w:sz w:val="24"/>
          <w:lang w:val="zh-CN"/>
        </w:rPr>
        <w:t>2</w:t>
      </w:r>
      <w:r>
        <w:rPr>
          <w:rFonts w:hAnsi="宋体"/>
          <w:color w:val="000000"/>
          <w:sz w:val="24"/>
          <w:lang w:val="zh-CN"/>
        </w:rPr>
        <w:t>、服务时间：</w:t>
      </w:r>
      <w:r>
        <w:rPr>
          <w:rFonts w:hAnsi="宋体"/>
          <w:color w:val="000000"/>
          <w:sz w:val="24"/>
        </w:rPr>
        <w:t>本次招</w:t>
      </w:r>
      <w:r>
        <w:rPr>
          <w:rFonts w:hAnsi="宋体"/>
          <w:color w:val="000000"/>
          <w:sz w:val="24"/>
          <w:lang w:val="zh-CN"/>
        </w:rPr>
        <w:t>标服务期为一年。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sz w:val="24"/>
          <w:lang w:val="zh-CN"/>
        </w:rPr>
      </w:pPr>
      <w:r>
        <w:rPr>
          <w:color w:val="000000"/>
          <w:sz w:val="24"/>
          <w:lang w:val="zh-CN"/>
        </w:rPr>
        <w:t>3</w:t>
      </w:r>
      <w:r>
        <w:rPr>
          <w:rFonts w:hAnsi="宋体"/>
          <w:color w:val="000000"/>
          <w:sz w:val="24"/>
          <w:lang w:val="zh-CN"/>
        </w:rPr>
        <w:t>、服务期间中标方驻场人员的住宿，由中标方自行解决，以就近医院住宿为主。</w:t>
      </w:r>
    </w:p>
    <w:p>
      <w:pPr>
        <w:spacing w:line="360" w:lineRule="auto"/>
        <w:rPr>
          <w:sz w:val="24"/>
          <w:lang w:val="zh-CN"/>
        </w:rPr>
      </w:pPr>
      <w:r>
        <w:rPr>
          <w:sz w:val="24"/>
          <w:lang w:val="zh-CN"/>
        </w:rPr>
        <w:t>4、项目入驻交接阶段时间为1个月，合同签订生效后，中标方进场开始实施，需在1个月内完成设备信息化系统的全面正常运行。</w:t>
      </w:r>
    </w:p>
    <w:p>
      <w:pPr>
        <w:spacing w:line="360" w:lineRule="auto"/>
        <w:rPr>
          <w:sz w:val="24"/>
        </w:rPr>
      </w:pPr>
      <w:r>
        <w:rPr>
          <w:sz w:val="24"/>
        </w:rPr>
        <w:t>5</w:t>
      </w:r>
      <w:r>
        <w:rPr>
          <w:sz w:val="24"/>
          <w:lang w:val="zh-CN"/>
        </w:rPr>
        <w:t>、</w:t>
      </w:r>
      <w:r>
        <w:rPr>
          <w:sz w:val="24"/>
        </w:rPr>
        <w:t>中标方应严格遵守国家有关的法律、法规及行业标准。如实提供服务相关所需的相关材料。因中标方违反《劳动法》等法律法规而造成采购人的连带责任和损失全部由中标方承担。</w:t>
      </w:r>
    </w:p>
    <w:p>
      <w:pPr>
        <w:spacing w:line="360" w:lineRule="auto"/>
        <w:rPr>
          <w:sz w:val="24"/>
        </w:rPr>
      </w:pPr>
      <w:r>
        <w:rPr>
          <w:sz w:val="24"/>
        </w:rPr>
        <w:t>6、中标方须严格按照国家和杭州市政府规定给所有的员工缴纳社会保险，自行负责其招聘员工的一切工资、福利、加班费（含节假日加班）等；如发生工伤、疾病乃至死亡的一切责任及费用由中标方全部负责，采购人不接受任何因遗漏报价而发生的费用追加。</w:t>
      </w:r>
    </w:p>
    <w:p>
      <w:pPr>
        <w:spacing w:line="360" w:lineRule="auto"/>
        <w:rPr>
          <w:sz w:val="24"/>
        </w:rPr>
      </w:pPr>
      <w:r>
        <w:rPr>
          <w:sz w:val="24"/>
        </w:rPr>
        <w:t>7、可以提供企业社保完税证明以及企业劳动关系达标单位证书。</w:t>
      </w:r>
    </w:p>
    <w:p>
      <w:pPr>
        <w:spacing w:line="360" w:lineRule="auto"/>
        <w:rPr>
          <w:sz w:val="24"/>
        </w:rPr>
      </w:pPr>
      <w:r>
        <w:rPr>
          <w:sz w:val="24"/>
        </w:rPr>
        <w:t>8、中标方所有员工提供相关工作资质，入院服务时都必须体检，并且合格的才能上岗（费用由中标方负责）。</w:t>
      </w:r>
    </w:p>
    <w:p>
      <w:pPr>
        <w:spacing w:line="360" w:lineRule="auto"/>
        <w:rPr>
          <w:sz w:val="24"/>
        </w:rPr>
      </w:pPr>
      <w:r>
        <w:rPr>
          <w:sz w:val="24"/>
        </w:rPr>
        <w:t>9、以上所有要求服务对象覆盖本医院医共体所有成员单位，服务标准统一。</w:t>
      </w:r>
      <w:bookmarkEnd w:id="30"/>
    </w:p>
    <w:p>
      <w:pPr>
        <w:spacing w:line="360" w:lineRule="auto"/>
        <w:rPr>
          <w:rFonts w:hint="eastAsia" w:ascii="宋体" w:hAnsi="宋体"/>
          <w:sz w:val="24"/>
        </w:rPr>
      </w:pPr>
    </w:p>
    <w:p>
      <w:pPr>
        <w:pStyle w:val="2"/>
        <w:rPr>
          <w:rFonts w:hint="eastAsia" w:ascii="宋体" w:hAnsi="宋体" w:eastAsia="宋体" w:cs="宋体"/>
          <w:kern w:val="0"/>
          <w:lang w:val="en-US"/>
        </w:rPr>
      </w:pPr>
      <w:r>
        <w:rPr>
          <w:rFonts w:hint="eastAsia" w:ascii="宋体" w:hAnsi="宋体" w:eastAsia="宋体" w:cs="宋体"/>
          <w:kern w:val="0"/>
          <w:lang w:val="en-US"/>
        </w:rPr>
        <w:t>附件1：设备清单（见附件1）</w:t>
      </w:r>
    </w:p>
    <w:p>
      <w:pPr>
        <w:rPr>
          <w:rFonts w:hint="eastAsia" w:ascii="宋体" w:hAnsi="宋体" w:cs="宋体"/>
          <w:b/>
          <w:bCs/>
          <w:kern w:val="0"/>
          <w:sz w:val="32"/>
          <w:szCs w:val="32"/>
        </w:rPr>
      </w:pPr>
    </w:p>
    <w:p>
      <w:pPr>
        <w:pStyle w:val="2"/>
        <w:rPr>
          <w:rFonts w:hint="eastAsia" w:ascii="宋体" w:hAnsi="宋体" w:eastAsia="宋体" w:cs="宋体"/>
          <w:kern w:val="0"/>
          <w:lang w:val="en-US"/>
        </w:rPr>
      </w:pPr>
      <w:r>
        <w:rPr>
          <w:rFonts w:hint="eastAsia" w:ascii="宋体" w:hAnsi="宋体" w:eastAsia="宋体" w:cs="宋体"/>
          <w:kern w:val="0"/>
          <w:lang w:val="en-US"/>
        </w:rPr>
        <w:t>附件2：需原厂保修设备清单</w:t>
      </w:r>
    </w:p>
    <w:tbl>
      <w:tblPr>
        <w:tblStyle w:val="62"/>
        <w:tblW w:w="8480" w:type="dxa"/>
        <w:tblInd w:w="96" w:type="dxa"/>
        <w:tblLayout w:type="autofit"/>
        <w:tblCellMar>
          <w:top w:w="0" w:type="dxa"/>
          <w:left w:w="108" w:type="dxa"/>
          <w:bottom w:w="0" w:type="dxa"/>
          <w:right w:w="108" w:type="dxa"/>
        </w:tblCellMar>
      </w:tblPr>
      <w:tblGrid>
        <w:gridCol w:w="520"/>
        <w:gridCol w:w="3020"/>
        <w:gridCol w:w="2260"/>
        <w:gridCol w:w="1520"/>
        <w:gridCol w:w="1160"/>
      </w:tblGrid>
      <w:tr>
        <w:tblPrEx>
          <w:tblCellMar>
            <w:top w:w="0" w:type="dxa"/>
            <w:left w:w="108" w:type="dxa"/>
            <w:bottom w:w="0" w:type="dxa"/>
            <w:right w:w="108" w:type="dxa"/>
          </w:tblCellMar>
        </w:tblPrEx>
        <w:trPr>
          <w:wBefore w:w="0" w:type="dxa"/>
          <w:wAfter w:w="0" w:type="dxa"/>
          <w:trHeight w:val="312"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4"/>
              </w:rPr>
            </w:pPr>
            <w:r>
              <w:rPr>
                <w:rFonts w:hint="eastAsia" w:ascii="宋体" w:hAnsi="宋体" w:cs="宋体"/>
                <w:kern w:val="0"/>
                <w:sz w:val="24"/>
              </w:rPr>
              <w:t>序号</w:t>
            </w:r>
          </w:p>
        </w:tc>
        <w:tc>
          <w:tcPr>
            <w:tcW w:w="3020"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4"/>
              </w:rPr>
            </w:pPr>
            <w:r>
              <w:rPr>
                <w:rFonts w:hint="eastAsia" w:ascii="宋体" w:hAnsi="宋体" w:cs="宋体"/>
                <w:kern w:val="0"/>
                <w:sz w:val="24"/>
              </w:rPr>
              <w:t>设备名称</w:t>
            </w:r>
          </w:p>
        </w:tc>
        <w:tc>
          <w:tcPr>
            <w:tcW w:w="2260"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4"/>
              </w:rPr>
            </w:pPr>
            <w:r>
              <w:rPr>
                <w:rFonts w:hint="eastAsia" w:ascii="宋体" w:hAnsi="宋体" w:cs="宋体"/>
                <w:kern w:val="0"/>
                <w:sz w:val="24"/>
              </w:rPr>
              <w:t>规格型号</w:t>
            </w:r>
          </w:p>
        </w:tc>
        <w:tc>
          <w:tcPr>
            <w:tcW w:w="1520"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4"/>
              </w:rPr>
            </w:pPr>
            <w:r>
              <w:rPr>
                <w:rFonts w:hint="eastAsia" w:ascii="宋体" w:hAnsi="宋体" w:cs="宋体"/>
                <w:kern w:val="0"/>
                <w:sz w:val="24"/>
              </w:rPr>
              <w:t>使用科室</w:t>
            </w:r>
          </w:p>
        </w:tc>
        <w:tc>
          <w:tcPr>
            <w:tcW w:w="1160"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4"/>
              </w:rPr>
            </w:pPr>
            <w:r>
              <w:rPr>
                <w:rFonts w:hint="eastAsia" w:ascii="宋体" w:hAnsi="宋体" w:cs="宋体"/>
                <w:kern w:val="0"/>
                <w:sz w:val="24"/>
              </w:rPr>
              <w:t>生产厂家</w:t>
            </w:r>
          </w:p>
        </w:tc>
      </w:tr>
      <w:tr>
        <w:tblPrEx>
          <w:tblCellMar>
            <w:top w:w="0" w:type="dxa"/>
            <w:left w:w="108" w:type="dxa"/>
            <w:bottom w:w="0" w:type="dxa"/>
            <w:right w:w="108" w:type="dxa"/>
          </w:tblCellMar>
        </w:tblPrEx>
        <w:trPr>
          <w:wBefore w:w="0" w:type="dxa"/>
          <w:wAfter w:w="0" w:type="dxa"/>
          <w:trHeight w:val="312"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w:t>
            </w:r>
          </w:p>
        </w:tc>
        <w:tc>
          <w:tcPr>
            <w:tcW w:w="30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CT</w:t>
            </w:r>
          </w:p>
        </w:tc>
        <w:tc>
          <w:tcPr>
            <w:tcW w:w="22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Defintion AS(64排）</w:t>
            </w:r>
          </w:p>
        </w:tc>
        <w:tc>
          <w:tcPr>
            <w:tcW w:w="15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11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西门子</w:t>
            </w:r>
          </w:p>
        </w:tc>
      </w:tr>
      <w:tr>
        <w:tblPrEx>
          <w:tblCellMar>
            <w:top w:w="0" w:type="dxa"/>
            <w:left w:w="108" w:type="dxa"/>
            <w:bottom w:w="0" w:type="dxa"/>
            <w:right w:w="108" w:type="dxa"/>
          </w:tblCellMar>
        </w:tblPrEx>
        <w:trPr>
          <w:wBefore w:w="0" w:type="dxa"/>
          <w:wAfter w:w="0" w:type="dxa"/>
          <w:trHeight w:val="651"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w:t>
            </w:r>
          </w:p>
        </w:tc>
        <w:tc>
          <w:tcPr>
            <w:tcW w:w="30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CT</w:t>
            </w:r>
          </w:p>
        </w:tc>
        <w:tc>
          <w:tcPr>
            <w:tcW w:w="22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Optima CT620</w:t>
            </w:r>
          </w:p>
        </w:tc>
        <w:tc>
          <w:tcPr>
            <w:tcW w:w="15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急诊放射科</w:t>
            </w:r>
          </w:p>
        </w:tc>
        <w:tc>
          <w:tcPr>
            <w:tcW w:w="11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w:t>
            </w:r>
          </w:p>
        </w:tc>
      </w:tr>
      <w:tr>
        <w:tblPrEx>
          <w:tblCellMar>
            <w:top w:w="0" w:type="dxa"/>
            <w:left w:w="108" w:type="dxa"/>
            <w:bottom w:w="0" w:type="dxa"/>
            <w:right w:w="108" w:type="dxa"/>
          </w:tblCellMar>
        </w:tblPrEx>
        <w:trPr>
          <w:wBefore w:w="0" w:type="dxa"/>
          <w:wAfter w:w="0" w:type="dxa"/>
          <w:trHeight w:val="816"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w:t>
            </w:r>
          </w:p>
        </w:tc>
        <w:tc>
          <w:tcPr>
            <w:tcW w:w="30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CT</w:t>
            </w:r>
          </w:p>
        </w:tc>
        <w:tc>
          <w:tcPr>
            <w:tcW w:w="22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Optima CT620</w:t>
            </w:r>
          </w:p>
        </w:tc>
        <w:tc>
          <w:tcPr>
            <w:tcW w:w="15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门诊放射科</w:t>
            </w:r>
          </w:p>
        </w:tc>
        <w:tc>
          <w:tcPr>
            <w:tcW w:w="11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w:t>
            </w:r>
          </w:p>
        </w:tc>
      </w:tr>
      <w:tr>
        <w:tblPrEx>
          <w:tblCellMar>
            <w:top w:w="0" w:type="dxa"/>
            <w:left w:w="108" w:type="dxa"/>
            <w:bottom w:w="0" w:type="dxa"/>
            <w:right w:w="108" w:type="dxa"/>
          </w:tblCellMar>
        </w:tblPrEx>
        <w:trPr>
          <w:wBefore w:w="0" w:type="dxa"/>
          <w:wAfter w:w="0" w:type="dxa"/>
          <w:trHeight w:val="312"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w:t>
            </w:r>
          </w:p>
        </w:tc>
        <w:tc>
          <w:tcPr>
            <w:tcW w:w="30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DSA</w:t>
            </w:r>
          </w:p>
        </w:tc>
        <w:tc>
          <w:tcPr>
            <w:tcW w:w="22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Artis Zee ceiling</w:t>
            </w:r>
          </w:p>
        </w:tc>
        <w:tc>
          <w:tcPr>
            <w:tcW w:w="15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导管室</w:t>
            </w:r>
          </w:p>
        </w:tc>
        <w:tc>
          <w:tcPr>
            <w:tcW w:w="11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西门子</w:t>
            </w:r>
          </w:p>
        </w:tc>
      </w:tr>
      <w:tr>
        <w:tblPrEx>
          <w:tblCellMar>
            <w:top w:w="0" w:type="dxa"/>
            <w:left w:w="108" w:type="dxa"/>
            <w:bottom w:w="0" w:type="dxa"/>
            <w:right w:w="108" w:type="dxa"/>
          </w:tblCellMar>
        </w:tblPrEx>
        <w:trPr>
          <w:wBefore w:w="0" w:type="dxa"/>
          <w:wAfter w:w="0" w:type="dxa"/>
          <w:trHeight w:val="312"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w:t>
            </w:r>
          </w:p>
        </w:tc>
        <w:tc>
          <w:tcPr>
            <w:tcW w:w="30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DSA</w:t>
            </w:r>
          </w:p>
        </w:tc>
        <w:tc>
          <w:tcPr>
            <w:tcW w:w="22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UNIQ FD20</w:t>
            </w:r>
          </w:p>
        </w:tc>
        <w:tc>
          <w:tcPr>
            <w:tcW w:w="15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导管室</w:t>
            </w:r>
          </w:p>
        </w:tc>
        <w:tc>
          <w:tcPr>
            <w:tcW w:w="11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飞利浦</w:t>
            </w:r>
          </w:p>
        </w:tc>
      </w:tr>
      <w:tr>
        <w:tblPrEx>
          <w:tblCellMar>
            <w:top w:w="0" w:type="dxa"/>
            <w:left w:w="108" w:type="dxa"/>
            <w:bottom w:w="0" w:type="dxa"/>
            <w:right w:w="108" w:type="dxa"/>
          </w:tblCellMar>
        </w:tblPrEx>
        <w:trPr>
          <w:wBefore w:w="0" w:type="dxa"/>
          <w:wAfter w:w="0" w:type="dxa"/>
          <w:trHeight w:val="312"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w:t>
            </w:r>
          </w:p>
        </w:tc>
        <w:tc>
          <w:tcPr>
            <w:tcW w:w="30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磁共振</w:t>
            </w:r>
          </w:p>
        </w:tc>
        <w:tc>
          <w:tcPr>
            <w:tcW w:w="22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Apsaras 1.5T</w:t>
            </w:r>
          </w:p>
        </w:tc>
        <w:tc>
          <w:tcPr>
            <w:tcW w:w="15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11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康达</w:t>
            </w:r>
          </w:p>
        </w:tc>
      </w:tr>
      <w:tr>
        <w:tblPrEx>
          <w:tblCellMar>
            <w:top w:w="0" w:type="dxa"/>
            <w:left w:w="108" w:type="dxa"/>
            <w:bottom w:w="0" w:type="dxa"/>
            <w:right w:w="108" w:type="dxa"/>
          </w:tblCellMar>
        </w:tblPrEx>
        <w:trPr>
          <w:wBefore w:w="0" w:type="dxa"/>
          <w:wAfter w:w="0" w:type="dxa"/>
          <w:trHeight w:val="312"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7</w:t>
            </w:r>
          </w:p>
        </w:tc>
        <w:tc>
          <w:tcPr>
            <w:tcW w:w="30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分拣机</w:t>
            </w:r>
          </w:p>
        </w:tc>
        <w:tc>
          <w:tcPr>
            <w:tcW w:w="2260"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IRONFJ-30</w:t>
            </w:r>
          </w:p>
        </w:tc>
        <w:tc>
          <w:tcPr>
            <w:tcW w:w="15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药剂科</w:t>
            </w:r>
          </w:p>
        </w:tc>
        <w:tc>
          <w:tcPr>
            <w:tcW w:w="11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苏州艾隆</w:t>
            </w:r>
          </w:p>
        </w:tc>
      </w:tr>
      <w:tr>
        <w:tblPrEx>
          <w:tblCellMar>
            <w:top w:w="0" w:type="dxa"/>
            <w:left w:w="108" w:type="dxa"/>
            <w:bottom w:w="0" w:type="dxa"/>
            <w:right w:w="108" w:type="dxa"/>
          </w:tblCellMar>
        </w:tblPrEx>
        <w:trPr>
          <w:wBefore w:w="0" w:type="dxa"/>
          <w:wAfter w:w="0" w:type="dxa"/>
          <w:trHeight w:val="312"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w:t>
            </w:r>
          </w:p>
        </w:tc>
        <w:tc>
          <w:tcPr>
            <w:tcW w:w="30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全自动摆药机</w:t>
            </w:r>
          </w:p>
        </w:tc>
        <w:tc>
          <w:tcPr>
            <w:tcW w:w="22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YS-CS-400FDS2PROUD</w:t>
            </w:r>
          </w:p>
        </w:tc>
        <w:tc>
          <w:tcPr>
            <w:tcW w:w="15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药剂科</w:t>
            </w:r>
          </w:p>
        </w:tc>
        <w:tc>
          <w:tcPr>
            <w:tcW w:w="11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日本汤山</w:t>
            </w:r>
          </w:p>
        </w:tc>
      </w:tr>
      <w:tr>
        <w:tblPrEx>
          <w:tblCellMar>
            <w:top w:w="0" w:type="dxa"/>
            <w:left w:w="108" w:type="dxa"/>
            <w:bottom w:w="0" w:type="dxa"/>
            <w:right w:w="108" w:type="dxa"/>
          </w:tblCellMar>
        </w:tblPrEx>
        <w:trPr>
          <w:wBefore w:w="0" w:type="dxa"/>
          <w:wAfter w:w="0" w:type="dxa"/>
          <w:trHeight w:val="312"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9</w:t>
            </w:r>
          </w:p>
        </w:tc>
        <w:tc>
          <w:tcPr>
            <w:tcW w:w="30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智能门诊发药系统</w:t>
            </w:r>
          </w:p>
        </w:tc>
        <w:tc>
          <w:tcPr>
            <w:tcW w:w="22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D5+D3+B0</w:t>
            </w:r>
          </w:p>
        </w:tc>
        <w:tc>
          <w:tcPr>
            <w:tcW w:w="15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药剂科</w:t>
            </w:r>
          </w:p>
        </w:tc>
        <w:tc>
          <w:tcPr>
            <w:tcW w:w="11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韦乐海茨</w:t>
            </w:r>
          </w:p>
        </w:tc>
      </w:tr>
      <w:tr>
        <w:tblPrEx>
          <w:tblCellMar>
            <w:top w:w="0" w:type="dxa"/>
            <w:left w:w="108" w:type="dxa"/>
            <w:bottom w:w="0" w:type="dxa"/>
            <w:right w:w="108" w:type="dxa"/>
          </w:tblCellMar>
        </w:tblPrEx>
        <w:trPr>
          <w:wBefore w:w="0" w:type="dxa"/>
          <w:wAfter w:w="0" w:type="dxa"/>
          <w:trHeight w:val="312" w:hRule="atLeast"/>
        </w:trPr>
        <w:tc>
          <w:tcPr>
            <w:tcW w:w="52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w:t>
            </w:r>
          </w:p>
        </w:tc>
        <w:tc>
          <w:tcPr>
            <w:tcW w:w="30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X射线计算机体层摄影设备（CT）</w:t>
            </w:r>
          </w:p>
        </w:tc>
        <w:tc>
          <w:tcPr>
            <w:tcW w:w="22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SOMATOM go.up</w:t>
            </w:r>
          </w:p>
        </w:tc>
        <w:tc>
          <w:tcPr>
            <w:tcW w:w="152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乔司分院放射科</w:t>
            </w:r>
          </w:p>
        </w:tc>
        <w:tc>
          <w:tcPr>
            <w:tcW w:w="1160" w:type="dxa"/>
            <w:tcBorders>
              <w:top w:val="nil"/>
              <w:left w:val="nil"/>
              <w:bottom w:val="single" w:color="auto" w:sz="4" w:space="0"/>
              <w:right w:val="single" w:color="auto" w:sz="4" w:space="0"/>
            </w:tcBorders>
            <w:shd w:val="clear" w:color="000000" w:fill="FFFFFF"/>
            <w:noWrap/>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西门子</w:t>
            </w:r>
          </w:p>
        </w:tc>
      </w:tr>
    </w:tbl>
    <w:p>
      <w:pPr>
        <w:rPr>
          <w:rFonts w:hint="eastAsia"/>
          <w:lang w:val="zh-CN"/>
        </w:rPr>
      </w:pPr>
    </w:p>
    <w:p>
      <w:pPr>
        <w:pStyle w:val="2"/>
        <w:rPr>
          <w:rFonts w:hint="eastAsia"/>
        </w:rPr>
      </w:pPr>
    </w:p>
    <w:p>
      <w:pPr>
        <w:rPr>
          <w:rFonts w:hint="eastAsia"/>
          <w:lang w:val="zh-CN"/>
        </w:rPr>
      </w:pPr>
      <w:r>
        <w:rPr>
          <w:rFonts w:hint="eastAsia" w:ascii="宋体" w:hAnsi="宋体" w:cs="宋体"/>
          <w:b/>
          <w:bCs/>
          <w:kern w:val="0"/>
          <w:sz w:val="32"/>
          <w:szCs w:val="32"/>
        </w:rPr>
        <w:t>附件3：维保重点设备清单</w:t>
      </w:r>
    </w:p>
    <w:tbl>
      <w:tblPr>
        <w:tblStyle w:val="62"/>
        <w:tblW w:w="8517" w:type="dxa"/>
        <w:tblInd w:w="96" w:type="dxa"/>
        <w:tblLayout w:type="autofit"/>
        <w:tblCellMar>
          <w:top w:w="0" w:type="dxa"/>
          <w:left w:w="108" w:type="dxa"/>
          <w:bottom w:w="0" w:type="dxa"/>
          <w:right w:w="108" w:type="dxa"/>
        </w:tblCellMar>
      </w:tblPr>
      <w:tblGrid>
        <w:gridCol w:w="512"/>
        <w:gridCol w:w="1709"/>
        <w:gridCol w:w="2016"/>
        <w:gridCol w:w="1027"/>
        <w:gridCol w:w="3253"/>
      </w:tblGrid>
      <w:tr>
        <w:tblPrEx>
          <w:tblCellMar>
            <w:top w:w="0" w:type="dxa"/>
            <w:left w:w="108" w:type="dxa"/>
            <w:bottom w:w="0" w:type="dxa"/>
            <w:right w:w="108" w:type="dxa"/>
          </w:tblCellMar>
        </w:tblPrEx>
        <w:trPr>
          <w:wBefore w:w="0" w:type="dxa"/>
          <w:wAfter w:w="0" w:type="dxa"/>
          <w:trHeight w:val="624" w:hRule="atLeast"/>
        </w:trPr>
        <w:tc>
          <w:tcPr>
            <w:tcW w:w="5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4"/>
              </w:rPr>
            </w:pPr>
            <w:r>
              <w:rPr>
                <w:rFonts w:hint="eastAsia" w:ascii="宋体" w:hAnsi="宋体" w:cs="宋体"/>
                <w:kern w:val="0"/>
                <w:sz w:val="24"/>
              </w:rPr>
              <w:t>序号</w:t>
            </w:r>
          </w:p>
        </w:tc>
        <w:tc>
          <w:tcPr>
            <w:tcW w:w="1709"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4"/>
              </w:rPr>
            </w:pPr>
            <w:r>
              <w:rPr>
                <w:rFonts w:hint="eastAsia" w:ascii="宋体" w:hAnsi="宋体" w:cs="宋体"/>
                <w:kern w:val="0"/>
                <w:sz w:val="24"/>
              </w:rPr>
              <w:t>设备名称</w:t>
            </w:r>
          </w:p>
        </w:tc>
        <w:tc>
          <w:tcPr>
            <w:tcW w:w="2016"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4"/>
              </w:rPr>
            </w:pPr>
            <w:r>
              <w:rPr>
                <w:rFonts w:hint="eastAsia" w:ascii="宋体" w:hAnsi="宋体" w:cs="宋体"/>
                <w:kern w:val="0"/>
                <w:sz w:val="24"/>
              </w:rPr>
              <w:t>规格型号</w:t>
            </w:r>
          </w:p>
        </w:tc>
        <w:tc>
          <w:tcPr>
            <w:tcW w:w="1027"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4"/>
              </w:rPr>
            </w:pPr>
            <w:r>
              <w:rPr>
                <w:rFonts w:hint="eastAsia" w:ascii="宋体" w:hAnsi="宋体" w:cs="宋体"/>
                <w:kern w:val="0"/>
                <w:sz w:val="24"/>
              </w:rPr>
              <w:t>使用科室</w:t>
            </w:r>
          </w:p>
        </w:tc>
        <w:tc>
          <w:tcPr>
            <w:tcW w:w="3253"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4"/>
              </w:rPr>
            </w:pPr>
            <w:r>
              <w:rPr>
                <w:rFonts w:hint="eastAsia" w:ascii="宋体" w:hAnsi="宋体" w:cs="宋体"/>
                <w:kern w:val="0"/>
                <w:sz w:val="24"/>
              </w:rPr>
              <w:t>生产厂家</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CT</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Defintion AS(64排）</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西门子</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nil"/>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w:t>
            </w:r>
          </w:p>
        </w:tc>
        <w:tc>
          <w:tcPr>
            <w:tcW w:w="1709" w:type="dxa"/>
            <w:tcBorders>
              <w:top w:val="nil"/>
              <w:left w:val="nil"/>
              <w:bottom w:val="nil"/>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CT</w:t>
            </w:r>
          </w:p>
        </w:tc>
        <w:tc>
          <w:tcPr>
            <w:tcW w:w="2016" w:type="dxa"/>
            <w:tcBorders>
              <w:top w:val="nil"/>
              <w:left w:val="nil"/>
              <w:bottom w:val="nil"/>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uCT 530+</w:t>
            </w:r>
          </w:p>
        </w:tc>
        <w:tc>
          <w:tcPr>
            <w:tcW w:w="1027" w:type="dxa"/>
            <w:tcBorders>
              <w:top w:val="nil"/>
              <w:left w:val="nil"/>
              <w:bottom w:val="nil"/>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nil"/>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联影</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w:t>
            </w:r>
          </w:p>
        </w:tc>
        <w:tc>
          <w:tcPr>
            <w:tcW w:w="1709"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CT</w:t>
            </w:r>
          </w:p>
        </w:tc>
        <w:tc>
          <w:tcPr>
            <w:tcW w:w="2016"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Optima CT620</w:t>
            </w:r>
          </w:p>
        </w:tc>
        <w:tc>
          <w:tcPr>
            <w:tcW w:w="1027"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急诊放射科</w:t>
            </w:r>
          </w:p>
        </w:tc>
        <w:tc>
          <w:tcPr>
            <w:tcW w:w="3253"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CT</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Optima CT620</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门诊放射科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CT</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Optima CT540</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体检中心</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6</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CT</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Andangce</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7</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DR</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Optima XR642</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感染科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DR（移动）</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MOBILETT XP Digital</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ICU</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西门子</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9</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DR（移动）</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MOBILETT XP Digital</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西门子</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10</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DR（移动）</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MOBILETT XP Digital</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西门子</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11</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DSA</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Artis Zee ceiling</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导管室</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西门子</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12</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DSA</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UNIQ FD20</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导管室</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飞利浦</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13</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磁共振</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Apsaras 1.5T</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康达</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14</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超声胃镜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GF-UCT260</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内镜中心</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15</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电子肠镜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CF-H290L</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内镜中心</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16</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电子结肠镜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CF-H290I</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内镜中心</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17</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电子结肠内窥镜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CF-H290I</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内镜中心</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18</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电子结肠内窥镜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CF-H290I</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内镜中心</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19</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电子上消化道内窥镜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GIF-HQ290</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内镜中心</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20</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电子上消化道内窥镜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GIF-HQ290</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内镜中心</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21</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电子上消化道内窥镜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GIF-HQ290</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内镜中心</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22</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电子输尿管肾盂镜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URF-V2</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手术室</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23</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电子输尿管肾盂镜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URF-V2</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手术室</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24</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电子胃镜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GIF-H290Z</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内镜中心</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25</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电子胃镜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GIF-H290Z</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内镜中心</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26</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纤维胆道内窥镜</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CHF-P60</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手术室</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奥林巴斯</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27</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分拣机</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　</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药剂科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苏州艾隆</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28</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全自动摆药机</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YS-CS-400FDS2PROUD</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药剂科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日本汤山</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29</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数字胃肠机</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AXIOM Luminos dDF</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西门子</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30</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智能门诊发药系统</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G9+G6+R</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药剂科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瑞仕格</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31</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超声诊断系统</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ACUSON Oxana 3</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超声科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西门子</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32</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彩色超声诊断仪</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Vivid E9</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超声科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 Vingmed Ultrasound AS</w:t>
            </w:r>
          </w:p>
        </w:tc>
      </w:tr>
      <w:tr>
        <w:tblPrEx>
          <w:tblCellMar>
            <w:top w:w="0" w:type="dxa"/>
            <w:left w:w="108" w:type="dxa"/>
            <w:bottom w:w="0" w:type="dxa"/>
            <w:right w:w="108" w:type="dxa"/>
          </w:tblCellMar>
        </w:tblPrEx>
        <w:trPr>
          <w:wBefore w:w="0" w:type="dxa"/>
          <w:wAfter w:w="0" w:type="dxa"/>
          <w:trHeight w:val="96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33</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彩色超声诊断仪Diagnostic Ultrasound System</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Vivid E80</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超声科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 Vingmed Ultrasound AS</w:t>
            </w:r>
          </w:p>
        </w:tc>
      </w:tr>
      <w:tr>
        <w:tblPrEx>
          <w:tblCellMar>
            <w:top w:w="0" w:type="dxa"/>
            <w:left w:w="108" w:type="dxa"/>
            <w:bottom w:w="0" w:type="dxa"/>
            <w:right w:w="108" w:type="dxa"/>
          </w:tblCellMar>
        </w:tblPrEx>
        <w:trPr>
          <w:wBefore w:w="0" w:type="dxa"/>
          <w:wAfter w:w="0" w:type="dxa"/>
          <w:trHeight w:val="72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34</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超声诊断仪</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Voluson E6</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超声科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 Healthcare Austria GmbH &amp; Co OG</w:t>
            </w:r>
          </w:p>
        </w:tc>
      </w:tr>
      <w:tr>
        <w:tblPrEx>
          <w:tblCellMar>
            <w:top w:w="0" w:type="dxa"/>
            <w:left w:w="108" w:type="dxa"/>
            <w:bottom w:w="0" w:type="dxa"/>
            <w:right w:w="108" w:type="dxa"/>
          </w:tblCellMar>
        </w:tblPrEx>
        <w:trPr>
          <w:wBefore w:w="0" w:type="dxa"/>
          <w:wAfter w:w="0" w:type="dxa"/>
          <w:trHeight w:val="72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35</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超声诊断仪</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Voluson E8</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超声科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 Healthcare Austria GmbH &amp; Co OG</w:t>
            </w:r>
          </w:p>
        </w:tc>
      </w:tr>
      <w:tr>
        <w:tblPrEx>
          <w:tblCellMar>
            <w:top w:w="0" w:type="dxa"/>
            <w:left w:w="108" w:type="dxa"/>
            <w:bottom w:w="0" w:type="dxa"/>
            <w:right w:w="108" w:type="dxa"/>
          </w:tblCellMar>
        </w:tblPrEx>
        <w:trPr>
          <w:wBefore w:w="0" w:type="dxa"/>
          <w:wAfter w:w="0" w:type="dxa"/>
          <w:trHeight w:val="96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36</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超声诊断仪Diagnostic Ultrasound System</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Voluson E10</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超声科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 Healthcare Austria GmbH &amp; Co OG</w:t>
            </w:r>
          </w:p>
        </w:tc>
      </w:tr>
      <w:tr>
        <w:tblPrEx>
          <w:tblCellMar>
            <w:top w:w="0" w:type="dxa"/>
            <w:left w:w="108" w:type="dxa"/>
            <w:bottom w:w="0" w:type="dxa"/>
            <w:right w:w="108" w:type="dxa"/>
          </w:tblCellMar>
        </w:tblPrEx>
        <w:trPr>
          <w:wBefore w:w="0" w:type="dxa"/>
          <w:wAfter w:w="0" w:type="dxa"/>
          <w:trHeight w:val="72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37</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X射线摄影系统</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MRAD-D50S RADREX</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TOSHIBA MEDICAL MANUFACTURING CO.,LTD</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38</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X射线计算机体层摄影设备</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Apsaras 16</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康达洲际医疗器械有限公司</w:t>
            </w:r>
          </w:p>
        </w:tc>
      </w:tr>
      <w:tr>
        <w:tblPrEx>
          <w:tblCellMar>
            <w:top w:w="0" w:type="dxa"/>
            <w:left w:w="108" w:type="dxa"/>
            <w:bottom w:w="0" w:type="dxa"/>
            <w:right w:w="108" w:type="dxa"/>
          </w:tblCellMar>
        </w:tblPrEx>
        <w:trPr>
          <w:wBefore w:w="0" w:type="dxa"/>
          <w:wAfter w:w="0" w:type="dxa"/>
          <w:trHeight w:val="72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39</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医用X线摄影系统</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DigitalDiagnost</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Philips Medical Systems DMC GmbH</w:t>
            </w:r>
          </w:p>
        </w:tc>
      </w:tr>
      <w:tr>
        <w:tblPrEx>
          <w:tblCellMar>
            <w:top w:w="0" w:type="dxa"/>
            <w:left w:w="108" w:type="dxa"/>
            <w:bottom w:w="0" w:type="dxa"/>
            <w:right w:w="108" w:type="dxa"/>
          </w:tblCellMar>
        </w:tblPrEx>
        <w:trPr>
          <w:wBefore w:w="0" w:type="dxa"/>
          <w:wAfter w:w="0" w:type="dxa"/>
          <w:trHeight w:val="72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40</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医用X线摄影系统</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DigitalDiagnost</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Philips Medical Systems DMC GmbH</w:t>
            </w:r>
          </w:p>
        </w:tc>
      </w:tr>
      <w:tr>
        <w:tblPrEx>
          <w:tblCellMar>
            <w:top w:w="0" w:type="dxa"/>
            <w:left w:w="108" w:type="dxa"/>
            <w:bottom w:w="0" w:type="dxa"/>
            <w:right w:w="108" w:type="dxa"/>
          </w:tblCellMar>
        </w:tblPrEx>
        <w:trPr>
          <w:wBefore w:w="0" w:type="dxa"/>
          <w:wAfter w:w="0" w:type="dxa"/>
          <w:trHeight w:val="72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41</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医用X线摄影系统</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DigitalDiagnost</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Philips Medical Systems DMC GmbH</w:t>
            </w:r>
          </w:p>
        </w:tc>
      </w:tr>
      <w:tr>
        <w:tblPrEx>
          <w:tblCellMar>
            <w:top w:w="0" w:type="dxa"/>
            <w:left w:w="108" w:type="dxa"/>
            <w:bottom w:w="0" w:type="dxa"/>
            <w:right w:w="108" w:type="dxa"/>
          </w:tblCellMar>
        </w:tblPrEx>
        <w:trPr>
          <w:wBefore w:w="0" w:type="dxa"/>
          <w:wAfter w:w="0" w:type="dxa"/>
          <w:trHeight w:val="96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42</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口腔颌面锥形束计算机体层摄影设备</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3D eXam i</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Imaging Sciences Lnternational,LLC</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43</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乳腺X射线机</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Senographe Essential</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 MEDICAL SYSTEMS SCS</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44</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全景X射线机</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Planmeca ProMax</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Planmeca Oy</w:t>
            </w:r>
          </w:p>
        </w:tc>
      </w:tr>
      <w:tr>
        <w:tblPrEx>
          <w:tblCellMar>
            <w:top w:w="0" w:type="dxa"/>
            <w:left w:w="108" w:type="dxa"/>
            <w:bottom w:w="0" w:type="dxa"/>
            <w:right w:w="108" w:type="dxa"/>
          </w:tblCellMar>
        </w:tblPrEx>
        <w:trPr>
          <w:wBefore w:w="0" w:type="dxa"/>
          <w:wAfter w:w="0" w:type="dxa"/>
          <w:trHeight w:val="312"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45</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灭菌器</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HS6617</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供应室</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瑞典洁定</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46</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真空灭菌器</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XG1.H型</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供应室</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山东新华医疗器械股份有限公司</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47</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脉动真空灭菌器</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XG1.H</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供应室</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山东新华医疗器械股份有限公司</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48</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脉动真空灭菌器</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XG1.H</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供应室</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山东新华医疗器械股份有限公司</w:t>
            </w:r>
          </w:p>
        </w:tc>
      </w:tr>
      <w:tr>
        <w:tblPrEx>
          <w:tblCellMar>
            <w:top w:w="0" w:type="dxa"/>
            <w:left w:w="108" w:type="dxa"/>
            <w:bottom w:w="0" w:type="dxa"/>
            <w:right w:w="108" w:type="dxa"/>
          </w:tblCellMar>
        </w:tblPrEx>
        <w:trPr>
          <w:wBefore w:w="0" w:type="dxa"/>
          <w:wAfter w:w="0" w:type="dxa"/>
          <w:trHeight w:val="48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49</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过氧化氢低温等离子体灭菌器</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PS-100</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供应室</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山东新华医疗器械股份有限公司</w:t>
            </w:r>
          </w:p>
        </w:tc>
      </w:tr>
      <w:tr>
        <w:tblPrEx>
          <w:tblCellMar>
            <w:top w:w="0" w:type="dxa"/>
            <w:left w:w="108" w:type="dxa"/>
            <w:bottom w:w="0" w:type="dxa"/>
            <w:right w:w="108" w:type="dxa"/>
          </w:tblCellMar>
        </w:tblPrEx>
        <w:trPr>
          <w:wBefore w:w="0" w:type="dxa"/>
          <w:wAfter w:w="0" w:type="dxa"/>
          <w:trHeight w:val="960"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50</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环氧乙烷灭菌器(商品名：STERI-VAC环氧乙烷灭菌器)</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8XL(规格8XLP、8XLDP)</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供应室</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3M COMPANY</w:t>
            </w:r>
          </w:p>
        </w:tc>
      </w:tr>
      <w:tr>
        <w:tblPrEx>
          <w:tblCellMar>
            <w:top w:w="0" w:type="dxa"/>
            <w:left w:w="108" w:type="dxa"/>
            <w:bottom w:w="0" w:type="dxa"/>
            <w:right w:w="108" w:type="dxa"/>
          </w:tblCellMar>
        </w:tblPrEx>
        <w:trPr>
          <w:wBefore w:w="0" w:type="dxa"/>
          <w:wAfter w:w="0" w:type="dxa"/>
          <w:trHeight w:val="576" w:hRule="atLeast"/>
        </w:trPr>
        <w:tc>
          <w:tcPr>
            <w:tcW w:w="512"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51</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磁共振成像系统</w:t>
            </w:r>
          </w:p>
        </w:tc>
        <w:tc>
          <w:tcPr>
            <w:tcW w:w="2016"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1.5T Signa HDxt</w:t>
            </w:r>
          </w:p>
        </w:tc>
        <w:tc>
          <w:tcPr>
            <w:tcW w:w="1027"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放射科</w:t>
            </w:r>
          </w:p>
        </w:tc>
        <w:tc>
          <w:tcPr>
            <w:tcW w:w="3253" w:type="dxa"/>
            <w:tcBorders>
              <w:top w:val="nil"/>
              <w:left w:val="nil"/>
              <w:bottom w:val="single" w:color="auto" w:sz="4" w:space="0"/>
              <w:right w:val="single" w:color="auto" w:sz="4" w:space="0"/>
            </w:tcBorders>
            <w:shd w:val="clear" w:color="000000" w:fill="FFFFFF"/>
            <w:noWrap w:val="0"/>
            <w:vAlign w:val="center"/>
          </w:tcPr>
          <w:p>
            <w:pPr>
              <w:widowControl/>
              <w:adjustRightInd/>
              <w:jc w:val="left"/>
              <w:rPr>
                <w:rFonts w:ascii="宋体" w:hAnsi="宋体" w:cs="宋体"/>
                <w:kern w:val="0"/>
                <w:sz w:val="20"/>
                <w:szCs w:val="20"/>
              </w:rPr>
            </w:pPr>
            <w:r>
              <w:rPr>
                <w:rFonts w:hint="eastAsia" w:ascii="宋体" w:hAnsi="宋体" w:cs="宋体"/>
                <w:kern w:val="0"/>
                <w:sz w:val="20"/>
                <w:szCs w:val="20"/>
              </w:rPr>
              <w:t>GE Medical Systems,LLC</w:t>
            </w:r>
          </w:p>
        </w:tc>
      </w:tr>
    </w:tbl>
    <w:p>
      <w:pPr>
        <w:rPr>
          <w:rFonts w:hint="eastAsia"/>
        </w:rPr>
      </w:pPr>
    </w:p>
    <w:p>
      <w:pPr>
        <w:pStyle w:val="2"/>
        <w:rPr>
          <w:lang w:val="en-US"/>
        </w:rPr>
        <w:sectPr>
          <w:pgSz w:w="11906" w:h="16838"/>
          <w:pgMar w:top="1440" w:right="1800" w:bottom="1440" w:left="1800" w:header="851" w:footer="992" w:gutter="0"/>
          <w:cols w:space="720" w:num="1"/>
          <w:titlePg/>
          <w:docGrid w:linePitch="312" w:charSpace="0"/>
        </w:sectPr>
      </w:pPr>
    </w:p>
    <w:p>
      <w:pPr>
        <w:adjustRightInd/>
        <w:spacing w:before="480" w:beforeLines="200" w:after="240" w:afterLines="100" w:line="360" w:lineRule="auto"/>
        <w:jc w:val="center"/>
        <w:rPr>
          <w:rFonts w:ascii="宋体" w:hAnsi="宋体"/>
          <w:b/>
          <w:sz w:val="36"/>
          <w:szCs w:val="36"/>
        </w:rPr>
      </w:pPr>
      <w:r>
        <w:rPr>
          <w:rFonts w:hint="eastAsia" w:ascii="宋体" w:hAnsi="宋体"/>
          <w:b/>
          <w:sz w:val="36"/>
          <w:szCs w:val="36"/>
        </w:rPr>
        <w:t xml:space="preserve">第四部分   </w:t>
      </w:r>
      <w:bookmarkStart w:id="32" w:name="_Toc184308067"/>
      <w:bookmarkEnd w:id="32"/>
      <w:bookmarkStart w:id="33" w:name="_Toc184310303"/>
      <w:bookmarkEnd w:id="33"/>
      <w:bookmarkStart w:id="34" w:name="_Toc184312095"/>
      <w:bookmarkEnd w:id="34"/>
      <w:bookmarkStart w:id="35" w:name="_Toc184312106"/>
      <w:bookmarkEnd w:id="35"/>
      <w:bookmarkStart w:id="36" w:name="_Toc184312100"/>
      <w:bookmarkEnd w:id="36"/>
      <w:bookmarkStart w:id="37" w:name="_Toc184310274"/>
      <w:bookmarkEnd w:id="37"/>
      <w:bookmarkStart w:id="38" w:name="_Toc184308094"/>
      <w:bookmarkEnd w:id="38"/>
      <w:bookmarkStart w:id="39" w:name="_Toc184314416"/>
      <w:bookmarkEnd w:id="39"/>
      <w:bookmarkStart w:id="40" w:name="_Toc184314463"/>
      <w:bookmarkEnd w:id="40"/>
      <w:bookmarkStart w:id="41" w:name="_Toc184314467"/>
      <w:bookmarkEnd w:id="41"/>
      <w:bookmarkStart w:id="42" w:name="_Toc184313261"/>
      <w:bookmarkEnd w:id="42"/>
      <w:bookmarkStart w:id="43" w:name="_Toc184310279"/>
      <w:bookmarkEnd w:id="43"/>
      <w:bookmarkStart w:id="44" w:name="_Toc184314447"/>
      <w:bookmarkEnd w:id="44"/>
      <w:bookmarkStart w:id="45" w:name="_Toc184308091"/>
      <w:bookmarkEnd w:id="45"/>
      <w:bookmarkStart w:id="46" w:name="_Toc184314417"/>
      <w:bookmarkEnd w:id="46"/>
      <w:bookmarkStart w:id="47" w:name="_Toc184312097"/>
      <w:bookmarkEnd w:id="47"/>
      <w:bookmarkStart w:id="48" w:name="_Toc184313267"/>
      <w:bookmarkEnd w:id="48"/>
      <w:bookmarkStart w:id="49" w:name="_Toc184308071"/>
      <w:bookmarkEnd w:id="49"/>
      <w:bookmarkStart w:id="50" w:name="_Toc184314474"/>
      <w:bookmarkEnd w:id="50"/>
      <w:bookmarkStart w:id="51" w:name="_Toc184314477"/>
      <w:bookmarkEnd w:id="51"/>
      <w:bookmarkStart w:id="52" w:name="_Toc184308089"/>
      <w:bookmarkEnd w:id="52"/>
      <w:bookmarkStart w:id="53" w:name="_Toc184308063"/>
      <w:bookmarkEnd w:id="53"/>
      <w:bookmarkStart w:id="54" w:name="_Toc184312127"/>
      <w:bookmarkEnd w:id="54"/>
      <w:bookmarkStart w:id="55" w:name="_Toc184308083"/>
      <w:bookmarkEnd w:id="55"/>
      <w:bookmarkStart w:id="56" w:name="_Toc184313245"/>
      <w:bookmarkEnd w:id="56"/>
      <w:bookmarkStart w:id="57" w:name="_Toc184310276"/>
      <w:bookmarkEnd w:id="57"/>
      <w:bookmarkStart w:id="58" w:name="_Toc184308062"/>
      <w:bookmarkEnd w:id="58"/>
      <w:bookmarkStart w:id="59" w:name="_Toc184308106"/>
      <w:bookmarkEnd w:id="59"/>
      <w:bookmarkStart w:id="60" w:name="_Toc184314433"/>
      <w:bookmarkEnd w:id="60"/>
      <w:bookmarkStart w:id="61" w:name="_Toc184308045"/>
      <w:bookmarkEnd w:id="61"/>
      <w:bookmarkStart w:id="62" w:name="_Toc184310282"/>
      <w:bookmarkEnd w:id="62"/>
      <w:bookmarkStart w:id="63" w:name="_Toc184313309"/>
      <w:bookmarkEnd w:id="63"/>
      <w:bookmarkStart w:id="64" w:name="_Toc184313302"/>
      <w:bookmarkEnd w:id="64"/>
      <w:bookmarkStart w:id="65" w:name="_Toc184310300"/>
      <w:bookmarkEnd w:id="65"/>
      <w:bookmarkStart w:id="66" w:name="_Toc184313275"/>
      <w:bookmarkEnd w:id="66"/>
      <w:bookmarkStart w:id="67" w:name="_Toc184310292"/>
      <w:bookmarkEnd w:id="67"/>
      <w:bookmarkStart w:id="68" w:name="_Toc184310343"/>
      <w:bookmarkEnd w:id="68"/>
      <w:bookmarkStart w:id="69" w:name="_Toc184310320"/>
      <w:bookmarkEnd w:id="69"/>
      <w:bookmarkStart w:id="70" w:name="_Toc184314448"/>
      <w:bookmarkEnd w:id="70"/>
      <w:bookmarkStart w:id="71" w:name="_Toc184312115"/>
      <w:bookmarkEnd w:id="71"/>
      <w:bookmarkStart w:id="72" w:name="_Toc184314451"/>
      <w:bookmarkEnd w:id="72"/>
      <w:bookmarkStart w:id="73" w:name="_Toc184310313"/>
      <w:bookmarkEnd w:id="73"/>
      <w:bookmarkStart w:id="74" w:name="_Toc184308093"/>
      <w:bookmarkEnd w:id="74"/>
      <w:bookmarkStart w:id="75" w:name="_Toc184313305"/>
      <w:bookmarkEnd w:id="75"/>
      <w:bookmarkStart w:id="76" w:name="_Toc184308053"/>
      <w:bookmarkEnd w:id="76"/>
      <w:bookmarkStart w:id="77" w:name="_Toc184314430"/>
      <w:bookmarkEnd w:id="77"/>
      <w:bookmarkStart w:id="78" w:name="_Toc184312123"/>
      <w:bookmarkEnd w:id="78"/>
      <w:bookmarkStart w:id="79" w:name="_Toc184308061"/>
      <w:bookmarkEnd w:id="79"/>
      <w:bookmarkStart w:id="80" w:name="_Toc184310291"/>
      <w:bookmarkEnd w:id="80"/>
      <w:bookmarkStart w:id="81" w:name="_Toc184314426"/>
      <w:bookmarkEnd w:id="81"/>
      <w:bookmarkStart w:id="82" w:name="_Toc184314440"/>
      <w:bookmarkEnd w:id="82"/>
      <w:bookmarkStart w:id="83" w:name="_Toc184310332"/>
      <w:bookmarkEnd w:id="83"/>
      <w:bookmarkStart w:id="84" w:name="_Toc184313308"/>
      <w:bookmarkEnd w:id="84"/>
      <w:bookmarkStart w:id="85" w:name="_Toc184313294"/>
      <w:bookmarkEnd w:id="85"/>
      <w:bookmarkStart w:id="86" w:name="_Toc184313255"/>
      <w:bookmarkEnd w:id="86"/>
      <w:bookmarkStart w:id="87" w:name="_Toc184314453"/>
      <w:bookmarkEnd w:id="87"/>
      <w:bookmarkStart w:id="88" w:name="_Toc184312107"/>
      <w:bookmarkEnd w:id="88"/>
      <w:bookmarkStart w:id="89" w:name="_Toc184314471"/>
      <w:bookmarkEnd w:id="89"/>
      <w:bookmarkStart w:id="90" w:name="_Toc184310281"/>
      <w:bookmarkEnd w:id="90"/>
      <w:bookmarkStart w:id="91" w:name="_Toc184314429"/>
      <w:bookmarkEnd w:id="91"/>
      <w:bookmarkStart w:id="92" w:name="_Toc184312070"/>
      <w:bookmarkEnd w:id="92"/>
      <w:bookmarkStart w:id="93" w:name="_Toc184310295"/>
      <w:bookmarkEnd w:id="93"/>
      <w:bookmarkStart w:id="94" w:name="_Toc184308082"/>
      <w:bookmarkEnd w:id="94"/>
      <w:bookmarkStart w:id="95" w:name="_Toc184308052"/>
      <w:bookmarkEnd w:id="95"/>
      <w:bookmarkStart w:id="96" w:name="_Toc184310293"/>
      <w:bookmarkEnd w:id="96"/>
      <w:bookmarkStart w:id="97" w:name="_Toc184313271"/>
      <w:bookmarkEnd w:id="97"/>
      <w:bookmarkStart w:id="98" w:name="_Toc184313252"/>
      <w:bookmarkEnd w:id="98"/>
      <w:bookmarkStart w:id="99" w:name="_Toc184312101"/>
      <w:bookmarkEnd w:id="99"/>
      <w:bookmarkStart w:id="100" w:name="_Toc184312080"/>
      <w:bookmarkEnd w:id="100"/>
      <w:bookmarkStart w:id="101" w:name="_Toc184313269"/>
      <w:bookmarkEnd w:id="101"/>
      <w:bookmarkStart w:id="102" w:name="_Toc184312103"/>
      <w:bookmarkEnd w:id="102"/>
      <w:bookmarkStart w:id="103" w:name="_Toc184313268"/>
      <w:bookmarkEnd w:id="103"/>
      <w:bookmarkStart w:id="104" w:name="_Toc184308050"/>
      <w:bookmarkEnd w:id="104"/>
      <w:bookmarkStart w:id="105" w:name="_Toc184312105"/>
      <w:bookmarkEnd w:id="105"/>
      <w:bookmarkStart w:id="106" w:name="_Toc184313284"/>
      <w:bookmarkEnd w:id="106"/>
      <w:bookmarkStart w:id="107" w:name="_Toc184313292"/>
      <w:bookmarkEnd w:id="107"/>
      <w:bookmarkStart w:id="108" w:name="_Toc184313283"/>
      <w:bookmarkEnd w:id="108"/>
      <w:bookmarkStart w:id="109" w:name="_Toc184312110"/>
      <w:bookmarkEnd w:id="109"/>
      <w:bookmarkStart w:id="110" w:name="_Toc184313257"/>
      <w:bookmarkEnd w:id="110"/>
      <w:bookmarkStart w:id="111" w:name="_Toc184310290"/>
      <w:bookmarkEnd w:id="111"/>
      <w:bookmarkStart w:id="112" w:name="_Toc184310278"/>
      <w:bookmarkEnd w:id="112"/>
      <w:bookmarkStart w:id="113" w:name="_Toc184308038"/>
      <w:bookmarkEnd w:id="113"/>
      <w:bookmarkStart w:id="114" w:name="_Toc184310335"/>
      <w:bookmarkEnd w:id="114"/>
      <w:bookmarkStart w:id="115" w:name="_Toc184308046"/>
      <w:bookmarkEnd w:id="115"/>
      <w:bookmarkStart w:id="116" w:name="_Toc184314438"/>
      <w:bookmarkEnd w:id="116"/>
      <w:bookmarkStart w:id="117" w:name="_Toc184314434"/>
      <w:bookmarkEnd w:id="117"/>
      <w:bookmarkStart w:id="118" w:name="_Toc184313300"/>
      <w:bookmarkEnd w:id="118"/>
      <w:bookmarkStart w:id="119" w:name="_Toc184308065"/>
      <w:bookmarkEnd w:id="119"/>
      <w:bookmarkStart w:id="120" w:name="_Toc184314470"/>
      <w:bookmarkEnd w:id="120"/>
      <w:bookmarkStart w:id="121" w:name="_Toc184310301"/>
      <w:bookmarkEnd w:id="121"/>
      <w:bookmarkStart w:id="122" w:name="_Toc184314419"/>
      <w:bookmarkEnd w:id="122"/>
      <w:bookmarkStart w:id="123" w:name="_Toc184310326"/>
      <w:bookmarkEnd w:id="123"/>
      <w:bookmarkStart w:id="124" w:name="_Toc184312084"/>
      <w:bookmarkEnd w:id="124"/>
      <w:bookmarkStart w:id="125" w:name="_Toc184312120"/>
      <w:bookmarkEnd w:id="125"/>
      <w:bookmarkStart w:id="126" w:name="_Toc184308043"/>
      <w:bookmarkEnd w:id="126"/>
      <w:bookmarkStart w:id="127" w:name="_Toc184308064"/>
      <w:bookmarkEnd w:id="127"/>
      <w:bookmarkStart w:id="128" w:name="_Toc184312114"/>
      <w:bookmarkEnd w:id="128"/>
      <w:bookmarkStart w:id="129" w:name="_Toc184312137"/>
      <w:bookmarkEnd w:id="129"/>
      <w:bookmarkStart w:id="130" w:name="_Toc184312077"/>
      <w:bookmarkEnd w:id="130"/>
      <w:bookmarkStart w:id="131" w:name="_Toc184308055"/>
      <w:bookmarkEnd w:id="131"/>
      <w:bookmarkStart w:id="132" w:name="_Toc184314425"/>
      <w:bookmarkEnd w:id="132"/>
      <w:bookmarkStart w:id="133" w:name="_Toc184314439"/>
      <w:bookmarkEnd w:id="133"/>
      <w:bookmarkStart w:id="134" w:name="_Toc184308057"/>
      <w:bookmarkEnd w:id="134"/>
      <w:bookmarkStart w:id="135" w:name="_Toc184313299"/>
      <w:bookmarkEnd w:id="135"/>
      <w:bookmarkStart w:id="136" w:name="_Toc184312082"/>
      <w:bookmarkEnd w:id="136"/>
      <w:bookmarkStart w:id="137" w:name="_Toc184308087"/>
      <w:bookmarkEnd w:id="137"/>
      <w:bookmarkStart w:id="138" w:name="_Toc184308075"/>
      <w:bookmarkEnd w:id="138"/>
      <w:bookmarkStart w:id="139" w:name="_Toc184312068"/>
      <w:bookmarkEnd w:id="139"/>
      <w:bookmarkStart w:id="140" w:name="_Toc184310337"/>
      <w:bookmarkEnd w:id="140"/>
      <w:bookmarkStart w:id="141" w:name="_Toc184310275"/>
      <w:bookmarkEnd w:id="141"/>
      <w:bookmarkStart w:id="142" w:name="_Toc184308103"/>
      <w:bookmarkEnd w:id="142"/>
      <w:bookmarkStart w:id="143" w:name="_Toc184313241"/>
      <w:bookmarkEnd w:id="143"/>
      <w:bookmarkStart w:id="144" w:name="_Toc184310286"/>
      <w:bookmarkEnd w:id="144"/>
      <w:bookmarkStart w:id="145" w:name="_Toc184308081"/>
      <w:bookmarkEnd w:id="145"/>
      <w:bookmarkStart w:id="146" w:name="_Toc184312108"/>
      <w:bookmarkEnd w:id="146"/>
      <w:bookmarkStart w:id="147" w:name="_Toc184314468"/>
      <w:bookmarkEnd w:id="147"/>
      <w:bookmarkStart w:id="148" w:name="_Toc184314459"/>
      <w:bookmarkEnd w:id="148"/>
      <w:bookmarkStart w:id="149" w:name="_Toc184313273"/>
      <w:bookmarkEnd w:id="149"/>
      <w:bookmarkStart w:id="150" w:name="_Toc184314412"/>
      <w:bookmarkEnd w:id="150"/>
      <w:bookmarkStart w:id="151" w:name="_Toc184310273"/>
      <w:bookmarkEnd w:id="151"/>
      <w:bookmarkStart w:id="152" w:name="_Toc184312112"/>
      <w:bookmarkEnd w:id="152"/>
      <w:bookmarkStart w:id="153" w:name="_Toc184312121"/>
      <w:bookmarkEnd w:id="153"/>
      <w:bookmarkStart w:id="154" w:name="_Toc184308090"/>
      <w:bookmarkEnd w:id="154"/>
      <w:bookmarkStart w:id="155" w:name="_Toc184314475"/>
      <w:bookmarkEnd w:id="155"/>
      <w:bookmarkStart w:id="156" w:name="_Toc184312087"/>
      <w:bookmarkEnd w:id="156"/>
      <w:bookmarkStart w:id="157" w:name="_Toc184308049"/>
      <w:bookmarkEnd w:id="157"/>
      <w:bookmarkStart w:id="158" w:name="_Toc184314458"/>
      <w:bookmarkEnd w:id="158"/>
      <w:bookmarkStart w:id="159" w:name="_Toc184312132"/>
      <w:bookmarkEnd w:id="159"/>
      <w:bookmarkStart w:id="160" w:name="_Toc184308037"/>
      <w:bookmarkEnd w:id="160"/>
      <w:bookmarkStart w:id="161" w:name="_Toc184313310"/>
      <w:bookmarkEnd w:id="161"/>
      <w:bookmarkStart w:id="162" w:name="_Toc184308084"/>
      <w:bookmarkEnd w:id="162"/>
      <w:bookmarkStart w:id="163" w:name="_Toc184310325"/>
      <w:bookmarkEnd w:id="163"/>
      <w:bookmarkStart w:id="164" w:name="_Toc184314443"/>
      <w:bookmarkEnd w:id="164"/>
      <w:bookmarkStart w:id="165" w:name="_Toc184310304"/>
      <w:bookmarkEnd w:id="165"/>
      <w:bookmarkStart w:id="166" w:name="_Toc184310317"/>
      <w:bookmarkEnd w:id="166"/>
      <w:bookmarkStart w:id="167" w:name="_Toc184312134"/>
      <w:bookmarkEnd w:id="167"/>
      <w:bookmarkStart w:id="168" w:name="_Toc184312076"/>
      <w:bookmarkEnd w:id="168"/>
      <w:bookmarkStart w:id="169" w:name="_Toc184312109"/>
      <w:bookmarkEnd w:id="169"/>
      <w:bookmarkStart w:id="170" w:name="_Toc184313304"/>
      <w:bookmarkEnd w:id="170"/>
      <w:bookmarkStart w:id="171" w:name="_Toc184308040"/>
      <w:bookmarkEnd w:id="171"/>
      <w:bookmarkStart w:id="172" w:name="_Toc184310331"/>
      <w:bookmarkEnd w:id="172"/>
      <w:bookmarkStart w:id="173" w:name="_Toc184308048"/>
      <w:bookmarkEnd w:id="173"/>
      <w:bookmarkStart w:id="174" w:name="_Toc184314413"/>
      <w:bookmarkEnd w:id="174"/>
      <w:bookmarkStart w:id="175" w:name="_Toc184308102"/>
      <w:bookmarkEnd w:id="175"/>
      <w:bookmarkStart w:id="176" w:name="_Toc184313263"/>
      <w:bookmarkEnd w:id="176"/>
      <w:bookmarkStart w:id="177" w:name="_Toc184314465"/>
      <w:bookmarkEnd w:id="177"/>
      <w:bookmarkStart w:id="178" w:name="_Toc184312091"/>
      <w:bookmarkEnd w:id="178"/>
      <w:bookmarkStart w:id="179" w:name="_Toc184308104"/>
      <w:bookmarkEnd w:id="179"/>
      <w:bookmarkStart w:id="180" w:name="_Toc184314424"/>
      <w:bookmarkEnd w:id="180"/>
      <w:bookmarkStart w:id="181" w:name="_Toc184312116"/>
      <w:bookmarkEnd w:id="181"/>
      <w:bookmarkStart w:id="182" w:name="_Toc184312117"/>
      <w:bookmarkEnd w:id="182"/>
      <w:bookmarkStart w:id="183" w:name="_Toc184312096"/>
      <w:bookmarkEnd w:id="183"/>
      <w:bookmarkStart w:id="184" w:name="_Toc184314423"/>
      <w:bookmarkEnd w:id="184"/>
      <w:bookmarkStart w:id="185" w:name="_Toc184310308"/>
      <w:bookmarkEnd w:id="185"/>
      <w:bookmarkStart w:id="186" w:name="_Toc184312088"/>
      <w:bookmarkEnd w:id="186"/>
      <w:bookmarkStart w:id="187" w:name="_Toc184312135"/>
      <w:bookmarkEnd w:id="187"/>
      <w:bookmarkStart w:id="188" w:name="_Toc184314466"/>
      <w:bookmarkEnd w:id="188"/>
      <w:bookmarkStart w:id="189" w:name="_Toc184313248"/>
      <w:bookmarkEnd w:id="189"/>
      <w:bookmarkStart w:id="190" w:name="_Toc184308068"/>
      <w:bookmarkEnd w:id="190"/>
      <w:bookmarkStart w:id="191" w:name="_Toc184310305"/>
      <w:bookmarkEnd w:id="191"/>
      <w:bookmarkStart w:id="192" w:name="_Toc184313281"/>
      <w:bookmarkEnd w:id="192"/>
      <w:bookmarkStart w:id="193" w:name="_Toc184313287"/>
      <w:bookmarkEnd w:id="193"/>
      <w:bookmarkStart w:id="194" w:name="_Toc184313303"/>
      <w:bookmarkEnd w:id="194"/>
      <w:bookmarkStart w:id="195" w:name="_Toc184310334"/>
      <w:bookmarkEnd w:id="195"/>
      <w:bookmarkStart w:id="196" w:name="_Toc184312072"/>
      <w:bookmarkEnd w:id="196"/>
      <w:bookmarkStart w:id="197" w:name="_Toc184308088"/>
      <w:bookmarkEnd w:id="197"/>
      <w:bookmarkStart w:id="198" w:name="_Toc184308085"/>
      <w:bookmarkEnd w:id="198"/>
      <w:bookmarkStart w:id="199" w:name="_Toc184312113"/>
      <w:bookmarkEnd w:id="199"/>
      <w:bookmarkStart w:id="200" w:name="_Toc184312130"/>
      <w:bookmarkEnd w:id="200"/>
      <w:bookmarkStart w:id="201" w:name="_Toc184312094"/>
      <w:bookmarkEnd w:id="201"/>
      <w:bookmarkStart w:id="202" w:name="_Toc184313298"/>
      <w:bookmarkEnd w:id="202"/>
      <w:bookmarkStart w:id="203" w:name="_Toc184313242"/>
      <w:bookmarkEnd w:id="203"/>
      <w:bookmarkStart w:id="204" w:name="_Toc184312119"/>
      <w:bookmarkEnd w:id="204"/>
      <w:bookmarkStart w:id="205" w:name="_Toc184314436"/>
      <w:bookmarkEnd w:id="205"/>
      <w:bookmarkStart w:id="206" w:name="_Toc184313251"/>
      <w:bookmarkEnd w:id="206"/>
      <w:bookmarkStart w:id="207" w:name="_Toc184308054"/>
      <w:bookmarkEnd w:id="207"/>
      <w:bookmarkStart w:id="208" w:name="_Toc184313280"/>
      <w:bookmarkEnd w:id="208"/>
      <w:bookmarkStart w:id="209" w:name="_Toc184310340"/>
      <w:bookmarkEnd w:id="209"/>
      <w:bookmarkStart w:id="210" w:name="_Toc184314435"/>
      <w:bookmarkEnd w:id="210"/>
      <w:bookmarkStart w:id="211" w:name="_Toc184314452"/>
      <w:bookmarkEnd w:id="211"/>
      <w:bookmarkStart w:id="212" w:name="_Toc184308051"/>
      <w:bookmarkEnd w:id="212"/>
      <w:bookmarkStart w:id="213" w:name="_Toc184314454"/>
      <w:bookmarkEnd w:id="213"/>
      <w:bookmarkStart w:id="214" w:name="_Toc184313258"/>
      <w:bookmarkEnd w:id="214"/>
      <w:bookmarkStart w:id="215" w:name="_Toc184310315"/>
      <w:bookmarkEnd w:id="215"/>
      <w:bookmarkStart w:id="216" w:name="_Toc184312098"/>
      <w:bookmarkEnd w:id="216"/>
      <w:bookmarkStart w:id="217" w:name="_Toc184310329"/>
      <w:bookmarkEnd w:id="217"/>
      <w:bookmarkStart w:id="218" w:name="_Toc184310288"/>
      <w:bookmarkEnd w:id="218"/>
      <w:bookmarkStart w:id="219" w:name="_Toc184313288"/>
      <w:bookmarkEnd w:id="219"/>
      <w:bookmarkStart w:id="220" w:name="_Toc184314446"/>
      <w:bookmarkEnd w:id="220"/>
      <w:bookmarkStart w:id="221" w:name="_Toc184308056"/>
      <w:bookmarkEnd w:id="221"/>
      <w:bookmarkStart w:id="222" w:name="_Toc184312122"/>
      <w:bookmarkEnd w:id="222"/>
      <w:bookmarkStart w:id="223" w:name="_Toc184314476"/>
      <w:bookmarkEnd w:id="223"/>
      <w:bookmarkStart w:id="224" w:name="_Toc184314481"/>
      <w:bookmarkEnd w:id="224"/>
      <w:bookmarkStart w:id="225" w:name="_Toc184314441"/>
      <w:bookmarkEnd w:id="225"/>
      <w:bookmarkStart w:id="226" w:name="_Toc184312083"/>
      <w:bookmarkEnd w:id="226"/>
      <w:bookmarkStart w:id="227" w:name="_Toc184312125"/>
      <w:bookmarkEnd w:id="227"/>
      <w:bookmarkStart w:id="228" w:name="_Toc184308099"/>
      <w:bookmarkEnd w:id="228"/>
      <w:bookmarkStart w:id="229" w:name="_Toc184308098"/>
      <w:bookmarkEnd w:id="229"/>
      <w:bookmarkStart w:id="230" w:name="_Toc184308077"/>
      <w:bookmarkEnd w:id="230"/>
      <w:bookmarkStart w:id="231" w:name="_Toc184312136"/>
      <w:bookmarkEnd w:id="231"/>
      <w:bookmarkStart w:id="232" w:name="_Toc184312069"/>
      <w:bookmarkEnd w:id="232"/>
      <w:bookmarkStart w:id="233" w:name="_Toc184310322"/>
      <w:bookmarkEnd w:id="233"/>
      <w:bookmarkStart w:id="234" w:name="_Toc184313285"/>
      <w:bookmarkEnd w:id="234"/>
      <w:bookmarkStart w:id="235" w:name="_Toc184312126"/>
      <w:bookmarkEnd w:id="235"/>
      <w:bookmarkStart w:id="236" w:name="_Toc184308073"/>
      <w:bookmarkEnd w:id="236"/>
      <w:bookmarkStart w:id="237" w:name="_Toc184308107"/>
      <w:bookmarkEnd w:id="237"/>
      <w:bookmarkStart w:id="238" w:name="_Toc184312133"/>
      <w:bookmarkEnd w:id="238"/>
      <w:bookmarkStart w:id="239" w:name="_Toc184312131"/>
      <w:bookmarkEnd w:id="239"/>
      <w:bookmarkStart w:id="240" w:name="_Toc184314427"/>
      <w:bookmarkEnd w:id="240"/>
      <w:bookmarkStart w:id="241" w:name="_Toc184312128"/>
      <w:bookmarkEnd w:id="241"/>
      <w:bookmarkStart w:id="242" w:name="_Toc184314456"/>
      <w:bookmarkEnd w:id="242"/>
      <w:bookmarkStart w:id="243" w:name="_Toc184314437"/>
      <w:bookmarkEnd w:id="243"/>
      <w:bookmarkStart w:id="244" w:name="_Toc184308076"/>
      <w:bookmarkEnd w:id="244"/>
      <w:bookmarkStart w:id="245" w:name="_Toc184310336"/>
      <w:bookmarkEnd w:id="245"/>
      <w:bookmarkStart w:id="246" w:name="_Toc184308078"/>
      <w:bookmarkEnd w:id="246"/>
      <w:bookmarkStart w:id="247" w:name="_Toc184308047"/>
      <w:bookmarkEnd w:id="247"/>
      <w:bookmarkStart w:id="248" w:name="_Toc184313293"/>
      <w:bookmarkEnd w:id="248"/>
      <w:bookmarkStart w:id="249" w:name="_Toc184308072"/>
      <w:bookmarkEnd w:id="249"/>
      <w:bookmarkStart w:id="250" w:name="_Toc184308058"/>
      <w:bookmarkEnd w:id="250"/>
      <w:bookmarkStart w:id="251" w:name="_Toc184310330"/>
      <w:bookmarkEnd w:id="251"/>
      <w:bookmarkStart w:id="252" w:name="_Toc184310321"/>
      <w:bookmarkEnd w:id="252"/>
      <w:bookmarkStart w:id="253" w:name="_Toc184310307"/>
      <w:bookmarkEnd w:id="253"/>
      <w:bookmarkStart w:id="254" w:name="_Toc184308074"/>
      <w:bookmarkEnd w:id="254"/>
      <w:bookmarkStart w:id="255" w:name="_Toc184313253"/>
      <w:bookmarkEnd w:id="255"/>
      <w:bookmarkStart w:id="256" w:name="_Toc184308080"/>
      <w:bookmarkEnd w:id="256"/>
      <w:bookmarkStart w:id="257" w:name="_Toc184313297"/>
      <w:bookmarkEnd w:id="257"/>
      <w:bookmarkStart w:id="258" w:name="_Toc184310338"/>
      <w:bookmarkEnd w:id="258"/>
      <w:bookmarkStart w:id="259" w:name="_Toc184312090"/>
      <w:bookmarkEnd w:id="259"/>
      <w:bookmarkStart w:id="260" w:name="_Toc184312118"/>
      <w:bookmarkEnd w:id="260"/>
      <w:bookmarkStart w:id="261" w:name="_Toc184313307"/>
      <w:bookmarkEnd w:id="261"/>
      <w:bookmarkStart w:id="262" w:name="_Toc184313278"/>
      <w:bookmarkEnd w:id="262"/>
      <w:bookmarkStart w:id="263" w:name="_Toc184310309"/>
      <w:bookmarkEnd w:id="263"/>
      <w:bookmarkStart w:id="264" w:name="_Toc184313247"/>
      <w:bookmarkEnd w:id="264"/>
      <w:bookmarkStart w:id="265" w:name="_Toc184310294"/>
      <w:bookmarkEnd w:id="265"/>
      <w:bookmarkStart w:id="266" w:name="_Toc184310280"/>
      <w:bookmarkEnd w:id="266"/>
      <w:bookmarkStart w:id="267" w:name="_Toc184313279"/>
      <w:bookmarkEnd w:id="267"/>
      <w:bookmarkStart w:id="268" w:name="_Toc184313290"/>
      <w:bookmarkEnd w:id="268"/>
      <w:bookmarkStart w:id="269" w:name="_Toc184308095"/>
      <w:bookmarkEnd w:id="269"/>
      <w:bookmarkStart w:id="270" w:name="_Toc184310306"/>
      <w:bookmarkEnd w:id="270"/>
      <w:bookmarkStart w:id="271" w:name="_Toc184310327"/>
      <w:bookmarkEnd w:id="271"/>
      <w:bookmarkStart w:id="272" w:name="_Toc184308101"/>
      <w:bookmarkEnd w:id="272"/>
      <w:bookmarkStart w:id="273" w:name="_Toc184313249"/>
      <w:bookmarkEnd w:id="273"/>
      <w:bookmarkStart w:id="274" w:name="_Toc184313240"/>
      <w:bookmarkEnd w:id="274"/>
      <w:bookmarkStart w:id="275" w:name="_Toc184310302"/>
      <w:bookmarkEnd w:id="275"/>
      <w:bookmarkStart w:id="276" w:name="_Toc184314469"/>
      <w:bookmarkEnd w:id="276"/>
      <w:bookmarkStart w:id="277" w:name="_Toc184314455"/>
      <w:bookmarkEnd w:id="277"/>
      <w:bookmarkStart w:id="278" w:name="_Toc184312124"/>
      <w:bookmarkEnd w:id="278"/>
      <w:bookmarkStart w:id="279" w:name="_Toc184313286"/>
      <w:bookmarkEnd w:id="279"/>
      <w:bookmarkStart w:id="280" w:name="_Toc184313250"/>
      <w:bookmarkEnd w:id="280"/>
      <w:bookmarkStart w:id="281" w:name="_Toc184310310"/>
      <w:bookmarkEnd w:id="281"/>
      <w:bookmarkStart w:id="282" w:name="_Toc184314410"/>
      <w:bookmarkEnd w:id="282"/>
      <w:bookmarkStart w:id="283" w:name="_Toc184312067"/>
      <w:bookmarkEnd w:id="283"/>
      <w:bookmarkStart w:id="284" w:name="_Toc184312104"/>
      <w:bookmarkEnd w:id="284"/>
      <w:bookmarkStart w:id="285" w:name="_Toc184312075"/>
      <w:bookmarkEnd w:id="285"/>
      <w:bookmarkStart w:id="286" w:name="_Toc184308036"/>
      <w:bookmarkEnd w:id="286"/>
      <w:bookmarkStart w:id="287" w:name="_Toc184310323"/>
      <w:bookmarkEnd w:id="287"/>
      <w:bookmarkStart w:id="288" w:name="_Toc184308070"/>
      <w:bookmarkEnd w:id="288"/>
      <w:bookmarkStart w:id="289" w:name="_Toc184314422"/>
      <w:bookmarkEnd w:id="289"/>
      <w:bookmarkStart w:id="290" w:name="_Toc184308060"/>
      <w:bookmarkEnd w:id="290"/>
      <w:bookmarkStart w:id="291" w:name="_Toc184314464"/>
      <w:bookmarkEnd w:id="291"/>
      <w:bookmarkStart w:id="292" w:name="_Toc184313291"/>
      <w:bookmarkEnd w:id="292"/>
      <w:bookmarkStart w:id="293" w:name="_Toc184310296"/>
      <w:bookmarkEnd w:id="293"/>
      <w:bookmarkStart w:id="294" w:name="_Toc184310298"/>
      <w:bookmarkEnd w:id="294"/>
      <w:bookmarkStart w:id="295" w:name="_Toc184313277"/>
      <w:bookmarkEnd w:id="295"/>
      <w:bookmarkStart w:id="296" w:name="_Toc184313289"/>
      <w:bookmarkEnd w:id="296"/>
      <w:bookmarkStart w:id="297" w:name="_Toc184313276"/>
      <w:bookmarkEnd w:id="297"/>
      <w:bookmarkStart w:id="298" w:name="_Toc184308069"/>
      <w:bookmarkEnd w:id="298"/>
      <w:bookmarkStart w:id="299" w:name="_Toc184308092"/>
      <w:bookmarkEnd w:id="299"/>
      <w:bookmarkStart w:id="300" w:name="_Toc184308097"/>
      <w:bookmarkEnd w:id="300"/>
      <w:bookmarkStart w:id="301" w:name="_Toc184313296"/>
      <w:bookmarkEnd w:id="301"/>
      <w:bookmarkStart w:id="302" w:name="_Toc184310289"/>
      <w:bookmarkEnd w:id="302"/>
      <w:bookmarkStart w:id="303" w:name="_Toc184314428"/>
      <w:bookmarkEnd w:id="303"/>
      <w:bookmarkStart w:id="304" w:name="_Toc184310283"/>
      <w:bookmarkEnd w:id="304"/>
      <w:bookmarkStart w:id="305" w:name="_Toc184312079"/>
      <w:bookmarkEnd w:id="305"/>
      <w:bookmarkStart w:id="306" w:name="_Toc184314444"/>
      <w:bookmarkEnd w:id="306"/>
      <w:bookmarkStart w:id="307" w:name="_Toc184314472"/>
      <w:bookmarkEnd w:id="307"/>
      <w:bookmarkStart w:id="308" w:name="_Toc184314449"/>
      <w:bookmarkEnd w:id="308"/>
      <w:bookmarkStart w:id="309" w:name="_Toc184313295"/>
      <w:bookmarkEnd w:id="309"/>
      <w:bookmarkStart w:id="310" w:name="_Toc184312138"/>
      <w:bookmarkEnd w:id="310"/>
      <w:bookmarkStart w:id="311" w:name="_Toc184312139"/>
      <w:bookmarkEnd w:id="311"/>
      <w:bookmarkStart w:id="312" w:name="_Toc184313244"/>
      <w:bookmarkEnd w:id="312"/>
      <w:bookmarkStart w:id="313" w:name="_Toc184310299"/>
      <w:bookmarkEnd w:id="313"/>
      <w:bookmarkStart w:id="314" w:name="_Toc184313274"/>
      <w:bookmarkEnd w:id="314"/>
      <w:bookmarkStart w:id="315" w:name="_Toc184310316"/>
      <w:bookmarkEnd w:id="315"/>
      <w:bookmarkStart w:id="316" w:name="_Toc184308108"/>
      <w:bookmarkEnd w:id="316"/>
      <w:bookmarkStart w:id="317" w:name="_Toc184312102"/>
      <w:bookmarkEnd w:id="317"/>
      <w:bookmarkStart w:id="318" w:name="_Toc184308079"/>
      <w:bookmarkEnd w:id="318"/>
      <w:bookmarkStart w:id="319" w:name="_Toc184310287"/>
      <w:bookmarkEnd w:id="319"/>
      <w:bookmarkStart w:id="320" w:name="_Toc184308039"/>
      <w:bookmarkEnd w:id="320"/>
      <w:bookmarkStart w:id="321" w:name="_Toc184313282"/>
      <w:bookmarkEnd w:id="321"/>
      <w:bookmarkStart w:id="322" w:name="_Toc184310324"/>
      <w:bookmarkEnd w:id="322"/>
      <w:bookmarkStart w:id="323" w:name="_Toc184308066"/>
      <w:bookmarkEnd w:id="323"/>
      <w:bookmarkStart w:id="324" w:name="_Toc184314415"/>
      <w:bookmarkEnd w:id="324"/>
      <w:bookmarkStart w:id="325" w:name="_Toc184314411"/>
      <w:bookmarkEnd w:id="325"/>
      <w:bookmarkStart w:id="326" w:name="_Toc184313238"/>
      <w:bookmarkEnd w:id="326"/>
      <w:bookmarkStart w:id="327" w:name="_Toc184313262"/>
      <w:bookmarkEnd w:id="327"/>
      <w:bookmarkStart w:id="328" w:name="_Toc184313306"/>
      <w:bookmarkEnd w:id="328"/>
      <w:bookmarkStart w:id="329" w:name="_Toc184314421"/>
      <w:bookmarkEnd w:id="329"/>
      <w:bookmarkStart w:id="330" w:name="_Toc184314414"/>
      <w:bookmarkEnd w:id="330"/>
      <w:bookmarkStart w:id="331" w:name="_Toc184314450"/>
      <w:bookmarkEnd w:id="331"/>
      <w:bookmarkStart w:id="332" w:name="_Toc184314482"/>
      <w:bookmarkEnd w:id="332"/>
      <w:bookmarkStart w:id="333" w:name="_Toc184312085"/>
      <w:bookmarkEnd w:id="333"/>
      <w:bookmarkStart w:id="334" w:name="_Toc184312099"/>
      <w:bookmarkEnd w:id="334"/>
      <w:bookmarkStart w:id="335" w:name="_Toc184310314"/>
      <w:bookmarkEnd w:id="335"/>
      <w:bookmarkStart w:id="336" w:name="_Toc184313243"/>
      <w:bookmarkEnd w:id="336"/>
      <w:bookmarkStart w:id="337" w:name="_Toc184310333"/>
      <w:bookmarkEnd w:id="337"/>
      <w:bookmarkStart w:id="338" w:name="_Toc184314479"/>
      <w:bookmarkEnd w:id="338"/>
      <w:bookmarkStart w:id="339" w:name="_Toc184312071"/>
      <w:bookmarkEnd w:id="339"/>
      <w:bookmarkStart w:id="340" w:name="_Toc184310285"/>
      <w:bookmarkEnd w:id="340"/>
      <w:bookmarkStart w:id="341" w:name="_Toc184308086"/>
      <w:bookmarkEnd w:id="341"/>
      <w:bookmarkStart w:id="342" w:name="_Toc184308044"/>
      <w:bookmarkEnd w:id="342"/>
      <w:bookmarkStart w:id="343" w:name="_Toc184310328"/>
      <w:bookmarkEnd w:id="343"/>
      <w:bookmarkStart w:id="344" w:name="_Toc184308041"/>
      <w:bookmarkEnd w:id="344"/>
      <w:bookmarkStart w:id="345" w:name="_Toc184313256"/>
      <w:bookmarkEnd w:id="345"/>
      <w:bookmarkStart w:id="346" w:name="_Toc184312074"/>
      <w:bookmarkEnd w:id="346"/>
      <w:bookmarkStart w:id="347" w:name="_Toc184310284"/>
      <w:bookmarkEnd w:id="347"/>
      <w:bookmarkStart w:id="348" w:name="_Toc184312092"/>
      <w:bookmarkEnd w:id="348"/>
      <w:bookmarkStart w:id="349" w:name="_Toc184314480"/>
      <w:bookmarkEnd w:id="349"/>
      <w:bookmarkStart w:id="350" w:name="_Toc184313265"/>
      <w:bookmarkEnd w:id="350"/>
      <w:bookmarkStart w:id="351" w:name="_Toc184310312"/>
      <w:bookmarkEnd w:id="351"/>
      <w:bookmarkStart w:id="352" w:name="_Toc184308100"/>
      <w:bookmarkEnd w:id="352"/>
      <w:bookmarkStart w:id="353" w:name="_Toc184308096"/>
      <w:bookmarkEnd w:id="353"/>
      <w:bookmarkStart w:id="354" w:name="_Toc184312078"/>
      <w:bookmarkEnd w:id="354"/>
      <w:bookmarkStart w:id="355" w:name="_Toc184312073"/>
      <w:bookmarkEnd w:id="355"/>
      <w:bookmarkStart w:id="356" w:name="_Toc184310297"/>
      <w:bookmarkEnd w:id="356"/>
      <w:bookmarkStart w:id="357" w:name="_Toc184310319"/>
      <w:bookmarkEnd w:id="357"/>
      <w:bookmarkStart w:id="358" w:name="_Toc184310272"/>
      <w:bookmarkEnd w:id="358"/>
      <w:bookmarkStart w:id="359" w:name="_Toc184314432"/>
      <w:bookmarkEnd w:id="359"/>
      <w:bookmarkStart w:id="360" w:name="_Toc184310318"/>
      <w:bookmarkEnd w:id="360"/>
      <w:bookmarkStart w:id="361" w:name="_Toc184314420"/>
      <w:bookmarkEnd w:id="361"/>
      <w:bookmarkStart w:id="362" w:name="_Toc184314445"/>
      <w:bookmarkEnd w:id="362"/>
      <w:bookmarkStart w:id="363" w:name="_Toc184314478"/>
      <w:bookmarkEnd w:id="363"/>
      <w:bookmarkStart w:id="364" w:name="_Toc184314460"/>
      <w:bookmarkEnd w:id="364"/>
      <w:bookmarkStart w:id="365" w:name="_Toc184314462"/>
      <w:bookmarkEnd w:id="365"/>
      <w:bookmarkStart w:id="366" w:name="_Toc184313260"/>
      <w:bookmarkEnd w:id="366"/>
      <w:bookmarkStart w:id="367" w:name="_Toc184312129"/>
      <w:bookmarkEnd w:id="367"/>
      <w:bookmarkStart w:id="368" w:name="_Toc184312081"/>
      <w:bookmarkEnd w:id="368"/>
      <w:bookmarkStart w:id="369" w:name="_Toc184313270"/>
      <w:bookmarkEnd w:id="369"/>
      <w:bookmarkStart w:id="370" w:name="_Toc184310339"/>
      <w:bookmarkEnd w:id="370"/>
      <w:bookmarkStart w:id="371" w:name="_Toc184313264"/>
      <w:bookmarkEnd w:id="371"/>
      <w:bookmarkStart w:id="372" w:name="_Toc184312089"/>
      <w:bookmarkEnd w:id="372"/>
      <w:bookmarkStart w:id="373" w:name="_Toc184313259"/>
      <w:bookmarkEnd w:id="373"/>
      <w:bookmarkStart w:id="374" w:name="_Toc184312093"/>
      <w:bookmarkEnd w:id="374"/>
      <w:bookmarkStart w:id="375" w:name="_Toc184314418"/>
      <w:bookmarkEnd w:id="375"/>
      <w:bookmarkStart w:id="376" w:name="_Toc184310277"/>
      <w:bookmarkEnd w:id="376"/>
      <w:bookmarkStart w:id="377" w:name="_Toc184314461"/>
      <w:bookmarkEnd w:id="377"/>
      <w:bookmarkStart w:id="378" w:name="_Toc184314431"/>
      <w:bookmarkEnd w:id="378"/>
      <w:bookmarkStart w:id="379" w:name="_Toc184310344"/>
      <w:bookmarkEnd w:id="379"/>
      <w:bookmarkStart w:id="380" w:name="_Toc184308042"/>
      <w:bookmarkEnd w:id="380"/>
      <w:bookmarkStart w:id="381" w:name="_Toc184313272"/>
      <w:bookmarkEnd w:id="381"/>
      <w:bookmarkStart w:id="382" w:name="_Toc184310342"/>
      <w:bookmarkEnd w:id="382"/>
      <w:bookmarkStart w:id="383" w:name="_Toc184310341"/>
      <w:bookmarkEnd w:id="383"/>
      <w:bookmarkStart w:id="384" w:name="_Toc184313266"/>
      <w:bookmarkEnd w:id="384"/>
      <w:bookmarkStart w:id="385" w:name="_Toc184312086"/>
      <w:bookmarkEnd w:id="385"/>
      <w:bookmarkStart w:id="386" w:name="_Toc184314473"/>
      <w:bookmarkEnd w:id="386"/>
      <w:bookmarkStart w:id="387" w:name="_Toc184313254"/>
      <w:bookmarkEnd w:id="387"/>
      <w:bookmarkStart w:id="388" w:name="_Toc184310311"/>
      <w:bookmarkEnd w:id="388"/>
      <w:bookmarkStart w:id="389" w:name="_Toc184312111"/>
      <w:bookmarkEnd w:id="389"/>
      <w:bookmarkStart w:id="390" w:name="_Toc184313246"/>
      <w:bookmarkEnd w:id="390"/>
      <w:bookmarkStart w:id="391" w:name="_Toc184308105"/>
      <w:bookmarkEnd w:id="391"/>
      <w:bookmarkStart w:id="392" w:name="_Toc184313239"/>
      <w:bookmarkEnd w:id="392"/>
      <w:bookmarkStart w:id="393" w:name="_Toc184314442"/>
      <w:bookmarkEnd w:id="393"/>
      <w:bookmarkStart w:id="394" w:name="_Toc184314457"/>
      <w:bookmarkEnd w:id="394"/>
      <w:bookmarkStart w:id="395" w:name="_Toc184308059"/>
      <w:bookmarkEnd w:id="395"/>
      <w:bookmarkStart w:id="396" w:name="_Toc184313301"/>
      <w:bookmarkEnd w:id="396"/>
      <w:r>
        <w:rPr>
          <w:rFonts w:hint="eastAsia" w:ascii="宋体" w:hAnsi="宋体"/>
          <w:b/>
          <w:sz w:val="36"/>
          <w:szCs w:val="36"/>
        </w:rPr>
        <w:t>评标办法</w:t>
      </w:r>
    </w:p>
    <w:p>
      <w:pPr>
        <w:spacing w:line="360" w:lineRule="auto"/>
        <w:jc w:val="center"/>
        <w:rPr>
          <w:rFonts w:hint="eastAsia" w:hAnsi="宋体"/>
          <w:b/>
          <w:sz w:val="32"/>
          <w:szCs w:val="20"/>
        </w:rPr>
      </w:pPr>
      <w:r>
        <w:rPr>
          <w:rFonts w:hAnsi="宋体"/>
          <w:b/>
          <w:sz w:val="32"/>
          <w:szCs w:val="20"/>
        </w:rPr>
        <w:t>评标办法前附表</w:t>
      </w:r>
    </w:p>
    <w:tbl>
      <w:tblPr>
        <w:tblStyle w:val="6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6298"/>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noWrap w:val="0"/>
            <w:vAlign w:val="center"/>
          </w:tcPr>
          <w:p>
            <w:pPr>
              <w:spacing w:line="360" w:lineRule="auto"/>
              <w:ind w:right="-21" w:rightChars="-10"/>
              <w:jc w:val="center"/>
              <w:rPr>
                <w:rFonts w:hint="eastAsia" w:ascii="宋体" w:hAnsi="宋体"/>
                <w:szCs w:val="21"/>
              </w:rPr>
            </w:pPr>
            <w:r>
              <w:rPr>
                <w:rFonts w:hint="eastAsia" w:ascii="宋体" w:hAnsi="宋体"/>
                <w:szCs w:val="21"/>
              </w:rPr>
              <w:t>序号</w:t>
            </w:r>
          </w:p>
        </w:tc>
        <w:tc>
          <w:tcPr>
            <w:tcW w:w="6298" w:type="dxa"/>
            <w:noWrap w:val="0"/>
            <w:vAlign w:val="center"/>
          </w:tcPr>
          <w:p>
            <w:pPr>
              <w:spacing w:line="360" w:lineRule="auto"/>
              <w:ind w:right="-21" w:rightChars="-10"/>
              <w:jc w:val="center"/>
              <w:rPr>
                <w:rFonts w:hint="eastAsia" w:ascii="宋体" w:hAnsi="宋体"/>
                <w:szCs w:val="21"/>
              </w:rPr>
            </w:pPr>
            <w:r>
              <w:rPr>
                <w:rFonts w:hint="eastAsia" w:ascii="宋体" w:hAnsi="宋体"/>
                <w:szCs w:val="21"/>
              </w:rPr>
              <w:t>评审内容</w:t>
            </w:r>
          </w:p>
        </w:tc>
        <w:tc>
          <w:tcPr>
            <w:tcW w:w="709" w:type="dxa"/>
            <w:noWrap w:val="0"/>
            <w:vAlign w:val="center"/>
          </w:tcPr>
          <w:p>
            <w:pPr>
              <w:snapToGrid w:val="0"/>
              <w:jc w:val="center"/>
              <w:rPr>
                <w:rFonts w:ascii="宋体" w:hAnsi="宋体"/>
                <w:szCs w:val="21"/>
              </w:rPr>
            </w:pPr>
            <w:r>
              <w:rPr>
                <w:rFonts w:hint="eastAsia" w:ascii="宋体" w:hAnsi="宋体"/>
                <w:szCs w:val="21"/>
              </w:rPr>
              <w:t>权重</w:t>
            </w:r>
          </w:p>
        </w:tc>
        <w:tc>
          <w:tcPr>
            <w:tcW w:w="709" w:type="dxa"/>
            <w:noWrap w:val="0"/>
            <w:vAlign w:val="center"/>
          </w:tcPr>
          <w:p>
            <w:pPr>
              <w:snapToGrid w:val="0"/>
              <w:jc w:val="center"/>
              <w:rPr>
                <w:rFonts w:ascii="宋体" w:hAnsi="宋体"/>
                <w:szCs w:val="21"/>
              </w:rPr>
            </w:pPr>
            <w:r>
              <w:rPr>
                <w:rFonts w:hint="eastAsia" w:ascii="宋体" w:hAnsi="宋体"/>
                <w:szCs w:val="21"/>
              </w:rPr>
              <w:t>主观分/客观分属性</w:t>
            </w:r>
          </w:p>
        </w:tc>
        <w:tc>
          <w:tcPr>
            <w:tcW w:w="850" w:type="dxa"/>
            <w:noWrap w:val="0"/>
            <w:vAlign w:val="center"/>
          </w:tcPr>
          <w:p>
            <w:pPr>
              <w:snapToGrid w:val="0"/>
              <w:jc w:val="center"/>
              <w:rPr>
                <w:rFonts w:ascii="宋体" w:hAnsi="宋体"/>
                <w:szCs w:val="21"/>
              </w:rPr>
            </w:pPr>
            <w:r>
              <w:rPr>
                <w:rFonts w:hint="eastAsia" w:ascii="宋体" w:hAnsi="宋体"/>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noWrap w:val="0"/>
            <w:vAlign w:val="center"/>
          </w:tcPr>
          <w:p>
            <w:pPr>
              <w:snapToGrid w:val="0"/>
              <w:ind w:right="-21" w:rightChars="-10"/>
              <w:jc w:val="center"/>
              <w:rPr>
                <w:szCs w:val="21"/>
              </w:rPr>
            </w:pPr>
            <w:r>
              <w:rPr>
                <w:szCs w:val="21"/>
              </w:rPr>
              <w:t>1</w:t>
            </w:r>
          </w:p>
        </w:tc>
        <w:tc>
          <w:tcPr>
            <w:tcW w:w="6298" w:type="dxa"/>
            <w:noWrap w:val="0"/>
            <w:vAlign w:val="center"/>
          </w:tcPr>
          <w:p>
            <w:pPr>
              <w:rPr>
                <w:rFonts w:ascii="宋体" w:hAnsi="宋体" w:cs="宋体"/>
                <w:bCs/>
                <w:color w:val="000000"/>
              </w:rPr>
            </w:pPr>
            <w:r>
              <w:rPr>
                <w:rFonts w:ascii="宋体" w:hAnsi="宋体" w:cs="宋体"/>
                <w:bCs/>
                <w:color w:val="000000"/>
                <w:kern w:val="0"/>
                <w:szCs w:val="21"/>
              </w:rPr>
              <w:t>投标人能提供有效期内的</w:t>
            </w:r>
            <w:r>
              <w:rPr>
                <w:rFonts w:hint="eastAsia" w:ascii="宋体" w:hAnsi="宋体" w:cs="宋体"/>
                <w:bCs/>
                <w:color w:val="000000"/>
                <w:kern w:val="0"/>
                <w:szCs w:val="21"/>
              </w:rPr>
              <w:t>ISO</w:t>
            </w:r>
            <w:r>
              <w:rPr>
                <w:rFonts w:ascii="宋体" w:hAnsi="宋体" w:cs="宋体"/>
                <w:bCs/>
                <w:color w:val="000000"/>
                <w:kern w:val="0"/>
                <w:szCs w:val="21"/>
              </w:rPr>
              <w:t>9001质量管理体系认证证书，得</w:t>
            </w:r>
            <w:r>
              <w:rPr>
                <w:rFonts w:hint="eastAsia" w:ascii="宋体" w:hAnsi="宋体" w:cs="宋体"/>
                <w:bCs/>
                <w:color w:val="000000"/>
                <w:kern w:val="0"/>
                <w:szCs w:val="21"/>
              </w:rPr>
              <w:t>1</w:t>
            </w:r>
            <w:r>
              <w:rPr>
                <w:rFonts w:ascii="宋体" w:hAnsi="宋体" w:cs="宋体"/>
                <w:bCs/>
                <w:color w:val="000000"/>
                <w:kern w:val="0"/>
                <w:szCs w:val="21"/>
              </w:rPr>
              <w:t>分，未提供不得分；</w:t>
            </w:r>
            <w:r>
              <w:rPr>
                <w:rFonts w:hint="eastAsia" w:ascii="宋体" w:hAnsi="宋体" w:cs="宋体"/>
                <w:bCs/>
                <w:color w:val="000000"/>
                <w:kern w:val="0"/>
                <w:szCs w:val="21"/>
              </w:rPr>
              <w:t>（提供投标人的证书扫描件加盖投标人公章）。</w:t>
            </w:r>
          </w:p>
        </w:tc>
        <w:tc>
          <w:tcPr>
            <w:tcW w:w="709" w:type="dxa"/>
            <w:noWrap w:val="0"/>
            <w:vAlign w:val="center"/>
          </w:tcPr>
          <w:p>
            <w:pPr>
              <w:jc w:val="center"/>
              <w:rPr>
                <w:rFonts w:ascii="宋体" w:hAnsi="宋体" w:cs="宋体"/>
                <w:b/>
                <w:color w:val="000000"/>
                <w:szCs w:val="21"/>
              </w:rPr>
            </w:pPr>
            <w:r>
              <w:rPr>
                <w:rFonts w:hint="eastAsia" w:ascii="宋体" w:hAnsi="宋体" w:cs="宋体"/>
                <w:bCs/>
                <w:color w:val="000000"/>
                <w:szCs w:val="21"/>
              </w:rPr>
              <w:t>1</w:t>
            </w:r>
          </w:p>
        </w:tc>
        <w:tc>
          <w:tcPr>
            <w:tcW w:w="709" w:type="dxa"/>
            <w:noWrap w:val="0"/>
            <w:vAlign w:val="center"/>
          </w:tcPr>
          <w:p>
            <w:pPr>
              <w:snapToGrid w:val="0"/>
              <w:ind w:right="-80" w:rightChars="-38"/>
              <w:jc w:val="center"/>
              <w:rPr>
                <w:szCs w:val="21"/>
              </w:rPr>
            </w:pPr>
            <w:r>
              <w:rPr>
                <w:rFonts w:hint="eastAsia" w:ascii="宋体" w:hAnsi="宋体"/>
                <w:szCs w:val="21"/>
              </w:rPr>
              <w:t>客观分</w:t>
            </w:r>
          </w:p>
        </w:tc>
        <w:tc>
          <w:tcPr>
            <w:tcW w:w="850" w:type="dxa"/>
            <w:noWrap w:val="0"/>
            <w:vAlign w:val="center"/>
          </w:tcPr>
          <w:p>
            <w:pPr>
              <w:snapToGrid w:val="0"/>
              <w:ind w:right="-80" w:rightChars="-38"/>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noWrap w:val="0"/>
            <w:vAlign w:val="center"/>
          </w:tcPr>
          <w:p>
            <w:pPr>
              <w:snapToGrid w:val="0"/>
              <w:ind w:right="-21" w:rightChars="-10"/>
              <w:jc w:val="center"/>
              <w:rPr>
                <w:szCs w:val="21"/>
              </w:rPr>
            </w:pPr>
            <w:r>
              <w:rPr>
                <w:szCs w:val="21"/>
              </w:rPr>
              <w:t>2</w:t>
            </w:r>
          </w:p>
        </w:tc>
        <w:tc>
          <w:tcPr>
            <w:tcW w:w="6298" w:type="dxa"/>
            <w:noWrap w:val="0"/>
            <w:vAlign w:val="center"/>
          </w:tcPr>
          <w:p>
            <w:pPr>
              <w:rPr>
                <w:rFonts w:ascii="宋体" w:hAnsi="宋体" w:cs="宋体"/>
                <w:bCs/>
                <w:color w:val="000000"/>
                <w:kern w:val="0"/>
                <w:szCs w:val="21"/>
              </w:rPr>
            </w:pPr>
            <w:r>
              <w:rPr>
                <w:rFonts w:hint="eastAsia" w:ascii="宋体" w:hAnsi="宋体" w:cs="宋体"/>
                <w:color w:val="000000"/>
                <w:kern w:val="0"/>
                <w:szCs w:val="21"/>
              </w:rPr>
              <w:t>投标人</w:t>
            </w:r>
            <w:r>
              <w:rPr>
                <w:rFonts w:ascii="宋体" w:hAnsi="宋体" w:cs="宋体"/>
                <w:bCs/>
                <w:color w:val="000000"/>
                <w:kern w:val="0"/>
                <w:szCs w:val="21"/>
              </w:rPr>
              <w:t>能提供</w:t>
            </w:r>
            <w:r>
              <w:rPr>
                <w:rFonts w:hint="eastAsia" w:ascii="宋体" w:hAnsi="宋体" w:cs="宋体"/>
                <w:snapToGrid w:val="0"/>
                <w:color w:val="000000"/>
                <w:kern w:val="0"/>
                <w:szCs w:val="21"/>
              </w:rPr>
              <w:t>有效期内的</w:t>
            </w:r>
            <w:r>
              <w:rPr>
                <w:rFonts w:hint="eastAsia" w:ascii="宋体" w:hAnsi="宋体" w:cs="宋体"/>
                <w:bCs/>
                <w:color w:val="000000"/>
                <w:kern w:val="0"/>
                <w:szCs w:val="21"/>
              </w:rPr>
              <w:t>ISO</w:t>
            </w:r>
            <w:r>
              <w:rPr>
                <w:rFonts w:ascii="宋体" w:hAnsi="宋体" w:cs="宋体"/>
                <w:bCs/>
                <w:color w:val="000000"/>
                <w:kern w:val="0"/>
                <w:szCs w:val="21"/>
              </w:rPr>
              <w:t>1348</w:t>
            </w:r>
            <w:r>
              <w:rPr>
                <w:rFonts w:hint="eastAsia" w:ascii="宋体" w:hAnsi="宋体" w:cs="宋体"/>
                <w:bCs/>
                <w:color w:val="000000"/>
                <w:kern w:val="0"/>
                <w:szCs w:val="21"/>
              </w:rPr>
              <w:t>5</w:t>
            </w:r>
            <w:r>
              <w:rPr>
                <w:rFonts w:hint="eastAsia" w:ascii="宋体" w:hAnsi="宋体" w:cs="宋体"/>
                <w:snapToGrid w:val="0"/>
                <w:color w:val="000000"/>
                <w:kern w:val="0"/>
                <w:szCs w:val="21"/>
              </w:rPr>
              <w:t>医疗器械质量管理体系认证证书，得2分，未提供不得分；（提供</w:t>
            </w:r>
            <w:r>
              <w:rPr>
                <w:rFonts w:hint="eastAsia" w:ascii="宋体" w:hAnsi="宋体" w:cs="宋体"/>
                <w:bCs/>
                <w:color w:val="000000"/>
              </w:rPr>
              <w:t>投标人的证书扫描件加盖投标人公章）。</w:t>
            </w:r>
          </w:p>
        </w:tc>
        <w:tc>
          <w:tcPr>
            <w:tcW w:w="709" w:type="dxa"/>
            <w:noWrap w:val="0"/>
            <w:vAlign w:val="center"/>
          </w:tcPr>
          <w:p>
            <w:pPr>
              <w:jc w:val="center"/>
              <w:rPr>
                <w:rFonts w:ascii="宋体" w:hAnsi="宋体" w:cs="宋体"/>
                <w:bCs/>
                <w:color w:val="000000"/>
                <w:szCs w:val="21"/>
              </w:rPr>
            </w:pPr>
            <w:r>
              <w:rPr>
                <w:rFonts w:hint="eastAsia" w:ascii="宋体" w:hAnsi="宋体" w:cs="宋体"/>
                <w:bCs/>
                <w:color w:val="000000"/>
                <w:szCs w:val="21"/>
              </w:rPr>
              <w:t>2</w:t>
            </w:r>
          </w:p>
        </w:tc>
        <w:tc>
          <w:tcPr>
            <w:tcW w:w="709" w:type="dxa"/>
            <w:noWrap w:val="0"/>
            <w:vAlign w:val="center"/>
          </w:tcPr>
          <w:p>
            <w:pPr>
              <w:snapToGrid w:val="0"/>
              <w:jc w:val="center"/>
              <w:rPr>
                <w:kern w:val="0"/>
                <w:szCs w:val="21"/>
              </w:rPr>
            </w:pPr>
            <w:r>
              <w:rPr>
                <w:rFonts w:hint="eastAsia" w:ascii="宋体" w:hAnsi="宋体"/>
                <w:szCs w:val="21"/>
              </w:rPr>
              <w:t>客观分</w:t>
            </w:r>
          </w:p>
        </w:tc>
        <w:tc>
          <w:tcPr>
            <w:tcW w:w="850"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noWrap w:val="0"/>
            <w:vAlign w:val="center"/>
          </w:tcPr>
          <w:p>
            <w:pPr>
              <w:snapToGrid w:val="0"/>
              <w:ind w:right="-21" w:rightChars="-10"/>
              <w:jc w:val="center"/>
              <w:rPr>
                <w:szCs w:val="21"/>
              </w:rPr>
            </w:pPr>
            <w:r>
              <w:rPr>
                <w:szCs w:val="21"/>
              </w:rPr>
              <w:t>3</w:t>
            </w:r>
          </w:p>
        </w:tc>
        <w:tc>
          <w:tcPr>
            <w:tcW w:w="6298" w:type="dxa"/>
            <w:noWrap w:val="0"/>
            <w:vAlign w:val="center"/>
          </w:tcPr>
          <w:p>
            <w:pPr>
              <w:rPr>
                <w:rFonts w:ascii="宋体" w:hAnsi="宋体" w:cs="宋体"/>
                <w:color w:val="000000"/>
                <w:kern w:val="0"/>
                <w:szCs w:val="21"/>
              </w:rPr>
            </w:pPr>
            <w:r>
              <w:rPr>
                <w:rFonts w:hint="eastAsia" w:ascii="宋体" w:hAnsi="宋体" w:cs="宋体"/>
                <w:color w:val="000000"/>
                <w:kern w:val="0"/>
                <w:szCs w:val="21"/>
              </w:rPr>
              <w:t>投标人具有医疗设备整体设备管理服务业绩（以合同扫描件为准）（部分设备或科室设备售后服务打包合同或医院设备技术咨询合同不算整体设备管理打包合同），每提供一份合同，得1分，最高得2分，不提供不得分。</w:t>
            </w:r>
          </w:p>
        </w:tc>
        <w:tc>
          <w:tcPr>
            <w:tcW w:w="709" w:type="dxa"/>
            <w:noWrap w:val="0"/>
            <w:vAlign w:val="center"/>
          </w:tcPr>
          <w:p>
            <w:pPr>
              <w:jc w:val="center"/>
              <w:rPr>
                <w:rFonts w:ascii="宋体" w:hAnsi="宋体" w:cs="宋体"/>
                <w:bCs/>
                <w:color w:val="000000"/>
                <w:szCs w:val="21"/>
              </w:rPr>
            </w:pPr>
            <w:r>
              <w:rPr>
                <w:rFonts w:hint="eastAsia" w:ascii="宋体" w:hAnsi="宋体" w:cs="宋体"/>
                <w:bCs/>
                <w:color w:val="000000"/>
                <w:szCs w:val="21"/>
              </w:rPr>
              <w:t>2</w:t>
            </w:r>
          </w:p>
        </w:tc>
        <w:tc>
          <w:tcPr>
            <w:tcW w:w="709" w:type="dxa"/>
            <w:noWrap w:val="0"/>
            <w:vAlign w:val="center"/>
          </w:tcPr>
          <w:p>
            <w:pPr>
              <w:snapToGrid w:val="0"/>
              <w:jc w:val="center"/>
              <w:rPr>
                <w:kern w:val="0"/>
                <w:szCs w:val="21"/>
              </w:rPr>
            </w:pPr>
            <w:r>
              <w:rPr>
                <w:rFonts w:hint="eastAsia" w:ascii="宋体" w:hAnsi="宋体"/>
                <w:szCs w:val="21"/>
              </w:rPr>
              <w:t>客观分</w:t>
            </w:r>
          </w:p>
        </w:tc>
        <w:tc>
          <w:tcPr>
            <w:tcW w:w="850" w:type="dxa"/>
            <w:noWrap w:val="0"/>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noWrap w:val="0"/>
            <w:vAlign w:val="center"/>
          </w:tcPr>
          <w:p>
            <w:pPr>
              <w:snapToGrid w:val="0"/>
              <w:ind w:right="-21" w:rightChars="-10"/>
              <w:jc w:val="center"/>
              <w:rPr>
                <w:szCs w:val="21"/>
              </w:rPr>
            </w:pPr>
            <w:r>
              <w:rPr>
                <w:szCs w:val="21"/>
              </w:rPr>
              <w:t>4</w:t>
            </w:r>
          </w:p>
        </w:tc>
        <w:tc>
          <w:tcPr>
            <w:tcW w:w="6298" w:type="dxa"/>
            <w:noWrap w:val="0"/>
            <w:vAlign w:val="center"/>
          </w:tcPr>
          <w:p>
            <w:pPr>
              <w:widowControl/>
              <w:snapToGrid w:val="0"/>
              <w:contextualSpacing/>
              <w:jc w:val="left"/>
              <w:rPr>
                <w:rFonts w:hAnsi="宋体"/>
                <w:color w:val="000000"/>
                <w:szCs w:val="21"/>
              </w:rPr>
            </w:pPr>
            <w:r>
              <w:rPr>
                <w:rFonts w:hAnsi="宋体"/>
                <w:color w:val="000000"/>
                <w:szCs w:val="21"/>
              </w:rPr>
              <w:t>维修保养方案</w:t>
            </w:r>
            <w:r>
              <w:rPr>
                <w:rFonts w:hint="eastAsia" w:hAnsi="宋体"/>
                <w:color w:val="000000"/>
                <w:szCs w:val="21"/>
              </w:rPr>
              <w:t>和</w:t>
            </w:r>
            <w:r>
              <w:rPr>
                <w:rFonts w:hAnsi="宋体"/>
                <w:color w:val="000000"/>
                <w:szCs w:val="21"/>
              </w:rPr>
              <w:t>应急处理方案</w:t>
            </w:r>
            <w:r>
              <w:rPr>
                <w:rFonts w:hint="eastAsia" w:hAnsi="宋体"/>
                <w:color w:val="000000"/>
                <w:szCs w:val="21"/>
              </w:rPr>
              <w:t>：</w:t>
            </w:r>
            <w:r>
              <w:rPr>
                <w:rFonts w:hAnsi="宋体"/>
                <w:color w:val="000000"/>
                <w:szCs w:val="21"/>
              </w:rPr>
              <w:t>根据</w:t>
            </w:r>
            <w:r>
              <w:rPr>
                <w:rFonts w:hint="eastAsia" w:hAnsi="宋体"/>
                <w:color w:val="000000"/>
                <w:szCs w:val="21"/>
              </w:rPr>
              <w:t>以下二项</w:t>
            </w:r>
            <w:r>
              <w:rPr>
                <w:rFonts w:hAnsi="宋体"/>
                <w:color w:val="000000"/>
                <w:szCs w:val="21"/>
              </w:rPr>
              <w:t>评定</w:t>
            </w:r>
          </w:p>
          <w:p>
            <w:pPr>
              <w:widowControl/>
              <w:snapToGrid w:val="0"/>
              <w:contextualSpacing/>
              <w:jc w:val="left"/>
              <w:rPr>
                <w:rFonts w:hAnsi="宋体"/>
                <w:color w:val="000000"/>
                <w:szCs w:val="21"/>
              </w:rPr>
            </w:pPr>
            <w:r>
              <w:rPr>
                <w:rFonts w:hAnsi="宋体"/>
                <w:color w:val="000000"/>
                <w:szCs w:val="21"/>
              </w:rPr>
              <w:t>投标人维修保养方案</w:t>
            </w:r>
            <w:r>
              <w:rPr>
                <w:rFonts w:hint="eastAsia" w:hAnsi="宋体"/>
                <w:color w:val="000000"/>
                <w:szCs w:val="21"/>
              </w:rPr>
              <w:t>及</w:t>
            </w:r>
            <w:r>
              <w:rPr>
                <w:rFonts w:hAnsi="宋体"/>
                <w:color w:val="000000"/>
                <w:szCs w:val="21"/>
              </w:rPr>
              <w:t>详尽程度（</w:t>
            </w:r>
            <w:r>
              <w:rPr>
                <w:rFonts w:hint="eastAsia" w:hAnsi="宋体"/>
                <w:color w:val="000000"/>
                <w:szCs w:val="21"/>
              </w:rPr>
              <w:t>3</w:t>
            </w:r>
            <w:r>
              <w:rPr>
                <w:rFonts w:hAnsi="宋体"/>
                <w:color w:val="000000"/>
                <w:szCs w:val="21"/>
              </w:rPr>
              <w:t>分）</w:t>
            </w:r>
          </w:p>
          <w:p>
            <w:pPr>
              <w:widowControl/>
              <w:snapToGrid w:val="0"/>
              <w:contextualSpacing/>
              <w:jc w:val="left"/>
              <w:rPr>
                <w:rFonts w:hAnsi="宋体"/>
                <w:color w:val="000000"/>
                <w:szCs w:val="21"/>
              </w:rPr>
            </w:pPr>
            <w:r>
              <w:rPr>
                <w:rFonts w:hAnsi="宋体"/>
                <w:color w:val="000000"/>
                <w:szCs w:val="21"/>
              </w:rPr>
              <w:t>应急处理方案的安全可靠性（</w:t>
            </w:r>
            <w:r>
              <w:rPr>
                <w:rFonts w:hint="eastAsia" w:hAnsi="宋体"/>
                <w:color w:val="000000"/>
                <w:szCs w:val="21"/>
              </w:rPr>
              <w:t>3</w:t>
            </w:r>
            <w:r>
              <w:rPr>
                <w:rFonts w:hAnsi="宋体"/>
                <w:color w:val="000000"/>
                <w:szCs w:val="21"/>
              </w:rPr>
              <w:t>分）。</w:t>
            </w:r>
          </w:p>
          <w:p>
            <w:pPr>
              <w:snapToGrid w:val="0"/>
              <w:rPr>
                <w:rFonts w:ascii="宋体" w:hAnsi="宋体" w:cs="宋体"/>
                <w:color w:val="000000"/>
                <w:szCs w:val="21"/>
              </w:rPr>
            </w:pPr>
            <w:r>
              <w:rPr>
                <w:rFonts w:hint="eastAsia" w:ascii="宋体" w:hAnsi="宋体"/>
                <w:color w:val="000000"/>
                <w:szCs w:val="21"/>
              </w:rPr>
              <w:t>以上各小项中：</w:t>
            </w:r>
            <w:r>
              <w:rPr>
                <w:rFonts w:ascii="宋体" w:hAnsi="宋体"/>
                <w:color w:val="000000"/>
                <w:szCs w:val="21"/>
              </w:rPr>
              <w:t>方案合理可行的得</w:t>
            </w:r>
            <w:r>
              <w:rPr>
                <w:rFonts w:hint="eastAsia" w:ascii="宋体" w:hAnsi="宋体"/>
                <w:color w:val="000000"/>
                <w:szCs w:val="21"/>
              </w:rPr>
              <w:t>3</w:t>
            </w:r>
            <w:r>
              <w:rPr>
                <w:rFonts w:ascii="宋体" w:hAnsi="宋体"/>
                <w:color w:val="000000"/>
                <w:szCs w:val="21"/>
              </w:rPr>
              <w:t>分，方案基本合理可行的得</w:t>
            </w:r>
            <w:r>
              <w:rPr>
                <w:rFonts w:hint="eastAsia" w:ascii="宋体" w:hAnsi="宋体"/>
                <w:color w:val="000000"/>
                <w:szCs w:val="21"/>
              </w:rPr>
              <w:t>2</w:t>
            </w:r>
            <w:r>
              <w:rPr>
                <w:rFonts w:ascii="宋体" w:hAnsi="宋体"/>
                <w:color w:val="000000"/>
                <w:szCs w:val="21"/>
              </w:rPr>
              <w:t>分，方案有欠缺的得</w:t>
            </w:r>
            <w:r>
              <w:rPr>
                <w:rFonts w:hint="eastAsia" w:ascii="宋体" w:hAnsi="宋体"/>
                <w:color w:val="000000"/>
                <w:szCs w:val="21"/>
              </w:rPr>
              <w:t>1</w:t>
            </w:r>
            <w:r>
              <w:rPr>
                <w:rFonts w:ascii="宋体" w:hAnsi="宋体"/>
                <w:color w:val="000000"/>
                <w:szCs w:val="21"/>
              </w:rPr>
              <w:t>分，未提供或不合理的得0分。</w:t>
            </w:r>
          </w:p>
        </w:tc>
        <w:tc>
          <w:tcPr>
            <w:tcW w:w="709" w:type="dxa"/>
            <w:noWrap w:val="0"/>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6</w:t>
            </w:r>
          </w:p>
        </w:tc>
        <w:tc>
          <w:tcPr>
            <w:tcW w:w="709" w:type="dxa"/>
            <w:noWrap w:val="0"/>
            <w:vAlign w:val="center"/>
          </w:tcPr>
          <w:p>
            <w:pPr>
              <w:snapToGrid w:val="0"/>
              <w:jc w:val="center"/>
              <w:rPr>
                <w:szCs w:val="21"/>
              </w:rPr>
            </w:pPr>
            <w:r>
              <w:rPr>
                <w:rFonts w:hint="eastAsia" w:ascii="宋体" w:hAnsi="宋体"/>
                <w:szCs w:val="21"/>
              </w:rPr>
              <w:t>主观分</w:t>
            </w:r>
          </w:p>
        </w:tc>
        <w:tc>
          <w:tcPr>
            <w:tcW w:w="850"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noWrap w:val="0"/>
            <w:vAlign w:val="center"/>
          </w:tcPr>
          <w:p>
            <w:pPr>
              <w:snapToGrid w:val="0"/>
              <w:ind w:right="-21" w:rightChars="-10"/>
              <w:jc w:val="center"/>
              <w:rPr>
                <w:szCs w:val="21"/>
              </w:rPr>
            </w:pPr>
            <w:r>
              <w:rPr>
                <w:szCs w:val="21"/>
              </w:rPr>
              <w:t>5</w:t>
            </w:r>
          </w:p>
        </w:tc>
        <w:tc>
          <w:tcPr>
            <w:tcW w:w="6298" w:type="dxa"/>
            <w:noWrap w:val="0"/>
            <w:vAlign w:val="center"/>
          </w:tcPr>
          <w:p>
            <w:pPr>
              <w:widowControl/>
              <w:snapToGrid w:val="0"/>
              <w:contextualSpacing/>
              <w:jc w:val="left"/>
              <w:rPr>
                <w:rFonts w:hAnsi="宋体"/>
                <w:color w:val="000000"/>
                <w:szCs w:val="21"/>
              </w:rPr>
            </w:pPr>
            <w:r>
              <w:rPr>
                <w:rFonts w:hint="eastAsia" w:hAnsi="宋体"/>
                <w:color w:val="000000"/>
                <w:szCs w:val="21"/>
              </w:rPr>
              <w:t>保证项目故维修进度及保障措施：</w:t>
            </w:r>
            <w:r>
              <w:rPr>
                <w:rFonts w:hAnsi="宋体"/>
                <w:color w:val="000000"/>
                <w:szCs w:val="21"/>
              </w:rPr>
              <w:t>根据</w:t>
            </w:r>
            <w:r>
              <w:rPr>
                <w:rFonts w:hint="eastAsia" w:hAnsi="宋体"/>
                <w:color w:val="000000"/>
                <w:szCs w:val="21"/>
              </w:rPr>
              <w:t>以下二项</w:t>
            </w:r>
            <w:r>
              <w:rPr>
                <w:rFonts w:hAnsi="宋体"/>
                <w:color w:val="000000"/>
                <w:szCs w:val="21"/>
              </w:rPr>
              <w:t>评定</w:t>
            </w:r>
          </w:p>
          <w:p>
            <w:pPr>
              <w:snapToGrid w:val="0"/>
              <w:rPr>
                <w:rFonts w:hAnsi="宋体"/>
                <w:color w:val="000000"/>
                <w:szCs w:val="21"/>
              </w:rPr>
            </w:pPr>
            <w:r>
              <w:rPr>
                <w:rFonts w:hint="eastAsia" w:hAnsi="宋体"/>
                <w:color w:val="000000"/>
                <w:szCs w:val="21"/>
              </w:rPr>
              <w:t>保证维修进度和项目完成的方案（3分）</w:t>
            </w:r>
          </w:p>
          <w:p>
            <w:pPr>
              <w:snapToGrid w:val="0"/>
              <w:rPr>
                <w:rFonts w:hAnsi="宋体"/>
                <w:color w:val="000000"/>
                <w:szCs w:val="21"/>
              </w:rPr>
            </w:pPr>
            <w:r>
              <w:rPr>
                <w:rFonts w:hint="eastAsia" w:hAnsi="宋体"/>
                <w:color w:val="000000"/>
                <w:szCs w:val="21"/>
              </w:rPr>
              <w:t>保证维修进度和项目完成的保障措施（3分）</w:t>
            </w:r>
          </w:p>
          <w:p>
            <w:pPr>
              <w:snapToGrid w:val="0"/>
              <w:rPr>
                <w:rFonts w:hAnsi="宋体"/>
                <w:color w:val="000000"/>
                <w:szCs w:val="21"/>
              </w:rPr>
            </w:pPr>
            <w:r>
              <w:rPr>
                <w:rFonts w:hint="eastAsia" w:hAnsi="宋体"/>
                <w:color w:val="000000"/>
                <w:szCs w:val="21"/>
              </w:rPr>
              <w:t>以上各小项中：</w:t>
            </w:r>
            <w:r>
              <w:rPr>
                <w:rFonts w:hAnsi="宋体"/>
                <w:color w:val="000000"/>
                <w:szCs w:val="21"/>
              </w:rPr>
              <w:t>方案合理可行的得</w:t>
            </w:r>
            <w:r>
              <w:rPr>
                <w:rFonts w:hint="eastAsia" w:hAnsi="宋体"/>
                <w:color w:val="000000"/>
                <w:szCs w:val="21"/>
              </w:rPr>
              <w:t>3</w:t>
            </w:r>
            <w:r>
              <w:rPr>
                <w:rFonts w:hAnsi="宋体"/>
                <w:color w:val="000000"/>
                <w:szCs w:val="21"/>
              </w:rPr>
              <w:t>分，方案基本合理可行的得</w:t>
            </w:r>
            <w:r>
              <w:rPr>
                <w:rFonts w:hint="eastAsia" w:hAnsi="宋体"/>
                <w:color w:val="000000"/>
                <w:szCs w:val="21"/>
              </w:rPr>
              <w:t>2</w:t>
            </w:r>
            <w:r>
              <w:rPr>
                <w:rFonts w:hAnsi="宋体"/>
                <w:color w:val="000000"/>
                <w:szCs w:val="21"/>
              </w:rPr>
              <w:t>分，方案有欠缺的得</w:t>
            </w:r>
            <w:r>
              <w:rPr>
                <w:rFonts w:hint="eastAsia" w:hAnsi="宋体"/>
                <w:color w:val="000000"/>
                <w:szCs w:val="21"/>
              </w:rPr>
              <w:t>1</w:t>
            </w:r>
            <w:r>
              <w:rPr>
                <w:rFonts w:hAnsi="宋体"/>
                <w:color w:val="000000"/>
                <w:szCs w:val="21"/>
              </w:rPr>
              <w:t>分，未提供或不合理的得0分。</w:t>
            </w:r>
          </w:p>
        </w:tc>
        <w:tc>
          <w:tcPr>
            <w:tcW w:w="709" w:type="dxa"/>
            <w:noWrap w:val="0"/>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6</w:t>
            </w:r>
          </w:p>
        </w:tc>
        <w:tc>
          <w:tcPr>
            <w:tcW w:w="709" w:type="dxa"/>
            <w:noWrap w:val="0"/>
            <w:vAlign w:val="center"/>
          </w:tcPr>
          <w:p>
            <w:pPr>
              <w:snapToGrid w:val="0"/>
              <w:jc w:val="center"/>
              <w:rPr>
                <w:szCs w:val="21"/>
              </w:rPr>
            </w:pPr>
            <w:r>
              <w:rPr>
                <w:rFonts w:hint="eastAsia" w:ascii="宋体" w:hAnsi="宋体"/>
                <w:szCs w:val="21"/>
              </w:rPr>
              <w:t>主观分</w:t>
            </w:r>
          </w:p>
        </w:tc>
        <w:tc>
          <w:tcPr>
            <w:tcW w:w="850"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8" w:hRule="atLeast"/>
        </w:trPr>
        <w:tc>
          <w:tcPr>
            <w:tcW w:w="756" w:type="dxa"/>
            <w:noWrap w:val="0"/>
            <w:vAlign w:val="center"/>
          </w:tcPr>
          <w:p>
            <w:pPr>
              <w:snapToGrid w:val="0"/>
              <w:ind w:right="-21" w:rightChars="-10"/>
              <w:jc w:val="center"/>
              <w:rPr>
                <w:szCs w:val="21"/>
              </w:rPr>
            </w:pPr>
            <w:r>
              <w:rPr>
                <w:szCs w:val="21"/>
              </w:rPr>
              <w:t>6</w:t>
            </w:r>
          </w:p>
        </w:tc>
        <w:tc>
          <w:tcPr>
            <w:tcW w:w="6298" w:type="dxa"/>
            <w:noWrap w:val="0"/>
            <w:vAlign w:val="center"/>
          </w:tcPr>
          <w:p>
            <w:pPr>
              <w:widowControl/>
              <w:snapToGrid w:val="0"/>
              <w:contextualSpacing/>
              <w:jc w:val="left"/>
              <w:rPr>
                <w:rFonts w:hAnsi="宋体"/>
                <w:color w:val="000000"/>
                <w:szCs w:val="21"/>
              </w:rPr>
            </w:pPr>
            <w:r>
              <w:rPr>
                <w:rFonts w:hAnsi="宋体"/>
                <w:color w:val="000000"/>
                <w:szCs w:val="21"/>
              </w:rPr>
              <w:t>对本项目的合理化建议综合评定</w:t>
            </w:r>
            <w:r>
              <w:rPr>
                <w:rFonts w:hint="eastAsia" w:hAnsi="宋体"/>
                <w:color w:val="000000"/>
                <w:szCs w:val="21"/>
              </w:rPr>
              <w:t>。</w:t>
            </w:r>
          </w:p>
          <w:p>
            <w:pPr>
              <w:snapToGrid w:val="0"/>
              <w:rPr>
                <w:rFonts w:hAnsi="宋体"/>
                <w:color w:val="000000"/>
                <w:szCs w:val="21"/>
              </w:rPr>
            </w:pPr>
            <w:r>
              <w:rPr>
                <w:rFonts w:hint="eastAsia" w:hAnsi="宋体"/>
                <w:color w:val="000000"/>
                <w:szCs w:val="21"/>
              </w:rPr>
              <w:t>满足用户实际采购需求</w:t>
            </w:r>
            <w:r>
              <w:rPr>
                <w:rFonts w:hAnsi="宋体"/>
                <w:color w:val="000000"/>
                <w:szCs w:val="21"/>
              </w:rPr>
              <w:t>的得2分，</w:t>
            </w:r>
            <w:r>
              <w:rPr>
                <w:rFonts w:hint="eastAsia" w:hAnsi="宋体"/>
                <w:color w:val="000000"/>
                <w:szCs w:val="21"/>
              </w:rPr>
              <w:t>部分满足用户实际采购需求</w:t>
            </w:r>
            <w:r>
              <w:rPr>
                <w:rFonts w:hAnsi="宋体"/>
                <w:color w:val="000000"/>
                <w:szCs w:val="21"/>
              </w:rPr>
              <w:t>的得</w:t>
            </w:r>
            <w:r>
              <w:rPr>
                <w:rFonts w:hint="eastAsia" w:hAnsi="宋体"/>
                <w:color w:val="000000"/>
                <w:szCs w:val="21"/>
              </w:rPr>
              <w:t>1</w:t>
            </w:r>
            <w:r>
              <w:rPr>
                <w:rFonts w:hAnsi="宋体"/>
                <w:color w:val="000000"/>
                <w:szCs w:val="21"/>
              </w:rPr>
              <w:t>分，未提供或不合理的得0分。</w:t>
            </w:r>
          </w:p>
        </w:tc>
        <w:tc>
          <w:tcPr>
            <w:tcW w:w="709" w:type="dxa"/>
            <w:noWrap w:val="0"/>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2</w:t>
            </w:r>
          </w:p>
        </w:tc>
        <w:tc>
          <w:tcPr>
            <w:tcW w:w="709" w:type="dxa"/>
            <w:noWrap w:val="0"/>
            <w:vAlign w:val="center"/>
          </w:tcPr>
          <w:p>
            <w:pPr>
              <w:snapToGrid w:val="0"/>
              <w:jc w:val="center"/>
              <w:rPr>
                <w:szCs w:val="21"/>
              </w:rPr>
            </w:pPr>
            <w:r>
              <w:rPr>
                <w:rFonts w:hint="eastAsia" w:ascii="宋体" w:hAnsi="宋体"/>
                <w:szCs w:val="21"/>
              </w:rPr>
              <w:t>主观分</w:t>
            </w:r>
          </w:p>
        </w:tc>
        <w:tc>
          <w:tcPr>
            <w:tcW w:w="850"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noWrap w:val="0"/>
            <w:vAlign w:val="center"/>
          </w:tcPr>
          <w:p>
            <w:pPr>
              <w:snapToGrid w:val="0"/>
              <w:ind w:right="-21" w:rightChars="-10"/>
              <w:jc w:val="center"/>
              <w:rPr>
                <w:szCs w:val="21"/>
              </w:rPr>
            </w:pPr>
            <w:r>
              <w:rPr>
                <w:szCs w:val="21"/>
              </w:rPr>
              <w:t>7</w:t>
            </w:r>
          </w:p>
        </w:tc>
        <w:tc>
          <w:tcPr>
            <w:tcW w:w="6298" w:type="dxa"/>
            <w:noWrap w:val="0"/>
            <w:vAlign w:val="center"/>
          </w:tcPr>
          <w:p>
            <w:pPr>
              <w:widowControl/>
              <w:snapToGrid w:val="0"/>
              <w:contextualSpacing/>
              <w:jc w:val="left"/>
              <w:rPr>
                <w:color w:val="000000"/>
                <w:szCs w:val="21"/>
              </w:rPr>
            </w:pPr>
            <w:r>
              <w:rPr>
                <w:rFonts w:hAnsi="宋体"/>
                <w:color w:val="000000"/>
                <w:szCs w:val="21"/>
              </w:rPr>
              <w:t>总体服务计划</w:t>
            </w:r>
            <w:r>
              <w:rPr>
                <w:rFonts w:hint="eastAsia" w:hAnsi="宋体"/>
                <w:color w:val="000000"/>
                <w:szCs w:val="21"/>
              </w:rPr>
              <w:t>及其它：</w:t>
            </w:r>
            <w:r>
              <w:rPr>
                <w:rFonts w:hAnsi="宋体"/>
                <w:color w:val="000000"/>
                <w:szCs w:val="21"/>
              </w:rPr>
              <w:t>根据以下内容的综合情况评定：</w:t>
            </w:r>
          </w:p>
          <w:p>
            <w:pPr>
              <w:snapToGrid w:val="0"/>
              <w:rPr>
                <w:color w:val="000000"/>
                <w:kern w:val="0"/>
                <w:szCs w:val="21"/>
              </w:rPr>
            </w:pPr>
            <w:r>
              <w:rPr>
                <w:rFonts w:hAnsi="宋体"/>
                <w:color w:val="000000"/>
                <w:kern w:val="0"/>
                <w:szCs w:val="21"/>
              </w:rPr>
              <w:t>总体服务计划（</w:t>
            </w:r>
            <w:r>
              <w:rPr>
                <w:color w:val="000000"/>
                <w:kern w:val="0"/>
                <w:szCs w:val="21"/>
              </w:rPr>
              <w:t>2</w:t>
            </w:r>
            <w:r>
              <w:rPr>
                <w:rFonts w:hAnsi="宋体"/>
                <w:color w:val="000000"/>
                <w:kern w:val="0"/>
                <w:szCs w:val="21"/>
              </w:rPr>
              <w:t>分）</w:t>
            </w:r>
          </w:p>
          <w:p>
            <w:pPr>
              <w:widowControl/>
              <w:snapToGrid w:val="0"/>
              <w:contextualSpacing/>
              <w:jc w:val="left"/>
              <w:rPr>
                <w:color w:val="000000"/>
                <w:szCs w:val="21"/>
              </w:rPr>
            </w:pPr>
            <w:r>
              <w:rPr>
                <w:rFonts w:hAnsi="宋体"/>
                <w:color w:val="000000"/>
                <w:szCs w:val="21"/>
              </w:rPr>
              <w:t>维保服务响应及时性（</w:t>
            </w:r>
            <w:r>
              <w:rPr>
                <w:color w:val="000000"/>
                <w:szCs w:val="21"/>
              </w:rPr>
              <w:t>2</w:t>
            </w:r>
            <w:r>
              <w:rPr>
                <w:rFonts w:hAnsi="宋体"/>
                <w:color w:val="000000"/>
                <w:szCs w:val="21"/>
              </w:rPr>
              <w:t>分）</w:t>
            </w:r>
          </w:p>
          <w:p>
            <w:pPr>
              <w:widowControl/>
              <w:snapToGrid w:val="0"/>
              <w:contextualSpacing/>
              <w:jc w:val="left"/>
              <w:rPr>
                <w:rFonts w:hAnsi="宋体"/>
                <w:color w:val="000000"/>
                <w:szCs w:val="21"/>
              </w:rPr>
            </w:pPr>
            <w:r>
              <w:rPr>
                <w:rFonts w:hAnsi="宋体"/>
                <w:color w:val="000000"/>
                <w:szCs w:val="21"/>
              </w:rPr>
              <w:t>配件库存</w:t>
            </w:r>
            <w:r>
              <w:rPr>
                <w:rFonts w:hint="eastAsia" w:hAnsi="宋体"/>
                <w:color w:val="000000"/>
                <w:szCs w:val="21"/>
              </w:rPr>
              <w:t>和更换方案与承诺</w:t>
            </w:r>
            <w:r>
              <w:rPr>
                <w:rFonts w:hAnsi="宋体"/>
                <w:color w:val="000000"/>
                <w:szCs w:val="21"/>
              </w:rPr>
              <w:t>（</w:t>
            </w:r>
            <w:r>
              <w:rPr>
                <w:color w:val="000000"/>
                <w:szCs w:val="21"/>
              </w:rPr>
              <w:t>2</w:t>
            </w:r>
            <w:r>
              <w:rPr>
                <w:rFonts w:hAnsi="宋体"/>
                <w:color w:val="000000"/>
                <w:szCs w:val="21"/>
              </w:rPr>
              <w:t>分）</w:t>
            </w:r>
          </w:p>
          <w:p>
            <w:pPr>
              <w:widowControl/>
              <w:snapToGrid w:val="0"/>
              <w:contextualSpacing/>
              <w:jc w:val="left"/>
              <w:rPr>
                <w:rFonts w:hAnsi="宋体"/>
                <w:color w:val="FF0000"/>
                <w:szCs w:val="21"/>
              </w:rPr>
            </w:pPr>
            <w:r>
              <w:rPr>
                <w:rFonts w:hint="eastAsia" w:hAnsi="宋体"/>
                <w:color w:val="000000"/>
                <w:szCs w:val="21"/>
              </w:rPr>
              <w:t>设备</w:t>
            </w:r>
            <w:r>
              <w:rPr>
                <w:rFonts w:hAnsi="宋体"/>
                <w:color w:val="000000"/>
                <w:szCs w:val="21"/>
              </w:rPr>
              <w:t>计量配合送检和现场检定方案（</w:t>
            </w:r>
            <w:r>
              <w:rPr>
                <w:color w:val="000000"/>
                <w:szCs w:val="21"/>
              </w:rPr>
              <w:t>2</w:t>
            </w:r>
            <w:r>
              <w:rPr>
                <w:rFonts w:hAnsi="宋体"/>
                <w:color w:val="000000"/>
                <w:szCs w:val="21"/>
              </w:rPr>
              <w:t>分）</w:t>
            </w:r>
          </w:p>
          <w:p>
            <w:pPr>
              <w:snapToGrid w:val="0"/>
              <w:rPr>
                <w:rFonts w:hAnsi="宋体"/>
                <w:color w:val="000000"/>
                <w:szCs w:val="21"/>
              </w:rPr>
            </w:pPr>
            <w:r>
              <w:rPr>
                <w:rFonts w:hint="eastAsia" w:hAnsi="宋体"/>
                <w:color w:val="000000"/>
                <w:szCs w:val="21"/>
              </w:rPr>
              <w:t>以上各小项中：</w:t>
            </w:r>
            <w:r>
              <w:rPr>
                <w:rFonts w:hAnsi="宋体"/>
                <w:color w:val="000000"/>
                <w:szCs w:val="21"/>
              </w:rPr>
              <w:t>方案</w:t>
            </w:r>
            <w:r>
              <w:rPr>
                <w:rFonts w:hint="eastAsia" w:hAnsi="宋体"/>
                <w:color w:val="000000"/>
                <w:szCs w:val="21"/>
              </w:rPr>
              <w:t>满足用户实际采购需求</w:t>
            </w:r>
            <w:r>
              <w:rPr>
                <w:rFonts w:hAnsi="宋体"/>
                <w:color w:val="000000"/>
                <w:szCs w:val="21"/>
              </w:rPr>
              <w:t>的得2分，方案</w:t>
            </w:r>
            <w:r>
              <w:rPr>
                <w:rFonts w:hint="eastAsia" w:hAnsi="宋体"/>
                <w:color w:val="000000"/>
                <w:szCs w:val="21"/>
              </w:rPr>
              <w:t>部分满足用户实际采购需求</w:t>
            </w:r>
            <w:r>
              <w:rPr>
                <w:rFonts w:hAnsi="宋体"/>
                <w:color w:val="000000"/>
                <w:szCs w:val="21"/>
              </w:rPr>
              <w:t>的得</w:t>
            </w:r>
            <w:r>
              <w:rPr>
                <w:rFonts w:hint="eastAsia" w:hAnsi="宋体"/>
                <w:color w:val="000000"/>
                <w:szCs w:val="21"/>
              </w:rPr>
              <w:t>1</w:t>
            </w:r>
            <w:r>
              <w:rPr>
                <w:rFonts w:hAnsi="宋体"/>
                <w:color w:val="000000"/>
                <w:szCs w:val="21"/>
              </w:rPr>
              <w:t>分，未提供或不合理的得0分。</w:t>
            </w:r>
          </w:p>
        </w:tc>
        <w:tc>
          <w:tcPr>
            <w:tcW w:w="709" w:type="dxa"/>
            <w:noWrap w:val="0"/>
            <w:vAlign w:val="center"/>
          </w:tcPr>
          <w:p>
            <w:pPr>
              <w:snapToGrid w:val="0"/>
              <w:spacing w:line="320" w:lineRule="exact"/>
              <w:jc w:val="center"/>
              <w:rPr>
                <w:rFonts w:ascii="宋体" w:hAnsi="宋体" w:cs="宋体"/>
                <w:color w:val="000000"/>
                <w:szCs w:val="21"/>
              </w:rPr>
            </w:pPr>
            <w:r>
              <w:rPr>
                <w:rFonts w:ascii="宋体" w:hAnsi="宋体" w:cs="宋体"/>
                <w:color w:val="000000"/>
                <w:szCs w:val="21"/>
              </w:rPr>
              <w:t>8</w:t>
            </w:r>
          </w:p>
        </w:tc>
        <w:tc>
          <w:tcPr>
            <w:tcW w:w="709" w:type="dxa"/>
            <w:noWrap w:val="0"/>
            <w:vAlign w:val="center"/>
          </w:tcPr>
          <w:p>
            <w:pPr>
              <w:snapToGrid w:val="0"/>
              <w:jc w:val="center"/>
              <w:rPr>
                <w:szCs w:val="21"/>
              </w:rPr>
            </w:pPr>
            <w:r>
              <w:rPr>
                <w:rFonts w:hint="eastAsia" w:ascii="宋体" w:hAnsi="宋体"/>
                <w:szCs w:val="21"/>
              </w:rPr>
              <w:t>主观分</w:t>
            </w:r>
          </w:p>
        </w:tc>
        <w:tc>
          <w:tcPr>
            <w:tcW w:w="850"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8" w:hRule="atLeast"/>
        </w:trPr>
        <w:tc>
          <w:tcPr>
            <w:tcW w:w="756" w:type="dxa"/>
            <w:noWrap w:val="0"/>
            <w:vAlign w:val="center"/>
          </w:tcPr>
          <w:p>
            <w:pPr>
              <w:snapToGrid w:val="0"/>
              <w:ind w:right="-21" w:rightChars="-10"/>
              <w:jc w:val="center"/>
              <w:rPr>
                <w:szCs w:val="21"/>
              </w:rPr>
            </w:pPr>
            <w:r>
              <w:rPr>
                <w:szCs w:val="21"/>
              </w:rPr>
              <w:t>8</w:t>
            </w:r>
          </w:p>
        </w:tc>
        <w:tc>
          <w:tcPr>
            <w:tcW w:w="6298" w:type="dxa"/>
            <w:noWrap w:val="0"/>
            <w:vAlign w:val="center"/>
          </w:tcPr>
          <w:p>
            <w:pPr>
              <w:snapToGrid w:val="0"/>
              <w:rPr>
                <w:rFonts w:ascii="宋体" w:hAnsi="宋体"/>
                <w:color w:val="000000"/>
                <w:szCs w:val="21"/>
              </w:rPr>
            </w:pPr>
            <w:r>
              <w:rPr>
                <w:rFonts w:ascii="宋体" w:hAnsi="宋体" w:cs="Arial"/>
                <w:bCs/>
                <w:color w:val="000000"/>
                <w:szCs w:val="21"/>
              </w:rPr>
              <w:t>设备维保的实施过程中，现场人员管理方案严谨</w:t>
            </w:r>
            <w:r>
              <w:rPr>
                <w:rFonts w:hint="eastAsia" w:ascii="宋体" w:hAnsi="宋体" w:cs="Arial"/>
                <w:bCs/>
                <w:color w:val="000000"/>
                <w:szCs w:val="21"/>
              </w:rPr>
              <w:t>和</w:t>
            </w:r>
            <w:r>
              <w:rPr>
                <w:rFonts w:ascii="宋体" w:hAnsi="宋体" w:cs="Arial"/>
                <w:bCs/>
                <w:color w:val="000000"/>
                <w:szCs w:val="21"/>
              </w:rPr>
              <w:t>可实施性评价。完全满足项目要求的得2分，</w:t>
            </w:r>
            <w:r>
              <w:rPr>
                <w:rFonts w:hint="eastAsia" w:hAnsi="宋体"/>
                <w:color w:val="000000"/>
                <w:szCs w:val="21"/>
              </w:rPr>
              <w:t>部分满足</w:t>
            </w:r>
            <w:r>
              <w:rPr>
                <w:rFonts w:ascii="宋体" w:hAnsi="宋体" w:cs="Arial"/>
                <w:bCs/>
                <w:color w:val="000000"/>
                <w:szCs w:val="21"/>
              </w:rPr>
              <w:t>项目要求的得1分，未提供或不合格得0分。</w:t>
            </w:r>
          </w:p>
        </w:tc>
        <w:tc>
          <w:tcPr>
            <w:tcW w:w="709" w:type="dxa"/>
            <w:noWrap w:val="0"/>
            <w:vAlign w:val="center"/>
          </w:tcPr>
          <w:p>
            <w:pPr>
              <w:snapToGrid w:val="0"/>
              <w:spacing w:line="288" w:lineRule="auto"/>
              <w:jc w:val="center"/>
              <w:rPr>
                <w:rFonts w:ascii="宋体" w:hAnsi="宋体" w:cs="宋体"/>
                <w:color w:val="000000"/>
                <w:szCs w:val="21"/>
              </w:rPr>
            </w:pPr>
            <w:r>
              <w:rPr>
                <w:rFonts w:ascii="宋体" w:hAnsi="宋体" w:cs="宋体"/>
                <w:color w:val="000000"/>
                <w:szCs w:val="21"/>
              </w:rPr>
              <w:t>2</w:t>
            </w:r>
          </w:p>
        </w:tc>
        <w:tc>
          <w:tcPr>
            <w:tcW w:w="709" w:type="dxa"/>
            <w:noWrap w:val="0"/>
            <w:vAlign w:val="center"/>
          </w:tcPr>
          <w:p>
            <w:pPr>
              <w:snapToGrid w:val="0"/>
              <w:jc w:val="center"/>
              <w:rPr>
                <w:szCs w:val="21"/>
              </w:rPr>
            </w:pPr>
            <w:r>
              <w:rPr>
                <w:rFonts w:hint="eastAsia" w:ascii="宋体" w:hAnsi="宋体"/>
                <w:szCs w:val="21"/>
              </w:rPr>
              <w:t>主观分</w:t>
            </w:r>
          </w:p>
        </w:tc>
        <w:tc>
          <w:tcPr>
            <w:tcW w:w="850"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756" w:type="dxa"/>
            <w:noWrap w:val="0"/>
            <w:vAlign w:val="center"/>
          </w:tcPr>
          <w:p>
            <w:pPr>
              <w:snapToGrid w:val="0"/>
              <w:ind w:right="-21" w:rightChars="-10"/>
              <w:jc w:val="center"/>
              <w:rPr>
                <w:szCs w:val="21"/>
              </w:rPr>
            </w:pPr>
            <w:r>
              <w:rPr>
                <w:szCs w:val="21"/>
              </w:rPr>
              <w:t>9</w:t>
            </w:r>
          </w:p>
        </w:tc>
        <w:tc>
          <w:tcPr>
            <w:tcW w:w="6298" w:type="dxa"/>
            <w:noWrap w:val="0"/>
            <w:vAlign w:val="center"/>
          </w:tcPr>
          <w:p>
            <w:pPr>
              <w:snapToGrid w:val="0"/>
              <w:rPr>
                <w:rFonts w:ascii="宋体" w:hAnsi="宋体" w:cs="Arial"/>
                <w:bCs/>
                <w:color w:val="000000"/>
                <w:szCs w:val="21"/>
              </w:rPr>
            </w:pPr>
            <w:r>
              <w:rPr>
                <w:rFonts w:ascii="宋体" w:hAnsi="宋体" w:cs="Arial"/>
                <w:bCs/>
                <w:color w:val="000000"/>
                <w:szCs w:val="21"/>
              </w:rPr>
              <w:t>巡检、保养、预防性维护方案及管理制度：巡检、保养、预防性维护方案及管理制度详尽、合理、完整、具有可操作性评价</w:t>
            </w:r>
            <w:r>
              <w:rPr>
                <w:rFonts w:hint="eastAsia" w:ascii="宋体" w:hAnsi="宋体" w:cs="Arial"/>
                <w:bCs/>
                <w:color w:val="000000"/>
                <w:szCs w:val="21"/>
              </w:rPr>
              <w:t>。</w:t>
            </w:r>
            <w:r>
              <w:rPr>
                <w:rFonts w:ascii="宋体" w:hAnsi="宋体" w:cs="Arial"/>
                <w:bCs/>
                <w:color w:val="000000"/>
                <w:szCs w:val="21"/>
              </w:rPr>
              <w:t>完全满足项目要求的得</w:t>
            </w:r>
            <w:r>
              <w:rPr>
                <w:rFonts w:hint="eastAsia" w:ascii="宋体" w:hAnsi="宋体" w:cs="Arial"/>
                <w:bCs/>
                <w:color w:val="000000"/>
                <w:szCs w:val="21"/>
              </w:rPr>
              <w:t>2</w:t>
            </w:r>
            <w:r>
              <w:rPr>
                <w:rFonts w:ascii="宋体" w:hAnsi="宋体" w:cs="Arial"/>
                <w:bCs/>
                <w:color w:val="000000"/>
                <w:szCs w:val="21"/>
              </w:rPr>
              <w:t>分，</w:t>
            </w:r>
            <w:r>
              <w:rPr>
                <w:rFonts w:hint="eastAsia" w:hAnsi="宋体"/>
                <w:color w:val="000000"/>
                <w:szCs w:val="21"/>
              </w:rPr>
              <w:t>部分满足</w:t>
            </w:r>
            <w:r>
              <w:rPr>
                <w:rFonts w:ascii="宋体" w:hAnsi="宋体" w:cs="Arial"/>
                <w:bCs/>
                <w:color w:val="000000"/>
                <w:szCs w:val="21"/>
              </w:rPr>
              <w:t>项目要求的得</w:t>
            </w:r>
            <w:r>
              <w:rPr>
                <w:rFonts w:hint="eastAsia" w:ascii="宋体" w:hAnsi="宋体" w:cs="Arial"/>
                <w:bCs/>
                <w:color w:val="000000"/>
                <w:szCs w:val="21"/>
              </w:rPr>
              <w:t>1</w:t>
            </w:r>
            <w:r>
              <w:rPr>
                <w:rFonts w:ascii="宋体" w:hAnsi="宋体" w:cs="Arial"/>
                <w:bCs/>
                <w:color w:val="000000"/>
                <w:szCs w:val="21"/>
              </w:rPr>
              <w:t>分，未提供或不合格得0分。</w:t>
            </w:r>
          </w:p>
        </w:tc>
        <w:tc>
          <w:tcPr>
            <w:tcW w:w="709" w:type="dxa"/>
            <w:noWrap w:val="0"/>
            <w:vAlign w:val="center"/>
          </w:tcPr>
          <w:p>
            <w:pPr>
              <w:snapToGrid w:val="0"/>
              <w:spacing w:line="288" w:lineRule="auto"/>
              <w:jc w:val="center"/>
              <w:rPr>
                <w:rFonts w:ascii="宋体" w:hAnsi="宋体" w:cs="宋体"/>
                <w:color w:val="000000"/>
                <w:szCs w:val="21"/>
              </w:rPr>
            </w:pPr>
            <w:r>
              <w:rPr>
                <w:rFonts w:hint="eastAsia" w:ascii="宋体" w:hAnsi="宋体" w:cs="宋体"/>
                <w:color w:val="000000"/>
                <w:szCs w:val="21"/>
              </w:rPr>
              <w:t>2</w:t>
            </w:r>
          </w:p>
        </w:tc>
        <w:tc>
          <w:tcPr>
            <w:tcW w:w="709" w:type="dxa"/>
            <w:noWrap w:val="0"/>
            <w:vAlign w:val="center"/>
          </w:tcPr>
          <w:p>
            <w:pPr>
              <w:snapToGrid w:val="0"/>
              <w:jc w:val="center"/>
              <w:rPr>
                <w:szCs w:val="21"/>
              </w:rPr>
            </w:pPr>
            <w:r>
              <w:rPr>
                <w:rFonts w:hint="eastAsia" w:ascii="宋体" w:hAnsi="宋体"/>
                <w:szCs w:val="21"/>
              </w:rPr>
              <w:t>主观分</w:t>
            </w:r>
          </w:p>
        </w:tc>
        <w:tc>
          <w:tcPr>
            <w:tcW w:w="850"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756" w:type="dxa"/>
            <w:noWrap w:val="0"/>
            <w:vAlign w:val="center"/>
          </w:tcPr>
          <w:p>
            <w:pPr>
              <w:snapToGrid w:val="0"/>
              <w:jc w:val="center"/>
              <w:rPr>
                <w:rFonts w:ascii="宋体" w:hAnsi="宋体"/>
                <w:szCs w:val="21"/>
              </w:rPr>
            </w:pPr>
            <w:r>
              <w:rPr>
                <w:rFonts w:ascii="宋体" w:hAnsi="宋体"/>
                <w:szCs w:val="21"/>
              </w:rPr>
              <w:t>10</w:t>
            </w:r>
          </w:p>
        </w:tc>
        <w:tc>
          <w:tcPr>
            <w:tcW w:w="6298" w:type="dxa"/>
            <w:noWrap w:val="0"/>
            <w:vAlign w:val="center"/>
          </w:tcPr>
          <w:p>
            <w:pPr>
              <w:rPr>
                <w:rFonts w:ascii="宋体" w:hAnsi="宋体"/>
                <w:szCs w:val="21"/>
              </w:rPr>
            </w:pPr>
            <w:r>
              <w:rPr>
                <w:rFonts w:hint="eastAsia" w:ascii="宋体" w:hAnsi="宋体"/>
                <w:szCs w:val="21"/>
              </w:rPr>
              <w:t>技术商务需求响应：供应商对“第三部分</w:t>
            </w:r>
            <w:r>
              <w:rPr>
                <w:rFonts w:ascii="宋体" w:hAnsi="宋体"/>
                <w:szCs w:val="21"/>
              </w:rPr>
              <w:t xml:space="preserve">  </w:t>
            </w:r>
            <w:r>
              <w:rPr>
                <w:rFonts w:hint="eastAsia" w:ascii="宋体" w:hAnsi="宋体"/>
                <w:szCs w:val="21"/>
              </w:rPr>
              <w:t>采购需求”各项技术和商务要求进行响应，实质性技术商务参数条款以“▲”号标注，不满足者将被视为无效标。产品技术商务指标全部满足招标文件要求的得24分。标注“</w:t>
            </w:r>
            <w:bookmarkStart w:id="397" w:name="_Hlk101856040"/>
            <w:r>
              <w:rPr>
                <w:rFonts w:hint="eastAsia" w:ascii="宋体" w:hAnsi="宋体"/>
                <w:szCs w:val="21"/>
              </w:rPr>
              <w:t>■</w:t>
            </w:r>
            <w:bookmarkEnd w:id="397"/>
            <w:r>
              <w:rPr>
                <w:rFonts w:hint="eastAsia" w:ascii="宋体" w:hAnsi="宋体"/>
                <w:szCs w:val="21"/>
              </w:rPr>
              <w:t>”为重要技术商务参数，不满足招标文件要求的，每一项扣减2分；其它的为一般技术商务参数，不满足招标文件要求的，每一项扣减1分。本项最高得24分；最低得</w:t>
            </w:r>
            <w:r>
              <w:rPr>
                <w:rFonts w:ascii="宋体" w:hAnsi="宋体"/>
                <w:szCs w:val="21"/>
              </w:rPr>
              <w:t>0</w:t>
            </w:r>
            <w:r>
              <w:rPr>
                <w:rFonts w:hint="eastAsia" w:ascii="宋体" w:hAnsi="宋体"/>
                <w:szCs w:val="21"/>
              </w:rPr>
              <w:t>分。</w:t>
            </w:r>
          </w:p>
        </w:tc>
        <w:tc>
          <w:tcPr>
            <w:tcW w:w="709" w:type="dxa"/>
            <w:noWrap w:val="0"/>
            <w:vAlign w:val="center"/>
          </w:tcPr>
          <w:p>
            <w:pPr>
              <w:snapToGrid w:val="0"/>
              <w:spacing w:line="320" w:lineRule="exact"/>
              <w:jc w:val="center"/>
              <w:rPr>
                <w:rFonts w:ascii="宋体" w:hAnsi="宋体"/>
                <w:szCs w:val="21"/>
              </w:rPr>
            </w:pPr>
            <w:r>
              <w:rPr>
                <w:rFonts w:hint="eastAsia" w:ascii="宋体" w:hAnsi="宋体"/>
                <w:szCs w:val="21"/>
              </w:rPr>
              <w:t>24</w:t>
            </w:r>
          </w:p>
        </w:tc>
        <w:tc>
          <w:tcPr>
            <w:tcW w:w="709" w:type="dxa"/>
            <w:noWrap w:val="0"/>
            <w:vAlign w:val="center"/>
          </w:tcPr>
          <w:p>
            <w:pPr>
              <w:snapToGrid w:val="0"/>
              <w:jc w:val="center"/>
              <w:rPr>
                <w:rFonts w:ascii="宋体" w:hAnsi="宋体"/>
                <w:szCs w:val="21"/>
              </w:rPr>
            </w:pPr>
            <w:r>
              <w:rPr>
                <w:rFonts w:hint="eastAsia" w:ascii="宋体" w:hAnsi="宋体"/>
                <w:szCs w:val="21"/>
              </w:rPr>
              <w:t>客观分</w:t>
            </w:r>
          </w:p>
        </w:tc>
        <w:tc>
          <w:tcPr>
            <w:tcW w:w="850"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756" w:type="dxa"/>
            <w:noWrap w:val="0"/>
            <w:vAlign w:val="center"/>
          </w:tcPr>
          <w:p>
            <w:pPr>
              <w:snapToGrid w:val="0"/>
              <w:ind w:right="-21" w:rightChars="-10"/>
              <w:jc w:val="center"/>
              <w:rPr>
                <w:szCs w:val="21"/>
              </w:rPr>
            </w:pPr>
            <w:r>
              <w:rPr>
                <w:rFonts w:hint="eastAsia"/>
                <w:szCs w:val="21"/>
              </w:rPr>
              <w:t>11</w:t>
            </w:r>
          </w:p>
        </w:tc>
        <w:tc>
          <w:tcPr>
            <w:tcW w:w="6298" w:type="dxa"/>
            <w:noWrap w:val="0"/>
            <w:vAlign w:val="center"/>
          </w:tcPr>
          <w:p>
            <w:pPr>
              <w:snapToGrid w:val="0"/>
              <w:rPr>
                <w:rFonts w:ascii="宋体" w:hAnsi="宋体" w:cs="Arial"/>
                <w:bCs/>
                <w:color w:val="000000"/>
                <w:szCs w:val="21"/>
              </w:rPr>
            </w:pPr>
            <w:r>
              <w:rPr>
                <w:rFonts w:ascii="宋体" w:hAnsi="宋体" w:cs="Arial"/>
                <w:bCs/>
                <w:color w:val="000000"/>
                <w:szCs w:val="21"/>
              </w:rPr>
              <w:t>驻场</w:t>
            </w:r>
            <w:r>
              <w:rPr>
                <w:rFonts w:hint="eastAsia" w:ascii="宋体" w:hAnsi="宋体" w:cs="Arial"/>
                <w:bCs/>
                <w:color w:val="000000"/>
                <w:szCs w:val="21"/>
              </w:rPr>
              <w:t>项目</w:t>
            </w:r>
            <w:r>
              <w:rPr>
                <w:rFonts w:ascii="宋体" w:hAnsi="宋体" w:cs="Arial"/>
                <w:bCs/>
                <w:color w:val="000000"/>
                <w:szCs w:val="21"/>
              </w:rPr>
              <w:t>经理</w:t>
            </w:r>
            <w:r>
              <w:rPr>
                <w:rFonts w:hint="eastAsia" w:ascii="宋体" w:hAnsi="宋体" w:cs="Arial"/>
                <w:bCs/>
                <w:color w:val="000000"/>
                <w:szCs w:val="21"/>
              </w:rPr>
              <w:t>：具有</w:t>
            </w:r>
            <w:r>
              <w:rPr>
                <w:rFonts w:ascii="宋体" w:hAnsi="宋体" w:cs="Arial"/>
                <w:bCs/>
                <w:color w:val="000000"/>
                <w:szCs w:val="21"/>
              </w:rPr>
              <w:t>医疗器械管理维修经验</w:t>
            </w:r>
            <w:r>
              <w:rPr>
                <w:rFonts w:hint="eastAsia" w:ascii="宋体" w:hAnsi="宋体" w:cs="Arial"/>
                <w:bCs/>
                <w:color w:val="000000"/>
                <w:szCs w:val="21"/>
              </w:rPr>
              <w:t>5</w:t>
            </w:r>
            <w:r>
              <w:rPr>
                <w:rFonts w:ascii="宋体" w:hAnsi="宋体" w:cs="Arial"/>
                <w:bCs/>
                <w:color w:val="000000"/>
                <w:szCs w:val="21"/>
              </w:rPr>
              <w:t>年以上</w:t>
            </w:r>
            <w:r>
              <w:rPr>
                <w:rFonts w:hint="eastAsia" w:ascii="宋体" w:hAnsi="宋体" w:cs="Arial"/>
                <w:bCs/>
                <w:color w:val="000000"/>
                <w:szCs w:val="21"/>
              </w:rPr>
              <w:t>得</w:t>
            </w:r>
            <w:r>
              <w:rPr>
                <w:rFonts w:ascii="宋体" w:hAnsi="宋体" w:cs="Arial"/>
                <w:bCs/>
                <w:color w:val="000000"/>
                <w:szCs w:val="21"/>
              </w:rPr>
              <w:t>2分，不符合上述要求</w:t>
            </w:r>
            <w:r>
              <w:rPr>
                <w:rFonts w:hint="eastAsia" w:ascii="宋体" w:hAnsi="宋体" w:cs="Arial"/>
                <w:bCs/>
                <w:color w:val="000000"/>
                <w:szCs w:val="21"/>
              </w:rPr>
              <w:t>，</w:t>
            </w:r>
            <w:r>
              <w:rPr>
                <w:rFonts w:ascii="宋体" w:hAnsi="宋体" w:cs="Arial"/>
                <w:bCs/>
                <w:color w:val="000000"/>
                <w:szCs w:val="21"/>
              </w:rPr>
              <w:t>不得分</w:t>
            </w:r>
            <w:r>
              <w:rPr>
                <w:rFonts w:hint="eastAsia" w:ascii="宋体" w:hAnsi="宋体" w:cs="Arial"/>
                <w:bCs/>
                <w:color w:val="000000"/>
                <w:szCs w:val="21"/>
              </w:rPr>
              <w:t>，提供相关证明文件</w:t>
            </w:r>
            <w:r>
              <w:rPr>
                <w:rFonts w:ascii="宋体" w:hAnsi="宋体" w:cs="Arial"/>
                <w:bCs/>
                <w:color w:val="000000"/>
                <w:szCs w:val="21"/>
              </w:rPr>
              <w:t>。</w:t>
            </w:r>
          </w:p>
        </w:tc>
        <w:tc>
          <w:tcPr>
            <w:tcW w:w="709" w:type="dxa"/>
            <w:noWrap w:val="0"/>
            <w:vAlign w:val="center"/>
          </w:tcPr>
          <w:p>
            <w:pPr>
              <w:snapToGrid w:val="0"/>
              <w:spacing w:line="288" w:lineRule="auto"/>
              <w:jc w:val="center"/>
              <w:rPr>
                <w:rFonts w:ascii="宋体" w:hAnsi="宋体" w:cs="宋体"/>
                <w:color w:val="000000"/>
                <w:szCs w:val="21"/>
              </w:rPr>
            </w:pPr>
            <w:r>
              <w:rPr>
                <w:rFonts w:ascii="宋体" w:hAnsi="宋体" w:cs="宋体"/>
                <w:color w:val="000000"/>
                <w:szCs w:val="21"/>
              </w:rPr>
              <w:t>2</w:t>
            </w:r>
          </w:p>
        </w:tc>
        <w:tc>
          <w:tcPr>
            <w:tcW w:w="709" w:type="dxa"/>
            <w:noWrap w:val="0"/>
            <w:vAlign w:val="center"/>
          </w:tcPr>
          <w:p>
            <w:pPr>
              <w:snapToGrid w:val="0"/>
              <w:jc w:val="center"/>
              <w:rPr>
                <w:rFonts w:hint="eastAsia" w:ascii="宋体" w:hAnsi="宋体"/>
                <w:szCs w:val="21"/>
              </w:rPr>
            </w:pPr>
            <w:r>
              <w:rPr>
                <w:rFonts w:hint="eastAsia" w:ascii="宋体" w:hAnsi="宋体"/>
                <w:szCs w:val="21"/>
              </w:rPr>
              <w:t>客观分</w:t>
            </w:r>
          </w:p>
        </w:tc>
        <w:tc>
          <w:tcPr>
            <w:tcW w:w="850"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756" w:type="dxa"/>
            <w:noWrap w:val="0"/>
            <w:vAlign w:val="center"/>
          </w:tcPr>
          <w:p>
            <w:pPr>
              <w:snapToGrid w:val="0"/>
              <w:ind w:right="-21" w:rightChars="-10"/>
              <w:jc w:val="center"/>
              <w:rPr>
                <w:szCs w:val="21"/>
              </w:rPr>
            </w:pPr>
            <w:r>
              <w:rPr>
                <w:rFonts w:hint="eastAsia"/>
                <w:szCs w:val="21"/>
              </w:rPr>
              <w:t>12</w:t>
            </w:r>
          </w:p>
        </w:tc>
        <w:tc>
          <w:tcPr>
            <w:tcW w:w="6298" w:type="dxa"/>
            <w:noWrap w:val="0"/>
            <w:vAlign w:val="top"/>
          </w:tcPr>
          <w:p>
            <w:pPr>
              <w:snapToGrid w:val="0"/>
              <w:rPr>
                <w:rFonts w:hint="eastAsia" w:ascii="宋体" w:hAnsi="宋体"/>
                <w:bCs/>
                <w:color w:val="000000"/>
                <w:szCs w:val="21"/>
              </w:rPr>
            </w:pPr>
            <w:r>
              <w:rPr>
                <w:rFonts w:hint="eastAsia" w:ascii="宋体" w:hAnsi="宋体"/>
                <w:bCs/>
                <w:color w:val="000000"/>
                <w:szCs w:val="21"/>
              </w:rPr>
              <w:t>拟投入本项目的项目工程师团队评价：</w:t>
            </w:r>
          </w:p>
          <w:p>
            <w:pPr>
              <w:snapToGrid w:val="0"/>
              <w:rPr>
                <w:rFonts w:ascii="宋体" w:hAnsi="宋体"/>
                <w:bCs/>
                <w:color w:val="000000"/>
                <w:szCs w:val="21"/>
              </w:rPr>
            </w:pPr>
            <w:r>
              <w:rPr>
                <w:rFonts w:hint="eastAsia" w:ascii="宋体" w:hAnsi="宋体" w:cs="Arial"/>
                <w:bCs/>
                <w:color w:val="000000"/>
                <w:szCs w:val="21"/>
              </w:rPr>
              <w:t>①</w:t>
            </w:r>
            <w:r>
              <w:rPr>
                <w:rFonts w:hint="eastAsia" w:ascii="宋体" w:hAnsi="宋体"/>
                <w:bCs/>
                <w:color w:val="000000"/>
                <w:szCs w:val="21"/>
              </w:rPr>
              <w:t>工程师团队具有助理工程师及以上职称证书，每提供一份，得1分，最高得1分，不提供不得分；</w:t>
            </w:r>
          </w:p>
          <w:p>
            <w:pPr>
              <w:snapToGrid w:val="0"/>
              <w:rPr>
                <w:rFonts w:ascii="宋体" w:hAnsi="宋体"/>
                <w:bCs/>
                <w:color w:val="000000"/>
                <w:szCs w:val="21"/>
              </w:rPr>
            </w:pPr>
            <w:r>
              <w:rPr>
                <w:rFonts w:hint="eastAsia" w:ascii="宋体" w:hAnsi="宋体"/>
                <w:bCs/>
                <w:color w:val="000000"/>
                <w:szCs w:val="21"/>
              </w:rPr>
              <w:t>②</w:t>
            </w:r>
            <w:r>
              <w:rPr>
                <w:rFonts w:ascii="宋体" w:hAnsi="宋体"/>
                <w:bCs/>
                <w:color w:val="000000"/>
                <w:szCs w:val="21"/>
              </w:rPr>
              <w:t>工程师团队具有中国科学院核能安全技术研究所颁发的辐射安全与防护证书，</w:t>
            </w:r>
            <w:r>
              <w:rPr>
                <w:rFonts w:hint="eastAsia" w:ascii="宋体" w:hAnsi="宋体"/>
                <w:bCs/>
                <w:color w:val="000000"/>
                <w:szCs w:val="21"/>
              </w:rPr>
              <w:t>每提供一份，得1分，最高得1分，不提供不得分；</w:t>
            </w:r>
          </w:p>
          <w:p>
            <w:pPr>
              <w:snapToGrid w:val="0"/>
              <w:rPr>
                <w:rFonts w:ascii="宋体" w:hAnsi="宋体"/>
                <w:bCs/>
                <w:color w:val="000000"/>
                <w:szCs w:val="21"/>
              </w:rPr>
            </w:pPr>
            <w:r>
              <w:rPr>
                <w:rFonts w:hint="eastAsia" w:ascii="宋体" w:hAnsi="宋体"/>
                <w:bCs/>
                <w:color w:val="000000"/>
                <w:szCs w:val="21"/>
              </w:rPr>
              <w:t>③工程师团队具有国家级</w:t>
            </w:r>
            <w:r>
              <w:rPr>
                <w:rFonts w:ascii="宋体" w:hAnsi="宋体"/>
                <w:bCs/>
                <w:color w:val="000000"/>
                <w:szCs w:val="21"/>
              </w:rPr>
              <w:t>相关部门或行业协会颁发</w:t>
            </w:r>
            <w:r>
              <w:rPr>
                <w:rFonts w:hint="eastAsia" w:ascii="宋体" w:hAnsi="宋体"/>
                <w:bCs/>
                <w:color w:val="000000"/>
                <w:szCs w:val="21"/>
              </w:rPr>
              <w:t>的医疗设备质控从业人员培训合格证书，每提供一份，得1分，最高得5分，不提供不得分；</w:t>
            </w:r>
          </w:p>
          <w:p>
            <w:pPr>
              <w:snapToGrid w:val="0"/>
              <w:rPr>
                <w:rFonts w:ascii="宋体" w:hAnsi="宋体"/>
                <w:bCs/>
                <w:color w:val="000000"/>
                <w:szCs w:val="21"/>
              </w:rPr>
            </w:pPr>
            <w:r>
              <w:rPr>
                <w:rFonts w:hint="eastAsia" w:ascii="宋体" w:hAnsi="宋体"/>
                <w:bCs/>
                <w:color w:val="000000"/>
                <w:szCs w:val="21"/>
              </w:rPr>
              <w:t>④工程师团队具有市级及以上的市场监督管理局颁发的特种设备安全管理和作业证书，每提供一份，得1分，最高得1分，不提供不得分。</w:t>
            </w:r>
          </w:p>
          <w:p>
            <w:pPr>
              <w:snapToGrid w:val="0"/>
              <w:rPr>
                <w:rFonts w:hint="eastAsia" w:ascii="宋体" w:hAnsi="宋体"/>
                <w:bCs/>
                <w:color w:val="000000"/>
                <w:szCs w:val="21"/>
              </w:rPr>
            </w:pPr>
            <w:r>
              <w:rPr>
                <w:rFonts w:hint="eastAsia" w:ascii="宋体" w:hAnsi="宋体"/>
                <w:bCs/>
                <w:color w:val="000000"/>
                <w:szCs w:val="21"/>
              </w:rPr>
              <w:t>⑤工程师团队具有人力资源和社会保障厅（部）颁发的三级及以上电工证书，每提供一份，得1分，最高得3分，不提供不得分；</w:t>
            </w:r>
          </w:p>
          <w:p>
            <w:pPr>
              <w:snapToGrid w:val="0"/>
              <w:rPr>
                <w:rFonts w:ascii="宋体" w:hAnsi="宋体"/>
                <w:bCs/>
                <w:color w:val="000000"/>
                <w:szCs w:val="21"/>
              </w:rPr>
            </w:pPr>
            <w:r>
              <w:rPr>
                <w:rFonts w:hint="eastAsia" w:ascii="宋体" w:hAnsi="宋体"/>
                <w:bCs/>
                <w:color w:val="000000"/>
                <w:szCs w:val="21"/>
              </w:rPr>
              <w:t>注：以上均需提供相关证书扫描件，否则不得分。</w:t>
            </w:r>
          </w:p>
        </w:tc>
        <w:tc>
          <w:tcPr>
            <w:tcW w:w="709" w:type="dxa"/>
            <w:noWrap w:val="0"/>
            <w:vAlign w:val="center"/>
          </w:tcPr>
          <w:p>
            <w:pPr>
              <w:snapToGrid w:val="0"/>
              <w:spacing w:line="288" w:lineRule="auto"/>
              <w:jc w:val="center"/>
              <w:rPr>
                <w:rFonts w:ascii="宋体" w:hAnsi="宋体" w:cs="宋体"/>
                <w:color w:val="000000"/>
                <w:szCs w:val="21"/>
              </w:rPr>
            </w:pPr>
            <w:r>
              <w:rPr>
                <w:rFonts w:hint="eastAsia" w:ascii="宋体" w:hAnsi="宋体" w:cs="宋体"/>
                <w:color w:val="000000"/>
                <w:szCs w:val="21"/>
              </w:rPr>
              <w:t>11</w:t>
            </w:r>
          </w:p>
        </w:tc>
        <w:tc>
          <w:tcPr>
            <w:tcW w:w="709" w:type="dxa"/>
            <w:noWrap w:val="0"/>
            <w:vAlign w:val="center"/>
          </w:tcPr>
          <w:p>
            <w:pPr>
              <w:snapToGrid w:val="0"/>
              <w:jc w:val="center"/>
              <w:rPr>
                <w:rFonts w:hint="eastAsia" w:ascii="宋体" w:hAnsi="宋体"/>
                <w:szCs w:val="21"/>
              </w:rPr>
            </w:pPr>
            <w:r>
              <w:rPr>
                <w:rFonts w:hint="eastAsia" w:ascii="宋体" w:hAnsi="宋体"/>
                <w:szCs w:val="21"/>
              </w:rPr>
              <w:t>客观分</w:t>
            </w:r>
          </w:p>
        </w:tc>
        <w:tc>
          <w:tcPr>
            <w:tcW w:w="850"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756" w:type="dxa"/>
            <w:noWrap w:val="0"/>
            <w:vAlign w:val="center"/>
          </w:tcPr>
          <w:p>
            <w:pPr>
              <w:snapToGrid w:val="0"/>
              <w:ind w:right="-21" w:rightChars="-10"/>
              <w:jc w:val="center"/>
              <w:rPr>
                <w:szCs w:val="21"/>
              </w:rPr>
            </w:pPr>
            <w:r>
              <w:rPr>
                <w:rFonts w:hint="eastAsia"/>
                <w:szCs w:val="21"/>
              </w:rPr>
              <w:t>13</w:t>
            </w:r>
          </w:p>
        </w:tc>
        <w:tc>
          <w:tcPr>
            <w:tcW w:w="6298" w:type="dxa"/>
            <w:noWrap w:val="0"/>
            <w:vAlign w:val="center"/>
          </w:tcPr>
          <w:p>
            <w:pPr>
              <w:snapToGrid w:val="0"/>
              <w:jc w:val="left"/>
              <w:rPr>
                <w:rFonts w:ascii="宋体" w:hAnsi="宋体"/>
                <w:bCs/>
                <w:color w:val="000000"/>
                <w:szCs w:val="21"/>
              </w:rPr>
            </w:pPr>
            <w:r>
              <w:rPr>
                <w:rFonts w:hint="eastAsia" w:ascii="宋体" w:hAnsi="宋体"/>
                <w:bCs/>
                <w:color w:val="000000"/>
                <w:szCs w:val="21"/>
              </w:rPr>
              <w:t>投标人按技术参数中“附件2：</w:t>
            </w:r>
            <w:r>
              <w:rPr>
                <w:rFonts w:hint="eastAsia" w:ascii="宋体" w:hAnsi="宋体" w:cs="宋体"/>
                <w:kern w:val="0"/>
              </w:rPr>
              <w:t>需原厂保修设备清单</w:t>
            </w:r>
            <w:r>
              <w:rPr>
                <w:rFonts w:hint="eastAsia" w:ascii="宋体" w:hAnsi="宋体"/>
                <w:bCs/>
                <w:color w:val="000000"/>
                <w:szCs w:val="21"/>
              </w:rPr>
              <w:t>”中设备，每提供一个产品授权证书或合作协议文件得1分，最高得6分；不提供不得分。按技术参数中“附件2：</w:t>
            </w:r>
            <w:r>
              <w:rPr>
                <w:rFonts w:hint="eastAsia" w:ascii="宋体" w:hAnsi="宋体" w:cs="宋体"/>
                <w:kern w:val="0"/>
              </w:rPr>
              <w:t>需原厂保修设备清单</w:t>
            </w:r>
            <w:r>
              <w:rPr>
                <w:rFonts w:hint="eastAsia" w:ascii="宋体" w:hAnsi="宋体"/>
                <w:bCs/>
                <w:color w:val="000000"/>
                <w:szCs w:val="21"/>
              </w:rPr>
              <w:t>”中设备评价。提供证明材料。</w:t>
            </w:r>
          </w:p>
        </w:tc>
        <w:tc>
          <w:tcPr>
            <w:tcW w:w="709" w:type="dxa"/>
            <w:noWrap w:val="0"/>
            <w:vAlign w:val="center"/>
          </w:tcPr>
          <w:p>
            <w:pPr>
              <w:snapToGrid w:val="0"/>
              <w:spacing w:line="288" w:lineRule="auto"/>
              <w:jc w:val="center"/>
              <w:rPr>
                <w:rFonts w:ascii="宋体" w:hAnsi="宋体"/>
                <w:bCs/>
                <w:color w:val="000000"/>
                <w:szCs w:val="21"/>
              </w:rPr>
            </w:pPr>
            <w:r>
              <w:rPr>
                <w:rFonts w:hint="eastAsia" w:ascii="宋体" w:hAnsi="宋体"/>
                <w:bCs/>
                <w:color w:val="000000"/>
                <w:szCs w:val="21"/>
              </w:rPr>
              <w:t>6</w:t>
            </w:r>
          </w:p>
        </w:tc>
        <w:tc>
          <w:tcPr>
            <w:tcW w:w="709" w:type="dxa"/>
            <w:noWrap w:val="0"/>
            <w:vAlign w:val="center"/>
          </w:tcPr>
          <w:p>
            <w:pPr>
              <w:snapToGrid w:val="0"/>
              <w:jc w:val="center"/>
              <w:rPr>
                <w:rFonts w:hint="eastAsia" w:ascii="宋体" w:hAnsi="宋体"/>
                <w:szCs w:val="21"/>
              </w:rPr>
            </w:pPr>
            <w:r>
              <w:rPr>
                <w:rFonts w:hint="eastAsia" w:ascii="宋体" w:hAnsi="宋体"/>
                <w:szCs w:val="21"/>
              </w:rPr>
              <w:t>客观分</w:t>
            </w:r>
          </w:p>
        </w:tc>
        <w:tc>
          <w:tcPr>
            <w:tcW w:w="850"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756" w:type="dxa"/>
            <w:noWrap w:val="0"/>
            <w:vAlign w:val="center"/>
          </w:tcPr>
          <w:p>
            <w:pPr>
              <w:snapToGrid w:val="0"/>
              <w:ind w:right="-21" w:rightChars="-10"/>
              <w:jc w:val="center"/>
              <w:rPr>
                <w:szCs w:val="21"/>
              </w:rPr>
            </w:pPr>
            <w:r>
              <w:rPr>
                <w:rFonts w:hint="eastAsia"/>
                <w:szCs w:val="21"/>
              </w:rPr>
              <w:t>14</w:t>
            </w:r>
          </w:p>
        </w:tc>
        <w:tc>
          <w:tcPr>
            <w:tcW w:w="6298" w:type="dxa"/>
            <w:noWrap w:val="0"/>
            <w:vAlign w:val="center"/>
          </w:tcPr>
          <w:p>
            <w:pPr>
              <w:snapToGrid w:val="0"/>
              <w:jc w:val="left"/>
              <w:rPr>
                <w:rFonts w:ascii="宋体" w:hAnsi="宋体"/>
                <w:bCs/>
                <w:color w:val="000000"/>
                <w:szCs w:val="21"/>
              </w:rPr>
            </w:pPr>
            <w:r>
              <w:rPr>
                <w:rFonts w:ascii="宋体" w:hAnsi="宋体"/>
                <w:bCs/>
                <w:color w:val="000000"/>
                <w:szCs w:val="21"/>
              </w:rPr>
              <w:t>近</w:t>
            </w:r>
            <w:r>
              <w:rPr>
                <w:rFonts w:hint="eastAsia" w:ascii="宋体" w:hAnsi="宋体"/>
                <w:bCs/>
                <w:color w:val="000000"/>
                <w:szCs w:val="21"/>
              </w:rPr>
              <w:t>二</w:t>
            </w:r>
            <w:r>
              <w:rPr>
                <w:rFonts w:ascii="宋体" w:hAnsi="宋体"/>
                <w:bCs/>
                <w:szCs w:val="21"/>
              </w:rPr>
              <w:t>年内（20</w:t>
            </w:r>
            <w:r>
              <w:rPr>
                <w:rFonts w:hint="eastAsia" w:ascii="宋体" w:hAnsi="宋体"/>
                <w:bCs/>
                <w:szCs w:val="21"/>
              </w:rPr>
              <w:t>21</w:t>
            </w:r>
            <w:r>
              <w:rPr>
                <w:rFonts w:ascii="宋体" w:hAnsi="宋体"/>
                <w:bCs/>
                <w:szCs w:val="21"/>
              </w:rPr>
              <w:t>年</w:t>
            </w:r>
            <w:r>
              <w:rPr>
                <w:rFonts w:hint="eastAsia" w:ascii="宋体" w:hAnsi="宋体"/>
                <w:bCs/>
                <w:szCs w:val="21"/>
              </w:rPr>
              <w:t>6</w:t>
            </w:r>
            <w:r>
              <w:rPr>
                <w:rFonts w:ascii="宋体" w:hAnsi="宋体"/>
                <w:bCs/>
                <w:szCs w:val="21"/>
              </w:rPr>
              <w:t>月</w:t>
            </w:r>
            <w:r>
              <w:rPr>
                <w:rFonts w:hint="eastAsia" w:ascii="宋体" w:hAnsi="宋体"/>
                <w:bCs/>
                <w:szCs w:val="21"/>
              </w:rPr>
              <w:t>1日起，以合同签</w:t>
            </w:r>
            <w:r>
              <w:rPr>
                <w:rFonts w:hint="eastAsia" w:ascii="宋体" w:hAnsi="宋体"/>
                <w:bCs/>
                <w:color w:val="000000"/>
                <w:szCs w:val="21"/>
              </w:rPr>
              <w:t>定日为准</w:t>
            </w:r>
            <w:r>
              <w:rPr>
                <w:rFonts w:ascii="宋体" w:hAnsi="宋体"/>
                <w:bCs/>
                <w:color w:val="000000"/>
                <w:szCs w:val="21"/>
              </w:rPr>
              <w:t>），投标单位与</w:t>
            </w:r>
            <w:r>
              <w:rPr>
                <w:rFonts w:hint="eastAsia" w:ascii="宋体" w:hAnsi="宋体"/>
                <w:bCs/>
                <w:color w:val="000000"/>
                <w:szCs w:val="21"/>
              </w:rPr>
              <w:t>招标文件列表中现有的“附件3：重点设备清单”中（限CT、</w:t>
            </w:r>
            <w:r>
              <w:rPr>
                <w:rFonts w:ascii="宋体" w:hAnsi="宋体"/>
                <w:bCs/>
                <w:color w:val="000000"/>
                <w:szCs w:val="21"/>
              </w:rPr>
              <w:t>内窥镜、药品管理设备</w:t>
            </w:r>
            <w:r>
              <w:rPr>
                <w:rFonts w:hint="eastAsia" w:ascii="宋体" w:hAnsi="宋体"/>
                <w:bCs/>
                <w:color w:val="000000"/>
                <w:szCs w:val="21"/>
              </w:rPr>
              <w:t>）</w:t>
            </w:r>
            <w:r>
              <w:rPr>
                <w:rFonts w:ascii="宋体" w:hAnsi="宋体"/>
                <w:bCs/>
                <w:color w:val="000000"/>
                <w:szCs w:val="21"/>
              </w:rPr>
              <w:t>厂家</w:t>
            </w:r>
            <w:r>
              <w:rPr>
                <w:rFonts w:hint="eastAsia" w:ascii="宋体" w:hAnsi="宋体"/>
                <w:bCs/>
                <w:color w:val="000000"/>
                <w:szCs w:val="21"/>
              </w:rPr>
              <w:t>或厂家授权经销商</w:t>
            </w:r>
            <w:r>
              <w:rPr>
                <w:rFonts w:ascii="宋体" w:hAnsi="宋体"/>
                <w:bCs/>
                <w:color w:val="000000"/>
                <w:szCs w:val="21"/>
              </w:rPr>
              <w:t>签订的</w:t>
            </w:r>
            <w:r>
              <w:rPr>
                <w:rFonts w:hint="eastAsia" w:ascii="宋体" w:hAnsi="宋体"/>
                <w:bCs/>
                <w:color w:val="000000"/>
                <w:szCs w:val="21"/>
              </w:rPr>
              <w:t>保修服务采购</w:t>
            </w:r>
            <w:r>
              <w:rPr>
                <w:rFonts w:ascii="宋体" w:hAnsi="宋体"/>
                <w:bCs/>
                <w:color w:val="000000"/>
                <w:szCs w:val="21"/>
              </w:rPr>
              <w:t>合同，每提供一份得</w:t>
            </w:r>
            <w:r>
              <w:rPr>
                <w:rFonts w:hint="eastAsia" w:ascii="宋体" w:hAnsi="宋体"/>
                <w:bCs/>
                <w:color w:val="000000"/>
                <w:szCs w:val="21"/>
              </w:rPr>
              <w:t>1</w:t>
            </w:r>
            <w:r>
              <w:rPr>
                <w:rFonts w:ascii="宋体" w:hAnsi="宋体"/>
                <w:bCs/>
                <w:color w:val="000000"/>
                <w:szCs w:val="21"/>
              </w:rPr>
              <w:t>分，满分</w:t>
            </w:r>
            <w:r>
              <w:rPr>
                <w:rFonts w:hint="eastAsia" w:ascii="宋体" w:hAnsi="宋体"/>
                <w:bCs/>
                <w:color w:val="000000"/>
                <w:szCs w:val="21"/>
              </w:rPr>
              <w:t>6</w:t>
            </w:r>
            <w:r>
              <w:rPr>
                <w:rFonts w:ascii="宋体" w:hAnsi="宋体"/>
                <w:bCs/>
                <w:color w:val="000000"/>
                <w:szCs w:val="21"/>
              </w:rPr>
              <w:t>分。</w:t>
            </w:r>
            <w:r>
              <w:rPr>
                <w:rFonts w:hint="eastAsia" w:ascii="宋体" w:hAnsi="宋体"/>
                <w:bCs/>
                <w:color w:val="000000"/>
                <w:szCs w:val="21"/>
              </w:rPr>
              <w:t>制造商按技术参数中“附件3：重点设备清单”。（注：</w:t>
            </w:r>
            <w:r>
              <w:rPr>
                <w:rFonts w:ascii="宋体" w:hAnsi="宋体"/>
                <w:bCs/>
                <w:color w:val="000000"/>
                <w:szCs w:val="21"/>
              </w:rPr>
              <w:t>投标文件中须附合同扫描件为准，</w:t>
            </w:r>
            <w:r>
              <w:rPr>
                <w:rFonts w:hint="eastAsia" w:ascii="宋体" w:hAnsi="宋体"/>
                <w:bCs/>
                <w:color w:val="000000"/>
                <w:szCs w:val="21"/>
              </w:rPr>
              <w:t>并提供对应的付款凭证，</w:t>
            </w:r>
            <w:r>
              <w:rPr>
                <w:rFonts w:ascii="宋体" w:hAnsi="宋体"/>
                <w:bCs/>
                <w:color w:val="000000"/>
                <w:szCs w:val="21"/>
              </w:rPr>
              <w:t>未提供或提供的评委不认可的得0分</w:t>
            </w:r>
            <w:r>
              <w:rPr>
                <w:rFonts w:hint="eastAsia" w:ascii="宋体" w:hAnsi="宋体"/>
                <w:bCs/>
                <w:color w:val="000000"/>
                <w:szCs w:val="21"/>
              </w:rPr>
              <w:t>）</w:t>
            </w:r>
          </w:p>
        </w:tc>
        <w:tc>
          <w:tcPr>
            <w:tcW w:w="709" w:type="dxa"/>
            <w:noWrap w:val="0"/>
            <w:vAlign w:val="center"/>
          </w:tcPr>
          <w:p>
            <w:pPr>
              <w:snapToGrid w:val="0"/>
              <w:spacing w:line="288" w:lineRule="auto"/>
              <w:jc w:val="center"/>
              <w:rPr>
                <w:rFonts w:ascii="宋体" w:hAnsi="宋体"/>
                <w:bCs/>
                <w:color w:val="000000"/>
                <w:szCs w:val="21"/>
              </w:rPr>
            </w:pPr>
            <w:r>
              <w:rPr>
                <w:rFonts w:hint="eastAsia" w:ascii="宋体" w:hAnsi="宋体"/>
                <w:bCs/>
                <w:color w:val="000000"/>
                <w:szCs w:val="21"/>
              </w:rPr>
              <w:t>6</w:t>
            </w:r>
          </w:p>
        </w:tc>
        <w:tc>
          <w:tcPr>
            <w:tcW w:w="709" w:type="dxa"/>
            <w:noWrap w:val="0"/>
            <w:vAlign w:val="center"/>
          </w:tcPr>
          <w:p>
            <w:pPr>
              <w:snapToGrid w:val="0"/>
              <w:jc w:val="center"/>
              <w:rPr>
                <w:rFonts w:hint="eastAsia" w:ascii="宋体" w:hAnsi="宋体"/>
                <w:szCs w:val="21"/>
              </w:rPr>
            </w:pPr>
            <w:r>
              <w:rPr>
                <w:rFonts w:hint="eastAsia" w:ascii="宋体" w:hAnsi="宋体"/>
                <w:szCs w:val="21"/>
              </w:rPr>
              <w:t>客观分</w:t>
            </w:r>
          </w:p>
        </w:tc>
        <w:tc>
          <w:tcPr>
            <w:tcW w:w="850"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756" w:type="dxa"/>
            <w:noWrap w:val="0"/>
            <w:vAlign w:val="center"/>
          </w:tcPr>
          <w:p>
            <w:pPr>
              <w:snapToGrid w:val="0"/>
              <w:ind w:right="-21" w:rightChars="-10"/>
              <w:jc w:val="center"/>
              <w:rPr>
                <w:szCs w:val="21"/>
              </w:rPr>
            </w:pPr>
            <w:r>
              <w:rPr>
                <w:szCs w:val="21"/>
              </w:rPr>
              <w:t>11</w:t>
            </w:r>
          </w:p>
        </w:tc>
        <w:tc>
          <w:tcPr>
            <w:tcW w:w="6298" w:type="dxa"/>
            <w:noWrap w:val="0"/>
            <w:vAlign w:val="center"/>
          </w:tcPr>
          <w:p>
            <w:pPr>
              <w:widowControl/>
              <w:snapToGrid w:val="0"/>
              <w:spacing w:before="100" w:beforeAutospacing="1" w:after="100" w:afterAutospacing="1"/>
              <w:jc w:val="left"/>
              <w:rPr>
                <w:color w:val="000000"/>
                <w:kern w:val="0"/>
                <w:szCs w:val="21"/>
              </w:rPr>
            </w:pPr>
            <w:r>
              <w:rPr>
                <w:rFonts w:hAnsi="宋体"/>
                <w:color w:val="000000"/>
                <w:kern w:val="0"/>
                <w:szCs w:val="21"/>
              </w:rPr>
              <w:t>有效投标报价的最低价作为评标基准价，其最低报价为满分；按［投标报价得分</w:t>
            </w:r>
            <w:r>
              <w:rPr>
                <w:color w:val="000000"/>
                <w:kern w:val="0"/>
                <w:szCs w:val="21"/>
              </w:rPr>
              <w:t>=</w:t>
            </w:r>
            <w:r>
              <w:rPr>
                <w:rFonts w:hAnsi="宋体"/>
                <w:color w:val="000000"/>
                <w:kern w:val="0"/>
                <w:szCs w:val="21"/>
              </w:rPr>
              <w:t>（评标基准价</w:t>
            </w:r>
            <w:r>
              <w:rPr>
                <w:color w:val="000000"/>
                <w:kern w:val="0"/>
                <w:szCs w:val="21"/>
              </w:rPr>
              <w:t>/</w:t>
            </w:r>
            <w:r>
              <w:rPr>
                <w:rFonts w:hAnsi="宋体"/>
                <w:color w:val="000000"/>
                <w:kern w:val="0"/>
                <w:szCs w:val="21"/>
              </w:rPr>
              <w:t>投标报价）</w:t>
            </w:r>
            <w:r>
              <w:rPr>
                <w:color w:val="000000"/>
                <w:kern w:val="0"/>
                <w:szCs w:val="21"/>
              </w:rPr>
              <w:t>*20</w:t>
            </w:r>
            <w:r>
              <w:rPr>
                <w:rFonts w:hAnsi="宋体"/>
                <w:color w:val="000000"/>
                <w:kern w:val="0"/>
                <w:szCs w:val="21"/>
              </w:rPr>
              <w:t>］的计算公式计算。</w:t>
            </w:r>
          </w:p>
          <w:p>
            <w:pPr>
              <w:widowControl/>
              <w:shd w:val="clear" w:color="auto" w:fill="FFFFFF"/>
              <w:snapToGrid w:val="0"/>
              <w:spacing w:before="100" w:beforeAutospacing="1" w:after="100" w:afterAutospacing="1"/>
              <w:jc w:val="left"/>
              <w:rPr>
                <w:color w:val="000000"/>
                <w:kern w:val="0"/>
                <w:szCs w:val="21"/>
              </w:rPr>
            </w:pPr>
            <w:r>
              <w:rPr>
                <w:rFonts w:hAnsi="宋体"/>
                <w:color w:val="000000"/>
                <w:kern w:val="0"/>
                <w:szCs w:val="21"/>
              </w:rPr>
              <w:t>评标过程中，不得去掉报价中的最高报价和最低报价。</w:t>
            </w:r>
          </w:p>
          <w:p>
            <w:pPr>
              <w:jc w:val="left"/>
              <w:rPr>
                <w:szCs w:val="21"/>
              </w:rPr>
            </w:pPr>
            <w:r>
              <w:rPr>
                <w:rFonts w:hint="eastAsia" w:hAnsi="宋体"/>
                <w:color w:val="000000"/>
                <w:kern w:val="0"/>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hAnsi="宋体"/>
                <w:color w:val="000000"/>
                <w:kern w:val="0"/>
                <w:szCs w:val="21"/>
              </w:rPr>
              <w:t>。</w:t>
            </w:r>
          </w:p>
        </w:tc>
        <w:tc>
          <w:tcPr>
            <w:tcW w:w="709" w:type="dxa"/>
            <w:noWrap w:val="0"/>
            <w:vAlign w:val="center"/>
          </w:tcPr>
          <w:p>
            <w:pPr>
              <w:snapToGrid w:val="0"/>
              <w:jc w:val="center"/>
              <w:rPr>
                <w:szCs w:val="21"/>
              </w:rPr>
            </w:pPr>
            <w:r>
              <w:rPr>
                <w:szCs w:val="21"/>
              </w:rPr>
              <w:t>20</w:t>
            </w:r>
          </w:p>
        </w:tc>
        <w:tc>
          <w:tcPr>
            <w:tcW w:w="709" w:type="dxa"/>
            <w:noWrap w:val="0"/>
            <w:vAlign w:val="center"/>
          </w:tcPr>
          <w:p>
            <w:pPr>
              <w:snapToGrid w:val="0"/>
              <w:jc w:val="center"/>
              <w:rPr>
                <w:rFonts w:hint="eastAsia"/>
                <w:szCs w:val="21"/>
              </w:rPr>
            </w:pPr>
            <w:r>
              <w:rPr>
                <w:rFonts w:hint="eastAsia" w:ascii="宋体" w:hAnsi="宋体"/>
                <w:szCs w:val="21"/>
              </w:rPr>
              <w:t>客观分</w:t>
            </w:r>
          </w:p>
        </w:tc>
        <w:tc>
          <w:tcPr>
            <w:tcW w:w="850" w:type="dxa"/>
            <w:noWrap w:val="0"/>
            <w:vAlign w:val="center"/>
          </w:tcPr>
          <w:p>
            <w:pPr>
              <w:snapToGrid w:val="0"/>
              <w:jc w:val="center"/>
              <w:rPr>
                <w:szCs w:val="21"/>
              </w:rPr>
            </w:pPr>
            <w:r>
              <w:rPr>
                <w:rFonts w:hint="eastAsia"/>
                <w:szCs w:val="21"/>
              </w:rPr>
              <w:t>/</w:t>
            </w:r>
          </w:p>
        </w:tc>
      </w:tr>
    </w:tbl>
    <w:p>
      <w:pPr>
        <w:adjustRightInd/>
        <w:spacing w:before="360" w:beforeLines="150" w:line="360" w:lineRule="auto"/>
        <w:jc w:val="center"/>
        <w:outlineLvl w:val="0"/>
        <w:rPr>
          <w:rFonts w:ascii="宋体" w:hAnsi="宋体" w:cs="宋体"/>
          <w:kern w:val="0"/>
          <w:szCs w:val="21"/>
        </w:rPr>
      </w:pPr>
      <w:r>
        <w:rPr>
          <w:rFonts w:ascii="宋体" w:hAnsi="宋体" w:cs="宋体"/>
          <w:kern w:val="0"/>
          <w:szCs w:val="21"/>
        </w:rPr>
        <w:t>*备注：投标人编制投标文件（商务技术文件部分）时，建议按此目录（序号和内容）提供评标标准相应的商务技术资料。</w:t>
      </w:r>
    </w:p>
    <w:p>
      <w:pPr>
        <w:adjustRightInd/>
        <w:spacing w:before="360" w:beforeLines="150" w:line="360" w:lineRule="auto"/>
        <w:jc w:val="center"/>
        <w:outlineLvl w:val="0"/>
        <w:rPr>
          <w:rFonts w:ascii="宋体" w:hAnsi="宋体" w:cs="宋体"/>
          <w:b/>
          <w:szCs w:val="21"/>
        </w:rPr>
      </w:pPr>
      <w:r>
        <w:rPr>
          <w:rFonts w:hint="eastAsia" w:ascii="宋体" w:hAnsi="宋体" w:cs="宋体"/>
          <w:b/>
          <w:szCs w:val="21"/>
        </w:rPr>
        <w:t>一、评标方法</w:t>
      </w:r>
    </w:p>
    <w:p>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adjustRightInd/>
        <w:spacing w:before="360" w:beforeLines="150" w:line="360" w:lineRule="auto"/>
        <w:jc w:val="center"/>
        <w:outlineLvl w:val="0"/>
        <w:rPr>
          <w:rFonts w:ascii="宋体" w:hAnsi="宋体" w:cs="宋体"/>
          <w:b/>
          <w:szCs w:val="21"/>
        </w:rPr>
      </w:pPr>
      <w:r>
        <w:rPr>
          <w:rFonts w:hint="eastAsia" w:ascii="宋体" w:hAnsi="宋体" w:cs="宋体"/>
          <w:b/>
          <w:szCs w:val="21"/>
        </w:rPr>
        <w:t>二、评标标准</w:t>
      </w:r>
    </w:p>
    <w:p>
      <w:pPr>
        <w:spacing w:line="360" w:lineRule="auto"/>
        <w:ind w:firstLine="413" w:firstLineChars="196"/>
        <w:rPr>
          <w:rFonts w:ascii="宋体" w:hAnsi="宋体" w:cs="宋体"/>
          <w:b/>
          <w:szCs w:val="21"/>
        </w:rPr>
      </w:pPr>
      <w:r>
        <w:rPr>
          <w:rFonts w:hint="eastAsia" w:ascii="宋体" w:hAnsi="宋体" w:cs="宋体"/>
          <w:b/>
          <w:szCs w:val="21"/>
        </w:rPr>
        <w:t>2.评标标准：</w:t>
      </w:r>
      <w:r>
        <w:rPr>
          <w:rFonts w:hint="eastAsia" w:ascii="宋体" w:hAnsi="宋体" w:cs="宋体"/>
          <w:kern w:val="0"/>
          <w:szCs w:val="21"/>
        </w:rPr>
        <w:t>见评标办法前附表。</w:t>
      </w:r>
    </w:p>
    <w:p>
      <w:pPr>
        <w:adjustRightInd/>
        <w:spacing w:before="360" w:beforeLines="150" w:line="360" w:lineRule="auto"/>
        <w:jc w:val="center"/>
        <w:outlineLvl w:val="0"/>
        <w:rPr>
          <w:rFonts w:ascii="宋体" w:hAnsi="宋体" w:cs="宋体"/>
          <w:b/>
          <w:szCs w:val="21"/>
        </w:rPr>
      </w:pPr>
      <w:r>
        <w:rPr>
          <w:rFonts w:hint="eastAsia" w:ascii="宋体" w:hAnsi="宋体" w:cs="宋体"/>
          <w:b/>
          <w:szCs w:val="21"/>
        </w:rPr>
        <w:t>三、评标程序</w:t>
      </w:r>
    </w:p>
    <w:p>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pPr>
        <w:spacing w:line="360"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pPr>
        <w:spacing w:line="360" w:lineRule="auto"/>
        <w:ind w:firstLine="413" w:firstLineChars="196"/>
        <w:rPr>
          <w:rFonts w:ascii="宋体" w:hAnsi="宋体" w:cs="宋体"/>
          <w:b/>
          <w:kern w:val="0"/>
          <w:szCs w:val="21"/>
        </w:rPr>
      </w:pPr>
      <w:r>
        <w:rPr>
          <w:rFonts w:hint="eastAsia" w:ascii="宋体" w:hAnsi="宋体" w:cs="宋体"/>
          <w:b/>
          <w:kern w:val="0"/>
          <w:szCs w:val="21"/>
        </w:rPr>
        <w:t>3.4报价评审。</w:t>
      </w:r>
    </w:p>
    <w:p>
      <w:pPr>
        <w:pStyle w:val="158"/>
        <w:spacing w:before="0"/>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pPr>
        <w:pStyle w:val="158"/>
        <w:spacing w:before="0"/>
        <w:ind w:firstLine="420"/>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pPr>
        <w:pStyle w:val="158"/>
        <w:spacing w:before="0"/>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pPr>
        <w:pStyle w:val="158"/>
        <w:spacing w:before="0"/>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pPr>
        <w:pStyle w:val="158"/>
        <w:spacing w:before="0"/>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pPr>
        <w:pStyle w:val="158"/>
        <w:spacing w:before="0"/>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pPr>
        <w:pStyle w:val="158"/>
        <w:spacing w:before="0"/>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8"/>
        <w:spacing w:before="0"/>
        <w:ind w:firstLine="420"/>
        <w:rPr>
          <w:rFonts w:ascii="宋体" w:hAnsi="宋体" w:cs="宋体"/>
          <w:kern w:val="0"/>
          <w:sz w:val="21"/>
          <w:szCs w:val="21"/>
        </w:rPr>
      </w:pPr>
      <w:r>
        <w:rPr>
          <w:rFonts w:hint="eastAsia" w:ascii="宋体" w:hAnsi="宋体" w:cs="宋体"/>
          <w:kern w:val="0"/>
          <w:sz w:val="21"/>
          <w:szCs w:val="21"/>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firstLineChars="200"/>
        <w:rPr>
          <w:rFonts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before="360" w:beforeLines="150" w:line="360" w:lineRule="auto"/>
        <w:jc w:val="center"/>
        <w:outlineLvl w:val="0"/>
        <w:rPr>
          <w:rFonts w:ascii="宋体" w:hAnsi="宋体" w:cs="宋体"/>
          <w:b/>
          <w:szCs w:val="21"/>
        </w:rPr>
      </w:pPr>
      <w:r>
        <w:rPr>
          <w:rFonts w:hint="eastAsia" w:ascii="宋体" w:hAnsi="宋体" w:cs="宋体"/>
          <w:b/>
          <w:szCs w:val="21"/>
        </w:rPr>
        <w:t>四、评标中的其他事项</w:t>
      </w:r>
    </w:p>
    <w:p>
      <w:pPr>
        <w:pStyle w:val="158"/>
        <w:spacing w:before="0"/>
        <w:ind w:firstLine="413" w:firstLineChars="196"/>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 w:val="21"/>
          <w:szCs w:val="21"/>
        </w:rPr>
      </w:pPr>
      <w:r>
        <w:rPr>
          <w:rFonts w:hint="eastAsia" w:cs="宋体"/>
          <w:b/>
          <w:kern w:val="0"/>
          <w:sz w:val="21"/>
          <w:szCs w:val="21"/>
        </w:rPr>
        <w:t>4.2投标无效。</w:t>
      </w:r>
      <w:r>
        <w:rPr>
          <w:rFonts w:hint="eastAsia" w:cs="宋体"/>
          <w:sz w:val="21"/>
          <w:szCs w:val="21"/>
        </w:rPr>
        <w:t>有下列情形之一的，投标无效：</w:t>
      </w:r>
    </w:p>
    <w:p>
      <w:pPr>
        <w:spacing w:line="360"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pPr>
        <w:spacing w:line="360"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pPr>
        <w:spacing w:line="360"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pPr>
        <w:snapToGrid w:val="0"/>
        <w:spacing w:line="360" w:lineRule="auto"/>
        <w:ind w:firstLine="105" w:firstLineChars="50"/>
        <w:jc w:val="left"/>
        <w:rPr>
          <w:rFonts w:ascii="宋体" w:hAnsi="宋体" w:cs="宋体"/>
          <w:kern w:val="0"/>
          <w:szCs w:val="21"/>
        </w:rPr>
      </w:pPr>
      <w:r>
        <w:rPr>
          <w:rFonts w:hint="eastAsia" w:ascii="宋体" w:hAnsi="宋体" w:cs="宋体"/>
          <w:kern w:val="0"/>
          <w:szCs w:val="21"/>
        </w:rPr>
        <w:t xml:space="preserve">   4.2.6投标文件出现不是唯一的、有选择性投标报价的；</w:t>
      </w:r>
    </w:p>
    <w:p>
      <w:pPr>
        <w:spacing w:line="360" w:lineRule="auto"/>
        <w:ind w:firstLine="420" w:firstLineChars="200"/>
        <w:rPr>
          <w:rFonts w:ascii="宋体" w:hAnsi="宋体" w:cs="宋体"/>
          <w:kern w:val="0"/>
          <w:szCs w:val="21"/>
        </w:rPr>
      </w:pPr>
      <w:r>
        <w:rPr>
          <w:rFonts w:hint="eastAsia" w:ascii="宋体" w:hAnsi="宋体" w:cs="宋体"/>
          <w:kern w:val="0"/>
          <w:szCs w:val="21"/>
        </w:rPr>
        <w:t>4.2.7投标报价超过招标文件中规定的预算金额或者最高限价的；</w:t>
      </w:r>
    </w:p>
    <w:p>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kern w:val="0"/>
          <w:szCs w:val="21"/>
        </w:rPr>
      </w:pPr>
      <w:r>
        <w:rPr>
          <w:rFonts w:hint="eastAsia" w:ascii="宋体" w:hAnsi="宋体" w:cs="宋体"/>
          <w:kern w:val="0"/>
          <w:szCs w:val="21"/>
        </w:rPr>
        <w:t>4.2.9投标人对根据修正原则修正后的报价不确认的；</w:t>
      </w:r>
    </w:p>
    <w:p>
      <w:pPr>
        <w:spacing w:line="360" w:lineRule="auto"/>
        <w:ind w:firstLine="420" w:firstLineChars="200"/>
        <w:rPr>
          <w:rFonts w:ascii="宋体" w:hAnsi="宋体" w:cs="宋体"/>
          <w:kern w:val="0"/>
          <w:szCs w:val="21"/>
        </w:rPr>
      </w:pPr>
      <w:r>
        <w:rPr>
          <w:rFonts w:hint="eastAsia" w:ascii="宋体" w:hAnsi="宋体" w:cs="宋体"/>
          <w:kern w:val="0"/>
          <w:szCs w:val="21"/>
        </w:rPr>
        <w:t>4.2.10投标人提供虚假材料投标的；</w:t>
      </w:r>
    </w:p>
    <w:p>
      <w:pPr>
        <w:spacing w:line="360" w:lineRule="auto"/>
        <w:ind w:firstLine="210" w:firstLineChars="100"/>
        <w:rPr>
          <w:rFonts w:ascii="宋体" w:hAnsi="宋体" w:cs="宋体"/>
          <w:kern w:val="0"/>
          <w:szCs w:val="21"/>
        </w:rPr>
      </w:pPr>
      <w:r>
        <w:rPr>
          <w:rFonts w:hint="eastAsia" w:ascii="宋体" w:hAnsi="宋体" w:cs="宋体"/>
          <w:kern w:val="0"/>
          <w:szCs w:val="21"/>
        </w:rPr>
        <w:t xml:space="preserve">  4.2.11投标人有恶意串通、妨碍其他投标人的竞争行为、损害采购人或者其他投标人的合法权益情形的；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pPr>
        <w:spacing w:line="360" w:lineRule="auto"/>
        <w:ind w:firstLine="420" w:firstLineChars="200"/>
        <w:rPr>
          <w:rFonts w:ascii="宋体" w:hAnsi="宋体" w:cs="宋体"/>
          <w:bCs/>
          <w:kern w:val="0"/>
          <w:szCs w:val="21"/>
        </w:rPr>
      </w:pPr>
      <w:r>
        <w:rPr>
          <w:rFonts w:hint="eastAsia" w:ascii="宋体" w:hAnsi="宋体" w:cs="宋体"/>
          <w:bCs/>
          <w:kern w:val="0"/>
          <w:szCs w:val="21"/>
        </w:rPr>
        <w:t>4.2.13 投标文件不满足招标文件的其它实质性要求的；</w:t>
      </w:r>
    </w:p>
    <w:p>
      <w:pPr>
        <w:spacing w:line="360"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pPr>
        <w:pStyle w:val="24"/>
        <w:snapToGrid w:val="0"/>
        <w:spacing w:line="360" w:lineRule="auto"/>
        <w:ind w:firstLine="413" w:firstLineChars="196"/>
        <w:rPr>
          <w:rFonts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pPr>
        <w:pStyle w:val="24"/>
        <w:snapToGrid w:val="0"/>
        <w:spacing w:line="360" w:lineRule="auto"/>
        <w:ind w:firstLine="420"/>
        <w:rPr>
          <w:rFonts w:cs="宋体"/>
          <w:sz w:val="21"/>
          <w:szCs w:val="21"/>
        </w:rPr>
      </w:pPr>
      <w:r>
        <w:rPr>
          <w:rFonts w:hint="eastAsia" w:cs="宋体"/>
          <w:sz w:val="21"/>
          <w:szCs w:val="21"/>
        </w:rPr>
        <w:t>5.1符合专业条件的供应商或者对招标文件作实质响应的供应商不足3家的；</w:t>
      </w:r>
    </w:p>
    <w:p>
      <w:pPr>
        <w:pStyle w:val="24"/>
        <w:snapToGrid w:val="0"/>
        <w:spacing w:line="360" w:lineRule="auto"/>
        <w:ind w:firstLine="420"/>
        <w:rPr>
          <w:rFonts w:cs="宋体"/>
          <w:sz w:val="21"/>
          <w:szCs w:val="21"/>
        </w:rPr>
      </w:pPr>
      <w:r>
        <w:rPr>
          <w:rFonts w:hint="eastAsia" w:cs="宋体"/>
          <w:sz w:val="21"/>
          <w:szCs w:val="21"/>
        </w:rPr>
        <w:t>5.2出现影响采购公正的违法、违规行为的；</w:t>
      </w:r>
    </w:p>
    <w:p>
      <w:pPr>
        <w:pStyle w:val="24"/>
        <w:snapToGrid w:val="0"/>
        <w:spacing w:line="360" w:lineRule="auto"/>
        <w:ind w:firstLine="420"/>
        <w:rPr>
          <w:rFonts w:cs="宋体"/>
          <w:sz w:val="21"/>
          <w:szCs w:val="21"/>
        </w:rPr>
      </w:pPr>
      <w:r>
        <w:rPr>
          <w:rFonts w:hint="eastAsia" w:cs="宋体"/>
          <w:sz w:val="21"/>
          <w:szCs w:val="21"/>
        </w:rPr>
        <w:t>5.3投标人的报价均超过了采购预算，采购人不能支付的；</w:t>
      </w:r>
    </w:p>
    <w:p>
      <w:pPr>
        <w:pStyle w:val="24"/>
        <w:snapToGrid w:val="0"/>
        <w:spacing w:line="360" w:lineRule="auto"/>
        <w:ind w:firstLine="420"/>
        <w:rPr>
          <w:rFonts w:cs="宋体"/>
          <w:sz w:val="21"/>
          <w:szCs w:val="21"/>
        </w:rPr>
      </w:pPr>
      <w:r>
        <w:rPr>
          <w:rFonts w:hint="eastAsia" w:cs="宋体"/>
          <w:sz w:val="21"/>
          <w:szCs w:val="21"/>
        </w:rPr>
        <w:t>5.4因重大变故，采购任务取消的。</w:t>
      </w:r>
    </w:p>
    <w:p>
      <w:pPr>
        <w:pStyle w:val="24"/>
        <w:snapToGrid w:val="0"/>
        <w:spacing w:line="360" w:lineRule="auto"/>
        <w:ind w:firstLine="420"/>
        <w:rPr>
          <w:rFonts w:cs="宋体"/>
          <w:sz w:val="21"/>
          <w:szCs w:val="21"/>
        </w:rPr>
      </w:pPr>
      <w:r>
        <w:rPr>
          <w:rFonts w:hint="eastAsia" w:cs="宋体"/>
          <w:sz w:val="21"/>
          <w:szCs w:val="21"/>
        </w:rPr>
        <w:t>废标后，采购机构应当将废标理由通知所有投标人。</w:t>
      </w:r>
    </w:p>
    <w:p>
      <w:pPr>
        <w:pStyle w:val="24"/>
        <w:snapToGrid w:val="0"/>
        <w:spacing w:line="360" w:lineRule="auto"/>
        <w:ind w:firstLine="517" w:firstLineChars="245"/>
        <w:rPr>
          <w:rFonts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22"/>
        <w:rPr>
          <w:rFonts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有政府采购法第七十一条、第七十二条规定的违法行为之一，影响或者可能影响中标结果的，依照下列规定处理：</w:t>
      </w:r>
    </w:p>
    <w:p>
      <w:pPr>
        <w:pStyle w:val="24"/>
        <w:snapToGrid w:val="0"/>
        <w:spacing w:line="360" w:lineRule="auto"/>
        <w:ind w:firstLine="420"/>
        <w:rPr>
          <w:rFonts w:cs="宋体"/>
          <w:sz w:val="21"/>
          <w:szCs w:val="21"/>
        </w:rPr>
      </w:pPr>
      <w:r>
        <w:rPr>
          <w:rFonts w:hint="eastAsia" w:cs="宋体"/>
          <w:sz w:val="21"/>
          <w:szCs w:val="21"/>
        </w:rPr>
        <w:t>7.1未确定中标供应商的，终止本次政府采购活动，重新开展政府采购活动。</w:t>
      </w:r>
    </w:p>
    <w:p>
      <w:pPr>
        <w:pStyle w:val="24"/>
        <w:snapToGrid w:val="0"/>
        <w:spacing w:line="360" w:lineRule="auto"/>
        <w:ind w:firstLine="420"/>
        <w:rPr>
          <w:rFonts w:cs="宋体"/>
          <w:sz w:val="21"/>
          <w:szCs w:val="21"/>
        </w:rPr>
      </w:pPr>
      <w:r>
        <w:rPr>
          <w:rFonts w:hint="eastAsia" w:cs="宋体"/>
          <w:sz w:val="21"/>
          <w:szCs w:val="21"/>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ind w:firstLine="420"/>
        <w:rPr>
          <w:rFonts w:cs="宋体"/>
          <w:sz w:val="21"/>
          <w:szCs w:val="21"/>
        </w:rPr>
      </w:pPr>
      <w:r>
        <w:rPr>
          <w:rFonts w:hint="eastAsia" w:cs="宋体"/>
          <w:sz w:val="21"/>
          <w:szCs w:val="21"/>
        </w:rPr>
        <w:t>7.3政府采购合同已签订但尚未履行的，撤销合同，从合格的中标候选人中另行确定中标供应商；没有合格的中标候选人的，重新开展政府采购活动。</w:t>
      </w:r>
    </w:p>
    <w:p>
      <w:pPr>
        <w:pStyle w:val="24"/>
        <w:snapToGrid w:val="0"/>
        <w:spacing w:line="360" w:lineRule="auto"/>
        <w:ind w:firstLine="420"/>
        <w:rPr>
          <w:rFonts w:cs="宋体"/>
          <w:sz w:val="21"/>
          <w:szCs w:val="21"/>
        </w:rPr>
      </w:pPr>
      <w:r>
        <w:rPr>
          <w:rFonts w:hint="eastAsia" w:cs="宋体"/>
          <w:sz w:val="21"/>
          <w:szCs w:val="21"/>
        </w:rPr>
        <w:t>7.4政府采购合同已经履行，给采购人、供应商造成损失的，由责任人承担赔偿责任。</w:t>
      </w:r>
    </w:p>
    <w:p>
      <w:pPr>
        <w:pStyle w:val="24"/>
        <w:snapToGrid w:val="0"/>
        <w:spacing w:line="360" w:lineRule="auto"/>
        <w:ind w:firstLine="420"/>
        <w:rPr>
          <w:rFonts w:cs="宋体"/>
          <w:sz w:val="21"/>
          <w:szCs w:val="21"/>
        </w:rPr>
      </w:pPr>
      <w:r>
        <w:rPr>
          <w:rFonts w:hint="eastAsia" w:cs="宋体"/>
          <w:sz w:val="21"/>
          <w:szCs w:val="21"/>
        </w:rPr>
        <w:t>7.5政府采购当事人有其他违反政府采购法或者政府采购法实施条例等法律法规规定的行为，经改正后仍然影响或者可能影响中标结果或者依法被认定为中标无效的，依照7.1-7.4规定处理。</w:t>
      </w:r>
    </w:p>
    <w:bookmarkEnd w:id="29"/>
    <w:p>
      <w:pPr>
        <w:spacing w:line="360" w:lineRule="auto"/>
        <w:ind w:left="720" w:leftChars="343" w:firstLine="632" w:firstLineChars="300"/>
        <w:outlineLvl w:val="0"/>
        <w:rPr>
          <w:rFonts w:ascii="宋体" w:hAnsi="宋体" w:cs="宋体"/>
          <w:b/>
          <w:szCs w:val="21"/>
        </w:rPr>
        <w:sectPr>
          <w:pgSz w:w="11906" w:h="16838"/>
          <w:pgMar w:top="1440" w:right="1800" w:bottom="1440" w:left="1800" w:header="851" w:footer="992" w:gutter="0"/>
          <w:cols w:space="720" w:num="1"/>
          <w:titlePg/>
          <w:docGrid w:linePitch="312" w:charSpace="0"/>
        </w:sectPr>
      </w:pPr>
      <w:bookmarkStart w:id="398" w:name="第五部分"/>
      <w:bookmarkStart w:id="399" w:name="_Toc86217003"/>
    </w:p>
    <w:p>
      <w:pPr>
        <w:adjustRightInd/>
        <w:spacing w:before="480" w:beforeLines="200" w:after="240" w:afterLines="100" w:line="360" w:lineRule="auto"/>
        <w:jc w:val="center"/>
        <w:rPr>
          <w:rFonts w:ascii="宋体" w:hAnsi="宋体"/>
          <w:b/>
          <w:sz w:val="36"/>
          <w:szCs w:val="36"/>
        </w:rPr>
      </w:pPr>
      <w:r>
        <w:rPr>
          <w:rFonts w:hint="eastAsia" w:ascii="宋体" w:hAnsi="宋体"/>
          <w:b/>
          <w:sz w:val="36"/>
          <w:szCs w:val="36"/>
        </w:rPr>
        <w:t>第五部分 拟签订的合同文本</w:t>
      </w:r>
    </w:p>
    <w:p>
      <w:pPr>
        <w:spacing w:line="360" w:lineRule="auto"/>
        <w:rPr>
          <w:rFonts w:ascii="宋体" w:hAnsi="宋体" w:cs="宋体"/>
          <w:sz w:val="24"/>
          <w:u w:val="single"/>
        </w:rPr>
      </w:pPr>
      <w:r>
        <w:rPr>
          <w:rFonts w:hint="eastAsia" w:ascii="宋体" w:hAnsi="宋体" w:cs="宋体"/>
          <w:sz w:val="24"/>
        </w:rPr>
        <w:t>合同编号：</w:t>
      </w:r>
    </w:p>
    <w:p>
      <w:pPr>
        <w:spacing w:line="360" w:lineRule="auto"/>
        <w:rPr>
          <w:rFonts w:ascii="宋体" w:hAnsi="宋体" w:cs="宋体"/>
          <w:b/>
          <w:sz w:val="28"/>
          <w:szCs w:val="28"/>
        </w:rPr>
      </w:pPr>
    </w:p>
    <w:p>
      <w:pPr>
        <w:spacing w:line="360" w:lineRule="auto"/>
        <w:rPr>
          <w:rFonts w:ascii="宋体" w:hAnsi="宋体" w:cs="宋体"/>
          <w:b/>
          <w:sz w:val="24"/>
        </w:rPr>
      </w:pPr>
    </w:p>
    <w:p>
      <w:pPr>
        <w:spacing w:line="360" w:lineRule="auto"/>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政府采购合同书</w:t>
      </w:r>
    </w:p>
    <w:p>
      <w:pPr>
        <w:spacing w:line="360" w:lineRule="auto"/>
        <w:rPr>
          <w:rFonts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项目名称：医共体医疗设备维保外包项目</w:t>
      </w: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甲    方：杭州市临平区第一人民医院</w:t>
      </w: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乙    方：</w:t>
      </w: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签 订 地：</w:t>
      </w:r>
      <w:r>
        <w:rPr>
          <w:rFonts w:hAnsi="宋体"/>
          <w:sz w:val="28"/>
          <w:szCs w:val="28"/>
        </w:rPr>
        <w:t>浙江杭州</w:t>
      </w:r>
    </w:p>
    <w:p>
      <w:pPr>
        <w:spacing w:line="360" w:lineRule="auto"/>
        <w:rPr>
          <w:rFonts w:hint="eastAsia"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签订日期：</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p>
      <w:pPr>
        <w:pStyle w:val="701"/>
        <w:spacing w:before="240" w:beforeLines="100" w:after="240" w:afterLines="100"/>
        <w:ind w:left="0" w:leftChars="0" w:firstLine="0" w:firstLineChars="0"/>
        <w:jc w:val="center"/>
        <w:rPr>
          <w:rFonts w:ascii="宋体" w:hAnsi="宋体" w:cs="宋体"/>
          <w:b/>
          <w:szCs w:val="24"/>
        </w:rPr>
      </w:pPr>
      <w:r>
        <w:rPr>
          <w:rFonts w:ascii="宋体" w:hAnsi="宋体" w:cs="宋体"/>
          <w:b/>
          <w:szCs w:val="24"/>
        </w:rPr>
        <w:br w:type="page"/>
      </w:r>
      <w:r>
        <w:rPr>
          <w:rFonts w:hint="eastAsia" w:ascii="宋体" w:hAnsi="宋体" w:cs="宋体"/>
          <w:b/>
          <w:szCs w:val="24"/>
        </w:rPr>
        <w:t>第一部分 合同书</w:t>
      </w:r>
    </w:p>
    <w:p>
      <w:pPr>
        <w:snapToGrid w:val="0"/>
        <w:spacing w:line="288" w:lineRule="auto"/>
        <w:ind w:firstLine="420" w:firstLineChars="200"/>
        <w:rPr>
          <w:rFonts w:ascii="宋体" w:hAnsi="宋体"/>
          <w:szCs w:val="21"/>
        </w:rPr>
      </w:pPr>
      <w:r>
        <w:rPr>
          <w:rFonts w:hint="eastAsia" w:ascii="宋体" w:hAnsi="宋体"/>
          <w:szCs w:val="21"/>
          <w:lang w:val="zh-CN"/>
        </w:rPr>
        <w:t>年 月 日</w:t>
      </w:r>
      <w:r>
        <w:rPr>
          <w:rFonts w:hint="eastAsia" w:ascii="宋体" w:hAnsi="宋体"/>
          <w:szCs w:val="21"/>
        </w:rPr>
        <w:t>，</w:t>
      </w:r>
      <w:r>
        <w:rPr>
          <w:rFonts w:hint="eastAsia"/>
          <w:szCs w:val="21"/>
          <w:u w:val="single"/>
        </w:rPr>
        <w:t>杭州市临平区第一人民医院</w:t>
      </w:r>
      <w:r>
        <w:rPr>
          <w:rFonts w:hint="eastAsia" w:ascii="宋体" w:hAnsi="宋体"/>
          <w:szCs w:val="21"/>
        </w:rPr>
        <w:t>以</w:t>
      </w:r>
      <w:r>
        <w:rPr>
          <w:rFonts w:ascii="宋体" w:hAnsi="宋体"/>
          <w:szCs w:val="21"/>
          <w:u w:val="single"/>
        </w:rPr>
        <w:t xml:space="preserve">   </w:t>
      </w:r>
      <w:r>
        <w:rPr>
          <w:rFonts w:hint="eastAsia" w:ascii="宋体" w:hAnsi="宋体"/>
          <w:szCs w:val="21"/>
          <w:u w:val="single"/>
        </w:rPr>
        <w:t>公开招标方式</w:t>
      </w:r>
      <w:r>
        <w:rPr>
          <w:rFonts w:ascii="宋体" w:hAnsi="宋体"/>
          <w:szCs w:val="21"/>
          <w:u w:val="single"/>
        </w:rPr>
        <w:t xml:space="preserve">  </w:t>
      </w:r>
      <w:r>
        <w:rPr>
          <w:rFonts w:hint="eastAsia" w:ascii="宋体" w:hAnsi="宋体"/>
          <w:szCs w:val="21"/>
        </w:rPr>
        <w:t>对</w:t>
      </w:r>
      <w:r>
        <w:rPr>
          <w:rFonts w:hint="eastAsia"/>
          <w:szCs w:val="21"/>
          <w:u w:val="single"/>
        </w:rPr>
        <w:t>医共体医疗设备维保外包项目</w:t>
      </w:r>
      <w:r>
        <w:rPr>
          <w:rFonts w:hint="eastAsia" w:ascii="宋体" w:hAnsi="宋体"/>
          <w:szCs w:val="21"/>
        </w:rPr>
        <w:t>进行了采购。经</w:t>
      </w:r>
      <w:r>
        <w:rPr>
          <w:rFonts w:hint="eastAsia" w:ascii="宋体" w:hAnsi="宋体"/>
          <w:szCs w:val="21"/>
          <w:u w:val="single"/>
        </w:rPr>
        <w:t>评标委员会</w:t>
      </w:r>
      <w:r>
        <w:rPr>
          <w:rFonts w:hint="eastAsia" w:ascii="宋体" w:hAnsi="宋体"/>
          <w:szCs w:val="21"/>
        </w:rPr>
        <w:t>评定，</w:t>
      </w:r>
      <w:r>
        <w:rPr>
          <w:rFonts w:ascii="宋体" w:hAnsi="宋体"/>
          <w:szCs w:val="21"/>
          <w:u w:val="single"/>
        </w:rPr>
        <w:t xml:space="preserve">   （中标供应商名称） </w:t>
      </w:r>
      <w:r>
        <w:rPr>
          <w:rFonts w:hint="eastAsia" w:ascii="宋体" w:hAnsi="宋体"/>
          <w:szCs w:val="21"/>
        </w:rPr>
        <w:t>为该项目中标供应商。现于中标通知书发出之日起10个工作日内，按照采购文件确定的事项签订本合同。</w:t>
      </w:r>
    </w:p>
    <w:p>
      <w:pPr>
        <w:snapToGrid w:val="0"/>
        <w:spacing w:line="288" w:lineRule="auto"/>
        <w:ind w:firstLine="420" w:firstLineChars="200"/>
        <w:rPr>
          <w:rFonts w:ascii="宋体" w:hAnsi="宋体"/>
          <w:szCs w:val="21"/>
        </w:rPr>
      </w:pPr>
      <w:r>
        <w:rPr>
          <w:rFonts w:hint="eastAsia" w:ascii="宋体" w:hAnsi="宋体"/>
          <w:szCs w:val="21"/>
          <w:lang w:val="zh-CN"/>
        </w:rPr>
        <w:t>根据《中华人民共和国民法典》《中华人民共和国政府采购法》等相关法律法规之规定，按照平等、自愿、公平和诚实信用的原则，经</w:t>
      </w:r>
      <w:r>
        <w:rPr>
          <w:rFonts w:ascii="宋体" w:hAnsi="宋体"/>
          <w:szCs w:val="21"/>
          <w:u w:val="single"/>
        </w:rPr>
        <w:t xml:space="preserve">（采购人） </w:t>
      </w:r>
      <w:r>
        <w:rPr>
          <w:rFonts w:ascii="宋体" w:hAnsi="宋体"/>
          <w:szCs w:val="21"/>
          <w:lang w:val="zh-CN"/>
        </w:rPr>
        <w:t>(以下简称：甲方)和</w:t>
      </w:r>
      <w:r>
        <w:rPr>
          <w:rFonts w:ascii="宋体" w:hAnsi="宋体"/>
          <w:szCs w:val="21"/>
          <w:u w:val="single"/>
        </w:rPr>
        <w:t xml:space="preserve">   （中标供应商名称）   </w:t>
      </w:r>
      <w:r>
        <w:rPr>
          <w:rFonts w:ascii="宋体" w:hAnsi="宋体"/>
          <w:szCs w:val="21"/>
          <w:lang w:val="zh-CN"/>
        </w:rPr>
        <w:t>(以下简称：乙方)协商一致，约定以下合同</w:t>
      </w:r>
      <w:r>
        <w:rPr>
          <w:rFonts w:hint="eastAsia" w:ascii="宋体" w:hAnsi="宋体"/>
          <w:szCs w:val="21"/>
        </w:rPr>
        <w:t>条款，以兹共同遵守、全面履行。</w:t>
      </w:r>
    </w:p>
    <w:p>
      <w:pPr>
        <w:snapToGrid w:val="0"/>
        <w:spacing w:line="288" w:lineRule="auto"/>
        <w:ind w:firstLine="422" w:firstLineChars="200"/>
        <w:rPr>
          <w:rFonts w:ascii="宋体" w:hAnsi="宋体"/>
          <w:szCs w:val="21"/>
        </w:rPr>
      </w:pPr>
      <w:bookmarkStart w:id="400" w:name="_Toc15367"/>
      <w:bookmarkStart w:id="401" w:name="_Toc22967"/>
      <w:bookmarkStart w:id="402" w:name="_Toc28855"/>
      <w:bookmarkStart w:id="403" w:name="_Toc19273"/>
      <w:bookmarkStart w:id="404" w:name="_Toc20421"/>
      <w:r>
        <w:rPr>
          <w:rFonts w:ascii="宋体" w:hAnsi="宋体"/>
          <w:b/>
          <w:szCs w:val="21"/>
        </w:rPr>
        <w:t xml:space="preserve">1.1 </w:t>
      </w:r>
      <w:r>
        <w:rPr>
          <w:rFonts w:hint="eastAsia" w:ascii="宋体" w:hAnsi="宋体"/>
          <w:b/>
          <w:szCs w:val="21"/>
        </w:rPr>
        <w:t>合同组成部分</w:t>
      </w:r>
      <w:bookmarkEnd w:id="400"/>
      <w:bookmarkEnd w:id="401"/>
      <w:bookmarkEnd w:id="402"/>
      <w:bookmarkEnd w:id="403"/>
      <w:bookmarkEnd w:id="404"/>
    </w:p>
    <w:p>
      <w:pPr>
        <w:snapToGrid w:val="0"/>
        <w:spacing w:line="288" w:lineRule="auto"/>
        <w:ind w:firstLine="420" w:firstLineChars="200"/>
        <w:rPr>
          <w:rFonts w:ascii="宋体" w:hAnsi="宋体"/>
          <w:szCs w:val="21"/>
        </w:rPr>
      </w:pPr>
      <w:r>
        <w:rPr>
          <w:rFonts w:hint="eastAsia" w:ascii="宋体" w:hAnsi="宋体"/>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288" w:lineRule="auto"/>
        <w:ind w:firstLine="420" w:firstLineChars="200"/>
        <w:rPr>
          <w:rFonts w:ascii="宋体" w:hAnsi="宋体"/>
          <w:szCs w:val="21"/>
        </w:rPr>
      </w:pPr>
      <w:r>
        <w:rPr>
          <w:rFonts w:ascii="宋体" w:hAnsi="宋体"/>
          <w:szCs w:val="21"/>
        </w:rPr>
        <w:t xml:space="preserve">1.1.1 </w:t>
      </w:r>
      <w:r>
        <w:rPr>
          <w:rFonts w:hint="eastAsia" w:ascii="宋体" w:hAnsi="宋体"/>
          <w:szCs w:val="21"/>
        </w:rPr>
        <w:t>本合同及其补充合同、变更协议；</w:t>
      </w:r>
    </w:p>
    <w:p>
      <w:pPr>
        <w:snapToGrid w:val="0"/>
        <w:spacing w:line="288" w:lineRule="auto"/>
        <w:ind w:firstLine="420" w:firstLineChars="200"/>
        <w:rPr>
          <w:rFonts w:ascii="宋体" w:hAnsi="宋体"/>
          <w:szCs w:val="21"/>
        </w:rPr>
      </w:pPr>
      <w:r>
        <w:rPr>
          <w:rFonts w:ascii="宋体" w:hAnsi="宋体"/>
          <w:szCs w:val="21"/>
        </w:rPr>
        <w:t xml:space="preserve">1.1.2 </w:t>
      </w:r>
      <w:r>
        <w:rPr>
          <w:rFonts w:hint="eastAsia" w:ascii="宋体" w:hAnsi="宋体"/>
          <w:szCs w:val="21"/>
        </w:rPr>
        <w:t>中标通知书；</w:t>
      </w:r>
    </w:p>
    <w:p>
      <w:pPr>
        <w:snapToGrid w:val="0"/>
        <w:spacing w:line="288" w:lineRule="auto"/>
        <w:ind w:firstLine="420" w:firstLineChars="200"/>
        <w:rPr>
          <w:rFonts w:ascii="宋体" w:hAnsi="宋体"/>
          <w:szCs w:val="21"/>
        </w:rPr>
      </w:pPr>
      <w:r>
        <w:rPr>
          <w:rFonts w:ascii="宋体" w:hAnsi="宋体"/>
          <w:szCs w:val="21"/>
        </w:rPr>
        <w:t xml:space="preserve">1.1.3 </w:t>
      </w:r>
      <w:r>
        <w:rPr>
          <w:rFonts w:hint="eastAsia" w:ascii="宋体" w:hAnsi="宋体"/>
          <w:szCs w:val="21"/>
        </w:rPr>
        <w:t>投标文件（含澄清或者说明文件）；</w:t>
      </w:r>
    </w:p>
    <w:p>
      <w:pPr>
        <w:snapToGrid w:val="0"/>
        <w:spacing w:line="288" w:lineRule="auto"/>
        <w:ind w:firstLine="420" w:firstLineChars="200"/>
        <w:rPr>
          <w:rFonts w:ascii="宋体" w:hAnsi="宋体"/>
          <w:szCs w:val="21"/>
        </w:rPr>
      </w:pPr>
      <w:r>
        <w:rPr>
          <w:rFonts w:ascii="宋体" w:hAnsi="宋体"/>
          <w:szCs w:val="21"/>
        </w:rPr>
        <w:t xml:space="preserve">1.1.4 </w:t>
      </w:r>
      <w:r>
        <w:rPr>
          <w:rFonts w:hint="eastAsia" w:ascii="宋体" w:hAnsi="宋体"/>
          <w:szCs w:val="21"/>
        </w:rPr>
        <w:t>招标文件（含澄清或者修改文件）；</w:t>
      </w:r>
    </w:p>
    <w:p>
      <w:pPr>
        <w:snapToGrid w:val="0"/>
        <w:spacing w:line="288" w:lineRule="auto"/>
        <w:ind w:firstLine="420" w:firstLineChars="200"/>
        <w:rPr>
          <w:rFonts w:ascii="宋体" w:hAnsi="宋体"/>
          <w:szCs w:val="21"/>
        </w:rPr>
      </w:pPr>
      <w:r>
        <w:rPr>
          <w:rFonts w:ascii="宋体" w:hAnsi="宋体"/>
          <w:szCs w:val="21"/>
        </w:rPr>
        <w:t xml:space="preserve">1.1.5 </w:t>
      </w:r>
      <w:r>
        <w:rPr>
          <w:rFonts w:hint="eastAsia" w:ascii="宋体" w:hAnsi="宋体"/>
          <w:szCs w:val="21"/>
        </w:rPr>
        <w:t>其他相关采购文件。</w:t>
      </w:r>
    </w:p>
    <w:p>
      <w:pPr>
        <w:snapToGrid w:val="0"/>
        <w:spacing w:line="288" w:lineRule="auto"/>
        <w:ind w:firstLine="422" w:firstLineChars="200"/>
        <w:rPr>
          <w:rFonts w:ascii="宋体" w:hAnsi="宋体"/>
          <w:b/>
          <w:szCs w:val="21"/>
        </w:rPr>
      </w:pPr>
      <w:bookmarkStart w:id="405" w:name="_Toc6773"/>
      <w:bookmarkStart w:id="406" w:name="_Toc18585"/>
      <w:bookmarkStart w:id="407" w:name="_Toc6311"/>
      <w:bookmarkStart w:id="408" w:name="_Toc2918"/>
      <w:bookmarkStart w:id="409" w:name="_Toc22185"/>
      <w:r>
        <w:rPr>
          <w:rFonts w:ascii="宋体" w:hAnsi="宋体"/>
          <w:b/>
          <w:szCs w:val="21"/>
        </w:rPr>
        <w:t xml:space="preserve">1.2 </w:t>
      </w:r>
      <w:r>
        <w:rPr>
          <w:rFonts w:hint="eastAsia" w:ascii="宋体" w:hAnsi="宋体"/>
          <w:b/>
          <w:szCs w:val="21"/>
        </w:rPr>
        <w:t>标的</w:t>
      </w:r>
      <w:bookmarkEnd w:id="405"/>
      <w:bookmarkEnd w:id="406"/>
      <w:bookmarkEnd w:id="407"/>
      <w:bookmarkEnd w:id="408"/>
      <w:bookmarkEnd w:id="409"/>
    </w:p>
    <w:p>
      <w:pPr>
        <w:snapToGrid w:val="0"/>
        <w:spacing w:line="288" w:lineRule="auto"/>
        <w:ind w:firstLine="420" w:firstLineChars="200"/>
        <w:rPr>
          <w:rFonts w:ascii="宋体" w:hAnsi="宋体"/>
          <w:szCs w:val="21"/>
          <w:u w:val="single"/>
        </w:rPr>
      </w:pPr>
      <w:r>
        <w:rPr>
          <w:rFonts w:ascii="宋体" w:hAnsi="宋体"/>
          <w:szCs w:val="21"/>
        </w:rPr>
        <w:t xml:space="preserve">1.2.1 </w:t>
      </w:r>
      <w:r>
        <w:rPr>
          <w:rFonts w:hint="eastAsia" w:ascii="宋体" w:hAnsi="宋体"/>
          <w:szCs w:val="21"/>
        </w:rPr>
        <w:t>标的</w:t>
      </w:r>
      <w:r>
        <w:rPr>
          <w:rFonts w:ascii="宋体" w:hAnsi="宋体"/>
          <w:szCs w:val="21"/>
        </w:rPr>
        <w:t>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napToGrid w:val="0"/>
        <w:spacing w:line="288" w:lineRule="auto"/>
        <w:ind w:firstLine="420" w:firstLineChars="200"/>
        <w:rPr>
          <w:rFonts w:ascii="宋体" w:hAnsi="宋体"/>
          <w:szCs w:val="21"/>
          <w:u w:val="single"/>
        </w:rPr>
      </w:pPr>
      <w:r>
        <w:rPr>
          <w:rFonts w:ascii="宋体" w:hAnsi="宋体"/>
          <w:szCs w:val="21"/>
        </w:rPr>
        <w:t xml:space="preserve">1.2.2 </w:t>
      </w:r>
      <w:r>
        <w:rPr>
          <w:rFonts w:hint="eastAsia" w:ascii="宋体" w:hAnsi="宋体"/>
          <w:szCs w:val="21"/>
        </w:rPr>
        <w:t>标的</w:t>
      </w:r>
      <w:r>
        <w:rPr>
          <w:rFonts w:ascii="宋体" w:hAnsi="宋体"/>
          <w:szCs w:val="21"/>
        </w:rPr>
        <w:t>数量：</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napToGrid w:val="0"/>
        <w:spacing w:line="288" w:lineRule="auto"/>
        <w:ind w:firstLine="420" w:firstLineChars="200"/>
        <w:rPr>
          <w:rFonts w:ascii="宋体" w:hAnsi="宋体"/>
          <w:szCs w:val="21"/>
        </w:rPr>
      </w:pPr>
      <w:r>
        <w:rPr>
          <w:rFonts w:ascii="宋体" w:hAnsi="宋体"/>
          <w:szCs w:val="21"/>
        </w:rPr>
        <w:t xml:space="preserve">1.2.3 </w:t>
      </w:r>
      <w:r>
        <w:rPr>
          <w:rFonts w:hint="eastAsia" w:ascii="宋体" w:hAnsi="宋体"/>
          <w:szCs w:val="21"/>
        </w:rPr>
        <w:t>标的质量：</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napToGrid w:val="0"/>
        <w:spacing w:line="288" w:lineRule="auto"/>
        <w:ind w:firstLine="422" w:firstLineChars="200"/>
        <w:rPr>
          <w:rFonts w:ascii="宋体" w:hAnsi="宋体"/>
          <w:b/>
          <w:szCs w:val="21"/>
        </w:rPr>
      </w:pPr>
      <w:bookmarkStart w:id="410" w:name="_Toc5635"/>
      <w:bookmarkStart w:id="411" w:name="_Toc21124"/>
      <w:bookmarkStart w:id="412" w:name="_Toc13918"/>
      <w:bookmarkStart w:id="413" w:name="_Toc1386"/>
      <w:bookmarkStart w:id="414" w:name="_Toc4929"/>
      <w:r>
        <w:rPr>
          <w:rFonts w:ascii="宋体" w:hAnsi="宋体"/>
          <w:b/>
          <w:szCs w:val="21"/>
        </w:rPr>
        <w:t>1.3 价款</w:t>
      </w:r>
      <w:bookmarkEnd w:id="410"/>
      <w:bookmarkEnd w:id="411"/>
      <w:bookmarkEnd w:id="412"/>
      <w:bookmarkEnd w:id="413"/>
      <w:bookmarkEnd w:id="414"/>
    </w:p>
    <w:p>
      <w:pPr>
        <w:snapToGrid w:val="0"/>
        <w:spacing w:line="288" w:lineRule="auto"/>
        <w:ind w:firstLine="420" w:firstLineChars="200"/>
        <w:rPr>
          <w:rFonts w:ascii="宋体" w:hAnsi="宋体"/>
          <w:szCs w:val="21"/>
        </w:rPr>
      </w:pPr>
      <w:r>
        <w:rPr>
          <w:rFonts w:ascii="宋体" w:hAnsi="宋体"/>
          <w:szCs w:val="21"/>
        </w:rPr>
        <w:t>本合同总价为</w:t>
      </w:r>
      <w:r>
        <w:rPr>
          <w:rFonts w:hint="eastAsia" w:ascii="宋体" w:hAnsi="宋体"/>
          <w:szCs w:val="21"/>
        </w:rPr>
        <w:t>：￥</w:t>
      </w:r>
      <w:r>
        <w:rPr>
          <w:rFonts w:ascii="宋体" w:hAnsi="宋体"/>
          <w:szCs w:val="21"/>
        </w:rPr>
        <w:t>元</w:t>
      </w:r>
      <w:r>
        <w:rPr>
          <w:rFonts w:hint="eastAsia" w:ascii="宋体" w:hAnsi="宋体"/>
          <w:szCs w:val="21"/>
        </w:rPr>
        <w:t>（大写：元人民币）</w:t>
      </w:r>
      <w:r>
        <w:rPr>
          <w:rFonts w:ascii="宋体" w:hAnsi="宋体"/>
          <w:szCs w:val="21"/>
        </w:rPr>
        <w:t>。</w:t>
      </w:r>
    </w:p>
    <w:p>
      <w:pPr>
        <w:snapToGrid w:val="0"/>
        <w:spacing w:line="288" w:lineRule="auto"/>
        <w:ind w:firstLine="420" w:firstLineChars="200"/>
        <w:rPr>
          <w:rFonts w:ascii="宋体" w:hAnsi="宋体"/>
          <w:szCs w:val="21"/>
          <w:u w:val="single"/>
        </w:rPr>
      </w:pPr>
      <w:r>
        <w:rPr>
          <w:rFonts w:ascii="宋体" w:hAnsi="宋体"/>
          <w:szCs w:val="21"/>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29"/>
              <w:adjustRightInd w:val="0"/>
              <w:snapToGrid w:val="0"/>
              <w:spacing w:line="288" w:lineRule="auto"/>
              <w:jc w:val="center"/>
              <w:rPr>
                <w:rFonts w:hAnsi="宋体"/>
                <w:sz w:val="21"/>
                <w:szCs w:val="21"/>
                <w:lang w:val="en-US" w:eastAsia="zh-CN"/>
              </w:rPr>
            </w:pPr>
            <w:r>
              <w:rPr>
                <w:rFonts w:hAnsi="宋体"/>
                <w:sz w:val="21"/>
                <w:szCs w:val="21"/>
                <w:lang w:val="en-US" w:eastAsia="zh-CN"/>
              </w:rPr>
              <w:t>序号</w:t>
            </w:r>
          </w:p>
        </w:tc>
        <w:tc>
          <w:tcPr>
            <w:tcW w:w="3402" w:type="dxa"/>
            <w:noWrap w:val="0"/>
            <w:vAlign w:val="center"/>
          </w:tcPr>
          <w:p>
            <w:pPr>
              <w:pStyle w:val="329"/>
              <w:adjustRightInd w:val="0"/>
              <w:snapToGrid w:val="0"/>
              <w:spacing w:line="288" w:lineRule="auto"/>
              <w:ind w:firstLine="200"/>
              <w:jc w:val="center"/>
              <w:rPr>
                <w:rFonts w:hAnsi="宋体"/>
                <w:sz w:val="21"/>
                <w:szCs w:val="21"/>
                <w:lang w:val="en-US" w:eastAsia="zh-CN"/>
              </w:rPr>
            </w:pPr>
            <w:r>
              <w:rPr>
                <w:rFonts w:hint="eastAsia" w:hAnsi="宋体"/>
                <w:sz w:val="21"/>
                <w:szCs w:val="21"/>
                <w:lang w:val="en-US" w:eastAsia="zh-CN"/>
              </w:rPr>
              <w:t>分项名称</w:t>
            </w:r>
          </w:p>
        </w:tc>
        <w:tc>
          <w:tcPr>
            <w:tcW w:w="2552" w:type="dxa"/>
            <w:noWrap w:val="0"/>
            <w:vAlign w:val="center"/>
          </w:tcPr>
          <w:p>
            <w:pPr>
              <w:pStyle w:val="329"/>
              <w:adjustRightInd w:val="0"/>
              <w:snapToGrid w:val="0"/>
              <w:spacing w:line="288" w:lineRule="auto"/>
              <w:jc w:val="center"/>
              <w:rPr>
                <w:rFonts w:hAnsi="宋体"/>
                <w:sz w:val="21"/>
                <w:szCs w:val="21"/>
                <w:lang w:val="en-US" w:eastAsia="zh-CN"/>
              </w:rPr>
            </w:pPr>
            <w:r>
              <w:rPr>
                <w:rFonts w:hAnsi="宋体"/>
                <w:sz w:val="21"/>
                <w:szCs w:val="21"/>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29"/>
              <w:adjustRightInd w:val="0"/>
              <w:snapToGrid w:val="0"/>
              <w:spacing w:line="288" w:lineRule="auto"/>
              <w:ind w:firstLine="200"/>
              <w:jc w:val="center"/>
              <w:rPr>
                <w:rFonts w:hAnsi="宋体"/>
                <w:sz w:val="21"/>
                <w:szCs w:val="21"/>
                <w:lang w:val="en-US" w:eastAsia="zh-CN"/>
              </w:rPr>
            </w:pPr>
          </w:p>
        </w:tc>
        <w:tc>
          <w:tcPr>
            <w:tcW w:w="3402" w:type="dxa"/>
            <w:noWrap w:val="0"/>
            <w:vAlign w:val="center"/>
          </w:tcPr>
          <w:p>
            <w:pPr>
              <w:pStyle w:val="329"/>
              <w:adjustRightInd w:val="0"/>
              <w:snapToGrid w:val="0"/>
              <w:spacing w:line="288" w:lineRule="auto"/>
              <w:ind w:firstLine="200"/>
              <w:jc w:val="center"/>
              <w:rPr>
                <w:rFonts w:hAnsi="宋体"/>
                <w:sz w:val="21"/>
                <w:szCs w:val="21"/>
                <w:lang w:val="en-US" w:eastAsia="zh-CN"/>
              </w:rPr>
            </w:pPr>
          </w:p>
        </w:tc>
        <w:tc>
          <w:tcPr>
            <w:tcW w:w="2552" w:type="dxa"/>
            <w:noWrap w:val="0"/>
            <w:vAlign w:val="center"/>
          </w:tcPr>
          <w:p>
            <w:pPr>
              <w:pStyle w:val="329"/>
              <w:adjustRightInd w:val="0"/>
              <w:snapToGrid w:val="0"/>
              <w:spacing w:line="288" w:lineRule="auto"/>
              <w:ind w:firstLine="200"/>
              <w:jc w:val="center"/>
              <w:rPr>
                <w:rFonts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29"/>
              <w:adjustRightInd w:val="0"/>
              <w:snapToGrid w:val="0"/>
              <w:spacing w:line="288" w:lineRule="auto"/>
              <w:ind w:firstLine="200"/>
              <w:jc w:val="center"/>
              <w:rPr>
                <w:rFonts w:hAnsi="宋体"/>
                <w:sz w:val="21"/>
                <w:szCs w:val="21"/>
                <w:lang w:val="en-US" w:eastAsia="zh-CN"/>
              </w:rPr>
            </w:pPr>
          </w:p>
        </w:tc>
        <w:tc>
          <w:tcPr>
            <w:tcW w:w="3402" w:type="dxa"/>
            <w:noWrap w:val="0"/>
            <w:vAlign w:val="center"/>
          </w:tcPr>
          <w:p>
            <w:pPr>
              <w:pStyle w:val="329"/>
              <w:adjustRightInd w:val="0"/>
              <w:snapToGrid w:val="0"/>
              <w:spacing w:line="288" w:lineRule="auto"/>
              <w:ind w:firstLine="200"/>
              <w:jc w:val="center"/>
              <w:rPr>
                <w:rFonts w:hAnsi="宋体"/>
                <w:sz w:val="21"/>
                <w:szCs w:val="21"/>
                <w:lang w:val="en-US" w:eastAsia="zh-CN"/>
              </w:rPr>
            </w:pPr>
          </w:p>
        </w:tc>
        <w:tc>
          <w:tcPr>
            <w:tcW w:w="2552" w:type="dxa"/>
            <w:noWrap w:val="0"/>
            <w:vAlign w:val="center"/>
          </w:tcPr>
          <w:p>
            <w:pPr>
              <w:pStyle w:val="329"/>
              <w:adjustRightInd w:val="0"/>
              <w:snapToGrid w:val="0"/>
              <w:spacing w:line="288" w:lineRule="auto"/>
              <w:ind w:firstLine="200"/>
              <w:jc w:val="center"/>
              <w:rPr>
                <w:rFonts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29"/>
              <w:adjustRightInd w:val="0"/>
              <w:snapToGrid w:val="0"/>
              <w:spacing w:line="288" w:lineRule="auto"/>
              <w:ind w:firstLine="200"/>
              <w:jc w:val="center"/>
              <w:rPr>
                <w:rFonts w:hAnsi="宋体"/>
                <w:sz w:val="21"/>
                <w:szCs w:val="21"/>
                <w:lang w:val="en-US" w:eastAsia="zh-CN"/>
              </w:rPr>
            </w:pPr>
          </w:p>
        </w:tc>
        <w:tc>
          <w:tcPr>
            <w:tcW w:w="3402" w:type="dxa"/>
            <w:noWrap w:val="0"/>
            <w:vAlign w:val="center"/>
          </w:tcPr>
          <w:p>
            <w:pPr>
              <w:pStyle w:val="329"/>
              <w:adjustRightInd w:val="0"/>
              <w:snapToGrid w:val="0"/>
              <w:spacing w:line="288" w:lineRule="auto"/>
              <w:ind w:firstLine="200"/>
              <w:jc w:val="center"/>
              <w:rPr>
                <w:rFonts w:hAnsi="宋体"/>
                <w:sz w:val="21"/>
                <w:szCs w:val="21"/>
                <w:lang w:val="en-US" w:eastAsia="zh-CN"/>
              </w:rPr>
            </w:pPr>
          </w:p>
        </w:tc>
        <w:tc>
          <w:tcPr>
            <w:tcW w:w="2552" w:type="dxa"/>
            <w:noWrap w:val="0"/>
            <w:vAlign w:val="center"/>
          </w:tcPr>
          <w:p>
            <w:pPr>
              <w:pStyle w:val="329"/>
              <w:adjustRightInd w:val="0"/>
              <w:snapToGrid w:val="0"/>
              <w:spacing w:line="288" w:lineRule="auto"/>
              <w:ind w:firstLine="200"/>
              <w:jc w:val="center"/>
              <w:rPr>
                <w:rFonts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29"/>
              <w:adjustRightInd w:val="0"/>
              <w:snapToGrid w:val="0"/>
              <w:spacing w:line="288" w:lineRule="auto"/>
              <w:ind w:firstLine="200"/>
              <w:jc w:val="center"/>
              <w:rPr>
                <w:rFonts w:hAnsi="宋体"/>
                <w:sz w:val="21"/>
                <w:szCs w:val="21"/>
                <w:lang w:val="en-US" w:eastAsia="zh-CN"/>
              </w:rPr>
            </w:pPr>
          </w:p>
        </w:tc>
        <w:tc>
          <w:tcPr>
            <w:tcW w:w="3402" w:type="dxa"/>
            <w:noWrap w:val="0"/>
            <w:vAlign w:val="center"/>
          </w:tcPr>
          <w:p>
            <w:pPr>
              <w:pStyle w:val="329"/>
              <w:adjustRightInd w:val="0"/>
              <w:snapToGrid w:val="0"/>
              <w:spacing w:line="288" w:lineRule="auto"/>
              <w:ind w:firstLine="200"/>
              <w:jc w:val="center"/>
              <w:rPr>
                <w:rFonts w:hAnsi="宋体"/>
                <w:sz w:val="21"/>
                <w:szCs w:val="21"/>
                <w:lang w:val="en-US" w:eastAsia="zh-CN"/>
              </w:rPr>
            </w:pPr>
          </w:p>
        </w:tc>
        <w:tc>
          <w:tcPr>
            <w:tcW w:w="2552" w:type="dxa"/>
            <w:noWrap w:val="0"/>
            <w:vAlign w:val="center"/>
          </w:tcPr>
          <w:p>
            <w:pPr>
              <w:pStyle w:val="329"/>
              <w:adjustRightInd w:val="0"/>
              <w:snapToGrid w:val="0"/>
              <w:spacing w:line="288" w:lineRule="auto"/>
              <w:ind w:firstLine="200"/>
              <w:jc w:val="center"/>
              <w:rPr>
                <w:rFonts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4603" w:type="dxa"/>
            <w:gridSpan w:val="2"/>
            <w:noWrap w:val="0"/>
            <w:vAlign w:val="center"/>
          </w:tcPr>
          <w:p>
            <w:pPr>
              <w:pStyle w:val="329"/>
              <w:adjustRightInd w:val="0"/>
              <w:snapToGrid w:val="0"/>
              <w:spacing w:line="288" w:lineRule="auto"/>
              <w:ind w:firstLine="200"/>
              <w:jc w:val="center"/>
              <w:rPr>
                <w:rFonts w:hAnsi="宋体"/>
                <w:sz w:val="21"/>
                <w:szCs w:val="21"/>
                <w:lang w:val="en-US" w:eastAsia="zh-CN"/>
              </w:rPr>
            </w:pPr>
            <w:r>
              <w:rPr>
                <w:rFonts w:hint="eastAsia" w:hAnsi="宋体"/>
                <w:sz w:val="21"/>
                <w:szCs w:val="21"/>
                <w:lang w:val="en-US" w:eastAsia="zh-CN"/>
              </w:rPr>
              <w:t>总价</w:t>
            </w:r>
          </w:p>
        </w:tc>
        <w:tc>
          <w:tcPr>
            <w:tcW w:w="2552" w:type="dxa"/>
            <w:noWrap w:val="0"/>
            <w:vAlign w:val="center"/>
          </w:tcPr>
          <w:p>
            <w:pPr>
              <w:pStyle w:val="329"/>
              <w:adjustRightInd w:val="0"/>
              <w:snapToGrid w:val="0"/>
              <w:spacing w:line="288" w:lineRule="auto"/>
              <w:ind w:firstLine="200"/>
              <w:jc w:val="center"/>
              <w:rPr>
                <w:rFonts w:hAnsi="宋体"/>
                <w:sz w:val="21"/>
                <w:szCs w:val="21"/>
                <w:lang w:val="en-US" w:eastAsia="zh-CN"/>
              </w:rPr>
            </w:pPr>
          </w:p>
        </w:tc>
      </w:tr>
    </w:tbl>
    <w:p>
      <w:pPr>
        <w:snapToGrid w:val="0"/>
        <w:spacing w:line="288" w:lineRule="auto"/>
        <w:ind w:firstLine="422" w:firstLineChars="200"/>
        <w:rPr>
          <w:rFonts w:hint="eastAsia" w:ascii="宋体" w:hAnsi="宋体"/>
          <w:b/>
          <w:szCs w:val="21"/>
        </w:rPr>
      </w:pPr>
      <w:bookmarkStart w:id="415" w:name="_Toc26916"/>
      <w:bookmarkStart w:id="416" w:name="_Toc3654"/>
      <w:bookmarkStart w:id="417" w:name="_Toc30158"/>
      <w:bookmarkStart w:id="418" w:name="_Toc14993"/>
      <w:bookmarkStart w:id="419" w:name="_Toc30506"/>
      <w:r>
        <w:rPr>
          <w:rFonts w:ascii="宋体" w:hAnsi="宋体"/>
          <w:b/>
          <w:szCs w:val="21"/>
        </w:rPr>
        <w:t>1.4 付款方式和发票开具方式</w:t>
      </w:r>
      <w:bookmarkEnd w:id="415"/>
      <w:bookmarkEnd w:id="416"/>
      <w:bookmarkEnd w:id="417"/>
      <w:bookmarkEnd w:id="418"/>
      <w:bookmarkEnd w:id="419"/>
    </w:p>
    <w:p>
      <w:pPr>
        <w:snapToGrid w:val="0"/>
        <w:spacing w:line="288" w:lineRule="auto"/>
        <w:ind w:firstLine="420" w:firstLineChars="200"/>
        <w:rPr>
          <w:rFonts w:ascii="宋体" w:hAnsi="宋体"/>
          <w:b/>
          <w:szCs w:val="21"/>
        </w:rPr>
      </w:pPr>
      <w:r>
        <w:rPr>
          <w:rFonts w:ascii="宋体" w:hAnsi="宋体"/>
          <w:szCs w:val="21"/>
        </w:rPr>
        <w:t>1.4.1</w:t>
      </w:r>
      <w:r>
        <w:rPr>
          <w:rFonts w:hint="eastAsia" w:ascii="宋体" w:hAnsi="宋体"/>
          <w:szCs w:val="21"/>
        </w:rPr>
        <w:t>甲方应严格履行合同，及时组织验收，验收合格后及时将合同款支付完毕。对于满足合同约定支付条件的，甲方自收到发票后</w:t>
      </w:r>
      <w:r>
        <w:rPr>
          <w:rFonts w:ascii="宋体" w:hAnsi="宋体"/>
          <w:szCs w:val="21"/>
        </w:rPr>
        <w:t>5个工作日内将资金支付到合同约定的乙方账户，有条件的甲方可以即时支付。甲方不得以机构变动、人员更替、政策调整、单位放假等为由延迟付款。</w:t>
      </w:r>
    </w:p>
    <w:p>
      <w:pPr>
        <w:snapToGrid w:val="0"/>
        <w:spacing w:line="288" w:lineRule="auto"/>
        <w:ind w:firstLine="420" w:firstLineChars="200"/>
        <w:rPr>
          <w:rFonts w:ascii="宋体" w:hAnsi="宋体"/>
          <w:szCs w:val="21"/>
        </w:rPr>
      </w:pPr>
      <w:r>
        <w:rPr>
          <w:rFonts w:ascii="宋体" w:hAnsi="宋体"/>
          <w:szCs w:val="21"/>
        </w:rPr>
        <w:t xml:space="preserve">1.4.2 </w:t>
      </w:r>
      <w:r>
        <w:rPr>
          <w:rFonts w:hint="eastAsia" w:ascii="宋体" w:hAnsi="宋体"/>
          <w:szCs w:val="21"/>
        </w:rPr>
        <w:t>合同预付款比例为合同金额的</w:t>
      </w:r>
      <w:r>
        <w:rPr>
          <w:rFonts w:ascii="宋体" w:hAnsi="宋体"/>
          <w:szCs w:val="21"/>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szCs w:val="21"/>
        </w:rPr>
        <w:t>5</w:t>
      </w:r>
      <w:r>
        <w:rPr>
          <w:rFonts w:ascii="宋体" w:hAnsi="宋体"/>
          <w:szCs w:val="21"/>
        </w:rPr>
        <w:t>个工作日内支付。</w:t>
      </w:r>
      <w:r>
        <w:rPr>
          <w:rFonts w:hint="eastAsia" w:ascii="宋体" w:hAnsi="宋体"/>
          <w:szCs w:val="21"/>
        </w:rPr>
        <w:t>政府采购工程以及与工程建设有关的货物、服务，采用招标方式采购的，预付款从其相关规定。乙方可登录政采云前台大厅选择金融服务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w:t>
      </w:r>
      <w:r>
        <w:rPr>
          <w:rFonts w:ascii="宋体" w:hAnsi="宋体"/>
          <w:szCs w:val="21"/>
        </w:rPr>
        <w:t>400-903-9583。</w:t>
      </w:r>
    </w:p>
    <w:p>
      <w:pPr>
        <w:snapToGrid w:val="0"/>
        <w:spacing w:line="288" w:lineRule="auto"/>
        <w:ind w:firstLine="420" w:firstLineChars="200"/>
        <w:rPr>
          <w:rFonts w:ascii="宋体" w:hAnsi="宋体"/>
          <w:szCs w:val="21"/>
        </w:rPr>
      </w:pPr>
      <w:r>
        <w:rPr>
          <w:rFonts w:ascii="宋体" w:hAnsi="宋体"/>
          <w:szCs w:val="21"/>
        </w:rPr>
        <w:t>1.4.3</w:t>
      </w:r>
      <w:r>
        <w:rPr>
          <w:rFonts w:hint="eastAsia" w:ascii="宋体" w:hAnsi="宋体"/>
          <w:szCs w:val="21"/>
        </w:rPr>
        <w:t>甲方迟延支付乙方款项的，向乙方支付逾期利息。双方可以在合同专用条款中约定逾期利率，约定利率不得低于合同订立时</w:t>
      </w:r>
      <w:r>
        <w:rPr>
          <w:rFonts w:ascii="宋体" w:hAnsi="宋体"/>
          <w:szCs w:val="21"/>
        </w:rPr>
        <w:t>1年</w:t>
      </w:r>
      <w:r>
        <w:rPr>
          <w:rFonts w:hint="eastAsia" w:ascii="宋体" w:hAnsi="宋体"/>
          <w:szCs w:val="21"/>
        </w:rPr>
        <w:t>期贷款市场报价利率；未作约定的，按照每日利率万分之五支付逾期利息。</w:t>
      </w:r>
    </w:p>
    <w:p>
      <w:pPr>
        <w:snapToGrid w:val="0"/>
        <w:spacing w:line="288" w:lineRule="auto"/>
        <w:ind w:firstLine="420" w:firstLineChars="200"/>
        <w:rPr>
          <w:rFonts w:ascii="宋体" w:hAnsi="宋体"/>
          <w:szCs w:val="21"/>
        </w:rPr>
      </w:pPr>
      <w:r>
        <w:rPr>
          <w:rFonts w:ascii="宋体" w:hAnsi="宋体"/>
          <w:szCs w:val="21"/>
        </w:rPr>
        <w:t>1.4.4资金支付的方式、时间和条件详见</w:t>
      </w:r>
      <w:r>
        <w:rPr>
          <w:rFonts w:hint="eastAsia" w:ascii="宋体" w:hAnsi="宋体"/>
          <w:b/>
          <w:i/>
          <w:szCs w:val="21"/>
          <w:u w:val="single"/>
        </w:rPr>
        <w:t>合同专用条款</w:t>
      </w:r>
      <w:r>
        <w:rPr>
          <w:rFonts w:hint="eastAsia" w:ascii="宋体" w:hAnsi="宋体"/>
          <w:szCs w:val="21"/>
        </w:rPr>
        <w:t>。</w:t>
      </w:r>
    </w:p>
    <w:p>
      <w:pPr>
        <w:snapToGrid w:val="0"/>
        <w:spacing w:line="288" w:lineRule="auto"/>
        <w:ind w:firstLine="420" w:firstLineChars="200"/>
        <w:rPr>
          <w:rFonts w:ascii="宋体" w:hAnsi="宋体"/>
          <w:szCs w:val="21"/>
        </w:rPr>
      </w:pPr>
      <w:r>
        <w:rPr>
          <w:rFonts w:ascii="宋体" w:hAnsi="宋体"/>
          <w:szCs w:val="21"/>
        </w:rPr>
        <w:t>1.4.5</w:t>
      </w:r>
      <w:r>
        <w:rPr>
          <w:rFonts w:hint="eastAsia" w:ascii="宋体" w:hAnsi="宋体"/>
          <w:szCs w:val="21"/>
        </w:rPr>
        <w:t>乙方</w:t>
      </w:r>
      <w:r>
        <w:rPr>
          <w:rFonts w:ascii="宋体" w:hAnsi="宋体"/>
          <w:szCs w:val="21"/>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szCs w:val="21"/>
        </w:rPr>
        <w:t>杭财采监〔</w:t>
      </w:r>
      <w:r>
        <w:rPr>
          <w:rFonts w:ascii="宋体" w:hAnsi="宋体"/>
          <w:szCs w:val="21"/>
        </w:rPr>
        <w:t>2021〕17号）。</w:t>
      </w:r>
    </w:p>
    <w:p>
      <w:pPr>
        <w:snapToGrid w:val="0"/>
        <w:spacing w:line="288" w:lineRule="auto"/>
        <w:ind w:firstLine="422" w:firstLineChars="200"/>
        <w:rPr>
          <w:rFonts w:ascii="宋体" w:hAnsi="宋体"/>
          <w:b/>
          <w:szCs w:val="21"/>
        </w:rPr>
      </w:pPr>
      <w:bookmarkStart w:id="420" w:name="_Toc4760"/>
      <w:bookmarkStart w:id="421" w:name="_Toc8772"/>
      <w:bookmarkStart w:id="422" w:name="_Toc31421"/>
      <w:bookmarkStart w:id="423" w:name="_Toc11108"/>
      <w:bookmarkStart w:id="424" w:name="_Toc3625"/>
      <w:r>
        <w:rPr>
          <w:rFonts w:ascii="宋体" w:hAnsi="宋体"/>
          <w:b/>
          <w:szCs w:val="21"/>
        </w:rPr>
        <w:t>1.5 履行期限</w:t>
      </w:r>
      <w:r>
        <w:rPr>
          <w:rFonts w:hint="eastAsia" w:ascii="宋体" w:hAnsi="宋体"/>
          <w:b/>
          <w:szCs w:val="21"/>
        </w:rPr>
        <w:t>、地点和方式</w:t>
      </w:r>
      <w:bookmarkEnd w:id="420"/>
      <w:bookmarkEnd w:id="421"/>
      <w:bookmarkEnd w:id="422"/>
      <w:bookmarkEnd w:id="423"/>
      <w:bookmarkEnd w:id="424"/>
    </w:p>
    <w:p>
      <w:pPr>
        <w:snapToGrid w:val="0"/>
        <w:spacing w:line="288" w:lineRule="auto"/>
        <w:ind w:firstLine="420" w:firstLineChars="200"/>
        <w:rPr>
          <w:rFonts w:ascii="宋体" w:hAnsi="宋体"/>
          <w:szCs w:val="21"/>
          <w:u w:val="single"/>
        </w:rPr>
      </w:pPr>
      <w:r>
        <w:rPr>
          <w:rFonts w:ascii="宋体" w:hAnsi="宋体"/>
          <w:szCs w:val="21"/>
        </w:rPr>
        <w:t xml:space="preserve">1.5.1 </w:t>
      </w:r>
      <w:r>
        <w:rPr>
          <w:rFonts w:hint="eastAsia" w:ascii="宋体" w:hAnsi="宋体"/>
          <w:szCs w:val="21"/>
        </w:rPr>
        <w:t>履行期限</w:t>
      </w:r>
      <w:r>
        <w:rPr>
          <w:rFonts w:ascii="宋体" w:hAnsi="宋体"/>
          <w:szCs w:val="21"/>
        </w:rPr>
        <w:t>：</w:t>
      </w:r>
      <w:r>
        <w:rPr>
          <w:rFonts w:hint="eastAsia" w:ascii="宋体" w:hAnsi="宋体"/>
          <w:b/>
          <w:i/>
          <w:szCs w:val="21"/>
          <w:u w:val="single"/>
        </w:rPr>
        <w:t>合同专用条款</w:t>
      </w:r>
      <w:r>
        <w:rPr>
          <w:rFonts w:hint="eastAsia" w:ascii="宋体" w:hAnsi="宋体"/>
          <w:szCs w:val="21"/>
        </w:rPr>
        <w:t>；</w:t>
      </w:r>
    </w:p>
    <w:p>
      <w:pPr>
        <w:snapToGrid w:val="0"/>
        <w:spacing w:line="288" w:lineRule="auto"/>
        <w:ind w:firstLine="420" w:firstLineChars="200"/>
        <w:rPr>
          <w:rFonts w:ascii="宋体" w:hAnsi="宋体"/>
          <w:szCs w:val="21"/>
        </w:rPr>
      </w:pPr>
      <w:r>
        <w:rPr>
          <w:rFonts w:ascii="宋体" w:hAnsi="宋体"/>
          <w:szCs w:val="21"/>
        </w:rPr>
        <w:t xml:space="preserve">1.5.2 </w:t>
      </w:r>
      <w:r>
        <w:rPr>
          <w:rFonts w:hint="eastAsia" w:ascii="宋体" w:hAnsi="宋体"/>
          <w:szCs w:val="21"/>
        </w:rPr>
        <w:t>履行地点</w:t>
      </w:r>
      <w:r>
        <w:rPr>
          <w:rFonts w:ascii="宋体" w:hAnsi="宋体"/>
          <w:szCs w:val="21"/>
        </w:rPr>
        <w:t>：</w:t>
      </w:r>
      <w:r>
        <w:rPr>
          <w:rFonts w:hint="eastAsia" w:ascii="宋体" w:hAnsi="宋体"/>
          <w:b/>
          <w:i/>
          <w:szCs w:val="21"/>
          <w:u w:val="single"/>
        </w:rPr>
        <w:t>合同专用条款</w:t>
      </w:r>
      <w:r>
        <w:rPr>
          <w:rFonts w:hint="eastAsia" w:ascii="宋体" w:hAnsi="宋体"/>
          <w:szCs w:val="21"/>
        </w:rPr>
        <w:t>；</w:t>
      </w:r>
    </w:p>
    <w:p>
      <w:pPr>
        <w:snapToGrid w:val="0"/>
        <w:spacing w:line="288" w:lineRule="auto"/>
        <w:ind w:firstLine="420" w:firstLineChars="200"/>
        <w:rPr>
          <w:rFonts w:ascii="宋体" w:hAnsi="宋体"/>
          <w:szCs w:val="21"/>
        </w:rPr>
      </w:pPr>
      <w:r>
        <w:rPr>
          <w:rFonts w:ascii="宋体" w:hAnsi="宋体"/>
          <w:szCs w:val="21"/>
        </w:rPr>
        <w:t xml:space="preserve">1.5.3 </w:t>
      </w:r>
      <w:r>
        <w:rPr>
          <w:rFonts w:hint="eastAsia" w:ascii="宋体" w:hAnsi="宋体"/>
          <w:szCs w:val="21"/>
        </w:rPr>
        <w:t>履行方式：</w:t>
      </w:r>
      <w:r>
        <w:rPr>
          <w:rFonts w:hint="eastAsia" w:ascii="宋体" w:hAnsi="宋体"/>
          <w:b/>
          <w:i/>
          <w:szCs w:val="21"/>
          <w:u w:val="single"/>
        </w:rPr>
        <w:t>合同专用条款</w:t>
      </w:r>
      <w:r>
        <w:rPr>
          <w:rFonts w:hint="eastAsia" w:ascii="宋体" w:hAnsi="宋体"/>
          <w:szCs w:val="21"/>
        </w:rPr>
        <w:t>。</w:t>
      </w:r>
    </w:p>
    <w:p>
      <w:pPr>
        <w:snapToGrid w:val="0"/>
        <w:spacing w:line="288" w:lineRule="auto"/>
        <w:ind w:firstLine="422" w:firstLineChars="200"/>
        <w:rPr>
          <w:rFonts w:ascii="宋体" w:hAnsi="宋体"/>
          <w:szCs w:val="21"/>
          <w:u w:val="single"/>
        </w:rPr>
      </w:pPr>
      <w:bookmarkStart w:id="425" w:name="_Toc2375"/>
      <w:bookmarkStart w:id="426" w:name="_Toc3079"/>
      <w:bookmarkStart w:id="427" w:name="_Toc24662"/>
      <w:bookmarkStart w:id="428" w:name="_Toc5698"/>
      <w:bookmarkStart w:id="429" w:name="_Toc8586"/>
      <w:r>
        <w:rPr>
          <w:rFonts w:ascii="宋体" w:hAnsi="宋体"/>
          <w:b/>
          <w:szCs w:val="21"/>
        </w:rPr>
        <w:t xml:space="preserve">1.6 </w:t>
      </w:r>
      <w:r>
        <w:rPr>
          <w:rFonts w:hint="eastAsia" w:ascii="宋体" w:hAnsi="宋体"/>
          <w:b/>
          <w:szCs w:val="21"/>
        </w:rPr>
        <w:t>违约责任</w:t>
      </w:r>
      <w:bookmarkEnd w:id="425"/>
      <w:bookmarkEnd w:id="426"/>
      <w:bookmarkEnd w:id="427"/>
      <w:bookmarkEnd w:id="428"/>
      <w:bookmarkEnd w:id="429"/>
    </w:p>
    <w:p>
      <w:pPr>
        <w:snapToGrid w:val="0"/>
        <w:spacing w:line="288" w:lineRule="auto"/>
        <w:ind w:firstLine="420" w:firstLineChars="200"/>
        <w:rPr>
          <w:rFonts w:ascii="宋体" w:hAnsi="宋体"/>
          <w:szCs w:val="21"/>
        </w:rPr>
      </w:pPr>
      <w:r>
        <w:rPr>
          <w:rFonts w:ascii="宋体" w:hAnsi="宋体"/>
          <w:szCs w:val="21"/>
        </w:rPr>
        <w:t>1.6.1 除不可抗力外，如果乙方没有按照本合同约定的期限</w:t>
      </w:r>
      <w:r>
        <w:rPr>
          <w:rFonts w:hint="eastAsia" w:ascii="宋体" w:hAnsi="宋体"/>
          <w:szCs w:val="21"/>
        </w:rPr>
        <w:t>、</w:t>
      </w:r>
      <w:r>
        <w:rPr>
          <w:rFonts w:ascii="宋体" w:hAnsi="宋体"/>
          <w:szCs w:val="21"/>
        </w:rPr>
        <w:t>地点和方式</w:t>
      </w:r>
      <w:r>
        <w:rPr>
          <w:rFonts w:hint="eastAsia" w:ascii="宋体" w:hAnsi="宋体"/>
          <w:szCs w:val="21"/>
        </w:rPr>
        <w:t>履行</w:t>
      </w:r>
      <w:r>
        <w:rPr>
          <w:rFonts w:ascii="宋体" w:hAnsi="宋体"/>
          <w:szCs w:val="21"/>
        </w:rPr>
        <w:t>，那么甲方可要求乙方支付违约金</w:t>
      </w:r>
      <w:r>
        <w:rPr>
          <w:rFonts w:hint="eastAsia" w:ascii="宋体" w:hAnsi="宋体"/>
          <w:szCs w:val="21"/>
        </w:rPr>
        <w:t>，</w:t>
      </w:r>
      <w:r>
        <w:rPr>
          <w:rFonts w:ascii="宋体" w:hAnsi="宋体"/>
          <w:szCs w:val="21"/>
        </w:rPr>
        <w:t>违约金按每迟延</w:t>
      </w:r>
      <w:r>
        <w:rPr>
          <w:rFonts w:hint="eastAsia" w:ascii="宋体" w:hAnsi="宋体"/>
          <w:szCs w:val="21"/>
        </w:rPr>
        <w:t>履行</w:t>
      </w:r>
      <w:r>
        <w:rPr>
          <w:rFonts w:ascii="宋体" w:hAnsi="宋体"/>
          <w:szCs w:val="21"/>
        </w:rPr>
        <w:t>一日的应提供而未</w:t>
      </w:r>
      <w:r>
        <w:rPr>
          <w:rFonts w:hint="eastAsia" w:ascii="宋体" w:hAnsi="宋体"/>
          <w:szCs w:val="21"/>
        </w:rPr>
        <w:t>提供</w:t>
      </w:r>
      <w:r>
        <w:rPr>
          <w:rFonts w:ascii="宋体" w:hAnsi="宋体"/>
          <w:szCs w:val="21"/>
        </w:rPr>
        <w:t>服务价格的</w:t>
      </w:r>
      <w:r>
        <w:rPr>
          <w:rFonts w:ascii="宋体" w:hAnsi="宋体"/>
          <w:szCs w:val="21"/>
          <w:u w:val="single"/>
        </w:rPr>
        <w:t xml:space="preserve"> 0.05</w:t>
      </w:r>
      <w:r>
        <w:rPr>
          <w:rFonts w:ascii="宋体" w:hAnsi="宋体"/>
          <w:szCs w:val="21"/>
        </w:rPr>
        <w:t>%计算</w:t>
      </w:r>
      <w:r>
        <w:rPr>
          <w:rFonts w:hint="eastAsia" w:ascii="宋体" w:hAnsi="宋体"/>
          <w:szCs w:val="21"/>
        </w:rPr>
        <w:t>，</w:t>
      </w:r>
      <w:r>
        <w:rPr>
          <w:rFonts w:ascii="宋体" w:hAnsi="宋体"/>
          <w:szCs w:val="21"/>
        </w:rPr>
        <w:t>最高限额为</w:t>
      </w:r>
      <w:r>
        <w:rPr>
          <w:rFonts w:hint="eastAsia" w:ascii="宋体" w:hAnsi="宋体"/>
          <w:szCs w:val="21"/>
        </w:rPr>
        <w:t>本</w:t>
      </w:r>
      <w:r>
        <w:rPr>
          <w:rFonts w:ascii="宋体" w:hAnsi="宋体"/>
          <w:szCs w:val="21"/>
        </w:rPr>
        <w:t>合同总价的</w:t>
      </w:r>
      <w:r>
        <w:rPr>
          <w:rFonts w:ascii="宋体" w:hAnsi="宋体"/>
          <w:szCs w:val="21"/>
          <w:u w:val="single"/>
        </w:rPr>
        <w:t xml:space="preserve">  20 </w:t>
      </w:r>
      <w:r>
        <w:rPr>
          <w:rFonts w:ascii="宋体" w:hAnsi="宋体"/>
          <w:szCs w:val="21"/>
        </w:rPr>
        <w:t>%</w:t>
      </w:r>
      <w:r>
        <w:rPr>
          <w:rFonts w:hint="eastAsia" w:ascii="宋体" w:hAnsi="宋体"/>
          <w:szCs w:val="21"/>
        </w:rPr>
        <w:t>；</w:t>
      </w:r>
      <w:r>
        <w:rPr>
          <w:rFonts w:ascii="宋体" w:hAnsi="宋体"/>
          <w:szCs w:val="21"/>
        </w:rPr>
        <w:t>迟延</w:t>
      </w:r>
      <w:r>
        <w:rPr>
          <w:rFonts w:hint="eastAsia" w:ascii="宋体" w:hAnsi="宋体"/>
          <w:szCs w:val="21"/>
        </w:rPr>
        <w:t>履行</w:t>
      </w:r>
      <w:r>
        <w:rPr>
          <w:rFonts w:ascii="宋体" w:hAnsi="宋体"/>
          <w:szCs w:val="21"/>
        </w:rPr>
        <w:t>的违约金计算数额达到前述最高限额之日起</w:t>
      </w:r>
      <w:r>
        <w:rPr>
          <w:rFonts w:hint="eastAsia" w:ascii="宋体" w:hAnsi="宋体"/>
          <w:szCs w:val="21"/>
        </w:rPr>
        <w:t>，</w:t>
      </w:r>
      <w:r>
        <w:rPr>
          <w:rFonts w:ascii="宋体" w:hAnsi="宋体"/>
          <w:szCs w:val="21"/>
        </w:rPr>
        <w:t>甲方有权在要求乙方支付违约金的同时</w:t>
      </w:r>
      <w:r>
        <w:rPr>
          <w:rFonts w:hint="eastAsia" w:ascii="宋体" w:hAnsi="宋体"/>
          <w:szCs w:val="21"/>
        </w:rPr>
        <w:t>，书面通知乙方</w:t>
      </w:r>
      <w:r>
        <w:rPr>
          <w:rFonts w:ascii="宋体" w:hAnsi="宋体"/>
          <w:szCs w:val="21"/>
        </w:rPr>
        <w:t>解除本合同</w:t>
      </w:r>
      <w:r>
        <w:rPr>
          <w:rFonts w:hint="eastAsia" w:ascii="宋体" w:hAnsi="宋体"/>
          <w:szCs w:val="21"/>
        </w:rPr>
        <w:t>；</w:t>
      </w:r>
    </w:p>
    <w:p>
      <w:pPr>
        <w:snapToGrid w:val="0"/>
        <w:spacing w:line="288" w:lineRule="auto"/>
        <w:ind w:firstLine="420" w:firstLineChars="200"/>
        <w:rPr>
          <w:rFonts w:ascii="宋体" w:hAnsi="宋体"/>
          <w:szCs w:val="21"/>
        </w:rPr>
      </w:pPr>
      <w:r>
        <w:rPr>
          <w:rFonts w:ascii="宋体" w:hAnsi="宋体"/>
          <w:szCs w:val="21"/>
        </w:rPr>
        <w:t>1.6.2 除不可抗力外，如果甲方没有按照本合同约定的付款方式付款，那么乙方可要求甲方支付违约金</w:t>
      </w:r>
      <w:r>
        <w:rPr>
          <w:rFonts w:hint="eastAsia" w:ascii="宋体" w:hAnsi="宋体"/>
          <w:szCs w:val="21"/>
        </w:rPr>
        <w:t>，</w:t>
      </w:r>
      <w:r>
        <w:rPr>
          <w:rFonts w:ascii="宋体" w:hAnsi="宋体"/>
          <w:szCs w:val="21"/>
        </w:rPr>
        <w:t>违约金按每迟延</w:t>
      </w:r>
      <w:r>
        <w:rPr>
          <w:rFonts w:hint="eastAsia" w:ascii="宋体" w:hAnsi="宋体"/>
          <w:szCs w:val="21"/>
        </w:rPr>
        <w:t>付款</w:t>
      </w:r>
      <w:r>
        <w:rPr>
          <w:rFonts w:ascii="宋体" w:hAnsi="宋体"/>
          <w:szCs w:val="21"/>
        </w:rPr>
        <w:t>一日的应付而未付款的</w:t>
      </w:r>
      <w:r>
        <w:rPr>
          <w:rFonts w:ascii="宋体" w:hAnsi="宋体"/>
          <w:szCs w:val="21"/>
          <w:u w:val="single"/>
        </w:rPr>
        <w:t xml:space="preserve"> 0.05 </w:t>
      </w:r>
      <w:r>
        <w:rPr>
          <w:rFonts w:ascii="宋体" w:hAnsi="宋体"/>
          <w:szCs w:val="21"/>
        </w:rPr>
        <w:t>%计算</w:t>
      </w:r>
      <w:r>
        <w:rPr>
          <w:rFonts w:hint="eastAsia" w:ascii="宋体" w:hAnsi="宋体"/>
          <w:szCs w:val="21"/>
        </w:rPr>
        <w:t>，</w:t>
      </w:r>
      <w:r>
        <w:rPr>
          <w:rFonts w:ascii="宋体" w:hAnsi="宋体"/>
          <w:szCs w:val="21"/>
        </w:rPr>
        <w:t>最高限额为</w:t>
      </w:r>
      <w:r>
        <w:rPr>
          <w:rFonts w:hint="eastAsia" w:ascii="宋体" w:hAnsi="宋体"/>
          <w:szCs w:val="21"/>
        </w:rPr>
        <w:t>本</w:t>
      </w:r>
      <w:r>
        <w:rPr>
          <w:rFonts w:ascii="宋体" w:hAnsi="宋体"/>
          <w:szCs w:val="21"/>
        </w:rPr>
        <w:t>合同总价的</w:t>
      </w:r>
      <w:r>
        <w:rPr>
          <w:rFonts w:ascii="宋体" w:hAnsi="宋体"/>
          <w:szCs w:val="21"/>
          <w:u w:val="single"/>
        </w:rPr>
        <w:t xml:space="preserve">  20   </w:t>
      </w:r>
      <w:r>
        <w:rPr>
          <w:rFonts w:ascii="宋体" w:hAnsi="宋体"/>
          <w:szCs w:val="21"/>
        </w:rPr>
        <w:t>%</w:t>
      </w:r>
      <w:r>
        <w:rPr>
          <w:rFonts w:hint="eastAsia" w:ascii="宋体" w:hAnsi="宋体"/>
          <w:szCs w:val="21"/>
        </w:rPr>
        <w:t>；</w:t>
      </w:r>
      <w:r>
        <w:rPr>
          <w:rFonts w:ascii="宋体" w:hAnsi="宋体"/>
          <w:szCs w:val="21"/>
        </w:rPr>
        <w:t>迟延</w:t>
      </w:r>
      <w:r>
        <w:rPr>
          <w:rFonts w:hint="eastAsia" w:ascii="宋体" w:hAnsi="宋体"/>
          <w:szCs w:val="21"/>
        </w:rPr>
        <w:t>付款</w:t>
      </w:r>
      <w:r>
        <w:rPr>
          <w:rFonts w:ascii="宋体" w:hAnsi="宋体"/>
          <w:szCs w:val="21"/>
        </w:rPr>
        <w:t>的违约金计算数额达到前述最高限额之日起</w:t>
      </w:r>
      <w:r>
        <w:rPr>
          <w:rFonts w:hint="eastAsia" w:ascii="宋体" w:hAnsi="宋体"/>
          <w:szCs w:val="21"/>
        </w:rPr>
        <w:t>，乙</w:t>
      </w:r>
      <w:r>
        <w:rPr>
          <w:rFonts w:ascii="宋体" w:hAnsi="宋体"/>
          <w:szCs w:val="21"/>
        </w:rPr>
        <w:t>方有权在要求甲方支付违约金的同时</w:t>
      </w:r>
      <w:r>
        <w:rPr>
          <w:rFonts w:hint="eastAsia" w:ascii="宋体" w:hAnsi="宋体"/>
          <w:szCs w:val="21"/>
        </w:rPr>
        <w:t>，书面通知甲方</w:t>
      </w:r>
      <w:r>
        <w:rPr>
          <w:rFonts w:ascii="宋体" w:hAnsi="宋体"/>
          <w:szCs w:val="21"/>
        </w:rPr>
        <w:t>解除本合同</w:t>
      </w:r>
      <w:r>
        <w:rPr>
          <w:rFonts w:hint="eastAsia" w:ascii="宋体" w:hAnsi="宋体"/>
          <w:szCs w:val="21"/>
        </w:rPr>
        <w:t>；</w:t>
      </w:r>
    </w:p>
    <w:p>
      <w:pPr>
        <w:snapToGrid w:val="0"/>
        <w:spacing w:line="288" w:lineRule="auto"/>
        <w:ind w:firstLine="420" w:firstLineChars="200"/>
        <w:rPr>
          <w:rFonts w:ascii="宋体" w:hAnsi="宋体"/>
          <w:szCs w:val="21"/>
        </w:rPr>
      </w:pPr>
      <w:r>
        <w:rPr>
          <w:rFonts w:ascii="宋体" w:hAnsi="宋体"/>
          <w:szCs w:val="21"/>
        </w:rPr>
        <w:t xml:space="preserve">1.6.3 </w:t>
      </w:r>
      <w:r>
        <w:rPr>
          <w:rFonts w:hint="eastAsia" w:ascii="宋体" w:hAnsi="宋体"/>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napToGrid w:val="0"/>
        <w:spacing w:line="288" w:lineRule="auto"/>
        <w:ind w:firstLine="420" w:firstLineChars="200"/>
        <w:rPr>
          <w:rFonts w:ascii="宋体" w:hAnsi="宋体"/>
          <w:szCs w:val="21"/>
        </w:rPr>
      </w:pPr>
      <w:r>
        <w:rPr>
          <w:rFonts w:ascii="宋体" w:hAnsi="宋体"/>
          <w:szCs w:val="21"/>
        </w:rPr>
        <w:t xml:space="preserve">1.6.4 </w:t>
      </w:r>
      <w:r>
        <w:rPr>
          <w:rFonts w:hint="eastAsia" w:ascii="宋体" w:hAnsi="宋体"/>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288" w:lineRule="auto"/>
        <w:ind w:firstLine="420" w:firstLineChars="200"/>
        <w:rPr>
          <w:rFonts w:ascii="宋体" w:hAnsi="宋体"/>
          <w:szCs w:val="21"/>
        </w:rPr>
      </w:pPr>
      <w:r>
        <w:rPr>
          <w:rFonts w:ascii="宋体" w:hAnsi="宋体"/>
          <w:szCs w:val="21"/>
        </w:rPr>
        <w:t xml:space="preserve">1.6.5 </w:t>
      </w:r>
      <w:r>
        <w:rPr>
          <w:rFonts w:hint="eastAsia" w:ascii="宋体" w:hAnsi="宋体"/>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288" w:lineRule="auto"/>
        <w:ind w:firstLine="420" w:firstLineChars="200"/>
        <w:rPr>
          <w:rFonts w:hint="eastAsia" w:ascii="宋体" w:hAnsi="宋体"/>
          <w:szCs w:val="21"/>
        </w:rPr>
      </w:pPr>
      <w:r>
        <w:rPr>
          <w:rFonts w:ascii="宋体" w:hAnsi="宋体"/>
          <w:szCs w:val="21"/>
        </w:rPr>
        <w:t xml:space="preserve">1.6.6 </w:t>
      </w:r>
      <w:r>
        <w:rPr>
          <w:rFonts w:hint="eastAsia" w:ascii="宋体" w:hAnsi="宋体"/>
          <w:szCs w:val="21"/>
        </w:rPr>
        <w:t>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288" w:lineRule="auto"/>
        <w:ind w:firstLine="420" w:firstLineChars="200"/>
        <w:rPr>
          <w:rFonts w:ascii="宋体" w:hAnsi="宋体"/>
          <w:szCs w:val="21"/>
        </w:rPr>
      </w:pPr>
      <w:r>
        <w:rPr>
          <w:rFonts w:ascii="宋体" w:hAnsi="宋体"/>
          <w:szCs w:val="21"/>
        </w:rPr>
        <w:t>1.6.7违约责任</w:t>
      </w:r>
      <w:r>
        <w:rPr>
          <w:rFonts w:hint="eastAsia" w:ascii="宋体" w:hAnsi="宋体"/>
          <w:b/>
          <w:i/>
          <w:szCs w:val="21"/>
          <w:u w:val="single"/>
        </w:rPr>
        <w:t>合同专用条款</w:t>
      </w:r>
      <w:r>
        <w:rPr>
          <w:rFonts w:hint="eastAsia" w:ascii="宋体" w:hAnsi="宋体"/>
          <w:szCs w:val="21"/>
        </w:rPr>
        <w:t>另有约定的，从其约定。</w:t>
      </w:r>
    </w:p>
    <w:p>
      <w:pPr>
        <w:snapToGrid w:val="0"/>
        <w:spacing w:line="288" w:lineRule="auto"/>
        <w:ind w:firstLine="422" w:firstLineChars="200"/>
        <w:rPr>
          <w:rFonts w:ascii="宋体" w:hAnsi="宋体"/>
          <w:b/>
          <w:szCs w:val="21"/>
        </w:rPr>
      </w:pPr>
      <w:bookmarkStart w:id="430" w:name="_Toc18683"/>
      <w:bookmarkStart w:id="431" w:name="_Toc32454"/>
      <w:bookmarkStart w:id="432" w:name="_Toc9497"/>
      <w:bookmarkStart w:id="433" w:name="_Toc26807"/>
      <w:bookmarkStart w:id="434" w:name="_Toc30329"/>
      <w:r>
        <w:rPr>
          <w:rFonts w:ascii="宋体" w:hAnsi="宋体"/>
          <w:b/>
          <w:szCs w:val="21"/>
        </w:rPr>
        <w:t xml:space="preserve">1.7 </w:t>
      </w:r>
      <w:r>
        <w:rPr>
          <w:rFonts w:hint="eastAsia" w:ascii="宋体" w:hAnsi="宋体"/>
          <w:b/>
          <w:szCs w:val="21"/>
        </w:rPr>
        <w:t>合同</w:t>
      </w:r>
      <w:r>
        <w:rPr>
          <w:rFonts w:ascii="宋体" w:hAnsi="宋体"/>
          <w:b/>
          <w:szCs w:val="21"/>
        </w:rPr>
        <w:t>争议的解决</w:t>
      </w:r>
      <w:bookmarkEnd w:id="430"/>
      <w:bookmarkEnd w:id="431"/>
      <w:bookmarkEnd w:id="432"/>
      <w:bookmarkEnd w:id="433"/>
      <w:bookmarkEnd w:id="434"/>
    </w:p>
    <w:p>
      <w:pPr>
        <w:snapToGrid w:val="0"/>
        <w:spacing w:line="288" w:lineRule="auto"/>
        <w:ind w:firstLine="420" w:firstLineChars="200"/>
        <w:rPr>
          <w:rFonts w:hint="eastAsia" w:ascii="宋体" w:hAnsi="宋体"/>
          <w:szCs w:val="21"/>
        </w:rPr>
      </w:pPr>
      <w:r>
        <w:rPr>
          <w:rFonts w:hint="eastAsia" w:ascii="宋体" w:hAnsi="宋体"/>
          <w:szCs w:val="21"/>
        </w:rPr>
        <w:t>本合同履行过程中发生的任何争议，双方当事人均可通过和解或者调解解决；不愿和解、调解或者和解、调解不成的，可以选择以下第</w:t>
      </w:r>
      <w:r>
        <w:rPr>
          <w:rFonts w:ascii="宋体" w:hAnsi="宋体"/>
          <w:b/>
          <w:i/>
          <w:szCs w:val="21"/>
          <w:u w:val="single"/>
        </w:rPr>
        <w:t xml:space="preserve"> 合同专用条款  </w:t>
      </w:r>
      <w:r>
        <w:rPr>
          <w:rFonts w:hint="eastAsia" w:ascii="宋体" w:hAnsi="宋体"/>
          <w:szCs w:val="21"/>
        </w:rPr>
        <w:t>条款规定的方式解决：</w:t>
      </w:r>
    </w:p>
    <w:p>
      <w:pPr>
        <w:snapToGrid w:val="0"/>
        <w:spacing w:line="288" w:lineRule="auto"/>
        <w:ind w:firstLine="420" w:firstLineChars="200"/>
        <w:rPr>
          <w:rFonts w:hint="eastAsia" w:ascii="宋体" w:hAnsi="宋体"/>
          <w:szCs w:val="21"/>
        </w:rPr>
      </w:pPr>
      <w:r>
        <w:rPr>
          <w:rFonts w:ascii="宋体" w:hAnsi="宋体"/>
          <w:szCs w:val="21"/>
        </w:rPr>
        <w:t xml:space="preserve">1.7.1 </w:t>
      </w:r>
      <w:r>
        <w:rPr>
          <w:rFonts w:hint="eastAsia" w:ascii="宋体" w:hAnsi="宋体"/>
          <w:szCs w:val="21"/>
        </w:rPr>
        <w:t>将争议提交</w:t>
      </w:r>
      <w:r>
        <w:rPr>
          <w:rFonts w:hint="eastAsia" w:ascii="宋体" w:hAnsi="宋体"/>
          <w:b/>
          <w:i/>
          <w:szCs w:val="21"/>
          <w:u w:val="single"/>
        </w:rPr>
        <w:t>合同专用条款</w:t>
      </w:r>
      <w:r>
        <w:rPr>
          <w:rFonts w:hint="eastAsia" w:ascii="宋体" w:hAnsi="宋体"/>
          <w:szCs w:val="21"/>
        </w:rPr>
        <w:t>仲裁委员会依申请仲裁时其现行有效的仲裁规则裁决；</w:t>
      </w:r>
    </w:p>
    <w:p>
      <w:pPr>
        <w:snapToGrid w:val="0"/>
        <w:spacing w:line="288" w:lineRule="auto"/>
        <w:ind w:firstLine="420" w:firstLineChars="200"/>
        <w:rPr>
          <w:rFonts w:hint="eastAsia" w:ascii="宋体" w:hAnsi="宋体"/>
          <w:szCs w:val="21"/>
        </w:rPr>
      </w:pPr>
      <w:r>
        <w:rPr>
          <w:rFonts w:ascii="宋体" w:hAnsi="宋体"/>
          <w:szCs w:val="21"/>
        </w:rPr>
        <w:t xml:space="preserve">1.7.2 </w:t>
      </w:r>
      <w:r>
        <w:rPr>
          <w:rFonts w:hint="eastAsia" w:ascii="宋体" w:hAnsi="宋体"/>
          <w:szCs w:val="21"/>
        </w:rPr>
        <w:t>向</w:t>
      </w:r>
      <w:r>
        <w:rPr>
          <w:rFonts w:hint="eastAsia" w:ascii="宋体" w:hAnsi="宋体"/>
          <w:b/>
          <w:i/>
          <w:szCs w:val="21"/>
          <w:u w:val="single"/>
        </w:rPr>
        <w:t>合同专用条款</w:t>
      </w:r>
      <w:r>
        <w:rPr>
          <w:rFonts w:hint="eastAsia" w:ascii="宋体" w:hAnsi="宋体"/>
          <w:szCs w:val="21"/>
        </w:rPr>
        <w:t>人民法院起诉。</w:t>
      </w:r>
      <w:bookmarkStart w:id="435" w:name="_Toc26227"/>
      <w:bookmarkStart w:id="436" w:name="_Toc15827"/>
      <w:bookmarkStart w:id="437" w:name="_Toc12273"/>
      <w:bookmarkStart w:id="438" w:name="_Toc16417"/>
      <w:bookmarkStart w:id="439" w:name="_Toc23784"/>
    </w:p>
    <w:p>
      <w:pPr>
        <w:snapToGrid w:val="0"/>
        <w:spacing w:line="288" w:lineRule="auto"/>
        <w:ind w:firstLine="422" w:firstLineChars="200"/>
        <w:rPr>
          <w:rFonts w:ascii="宋体" w:hAnsi="宋体"/>
          <w:szCs w:val="21"/>
        </w:rPr>
      </w:pPr>
      <w:r>
        <w:rPr>
          <w:rFonts w:ascii="宋体" w:hAnsi="宋体"/>
          <w:b/>
          <w:szCs w:val="21"/>
        </w:rPr>
        <w:t>1.8 合同生效</w:t>
      </w:r>
      <w:bookmarkEnd w:id="435"/>
      <w:bookmarkEnd w:id="436"/>
      <w:bookmarkEnd w:id="437"/>
      <w:bookmarkEnd w:id="438"/>
      <w:bookmarkEnd w:id="439"/>
    </w:p>
    <w:p>
      <w:pPr>
        <w:snapToGrid w:val="0"/>
        <w:spacing w:line="288" w:lineRule="auto"/>
        <w:ind w:firstLine="420" w:firstLineChars="200"/>
        <w:rPr>
          <w:rFonts w:ascii="宋体" w:hAnsi="宋体"/>
          <w:b/>
          <w:szCs w:val="21"/>
        </w:rPr>
      </w:pPr>
      <w:r>
        <w:rPr>
          <w:rFonts w:ascii="宋体" w:hAnsi="宋体"/>
          <w:szCs w:val="21"/>
        </w:rPr>
        <w:t>本合同自</w:t>
      </w:r>
      <w:r>
        <w:rPr>
          <w:rFonts w:hint="eastAsia" w:ascii="宋体" w:hAnsi="宋体"/>
          <w:szCs w:val="21"/>
        </w:rPr>
        <w:t>双方当事人盖章或者签字时</w:t>
      </w:r>
      <w:r>
        <w:rPr>
          <w:rFonts w:ascii="宋体" w:hAnsi="宋体"/>
          <w:szCs w:val="21"/>
        </w:rPr>
        <w:t>生效。</w:t>
      </w:r>
    </w:p>
    <w:p>
      <w:pPr>
        <w:autoSpaceDE w:val="0"/>
        <w:autoSpaceDN w:val="0"/>
        <w:snapToGrid w:val="0"/>
        <w:spacing w:line="288" w:lineRule="auto"/>
        <w:rPr>
          <w:rFonts w:ascii="宋体" w:hAnsi="宋体"/>
          <w:szCs w:val="21"/>
          <w:lang w:val="zh-CN"/>
        </w:rPr>
      </w:pPr>
    </w:p>
    <w:p>
      <w:pPr>
        <w:autoSpaceDE w:val="0"/>
        <w:autoSpaceDN w:val="0"/>
        <w:snapToGrid w:val="0"/>
        <w:spacing w:line="288" w:lineRule="auto"/>
        <w:rPr>
          <w:rFonts w:ascii="宋体" w:hAnsi="宋体" w:cs="宋体"/>
          <w:szCs w:val="21"/>
          <w:lang w:val="zh-CN"/>
        </w:rPr>
      </w:pPr>
      <w:r>
        <w:rPr>
          <w:rFonts w:hint="eastAsia" w:ascii="宋体" w:hAnsi="宋体" w:cs="宋体"/>
          <w:b/>
          <w:szCs w:val="21"/>
          <w:lang w:val="zh-CN"/>
        </w:rPr>
        <w:t>甲方</w:t>
      </w:r>
      <w:r>
        <w:rPr>
          <w:rFonts w:hint="eastAsia" w:ascii="宋体" w:hAnsi="宋体" w:cs="宋体"/>
          <w:szCs w:val="21"/>
          <w:lang w:val="zh-CN"/>
        </w:rPr>
        <w:t>：</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b/>
          <w:szCs w:val="21"/>
          <w:lang w:val="zh-CN"/>
        </w:rPr>
        <w:t>乙方</w:t>
      </w:r>
      <w:r>
        <w:rPr>
          <w:rFonts w:hint="eastAsia" w:ascii="宋体" w:hAnsi="宋体" w:cs="宋体"/>
          <w:szCs w:val="21"/>
          <w:lang w:val="zh-CN"/>
        </w:rPr>
        <w:t>：</w:t>
      </w:r>
    </w:p>
    <w:p>
      <w:pPr>
        <w:autoSpaceDE w:val="0"/>
        <w:autoSpaceDN w:val="0"/>
        <w:snapToGrid w:val="0"/>
        <w:spacing w:line="288" w:lineRule="auto"/>
        <w:rPr>
          <w:rFonts w:ascii="宋体" w:hAnsi="宋体" w:cs="宋体"/>
          <w:szCs w:val="21"/>
          <w:lang w:val="zh-CN"/>
        </w:rPr>
      </w:pPr>
      <w:r>
        <w:rPr>
          <w:rFonts w:hint="eastAsia" w:ascii="宋体" w:hAnsi="宋体" w:cs="宋体"/>
          <w:szCs w:val="21"/>
          <w:lang w:val="zh-CN"/>
        </w:rPr>
        <w:t>统一社会信用代码：</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统一社会信用代码或身份证号码：</w:t>
      </w:r>
    </w:p>
    <w:p>
      <w:pPr>
        <w:autoSpaceDE w:val="0"/>
        <w:autoSpaceDN w:val="0"/>
        <w:snapToGrid w:val="0"/>
        <w:spacing w:line="288" w:lineRule="auto"/>
        <w:rPr>
          <w:rFonts w:ascii="宋体" w:hAnsi="宋体" w:cs="宋体"/>
          <w:szCs w:val="21"/>
          <w:lang w:val="zh-CN"/>
        </w:rPr>
      </w:pPr>
    </w:p>
    <w:p>
      <w:pPr>
        <w:autoSpaceDE w:val="0"/>
        <w:autoSpaceDN w:val="0"/>
        <w:snapToGrid w:val="0"/>
        <w:spacing w:line="288" w:lineRule="auto"/>
        <w:rPr>
          <w:rFonts w:ascii="宋体" w:hAnsi="宋体" w:cs="宋体"/>
          <w:szCs w:val="21"/>
          <w:lang w:val="zh-CN"/>
        </w:rPr>
      </w:pPr>
      <w:r>
        <w:rPr>
          <w:rFonts w:hint="eastAsia" w:ascii="宋体" w:hAnsi="宋体" w:cs="宋体"/>
          <w:szCs w:val="21"/>
          <w:lang w:val="zh-CN"/>
        </w:rPr>
        <w:t>住所：</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住所：</w:t>
      </w:r>
    </w:p>
    <w:p>
      <w:pPr>
        <w:autoSpaceDE w:val="0"/>
        <w:autoSpaceDN w:val="0"/>
        <w:snapToGrid w:val="0"/>
        <w:spacing w:line="288" w:lineRule="auto"/>
        <w:rPr>
          <w:rFonts w:ascii="宋体" w:hAnsi="宋体" w:cs="宋体"/>
          <w:szCs w:val="21"/>
          <w:lang w:val="zh-CN"/>
        </w:rPr>
      </w:pPr>
      <w:r>
        <w:rPr>
          <w:rFonts w:hint="eastAsia" w:ascii="宋体" w:hAnsi="宋体" w:cs="宋体"/>
          <w:szCs w:val="21"/>
          <w:lang w:val="zh-CN"/>
        </w:rPr>
        <w:t>法定代表人</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法定代表人</w:t>
      </w:r>
    </w:p>
    <w:p>
      <w:pPr>
        <w:autoSpaceDE w:val="0"/>
        <w:autoSpaceDN w:val="0"/>
        <w:snapToGrid w:val="0"/>
        <w:spacing w:line="288" w:lineRule="auto"/>
        <w:rPr>
          <w:rFonts w:ascii="宋体" w:hAnsi="宋体" w:cs="宋体"/>
          <w:szCs w:val="21"/>
          <w:lang w:val="zh-CN"/>
        </w:rPr>
      </w:pPr>
      <w:r>
        <w:rPr>
          <w:rFonts w:hint="eastAsia" w:ascii="宋体" w:hAnsi="宋体" w:cs="宋体"/>
          <w:szCs w:val="21"/>
          <w:lang w:val="zh-CN"/>
        </w:rPr>
        <w:t>或授权代表（签字）：</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或授权代表（签字）：</w:t>
      </w:r>
    </w:p>
    <w:p>
      <w:pPr>
        <w:autoSpaceDE w:val="0"/>
        <w:autoSpaceDN w:val="0"/>
        <w:snapToGrid w:val="0"/>
        <w:spacing w:line="288" w:lineRule="auto"/>
        <w:rPr>
          <w:rFonts w:ascii="宋体" w:hAnsi="宋体" w:cs="宋体"/>
          <w:szCs w:val="21"/>
          <w:lang w:val="zh-CN"/>
        </w:rPr>
      </w:pPr>
      <w:r>
        <w:rPr>
          <w:rFonts w:hint="eastAsia" w:ascii="宋体" w:hAnsi="宋体" w:cs="宋体"/>
          <w:szCs w:val="21"/>
          <w:lang w:val="zh-CN"/>
        </w:rPr>
        <w:t>联系人：</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联系人：</w:t>
      </w:r>
    </w:p>
    <w:p>
      <w:pPr>
        <w:autoSpaceDE w:val="0"/>
        <w:autoSpaceDN w:val="0"/>
        <w:snapToGrid w:val="0"/>
        <w:spacing w:line="288" w:lineRule="auto"/>
        <w:rPr>
          <w:rFonts w:ascii="宋体" w:hAnsi="宋体" w:cs="宋体"/>
          <w:szCs w:val="21"/>
          <w:lang w:val="zh-CN"/>
        </w:rPr>
      </w:pPr>
      <w:r>
        <w:rPr>
          <w:rFonts w:hint="eastAsia" w:ascii="宋体" w:hAnsi="宋体" w:cs="宋体"/>
          <w:szCs w:val="21"/>
          <w:lang w:val="zh-CN"/>
        </w:rPr>
        <w:t>约定送达地址：</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约定送达地址：</w:t>
      </w:r>
    </w:p>
    <w:p>
      <w:pPr>
        <w:autoSpaceDE w:val="0"/>
        <w:autoSpaceDN w:val="0"/>
        <w:snapToGrid w:val="0"/>
        <w:spacing w:line="288" w:lineRule="auto"/>
        <w:rPr>
          <w:rFonts w:ascii="宋体" w:hAnsi="宋体" w:cs="宋体"/>
          <w:szCs w:val="21"/>
          <w:lang w:val="zh-CN"/>
        </w:rPr>
      </w:pPr>
      <w:r>
        <w:rPr>
          <w:rFonts w:hint="eastAsia" w:ascii="宋体" w:hAnsi="宋体" w:cs="宋体"/>
          <w:szCs w:val="21"/>
          <w:lang w:val="zh-CN"/>
        </w:rPr>
        <w:t>邮政编码：</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邮政编码：</w:t>
      </w:r>
    </w:p>
    <w:p>
      <w:pPr>
        <w:autoSpaceDE w:val="0"/>
        <w:autoSpaceDN w:val="0"/>
        <w:snapToGrid w:val="0"/>
        <w:spacing w:line="288" w:lineRule="auto"/>
        <w:rPr>
          <w:rFonts w:ascii="宋体" w:hAnsi="宋体" w:cs="宋体"/>
          <w:szCs w:val="21"/>
          <w:lang w:val="zh-CN"/>
        </w:rPr>
      </w:pPr>
      <w:r>
        <w:rPr>
          <w:rFonts w:hint="eastAsia" w:ascii="宋体" w:hAnsi="宋体" w:cs="宋体"/>
          <w:szCs w:val="21"/>
          <w:lang w:val="zh-CN"/>
        </w:rPr>
        <w:t>电话：</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电话：</w:t>
      </w:r>
    </w:p>
    <w:p>
      <w:pPr>
        <w:autoSpaceDE w:val="0"/>
        <w:autoSpaceDN w:val="0"/>
        <w:snapToGrid w:val="0"/>
        <w:spacing w:line="288" w:lineRule="auto"/>
        <w:rPr>
          <w:rFonts w:ascii="宋体" w:hAnsi="宋体" w:cs="宋体"/>
          <w:szCs w:val="21"/>
          <w:lang w:val="zh-CN"/>
        </w:rPr>
      </w:pPr>
      <w:r>
        <w:rPr>
          <w:rFonts w:hint="eastAsia" w:ascii="宋体" w:hAnsi="宋体" w:cs="宋体"/>
          <w:szCs w:val="21"/>
          <w:lang w:val="zh-CN"/>
        </w:rPr>
        <w:t>传真：</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传真：</w:t>
      </w:r>
    </w:p>
    <w:p>
      <w:pPr>
        <w:autoSpaceDE w:val="0"/>
        <w:autoSpaceDN w:val="0"/>
        <w:snapToGrid w:val="0"/>
        <w:spacing w:line="288" w:lineRule="auto"/>
        <w:rPr>
          <w:rFonts w:ascii="宋体" w:hAnsi="宋体" w:cs="宋体"/>
          <w:szCs w:val="21"/>
        </w:rPr>
      </w:pPr>
      <w:r>
        <w:rPr>
          <w:rFonts w:hint="eastAsia" w:ascii="宋体" w:hAnsi="宋体" w:cs="宋体"/>
          <w:szCs w:val="21"/>
          <w:lang w:val="zh-CN"/>
        </w:rPr>
        <w:t>电子邮箱：</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电子邮箱：</w:t>
      </w:r>
    </w:p>
    <w:p>
      <w:pPr>
        <w:autoSpaceDE w:val="0"/>
        <w:autoSpaceDN w:val="0"/>
        <w:snapToGrid w:val="0"/>
        <w:spacing w:line="288" w:lineRule="auto"/>
        <w:rPr>
          <w:rFonts w:ascii="宋体" w:hAnsi="宋体" w:cs="宋体"/>
          <w:szCs w:val="21"/>
        </w:rPr>
      </w:pPr>
      <w:r>
        <w:rPr>
          <w:rFonts w:hint="eastAsia" w:ascii="宋体" w:hAnsi="宋体" w:cs="宋体"/>
          <w:szCs w:val="21"/>
        </w:rPr>
        <w:t>开户银行：</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开户银行：</w:t>
      </w:r>
    </w:p>
    <w:p>
      <w:pPr>
        <w:autoSpaceDE w:val="0"/>
        <w:autoSpaceDN w:val="0"/>
        <w:snapToGrid w:val="0"/>
        <w:spacing w:line="288" w:lineRule="auto"/>
        <w:rPr>
          <w:rFonts w:ascii="宋体" w:hAnsi="宋体" w:cs="宋体"/>
          <w:szCs w:val="21"/>
        </w:rPr>
      </w:pPr>
      <w:r>
        <w:rPr>
          <w:rFonts w:hint="eastAsia" w:ascii="宋体" w:hAnsi="宋体" w:cs="宋体"/>
          <w:szCs w:val="21"/>
        </w:rPr>
        <w:t>开户名称：</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开户名称：</w:t>
      </w:r>
    </w:p>
    <w:p>
      <w:pPr>
        <w:widowControl/>
        <w:snapToGrid w:val="0"/>
        <w:spacing w:line="288" w:lineRule="auto"/>
        <w:jc w:val="left"/>
        <w:rPr>
          <w:rFonts w:hint="eastAsia" w:ascii="宋体" w:hAnsi="宋体" w:cs="宋体"/>
          <w:szCs w:val="21"/>
        </w:rPr>
      </w:pPr>
      <w:r>
        <w:rPr>
          <w:rFonts w:hint="eastAsia" w:ascii="宋体" w:hAnsi="宋体" w:cs="宋体"/>
          <w:szCs w:val="21"/>
        </w:rPr>
        <w:t>开户账号：</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开户账号：</w:t>
      </w:r>
    </w:p>
    <w:p>
      <w:pPr>
        <w:widowControl/>
        <w:snapToGrid w:val="0"/>
        <w:spacing w:before="240" w:beforeLines="100" w:after="240" w:afterLines="100" w:line="288" w:lineRule="auto"/>
        <w:jc w:val="center"/>
        <w:rPr>
          <w:rFonts w:hint="eastAsia" w:ascii="宋体" w:hAnsi="宋体" w:cs="宋体"/>
          <w:b/>
          <w:szCs w:val="21"/>
        </w:rPr>
      </w:pPr>
    </w:p>
    <w:p>
      <w:pPr>
        <w:widowControl/>
        <w:snapToGrid w:val="0"/>
        <w:spacing w:before="240" w:beforeLines="100" w:after="240" w:afterLines="100" w:line="288" w:lineRule="auto"/>
        <w:jc w:val="center"/>
        <w:rPr>
          <w:rFonts w:ascii="宋体" w:hAnsi="宋体" w:cs="宋体"/>
          <w:b/>
          <w:szCs w:val="21"/>
        </w:rPr>
      </w:pPr>
      <w:r>
        <w:rPr>
          <w:rFonts w:hint="eastAsia" w:ascii="宋体" w:hAnsi="宋体" w:cs="宋体"/>
          <w:b/>
          <w:szCs w:val="21"/>
        </w:rPr>
        <w:t>第二部分  合同一般条款</w:t>
      </w:r>
    </w:p>
    <w:p>
      <w:pPr>
        <w:snapToGrid w:val="0"/>
        <w:spacing w:line="288" w:lineRule="auto"/>
        <w:ind w:firstLine="422" w:firstLineChars="200"/>
        <w:rPr>
          <w:rFonts w:ascii="宋体" w:hAnsi="宋体"/>
          <w:b/>
          <w:szCs w:val="21"/>
        </w:rPr>
      </w:pPr>
      <w:bookmarkStart w:id="440" w:name="_Toc5228"/>
      <w:bookmarkStart w:id="441" w:name="_Toc19680"/>
      <w:bookmarkStart w:id="442" w:name="_Toc25079"/>
      <w:bookmarkStart w:id="443" w:name="_Toc14021"/>
      <w:bookmarkStart w:id="444" w:name="_Toc31297"/>
      <w:r>
        <w:rPr>
          <w:rFonts w:ascii="宋体" w:hAnsi="宋体"/>
          <w:b/>
          <w:szCs w:val="21"/>
        </w:rPr>
        <w:t>2.1 定义</w:t>
      </w:r>
      <w:bookmarkEnd w:id="440"/>
      <w:bookmarkEnd w:id="441"/>
      <w:bookmarkEnd w:id="442"/>
      <w:bookmarkEnd w:id="443"/>
      <w:bookmarkEnd w:id="444"/>
    </w:p>
    <w:p>
      <w:pPr>
        <w:snapToGrid w:val="0"/>
        <w:spacing w:line="288" w:lineRule="auto"/>
        <w:ind w:firstLine="420" w:firstLineChars="200"/>
        <w:rPr>
          <w:rFonts w:ascii="宋体" w:hAnsi="宋体"/>
          <w:szCs w:val="21"/>
        </w:rPr>
      </w:pPr>
      <w:r>
        <w:rPr>
          <w:rFonts w:ascii="宋体" w:hAnsi="宋体"/>
          <w:szCs w:val="21"/>
        </w:rPr>
        <w:t>本合同中的下列</w:t>
      </w:r>
      <w:r>
        <w:rPr>
          <w:rFonts w:hint="eastAsia" w:ascii="宋体" w:hAnsi="宋体"/>
          <w:szCs w:val="21"/>
        </w:rPr>
        <w:t>词</w:t>
      </w:r>
      <w:r>
        <w:rPr>
          <w:rFonts w:ascii="宋体" w:hAnsi="宋体"/>
          <w:szCs w:val="21"/>
        </w:rPr>
        <w:t>语应</w:t>
      </w:r>
      <w:r>
        <w:rPr>
          <w:rFonts w:hint="eastAsia" w:ascii="宋体" w:hAnsi="宋体"/>
          <w:szCs w:val="21"/>
        </w:rPr>
        <w:t>按以下内容进行</w:t>
      </w:r>
      <w:r>
        <w:rPr>
          <w:rFonts w:ascii="宋体" w:hAnsi="宋体"/>
          <w:szCs w:val="21"/>
        </w:rPr>
        <w:t>解释：</w:t>
      </w:r>
    </w:p>
    <w:p>
      <w:pPr>
        <w:snapToGrid w:val="0"/>
        <w:spacing w:line="288" w:lineRule="auto"/>
        <w:ind w:firstLine="420" w:firstLineChars="200"/>
        <w:rPr>
          <w:rFonts w:ascii="宋体" w:hAnsi="宋体"/>
          <w:szCs w:val="21"/>
        </w:rPr>
      </w:pPr>
      <w:r>
        <w:rPr>
          <w:rFonts w:ascii="宋体" w:hAnsi="宋体"/>
          <w:szCs w:val="21"/>
        </w:rPr>
        <w:t>2.1.1 “合同”系指采购人和中标供应商签订的载明双方当事人所达成的协议，并包括所有的附件、附录和构成合同的其他文件。</w:t>
      </w:r>
    </w:p>
    <w:p>
      <w:pPr>
        <w:snapToGrid w:val="0"/>
        <w:spacing w:line="288" w:lineRule="auto"/>
        <w:ind w:firstLine="420" w:firstLineChars="200"/>
        <w:rPr>
          <w:rFonts w:ascii="宋体" w:hAnsi="宋体"/>
          <w:szCs w:val="21"/>
        </w:rPr>
      </w:pPr>
      <w:r>
        <w:rPr>
          <w:rFonts w:ascii="宋体" w:hAnsi="宋体"/>
          <w:szCs w:val="21"/>
        </w:rPr>
        <w:t>2.1.2 “合同价”系指根据合同约定，中标供应商在完全履行合同义务后</w:t>
      </w:r>
      <w:r>
        <w:rPr>
          <w:rFonts w:hint="eastAsia" w:ascii="宋体" w:hAnsi="宋体"/>
          <w:szCs w:val="21"/>
        </w:rPr>
        <w:t>，</w:t>
      </w:r>
      <w:r>
        <w:rPr>
          <w:rFonts w:ascii="宋体" w:hAnsi="宋体"/>
          <w:szCs w:val="21"/>
        </w:rPr>
        <w:t>采购人应支付给中标供应商的价格。</w:t>
      </w:r>
    </w:p>
    <w:p>
      <w:pPr>
        <w:snapToGrid w:val="0"/>
        <w:spacing w:line="288" w:lineRule="auto"/>
        <w:ind w:firstLine="420" w:firstLineChars="200"/>
        <w:rPr>
          <w:rFonts w:ascii="宋体" w:hAnsi="宋体"/>
          <w:szCs w:val="21"/>
        </w:rPr>
      </w:pPr>
      <w:r>
        <w:rPr>
          <w:rFonts w:ascii="宋体" w:hAnsi="宋体"/>
          <w:szCs w:val="21"/>
        </w:rPr>
        <w:t>2.1.3 “</w:t>
      </w:r>
      <w:r>
        <w:rPr>
          <w:rFonts w:hint="eastAsia" w:ascii="宋体" w:hAnsi="宋体"/>
          <w:szCs w:val="21"/>
        </w:rPr>
        <w:t>服务</w:t>
      </w:r>
      <w:r>
        <w:rPr>
          <w:rFonts w:ascii="宋体" w:hAnsi="宋体"/>
          <w:szCs w:val="21"/>
        </w:rPr>
        <w:t>”系指</w:t>
      </w:r>
      <w:r>
        <w:rPr>
          <w:rFonts w:hint="eastAsia" w:ascii="宋体" w:hAnsi="宋体"/>
          <w:szCs w:val="21"/>
        </w:rPr>
        <w:t>中标供应商</w:t>
      </w:r>
      <w:r>
        <w:rPr>
          <w:rFonts w:ascii="宋体" w:hAnsi="宋体"/>
          <w:szCs w:val="21"/>
        </w:rPr>
        <w:t>根据合同约定应向采购人</w:t>
      </w:r>
      <w:r>
        <w:rPr>
          <w:rFonts w:hint="eastAsia" w:ascii="宋体" w:hAnsi="宋体"/>
          <w:szCs w:val="21"/>
        </w:rPr>
        <w:t>履行</w:t>
      </w:r>
      <w:r>
        <w:rPr>
          <w:rFonts w:ascii="宋体" w:hAnsi="宋体"/>
          <w:szCs w:val="21"/>
        </w:rPr>
        <w:t>的</w:t>
      </w:r>
      <w:r>
        <w:rPr>
          <w:rFonts w:hint="eastAsia" w:ascii="宋体" w:hAnsi="宋体"/>
          <w:szCs w:val="21"/>
        </w:rPr>
        <w:t>除货物和工程以外的其他政府采购对象，包括采购人自身需要的服务和向社会公众提供的公共服务。</w:t>
      </w:r>
    </w:p>
    <w:p>
      <w:pPr>
        <w:snapToGrid w:val="0"/>
        <w:spacing w:line="288" w:lineRule="auto"/>
        <w:ind w:firstLine="420" w:firstLineChars="200"/>
        <w:rPr>
          <w:rFonts w:ascii="宋体" w:hAnsi="宋体"/>
          <w:szCs w:val="21"/>
        </w:rPr>
      </w:pPr>
      <w:r>
        <w:rPr>
          <w:rFonts w:ascii="宋体" w:hAnsi="宋体"/>
          <w:szCs w:val="21"/>
        </w:rPr>
        <w:t>2.1.4 “</w:t>
      </w:r>
      <w:r>
        <w:rPr>
          <w:rFonts w:hint="eastAsia" w:ascii="宋体" w:hAnsi="宋体"/>
          <w:szCs w:val="21"/>
        </w:rPr>
        <w:t>甲方</w:t>
      </w:r>
      <w:r>
        <w:rPr>
          <w:rFonts w:ascii="宋体" w:hAnsi="宋体"/>
          <w:szCs w:val="21"/>
        </w:rPr>
        <w:t>”系指与</w:t>
      </w:r>
      <w:r>
        <w:rPr>
          <w:rFonts w:hint="eastAsia" w:ascii="宋体" w:hAnsi="宋体"/>
          <w:szCs w:val="21"/>
        </w:rPr>
        <w:t>中标供应商</w:t>
      </w:r>
      <w:r>
        <w:rPr>
          <w:rFonts w:ascii="宋体" w:hAnsi="宋体"/>
          <w:szCs w:val="21"/>
        </w:rPr>
        <w:t>签署合同的采购人</w:t>
      </w:r>
      <w:r>
        <w:rPr>
          <w:rFonts w:hint="eastAsia" w:ascii="宋体" w:hAnsi="宋体"/>
          <w:szCs w:val="21"/>
        </w:rPr>
        <w:t>；采购人委托采购代理机构代表其与乙方签订合同的，采购人的授权委托书作为合同附件。</w:t>
      </w:r>
    </w:p>
    <w:p>
      <w:pPr>
        <w:snapToGrid w:val="0"/>
        <w:spacing w:line="288" w:lineRule="auto"/>
        <w:ind w:firstLine="420" w:firstLineChars="200"/>
        <w:rPr>
          <w:rFonts w:ascii="宋体" w:hAnsi="宋体"/>
          <w:szCs w:val="21"/>
        </w:rPr>
      </w:pPr>
      <w:r>
        <w:rPr>
          <w:rFonts w:ascii="宋体" w:hAnsi="宋体"/>
          <w:szCs w:val="21"/>
        </w:rPr>
        <w:t>2.1.5 “乙方”系指根据合同约定提供服务的中标供应商</w:t>
      </w:r>
      <w:r>
        <w:rPr>
          <w:rFonts w:hint="eastAsia" w:ascii="宋体" w:hAnsi="宋体"/>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288" w:lineRule="auto"/>
        <w:ind w:firstLine="420" w:firstLineChars="200"/>
        <w:rPr>
          <w:rFonts w:ascii="宋体" w:hAnsi="宋体"/>
          <w:szCs w:val="21"/>
        </w:rPr>
      </w:pPr>
      <w:r>
        <w:rPr>
          <w:rFonts w:ascii="宋体" w:hAnsi="宋体"/>
          <w:szCs w:val="21"/>
        </w:rPr>
        <w:t>2.1.6 “现场”系指合同约定提供服务的地点。</w:t>
      </w:r>
    </w:p>
    <w:p>
      <w:pPr>
        <w:snapToGrid w:val="0"/>
        <w:spacing w:line="288" w:lineRule="auto"/>
        <w:ind w:firstLine="422" w:firstLineChars="200"/>
        <w:rPr>
          <w:rFonts w:ascii="宋体" w:hAnsi="宋体"/>
          <w:b/>
          <w:szCs w:val="21"/>
        </w:rPr>
      </w:pPr>
      <w:bookmarkStart w:id="445" w:name="_Toc16752"/>
      <w:bookmarkStart w:id="446" w:name="_Toc19539"/>
      <w:bookmarkStart w:id="447" w:name="_Toc3769"/>
      <w:bookmarkStart w:id="448" w:name="_Toc31402"/>
      <w:bookmarkStart w:id="449" w:name="_Toc23289"/>
      <w:r>
        <w:rPr>
          <w:rFonts w:ascii="宋体" w:hAnsi="宋体"/>
          <w:b/>
          <w:szCs w:val="21"/>
        </w:rPr>
        <w:t>2.2 技术规范</w:t>
      </w:r>
      <w:bookmarkEnd w:id="445"/>
      <w:bookmarkEnd w:id="446"/>
      <w:bookmarkEnd w:id="447"/>
      <w:bookmarkEnd w:id="448"/>
      <w:bookmarkEnd w:id="449"/>
    </w:p>
    <w:p>
      <w:pPr>
        <w:snapToGrid w:val="0"/>
        <w:spacing w:line="288" w:lineRule="auto"/>
        <w:ind w:firstLine="420" w:firstLineChars="200"/>
        <w:rPr>
          <w:rFonts w:ascii="宋体" w:hAnsi="宋体"/>
          <w:szCs w:val="21"/>
        </w:rPr>
      </w:pPr>
      <w:r>
        <w:rPr>
          <w:rFonts w:hint="eastAsia" w:ascii="宋体" w:hAnsi="宋体"/>
          <w:szCs w:val="21"/>
        </w:rPr>
        <w:t>服务</w:t>
      </w:r>
      <w:r>
        <w:rPr>
          <w:rFonts w:ascii="宋体" w:hAnsi="宋体"/>
          <w:szCs w:val="21"/>
        </w:rPr>
        <w:t>所应遵守的技术规范应与采购文件规定的技术规范和技术规范附件(如果有的话)及其技术规范偏差表(如果被甲方接受的话)相一致</w:t>
      </w:r>
      <w:r>
        <w:rPr>
          <w:rFonts w:hint="eastAsia" w:ascii="宋体" w:hAnsi="宋体"/>
          <w:szCs w:val="21"/>
        </w:rPr>
        <w:t>；</w:t>
      </w:r>
      <w:r>
        <w:rPr>
          <w:rFonts w:ascii="宋体" w:hAnsi="宋体"/>
          <w:szCs w:val="21"/>
        </w:rPr>
        <w:t>如果采购文件中没有技术规范的相应说明，那么应以国家有关部门最新颁布的相应标准</w:t>
      </w:r>
      <w:r>
        <w:rPr>
          <w:rFonts w:hint="eastAsia" w:ascii="宋体" w:hAnsi="宋体"/>
          <w:szCs w:val="21"/>
        </w:rPr>
        <w:t>和</w:t>
      </w:r>
      <w:r>
        <w:rPr>
          <w:rFonts w:ascii="宋体" w:hAnsi="宋体"/>
          <w:szCs w:val="21"/>
        </w:rPr>
        <w:t>规范为准。</w:t>
      </w:r>
    </w:p>
    <w:p>
      <w:pPr>
        <w:snapToGrid w:val="0"/>
        <w:spacing w:line="288" w:lineRule="auto"/>
        <w:ind w:firstLine="422" w:firstLineChars="200"/>
        <w:rPr>
          <w:rFonts w:ascii="宋体" w:hAnsi="宋体"/>
          <w:b/>
          <w:szCs w:val="21"/>
        </w:rPr>
      </w:pPr>
      <w:bookmarkStart w:id="450" w:name="_Toc12412"/>
      <w:bookmarkStart w:id="451" w:name="_Toc4133"/>
      <w:bookmarkStart w:id="452" w:name="_Toc27945"/>
      <w:bookmarkStart w:id="453" w:name="_Toc9161"/>
      <w:bookmarkStart w:id="454" w:name="_Toc13673"/>
      <w:r>
        <w:rPr>
          <w:rFonts w:ascii="宋体" w:hAnsi="宋体"/>
          <w:b/>
          <w:szCs w:val="21"/>
        </w:rPr>
        <w:t>2.3 知识产权</w:t>
      </w:r>
      <w:bookmarkEnd w:id="450"/>
      <w:bookmarkEnd w:id="451"/>
      <w:bookmarkEnd w:id="452"/>
      <w:bookmarkEnd w:id="453"/>
      <w:bookmarkEnd w:id="454"/>
    </w:p>
    <w:p>
      <w:pPr>
        <w:snapToGrid w:val="0"/>
        <w:spacing w:line="288" w:lineRule="auto"/>
        <w:ind w:firstLine="420" w:firstLineChars="200"/>
        <w:rPr>
          <w:rFonts w:ascii="宋体" w:hAnsi="宋体"/>
          <w:szCs w:val="21"/>
        </w:rPr>
      </w:pPr>
      <w:r>
        <w:rPr>
          <w:rFonts w:ascii="宋体" w:hAnsi="宋体"/>
          <w:szCs w:val="21"/>
        </w:rPr>
        <w:t xml:space="preserve">2.3.1 </w:t>
      </w:r>
      <w:r>
        <w:rPr>
          <w:rFonts w:hint="eastAsia" w:ascii="宋体" w:hAnsi="宋体"/>
          <w:szCs w:val="21"/>
        </w:rPr>
        <w:t>乙</w:t>
      </w:r>
      <w:r>
        <w:rPr>
          <w:rFonts w:ascii="宋体" w:hAnsi="宋体"/>
          <w:szCs w:val="21"/>
        </w:rPr>
        <w:t>方应保证</w:t>
      </w:r>
      <w:r>
        <w:rPr>
          <w:rFonts w:hint="eastAsia" w:ascii="宋体" w:hAnsi="宋体"/>
          <w:szCs w:val="21"/>
        </w:rPr>
        <w:t>其提供的服务</w:t>
      </w:r>
      <w:r>
        <w:rPr>
          <w:rFonts w:ascii="宋体" w:hAnsi="宋体"/>
          <w:szCs w:val="21"/>
        </w:rPr>
        <w:t>不受任何第三方提出的侵犯其著作权、商标权、专利权等知识产权方面的起诉</w:t>
      </w:r>
      <w:r>
        <w:rPr>
          <w:rFonts w:hint="eastAsia" w:ascii="宋体" w:hAnsi="宋体"/>
          <w:szCs w:val="21"/>
        </w:rPr>
        <w:t>；</w:t>
      </w:r>
      <w:r>
        <w:rPr>
          <w:rFonts w:ascii="宋体" w:hAnsi="宋体"/>
          <w:szCs w:val="21"/>
        </w:rPr>
        <w:t>如果任何第三方提出侵权</w:t>
      </w:r>
      <w:r>
        <w:rPr>
          <w:rFonts w:hint="eastAsia" w:ascii="宋体" w:hAnsi="宋体"/>
          <w:szCs w:val="21"/>
        </w:rPr>
        <w:t>指控</w:t>
      </w:r>
      <w:r>
        <w:rPr>
          <w:rFonts w:ascii="宋体" w:hAnsi="宋体"/>
          <w:szCs w:val="21"/>
        </w:rPr>
        <w:t>，那么乙方须与该第三方交涉并承担由此发生的一切责任、费用和赔偿</w:t>
      </w:r>
      <w:r>
        <w:rPr>
          <w:rFonts w:hint="eastAsia" w:ascii="宋体" w:hAnsi="宋体"/>
          <w:szCs w:val="21"/>
        </w:rPr>
        <w:t>；</w:t>
      </w:r>
    </w:p>
    <w:p>
      <w:pPr>
        <w:snapToGrid w:val="0"/>
        <w:spacing w:line="288" w:lineRule="auto"/>
        <w:ind w:firstLine="420" w:firstLineChars="200"/>
        <w:rPr>
          <w:rFonts w:ascii="宋体" w:hAnsi="宋体"/>
          <w:szCs w:val="21"/>
        </w:rPr>
      </w:pPr>
      <w:r>
        <w:rPr>
          <w:rFonts w:ascii="宋体" w:hAnsi="宋体"/>
          <w:szCs w:val="21"/>
        </w:rPr>
        <w:t xml:space="preserve">2.3.2 </w:t>
      </w:r>
      <w:r>
        <w:rPr>
          <w:rFonts w:hint="eastAsia" w:ascii="宋体" w:hAnsi="宋体"/>
          <w:szCs w:val="21"/>
        </w:rPr>
        <w:t>合同涉及技术成果的归属和收益的分成办法的，</w:t>
      </w:r>
      <w:r>
        <w:rPr>
          <w:rFonts w:ascii="宋体" w:hAnsi="宋体"/>
          <w:szCs w:val="21"/>
        </w:rPr>
        <w:t>详见</w:t>
      </w:r>
      <w:r>
        <w:rPr>
          <w:rFonts w:ascii="宋体" w:hAnsi="宋体"/>
          <w:b/>
          <w:i/>
          <w:szCs w:val="21"/>
          <w:u w:val="single"/>
        </w:rPr>
        <w:t>合同专用条款</w:t>
      </w:r>
      <w:r>
        <w:rPr>
          <w:rFonts w:ascii="宋体" w:hAnsi="宋体"/>
          <w:szCs w:val="21"/>
        </w:rPr>
        <w:t>。</w:t>
      </w:r>
    </w:p>
    <w:p>
      <w:pPr>
        <w:snapToGrid w:val="0"/>
        <w:spacing w:line="288" w:lineRule="auto"/>
        <w:ind w:firstLine="422" w:firstLineChars="200"/>
        <w:rPr>
          <w:rFonts w:ascii="宋体" w:hAnsi="宋体"/>
          <w:b/>
          <w:szCs w:val="21"/>
        </w:rPr>
      </w:pPr>
      <w:r>
        <w:rPr>
          <w:rFonts w:ascii="宋体" w:hAnsi="宋体"/>
          <w:b/>
          <w:szCs w:val="21"/>
        </w:rPr>
        <w:t xml:space="preserve">2.4 </w:t>
      </w:r>
      <w:r>
        <w:rPr>
          <w:rFonts w:hint="eastAsia" w:ascii="宋体" w:hAnsi="宋体"/>
          <w:b/>
          <w:szCs w:val="21"/>
        </w:rPr>
        <w:t>履约检查和问题反馈</w:t>
      </w:r>
    </w:p>
    <w:p>
      <w:pPr>
        <w:snapToGrid w:val="0"/>
        <w:spacing w:line="288" w:lineRule="auto"/>
        <w:ind w:firstLine="420" w:firstLineChars="200"/>
        <w:rPr>
          <w:rFonts w:ascii="宋体" w:hAnsi="宋体"/>
          <w:szCs w:val="21"/>
        </w:rPr>
      </w:pPr>
      <w:r>
        <w:rPr>
          <w:rFonts w:ascii="宋体" w:hAnsi="宋体"/>
          <w:szCs w:val="21"/>
        </w:rPr>
        <w:t>2.4.1甲方</w:t>
      </w:r>
      <w:r>
        <w:rPr>
          <w:rFonts w:hint="eastAsia" w:ascii="宋体" w:hAnsi="宋体"/>
          <w:szCs w:val="21"/>
        </w:rPr>
        <w:t>有权</w:t>
      </w:r>
      <w:r>
        <w:rPr>
          <w:rFonts w:ascii="宋体" w:hAnsi="宋体"/>
          <w:szCs w:val="21"/>
        </w:rPr>
        <w:t>在其认为必要时</w:t>
      </w:r>
      <w:r>
        <w:rPr>
          <w:rFonts w:hint="eastAsia" w:ascii="宋体" w:hAnsi="宋体"/>
          <w:szCs w:val="21"/>
        </w:rPr>
        <w:t>，对乙方是否能够按照合同约定提供服务进行履约检查，以确保乙方所提供的服务能够依约满足甲方之项目需求，但不得因履约检查妨碍乙方的正常工作，乙方应予积极配合；</w:t>
      </w:r>
    </w:p>
    <w:p>
      <w:pPr>
        <w:snapToGrid w:val="0"/>
        <w:spacing w:line="288" w:lineRule="auto"/>
        <w:ind w:firstLine="420" w:firstLineChars="200"/>
        <w:rPr>
          <w:rFonts w:ascii="宋体" w:hAnsi="宋体"/>
          <w:szCs w:val="21"/>
        </w:rPr>
      </w:pPr>
      <w:r>
        <w:rPr>
          <w:rFonts w:ascii="宋体" w:hAnsi="宋体"/>
          <w:szCs w:val="21"/>
        </w:rPr>
        <w:t xml:space="preserve">2.4.2 </w:t>
      </w:r>
      <w:r>
        <w:rPr>
          <w:rFonts w:hint="eastAsia" w:ascii="宋体" w:hAnsi="宋体"/>
          <w:szCs w:val="21"/>
        </w:rPr>
        <w:t>合同履行期间，甲方有权将履行过程中出现的问题反馈给乙方，双方当事人应以书面形式约定需要完善和改进的内容。</w:t>
      </w:r>
    </w:p>
    <w:p>
      <w:pPr>
        <w:snapToGrid w:val="0"/>
        <w:spacing w:line="288" w:lineRule="auto"/>
        <w:ind w:firstLine="422" w:firstLineChars="200"/>
        <w:rPr>
          <w:rFonts w:ascii="宋体" w:hAnsi="宋体"/>
          <w:b/>
          <w:szCs w:val="21"/>
        </w:rPr>
      </w:pPr>
      <w:bookmarkStart w:id="455" w:name="_Toc31233"/>
      <w:bookmarkStart w:id="456" w:name="_Toc26555"/>
      <w:bookmarkStart w:id="457" w:name="_Toc32670"/>
      <w:bookmarkStart w:id="458" w:name="_Toc22011"/>
      <w:bookmarkStart w:id="459" w:name="_Toc15447"/>
      <w:r>
        <w:rPr>
          <w:rFonts w:ascii="宋体" w:hAnsi="宋体"/>
          <w:b/>
          <w:szCs w:val="21"/>
        </w:rPr>
        <w:t>2.5 结算方式和付款条件</w:t>
      </w:r>
      <w:bookmarkEnd w:id="455"/>
      <w:bookmarkEnd w:id="456"/>
      <w:bookmarkEnd w:id="457"/>
      <w:bookmarkEnd w:id="458"/>
      <w:bookmarkEnd w:id="459"/>
    </w:p>
    <w:p>
      <w:pPr>
        <w:snapToGrid w:val="0"/>
        <w:spacing w:line="288" w:lineRule="auto"/>
        <w:ind w:firstLine="420" w:firstLineChars="200"/>
        <w:rPr>
          <w:rFonts w:ascii="宋体" w:hAnsi="宋体"/>
          <w:szCs w:val="21"/>
        </w:rPr>
      </w:pPr>
      <w:r>
        <w:rPr>
          <w:rFonts w:ascii="宋体" w:hAnsi="宋体"/>
          <w:szCs w:val="21"/>
        </w:rPr>
        <w:t>详见</w:t>
      </w:r>
      <w:r>
        <w:rPr>
          <w:rFonts w:ascii="宋体" w:hAnsi="宋体"/>
          <w:b/>
          <w:i/>
          <w:szCs w:val="21"/>
          <w:u w:val="single"/>
        </w:rPr>
        <w:t>合同专用条款</w:t>
      </w:r>
      <w:r>
        <w:rPr>
          <w:rFonts w:ascii="宋体" w:hAnsi="宋体"/>
          <w:szCs w:val="21"/>
        </w:rPr>
        <w:t>。</w:t>
      </w:r>
    </w:p>
    <w:p>
      <w:pPr>
        <w:snapToGrid w:val="0"/>
        <w:spacing w:line="288" w:lineRule="auto"/>
        <w:ind w:firstLine="422" w:firstLineChars="200"/>
        <w:rPr>
          <w:rFonts w:ascii="宋体" w:hAnsi="宋体"/>
          <w:b/>
          <w:szCs w:val="21"/>
        </w:rPr>
      </w:pPr>
      <w:bookmarkStart w:id="460" w:name="_Toc30507"/>
      <w:bookmarkStart w:id="461" w:name="_Toc13154"/>
      <w:bookmarkStart w:id="462" w:name="_Toc18990"/>
      <w:bookmarkStart w:id="463" w:name="_Toc16163"/>
      <w:bookmarkStart w:id="464" w:name="_Toc13467"/>
      <w:r>
        <w:rPr>
          <w:rFonts w:ascii="宋体" w:hAnsi="宋体"/>
          <w:b/>
          <w:szCs w:val="21"/>
        </w:rPr>
        <w:t>2.6 技术资料和保密义务</w:t>
      </w:r>
      <w:bookmarkEnd w:id="460"/>
      <w:bookmarkEnd w:id="461"/>
      <w:bookmarkEnd w:id="462"/>
      <w:bookmarkEnd w:id="463"/>
      <w:bookmarkEnd w:id="464"/>
    </w:p>
    <w:p>
      <w:pPr>
        <w:snapToGrid w:val="0"/>
        <w:spacing w:line="288" w:lineRule="auto"/>
        <w:ind w:firstLine="420" w:firstLineChars="200"/>
        <w:rPr>
          <w:rFonts w:ascii="宋体" w:hAnsi="宋体"/>
          <w:szCs w:val="21"/>
        </w:rPr>
      </w:pPr>
      <w:r>
        <w:rPr>
          <w:rFonts w:ascii="宋体" w:hAnsi="宋体"/>
          <w:szCs w:val="21"/>
        </w:rPr>
        <w:t>2.6.1 乙方有权依据合同约定和项目需要，向甲方了解有关情况，调阅有关资料等，甲方应予积极配合；</w:t>
      </w:r>
    </w:p>
    <w:p>
      <w:pPr>
        <w:snapToGrid w:val="0"/>
        <w:spacing w:line="288" w:lineRule="auto"/>
        <w:ind w:firstLine="420" w:firstLineChars="200"/>
        <w:rPr>
          <w:rFonts w:ascii="宋体" w:hAnsi="宋体"/>
          <w:szCs w:val="21"/>
        </w:rPr>
      </w:pPr>
      <w:r>
        <w:rPr>
          <w:rFonts w:ascii="宋体" w:hAnsi="宋体"/>
          <w:szCs w:val="21"/>
        </w:rPr>
        <w:t xml:space="preserve">2.6.2 </w:t>
      </w:r>
      <w:r>
        <w:rPr>
          <w:rFonts w:hint="eastAsia" w:ascii="宋体" w:hAnsi="宋体"/>
          <w:szCs w:val="21"/>
        </w:rPr>
        <w:t>乙方有义务妥善保管和保护由甲方提供的前款信息和资料等；</w:t>
      </w:r>
    </w:p>
    <w:p>
      <w:pPr>
        <w:snapToGrid w:val="0"/>
        <w:spacing w:line="288" w:lineRule="auto"/>
        <w:ind w:firstLine="420" w:firstLineChars="200"/>
        <w:rPr>
          <w:rFonts w:ascii="宋体" w:hAnsi="宋体"/>
          <w:szCs w:val="21"/>
        </w:rPr>
      </w:pPr>
      <w:r>
        <w:rPr>
          <w:rFonts w:ascii="宋体" w:hAnsi="宋体"/>
          <w:szCs w:val="21"/>
        </w:rPr>
        <w:t xml:space="preserve">2.6.3 </w:t>
      </w:r>
      <w:r>
        <w:rPr>
          <w:rFonts w:hint="eastAsia" w:ascii="宋体" w:hAnsi="宋体"/>
          <w:szCs w:val="21"/>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Cs w:val="21"/>
        </w:rPr>
        <w:t>技术情报</w:t>
      </w:r>
      <w:r>
        <w:rPr>
          <w:rFonts w:hint="eastAsia" w:ascii="宋体" w:hAnsi="宋体"/>
          <w:szCs w:val="21"/>
        </w:rPr>
        <w:t>、</w:t>
      </w:r>
      <w:r>
        <w:rPr>
          <w:rFonts w:ascii="宋体" w:hAnsi="宋体"/>
          <w:szCs w:val="21"/>
        </w:rPr>
        <w:t>技术资料</w:t>
      </w:r>
      <w:r>
        <w:rPr>
          <w:rFonts w:hint="eastAsia" w:ascii="宋体" w:hAnsi="宋体"/>
          <w:szCs w:val="21"/>
        </w:rPr>
        <w:t>、商业秘密和商业信息等，并采取一切合理和必要措施和方式防止任何第三方接触到对方当事人的上述保密信息和资料。</w:t>
      </w:r>
    </w:p>
    <w:p>
      <w:pPr>
        <w:snapToGrid w:val="0"/>
        <w:spacing w:line="288" w:lineRule="auto"/>
        <w:ind w:firstLine="422" w:firstLineChars="200"/>
        <w:rPr>
          <w:rFonts w:ascii="宋体" w:hAnsi="宋体"/>
          <w:b/>
          <w:szCs w:val="21"/>
        </w:rPr>
      </w:pPr>
      <w:bookmarkStart w:id="465" w:name="_Toc19069"/>
      <w:r>
        <w:rPr>
          <w:rFonts w:ascii="宋体" w:hAnsi="宋体"/>
          <w:b/>
          <w:szCs w:val="21"/>
        </w:rPr>
        <w:t xml:space="preserve">2.7 </w:t>
      </w:r>
      <w:r>
        <w:rPr>
          <w:rFonts w:hint="eastAsia" w:ascii="宋体" w:hAnsi="宋体"/>
          <w:b/>
          <w:szCs w:val="21"/>
        </w:rPr>
        <w:t>质量保证</w:t>
      </w:r>
      <w:bookmarkEnd w:id="465"/>
    </w:p>
    <w:p>
      <w:pPr>
        <w:snapToGrid w:val="0"/>
        <w:spacing w:line="288" w:lineRule="auto"/>
        <w:ind w:firstLine="420" w:firstLineChars="200"/>
        <w:rPr>
          <w:rFonts w:ascii="宋体" w:hAnsi="宋体"/>
          <w:szCs w:val="21"/>
        </w:rPr>
      </w:pPr>
      <w:r>
        <w:rPr>
          <w:rFonts w:ascii="宋体" w:hAnsi="宋体"/>
          <w:szCs w:val="21"/>
        </w:rPr>
        <w:t xml:space="preserve">2.7.1 </w:t>
      </w:r>
      <w:r>
        <w:rPr>
          <w:rFonts w:hint="eastAsia" w:ascii="宋体" w:hAnsi="宋体"/>
          <w:szCs w:val="21"/>
        </w:rPr>
        <w:t>乙方应建立和完善履行合同的内部质量保证体系，并提供相关内部规章制度给甲方，以便甲方进行监督检查；</w:t>
      </w:r>
    </w:p>
    <w:p>
      <w:pPr>
        <w:snapToGrid w:val="0"/>
        <w:spacing w:line="288" w:lineRule="auto"/>
        <w:ind w:firstLine="420" w:firstLineChars="200"/>
        <w:rPr>
          <w:rFonts w:ascii="宋体" w:hAnsi="宋体"/>
          <w:szCs w:val="21"/>
        </w:rPr>
      </w:pPr>
      <w:r>
        <w:rPr>
          <w:rFonts w:ascii="宋体" w:hAnsi="宋体"/>
          <w:szCs w:val="21"/>
        </w:rPr>
        <w:t xml:space="preserve">2.7.2 </w:t>
      </w:r>
      <w:r>
        <w:rPr>
          <w:rFonts w:hint="eastAsia" w:ascii="宋体" w:hAnsi="宋体"/>
          <w:szCs w:val="21"/>
        </w:rPr>
        <w:t>乙方应保证履行合同的人员数量和素质、软件和硬件设备的配置、场地、环境和设施等满足全面履行合同的要求，并应接受甲方的监督检查。</w:t>
      </w:r>
    </w:p>
    <w:p>
      <w:pPr>
        <w:snapToGrid w:val="0"/>
        <w:spacing w:line="288" w:lineRule="auto"/>
        <w:ind w:firstLine="422" w:firstLineChars="200"/>
        <w:rPr>
          <w:rFonts w:ascii="宋体" w:hAnsi="宋体"/>
          <w:b/>
          <w:szCs w:val="21"/>
        </w:rPr>
      </w:pPr>
      <w:bookmarkStart w:id="466" w:name="_Toc22267"/>
      <w:r>
        <w:rPr>
          <w:rFonts w:ascii="宋体" w:hAnsi="宋体"/>
          <w:b/>
          <w:szCs w:val="21"/>
        </w:rPr>
        <w:t xml:space="preserve">2.8 </w:t>
      </w:r>
      <w:r>
        <w:rPr>
          <w:rFonts w:hint="eastAsia" w:ascii="宋体" w:hAnsi="宋体"/>
          <w:b/>
          <w:szCs w:val="21"/>
        </w:rPr>
        <w:t>延迟履行</w:t>
      </w:r>
      <w:bookmarkEnd w:id="466"/>
    </w:p>
    <w:p>
      <w:pPr>
        <w:snapToGrid w:val="0"/>
        <w:spacing w:line="288" w:lineRule="auto"/>
        <w:ind w:firstLine="420" w:firstLineChars="200"/>
        <w:rPr>
          <w:rFonts w:ascii="宋体" w:hAnsi="宋体"/>
          <w:szCs w:val="21"/>
        </w:rPr>
      </w:pPr>
      <w:r>
        <w:rPr>
          <w:rFonts w:ascii="宋体" w:hAnsi="宋体"/>
          <w:szCs w:val="21"/>
        </w:rPr>
        <w:t>在合同履行过程中，如果乙方遇到不能按时</w:t>
      </w:r>
      <w:r>
        <w:rPr>
          <w:rFonts w:hint="eastAsia" w:ascii="宋体" w:hAnsi="宋体"/>
          <w:szCs w:val="21"/>
        </w:rPr>
        <w:t>提供服务</w:t>
      </w:r>
      <w:r>
        <w:rPr>
          <w:rFonts w:ascii="宋体" w:hAnsi="宋体"/>
          <w:szCs w:val="21"/>
        </w:rPr>
        <w:t>的情况，应及时以书面形式将不能按时</w:t>
      </w:r>
      <w:r>
        <w:rPr>
          <w:rFonts w:hint="eastAsia" w:ascii="宋体" w:hAnsi="宋体"/>
          <w:szCs w:val="21"/>
        </w:rPr>
        <w:t>提供服务</w:t>
      </w:r>
      <w:r>
        <w:rPr>
          <w:rFonts w:ascii="宋体" w:hAnsi="宋体"/>
          <w:szCs w:val="21"/>
        </w:rPr>
        <w:t>的理由、预期延误时间通知甲方</w:t>
      </w:r>
      <w:r>
        <w:rPr>
          <w:rFonts w:hint="eastAsia" w:ascii="宋体" w:hAnsi="宋体"/>
          <w:szCs w:val="21"/>
        </w:rPr>
        <w:t>；甲</w:t>
      </w:r>
      <w:r>
        <w:rPr>
          <w:rFonts w:ascii="宋体" w:hAnsi="宋体"/>
          <w:szCs w:val="21"/>
        </w:rPr>
        <w:t>方收到乙方通知后，认为其理由正当的，可以书面形式酌情同意乙方可以延长</w:t>
      </w:r>
      <w:r>
        <w:rPr>
          <w:rFonts w:hint="eastAsia" w:ascii="宋体" w:hAnsi="宋体"/>
          <w:szCs w:val="21"/>
        </w:rPr>
        <w:t>履行</w:t>
      </w:r>
      <w:r>
        <w:rPr>
          <w:rFonts w:ascii="宋体" w:hAnsi="宋体"/>
          <w:szCs w:val="21"/>
        </w:rPr>
        <w:t>的具体时间。</w:t>
      </w:r>
    </w:p>
    <w:p>
      <w:pPr>
        <w:snapToGrid w:val="0"/>
        <w:spacing w:line="288" w:lineRule="auto"/>
        <w:ind w:firstLine="422" w:firstLineChars="200"/>
        <w:rPr>
          <w:rFonts w:ascii="宋体" w:hAnsi="宋体"/>
          <w:b/>
          <w:szCs w:val="21"/>
        </w:rPr>
      </w:pPr>
      <w:bookmarkStart w:id="467" w:name="_Toc10611"/>
      <w:r>
        <w:rPr>
          <w:rFonts w:ascii="宋体" w:hAnsi="宋体"/>
          <w:b/>
          <w:szCs w:val="21"/>
        </w:rPr>
        <w:t xml:space="preserve">2.9 </w:t>
      </w:r>
      <w:r>
        <w:rPr>
          <w:rFonts w:hint="eastAsia" w:ascii="宋体" w:hAnsi="宋体"/>
          <w:b/>
          <w:szCs w:val="21"/>
        </w:rPr>
        <w:t>合同变更</w:t>
      </w:r>
      <w:bookmarkEnd w:id="467"/>
    </w:p>
    <w:p>
      <w:pPr>
        <w:snapToGrid w:val="0"/>
        <w:spacing w:line="288" w:lineRule="auto"/>
        <w:ind w:firstLine="420" w:firstLineChars="200"/>
        <w:rPr>
          <w:rFonts w:ascii="宋体" w:hAnsi="宋体"/>
          <w:szCs w:val="21"/>
        </w:rPr>
      </w:pPr>
      <w:r>
        <w:rPr>
          <w:rFonts w:hint="eastAsia" w:ascii="宋体" w:hAnsi="宋体"/>
          <w:szCs w:val="21"/>
        </w:rPr>
        <w:t>合同继续履行将损害国家利益和社会公共利益的，双方当事人应当以书面形式变更合同。有过错的一方应当承担赔偿责任，双方当事人都有过错的，各自承担相应的责任。</w:t>
      </w:r>
    </w:p>
    <w:p>
      <w:pPr>
        <w:snapToGrid w:val="0"/>
        <w:spacing w:line="288" w:lineRule="auto"/>
        <w:ind w:firstLine="422" w:firstLineChars="200"/>
        <w:rPr>
          <w:rFonts w:ascii="宋体" w:hAnsi="宋体"/>
          <w:b/>
          <w:szCs w:val="21"/>
        </w:rPr>
      </w:pPr>
      <w:bookmarkStart w:id="468" w:name="_Toc26689"/>
      <w:bookmarkStart w:id="469" w:name="_Toc21830"/>
      <w:bookmarkStart w:id="470" w:name="_Toc10663"/>
      <w:bookmarkStart w:id="471" w:name="_Toc42"/>
      <w:bookmarkStart w:id="472" w:name="_Toc23368"/>
      <w:r>
        <w:rPr>
          <w:rFonts w:ascii="宋体" w:hAnsi="宋体"/>
          <w:b/>
          <w:szCs w:val="21"/>
        </w:rPr>
        <w:t>2.10 合同转让和分包</w:t>
      </w:r>
      <w:bookmarkEnd w:id="468"/>
      <w:bookmarkEnd w:id="469"/>
      <w:bookmarkEnd w:id="470"/>
      <w:bookmarkEnd w:id="471"/>
      <w:bookmarkEnd w:id="472"/>
    </w:p>
    <w:p>
      <w:pPr>
        <w:snapToGrid w:val="0"/>
        <w:spacing w:line="288" w:lineRule="auto"/>
        <w:ind w:firstLine="420" w:firstLineChars="200"/>
        <w:rPr>
          <w:rFonts w:ascii="宋体" w:hAnsi="宋体"/>
          <w:szCs w:val="21"/>
        </w:rPr>
      </w:pPr>
      <w:r>
        <w:rPr>
          <w:rFonts w:ascii="宋体" w:hAnsi="宋体"/>
          <w:szCs w:val="21"/>
        </w:rPr>
        <w:t>合同的权利义务依法不</w:t>
      </w:r>
      <w:r>
        <w:rPr>
          <w:rFonts w:hint="eastAsia" w:ascii="宋体" w:hAnsi="宋体"/>
          <w:szCs w:val="21"/>
        </w:rPr>
        <w:t>得</w:t>
      </w:r>
      <w:r>
        <w:rPr>
          <w:rFonts w:ascii="宋体" w:hAnsi="宋体"/>
          <w:szCs w:val="21"/>
        </w:rPr>
        <w:t>转让</w:t>
      </w:r>
      <w:r>
        <w:rPr>
          <w:rFonts w:hint="eastAsia" w:ascii="宋体" w:hAnsi="宋体"/>
          <w:szCs w:val="21"/>
        </w:rPr>
        <w:t>，</w:t>
      </w:r>
      <w:r>
        <w:rPr>
          <w:rFonts w:ascii="宋体" w:hAnsi="宋体"/>
          <w:szCs w:val="21"/>
        </w:rPr>
        <w:t>但经甲方</w:t>
      </w:r>
      <w:r>
        <w:rPr>
          <w:rFonts w:hint="eastAsia" w:ascii="宋体" w:hAnsi="宋体"/>
          <w:szCs w:val="21"/>
        </w:rPr>
        <w:t>同意，乙方可以依法采取分包方式履行合同，即：依法可以</w:t>
      </w:r>
      <w:r>
        <w:rPr>
          <w:rFonts w:ascii="宋体" w:hAnsi="宋体"/>
          <w:szCs w:val="21"/>
        </w:rPr>
        <w:t>将合同项下的部分非主体、非关键性工作分包给他人完成</w:t>
      </w:r>
      <w:r>
        <w:rPr>
          <w:rFonts w:hint="eastAsia" w:ascii="宋体" w:hAnsi="宋体"/>
          <w:szCs w:val="21"/>
        </w:rPr>
        <w:t>，</w:t>
      </w:r>
      <w:r>
        <w:rPr>
          <w:rFonts w:ascii="宋体" w:hAnsi="宋体"/>
          <w:szCs w:val="21"/>
        </w:rPr>
        <w:t>接受分包的人应当具备相应的资格条件，并不得再次分包</w:t>
      </w:r>
      <w:r>
        <w:rPr>
          <w:rFonts w:hint="eastAsia" w:ascii="宋体" w:hAnsi="宋体"/>
          <w:szCs w:val="21"/>
        </w:rPr>
        <w:t>，</w:t>
      </w:r>
      <w:r>
        <w:rPr>
          <w:rFonts w:ascii="宋体" w:hAnsi="宋体"/>
          <w:szCs w:val="21"/>
        </w:rPr>
        <w:t>且乙方应就分包项目向甲方负责</w:t>
      </w:r>
      <w:r>
        <w:rPr>
          <w:rFonts w:hint="eastAsia" w:ascii="宋体" w:hAnsi="宋体"/>
          <w:szCs w:val="21"/>
        </w:rPr>
        <w:t>，</w:t>
      </w:r>
      <w:r>
        <w:rPr>
          <w:rFonts w:ascii="宋体" w:hAnsi="宋体"/>
          <w:szCs w:val="21"/>
        </w:rPr>
        <w:t>并</w:t>
      </w:r>
      <w:r>
        <w:rPr>
          <w:rFonts w:hint="eastAsia" w:ascii="宋体" w:hAnsi="宋体"/>
          <w:szCs w:val="21"/>
        </w:rPr>
        <w:t>与分包供应商就分包项目向甲方承担连带责任。</w:t>
      </w:r>
    </w:p>
    <w:p>
      <w:pPr>
        <w:snapToGrid w:val="0"/>
        <w:spacing w:line="288" w:lineRule="auto"/>
        <w:ind w:firstLine="422" w:firstLineChars="200"/>
        <w:rPr>
          <w:rFonts w:ascii="宋体" w:hAnsi="宋体"/>
          <w:b/>
          <w:szCs w:val="21"/>
        </w:rPr>
      </w:pPr>
      <w:bookmarkStart w:id="473" w:name="_Toc25571"/>
      <w:bookmarkStart w:id="474" w:name="_Toc26633"/>
      <w:bookmarkStart w:id="475" w:name="_Toc4720"/>
      <w:bookmarkStart w:id="476" w:name="_Toc14371"/>
      <w:bookmarkStart w:id="477" w:name="_Toc32494"/>
      <w:r>
        <w:rPr>
          <w:rFonts w:ascii="宋体" w:hAnsi="宋体"/>
          <w:b/>
          <w:szCs w:val="21"/>
        </w:rPr>
        <w:t>2.11 不可抗力</w:t>
      </w:r>
      <w:bookmarkEnd w:id="473"/>
      <w:bookmarkEnd w:id="474"/>
      <w:bookmarkEnd w:id="475"/>
      <w:bookmarkEnd w:id="476"/>
      <w:bookmarkEnd w:id="477"/>
    </w:p>
    <w:p>
      <w:pPr>
        <w:snapToGrid w:val="0"/>
        <w:spacing w:line="288" w:lineRule="auto"/>
        <w:ind w:firstLine="420" w:firstLineChars="200"/>
        <w:rPr>
          <w:rFonts w:ascii="宋体" w:hAnsi="宋体"/>
          <w:szCs w:val="21"/>
        </w:rPr>
      </w:pPr>
      <w:r>
        <w:rPr>
          <w:rFonts w:ascii="宋体" w:hAnsi="宋体"/>
          <w:szCs w:val="21"/>
        </w:rPr>
        <w:t>2.11.1如果任何一方遭遇法律规定的不可抗力，致使合同履行受阻时，履行合同的期限应予延长，延长的期限应相当于不可抗力所影响的时间</w:t>
      </w:r>
      <w:r>
        <w:rPr>
          <w:rFonts w:hint="eastAsia" w:ascii="宋体" w:hAnsi="宋体"/>
          <w:szCs w:val="21"/>
        </w:rPr>
        <w:t>；</w:t>
      </w:r>
    </w:p>
    <w:p>
      <w:pPr>
        <w:snapToGrid w:val="0"/>
        <w:spacing w:line="288" w:lineRule="auto"/>
        <w:ind w:firstLine="420" w:firstLineChars="200"/>
        <w:rPr>
          <w:rFonts w:ascii="宋体" w:hAnsi="宋体"/>
          <w:szCs w:val="21"/>
        </w:rPr>
      </w:pPr>
      <w:r>
        <w:rPr>
          <w:rFonts w:ascii="宋体" w:hAnsi="宋体"/>
          <w:szCs w:val="21"/>
        </w:rPr>
        <w:t xml:space="preserve">2.11.2 </w:t>
      </w:r>
      <w:r>
        <w:rPr>
          <w:rFonts w:hint="eastAsia" w:ascii="宋体" w:hAnsi="宋体"/>
          <w:szCs w:val="21"/>
        </w:rPr>
        <w:t>因不可抗力致使不能实现合同目的的，当事人可以解除合同；</w:t>
      </w:r>
    </w:p>
    <w:p>
      <w:pPr>
        <w:snapToGrid w:val="0"/>
        <w:spacing w:line="288" w:lineRule="auto"/>
        <w:ind w:firstLine="420" w:firstLineChars="200"/>
        <w:rPr>
          <w:rFonts w:ascii="宋体" w:hAnsi="宋体"/>
          <w:szCs w:val="21"/>
        </w:rPr>
      </w:pPr>
      <w:r>
        <w:rPr>
          <w:rFonts w:ascii="宋体" w:hAnsi="宋体"/>
          <w:szCs w:val="21"/>
        </w:rPr>
        <w:t xml:space="preserve">2.11.3 </w:t>
      </w:r>
      <w:r>
        <w:rPr>
          <w:rFonts w:hint="eastAsia" w:ascii="宋体" w:hAnsi="宋体"/>
          <w:szCs w:val="21"/>
        </w:rPr>
        <w:t>因</w:t>
      </w:r>
      <w:r>
        <w:rPr>
          <w:rFonts w:ascii="宋体" w:hAnsi="宋体"/>
          <w:szCs w:val="21"/>
        </w:rPr>
        <w:t>不可抗力致使合同有变更必要的，双方当事人应在</w:t>
      </w:r>
      <w:r>
        <w:rPr>
          <w:rFonts w:ascii="宋体" w:hAnsi="宋体"/>
          <w:b/>
          <w:i/>
          <w:szCs w:val="21"/>
          <w:u w:val="single"/>
        </w:rPr>
        <w:t>合同专用条款</w:t>
      </w:r>
      <w:r>
        <w:rPr>
          <w:rFonts w:ascii="宋体" w:hAnsi="宋体"/>
          <w:szCs w:val="21"/>
        </w:rPr>
        <w:t>约定时间内以书面形式变更合同</w:t>
      </w:r>
      <w:r>
        <w:rPr>
          <w:rFonts w:hint="eastAsia" w:ascii="宋体" w:hAnsi="宋体"/>
          <w:szCs w:val="21"/>
        </w:rPr>
        <w:t>；</w:t>
      </w:r>
    </w:p>
    <w:p>
      <w:pPr>
        <w:snapToGrid w:val="0"/>
        <w:spacing w:line="288" w:lineRule="auto"/>
        <w:ind w:firstLine="420" w:firstLineChars="200"/>
        <w:rPr>
          <w:rFonts w:ascii="宋体" w:hAnsi="宋体"/>
          <w:szCs w:val="21"/>
        </w:rPr>
      </w:pPr>
      <w:r>
        <w:rPr>
          <w:rFonts w:ascii="宋体" w:hAnsi="宋体"/>
          <w:szCs w:val="21"/>
        </w:rPr>
        <w:t>2.11.4受</w:t>
      </w:r>
      <w:r>
        <w:rPr>
          <w:rFonts w:hint="eastAsia" w:ascii="宋体" w:hAnsi="宋体"/>
          <w:szCs w:val="21"/>
        </w:rPr>
        <w:t>不可抗力</w:t>
      </w:r>
      <w:r>
        <w:rPr>
          <w:rFonts w:ascii="宋体" w:hAnsi="宋体"/>
          <w:szCs w:val="21"/>
        </w:rPr>
        <w:t>影响的一方在不可抗力发生后</w:t>
      </w:r>
      <w:r>
        <w:rPr>
          <w:rFonts w:hint="eastAsia" w:ascii="宋体" w:hAnsi="宋体"/>
          <w:szCs w:val="21"/>
        </w:rPr>
        <w:t>，</w:t>
      </w:r>
      <w:r>
        <w:rPr>
          <w:rFonts w:ascii="宋体" w:hAnsi="宋体"/>
          <w:szCs w:val="21"/>
        </w:rPr>
        <w:t>应在</w:t>
      </w:r>
      <w:r>
        <w:rPr>
          <w:rFonts w:ascii="宋体" w:hAnsi="宋体"/>
          <w:b/>
          <w:i/>
          <w:szCs w:val="21"/>
          <w:u w:val="single"/>
        </w:rPr>
        <w:t>合同专用条款</w:t>
      </w:r>
      <w:r>
        <w:rPr>
          <w:rFonts w:ascii="宋体" w:hAnsi="宋体"/>
          <w:szCs w:val="21"/>
        </w:rPr>
        <w:t>约定时间内以书面形式通知</w:t>
      </w:r>
      <w:r>
        <w:rPr>
          <w:rFonts w:hint="eastAsia" w:ascii="宋体" w:hAnsi="宋体"/>
          <w:szCs w:val="21"/>
        </w:rPr>
        <w:t>对</w:t>
      </w:r>
      <w:r>
        <w:rPr>
          <w:rFonts w:ascii="宋体" w:hAnsi="宋体"/>
          <w:szCs w:val="21"/>
        </w:rPr>
        <w:t>方当事人，并在</w:t>
      </w:r>
      <w:r>
        <w:rPr>
          <w:rFonts w:ascii="宋体" w:hAnsi="宋体"/>
          <w:b/>
          <w:i/>
          <w:szCs w:val="21"/>
          <w:u w:val="single"/>
        </w:rPr>
        <w:t>合同专用条款</w:t>
      </w:r>
      <w:r>
        <w:rPr>
          <w:rFonts w:ascii="宋体" w:hAnsi="宋体"/>
          <w:szCs w:val="21"/>
        </w:rPr>
        <w:t>约定时间内，将有关部门出具的证明文件送达</w:t>
      </w:r>
      <w:r>
        <w:rPr>
          <w:rFonts w:hint="eastAsia" w:ascii="宋体" w:hAnsi="宋体"/>
          <w:szCs w:val="21"/>
        </w:rPr>
        <w:t>对方当事人</w:t>
      </w:r>
      <w:r>
        <w:rPr>
          <w:rFonts w:ascii="宋体" w:hAnsi="宋体"/>
          <w:szCs w:val="21"/>
        </w:rPr>
        <w:t>。</w:t>
      </w:r>
    </w:p>
    <w:p>
      <w:pPr>
        <w:snapToGrid w:val="0"/>
        <w:spacing w:line="288" w:lineRule="auto"/>
        <w:ind w:firstLine="422" w:firstLineChars="200"/>
        <w:rPr>
          <w:rFonts w:ascii="宋体" w:hAnsi="宋体"/>
          <w:b/>
          <w:szCs w:val="21"/>
        </w:rPr>
      </w:pPr>
      <w:bookmarkStart w:id="478" w:name="_Toc14115"/>
      <w:bookmarkStart w:id="479" w:name="_Toc25783"/>
      <w:bookmarkStart w:id="480" w:name="_Toc3638"/>
      <w:bookmarkStart w:id="481" w:name="_Toc23854"/>
      <w:bookmarkStart w:id="482" w:name="_Toc24465"/>
      <w:r>
        <w:rPr>
          <w:rFonts w:ascii="宋体" w:hAnsi="宋体"/>
          <w:b/>
          <w:szCs w:val="21"/>
        </w:rPr>
        <w:t>2.12 税费</w:t>
      </w:r>
      <w:bookmarkEnd w:id="478"/>
      <w:bookmarkEnd w:id="479"/>
      <w:bookmarkEnd w:id="480"/>
      <w:bookmarkEnd w:id="481"/>
      <w:bookmarkEnd w:id="482"/>
    </w:p>
    <w:p>
      <w:pPr>
        <w:snapToGrid w:val="0"/>
        <w:spacing w:line="288" w:lineRule="auto"/>
        <w:ind w:firstLine="420" w:firstLineChars="200"/>
        <w:rPr>
          <w:rFonts w:ascii="宋体" w:hAnsi="宋体"/>
          <w:szCs w:val="21"/>
        </w:rPr>
      </w:pPr>
      <w:r>
        <w:rPr>
          <w:rFonts w:ascii="宋体" w:hAnsi="宋体"/>
          <w:szCs w:val="21"/>
        </w:rPr>
        <w:t>与合同有关的一切税费</w:t>
      </w:r>
      <w:r>
        <w:rPr>
          <w:rFonts w:hint="eastAsia" w:ascii="宋体" w:hAnsi="宋体"/>
          <w:szCs w:val="21"/>
        </w:rPr>
        <w:t>，</w:t>
      </w:r>
      <w:r>
        <w:rPr>
          <w:rFonts w:ascii="宋体" w:hAnsi="宋体"/>
          <w:szCs w:val="21"/>
        </w:rPr>
        <w:t>均按照中华人民共和国法律的相关规定缴纳。</w:t>
      </w:r>
    </w:p>
    <w:p>
      <w:pPr>
        <w:snapToGrid w:val="0"/>
        <w:spacing w:line="288" w:lineRule="auto"/>
        <w:ind w:firstLine="422" w:firstLineChars="200"/>
        <w:rPr>
          <w:rFonts w:ascii="宋体" w:hAnsi="宋体"/>
          <w:b/>
          <w:szCs w:val="21"/>
        </w:rPr>
      </w:pPr>
      <w:bookmarkStart w:id="483" w:name="_Toc14814"/>
      <w:bookmarkStart w:id="484" w:name="_Toc30105"/>
      <w:bookmarkStart w:id="485" w:name="_Toc7315"/>
      <w:bookmarkStart w:id="486" w:name="_Toc26883"/>
      <w:bookmarkStart w:id="487" w:name="_Toc25525"/>
      <w:r>
        <w:rPr>
          <w:rFonts w:ascii="宋体" w:hAnsi="宋体"/>
          <w:b/>
          <w:szCs w:val="21"/>
        </w:rPr>
        <w:t>2.13 乙方破产</w:t>
      </w:r>
      <w:bookmarkEnd w:id="483"/>
      <w:bookmarkEnd w:id="484"/>
      <w:bookmarkEnd w:id="485"/>
      <w:bookmarkEnd w:id="486"/>
      <w:bookmarkEnd w:id="487"/>
    </w:p>
    <w:p>
      <w:pPr>
        <w:snapToGrid w:val="0"/>
        <w:spacing w:line="288" w:lineRule="auto"/>
        <w:ind w:firstLine="420" w:firstLineChars="200"/>
        <w:rPr>
          <w:rFonts w:ascii="宋体" w:hAnsi="宋体"/>
          <w:szCs w:val="21"/>
        </w:rPr>
      </w:pPr>
      <w:r>
        <w:rPr>
          <w:rFonts w:ascii="宋体" w:hAnsi="宋体"/>
          <w:szCs w:val="21"/>
        </w:rPr>
        <w:t>如果乙方破产导致合同无法履行时，甲方可以书面形式通知乙方终止合同且不给予乙方任何补偿和赔偿</w:t>
      </w:r>
      <w:r>
        <w:rPr>
          <w:rFonts w:hint="eastAsia" w:ascii="宋体" w:hAnsi="宋体"/>
          <w:szCs w:val="21"/>
        </w:rPr>
        <w:t>，但合同的</w:t>
      </w:r>
      <w:r>
        <w:rPr>
          <w:rFonts w:ascii="宋体" w:hAnsi="宋体"/>
          <w:szCs w:val="21"/>
        </w:rPr>
        <w:t>终止不损害或不影响甲方已经采取或将要采取的任何要求乙方支付违约金</w:t>
      </w:r>
      <w:r>
        <w:rPr>
          <w:rFonts w:hint="eastAsia" w:ascii="宋体" w:hAnsi="宋体"/>
          <w:szCs w:val="21"/>
        </w:rPr>
        <w:t>、</w:t>
      </w:r>
      <w:r>
        <w:rPr>
          <w:rFonts w:ascii="宋体" w:hAnsi="宋体"/>
          <w:szCs w:val="21"/>
        </w:rPr>
        <w:t>赔偿损失等的行动或补救措施的权利</w:t>
      </w:r>
      <w:r>
        <w:rPr>
          <w:rFonts w:hint="eastAsia" w:ascii="宋体" w:hAnsi="宋体"/>
          <w:szCs w:val="21"/>
        </w:rPr>
        <w:t>。</w:t>
      </w:r>
    </w:p>
    <w:p>
      <w:pPr>
        <w:snapToGrid w:val="0"/>
        <w:spacing w:line="288" w:lineRule="auto"/>
        <w:ind w:firstLine="422" w:firstLineChars="200"/>
        <w:rPr>
          <w:rFonts w:ascii="宋体" w:hAnsi="宋体"/>
          <w:b/>
          <w:szCs w:val="21"/>
        </w:rPr>
      </w:pPr>
      <w:bookmarkStart w:id="488" w:name="_Toc2016"/>
      <w:bookmarkStart w:id="489" w:name="_Toc23323"/>
      <w:bookmarkStart w:id="490" w:name="_Toc1123"/>
      <w:r>
        <w:rPr>
          <w:rFonts w:ascii="宋体" w:hAnsi="宋体"/>
          <w:b/>
          <w:szCs w:val="21"/>
        </w:rPr>
        <w:t>2.14 合同中止、终止</w:t>
      </w:r>
      <w:bookmarkEnd w:id="488"/>
      <w:bookmarkEnd w:id="489"/>
      <w:bookmarkEnd w:id="490"/>
    </w:p>
    <w:p>
      <w:pPr>
        <w:snapToGrid w:val="0"/>
        <w:spacing w:line="288" w:lineRule="auto"/>
        <w:ind w:firstLine="420" w:firstLineChars="200"/>
        <w:rPr>
          <w:rFonts w:ascii="宋体" w:hAnsi="宋体"/>
          <w:szCs w:val="21"/>
        </w:rPr>
      </w:pPr>
      <w:r>
        <w:rPr>
          <w:rFonts w:ascii="宋体" w:hAnsi="宋体"/>
          <w:szCs w:val="21"/>
        </w:rPr>
        <w:t xml:space="preserve">2.14.1 </w:t>
      </w:r>
      <w:r>
        <w:rPr>
          <w:rFonts w:hint="eastAsia" w:ascii="宋体" w:hAnsi="宋体"/>
          <w:szCs w:val="21"/>
        </w:rPr>
        <w:t>双方当事人不得擅自中止或者终止合同；</w:t>
      </w:r>
    </w:p>
    <w:p>
      <w:pPr>
        <w:snapToGrid w:val="0"/>
        <w:spacing w:line="288" w:lineRule="auto"/>
        <w:ind w:firstLine="420" w:firstLineChars="200"/>
        <w:rPr>
          <w:rFonts w:ascii="宋体" w:hAnsi="宋体"/>
          <w:szCs w:val="21"/>
        </w:rPr>
      </w:pPr>
      <w:r>
        <w:rPr>
          <w:rFonts w:ascii="宋体" w:hAnsi="宋体"/>
          <w:szCs w:val="21"/>
        </w:rPr>
        <w:t>2.14.2合同继续履行将损害国家利益和社会公共利益的，双方当事人应当中止或者终止合同。有过错的一方应当承担赔偿责任，双方当事人都有过错的，各自承担相应的责任。</w:t>
      </w:r>
    </w:p>
    <w:p>
      <w:pPr>
        <w:snapToGrid w:val="0"/>
        <w:spacing w:line="288" w:lineRule="auto"/>
        <w:ind w:firstLine="422" w:firstLineChars="200"/>
        <w:rPr>
          <w:rFonts w:ascii="宋体" w:hAnsi="宋体"/>
          <w:b/>
          <w:szCs w:val="21"/>
        </w:rPr>
      </w:pPr>
      <w:bookmarkStart w:id="491" w:name="_Toc1969"/>
      <w:bookmarkStart w:id="492" w:name="_Toc17363"/>
      <w:bookmarkStart w:id="493" w:name="_Toc14525"/>
      <w:r>
        <w:rPr>
          <w:rFonts w:ascii="宋体" w:hAnsi="宋体"/>
          <w:b/>
          <w:szCs w:val="21"/>
        </w:rPr>
        <w:t>2.15 检验和验收</w:t>
      </w:r>
      <w:bookmarkEnd w:id="491"/>
      <w:bookmarkEnd w:id="492"/>
      <w:bookmarkEnd w:id="493"/>
    </w:p>
    <w:p>
      <w:pPr>
        <w:tabs>
          <w:tab w:val="left" w:pos="360"/>
          <w:tab w:val="left" w:pos="540"/>
          <w:tab w:val="left" w:pos="1080"/>
        </w:tabs>
        <w:snapToGrid w:val="0"/>
        <w:spacing w:line="288" w:lineRule="auto"/>
        <w:ind w:firstLine="420" w:firstLineChars="200"/>
        <w:rPr>
          <w:rFonts w:ascii="宋体" w:hAnsi="宋体"/>
          <w:szCs w:val="21"/>
        </w:rPr>
      </w:pPr>
      <w:r>
        <w:rPr>
          <w:rFonts w:ascii="宋体" w:hAnsi="宋体"/>
          <w:szCs w:val="21"/>
        </w:rPr>
        <w:t xml:space="preserve">2.15.1 </w:t>
      </w:r>
      <w:r>
        <w:rPr>
          <w:rFonts w:hint="eastAsia" w:ascii="宋体" w:hAnsi="宋体"/>
          <w:szCs w:val="21"/>
        </w:rPr>
        <w:t>乙方按照</w:t>
      </w:r>
      <w:r>
        <w:rPr>
          <w:rFonts w:ascii="宋体" w:hAnsi="宋体"/>
          <w:b/>
          <w:i/>
          <w:szCs w:val="21"/>
          <w:u w:val="single"/>
        </w:rPr>
        <w:t>合同专用条款</w:t>
      </w:r>
      <w:r>
        <w:rPr>
          <w:rFonts w:ascii="宋体" w:hAnsi="宋体"/>
          <w:szCs w:val="21"/>
        </w:rPr>
        <w:t>的约定</w:t>
      </w:r>
      <w:r>
        <w:rPr>
          <w:rFonts w:hint="eastAsia" w:ascii="宋体" w:hAnsi="宋体"/>
          <w:szCs w:val="21"/>
        </w:rPr>
        <w:t>，</w:t>
      </w:r>
      <w:r>
        <w:rPr>
          <w:rFonts w:ascii="宋体" w:hAnsi="宋体"/>
          <w:szCs w:val="21"/>
        </w:rPr>
        <w:t>定期提交服务报告</w:t>
      </w:r>
      <w:r>
        <w:rPr>
          <w:rFonts w:hint="eastAsia" w:ascii="宋体" w:hAnsi="宋体"/>
          <w:szCs w:val="21"/>
        </w:rPr>
        <w:t>，甲方按照</w:t>
      </w:r>
      <w:r>
        <w:rPr>
          <w:rFonts w:ascii="宋体" w:hAnsi="宋体"/>
          <w:b/>
          <w:i/>
          <w:szCs w:val="21"/>
          <w:u w:val="single"/>
        </w:rPr>
        <w:t>合同专用条款</w:t>
      </w:r>
      <w:r>
        <w:rPr>
          <w:rFonts w:ascii="宋体" w:hAnsi="宋体"/>
          <w:szCs w:val="21"/>
        </w:rPr>
        <w:t>的约定进行定期验收</w:t>
      </w:r>
      <w:r>
        <w:rPr>
          <w:rFonts w:hint="eastAsia" w:ascii="宋体" w:hAnsi="宋体"/>
          <w:szCs w:val="21"/>
        </w:rPr>
        <w:t>；</w:t>
      </w:r>
    </w:p>
    <w:p>
      <w:pPr>
        <w:tabs>
          <w:tab w:val="left" w:pos="360"/>
          <w:tab w:val="left" w:pos="540"/>
          <w:tab w:val="left" w:pos="1080"/>
        </w:tabs>
        <w:snapToGrid w:val="0"/>
        <w:spacing w:line="288" w:lineRule="auto"/>
        <w:ind w:firstLine="420" w:firstLineChars="200"/>
        <w:rPr>
          <w:rFonts w:ascii="宋体" w:hAnsi="宋体"/>
          <w:szCs w:val="21"/>
        </w:rPr>
      </w:pPr>
      <w:r>
        <w:rPr>
          <w:rFonts w:ascii="宋体" w:hAnsi="宋体"/>
          <w:szCs w:val="21"/>
        </w:rPr>
        <w:t xml:space="preserve">2.15.2 </w:t>
      </w:r>
      <w:r>
        <w:rPr>
          <w:rFonts w:hint="eastAsia" w:ascii="宋体" w:hAnsi="宋体"/>
          <w:szCs w:val="21"/>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napToGrid w:val="0"/>
        <w:spacing w:line="288" w:lineRule="auto"/>
        <w:ind w:firstLine="420" w:firstLineChars="200"/>
        <w:rPr>
          <w:rFonts w:ascii="宋体" w:hAnsi="宋体"/>
          <w:szCs w:val="21"/>
        </w:rPr>
      </w:pPr>
      <w:r>
        <w:rPr>
          <w:rFonts w:ascii="宋体" w:hAnsi="宋体"/>
          <w:szCs w:val="21"/>
        </w:rPr>
        <w:t xml:space="preserve">2.15.3 </w:t>
      </w:r>
      <w:r>
        <w:rPr>
          <w:rFonts w:hint="eastAsia" w:ascii="宋体" w:hAnsi="宋体"/>
          <w:szCs w:val="21"/>
        </w:rPr>
        <w:t>检验和验收标准、程序等具体内容以及前述验收书的效力详见</w:t>
      </w:r>
      <w:r>
        <w:rPr>
          <w:rFonts w:ascii="宋体" w:hAnsi="宋体"/>
          <w:b/>
          <w:i/>
          <w:szCs w:val="21"/>
          <w:u w:val="single"/>
        </w:rPr>
        <w:t>合同专用条款</w:t>
      </w:r>
      <w:r>
        <w:rPr>
          <w:rFonts w:hint="eastAsia" w:ascii="宋体" w:hAnsi="宋体"/>
          <w:i/>
          <w:szCs w:val="21"/>
        </w:rPr>
        <w:t>。</w:t>
      </w:r>
    </w:p>
    <w:p>
      <w:pPr>
        <w:snapToGrid w:val="0"/>
        <w:spacing w:line="288" w:lineRule="auto"/>
        <w:ind w:firstLine="422" w:firstLineChars="200"/>
        <w:rPr>
          <w:rFonts w:ascii="宋体" w:hAnsi="宋体"/>
          <w:b/>
          <w:szCs w:val="21"/>
        </w:rPr>
      </w:pPr>
      <w:bookmarkStart w:id="494" w:name="_Toc31892"/>
      <w:bookmarkStart w:id="495" w:name="_Toc2308"/>
      <w:bookmarkStart w:id="496" w:name="_Toc9808"/>
      <w:bookmarkStart w:id="497" w:name="_Toc25198"/>
      <w:bookmarkStart w:id="498" w:name="_Toc12666"/>
      <w:r>
        <w:rPr>
          <w:rFonts w:ascii="宋体" w:hAnsi="宋体"/>
          <w:b/>
          <w:szCs w:val="21"/>
        </w:rPr>
        <w:t>2.16 通知和送达</w:t>
      </w:r>
      <w:bookmarkEnd w:id="494"/>
      <w:bookmarkEnd w:id="495"/>
      <w:bookmarkEnd w:id="496"/>
      <w:bookmarkEnd w:id="497"/>
      <w:bookmarkEnd w:id="498"/>
    </w:p>
    <w:p>
      <w:pPr>
        <w:snapToGrid w:val="0"/>
        <w:spacing w:line="288" w:lineRule="auto"/>
        <w:ind w:firstLine="420" w:firstLineChars="200"/>
        <w:rPr>
          <w:rFonts w:ascii="宋体" w:hAnsi="宋体"/>
          <w:szCs w:val="21"/>
        </w:rPr>
      </w:pPr>
      <w:bookmarkStart w:id="499" w:name="_Toc18401"/>
      <w:bookmarkStart w:id="500" w:name="_Toc27674"/>
      <w:r>
        <w:rPr>
          <w:rFonts w:ascii="宋体" w:hAnsi="宋体"/>
          <w:szCs w:val="21"/>
        </w:rPr>
        <w:t>2.17.1</w:t>
      </w:r>
      <w:r>
        <w:rPr>
          <w:rFonts w:hint="eastAsia" w:ascii="宋体" w:hAnsi="宋体"/>
          <w:szCs w:val="21"/>
        </w:rPr>
        <w:t>任何一方因履行合同而以合同第一部分尾部所列明的传真或电子邮件发出的所有通知、文件、材料，均视为已向对方当事人送达；任何一方变更上述送达方式或者地址的，应于</w:t>
      </w:r>
      <w:r>
        <w:rPr>
          <w:rFonts w:ascii="宋体" w:hAnsi="宋体"/>
          <w:szCs w:val="21"/>
          <w:u w:val="single"/>
        </w:rPr>
        <w:t>3</w:t>
      </w:r>
      <w:r>
        <w:rPr>
          <w:rFonts w:hint="eastAsia" w:ascii="宋体" w:hAnsi="宋体"/>
          <w:szCs w:val="21"/>
        </w:rPr>
        <w:t>个工作日内书面通知对方当事人，在对方当事人收到有关变更通知之前，变更前的约定送达方式或者地址仍视为有效。</w:t>
      </w:r>
    </w:p>
    <w:p>
      <w:pPr>
        <w:snapToGrid w:val="0"/>
        <w:spacing w:line="288" w:lineRule="auto"/>
        <w:ind w:firstLine="420" w:firstLineChars="200"/>
        <w:rPr>
          <w:rFonts w:ascii="宋体" w:hAnsi="宋体"/>
          <w:szCs w:val="21"/>
        </w:rPr>
      </w:pPr>
      <w:r>
        <w:rPr>
          <w:rFonts w:ascii="宋体" w:hAnsi="宋体"/>
          <w:szCs w:val="21"/>
        </w:rPr>
        <w:t>2.17.2以当面交付方式送达的，交付之时视为送达；以电子邮件方式送达的，发出电子邮件之时视为送达；以传真方式送达的，发出传真之时视为送达；以邮寄方式送达</w:t>
      </w:r>
      <w:r>
        <w:rPr>
          <w:rFonts w:hint="eastAsia" w:ascii="宋体" w:hAnsi="宋体"/>
          <w:szCs w:val="21"/>
        </w:rPr>
        <w:t>的，邮件挂号寄出或者交邮之日之次日视为送达。</w:t>
      </w:r>
      <w:bookmarkEnd w:id="499"/>
      <w:bookmarkEnd w:id="500"/>
    </w:p>
    <w:p>
      <w:pPr>
        <w:snapToGrid w:val="0"/>
        <w:spacing w:line="288" w:lineRule="auto"/>
        <w:ind w:firstLine="422" w:firstLineChars="200"/>
        <w:rPr>
          <w:rFonts w:ascii="宋体" w:hAnsi="宋体"/>
          <w:b/>
          <w:szCs w:val="21"/>
        </w:rPr>
      </w:pPr>
      <w:bookmarkStart w:id="501" w:name="_Toc20808"/>
      <w:bookmarkStart w:id="502" w:name="_Toc12254"/>
      <w:bookmarkStart w:id="503" w:name="_Toc27644"/>
      <w:bookmarkStart w:id="504" w:name="_Toc28906"/>
      <w:bookmarkStart w:id="505" w:name="_Toc5063"/>
      <w:r>
        <w:rPr>
          <w:rFonts w:ascii="宋体" w:hAnsi="宋体"/>
          <w:b/>
          <w:szCs w:val="21"/>
        </w:rPr>
        <w:t xml:space="preserve">2.17 </w:t>
      </w:r>
      <w:r>
        <w:rPr>
          <w:rFonts w:hint="eastAsia" w:ascii="宋体" w:hAnsi="宋体"/>
          <w:b/>
          <w:szCs w:val="21"/>
        </w:rPr>
        <w:t>合同使用的文字和</w:t>
      </w:r>
      <w:r>
        <w:rPr>
          <w:rFonts w:ascii="宋体" w:hAnsi="宋体"/>
          <w:b/>
          <w:szCs w:val="21"/>
        </w:rPr>
        <w:t>适用的法律</w:t>
      </w:r>
      <w:bookmarkEnd w:id="501"/>
      <w:bookmarkEnd w:id="502"/>
      <w:bookmarkEnd w:id="503"/>
      <w:bookmarkEnd w:id="504"/>
      <w:bookmarkEnd w:id="505"/>
    </w:p>
    <w:p>
      <w:pPr>
        <w:snapToGrid w:val="0"/>
        <w:spacing w:line="288" w:lineRule="auto"/>
        <w:ind w:firstLine="420" w:firstLineChars="200"/>
        <w:rPr>
          <w:rFonts w:ascii="宋体" w:hAnsi="宋体"/>
          <w:szCs w:val="21"/>
        </w:rPr>
      </w:pPr>
      <w:r>
        <w:rPr>
          <w:rFonts w:ascii="宋体" w:hAnsi="宋体"/>
          <w:szCs w:val="21"/>
        </w:rPr>
        <w:t>2.17.1 合同使用汉语书就</w:t>
      </w:r>
      <w:r>
        <w:rPr>
          <w:rFonts w:hint="eastAsia" w:ascii="宋体" w:hAnsi="宋体"/>
          <w:szCs w:val="21"/>
        </w:rPr>
        <w:t>、</w:t>
      </w:r>
      <w:r>
        <w:rPr>
          <w:rFonts w:ascii="宋体" w:hAnsi="宋体"/>
          <w:szCs w:val="21"/>
        </w:rPr>
        <w:t>变更和解释</w:t>
      </w:r>
      <w:r>
        <w:rPr>
          <w:rFonts w:hint="eastAsia" w:ascii="宋体" w:hAnsi="宋体"/>
          <w:szCs w:val="21"/>
        </w:rPr>
        <w:t>；</w:t>
      </w:r>
    </w:p>
    <w:p>
      <w:pPr>
        <w:snapToGrid w:val="0"/>
        <w:spacing w:line="288" w:lineRule="auto"/>
        <w:ind w:firstLine="420" w:firstLineChars="200"/>
        <w:rPr>
          <w:rFonts w:ascii="宋体" w:hAnsi="宋体"/>
          <w:szCs w:val="21"/>
        </w:rPr>
      </w:pPr>
      <w:r>
        <w:rPr>
          <w:rFonts w:ascii="宋体" w:hAnsi="宋体"/>
          <w:szCs w:val="21"/>
        </w:rPr>
        <w:t xml:space="preserve">2.17.2 </w:t>
      </w:r>
      <w:r>
        <w:rPr>
          <w:rFonts w:hint="eastAsia" w:ascii="宋体" w:hAnsi="宋体"/>
          <w:szCs w:val="21"/>
        </w:rPr>
        <w:t>合同适用</w:t>
      </w:r>
      <w:r>
        <w:rPr>
          <w:rFonts w:ascii="宋体" w:hAnsi="宋体"/>
          <w:szCs w:val="21"/>
        </w:rPr>
        <w:t>中华人民共和国法律。</w:t>
      </w:r>
    </w:p>
    <w:p>
      <w:pPr>
        <w:snapToGrid w:val="0"/>
        <w:spacing w:line="288" w:lineRule="auto"/>
        <w:ind w:firstLine="422" w:firstLineChars="200"/>
        <w:rPr>
          <w:rFonts w:ascii="宋体" w:hAnsi="宋体"/>
          <w:b/>
          <w:szCs w:val="21"/>
        </w:rPr>
      </w:pPr>
      <w:bookmarkStart w:id="506" w:name="_Toc30096"/>
      <w:bookmarkStart w:id="507" w:name="_Toc27127"/>
      <w:bookmarkStart w:id="508" w:name="_Toc22266"/>
      <w:bookmarkStart w:id="509" w:name="_Toc1492"/>
      <w:bookmarkStart w:id="510" w:name="_Toc27403"/>
      <w:r>
        <w:rPr>
          <w:rFonts w:ascii="宋体" w:hAnsi="宋体"/>
          <w:b/>
          <w:szCs w:val="21"/>
        </w:rPr>
        <w:t>2.18 履约保证金</w:t>
      </w:r>
      <w:bookmarkEnd w:id="506"/>
      <w:bookmarkEnd w:id="507"/>
      <w:bookmarkEnd w:id="508"/>
      <w:bookmarkEnd w:id="509"/>
      <w:bookmarkEnd w:id="510"/>
    </w:p>
    <w:p>
      <w:pPr>
        <w:pStyle w:val="957"/>
        <w:adjustRightInd w:val="0"/>
        <w:snapToGrid w:val="0"/>
        <w:spacing w:before="0" w:beforeAutospacing="0" w:after="0" w:afterAutospacing="0" w:line="288" w:lineRule="auto"/>
        <w:ind w:firstLine="420" w:firstLineChars="200"/>
        <w:jc w:val="both"/>
        <w:rPr>
          <w:sz w:val="21"/>
          <w:szCs w:val="21"/>
        </w:rPr>
      </w:pPr>
      <w:r>
        <w:rPr>
          <w:sz w:val="21"/>
          <w:szCs w:val="21"/>
        </w:rPr>
        <w:t xml:space="preserve">2.18.1 </w:t>
      </w:r>
      <w:r>
        <w:rPr>
          <w:rFonts w:hint="eastAsia"/>
          <w:sz w:val="21"/>
          <w:szCs w:val="21"/>
        </w:rPr>
        <w:t>采购文件要求乙方提交履约保证金的，乙方应按</w:t>
      </w:r>
      <w:r>
        <w:rPr>
          <w:rFonts w:hint="eastAsia"/>
          <w:b/>
          <w:i/>
          <w:sz w:val="21"/>
          <w:szCs w:val="21"/>
          <w:u w:val="single"/>
        </w:rPr>
        <w:t>合同专用条款</w:t>
      </w:r>
      <w:r>
        <w:rPr>
          <w:rFonts w:hint="eastAsia"/>
          <w:sz w:val="21"/>
          <w:szCs w:val="21"/>
        </w:rPr>
        <w:t>约定的方式，以支票、汇票、本票或者金融机构、担保机构出具的保函等非现金形式，提交不超过合同金额</w:t>
      </w:r>
      <w:r>
        <w:rPr>
          <w:sz w:val="21"/>
          <w:szCs w:val="21"/>
        </w:rPr>
        <w:t>1%的履约保证金；鼓励和支持乙方以银行、保险公司出具的保函形式提供履约保证</w:t>
      </w:r>
      <w:r>
        <w:rPr>
          <w:rFonts w:hint="eastAsia"/>
          <w:sz w:val="21"/>
          <w:szCs w:val="21"/>
        </w:rPr>
        <w:t>，乙方以银行、保险公司出具保函形式提交履约保证金的，甲方不得拒收。</w:t>
      </w:r>
    </w:p>
    <w:p>
      <w:pPr>
        <w:snapToGrid w:val="0"/>
        <w:spacing w:line="288" w:lineRule="auto"/>
        <w:ind w:firstLine="420" w:firstLineChars="200"/>
        <w:rPr>
          <w:rFonts w:ascii="宋体" w:hAnsi="宋体"/>
          <w:szCs w:val="21"/>
        </w:rPr>
      </w:pPr>
      <w:r>
        <w:rPr>
          <w:rFonts w:ascii="宋体" w:hAnsi="宋体"/>
          <w:szCs w:val="21"/>
        </w:rPr>
        <w:t xml:space="preserve">2.18.2  </w:t>
      </w:r>
      <w:r>
        <w:rPr>
          <w:rFonts w:hint="eastAsia" w:ascii="宋体" w:hAnsi="宋体"/>
          <w:szCs w:val="21"/>
        </w:rPr>
        <w:t>甲方在项目验收结束后及时退还履约保证金。</w:t>
      </w:r>
      <w:r>
        <w:rPr>
          <w:rFonts w:hint="eastAsia" w:ascii="宋体" w:hAnsi="宋体" w:cs="宋体"/>
          <w:szCs w:val="21"/>
        </w:rPr>
        <w:t>甲方在项目通过验收之日起</w:t>
      </w:r>
      <w:r>
        <w:rPr>
          <w:rFonts w:hint="eastAsia" w:ascii="宋体" w:hAnsi="宋体" w:cs="宋体"/>
          <w:b/>
          <w:i/>
          <w:szCs w:val="21"/>
          <w:u w:val="single"/>
        </w:rPr>
        <w:t>合同专用条款</w:t>
      </w:r>
      <w:r>
        <w:rPr>
          <w:rFonts w:hint="eastAsia" w:ascii="宋体" w:hAnsi="宋体" w:cs="宋体"/>
          <w:szCs w:val="21"/>
        </w:rPr>
        <w:t>个工作日内将履约保证金退还乙方，逾期退还的，</w:t>
      </w:r>
      <w:r>
        <w:rPr>
          <w:rFonts w:hint="eastAsia" w:ascii="宋体" w:hAnsi="宋体"/>
          <w:szCs w:val="21"/>
        </w:rPr>
        <w:t>乙方可要求甲方支付违约金，违约金按每迟延退还一日的应退还而未退还金额的</w:t>
      </w:r>
      <w:r>
        <w:rPr>
          <w:rFonts w:ascii="宋体" w:hAnsi="宋体"/>
          <w:szCs w:val="21"/>
          <w:u w:val="single"/>
        </w:rPr>
        <w:t xml:space="preserve">  0.05  </w:t>
      </w:r>
      <w:r>
        <w:rPr>
          <w:rFonts w:ascii="宋体" w:hAnsi="宋体"/>
          <w:szCs w:val="21"/>
        </w:rPr>
        <w:t>%计算，最高限额为本合同履约保证金的</w:t>
      </w:r>
      <w:r>
        <w:rPr>
          <w:rFonts w:ascii="宋体" w:hAnsi="宋体"/>
          <w:szCs w:val="21"/>
          <w:u w:val="single"/>
        </w:rPr>
        <w:t xml:space="preserve">  20   </w:t>
      </w:r>
      <w:r>
        <w:rPr>
          <w:rFonts w:ascii="宋体" w:hAnsi="宋体"/>
          <w:szCs w:val="21"/>
        </w:rPr>
        <w:t xml:space="preserve">%； </w:t>
      </w:r>
    </w:p>
    <w:p>
      <w:pPr>
        <w:snapToGrid w:val="0"/>
        <w:spacing w:line="288" w:lineRule="auto"/>
        <w:ind w:firstLine="420" w:firstLineChars="200"/>
        <w:rPr>
          <w:rFonts w:ascii="宋体" w:hAnsi="宋体"/>
          <w:szCs w:val="21"/>
        </w:rPr>
      </w:pPr>
      <w:r>
        <w:rPr>
          <w:rFonts w:ascii="宋体" w:hAnsi="宋体"/>
          <w:szCs w:val="21"/>
        </w:rPr>
        <w:t xml:space="preserve">2.18.3 </w:t>
      </w:r>
      <w:r>
        <w:rPr>
          <w:rFonts w:hint="eastAsia" w:ascii="宋体" w:hAnsi="宋体"/>
          <w:szCs w:val="2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288" w:lineRule="auto"/>
        <w:ind w:firstLine="420" w:firstLineChars="200"/>
        <w:rPr>
          <w:rFonts w:ascii="宋体" w:hAnsi="宋体"/>
          <w:szCs w:val="21"/>
        </w:rPr>
      </w:pPr>
      <w:r>
        <w:rPr>
          <w:rFonts w:ascii="宋体" w:hAnsi="宋体"/>
          <w:szCs w:val="21"/>
        </w:rPr>
        <w:t>2.18.4</w:t>
      </w:r>
      <w:r>
        <w:rPr>
          <w:rFonts w:hint="eastAsia" w:ascii="宋体" w:hAnsi="宋体"/>
          <w:szCs w:val="21"/>
        </w:rPr>
        <w:t> 甲方</w:t>
      </w:r>
      <w:r>
        <w:rPr>
          <w:rFonts w:ascii="宋体" w:hAnsi="宋体"/>
          <w:szCs w:val="21"/>
        </w:rPr>
        <w:t>在</w:t>
      </w:r>
      <w:r>
        <w:rPr>
          <w:rFonts w:hint="eastAsia" w:ascii="宋体" w:hAnsi="宋体"/>
          <w:szCs w:val="21"/>
        </w:rPr>
        <w:t>乙方</w:t>
      </w:r>
      <w:r>
        <w:rPr>
          <w:rFonts w:ascii="宋体" w:hAnsi="宋体"/>
          <w:szCs w:val="21"/>
        </w:rPr>
        <w:t>履行完合同约定义务事项后及时退还，延迟退还的，应当按照合同约定和法律规定承担相应的赔偿责任。</w:t>
      </w:r>
    </w:p>
    <w:p>
      <w:pPr>
        <w:snapToGrid w:val="0"/>
        <w:spacing w:line="288" w:lineRule="auto"/>
        <w:ind w:firstLine="422" w:firstLineChars="200"/>
        <w:rPr>
          <w:rFonts w:ascii="宋体" w:hAnsi="宋体"/>
          <w:szCs w:val="21"/>
        </w:rPr>
      </w:pPr>
      <w:r>
        <w:rPr>
          <w:rFonts w:ascii="宋体" w:hAnsi="宋体"/>
          <w:b/>
          <w:bCs/>
          <w:szCs w:val="21"/>
        </w:rPr>
        <w:t>2.19</w:t>
      </w:r>
      <w:r>
        <w:rPr>
          <w:rFonts w:ascii="宋体" w:hAnsi="宋体"/>
          <w:szCs w:val="21"/>
        </w:rPr>
        <w:t>对于因甲方原因导致变更、中止或者终止政府采购合同的，甲方应当依照合同约定对供应商受到的损失予以赔偿或者补偿</w:t>
      </w:r>
      <w:r>
        <w:rPr>
          <w:rFonts w:hint="eastAsia" w:ascii="宋体" w:hAnsi="宋体"/>
          <w:szCs w:val="21"/>
        </w:rPr>
        <w:t>。</w:t>
      </w:r>
    </w:p>
    <w:p>
      <w:pPr>
        <w:snapToGrid w:val="0"/>
        <w:spacing w:line="288" w:lineRule="auto"/>
        <w:ind w:firstLine="422" w:firstLineChars="200"/>
        <w:rPr>
          <w:rFonts w:ascii="宋体" w:hAnsi="宋体"/>
          <w:szCs w:val="21"/>
        </w:rPr>
      </w:pPr>
      <w:r>
        <w:rPr>
          <w:rFonts w:ascii="宋体" w:hAnsi="宋体"/>
          <w:b/>
          <w:szCs w:val="21"/>
        </w:rPr>
        <w:t>2.20</w:t>
      </w:r>
      <w:r>
        <w:rPr>
          <w:rFonts w:ascii="宋体" w:hAnsi="宋体"/>
          <w:szCs w:val="21"/>
        </w:rPr>
        <w:t>合同份数</w:t>
      </w:r>
    </w:p>
    <w:p>
      <w:pPr>
        <w:snapToGrid w:val="0"/>
        <w:spacing w:line="288" w:lineRule="auto"/>
        <w:ind w:firstLine="420" w:firstLineChars="200"/>
        <w:rPr>
          <w:rFonts w:hint="eastAsia" w:ascii="宋体" w:hAnsi="宋体"/>
          <w:szCs w:val="21"/>
        </w:rPr>
      </w:pPr>
      <w:r>
        <w:rPr>
          <w:rFonts w:ascii="宋体" w:hAnsi="宋体"/>
          <w:szCs w:val="21"/>
        </w:rPr>
        <w:t>合同份数按合同专用条款规定</w:t>
      </w:r>
      <w:r>
        <w:rPr>
          <w:rFonts w:hint="eastAsia" w:ascii="宋体" w:hAnsi="宋体"/>
          <w:szCs w:val="21"/>
        </w:rPr>
        <w:t>，</w:t>
      </w:r>
      <w:r>
        <w:rPr>
          <w:rFonts w:ascii="宋体" w:hAnsi="宋体"/>
          <w:szCs w:val="21"/>
        </w:rPr>
        <w:t>每份均具有同等法律效力</w:t>
      </w:r>
      <w:r>
        <w:rPr>
          <w:rFonts w:hint="eastAsia" w:ascii="宋体" w:hAnsi="宋体"/>
          <w:szCs w:val="21"/>
        </w:rPr>
        <w:t>。</w:t>
      </w:r>
      <w:bookmarkStart w:id="511" w:name="_Toc331685784"/>
      <w:bookmarkEnd w:id="511"/>
    </w:p>
    <w:p>
      <w:pPr>
        <w:snapToGrid w:val="0"/>
        <w:spacing w:before="240" w:beforeLines="100" w:after="240" w:afterLines="100" w:line="288" w:lineRule="auto"/>
        <w:jc w:val="center"/>
        <w:rPr>
          <w:rFonts w:cs="宋体"/>
          <w:b/>
          <w:szCs w:val="21"/>
        </w:rPr>
      </w:pPr>
      <w:r>
        <w:rPr>
          <w:rFonts w:hint="eastAsia" w:cs="宋体"/>
          <w:b/>
          <w:szCs w:val="21"/>
        </w:rPr>
        <w:t>第三部分  合同专用条款</w:t>
      </w:r>
    </w:p>
    <w:p>
      <w:pPr>
        <w:snapToGrid w:val="0"/>
        <w:spacing w:line="288" w:lineRule="auto"/>
        <w:ind w:firstLine="420" w:firstLineChars="200"/>
        <w:rPr>
          <w:rFonts w:ascii="宋体" w:hAnsi="宋体" w:cs="宋体"/>
          <w:szCs w:val="21"/>
        </w:rPr>
      </w:pPr>
      <w:r>
        <w:rPr>
          <w:rFonts w:hint="eastAsia" w:ascii="宋体" w:hAnsi="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62"/>
        <w:gridCol w:w="7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center"/>
              <w:rPr>
                <w:rFonts w:ascii="宋体" w:hAnsi="宋体" w:cs="宋体"/>
                <w:b/>
                <w:szCs w:val="21"/>
              </w:rPr>
            </w:pPr>
            <w:r>
              <w:rPr>
                <w:rFonts w:hint="eastAsia" w:ascii="宋体" w:hAnsi="宋体" w:cs="宋体"/>
                <w:b/>
                <w:szCs w:val="21"/>
              </w:rPr>
              <w:t>条款号</w:t>
            </w:r>
          </w:p>
        </w:tc>
        <w:tc>
          <w:tcPr>
            <w:tcW w:w="4305" w:type="pct"/>
            <w:noWrap w:val="0"/>
            <w:vAlign w:val="center"/>
          </w:tcPr>
          <w:p>
            <w:pPr>
              <w:snapToGrid w:val="0"/>
              <w:spacing w:line="288" w:lineRule="auto"/>
              <w:jc w:val="center"/>
              <w:rPr>
                <w:rFonts w:ascii="宋体" w:hAnsi="宋体" w:cs="宋体"/>
                <w:b/>
                <w:szCs w:val="21"/>
              </w:rPr>
            </w:pPr>
            <w:r>
              <w:rPr>
                <w:rFonts w:hint="eastAsia" w:ascii="宋体" w:hAnsi="宋体" w:cs="宋体"/>
                <w:b/>
                <w:szCs w:val="21"/>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1.4.4</w:t>
            </w:r>
          </w:p>
        </w:tc>
        <w:tc>
          <w:tcPr>
            <w:tcW w:w="4305" w:type="pct"/>
            <w:noWrap w:val="0"/>
            <w:vAlign w:val="center"/>
          </w:tcPr>
          <w:p>
            <w:pPr>
              <w:snapToGrid w:val="0"/>
              <w:spacing w:line="288" w:lineRule="auto"/>
              <w:jc w:val="left"/>
              <w:rPr>
                <w:szCs w:val="21"/>
              </w:rPr>
            </w:pPr>
            <w:r>
              <w:rPr>
                <w:rFonts w:hAnsi="宋体"/>
                <w:szCs w:val="21"/>
              </w:rPr>
              <w:t>资金支付的方式、时间和条件：</w:t>
            </w:r>
            <w:r>
              <w:rPr>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1.5.1</w:t>
            </w:r>
          </w:p>
        </w:tc>
        <w:tc>
          <w:tcPr>
            <w:tcW w:w="4305" w:type="pct"/>
            <w:noWrap w:val="0"/>
            <w:vAlign w:val="center"/>
          </w:tcPr>
          <w:p>
            <w:pPr>
              <w:snapToGrid w:val="0"/>
              <w:spacing w:line="288" w:lineRule="auto"/>
              <w:jc w:val="left"/>
              <w:rPr>
                <w:szCs w:val="21"/>
              </w:rPr>
            </w:pPr>
            <w:r>
              <w:rPr>
                <w:rFonts w:hint="eastAsia" w:ascii="宋体" w:hAnsi="宋体"/>
                <w:szCs w:val="21"/>
              </w:rPr>
              <w:t>合同履行期限</w:t>
            </w:r>
            <w:r>
              <w:rPr>
                <w:rFonts w:ascii="宋体" w:hAnsi="宋体"/>
                <w:szCs w:val="21"/>
              </w:rPr>
              <w:t>：</w:t>
            </w:r>
            <w:r>
              <w:rPr>
                <w:rFonts w:hint="eastAsia" w:ascii="宋体" w:hAnsi="宋体"/>
                <w:b/>
                <w:i/>
                <w:szCs w:val="21"/>
                <w:u w:val="single"/>
              </w:rPr>
              <w:t xml:space="preserve">            </w:t>
            </w:r>
            <w:r>
              <w:rPr>
                <w:rFonts w:hint="eastAsia" w:ascii="宋体" w:hAnsi="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1.5.2</w:t>
            </w:r>
          </w:p>
        </w:tc>
        <w:tc>
          <w:tcPr>
            <w:tcW w:w="4305" w:type="pct"/>
            <w:noWrap w:val="0"/>
            <w:vAlign w:val="center"/>
          </w:tcPr>
          <w:p>
            <w:pPr>
              <w:snapToGrid w:val="0"/>
              <w:spacing w:line="288" w:lineRule="auto"/>
              <w:jc w:val="left"/>
              <w:rPr>
                <w:szCs w:val="21"/>
              </w:rPr>
            </w:pPr>
            <w:r>
              <w:rPr>
                <w:rFonts w:hAnsi="宋体"/>
                <w:szCs w:val="21"/>
              </w:rPr>
              <w:t>用户指定地点（所有运输费、运输保险费由卖方承担）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1.5.3</w:t>
            </w:r>
          </w:p>
        </w:tc>
        <w:tc>
          <w:tcPr>
            <w:tcW w:w="4305" w:type="pct"/>
            <w:noWrap w:val="0"/>
            <w:vAlign w:val="center"/>
          </w:tcPr>
          <w:p>
            <w:pPr>
              <w:snapToGrid w:val="0"/>
              <w:spacing w:line="288" w:lineRule="auto"/>
              <w:jc w:val="left"/>
              <w:rPr>
                <w:szCs w:val="21"/>
              </w:rPr>
            </w:pPr>
            <w:r>
              <w:rPr>
                <w:rFonts w:hint="eastAsia"/>
                <w:szCs w:val="21"/>
              </w:rPr>
              <w:t>按招标文件各相关要求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1.6.7</w:t>
            </w:r>
          </w:p>
        </w:tc>
        <w:tc>
          <w:tcPr>
            <w:tcW w:w="4305" w:type="pct"/>
            <w:noWrap w:val="0"/>
            <w:vAlign w:val="center"/>
          </w:tcPr>
          <w:p>
            <w:pPr>
              <w:snapToGrid w:val="0"/>
              <w:spacing w:line="288" w:lineRule="auto"/>
              <w:jc w:val="left"/>
              <w:rPr>
                <w:rFonts w:ascii="宋体" w:hAnsi="宋体" w:cs="宋体"/>
                <w:szCs w:val="21"/>
              </w:rPr>
            </w:pPr>
            <w:r>
              <w:rPr>
                <w:rFonts w:hint="eastAsia"/>
                <w:szCs w:val="21"/>
              </w:rPr>
              <w:t>按招标文件各相关要求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1.7</w:t>
            </w:r>
          </w:p>
        </w:tc>
        <w:tc>
          <w:tcPr>
            <w:tcW w:w="4305" w:type="pct"/>
            <w:noWrap w:val="0"/>
            <w:vAlign w:val="center"/>
          </w:tcPr>
          <w:p>
            <w:pPr>
              <w:snapToGrid w:val="0"/>
              <w:spacing w:line="288" w:lineRule="auto"/>
              <w:jc w:val="left"/>
              <w:rPr>
                <w:rFonts w:ascii="宋体" w:hAnsi="宋体" w:cs="宋体"/>
                <w:szCs w:val="21"/>
              </w:rPr>
            </w:pPr>
            <w:r>
              <w:rPr>
                <w:rFonts w:hint="eastAsia" w:ascii="宋体" w:hAnsi="宋体" w:cs="宋体"/>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1.7.1</w:t>
            </w:r>
          </w:p>
        </w:tc>
        <w:tc>
          <w:tcPr>
            <w:tcW w:w="4305" w:type="pct"/>
            <w:noWrap w:val="0"/>
            <w:vAlign w:val="center"/>
          </w:tcPr>
          <w:p>
            <w:pPr>
              <w:snapToGrid w:val="0"/>
              <w:spacing w:line="288" w:lineRule="auto"/>
              <w:jc w:val="left"/>
              <w:rPr>
                <w:rFonts w:hint="eastAsia" w:ascii="宋体" w:hAnsi="宋体" w:cs="宋体"/>
                <w:szCs w:val="21"/>
              </w:rPr>
            </w:pPr>
            <w:r>
              <w:rPr>
                <w:rFonts w:hint="eastAsia" w:ascii="宋体"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1.7.2</w:t>
            </w:r>
          </w:p>
        </w:tc>
        <w:tc>
          <w:tcPr>
            <w:tcW w:w="4305" w:type="pct"/>
            <w:noWrap w:val="0"/>
            <w:vAlign w:val="center"/>
          </w:tcPr>
          <w:p>
            <w:pPr>
              <w:snapToGrid w:val="0"/>
              <w:spacing w:line="288" w:lineRule="auto"/>
              <w:jc w:val="left"/>
              <w:rPr>
                <w:rFonts w:ascii="宋体" w:hAnsi="宋体" w:cs="宋体"/>
                <w:szCs w:val="21"/>
              </w:rPr>
            </w:pPr>
            <w:r>
              <w:rPr>
                <w:rFonts w:hint="eastAsia" w:ascii="宋体" w:hAnsi="宋体" w:cs="宋体"/>
                <w:szCs w:val="21"/>
              </w:rPr>
              <w:t>采购人所在地的区或县级人民法院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2.3.2</w:t>
            </w:r>
          </w:p>
        </w:tc>
        <w:tc>
          <w:tcPr>
            <w:tcW w:w="4305" w:type="pct"/>
            <w:noWrap w:val="0"/>
            <w:vAlign w:val="center"/>
          </w:tcPr>
          <w:p>
            <w:pPr>
              <w:snapToGrid w:val="0"/>
              <w:spacing w:line="288" w:lineRule="auto"/>
              <w:ind w:left="-420" w:leftChars="-200" w:right="-420" w:rightChars="-200" w:firstLine="420" w:firstLineChars="200"/>
              <w:jc w:val="left"/>
              <w:rPr>
                <w:rFonts w:ascii="宋体" w:hAnsi="宋体" w:cs="宋体"/>
                <w:szCs w:val="21"/>
              </w:rPr>
            </w:pPr>
            <w:r>
              <w:rPr>
                <w:rFonts w:hAnsi="宋体"/>
                <w:szCs w:val="21"/>
              </w:rPr>
              <w:t>所有知识产权纠纷责任人归于</w:t>
            </w:r>
            <w:r>
              <w:rPr>
                <w:rFonts w:hint="eastAsia" w:hAnsi="宋体"/>
                <w:szCs w:val="21"/>
              </w:rPr>
              <w:t>卖</w:t>
            </w:r>
            <w:r>
              <w:rPr>
                <w:rFonts w:hAnsi="宋体"/>
                <w:szCs w:val="21"/>
              </w:rPr>
              <w:t>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2.</w:t>
            </w:r>
            <w:r>
              <w:rPr>
                <w:rFonts w:ascii="宋体" w:hAnsi="宋体" w:cs="宋体"/>
                <w:szCs w:val="21"/>
              </w:rPr>
              <w:t>5</w:t>
            </w:r>
          </w:p>
        </w:tc>
        <w:tc>
          <w:tcPr>
            <w:tcW w:w="4305" w:type="pct"/>
            <w:noWrap w:val="0"/>
            <w:vAlign w:val="center"/>
          </w:tcPr>
          <w:p>
            <w:pPr>
              <w:snapToGrid w:val="0"/>
              <w:spacing w:line="288" w:lineRule="auto"/>
              <w:ind w:left="-420" w:leftChars="-200" w:right="-420" w:rightChars="-200" w:firstLine="420" w:firstLineChars="200"/>
              <w:jc w:val="left"/>
              <w:rPr>
                <w:rFonts w:ascii="宋体" w:hAnsi="宋体" w:cs="宋体"/>
                <w:szCs w:val="21"/>
              </w:rPr>
            </w:pPr>
            <w:r>
              <w:rPr>
                <w:rFonts w:hint="eastAsia" w:ascii="宋体" w:hAnsi="宋体" w:cs="宋体"/>
                <w:szCs w:val="21"/>
              </w:rPr>
              <w:t>见1.4.4款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2.</w:t>
            </w:r>
            <w:r>
              <w:rPr>
                <w:rFonts w:ascii="宋体" w:hAnsi="宋体" w:cs="宋体"/>
                <w:szCs w:val="21"/>
              </w:rPr>
              <w:t>11</w:t>
            </w:r>
            <w:r>
              <w:rPr>
                <w:rFonts w:hint="eastAsia" w:ascii="宋体" w:hAnsi="宋体" w:cs="宋体"/>
                <w:szCs w:val="21"/>
              </w:rPr>
              <w:t>.</w:t>
            </w:r>
            <w:r>
              <w:rPr>
                <w:rFonts w:ascii="宋体" w:hAnsi="宋体" w:cs="宋体"/>
                <w:szCs w:val="21"/>
              </w:rPr>
              <w:t>3</w:t>
            </w:r>
          </w:p>
        </w:tc>
        <w:tc>
          <w:tcPr>
            <w:tcW w:w="4305" w:type="pct"/>
            <w:noWrap w:val="0"/>
            <w:vAlign w:val="center"/>
          </w:tcPr>
          <w:p>
            <w:pPr>
              <w:snapToGrid w:val="0"/>
              <w:spacing w:line="288" w:lineRule="auto"/>
              <w:jc w:val="left"/>
              <w:rPr>
                <w:szCs w:val="21"/>
              </w:rPr>
            </w:pPr>
            <w:r>
              <w:rPr>
                <w:rFonts w:hAnsi="宋体"/>
                <w:szCs w:val="21"/>
              </w:rPr>
              <w:t>双方当事人应在</w:t>
            </w:r>
            <w:r>
              <w:rPr>
                <w:szCs w:val="21"/>
              </w:rPr>
              <w:t>30</w:t>
            </w:r>
            <w:r>
              <w:rPr>
                <w:rFonts w:hAnsi="宋体"/>
                <w:szCs w:val="21"/>
              </w:rPr>
              <w:t>个工作日内以书面形式变更合同</w:t>
            </w:r>
            <w:r>
              <w:rPr>
                <w:szCs w:val="21"/>
              </w:rPr>
              <w:t xml:space="preserve"> </w:t>
            </w:r>
            <w:r>
              <w:rPr>
                <w:rFonts w:hAnsi="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2.</w:t>
            </w:r>
            <w:r>
              <w:rPr>
                <w:rFonts w:ascii="宋体" w:hAnsi="宋体" w:cs="宋体"/>
                <w:szCs w:val="21"/>
              </w:rPr>
              <w:t>11.4</w:t>
            </w:r>
          </w:p>
        </w:tc>
        <w:tc>
          <w:tcPr>
            <w:tcW w:w="4305" w:type="pct"/>
            <w:noWrap w:val="0"/>
            <w:vAlign w:val="center"/>
          </w:tcPr>
          <w:p>
            <w:pPr>
              <w:snapToGrid w:val="0"/>
              <w:spacing w:line="288" w:lineRule="auto"/>
              <w:jc w:val="left"/>
              <w:rPr>
                <w:szCs w:val="21"/>
              </w:rPr>
            </w:pPr>
            <w:r>
              <w:rPr>
                <w:rFonts w:hAnsi="宋体"/>
                <w:szCs w:val="21"/>
              </w:rPr>
              <w:t>应在</w:t>
            </w:r>
            <w:r>
              <w:rPr>
                <w:szCs w:val="21"/>
              </w:rPr>
              <w:t>60</w:t>
            </w:r>
            <w:r>
              <w:rPr>
                <w:rFonts w:hAnsi="宋体"/>
                <w:szCs w:val="21"/>
              </w:rPr>
              <w:t>个工作日内以书面形式通知对方当事人，并在</w:t>
            </w:r>
            <w:r>
              <w:rPr>
                <w:szCs w:val="21"/>
              </w:rPr>
              <w:t>60</w:t>
            </w:r>
            <w:r>
              <w:rPr>
                <w:rFonts w:hAnsi="宋体"/>
                <w:szCs w:val="21"/>
              </w:rPr>
              <w:t>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2.</w:t>
            </w:r>
            <w:r>
              <w:rPr>
                <w:rFonts w:ascii="宋体" w:hAnsi="宋体" w:cs="宋体"/>
                <w:szCs w:val="21"/>
              </w:rPr>
              <w:t>15</w:t>
            </w:r>
            <w:r>
              <w:rPr>
                <w:rFonts w:hint="eastAsia" w:ascii="宋体" w:hAnsi="宋体" w:cs="宋体"/>
                <w:szCs w:val="21"/>
              </w:rPr>
              <w:t>.</w:t>
            </w:r>
            <w:r>
              <w:rPr>
                <w:rFonts w:ascii="宋体" w:hAnsi="宋体" w:cs="宋体"/>
                <w:szCs w:val="21"/>
              </w:rPr>
              <w:t>1</w:t>
            </w:r>
          </w:p>
        </w:tc>
        <w:tc>
          <w:tcPr>
            <w:tcW w:w="4305" w:type="pct"/>
            <w:noWrap w:val="0"/>
            <w:vAlign w:val="center"/>
          </w:tcPr>
          <w:p>
            <w:pPr>
              <w:snapToGrid w:val="0"/>
              <w:spacing w:line="288" w:lineRule="auto"/>
              <w:jc w:val="left"/>
              <w:rPr>
                <w:szCs w:val="21"/>
              </w:rPr>
            </w:pPr>
            <w:r>
              <w:rPr>
                <w:rFonts w:hint="eastAsia"/>
                <w:szCs w:val="21"/>
              </w:rPr>
              <w:t>按招标文件规定及投标文件响应条款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2.</w:t>
            </w:r>
            <w:r>
              <w:rPr>
                <w:rFonts w:ascii="宋体" w:hAnsi="宋体" w:cs="宋体"/>
                <w:szCs w:val="21"/>
              </w:rPr>
              <w:t>15</w:t>
            </w:r>
            <w:r>
              <w:rPr>
                <w:rFonts w:hint="eastAsia" w:ascii="宋体" w:hAnsi="宋体" w:cs="宋体"/>
                <w:szCs w:val="21"/>
              </w:rPr>
              <w:t>.</w:t>
            </w:r>
            <w:r>
              <w:rPr>
                <w:rFonts w:ascii="宋体" w:hAnsi="宋体" w:cs="宋体"/>
                <w:szCs w:val="21"/>
              </w:rPr>
              <w:t>3</w:t>
            </w:r>
          </w:p>
        </w:tc>
        <w:tc>
          <w:tcPr>
            <w:tcW w:w="4305" w:type="pct"/>
            <w:noWrap w:val="0"/>
            <w:vAlign w:val="center"/>
          </w:tcPr>
          <w:p>
            <w:pPr>
              <w:snapToGrid w:val="0"/>
              <w:spacing w:line="288" w:lineRule="auto"/>
              <w:jc w:val="left"/>
              <w:rPr>
                <w:rFonts w:ascii="宋体" w:hAnsi="宋体" w:cs="宋体"/>
                <w:szCs w:val="21"/>
              </w:rPr>
            </w:pPr>
            <w:r>
              <w:rPr>
                <w:rFonts w:hint="eastAsia"/>
                <w:szCs w:val="21"/>
              </w:rPr>
              <w:t>按招标文件规定及投标文件响应条款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2.1</w:t>
            </w:r>
            <w:r>
              <w:rPr>
                <w:rFonts w:ascii="宋体" w:hAnsi="宋体" w:cs="宋体"/>
                <w:szCs w:val="21"/>
              </w:rPr>
              <w:t>8</w:t>
            </w:r>
            <w:r>
              <w:rPr>
                <w:rFonts w:hint="eastAsia" w:ascii="宋体" w:hAnsi="宋体" w:cs="宋体"/>
                <w:szCs w:val="21"/>
              </w:rPr>
              <w:t>.1</w:t>
            </w:r>
          </w:p>
        </w:tc>
        <w:tc>
          <w:tcPr>
            <w:tcW w:w="4305" w:type="pct"/>
            <w:noWrap w:val="0"/>
            <w:vAlign w:val="center"/>
          </w:tcPr>
          <w:p>
            <w:pPr>
              <w:snapToGrid w:val="0"/>
              <w:spacing w:line="288" w:lineRule="auto"/>
              <w:jc w:val="left"/>
              <w:rPr>
                <w:rFonts w:ascii="宋体" w:hAnsi="宋体" w:cs="宋体"/>
                <w:szCs w:val="21"/>
              </w:rPr>
            </w:pPr>
            <w:r>
              <w:rPr>
                <w:rFonts w:hint="eastAsia"/>
                <w:szCs w:val="21"/>
              </w:rPr>
              <w:t>按招标文件规定及投标文件响应条款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2.1</w:t>
            </w:r>
            <w:r>
              <w:rPr>
                <w:rFonts w:ascii="宋体" w:hAnsi="宋体" w:cs="宋体"/>
                <w:szCs w:val="21"/>
              </w:rPr>
              <w:t>8</w:t>
            </w:r>
            <w:r>
              <w:rPr>
                <w:rFonts w:hint="eastAsia" w:ascii="宋体" w:hAnsi="宋体" w:cs="宋体"/>
                <w:szCs w:val="21"/>
              </w:rPr>
              <w:t>.</w:t>
            </w:r>
            <w:r>
              <w:rPr>
                <w:rFonts w:ascii="宋体" w:hAnsi="宋体" w:cs="宋体"/>
                <w:szCs w:val="21"/>
              </w:rPr>
              <w:t>2</w:t>
            </w:r>
          </w:p>
        </w:tc>
        <w:tc>
          <w:tcPr>
            <w:tcW w:w="4305" w:type="pct"/>
            <w:noWrap w:val="0"/>
            <w:vAlign w:val="center"/>
          </w:tcPr>
          <w:p>
            <w:pPr>
              <w:snapToGrid w:val="0"/>
              <w:spacing w:line="288" w:lineRule="auto"/>
              <w:jc w:val="left"/>
              <w:rPr>
                <w:rFonts w:ascii="宋体" w:hAnsi="宋体" w:cs="宋体"/>
                <w:szCs w:val="21"/>
              </w:rPr>
            </w:pPr>
            <w:r>
              <w:rPr>
                <w:rFonts w:hint="eastAsia" w:ascii="宋体" w:hAnsi="宋体" w:cs="宋体"/>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510" w:hRule="atLeast"/>
          <w:jc w:val="center"/>
        </w:trPr>
        <w:tc>
          <w:tcPr>
            <w:tcW w:w="695" w:type="pct"/>
            <w:tcBorders>
              <w:left w:val="single" w:color="auto" w:sz="4" w:space="0"/>
            </w:tcBorders>
            <w:noWrap w:val="0"/>
            <w:vAlign w:val="center"/>
          </w:tcPr>
          <w:p>
            <w:pPr>
              <w:snapToGrid w:val="0"/>
              <w:spacing w:line="288" w:lineRule="auto"/>
              <w:jc w:val="left"/>
              <w:rPr>
                <w:rFonts w:ascii="宋体" w:hAnsi="宋体" w:cs="宋体"/>
                <w:szCs w:val="21"/>
              </w:rPr>
            </w:pPr>
            <w:r>
              <w:rPr>
                <w:rFonts w:hint="eastAsia" w:ascii="宋体" w:hAnsi="宋体" w:cs="宋体"/>
                <w:szCs w:val="21"/>
              </w:rPr>
              <w:t>2.20</w:t>
            </w:r>
          </w:p>
        </w:tc>
        <w:tc>
          <w:tcPr>
            <w:tcW w:w="4305" w:type="pct"/>
            <w:noWrap w:val="0"/>
            <w:vAlign w:val="center"/>
          </w:tcPr>
          <w:p>
            <w:pPr>
              <w:snapToGrid w:val="0"/>
              <w:spacing w:line="288" w:lineRule="auto"/>
              <w:jc w:val="left"/>
              <w:rPr>
                <w:rFonts w:ascii="宋体" w:hAnsi="宋体" w:cs="宋体"/>
                <w:szCs w:val="21"/>
              </w:rPr>
            </w:pPr>
            <w:r>
              <w:rPr>
                <w:rFonts w:hAnsi="宋体"/>
                <w:szCs w:val="21"/>
              </w:rPr>
              <w:t>本合同一式五份，甲乙双方各执二份，另一份交鉴证方备案，每份均具有同等法律效力。</w:t>
            </w:r>
          </w:p>
        </w:tc>
      </w:tr>
    </w:tbl>
    <w:p>
      <w:pPr>
        <w:widowControl/>
        <w:adjustRightInd/>
        <w:jc w:val="left"/>
        <w:rPr>
          <w:rFonts w:hint="eastAsia" w:hAnsi="宋体"/>
          <w:szCs w:val="21"/>
        </w:rPr>
      </w:pPr>
      <w:r>
        <w:rPr>
          <w:rFonts w:hint="eastAsia" w:hAnsi="宋体"/>
          <w:szCs w:val="21"/>
        </w:rPr>
        <w:t>注：以上条款在签定合同时可按项目实际情况进行修改或补充。</w:t>
      </w:r>
    </w:p>
    <w:p>
      <w:pPr>
        <w:pStyle w:val="2"/>
        <w:rPr>
          <w:lang w:val="en-US"/>
        </w:rPr>
      </w:pPr>
    </w:p>
    <w:p>
      <w:pPr>
        <w:spacing w:line="360" w:lineRule="auto"/>
        <w:jc w:val="center"/>
        <w:outlineLvl w:val="0"/>
        <w:rPr>
          <w:rFonts w:ascii="宋体" w:hAnsi="宋体" w:cs="宋体"/>
          <w:b/>
          <w:sz w:val="36"/>
          <w:szCs w:val="20"/>
        </w:rPr>
        <w:sectPr>
          <w:pgSz w:w="11906" w:h="16838"/>
          <w:pgMar w:top="1440" w:right="1800" w:bottom="1440" w:left="1800" w:header="851" w:footer="992" w:gutter="0"/>
          <w:cols w:space="720" w:num="1"/>
          <w:titlePg/>
          <w:docGrid w:linePitch="312" w:charSpace="0"/>
        </w:sectPr>
      </w:pPr>
    </w:p>
    <w:p>
      <w:pPr>
        <w:adjustRightInd/>
        <w:spacing w:before="480" w:beforeLines="200" w:after="240" w:afterLines="100" w:line="360" w:lineRule="auto"/>
        <w:jc w:val="center"/>
        <w:rPr>
          <w:rFonts w:ascii="宋体" w:hAnsi="宋体"/>
          <w:b/>
          <w:sz w:val="36"/>
          <w:szCs w:val="36"/>
        </w:rPr>
      </w:pPr>
      <w:r>
        <w:rPr>
          <w:rFonts w:hint="eastAsia" w:ascii="宋体" w:hAnsi="宋体"/>
          <w:b/>
          <w:sz w:val="36"/>
          <w:szCs w:val="36"/>
        </w:rPr>
        <w:t>第六部分</w:t>
      </w:r>
      <w:bookmarkEnd w:id="398"/>
      <w:bookmarkEnd w:id="399"/>
      <w:r>
        <w:rPr>
          <w:rFonts w:hint="eastAsia" w:ascii="宋体" w:hAnsi="宋体"/>
          <w:b/>
          <w:sz w:val="36"/>
          <w:szCs w:val="36"/>
        </w:rPr>
        <w:t xml:space="preserve"> 应提交的有关格式范例</w:t>
      </w:r>
    </w:p>
    <w:p>
      <w:pPr>
        <w:spacing w:line="360" w:lineRule="auto"/>
        <w:jc w:val="center"/>
        <w:outlineLvl w:val="0"/>
        <w:rPr>
          <w:rFonts w:ascii="宋体" w:hAnsi="宋体" w:cs="宋体"/>
          <w:b/>
          <w:kern w:val="0"/>
          <w:sz w:val="32"/>
          <w:szCs w:val="32"/>
        </w:rPr>
      </w:pPr>
    </w:p>
    <w:p>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资格文件部分</w:t>
      </w:r>
    </w:p>
    <w:p>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目录</w:t>
      </w:r>
    </w:p>
    <w:p>
      <w:pPr>
        <w:spacing w:line="360" w:lineRule="auto"/>
        <w:jc w:val="center"/>
        <w:outlineLvl w:val="0"/>
        <w:rPr>
          <w:rFonts w:ascii="宋体" w:hAnsi="宋体" w:cs="宋体"/>
          <w:b/>
          <w:kern w:val="0"/>
          <w:sz w:val="32"/>
          <w:szCs w:val="32"/>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（1）符合参加政府采购活动应当具备的一般条件的承诺函……………（页码）（2）</w:t>
      </w:r>
      <w:r>
        <w:rPr>
          <w:rFonts w:ascii="宋体" w:hAnsi="宋体" w:cs="宋体"/>
          <w:sz w:val="24"/>
        </w:rPr>
        <w:t>法人或者其他组织的营业执照等证明文件，自然人的身份证明</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napToGrid w:val="0"/>
          <w:kern w:val="28"/>
          <w:sz w:val="24"/>
          <w:szCs w:val="20"/>
        </w:rPr>
        <w:t>（3）联合协议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（4）落实政府采购政策需满足的资格要求………………………………（页码）</w:t>
      </w:r>
    </w:p>
    <w:p>
      <w:pPr>
        <w:snapToGrid w:val="0"/>
        <w:spacing w:line="360" w:lineRule="auto"/>
        <w:rPr>
          <w:rFonts w:ascii="宋体" w:hAnsi="宋体" w:cs="宋体"/>
          <w:sz w:val="24"/>
        </w:rPr>
      </w:pPr>
      <w:r>
        <w:rPr>
          <w:rFonts w:hint="eastAsia" w:ascii="宋体" w:hAnsi="宋体" w:cs="宋体"/>
          <w:sz w:val="24"/>
        </w:rPr>
        <w:t>（5）本项目的特定资格要求………………………………………………（页码）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before="480" w:beforeLines="200" w:after="480" w:afterLines="200"/>
        <w:jc w:val="center"/>
        <w:rPr>
          <w:rFonts w:ascii="宋体" w:hAnsi="宋体" w:cs="宋体"/>
          <w:b/>
          <w:kern w:val="0"/>
          <w:sz w:val="28"/>
          <w:szCs w:val="28"/>
        </w:rPr>
      </w:pPr>
      <w:r>
        <w:rPr>
          <w:rFonts w:hint="eastAsia" w:ascii="宋体" w:hAnsi="宋体" w:cs="宋体"/>
          <w:kern w:val="0"/>
          <w:sz w:val="24"/>
        </w:rPr>
        <w:br w:type="page"/>
      </w:r>
      <w:r>
        <w:rPr>
          <w:rFonts w:hint="eastAsia" w:ascii="宋体" w:hAnsi="宋体" w:cs="宋体"/>
          <w:b/>
          <w:kern w:val="0"/>
          <w:sz w:val="28"/>
          <w:szCs w:val="28"/>
        </w:rPr>
        <w:t>一、符合参加政府采购活动应当具备的一般条件的承诺函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      】政府采购活动，郑重承诺：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480" w:firstLineChars="200"/>
        <w:rPr>
          <w:rFonts w:ascii="宋体" w:hAnsi="宋体" w:cs="宋体"/>
          <w:sz w:val="24"/>
        </w:rPr>
      </w:pPr>
      <w:r>
        <w:rPr>
          <w:rFonts w:hint="eastAsia" w:ascii="宋体" w:hAnsi="宋体" w:cs="宋体"/>
          <w:sz w:val="24"/>
        </w:rPr>
        <w:t>3、公益一类事业单位。</w:t>
      </w:r>
    </w:p>
    <w:p>
      <w:pPr>
        <w:snapToGrid w:val="0"/>
        <w:spacing w:line="360" w:lineRule="auto"/>
        <w:ind w:firstLine="5520" w:firstLineChars="2300"/>
        <w:rPr>
          <w:rFonts w:hint="eastAsia" w:ascii="宋体" w:hAnsi="宋体" w:cs="宋体"/>
          <w:kern w:val="0"/>
          <w:sz w:val="24"/>
          <w:lang w:val="zh-CN"/>
        </w:rPr>
      </w:pPr>
    </w:p>
    <w:p>
      <w:pPr>
        <w:snapToGrid w:val="0"/>
        <w:spacing w:line="360" w:lineRule="auto"/>
        <w:ind w:firstLine="5520" w:firstLineChars="2300"/>
        <w:rPr>
          <w:rFonts w:hint="eastAsia" w:ascii="宋体" w:hAnsi="宋体" w:cs="宋体"/>
          <w:kern w:val="0"/>
          <w:sz w:val="24"/>
          <w:lang w:val="zh-CN"/>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hint="eastAsia" w:ascii="宋体" w:hAnsi="宋体" w:cs="宋体"/>
          <w:kern w:val="0"/>
          <w:sz w:val="24"/>
          <w:lang w:val="zh-CN"/>
        </w:rPr>
      </w:pPr>
    </w:p>
    <w:p>
      <w:pPr>
        <w:snapToGrid w:val="0"/>
        <w:spacing w:line="360" w:lineRule="auto"/>
        <w:ind w:firstLine="5520" w:firstLineChars="230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pPr>
        <w:pStyle w:val="2"/>
      </w:pPr>
    </w:p>
    <w:p>
      <w:pPr>
        <w:snapToGrid w:val="0"/>
        <w:spacing w:line="360" w:lineRule="auto"/>
        <w:ind w:right="480"/>
        <w:rPr>
          <w:rFonts w:ascii="宋体" w:hAnsi="宋体" w:cs="宋体"/>
          <w:b/>
          <w:kern w:val="0"/>
          <w:sz w:val="24"/>
        </w:rPr>
      </w:pPr>
      <w:r>
        <w:rPr>
          <w:rFonts w:hint="eastAsia" w:ascii="宋体" w:hAnsi="宋体" w:cs="宋体"/>
          <w:b/>
          <w:kern w:val="0"/>
          <w:sz w:val="24"/>
        </w:rPr>
        <w:t>附：</w:t>
      </w:r>
      <w:r>
        <w:rPr>
          <w:rFonts w:ascii="宋体" w:hAnsi="宋体" w:cs="宋体"/>
          <w:b/>
          <w:kern w:val="0"/>
          <w:sz w:val="24"/>
        </w:rPr>
        <w:t>法人或者其他组织的营业执照等证明文件，自然人的身份证明；</w:t>
      </w:r>
    </w:p>
    <w:p>
      <w:pPr>
        <w:snapToGrid w:val="0"/>
        <w:spacing w:before="480" w:beforeLines="200" w:after="480" w:afterLines="200"/>
        <w:jc w:val="center"/>
        <w:rPr>
          <w:rFonts w:ascii="宋体" w:hAnsi="宋体" w:cs="宋体"/>
          <w:b/>
          <w:kern w:val="0"/>
          <w:sz w:val="28"/>
          <w:szCs w:val="28"/>
        </w:rPr>
      </w:pPr>
      <w:r>
        <w:rPr>
          <w:rFonts w:ascii="宋体" w:hAnsi="宋体" w:cs="宋体"/>
          <w:b/>
          <w:kern w:val="0"/>
          <w:sz w:val="32"/>
          <w:szCs w:val="32"/>
        </w:rPr>
        <w:br w:type="page"/>
      </w:r>
      <w:r>
        <w:rPr>
          <w:rFonts w:hint="eastAsia" w:ascii="宋体" w:hAnsi="宋体" w:cs="宋体"/>
          <w:b/>
          <w:kern w:val="0"/>
          <w:sz w:val="28"/>
          <w:szCs w:val="28"/>
        </w:rPr>
        <w:t>二、联合协议（如果有）</w:t>
      </w:r>
    </w:p>
    <w:p>
      <w:pPr>
        <w:widowControl/>
        <w:spacing w:line="360" w:lineRule="auto"/>
        <w:ind w:firstLine="480" w:firstLineChars="200"/>
        <w:jc w:val="left"/>
        <w:rPr>
          <w:rFonts w:ascii="宋体" w:hAnsi="宋体" w:cs="宋体"/>
          <w:sz w:val="24"/>
        </w:rPr>
      </w:pPr>
      <w:r>
        <w:rPr>
          <w:rFonts w:hint="eastAsia" w:ascii="宋体" w:hAnsi="宋体" w:cs="宋体"/>
          <w:sz w:val="24"/>
        </w:rPr>
        <w:t>[以联合体形式投标的，提供联合协议（附件5）；本项目不接受联合体投标或者投标人不以联合体形式投标的，则不需要提供）]</w:t>
      </w:r>
    </w:p>
    <w:p>
      <w:pPr>
        <w:snapToGrid w:val="0"/>
        <w:spacing w:before="480" w:beforeLines="200" w:after="480" w:afterLines="200"/>
        <w:jc w:val="center"/>
        <w:rPr>
          <w:rFonts w:ascii="宋体" w:hAnsi="宋体" w:cs="宋体"/>
          <w:b/>
          <w:kern w:val="0"/>
          <w:sz w:val="28"/>
          <w:szCs w:val="28"/>
        </w:rPr>
      </w:pPr>
      <w:r>
        <w:rPr>
          <w:rFonts w:hint="eastAsia" w:ascii="宋体" w:hAnsi="宋体" w:cs="宋体"/>
          <w:b/>
          <w:kern w:val="0"/>
          <w:sz w:val="28"/>
          <w:szCs w:val="28"/>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color w:val="FF0000"/>
          <w:sz w:val="24"/>
        </w:rPr>
      </w:pPr>
      <w:r>
        <w:rPr>
          <w:rFonts w:hint="eastAsia" w:ascii="宋体" w:hAnsi="宋体" w:cs="宋体"/>
          <w:b/>
          <w:color w:val="FF0000"/>
          <w:sz w:val="24"/>
        </w:rPr>
        <w:t>A</w:t>
      </w:r>
      <w:r>
        <w:rPr>
          <w:rFonts w:hint="eastAsia" w:ascii="宋体" w:hAnsi="宋体" w:cs="宋体"/>
          <w:color w:val="FF0000"/>
          <w:sz w:val="24"/>
        </w:rPr>
        <w:t>.专门面向中小企业，服务全部由符合政策要求的中小企业（或小微企业）承接的，提供相应的中小企业声明函（附件</w:t>
      </w:r>
      <w:r>
        <w:rPr>
          <w:rFonts w:ascii="宋体" w:hAnsi="宋体" w:cs="宋体"/>
          <w:color w:val="FF0000"/>
          <w:sz w:val="24"/>
        </w:rPr>
        <w:t>7</w:t>
      </w:r>
      <w:r>
        <w:rPr>
          <w:rFonts w:hint="eastAsia" w:ascii="宋体" w:hAnsi="宋体" w:cs="宋体"/>
          <w:color w:val="FF0000"/>
          <w:sz w:val="24"/>
        </w:rPr>
        <w:t xml:space="preserve">）。 </w:t>
      </w:r>
    </w:p>
    <w:p>
      <w:pPr>
        <w:pStyle w:val="2"/>
        <w:rPr>
          <w:lang w:val="en-US"/>
        </w:rPr>
      </w:pPr>
    </w:p>
    <w:p>
      <w:pPr>
        <w:spacing w:line="360" w:lineRule="auto"/>
        <w:rPr>
          <w:rFonts w:hint="eastAsia" w:ascii="宋体" w:hAnsi="宋体" w:cs="宋体"/>
          <w:b/>
          <w:spacing w:val="6"/>
          <w:sz w:val="28"/>
          <w:szCs w:val="28"/>
        </w:rPr>
      </w:pPr>
      <w:r>
        <w:rPr>
          <w:rFonts w:hint="eastAsia" w:ascii="宋体" w:hAnsi="宋体" w:cs="宋体"/>
          <w:b/>
          <w:spacing w:val="6"/>
          <w:sz w:val="28"/>
          <w:szCs w:val="28"/>
        </w:rPr>
        <w:t>附件</w:t>
      </w:r>
      <w:r>
        <w:rPr>
          <w:rFonts w:ascii="宋体" w:hAnsi="宋体" w:cs="宋体"/>
          <w:b/>
          <w:spacing w:val="6"/>
          <w:sz w:val="28"/>
          <w:szCs w:val="28"/>
        </w:rPr>
        <w:t>7</w:t>
      </w:r>
      <w:r>
        <w:rPr>
          <w:rFonts w:hint="eastAsia" w:ascii="宋体" w:hAnsi="宋体" w:cs="宋体"/>
          <w:b/>
          <w:spacing w:val="6"/>
          <w:sz w:val="28"/>
          <w:szCs w:val="28"/>
        </w:rPr>
        <w:t>：</w:t>
      </w:r>
    </w:p>
    <w:p>
      <w:pPr>
        <w:spacing w:before="480" w:beforeLines="200" w:after="480" w:afterLines="200"/>
        <w:jc w:val="center"/>
        <w:rPr>
          <w:rFonts w:ascii="宋体" w:hAnsi="宋体" w:cs="宋体"/>
          <w:b/>
          <w:spacing w:val="6"/>
          <w:sz w:val="28"/>
          <w:szCs w:val="28"/>
        </w:rPr>
      </w:pPr>
      <w:r>
        <w:rPr>
          <w:rFonts w:hint="eastAsia" w:ascii="宋体" w:hAnsi="宋体" w:cs="宋体"/>
          <w:b/>
          <w:spacing w:val="6"/>
          <w:sz w:val="28"/>
          <w:szCs w:val="28"/>
        </w:rPr>
        <w:t>中小企业声明函（服务）</w:t>
      </w:r>
    </w:p>
    <w:p>
      <w:pPr>
        <w:spacing w:line="360" w:lineRule="auto"/>
        <w:ind w:firstLine="480" w:firstLineChars="20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（采购人）</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200"/>
        <w:jc w:val="left"/>
        <w:rPr>
          <w:rFonts w:hint="eastAsia" w:ascii="宋体" w:hAnsi="宋体" w:cs="宋体"/>
          <w:sz w:val="24"/>
        </w:rPr>
      </w:pPr>
    </w:p>
    <w:p>
      <w:pPr>
        <w:spacing w:line="360" w:lineRule="auto"/>
        <w:ind w:firstLine="200"/>
        <w:jc w:val="left"/>
        <w:rPr>
          <w:rFonts w:hint="eastAsia" w:ascii="宋体" w:hAnsi="宋体" w:cs="宋体"/>
          <w:sz w:val="24"/>
        </w:rPr>
      </w:pPr>
    </w:p>
    <w:p>
      <w:pPr>
        <w:spacing w:line="360" w:lineRule="auto"/>
        <w:jc w:val="lef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投标人名称（电子签名）：</w:t>
      </w:r>
    </w:p>
    <w:p>
      <w:pPr>
        <w:spacing w:line="360" w:lineRule="auto"/>
        <w:ind w:firstLine="200"/>
        <w:jc w:val="left"/>
        <w:rPr>
          <w:rFonts w:hint="eastAsia" w:ascii="宋体" w:hAnsi="宋体" w:cs="宋体"/>
          <w:sz w:val="24"/>
        </w:rPr>
      </w:pPr>
    </w:p>
    <w:p>
      <w:pPr>
        <w:spacing w:line="360" w:lineRule="auto"/>
        <w:jc w:val="left"/>
        <w:rPr>
          <w:rFonts w:ascii="宋体" w:hAnsi="宋体" w:cs="宋体"/>
          <w:sz w:val="24"/>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ind w:firstLine="200"/>
        <w:jc w:val="left"/>
        <w:rPr>
          <w:rFonts w:hint="eastAsia" w:ascii="宋体" w:hAnsi="宋体" w:cs="宋体"/>
          <w:b/>
          <w:sz w:val="24"/>
        </w:rPr>
      </w:pPr>
    </w:p>
    <w:p>
      <w:pPr>
        <w:spacing w:line="360" w:lineRule="auto"/>
        <w:ind w:firstLine="200"/>
        <w:jc w:val="left"/>
        <w:rPr>
          <w:rFonts w:hint="eastAsia" w:ascii="宋体" w:hAnsi="宋体" w:cs="宋体"/>
          <w:b/>
          <w:sz w:val="24"/>
        </w:rPr>
      </w:pPr>
    </w:p>
    <w:p>
      <w:pPr>
        <w:spacing w:line="360" w:lineRule="auto"/>
        <w:jc w:val="left"/>
        <w:rPr>
          <w:rFonts w:ascii="宋体" w:hAnsi="宋体" w:cs="宋体"/>
          <w:b/>
          <w:sz w:val="24"/>
        </w:rPr>
      </w:pPr>
      <w:r>
        <w:rPr>
          <w:rFonts w:hint="eastAsia" w:ascii="宋体" w:hAnsi="宋体" w:cs="宋体"/>
          <w:b/>
          <w:sz w:val="24"/>
        </w:rPr>
        <w:t>从业人员、营业收入、资产总额填报上一年度数据，无上一年度数据的新成立企业可不填报。</w:t>
      </w:r>
    </w:p>
    <w:p>
      <w:pPr>
        <w:spacing w:line="360" w:lineRule="auto"/>
        <w:jc w:val="left"/>
        <w:rPr>
          <w:rFonts w:ascii="宋体" w:hAnsi="宋体" w:cs="宋体"/>
          <w:sz w:val="24"/>
        </w:rPr>
      </w:pPr>
      <w:r>
        <w:rPr>
          <w:rFonts w:hint="eastAsia" w:ascii="宋体" w:hAnsi="宋体" w:cs="宋体"/>
          <w:sz w:val="24"/>
        </w:rPr>
        <w:t xml:space="preserve">    注：</w:t>
      </w:r>
    </w:p>
    <w:p>
      <w:pPr>
        <w:spacing w:line="360" w:lineRule="auto"/>
        <w:ind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firstLine="480"/>
        <w:jc w:val="left"/>
        <w:rPr>
          <w:rFonts w:ascii="宋体" w:hAnsi="宋体" w:cs="宋体"/>
          <w:sz w:val="24"/>
        </w:rPr>
      </w:pPr>
      <w:r>
        <w:rPr>
          <w:rFonts w:ascii="宋体" w:hAnsi="宋体" w:cs="宋体"/>
          <w:sz w:val="24"/>
        </w:rPr>
        <w:br w:type="page"/>
      </w: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snapToGrid w:val="0"/>
        <w:spacing w:before="480" w:beforeLines="200" w:after="480" w:afterLines="200"/>
        <w:jc w:val="center"/>
        <w:rPr>
          <w:rFonts w:ascii="宋体" w:hAnsi="宋体" w:cs="宋体"/>
          <w:b/>
          <w:kern w:val="0"/>
          <w:sz w:val="28"/>
          <w:szCs w:val="28"/>
        </w:rPr>
      </w:pPr>
      <w:r>
        <w:rPr>
          <w:rFonts w:ascii="宋体" w:hAnsi="宋体" w:cs="宋体"/>
          <w:b/>
          <w:kern w:val="0"/>
          <w:sz w:val="32"/>
          <w:szCs w:val="32"/>
        </w:rPr>
        <w:br w:type="page"/>
      </w:r>
      <w:r>
        <w:rPr>
          <w:rFonts w:hint="eastAsia" w:ascii="宋体" w:hAnsi="宋体" w:cs="宋体"/>
          <w:b/>
          <w:kern w:val="0"/>
          <w:sz w:val="28"/>
          <w:szCs w:val="28"/>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spacing w:line="360" w:lineRule="auto"/>
        <w:jc w:val="center"/>
        <w:rPr>
          <w:rFonts w:ascii="宋体" w:hAnsi="宋体" w:cs="宋体"/>
          <w:b/>
          <w:kern w:val="0"/>
          <w:sz w:val="32"/>
          <w:szCs w:val="32"/>
        </w:rPr>
      </w:pPr>
      <w:r>
        <w:rPr>
          <w:rFonts w:ascii="宋体" w:hAnsi="宋体" w:cs="宋体"/>
          <w:b/>
          <w:kern w:val="0"/>
          <w:sz w:val="36"/>
          <w:szCs w:val="36"/>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商务技术文件部分</w:t>
      </w:r>
    </w:p>
    <w:p>
      <w:pPr>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目录</w:t>
      </w:r>
    </w:p>
    <w:p>
      <w:pPr>
        <w:spacing w:line="360" w:lineRule="auto"/>
        <w:jc w:val="center"/>
        <w:outlineLvl w:val="0"/>
        <w:rPr>
          <w:rFonts w:ascii="宋体" w:hAnsi="宋体" w:cs="宋体"/>
          <w:b/>
          <w:kern w:val="0"/>
          <w:sz w:val="32"/>
          <w:szCs w:val="32"/>
        </w:rPr>
      </w:pPr>
    </w:p>
    <w:p>
      <w:pPr>
        <w:snapToGrid w:val="0"/>
        <w:spacing w:line="360" w:lineRule="auto"/>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sz w:val="24"/>
          <w:lang w:val="zh-CN"/>
        </w:rPr>
        <w:t>（注：本目录格式可根据投标文件内容另行细化）</w:t>
      </w:r>
    </w:p>
    <w:p>
      <w:pPr>
        <w:snapToGrid w:val="0"/>
        <w:spacing w:before="480" w:beforeLines="200" w:after="480" w:afterLines="200"/>
        <w:jc w:val="center"/>
        <w:rPr>
          <w:rFonts w:ascii="宋体" w:hAnsi="宋体" w:cs="宋体"/>
          <w:b/>
          <w:kern w:val="0"/>
          <w:sz w:val="28"/>
          <w:szCs w:val="28"/>
        </w:rPr>
      </w:pPr>
      <w:r>
        <w:rPr>
          <w:rFonts w:ascii="宋体" w:hAnsi="宋体" w:cs="宋体"/>
          <w:b/>
          <w:kern w:val="0"/>
          <w:sz w:val="32"/>
          <w:szCs w:val="32"/>
        </w:rPr>
        <w:br w:type="page"/>
      </w:r>
      <w:r>
        <w:rPr>
          <w:rFonts w:hint="eastAsia" w:ascii="宋体" w:hAnsi="宋体" w:cs="宋体"/>
          <w:b/>
          <w:kern w:val="0"/>
          <w:sz w:val="28"/>
          <w:szCs w:val="28"/>
        </w:rPr>
        <w:t>一、投标函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杭州市临平区第一人民医院医共体医疗设备维保外包项目</w:t>
      </w:r>
      <w:r>
        <w:rPr>
          <w:rFonts w:hint="eastAsia" w:ascii="宋体" w:hAnsi="宋体" w:cs="宋体"/>
          <w:sz w:val="24"/>
        </w:rPr>
        <w:t>【项目编号：</w:t>
      </w:r>
      <w:r>
        <w:rPr>
          <w:rFonts w:ascii="宋体" w:hAnsi="宋体" w:cs="宋体"/>
          <w:kern w:val="0"/>
          <w:sz w:val="24"/>
        </w:rPr>
        <w:t>0625-23215663</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288" w:lineRule="auto"/>
        <w:ind w:firstLine="480" w:firstLineChars="200"/>
        <w:rPr>
          <w:rFonts w:hint="eastAsia" w:ascii="宋体" w:hAnsi="宋体" w:cs="宋体"/>
          <w:sz w:val="24"/>
        </w:rPr>
      </w:pPr>
      <w:r>
        <w:rPr>
          <w:rFonts w:hint="eastAsia" w:ascii="宋体" w:hAnsi="宋体" w:cs="宋体"/>
          <w:sz w:val="24"/>
        </w:rPr>
        <w:t>2.1资格文件：</w:t>
      </w:r>
    </w:p>
    <w:p>
      <w:pPr>
        <w:snapToGrid w:val="0"/>
        <w:spacing w:line="288"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2.1.1符合参加政府采购活动应当具备的一般条件的承诺函；</w:t>
      </w:r>
    </w:p>
    <w:p>
      <w:pPr>
        <w:snapToGrid w:val="0"/>
        <w:spacing w:line="288" w:lineRule="auto"/>
        <w:ind w:firstLine="480" w:firstLineChars="200"/>
        <w:jc w:val="left"/>
        <w:rPr>
          <w:rFonts w:hint="eastAsia" w:ascii="宋体" w:hAnsi="宋体" w:cs="宋体"/>
          <w:sz w:val="24"/>
        </w:rPr>
      </w:pPr>
      <w:r>
        <w:rPr>
          <w:rFonts w:hint="eastAsia" w:ascii="宋体" w:hAnsi="宋体" w:cs="宋体"/>
          <w:sz w:val="24"/>
        </w:rPr>
        <w:t>▲</w:t>
      </w:r>
      <w:r>
        <w:rPr>
          <w:rFonts w:ascii="宋体" w:hAnsi="宋体" w:cs="宋体"/>
          <w:sz w:val="24"/>
        </w:rPr>
        <w:t>2.1.2法人或者其他组织的营业执照等证明文件，自然人的身份证明；</w:t>
      </w:r>
    </w:p>
    <w:p>
      <w:pPr>
        <w:snapToGrid w:val="0"/>
        <w:spacing w:line="288"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3联合协议（如果是联合体投标需提供，非联合体投标无需提供)；</w:t>
      </w:r>
    </w:p>
    <w:p>
      <w:pPr>
        <w:snapToGrid w:val="0"/>
        <w:spacing w:line="288"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2.1.</w:t>
      </w:r>
      <w:r>
        <w:rPr>
          <w:rFonts w:hint="eastAsia" w:ascii="宋体" w:hAnsi="宋体" w:cs="宋体"/>
          <w:sz w:val="24"/>
        </w:rPr>
        <w:t>4</w:t>
      </w:r>
      <w:r>
        <w:rPr>
          <w:rFonts w:ascii="宋体" w:hAnsi="宋体" w:cs="宋体"/>
          <w:sz w:val="24"/>
        </w:rPr>
        <w:t>落实政府采购政策需满足的资格要求（专门面向中小企业，服务全部由符合政策要求的中小企业（或小微企业）承接的，提供相应的中小企业声明函（</w:t>
      </w:r>
      <w:r>
        <w:rPr>
          <w:rFonts w:hint="eastAsia" w:ascii="宋体" w:hAnsi="宋体" w:cs="宋体"/>
          <w:sz w:val="24"/>
        </w:rPr>
        <w:t>见</w:t>
      </w:r>
      <w:r>
        <w:rPr>
          <w:rFonts w:ascii="宋体" w:hAnsi="宋体" w:cs="宋体"/>
          <w:sz w:val="24"/>
        </w:rPr>
        <w:t>附件）。）；</w:t>
      </w:r>
    </w:p>
    <w:p>
      <w:pPr>
        <w:snapToGrid w:val="0"/>
        <w:spacing w:line="288" w:lineRule="auto"/>
        <w:ind w:firstLine="480" w:firstLineChars="200"/>
        <w:jc w:val="left"/>
        <w:rPr>
          <w:rFonts w:ascii="宋体" w:hAnsi="宋体" w:cs="宋体"/>
          <w:sz w:val="24"/>
        </w:rPr>
      </w:pPr>
      <w:r>
        <w:rPr>
          <w:rFonts w:ascii="宋体" w:hAnsi="宋体" w:cs="宋体"/>
          <w:sz w:val="24"/>
        </w:rPr>
        <w:t>2.1.</w:t>
      </w:r>
      <w:r>
        <w:rPr>
          <w:rFonts w:hint="eastAsia" w:ascii="宋体" w:hAnsi="宋体" w:cs="宋体"/>
          <w:sz w:val="24"/>
        </w:rPr>
        <w:t>5</w:t>
      </w:r>
      <w:r>
        <w:rPr>
          <w:rFonts w:ascii="宋体" w:hAnsi="宋体" w:cs="宋体"/>
          <w:sz w:val="24"/>
        </w:rPr>
        <w:t>本项目的特定资格要求。</w:t>
      </w:r>
    </w:p>
    <w:p>
      <w:pPr>
        <w:snapToGrid w:val="0"/>
        <w:spacing w:line="288" w:lineRule="auto"/>
        <w:ind w:firstLine="480" w:firstLineChars="200"/>
        <w:rPr>
          <w:rFonts w:hint="eastAsia" w:ascii="宋体" w:hAnsi="宋体" w:cs="宋体"/>
          <w:sz w:val="24"/>
        </w:rPr>
      </w:pPr>
      <w:r>
        <w:rPr>
          <w:rFonts w:hint="eastAsia" w:ascii="宋体" w:hAnsi="宋体" w:cs="宋体"/>
          <w:sz w:val="24"/>
        </w:rPr>
        <w:t>2.2商务技术文件：</w:t>
      </w:r>
    </w:p>
    <w:p>
      <w:pPr>
        <w:snapToGrid w:val="0"/>
        <w:spacing w:line="288" w:lineRule="auto"/>
        <w:ind w:firstLine="480" w:firstLineChars="200"/>
        <w:rPr>
          <w:rFonts w:hint="eastAsia" w:ascii="宋体" w:hAnsi="宋体" w:cs="宋体"/>
          <w:sz w:val="24"/>
        </w:rPr>
      </w:pPr>
      <w:r>
        <w:rPr>
          <w:rFonts w:hint="eastAsia" w:ascii="宋体" w:hAnsi="宋体" w:cs="宋体"/>
          <w:sz w:val="24"/>
        </w:rPr>
        <w:t>2.2.1投标函；</w:t>
      </w:r>
    </w:p>
    <w:p>
      <w:pPr>
        <w:snapToGrid w:val="0"/>
        <w:spacing w:line="288" w:lineRule="auto"/>
        <w:ind w:firstLine="480" w:firstLineChars="200"/>
        <w:rPr>
          <w:rFonts w:hint="eastAsia" w:ascii="宋体" w:hAnsi="宋体" w:cs="宋体"/>
          <w:sz w:val="24"/>
        </w:rPr>
      </w:pPr>
      <w:r>
        <w:rPr>
          <w:rFonts w:hint="eastAsia" w:ascii="宋体" w:hAnsi="宋体" w:cs="宋体"/>
          <w:sz w:val="24"/>
        </w:rPr>
        <w:t>2.2.2授权委托书或法定代表人（单位负责人、自然人本人）身份证明；</w:t>
      </w:r>
    </w:p>
    <w:p>
      <w:pPr>
        <w:snapToGrid w:val="0"/>
        <w:spacing w:line="288" w:lineRule="auto"/>
        <w:ind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288" w:lineRule="auto"/>
        <w:ind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288" w:lineRule="auto"/>
        <w:ind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288" w:lineRule="auto"/>
        <w:ind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288" w:lineRule="auto"/>
        <w:ind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288" w:lineRule="auto"/>
        <w:ind w:firstLine="480" w:firstLineChars="200"/>
        <w:rPr>
          <w:rFonts w:ascii="宋体" w:hAnsi="宋体" w:cs="宋体"/>
          <w:sz w:val="24"/>
        </w:rPr>
      </w:pPr>
      <w:r>
        <w:rPr>
          <w:rFonts w:ascii="宋体" w:hAnsi="宋体" w:cs="宋体"/>
          <w:sz w:val="24"/>
        </w:rPr>
        <w:t>2.2.8投标人情况介绍；</w:t>
      </w:r>
    </w:p>
    <w:p>
      <w:pPr>
        <w:snapToGrid w:val="0"/>
        <w:spacing w:line="288" w:lineRule="auto"/>
        <w:ind w:firstLine="480" w:firstLineChars="200"/>
        <w:rPr>
          <w:rFonts w:ascii="宋体" w:hAnsi="宋体" w:cs="宋体"/>
          <w:sz w:val="24"/>
        </w:rPr>
      </w:pPr>
      <w:r>
        <w:rPr>
          <w:rFonts w:ascii="宋体" w:hAnsi="宋体" w:cs="宋体"/>
          <w:sz w:val="24"/>
        </w:rPr>
        <w:t>2.2.9投标人认为可以证明其能力或业绩的其他材料；</w:t>
      </w:r>
    </w:p>
    <w:p>
      <w:pPr>
        <w:snapToGrid w:val="0"/>
        <w:spacing w:line="288" w:lineRule="auto"/>
        <w:ind w:firstLine="480" w:firstLineChars="200"/>
        <w:rPr>
          <w:rFonts w:hint="eastAsia" w:ascii="宋体" w:hAnsi="宋体" w:cs="宋体"/>
          <w:sz w:val="24"/>
        </w:rPr>
      </w:pPr>
      <w:r>
        <w:rPr>
          <w:rFonts w:ascii="宋体" w:hAnsi="宋体" w:cs="宋体"/>
          <w:sz w:val="24"/>
        </w:rPr>
        <w:t>2.2.</w:t>
      </w:r>
      <w:r>
        <w:rPr>
          <w:rFonts w:hint="eastAsia" w:ascii="宋体" w:hAnsi="宋体" w:cs="宋体"/>
          <w:sz w:val="24"/>
        </w:rPr>
        <w:t>10投入的设备、软件等一览表</w:t>
      </w:r>
      <w:r>
        <w:rPr>
          <w:rFonts w:ascii="宋体" w:hAnsi="宋体" w:cs="宋体"/>
          <w:sz w:val="24"/>
        </w:rPr>
        <w:t>；</w:t>
      </w:r>
    </w:p>
    <w:p>
      <w:pPr>
        <w:snapToGrid w:val="0"/>
        <w:spacing w:line="288"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11提供的服务团队一览表</w:t>
      </w:r>
      <w:r>
        <w:rPr>
          <w:rFonts w:ascii="宋体" w:hAnsi="宋体" w:cs="宋体"/>
          <w:sz w:val="24"/>
        </w:rPr>
        <w:t>；</w:t>
      </w:r>
    </w:p>
    <w:p>
      <w:pPr>
        <w:snapToGrid w:val="0"/>
        <w:spacing w:line="288"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12服务的总体方案、服务的及时性等保证措施</w:t>
      </w:r>
      <w:r>
        <w:rPr>
          <w:rFonts w:ascii="宋体" w:hAnsi="宋体" w:cs="宋体"/>
          <w:sz w:val="24"/>
        </w:rPr>
        <w:t>；</w:t>
      </w:r>
    </w:p>
    <w:p>
      <w:pPr>
        <w:snapToGrid w:val="0"/>
        <w:spacing w:line="288" w:lineRule="auto"/>
        <w:ind w:firstLine="480" w:firstLineChars="200"/>
        <w:rPr>
          <w:rFonts w:hint="eastAsia" w:ascii="宋体" w:hAnsi="宋体" w:cs="宋体"/>
          <w:sz w:val="24"/>
        </w:rPr>
      </w:pPr>
      <w:r>
        <w:rPr>
          <w:rFonts w:ascii="宋体" w:hAnsi="宋体" w:cs="宋体"/>
          <w:sz w:val="24"/>
        </w:rPr>
        <w:t>2.2.</w:t>
      </w:r>
      <w:r>
        <w:rPr>
          <w:rFonts w:hint="eastAsia" w:ascii="宋体" w:hAnsi="宋体" w:cs="宋体"/>
          <w:sz w:val="24"/>
        </w:rPr>
        <w:t>13保修质量保证措施及保修的质量保证承诺；</w:t>
      </w:r>
    </w:p>
    <w:p>
      <w:pPr>
        <w:snapToGrid w:val="0"/>
        <w:spacing w:line="288" w:lineRule="auto"/>
        <w:ind w:firstLine="480" w:firstLineChars="200"/>
        <w:rPr>
          <w:rFonts w:hint="eastAsia" w:ascii="宋体" w:hAnsi="宋体" w:cs="宋体"/>
          <w:sz w:val="24"/>
        </w:rPr>
      </w:pPr>
      <w:r>
        <w:rPr>
          <w:rFonts w:ascii="宋体" w:hAnsi="宋体" w:cs="宋体"/>
          <w:sz w:val="24"/>
        </w:rPr>
        <w:t>2.2.</w:t>
      </w:r>
      <w:r>
        <w:rPr>
          <w:rFonts w:hint="eastAsia" w:ascii="宋体" w:hAnsi="宋体" w:cs="宋体"/>
          <w:sz w:val="24"/>
        </w:rPr>
        <w:t>14售后服务方案、服务响应的及时性承诺及保证措施等；</w:t>
      </w:r>
    </w:p>
    <w:p>
      <w:pPr>
        <w:snapToGrid w:val="0"/>
        <w:spacing w:line="288" w:lineRule="auto"/>
        <w:ind w:firstLine="480" w:firstLineChars="200"/>
        <w:rPr>
          <w:rFonts w:hint="eastAsia" w:ascii="宋体" w:hAnsi="宋体" w:cs="宋体"/>
          <w:sz w:val="24"/>
        </w:rPr>
      </w:pPr>
      <w:r>
        <w:rPr>
          <w:rFonts w:ascii="宋体" w:hAnsi="宋体" w:cs="宋体"/>
          <w:sz w:val="24"/>
        </w:rPr>
        <w:t>2.2.</w:t>
      </w:r>
      <w:r>
        <w:rPr>
          <w:rFonts w:hint="eastAsia" w:ascii="宋体" w:hAnsi="宋体" w:cs="宋体"/>
          <w:sz w:val="24"/>
        </w:rPr>
        <w:t>15与评审、评分有关的其他技术资料。</w:t>
      </w:r>
    </w:p>
    <w:p>
      <w:pPr>
        <w:snapToGrid w:val="0"/>
        <w:spacing w:line="288" w:lineRule="auto"/>
        <w:ind w:firstLine="480" w:firstLineChars="200"/>
        <w:rPr>
          <w:rFonts w:ascii="宋体" w:hAnsi="宋体" w:cs="宋体"/>
          <w:sz w:val="24"/>
        </w:rPr>
      </w:pPr>
      <w:r>
        <w:rPr>
          <w:rFonts w:ascii="宋体" w:hAnsi="宋体" w:cs="宋体"/>
          <w:sz w:val="24"/>
        </w:rPr>
        <w:t>2.2.1</w:t>
      </w:r>
      <w:r>
        <w:rPr>
          <w:rFonts w:hint="eastAsia" w:ascii="宋体" w:hAnsi="宋体" w:cs="宋体"/>
          <w:sz w:val="24"/>
        </w:rPr>
        <w:t>6</w:t>
      </w:r>
      <w:r>
        <w:rPr>
          <w:rFonts w:ascii="宋体" w:hAnsi="宋体" w:cs="宋体"/>
          <w:sz w:val="24"/>
        </w:rPr>
        <w:t>投标人认为需要提供的其他文件和资料</w:t>
      </w:r>
    </w:p>
    <w:p>
      <w:pPr>
        <w:snapToGrid w:val="0"/>
        <w:spacing w:line="288" w:lineRule="auto"/>
        <w:ind w:firstLine="480" w:firstLineChars="200"/>
        <w:rPr>
          <w:rFonts w:ascii="宋体" w:hAnsi="宋体" w:cs="宋体"/>
          <w:sz w:val="24"/>
        </w:rPr>
      </w:pPr>
      <w:r>
        <w:rPr>
          <w:rFonts w:ascii="宋体" w:hAnsi="宋体" w:cs="宋体"/>
          <w:sz w:val="24"/>
        </w:rPr>
        <w:t>2.2.1</w:t>
      </w:r>
      <w:r>
        <w:rPr>
          <w:rFonts w:hint="eastAsia" w:ascii="宋体" w:hAnsi="宋体" w:cs="宋体"/>
          <w:sz w:val="24"/>
        </w:rPr>
        <w:t>7</w:t>
      </w:r>
      <w:r>
        <w:rPr>
          <w:rFonts w:ascii="宋体" w:hAnsi="宋体" w:cs="宋体"/>
          <w:sz w:val="24"/>
        </w:rPr>
        <w:t>政府采购供应商廉洁自律承诺书</w:t>
      </w:r>
      <w:r>
        <w:rPr>
          <w:rFonts w:hint="eastAsia" w:ascii="宋体" w:hAnsi="宋体" w:cs="宋体"/>
          <w:sz w:val="24"/>
        </w:rPr>
        <w:t>。</w:t>
      </w:r>
    </w:p>
    <w:p>
      <w:pPr>
        <w:snapToGrid w:val="0"/>
        <w:spacing w:line="288" w:lineRule="auto"/>
        <w:ind w:firstLine="480" w:firstLineChars="200"/>
        <w:rPr>
          <w:rFonts w:hint="eastAsia" w:ascii="宋体" w:hAnsi="宋体" w:cs="宋体"/>
          <w:sz w:val="24"/>
        </w:rPr>
      </w:pPr>
      <w:r>
        <w:rPr>
          <w:rFonts w:hint="eastAsia" w:ascii="宋体" w:hAnsi="宋体" w:cs="宋体"/>
          <w:sz w:val="24"/>
        </w:rPr>
        <w:t>2.3报价文件：</w:t>
      </w:r>
    </w:p>
    <w:p>
      <w:pPr>
        <w:snapToGrid w:val="0"/>
        <w:spacing w:line="288" w:lineRule="auto"/>
        <w:ind w:firstLine="480" w:firstLineChars="200"/>
        <w:rPr>
          <w:rFonts w:ascii="宋体" w:hAnsi="宋体" w:cs="宋体"/>
          <w:sz w:val="24"/>
        </w:rPr>
      </w:pPr>
      <w:r>
        <w:rPr>
          <w:rFonts w:ascii="宋体" w:hAnsi="宋体" w:cs="宋体"/>
          <w:sz w:val="24"/>
        </w:rPr>
        <w:t>2.3.1开标一览表（报价表，格式见第六部分）；</w:t>
      </w:r>
    </w:p>
    <w:p>
      <w:pPr>
        <w:snapToGrid w:val="0"/>
        <w:spacing w:line="288"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2</w:t>
      </w:r>
      <w:r>
        <w:rPr>
          <w:rFonts w:ascii="宋体" w:hAnsi="宋体" w:cs="宋体"/>
          <w:sz w:val="24"/>
        </w:rPr>
        <w:t>投标人针对报价需要说明的其他文件和说明（如</w:t>
      </w:r>
      <w:r>
        <w:rPr>
          <w:rFonts w:hint="eastAsia" w:ascii="宋体" w:hAnsi="宋体" w:cs="宋体"/>
          <w:sz w:val="24"/>
        </w:rPr>
        <w:t>有</w:t>
      </w:r>
      <w:r>
        <w:rPr>
          <w:rFonts w:ascii="宋体" w:hAnsi="宋体" w:cs="宋体"/>
          <w:sz w:val="24"/>
        </w:rPr>
        <w:t>）；</w:t>
      </w:r>
    </w:p>
    <w:p>
      <w:pPr>
        <w:snapToGrid w:val="0"/>
        <w:spacing w:line="288"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3</w:t>
      </w:r>
      <w:r>
        <w:rPr>
          <w:rFonts w:ascii="宋体" w:hAnsi="宋体" w:cs="宋体"/>
          <w:sz w:val="24"/>
        </w:rPr>
        <w:t>业务专用章使用说明函（如适用）；</w:t>
      </w:r>
    </w:p>
    <w:p>
      <w:pPr>
        <w:snapToGrid w:val="0"/>
        <w:spacing w:line="288" w:lineRule="auto"/>
        <w:ind w:firstLine="480" w:firstLineChars="200"/>
        <w:rPr>
          <w:rFonts w:hint="eastAsia" w:ascii="宋体" w:hAnsi="宋体" w:cs="宋体"/>
          <w:sz w:val="24"/>
        </w:rPr>
      </w:pPr>
      <w:r>
        <w:rPr>
          <w:rFonts w:ascii="宋体" w:hAnsi="宋体" w:cs="宋体"/>
          <w:sz w:val="24"/>
        </w:rPr>
        <w:t>2.3.</w:t>
      </w:r>
      <w:r>
        <w:rPr>
          <w:rFonts w:hint="eastAsia" w:ascii="宋体" w:hAnsi="宋体" w:cs="宋体"/>
          <w:sz w:val="24"/>
        </w:rPr>
        <w:t>4</w:t>
      </w:r>
      <w:r>
        <w:rPr>
          <w:rFonts w:ascii="宋体" w:hAnsi="宋体" w:cs="宋体"/>
          <w:sz w:val="24"/>
        </w:rPr>
        <w:t>代理服务费支付承诺书</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600" w:firstLineChars="250"/>
        <w:rPr>
          <w:rFonts w:hint="eastAsia" w:ascii="宋体" w:hAnsi="宋体" w:cs="宋体"/>
          <w:sz w:val="24"/>
        </w:rPr>
      </w:pPr>
    </w:p>
    <w:p>
      <w:pPr>
        <w:spacing w:line="360" w:lineRule="auto"/>
        <w:ind w:firstLine="600" w:firstLineChars="250"/>
        <w:rPr>
          <w:rFonts w:hint="eastAsia" w:ascii="宋体" w:hAnsi="宋体" w:cs="宋体"/>
          <w:sz w:val="24"/>
        </w:rPr>
      </w:pPr>
    </w:p>
    <w:p>
      <w:pPr>
        <w:spacing w:line="360" w:lineRule="auto"/>
        <w:ind w:firstLine="4800" w:firstLineChars="2000"/>
        <w:rPr>
          <w:rFonts w:hint="eastAsia" w:ascii="宋体" w:hAnsi="宋体" w:cs="宋体"/>
          <w:sz w:val="24"/>
        </w:rPr>
      </w:pPr>
      <w:r>
        <w:rPr>
          <w:rFonts w:hint="eastAsia" w:ascii="宋体" w:hAnsi="宋体" w:cs="宋体"/>
          <w:sz w:val="24"/>
        </w:rPr>
        <w:t xml:space="preserve">投标人名称（电子签名）：                         </w:t>
      </w:r>
    </w:p>
    <w:p>
      <w:pPr>
        <w:snapToGrid w:val="0"/>
        <w:spacing w:line="360" w:lineRule="auto"/>
        <w:ind w:firstLine="480" w:firstLineChars="200"/>
        <w:rPr>
          <w:rFonts w:hint="eastAsia" w:ascii="宋体" w:hAnsi="宋体" w:cs="宋体"/>
          <w:sz w:val="24"/>
        </w:rPr>
      </w:pPr>
    </w:p>
    <w:p>
      <w:pPr>
        <w:snapToGrid w:val="0"/>
        <w:spacing w:line="360" w:lineRule="auto"/>
        <w:ind w:firstLine="4800" w:firstLineChars="2000"/>
        <w:rPr>
          <w:rFonts w:ascii="宋体" w:hAnsi="宋体" w:cs="宋体"/>
          <w:kern w:val="0"/>
          <w:sz w:val="24"/>
          <w:u w:val="single"/>
        </w:rPr>
      </w:pPr>
      <w:r>
        <w:rPr>
          <w:rFonts w:hint="eastAsia" w:ascii="宋体" w:hAnsi="宋体" w:cs="宋体"/>
          <w:sz w:val="24"/>
        </w:rPr>
        <w:t>日期：  年   月   日</w:t>
      </w:r>
    </w:p>
    <w:p>
      <w:pPr>
        <w:spacing w:line="360" w:lineRule="auto"/>
        <w:ind w:right="420"/>
        <w:rPr>
          <w:rFonts w:hint="eastAsia" w:ascii="宋体" w:hAnsi="宋体" w:cs="宋体"/>
          <w:sz w:val="24"/>
        </w:rPr>
      </w:pPr>
    </w:p>
    <w:p>
      <w:pPr>
        <w:spacing w:line="360" w:lineRule="auto"/>
        <w:ind w:right="420"/>
        <w:rPr>
          <w:rFonts w:hint="eastAsia" w:ascii="宋体" w:hAnsi="宋体" w:cs="宋体"/>
          <w:sz w:val="24"/>
        </w:rPr>
      </w:pPr>
    </w:p>
    <w:p>
      <w:pPr>
        <w:spacing w:line="360" w:lineRule="auto"/>
        <w:ind w:right="420"/>
        <w:rPr>
          <w:rFonts w:hint="eastAsia" w:ascii="宋体" w:hAnsi="宋体" w:cs="宋体"/>
          <w:sz w:val="24"/>
        </w:rPr>
      </w:pPr>
    </w:p>
    <w:p>
      <w:pPr>
        <w:spacing w:line="360" w:lineRule="auto"/>
        <w:ind w:right="420"/>
        <w:rPr>
          <w:rFonts w:ascii="宋体" w:hAnsi="宋体" w:cs="宋体"/>
          <w:b/>
          <w:kern w:val="0"/>
          <w:sz w:val="32"/>
          <w:szCs w:val="32"/>
        </w:rPr>
      </w:pPr>
      <w:r>
        <w:rPr>
          <w:rFonts w:hint="eastAsia" w:ascii="宋体" w:hAnsi="宋体" w:cs="宋体"/>
          <w:sz w:val="24"/>
        </w:rPr>
        <w:t>注：按本格式和要求提供。</w:t>
      </w:r>
    </w:p>
    <w:p>
      <w:pPr>
        <w:snapToGrid w:val="0"/>
        <w:spacing w:before="480" w:beforeLines="200"/>
        <w:jc w:val="center"/>
        <w:rPr>
          <w:rFonts w:hint="eastAsia" w:ascii="宋体" w:hAnsi="宋体" w:cs="宋体"/>
          <w:b/>
          <w:kern w:val="0"/>
          <w:sz w:val="28"/>
          <w:szCs w:val="28"/>
        </w:rPr>
      </w:pPr>
      <w:r>
        <w:rPr>
          <w:rFonts w:ascii="宋体" w:hAnsi="宋体" w:cs="宋体"/>
          <w:b/>
          <w:kern w:val="0"/>
          <w:sz w:val="32"/>
          <w:szCs w:val="32"/>
        </w:rPr>
        <w:br w:type="page"/>
      </w:r>
      <w:r>
        <w:rPr>
          <w:rFonts w:hint="eastAsia" w:ascii="宋体" w:hAnsi="宋体" w:cs="宋体"/>
          <w:b/>
          <w:kern w:val="0"/>
          <w:sz w:val="28"/>
          <w:szCs w:val="28"/>
        </w:rPr>
        <w:t>二、授权委托书或法定代表人</w:t>
      </w:r>
    </w:p>
    <w:p>
      <w:pPr>
        <w:jc w:val="center"/>
        <w:rPr>
          <w:rFonts w:ascii="宋体" w:hAnsi="宋体" w:cs="宋体"/>
          <w:b/>
          <w:kern w:val="0"/>
          <w:sz w:val="32"/>
          <w:szCs w:val="32"/>
          <w:lang w:val="zh-CN"/>
        </w:rPr>
      </w:pPr>
      <w:r>
        <w:rPr>
          <w:rFonts w:hint="eastAsia" w:ascii="宋体" w:hAnsi="宋体" w:cs="宋体"/>
          <w:b/>
          <w:kern w:val="0"/>
          <w:sz w:val="28"/>
          <w:szCs w:val="28"/>
        </w:rPr>
        <w:t>（单位负责人、自然人本人）身份证明</w:t>
      </w:r>
    </w:p>
    <w:p>
      <w:pPr>
        <w:snapToGrid w:val="0"/>
        <w:spacing w:before="480" w:beforeLines="200" w:after="480" w:afterLines="200"/>
        <w:jc w:val="center"/>
        <w:rPr>
          <w:rFonts w:ascii="宋体" w:hAnsi="宋体" w:cs="宋体"/>
          <w:b/>
          <w:kern w:val="0"/>
          <w:sz w:val="28"/>
          <w:szCs w:val="28"/>
          <w:lang w:val="zh-CN"/>
        </w:rPr>
      </w:pPr>
      <w:r>
        <w:rPr>
          <w:rFonts w:hint="eastAsia" w:ascii="宋体" w:hAnsi="宋体" w:cs="宋体"/>
          <w:b/>
          <w:kern w:val="0"/>
          <w:sz w:val="28"/>
          <w:szCs w:val="28"/>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u w:val="single"/>
        </w:rPr>
        <w:t>杭州市临平区第一人民医院医共体医疗设备维保外包项目</w:t>
      </w:r>
      <w:r>
        <w:rPr>
          <w:rFonts w:hint="eastAsia" w:ascii="宋体" w:hAnsi="宋体" w:cs="宋体"/>
          <w:sz w:val="24"/>
        </w:rPr>
        <w:t>【项目编号：</w:t>
      </w:r>
      <w:r>
        <w:rPr>
          <w:rFonts w:ascii="宋体" w:hAnsi="宋体" w:cs="宋体"/>
          <w:kern w:val="0"/>
          <w:sz w:val="24"/>
        </w:rPr>
        <w:t>0625-23215663</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hint="eastAsia" w:ascii="宋体" w:hAnsi="宋体" w:cs="宋体"/>
          <w:kern w:val="0"/>
          <w:sz w:val="24"/>
          <w:lang w:val="zh-CN"/>
        </w:rPr>
      </w:pPr>
    </w:p>
    <w:p>
      <w:pPr>
        <w:snapToGrid w:val="0"/>
        <w:spacing w:line="360" w:lineRule="auto"/>
        <w:rPr>
          <w:rFonts w:ascii="宋体" w:hAnsi="宋体" w:cs="宋体"/>
          <w:kern w:val="0"/>
          <w:sz w:val="24"/>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lang w:val="zh-CN"/>
        </w:rPr>
        <w:t>签发日期：  年  月   日</w:t>
      </w:r>
    </w:p>
    <w:p>
      <w:pPr>
        <w:snapToGrid w:val="0"/>
        <w:spacing w:line="360" w:lineRule="auto"/>
        <w:rPr>
          <w:rFonts w:ascii="宋体" w:hAnsi="宋体" w:cs="宋体"/>
          <w:sz w:val="24"/>
        </w:rPr>
      </w:pPr>
    </w:p>
    <w:p>
      <w:pPr>
        <w:snapToGrid w:val="0"/>
        <w:spacing w:before="480" w:beforeLines="200" w:after="480" w:afterLines="200"/>
        <w:jc w:val="center"/>
        <w:rPr>
          <w:rFonts w:ascii="宋体" w:hAnsi="宋体" w:cs="宋体"/>
          <w:b/>
          <w:kern w:val="0"/>
          <w:sz w:val="28"/>
          <w:szCs w:val="28"/>
          <w:lang w:val="zh-CN"/>
        </w:rPr>
      </w:pPr>
      <w:r>
        <w:rPr>
          <w:rFonts w:hint="eastAsia" w:ascii="宋体" w:hAnsi="宋体" w:cs="宋体"/>
          <w:b/>
          <w:kern w:val="0"/>
          <w:sz w:val="28"/>
          <w:szCs w:val="28"/>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u w:val="single"/>
        </w:rPr>
        <w:t>杭州市临平区第一人民医院医共体医疗设备维保外包项目</w:t>
      </w:r>
      <w:r>
        <w:rPr>
          <w:rFonts w:hint="eastAsia" w:ascii="宋体" w:hAnsi="宋体" w:cs="宋体"/>
          <w:sz w:val="24"/>
        </w:rPr>
        <w:t>【项目编号：</w:t>
      </w:r>
      <w:r>
        <w:rPr>
          <w:rFonts w:ascii="宋体" w:hAnsi="宋体" w:cs="宋体"/>
          <w:kern w:val="0"/>
          <w:sz w:val="24"/>
        </w:rPr>
        <w:t>0625-23215663</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jc w:val="left"/>
        <w:rPr>
          <w:rFonts w:hint="eastAsia" w:ascii="宋体" w:hAnsi="宋体" w:cs="宋体"/>
          <w:kern w:val="0"/>
          <w:sz w:val="24"/>
          <w:lang w:val="zh-CN"/>
        </w:rPr>
      </w:pP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联合体成员名称(电子签名/公章)：</w:t>
      </w:r>
    </w:p>
    <w:p>
      <w:pPr>
        <w:snapToGrid w:val="0"/>
        <w:spacing w:line="360" w:lineRule="auto"/>
        <w:rPr>
          <w:rFonts w:ascii="宋体" w:hAnsi="宋体" w:cs="宋体"/>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日期：  年  月   日</w:t>
      </w:r>
    </w:p>
    <w:p>
      <w:pPr>
        <w:autoSpaceDE w:val="0"/>
        <w:autoSpaceDN w:val="0"/>
        <w:spacing w:line="360" w:lineRule="auto"/>
        <w:jc w:val="center"/>
        <w:rPr>
          <w:rFonts w:ascii="宋体" w:hAnsi="宋体" w:cs="宋体"/>
          <w:b/>
          <w:kern w:val="0"/>
          <w:sz w:val="28"/>
          <w:szCs w:val="28"/>
          <w:lang w:val="zh-CN"/>
        </w:rPr>
      </w:pPr>
      <w:r>
        <w:rPr>
          <w:rFonts w:hint="eastAsia" w:ascii="宋体" w:hAnsi="宋体" w:cs="宋体"/>
          <w:b/>
          <w:kern w:val="0"/>
          <w:sz w:val="28"/>
          <w:szCs w:val="28"/>
          <w:lang w:val="zh-CN"/>
        </w:rPr>
        <w:t>法定代表人、单位负责人或自然人本人的身份证明（适用于法定代表人、单位负责人或者自然人本人代表投标人参加投标）</w:t>
      </w:r>
    </w:p>
    <w:p>
      <w:pPr>
        <w:pStyle w:val="174"/>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2" w:hRule="atLeast"/>
          <w:jc w:val="center"/>
        </w:trPr>
        <w:tc>
          <w:tcPr>
            <w:tcW w:w="9207" w:type="dxa"/>
            <w:noWrap w:val="0"/>
            <w:vAlign w:val="top"/>
          </w:tcPr>
          <w:p>
            <w:pPr>
              <w:pStyle w:val="174"/>
              <w:adjustRightInd w:val="0"/>
              <w:spacing w:line="360" w:lineRule="auto"/>
              <w:rPr>
                <w:rFonts w:hAnsi="宋体" w:cs="宋体"/>
                <w:bCs/>
                <w:sz w:val="24"/>
              </w:rPr>
            </w:pPr>
            <w:r>
              <w:rPr>
                <w:rFonts w:hint="eastAsia" w:hAnsi="宋体" w:cs="宋体"/>
                <w:bCs/>
                <w:sz w:val="24"/>
              </w:rPr>
              <w:t>正面：                                 反面：</w:t>
            </w:r>
          </w:p>
          <w:p>
            <w:pPr>
              <w:pStyle w:val="174"/>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before="480" w:beforeLines="200" w:after="480" w:afterLines="200"/>
        <w:jc w:val="center"/>
        <w:rPr>
          <w:rFonts w:ascii="宋体" w:hAnsi="宋体" w:cs="宋体"/>
          <w:b/>
          <w:kern w:val="0"/>
          <w:sz w:val="28"/>
          <w:szCs w:val="28"/>
        </w:rPr>
      </w:pPr>
      <w:r>
        <w:rPr>
          <w:rFonts w:ascii="宋体" w:hAnsi="宋体" w:cs="宋体"/>
          <w:b/>
          <w:kern w:val="0"/>
          <w:sz w:val="28"/>
          <w:szCs w:val="28"/>
        </w:rPr>
        <w:br w:type="page"/>
      </w:r>
      <w:r>
        <w:rPr>
          <w:rFonts w:hint="eastAsia" w:ascii="宋体" w:hAnsi="宋体" w:cs="宋体"/>
          <w:b/>
          <w:kern w:val="0"/>
          <w:sz w:val="28"/>
          <w:szCs w:val="28"/>
        </w:rPr>
        <w:t>三、分包意向协议（如果有）</w:t>
      </w:r>
    </w:p>
    <w:p>
      <w:pPr>
        <w:widowControl/>
        <w:spacing w:line="360" w:lineRule="auto"/>
        <w:jc w:val="left"/>
        <w:rPr>
          <w:rFonts w:ascii="宋体" w:hAnsi="宋体" w:cs="宋体"/>
          <w:sz w:val="24"/>
        </w:rPr>
      </w:pPr>
      <w:r>
        <w:rPr>
          <w:rFonts w:hint="eastAsia" w:ascii="宋体" w:hAnsi="宋体" w:cs="宋体"/>
          <w:sz w:val="24"/>
        </w:rPr>
        <w:t>[中标后以分包方式履行合同的，提供分包意向协议(附件6</w:t>
      </w:r>
      <w:r>
        <w:rPr>
          <w:rFonts w:ascii="宋体" w:hAnsi="宋体" w:cs="宋体"/>
          <w:sz w:val="24"/>
        </w:rPr>
        <w:t>)</w:t>
      </w:r>
      <w:r>
        <w:rPr>
          <w:rFonts w:hint="eastAsia" w:ascii="宋体" w:hAnsi="宋体" w:cs="宋体"/>
          <w:sz w:val="24"/>
        </w:rPr>
        <w:t>；采购人不同意分包或者投标人中标后不以分包方式履行合同的，则不需要提供。]</w:t>
      </w:r>
    </w:p>
    <w:p>
      <w:pPr>
        <w:snapToGrid w:val="0"/>
        <w:spacing w:before="480" w:beforeLines="200" w:after="480" w:afterLines="200"/>
        <w:jc w:val="center"/>
        <w:rPr>
          <w:rFonts w:ascii="宋体" w:hAnsi="宋体" w:cs="宋体"/>
          <w:b/>
          <w:kern w:val="0"/>
          <w:sz w:val="28"/>
          <w:szCs w:val="28"/>
        </w:rPr>
      </w:pPr>
      <w:r>
        <w:rPr>
          <w:rFonts w:ascii="宋体" w:hAnsi="宋体" w:cs="宋体"/>
          <w:kern w:val="0"/>
          <w:sz w:val="24"/>
        </w:rPr>
        <w:br w:type="page"/>
      </w:r>
      <w:r>
        <w:rPr>
          <w:rFonts w:hint="eastAsia" w:ascii="宋体" w:hAnsi="宋体" w:cs="宋体"/>
          <w:b/>
          <w:kern w:val="0"/>
          <w:sz w:val="28"/>
          <w:szCs w:val="28"/>
        </w:rPr>
        <w:t>四、符合性审查资料</w:t>
      </w:r>
    </w:p>
    <w:p>
      <w:pPr>
        <w:jc w:val="center"/>
        <w:rPr>
          <w:rFonts w:ascii="宋体" w:hAnsi="宋体" w:cs="宋体"/>
          <w:b/>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4845"/>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2" w:hRule="atLeast"/>
          <w:jc w:val="center"/>
        </w:trPr>
        <w:tc>
          <w:tcPr>
            <w:tcW w:w="792" w:type="dxa"/>
            <w:noWrap w:val="0"/>
            <w:vAlign w:val="center"/>
          </w:tcPr>
          <w:p>
            <w:pPr>
              <w:snapToGrid w:val="0"/>
              <w:jc w:val="center"/>
              <w:rPr>
                <w:rFonts w:ascii="宋体" w:hAnsi="宋体" w:cs="宋体"/>
                <w:b/>
                <w:sz w:val="24"/>
              </w:rPr>
            </w:pPr>
            <w:r>
              <w:rPr>
                <w:rFonts w:hint="eastAsia" w:ascii="宋体" w:hAnsi="宋体" w:cs="宋体"/>
                <w:b/>
                <w:sz w:val="24"/>
              </w:rPr>
              <w:t>序号</w:t>
            </w:r>
          </w:p>
        </w:tc>
        <w:tc>
          <w:tcPr>
            <w:tcW w:w="4845" w:type="dxa"/>
            <w:noWrap w:val="0"/>
            <w:vAlign w:val="center"/>
          </w:tcPr>
          <w:p>
            <w:pPr>
              <w:snapToGrid w:val="0"/>
              <w:jc w:val="center"/>
              <w:rPr>
                <w:rFonts w:ascii="宋体" w:hAnsi="宋体" w:cs="宋体"/>
                <w:b/>
                <w:sz w:val="24"/>
              </w:rPr>
            </w:pPr>
            <w:r>
              <w:rPr>
                <w:rFonts w:hint="eastAsia" w:ascii="宋体" w:hAnsi="宋体" w:cs="宋体"/>
                <w:b/>
                <w:sz w:val="24"/>
              </w:rPr>
              <w:t>实质性要求</w:t>
            </w:r>
          </w:p>
        </w:tc>
        <w:tc>
          <w:tcPr>
            <w:tcW w:w="2551" w:type="dxa"/>
            <w:noWrap w:val="0"/>
            <w:vAlign w:val="center"/>
          </w:tcPr>
          <w:p>
            <w:pPr>
              <w:snapToGrid w:val="0"/>
              <w:jc w:val="center"/>
              <w:rPr>
                <w:rFonts w:ascii="宋体" w:hAnsi="宋体" w:cs="宋体"/>
                <w:b/>
                <w:sz w:val="24"/>
              </w:rPr>
            </w:pPr>
            <w:r>
              <w:rPr>
                <w:rFonts w:hint="eastAsia" w:ascii="宋体" w:hAnsi="宋体" w:cs="宋体"/>
                <w:b/>
                <w:sz w:val="24"/>
              </w:rPr>
              <w:t>需要提供的符合性审查资料</w:t>
            </w:r>
          </w:p>
        </w:tc>
        <w:tc>
          <w:tcPr>
            <w:tcW w:w="1418" w:type="dxa"/>
            <w:noWrap w:val="0"/>
            <w:vAlign w:val="center"/>
          </w:tcPr>
          <w:p>
            <w:pPr>
              <w:snapToGrid w:val="0"/>
              <w:jc w:val="center"/>
              <w:rPr>
                <w:rFonts w:ascii="宋体" w:hAnsi="宋体" w:cs="宋体"/>
                <w:b/>
                <w:sz w:val="24"/>
              </w:rPr>
            </w:pPr>
            <w:r>
              <w:rPr>
                <w:rFonts w:hint="eastAsia" w:ascii="宋体" w:hAnsi="宋体" w:cs="宋体"/>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0" w:hRule="atLeast"/>
          <w:jc w:val="center"/>
        </w:trPr>
        <w:tc>
          <w:tcPr>
            <w:tcW w:w="792" w:type="dxa"/>
            <w:noWrap w:val="0"/>
            <w:vAlign w:val="center"/>
          </w:tcPr>
          <w:p>
            <w:pPr>
              <w:jc w:val="center"/>
              <w:rPr>
                <w:rFonts w:ascii="宋体" w:hAnsi="宋体" w:cs="宋体"/>
                <w:sz w:val="24"/>
              </w:rPr>
            </w:pPr>
            <w:r>
              <w:rPr>
                <w:rFonts w:hint="eastAsia" w:ascii="宋体" w:hAnsi="宋体" w:cs="宋体"/>
                <w:sz w:val="24"/>
              </w:rPr>
              <w:t>1</w:t>
            </w:r>
          </w:p>
        </w:tc>
        <w:tc>
          <w:tcPr>
            <w:tcW w:w="4845" w:type="dxa"/>
            <w:noWrap w:val="0"/>
            <w:vAlign w:val="center"/>
          </w:tcPr>
          <w:p>
            <w:pPr>
              <w:rPr>
                <w:rFonts w:ascii="宋体" w:hAnsi="宋体" w:cs="宋体"/>
                <w:sz w:val="24"/>
              </w:rPr>
            </w:pPr>
            <w:r>
              <w:rPr>
                <w:rFonts w:hint="eastAsia" w:ascii="宋体" w:hAnsi="宋体" w:cs="宋体"/>
                <w:sz w:val="24"/>
              </w:rPr>
              <w:t>投标文件按照招标文件要求签署、盖章。</w:t>
            </w:r>
          </w:p>
        </w:tc>
        <w:tc>
          <w:tcPr>
            <w:tcW w:w="2551" w:type="dxa"/>
            <w:noWrap w:val="0"/>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noWrap w:val="0"/>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0" w:hRule="atLeast"/>
          <w:jc w:val="center"/>
        </w:trPr>
        <w:tc>
          <w:tcPr>
            <w:tcW w:w="792" w:type="dxa"/>
            <w:noWrap w:val="0"/>
            <w:vAlign w:val="center"/>
          </w:tcPr>
          <w:p>
            <w:pPr>
              <w:jc w:val="center"/>
              <w:rPr>
                <w:rFonts w:ascii="宋体" w:hAnsi="宋体" w:cs="宋体"/>
                <w:sz w:val="24"/>
              </w:rPr>
            </w:pPr>
            <w:r>
              <w:rPr>
                <w:rFonts w:hint="eastAsia" w:ascii="宋体" w:hAnsi="宋体" w:cs="宋体"/>
                <w:sz w:val="24"/>
              </w:rPr>
              <w:t>2</w:t>
            </w:r>
          </w:p>
        </w:tc>
        <w:tc>
          <w:tcPr>
            <w:tcW w:w="4845" w:type="dxa"/>
            <w:noWrap w:val="0"/>
            <w:vAlign w:val="center"/>
          </w:tcPr>
          <w:p>
            <w:pP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noWrap w:val="0"/>
            <w:vAlign w:val="center"/>
          </w:tcPr>
          <w:p>
            <w:pPr>
              <w:rPr>
                <w:rFonts w:ascii="宋体" w:hAnsi="宋体" w:cs="宋体"/>
                <w:sz w:val="24"/>
              </w:rPr>
            </w:pPr>
            <w:r>
              <w:rPr>
                <w:rFonts w:hint="eastAsia" w:ascii="宋体" w:hAnsi="宋体" w:cs="宋体"/>
                <w:sz w:val="24"/>
              </w:rPr>
              <w:t>投标函</w:t>
            </w:r>
          </w:p>
        </w:tc>
        <w:tc>
          <w:tcPr>
            <w:tcW w:w="1418" w:type="dxa"/>
            <w:noWrap w:val="0"/>
            <w:vAlign w:val="top"/>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0" w:hRule="atLeast"/>
          <w:jc w:val="center"/>
        </w:trPr>
        <w:tc>
          <w:tcPr>
            <w:tcW w:w="792" w:type="dxa"/>
            <w:noWrap w:val="0"/>
            <w:vAlign w:val="center"/>
          </w:tcPr>
          <w:p>
            <w:pPr>
              <w:jc w:val="center"/>
              <w:rPr>
                <w:rFonts w:ascii="宋体" w:hAnsi="宋体" w:cs="宋体"/>
                <w:sz w:val="24"/>
              </w:rPr>
            </w:pPr>
            <w:r>
              <w:rPr>
                <w:rFonts w:hint="eastAsia" w:ascii="宋体" w:hAnsi="宋体" w:cs="宋体"/>
                <w:sz w:val="24"/>
              </w:rPr>
              <w:t>3</w:t>
            </w:r>
          </w:p>
        </w:tc>
        <w:tc>
          <w:tcPr>
            <w:tcW w:w="4845" w:type="dxa"/>
            <w:noWrap w:val="0"/>
            <w:vAlign w:val="center"/>
          </w:tcPr>
          <w:p>
            <w:pPr>
              <w:rPr>
                <w:rFonts w:ascii="宋体" w:hAnsi="宋体" w:cs="宋体"/>
                <w:sz w:val="24"/>
              </w:rPr>
            </w:pPr>
            <w:r>
              <w:rPr>
                <w:rFonts w:hint="eastAsia" w:ascii="宋体" w:hAnsi="宋体" w:cs="宋体"/>
                <w:sz w:val="24"/>
              </w:rPr>
              <w:t>投标文件满足招标文件的其它实质性要求。</w:t>
            </w:r>
          </w:p>
        </w:tc>
        <w:tc>
          <w:tcPr>
            <w:tcW w:w="2551" w:type="dxa"/>
            <w:noWrap w:val="0"/>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noWrap w:val="0"/>
            <w:vAlign w:val="top"/>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before="480" w:beforeLines="200" w:after="480" w:afterLines="200"/>
        <w:jc w:val="center"/>
        <w:rPr>
          <w:rFonts w:ascii="宋体" w:hAnsi="宋体" w:cs="宋体"/>
          <w:b/>
          <w:kern w:val="0"/>
          <w:sz w:val="28"/>
          <w:szCs w:val="28"/>
        </w:rPr>
      </w:pPr>
      <w:r>
        <w:rPr>
          <w:rFonts w:ascii="宋体" w:hAnsi="宋体" w:cs="宋体"/>
          <w:b/>
          <w:kern w:val="0"/>
          <w:sz w:val="32"/>
          <w:szCs w:val="32"/>
        </w:rPr>
        <w:br w:type="page"/>
      </w:r>
      <w:r>
        <w:rPr>
          <w:rFonts w:hint="eastAsia" w:ascii="宋体" w:hAnsi="宋体" w:cs="宋体"/>
          <w:b/>
          <w:kern w:val="0"/>
          <w:sz w:val="28"/>
          <w:szCs w:val="28"/>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before="480" w:beforeLines="200" w:after="480" w:afterLines="200"/>
        <w:jc w:val="center"/>
        <w:rPr>
          <w:rFonts w:ascii="宋体" w:hAnsi="宋体" w:cs="宋体"/>
          <w:b/>
          <w:kern w:val="0"/>
          <w:sz w:val="28"/>
          <w:szCs w:val="28"/>
        </w:rPr>
      </w:pPr>
      <w:r>
        <w:rPr>
          <w:rFonts w:ascii="宋体" w:hAnsi="宋体" w:cs="宋体"/>
          <w:b/>
          <w:kern w:val="0"/>
          <w:sz w:val="32"/>
          <w:szCs w:val="32"/>
        </w:rPr>
        <w:br w:type="page"/>
      </w:r>
      <w:r>
        <w:rPr>
          <w:rFonts w:hint="eastAsia" w:ascii="宋体" w:hAnsi="宋体" w:cs="宋体"/>
          <w:b/>
          <w:kern w:val="0"/>
          <w:sz w:val="28"/>
          <w:szCs w:val="28"/>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备注（如果有）</w:t>
            </w:r>
          </w:p>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b/>
          <w:sz w:val="30"/>
          <w:szCs w:val="30"/>
        </w:rPr>
      </w:pPr>
      <w:r>
        <w:rPr>
          <w:rFonts w:ascii="宋体" w:hAnsi="宋体" w:cs="宋体"/>
          <w:b/>
          <w:kern w:val="0"/>
          <w:sz w:val="32"/>
          <w:szCs w:val="32"/>
        </w:rPr>
        <w:br w:type="page"/>
      </w:r>
      <w:r>
        <w:rPr>
          <w:rFonts w:hint="eastAsia" w:ascii="宋体" w:hAnsi="宋体" w:cs="宋体"/>
          <w:b/>
          <w:kern w:val="0"/>
          <w:sz w:val="28"/>
          <w:szCs w:val="28"/>
        </w:rPr>
        <w:t>七、商务技术偏离表</w:t>
      </w:r>
    </w:p>
    <w:tbl>
      <w:tblPr>
        <w:tblStyle w:val="62"/>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top"/>
          </w:tcPr>
          <w:p>
            <w:pPr>
              <w:jc w:val="center"/>
              <w:rPr>
                <w:rFonts w:hAnsi="宋体"/>
                <w:sz w:val="24"/>
              </w:rPr>
            </w:pPr>
            <w:r>
              <w:rPr>
                <w:rFonts w:hAnsi="宋体"/>
                <w:sz w:val="24"/>
              </w:rPr>
              <w:t>序号</w:t>
            </w:r>
          </w:p>
        </w:tc>
        <w:tc>
          <w:tcPr>
            <w:tcW w:w="3683" w:type="dxa"/>
            <w:noWrap w:val="0"/>
            <w:vAlign w:val="top"/>
          </w:tcPr>
          <w:p>
            <w:pPr>
              <w:jc w:val="center"/>
              <w:rPr>
                <w:rFonts w:hAnsi="宋体"/>
                <w:sz w:val="24"/>
              </w:rPr>
            </w:pPr>
            <w:r>
              <w:rPr>
                <w:rFonts w:hAnsi="宋体"/>
                <w:sz w:val="24"/>
              </w:rPr>
              <w:t>招标文件要求</w:t>
            </w:r>
          </w:p>
        </w:tc>
        <w:tc>
          <w:tcPr>
            <w:tcW w:w="3546" w:type="dxa"/>
            <w:noWrap w:val="0"/>
            <w:vAlign w:val="top"/>
          </w:tcPr>
          <w:p>
            <w:pPr>
              <w:jc w:val="center"/>
              <w:rPr>
                <w:rFonts w:hAnsi="宋体"/>
                <w:sz w:val="24"/>
              </w:rPr>
            </w:pPr>
            <w:r>
              <w:rPr>
                <w:rFonts w:hAnsi="宋体"/>
                <w:sz w:val="24"/>
              </w:rPr>
              <w:t>投标文件响应</w:t>
            </w:r>
          </w:p>
        </w:tc>
        <w:tc>
          <w:tcPr>
            <w:tcW w:w="1276" w:type="dxa"/>
            <w:noWrap w:val="0"/>
            <w:vAlign w:val="top"/>
          </w:tcPr>
          <w:p>
            <w:pPr>
              <w:jc w:val="center"/>
              <w:rPr>
                <w:rFonts w:hAnsi="宋体"/>
                <w:sz w:val="24"/>
              </w:rPr>
            </w:pPr>
            <w:r>
              <w:rPr>
                <w:rFonts w:hAnsi="宋体"/>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hAnsi="宋体"/>
                <w:sz w:val="24"/>
              </w:rPr>
            </w:pPr>
            <w:r>
              <w:rPr>
                <w:rFonts w:hAnsi="宋体"/>
                <w:sz w:val="24"/>
              </w:rPr>
              <w:t>1</w:t>
            </w:r>
          </w:p>
        </w:tc>
        <w:tc>
          <w:tcPr>
            <w:tcW w:w="3683" w:type="dxa"/>
            <w:noWrap w:val="0"/>
            <w:vAlign w:val="center"/>
          </w:tcPr>
          <w:p>
            <w:pPr>
              <w:jc w:val="center"/>
              <w:rPr>
                <w:rFonts w:hAnsi="宋体"/>
                <w:sz w:val="24"/>
              </w:rPr>
            </w:pPr>
          </w:p>
        </w:tc>
        <w:tc>
          <w:tcPr>
            <w:tcW w:w="3546" w:type="dxa"/>
            <w:noWrap w:val="0"/>
            <w:vAlign w:val="center"/>
          </w:tcPr>
          <w:p>
            <w:pPr>
              <w:jc w:val="center"/>
              <w:rPr>
                <w:rFonts w:hAnsi="宋体"/>
                <w:sz w:val="24"/>
              </w:rPr>
            </w:pPr>
          </w:p>
        </w:tc>
        <w:tc>
          <w:tcPr>
            <w:tcW w:w="1276" w:type="dxa"/>
            <w:noWrap w:val="0"/>
            <w:vAlign w:val="center"/>
          </w:tcPr>
          <w:p>
            <w:pPr>
              <w:jc w:val="center"/>
              <w:rPr>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hAnsi="宋体"/>
                <w:sz w:val="24"/>
              </w:rPr>
            </w:pPr>
            <w:r>
              <w:rPr>
                <w:rFonts w:hAnsi="宋体"/>
                <w:sz w:val="24"/>
              </w:rPr>
              <w:t>2</w:t>
            </w:r>
          </w:p>
        </w:tc>
        <w:tc>
          <w:tcPr>
            <w:tcW w:w="3683" w:type="dxa"/>
            <w:noWrap w:val="0"/>
            <w:vAlign w:val="center"/>
          </w:tcPr>
          <w:p>
            <w:pPr>
              <w:jc w:val="center"/>
              <w:rPr>
                <w:rFonts w:hAnsi="宋体"/>
                <w:sz w:val="24"/>
              </w:rPr>
            </w:pPr>
          </w:p>
        </w:tc>
        <w:tc>
          <w:tcPr>
            <w:tcW w:w="3546" w:type="dxa"/>
            <w:noWrap w:val="0"/>
            <w:vAlign w:val="center"/>
          </w:tcPr>
          <w:p>
            <w:pPr>
              <w:jc w:val="center"/>
              <w:rPr>
                <w:rFonts w:hAnsi="宋体"/>
                <w:sz w:val="24"/>
              </w:rPr>
            </w:pPr>
          </w:p>
        </w:tc>
        <w:tc>
          <w:tcPr>
            <w:tcW w:w="1276" w:type="dxa"/>
            <w:noWrap w:val="0"/>
            <w:vAlign w:val="center"/>
          </w:tcPr>
          <w:p>
            <w:pPr>
              <w:jc w:val="center"/>
              <w:rPr>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hAnsi="宋体"/>
                <w:sz w:val="24"/>
              </w:rPr>
            </w:pPr>
            <w:r>
              <w:rPr>
                <w:rFonts w:hAnsi="宋体"/>
                <w:sz w:val="24"/>
              </w:rPr>
              <w:t>3</w:t>
            </w:r>
          </w:p>
        </w:tc>
        <w:tc>
          <w:tcPr>
            <w:tcW w:w="3683" w:type="dxa"/>
            <w:noWrap w:val="0"/>
            <w:vAlign w:val="center"/>
          </w:tcPr>
          <w:p>
            <w:pPr>
              <w:jc w:val="center"/>
              <w:rPr>
                <w:rFonts w:hAnsi="宋体"/>
                <w:sz w:val="24"/>
              </w:rPr>
            </w:pPr>
          </w:p>
        </w:tc>
        <w:tc>
          <w:tcPr>
            <w:tcW w:w="3546" w:type="dxa"/>
            <w:noWrap w:val="0"/>
            <w:vAlign w:val="center"/>
          </w:tcPr>
          <w:p>
            <w:pPr>
              <w:jc w:val="center"/>
              <w:rPr>
                <w:rFonts w:hAnsi="宋体"/>
                <w:sz w:val="24"/>
              </w:rPr>
            </w:pPr>
          </w:p>
        </w:tc>
        <w:tc>
          <w:tcPr>
            <w:tcW w:w="1276" w:type="dxa"/>
            <w:noWrap w:val="0"/>
            <w:vAlign w:val="center"/>
          </w:tcPr>
          <w:p>
            <w:pPr>
              <w:jc w:val="center"/>
              <w:rPr>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hAnsi="宋体"/>
                <w:sz w:val="24"/>
              </w:rPr>
            </w:pPr>
            <w:r>
              <w:rPr>
                <w:rFonts w:hAnsi="宋体"/>
                <w:sz w:val="24"/>
              </w:rPr>
              <w:t>4</w:t>
            </w:r>
          </w:p>
        </w:tc>
        <w:tc>
          <w:tcPr>
            <w:tcW w:w="3683" w:type="dxa"/>
            <w:noWrap w:val="0"/>
            <w:vAlign w:val="center"/>
          </w:tcPr>
          <w:p>
            <w:pPr>
              <w:jc w:val="center"/>
              <w:rPr>
                <w:rFonts w:hAnsi="宋体"/>
                <w:sz w:val="24"/>
              </w:rPr>
            </w:pPr>
          </w:p>
        </w:tc>
        <w:tc>
          <w:tcPr>
            <w:tcW w:w="3546" w:type="dxa"/>
            <w:noWrap w:val="0"/>
            <w:vAlign w:val="center"/>
          </w:tcPr>
          <w:p>
            <w:pPr>
              <w:jc w:val="center"/>
              <w:rPr>
                <w:rFonts w:hAnsi="宋体"/>
                <w:sz w:val="24"/>
              </w:rPr>
            </w:pPr>
          </w:p>
        </w:tc>
        <w:tc>
          <w:tcPr>
            <w:tcW w:w="1276" w:type="dxa"/>
            <w:noWrap w:val="0"/>
            <w:vAlign w:val="center"/>
          </w:tcPr>
          <w:p>
            <w:pPr>
              <w:jc w:val="center"/>
              <w:rPr>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hAnsi="宋体"/>
                <w:sz w:val="24"/>
              </w:rPr>
            </w:pPr>
            <w:r>
              <w:rPr>
                <w:rFonts w:hAnsi="宋体"/>
                <w:sz w:val="24"/>
              </w:rPr>
              <w:t>5</w:t>
            </w:r>
          </w:p>
        </w:tc>
        <w:tc>
          <w:tcPr>
            <w:tcW w:w="3683" w:type="dxa"/>
            <w:noWrap w:val="0"/>
            <w:vAlign w:val="center"/>
          </w:tcPr>
          <w:p>
            <w:pPr>
              <w:jc w:val="center"/>
              <w:rPr>
                <w:rFonts w:hAnsi="宋体"/>
                <w:sz w:val="24"/>
              </w:rPr>
            </w:pPr>
          </w:p>
        </w:tc>
        <w:tc>
          <w:tcPr>
            <w:tcW w:w="3546" w:type="dxa"/>
            <w:noWrap w:val="0"/>
            <w:vAlign w:val="center"/>
          </w:tcPr>
          <w:p>
            <w:pPr>
              <w:jc w:val="center"/>
              <w:rPr>
                <w:rFonts w:hAnsi="宋体"/>
                <w:sz w:val="24"/>
              </w:rPr>
            </w:pPr>
          </w:p>
        </w:tc>
        <w:tc>
          <w:tcPr>
            <w:tcW w:w="1276" w:type="dxa"/>
            <w:noWrap w:val="0"/>
            <w:vAlign w:val="center"/>
          </w:tcPr>
          <w:p>
            <w:pPr>
              <w:jc w:val="center"/>
              <w:rPr>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hAnsi="宋体"/>
                <w:sz w:val="24"/>
              </w:rPr>
            </w:pPr>
            <w:r>
              <w:rPr>
                <w:rFonts w:hAnsi="宋体"/>
                <w:sz w:val="24"/>
              </w:rPr>
              <w:t>6</w:t>
            </w:r>
          </w:p>
        </w:tc>
        <w:tc>
          <w:tcPr>
            <w:tcW w:w="3683" w:type="dxa"/>
            <w:noWrap w:val="0"/>
            <w:vAlign w:val="center"/>
          </w:tcPr>
          <w:p>
            <w:pPr>
              <w:jc w:val="center"/>
              <w:rPr>
                <w:rFonts w:hAnsi="宋体"/>
                <w:sz w:val="24"/>
              </w:rPr>
            </w:pPr>
          </w:p>
        </w:tc>
        <w:tc>
          <w:tcPr>
            <w:tcW w:w="3546" w:type="dxa"/>
            <w:noWrap w:val="0"/>
            <w:vAlign w:val="center"/>
          </w:tcPr>
          <w:p>
            <w:pPr>
              <w:jc w:val="center"/>
              <w:rPr>
                <w:rFonts w:hAnsi="宋体"/>
                <w:sz w:val="24"/>
              </w:rPr>
            </w:pPr>
          </w:p>
        </w:tc>
        <w:tc>
          <w:tcPr>
            <w:tcW w:w="1276" w:type="dxa"/>
            <w:noWrap w:val="0"/>
            <w:vAlign w:val="center"/>
          </w:tcPr>
          <w:p>
            <w:pPr>
              <w:jc w:val="center"/>
              <w:rPr>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hAnsi="宋体"/>
                <w:sz w:val="24"/>
              </w:rPr>
            </w:pPr>
            <w:r>
              <w:rPr>
                <w:rFonts w:hint="eastAsia" w:hAnsi="宋体"/>
                <w:sz w:val="24"/>
              </w:rPr>
              <w:t>7</w:t>
            </w:r>
          </w:p>
        </w:tc>
        <w:tc>
          <w:tcPr>
            <w:tcW w:w="3683" w:type="dxa"/>
            <w:noWrap w:val="0"/>
            <w:vAlign w:val="center"/>
          </w:tcPr>
          <w:p>
            <w:pPr>
              <w:jc w:val="center"/>
              <w:rPr>
                <w:rFonts w:hAnsi="宋体"/>
                <w:sz w:val="24"/>
              </w:rPr>
            </w:pPr>
          </w:p>
        </w:tc>
        <w:tc>
          <w:tcPr>
            <w:tcW w:w="3546" w:type="dxa"/>
            <w:noWrap w:val="0"/>
            <w:vAlign w:val="center"/>
          </w:tcPr>
          <w:p>
            <w:pPr>
              <w:jc w:val="center"/>
              <w:rPr>
                <w:rFonts w:hAnsi="宋体"/>
                <w:sz w:val="24"/>
              </w:rPr>
            </w:pPr>
          </w:p>
        </w:tc>
        <w:tc>
          <w:tcPr>
            <w:tcW w:w="1276" w:type="dxa"/>
            <w:noWrap w:val="0"/>
            <w:vAlign w:val="center"/>
          </w:tcPr>
          <w:p>
            <w:pPr>
              <w:jc w:val="center"/>
              <w:rPr>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hAnsi="宋体"/>
                <w:sz w:val="24"/>
              </w:rPr>
            </w:pPr>
            <w:r>
              <w:rPr>
                <w:rFonts w:hint="eastAsia" w:hAnsi="宋体"/>
                <w:sz w:val="24"/>
              </w:rPr>
              <w:t>8</w:t>
            </w:r>
          </w:p>
        </w:tc>
        <w:tc>
          <w:tcPr>
            <w:tcW w:w="3683" w:type="dxa"/>
            <w:noWrap w:val="0"/>
            <w:vAlign w:val="center"/>
          </w:tcPr>
          <w:p>
            <w:pPr>
              <w:jc w:val="center"/>
              <w:rPr>
                <w:rFonts w:hAnsi="宋体"/>
                <w:sz w:val="24"/>
              </w:rPr>
            </w:pPr>
          </w:p>
        </w:tc>
        <w:tc>
          <w:tcPr>
            <w:tcW w:w="3546" w:type="dxa"/>
            <w:noWrap w:val="0"/>
            <w:vAlign w:val="center"/>
          </w:tcPr>
          <w:p>
            <w:pPr>
              <w:jc w:val="center"/>
              <w:rPr>
                <w:rFonts w:hAnsi="宋体"/>
                <w:sz w:val="24"/>
              </w:rPr>
            </w:pPr>
          </w:p>
        </w:tc>
        <w:tc>
          <w:tcPr>
            <w:tcW w:w="1276" w:type="dxa"/>
            <w:noWrap w:val="0"/>
            <w:vAlign w:val="center"/>
          </w:tcPr>
          <w:p>
            <w:pPr>
              <w:jc w:val="center"/>
              <w:rPr>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hAnsi="宋体"/>
                <w:sz w:val="24"/>
              </w:rPr>
            </w:pPr>
            <w:r>
              <w:rPr>
                <w:rFonts w:hint="eastAsia" w:hAnsi="宋体"/>
                <w:sz w:val="24"/>
              </w:rPr>
              <w:t>9</w:t>
            </w:r>
          </w:p>
        </w:tc>
        <w:tc>
          <w:tcPr>
            <w:tcW w:w="3683" w:type="dxa"/>
            <w:noWrap w:val="0"/>
            <w:vAlign w:val="center"/>
          </w:tcPr>
          <w:p>
            <w:pPr>
              <w:jc w:val="center"/>
              <w:rPr>
                <w:rFonts w:hAnsi="宋体"/>
                <w:sz w:val="24"/>
              </w:rPr>
            </w:pPr>
          </w:p>
        </w:tc>
        <w:tc>
          <w:tcPr>
            <w:tcW w:w="3546" w:type="dxa"/>
            <w:noWrap w:val="0"/>
            <w:vAlign w:val="center"/>
          </w:tcPr>
          <w:p>
            <w:pPr>
              <w:jc w:val="center"/>
              <w:rPr>
                <w:rFonts w:hAnsi="宋体"/>
                <w:sz w:val="24"/>
              </w:rPr>
            </w:pPr>
          </w:p>
        </w:tc>
        <w:tc>
          <w:tcPr>
            <w:tcW w:w="1276" w:type="dxa"/>
            <w:noWrap w:val="0"/>
            <w:vAlign w:val="center"/>
          </w:tcPr>
          <w:p>
            <w:pPr>
              <w:jc w:val="center"/>
              <w:rPr>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hAnsi="宋体"/>
                <w:sz w:val="24"/>
              </w:rPr>
            </w:pPr>
            <w:r>
              <w:rPr>
                <w:rFonts w:hint="eastAsia" w:hAnsi="宋体"/>
                <w:sz w:val="24"/>
              </w:rPr>
              <w:t>10</w:t>
            </w:r>
          </w:p>
        </w:tc>
        <w:tc>
          <w:tcPr>
            <w:tcW w:w="3683" w:type="dxa"/>
            <w:noWrap w:val="0"/>
            <w:vAlign w:val="center"/>
          </w:tcPr>
          <w:p>
            <w:pPr>
              <w:jc w:val="center"/>
              <w:rPr>
                <w:rFonts w:hAnsi="宋体"/>
                <w:sz w:val="24"/>
              </w:rPr>
            </w:pPr>
          </w:p>
        </w:tc>
        <w:tc>
          <w:tcPr>
            <w:tcW w:w="3546" w:type="dxa"/>
            <w:noWrap w:val="0"/>
            <w:vAlign w:val="center"/>
          </w:tcPr>
          <w:p>
            <w:pPr>
              <w:jc w:val="center"/>
              <w:rPr>
                <w:rFonts w:hAnsi="宋体"/>
                <w:sz w:val="24"/>
              </w:rPr>
            </w:pPr>
          </w:p>
        </w:tc>
        <w:tc>
          <w:tcPr>
            <w:tcW w:w="1276" w:type="dxa"/>
            <w:noWrap w:val="0"/>
            <w:vAlign w:val="center"/>
          </w:tcPr>
          <w:p>
            <w:pPr>
              <w:jc w:val="center"/>
              <w:rPr>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rFonts w:hAnsi="宋体"/>
                <w:sz w:val="24"/>
              </w:rPr>
            </w:pPr>
            <w:r>
              <w:rPr>
                <w:rFonts w:hint="eastAsia" w:hAnsi="宋体"/>
                <w:sz w:val="24"/>
              </w:rPr>
              <w:t>11</w:t>
            </w:r>
          </w:p>
        </w:tc>
        <w:tc>
          <w:tcPr>
            <w:tcW w:w="3683" w:type="dxa"/>
            <w:noWrap w:val="0"/>
            <w:vAlign w:val="center"/>
          </w:tcPr>
          <w:p>
            <w:pPr>
              <w:jc w:val="center"/>
              <w:rPr>
                <w:rFonts w:hAnsi="宋体"/>
                <w:sz w:val="24"/>
              </w:rPr>
            </w:pPr>
          </w:p>
        </w:tc>
        <w:tc>
          <w:tcPr>
            <w:tcW w:w="3546" w:type="dxa"/>
            <w:noWrap w:val="0"/>
            <w:vAlign w:val="center"/>
          </w:tcPr>
          <w:p>
            <w:pPr>
              <w:jc w:val="center"/>
              <w:rPr>
                <w:rFonts w:hAnsi="宋体"/>
                <w:sz w:val="24"/>
              </w:rPr>
            </w:pPr>
          </w:p>
        </w:tc>
        <w:tc>
          <w:tcPr>
            <w:tcW w:w="1276" w:type="dxa"/>
            <w:noWrap w:val="0"/>
            <w:vAlign w:val="center"/>
          </w:tcPr>
          <w:p>
            <w:pPr>
              <w:jc w:val="center"/>
              <w:rPr>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jc w:val="center"/>
              <w:rPr>
                <w:kern w:val="0"/>
                <w:sz w:val="24"/>
              </w:rPr>
            </w:pPr>
            <w:r>
              <w:rPr>
                <w:kern w:val="0"/>
                <w:sz w:val="24"/>
              </w:rPr>
              <w:t>……</w:t>
            </w:r>
          </w:p>
        </w:tc>
        <w:tc>
          <w:tcPr>
            <w:tcW w:w="3683" w:type="dxa"/>
            <w:noWrap w:val="0"/>
            <w:vAlign w:val="center"/>
          </w:tcPr>
          <w:p>
            <w:pPr>
              <w:jc w:val="center"/>
              <w:rPr>
                <w:b/>
                <w:kern w:val="0"/>
                <w:sz w:val="32"/>
                <w:szCs w:val="32"/>
              </w:rPr>
            </w:pPr>
          </w:p>
        </w:tc>
        <w:tc>
          <w:tcPr>
            <w:tcW w:w="3546" w:type="dxa"/>
            <w:noWrap w:val="0"/>
            <w:vAlign w:val="center"/>
          </w:tcPr>
          <w:p>
            <w:pPr>
              <w:jc w:val="center"/>
              <w:rPr>
                <w:b/>
                <w:kern w:val="0"/>
                <w:sz w:val="32"/>
                <w:szCs w:val="32"/>
              </w:rPr>
            </w:pPr>
          </w:p>
        </w:tc>
        <w:tc>
          <w:tcPr>
            <w:tcW w:w="1276" w:type="dxa"/>
            <w:noWrap w:val="0"/>
            <w:vAlign w:val="center"/>
          </w:tcPr>
          <w:p>
            <w:pPr>
              <w:jc w:val="center"/>
              <w:rPr>
                <w:b/>
                <w:kern w:val="0"/>
                <w:sz w:val="32"/>
                <w:szCs w:val="32"/>
              </w:rPr>
            </w:pPr>
          </w:p>
        </w:tc>
      </w:tr>
    </w:tbl>
    <w:p>
      <w:pPr>
        <w:snapToGrid w:val="0"/>
        <w:outlineLvl w:val="0"/>
        <w:rPr>
          <w:rFonts w:hint="eastAsia" w:hAnsi="宋体"/>
          <w:sz w:val="24"/>
          <w:szCs w:val="21"/>
        </w:rPr>
      </w:pPr>
    </w:p>
    <w:p>
      <w:pPr>
        <w:snapToGrid w:val="0"/>
        <w:outlineLvl w:val="0"/>
        <w:rPr>
          <w:rFonts w:hint="eastAsia" w:hAnsi="宋体"/>
          <w:sz w:val="24"/>
          <w:szCs w:val="21"/>
        </w:rPr>
      </w:pPr>
      <w:r>
        <w:rPr>
          <w:rFonts w:hAnsi="宋体"/>
          <w:sz w:val="24"/>
        </w:rPr>
        <w:t>投标人名称（电子签</w:t>
      </w:r>
      <w:r>
        <w:rPr>
          <w:rFonts w:hint="eastAsia" w:hAnsi="宋体"/>
          <w:sz w:val="24"/>
        </w:rPr>
        <w:t>章</w:t>
      </w:r>
      <w:r>
        <w:rPr>
          <w:rFonts w:hAnsi="宋体"/>
          <w:sz w:val="24"/>
        </w:rPr>
        <w:t>）</w:t>
      </w:r>
      <w:r>
        <w:rPr>
          <w:rFonts w:hAnsi="宋体"/>
          <w:spacing w:val="20"/>
          <w:sz w:val="24"/>
        </w:rPr>
        <w:t>：</w:t>
      </w:r>
      <w:r>
        <w:rPr>
          <w:rFonts w:hint="eastAsia" w:hAnsi="宋体"/>
          <w:spacing w:val="20"/>
          <w:sz w:val="24"/>
          <w:u w:val="single"/>
        </w:rPr>
        <w:t xml:space="preserve">           </w:t>
      </w:r>
    </w:p>
    <w:p>
      <w:pPr>
        <w:snapToGrid w:val="0"/>
        <w:outlineLvl w:val="0"/>
        <w:rPr>
          <w:rFonts w:hint="eastAsia" w:hAnsi="宋体"/>
          <w:sz w:val="24"/>
          <w:szCs w:val="21"/>
        </w:rPr>
      </w:pPr>
    </w:p>
    <w:p>
      <w:pPr>
        <w:snapToGrid w:val="0"/>
        <w:outlineLvl w:val="0"/>
        <w:rPr>
          <w:sz w:val="24"/>
          <w:szCs w:val="21"/>
        </w:rPr>
      </w:pPr>
      <w:r>
        <w:rPr>
          <w:rFonts w:hAnsi="宋体"/>
          <w:sz w:val="24"/>
          <w:szCs w:val="21"/>
        </w:rPr>
        <w:t>注：</w:t>
      </w:r>
    </w:p>
    <w:p>
      <w:pPr>
        <w:snapToGrid w:val="0"/>
        <w:ind w:left="360" w:hanging="360" w:hangingChars="150"/>
        <w:outlineLvl w:val="0"/>
        <w:rPr>
          <w:sz w:val="24"/>
          <w:szCs w:val="21"/>
        </w:rPr>
      </w:pPr>
      <w:r>
        <w:rPr>
          <w:sz w:val="24"/>
          <w:szCs w:val="21"/>
        </w:rPr>
        <w:t>1</w:t>
      </w:r>
      <w:r>
        <w:rPr>
          <w:rFonts w:hAnsi="宋体"/>
          <w:sz w:val="24"/>
          <w:szCs w:val="21"/>
        </w:rPr>
        <w:t>、投标人必须按</w:t>
      </w:r>
      <w:r>
        <w:rPr>
          <w:sz w:val="24"/>
          <w:szCs w:val="21"/>
        </w:rPr>
        <w:t>“</w:t>
      </w:r>
      <w:r>
        <w:rPr>
          <w:rFonts w:hAnsi="宋体"/>
          <w:b/>
          <w:sz w:val="24"/>
          <w:szCs w:val="21"/>
        </w:rPr>
        <w:t>第三部分</w:t>
      </w:r>
      <w:r>
        <w:rPr>
          <w:b/>
          <w:sz w:val="24"/>
          <w:szCs w:val="21"/>
        </w:rPr>
        <w:t xml:space="preserve">  </w:t>
      </w:r>
      <w:r>
        <w:rPr>
          <w:rFonts w:hAnsi="宋体"/>
          <w:b/>
          <w:sz w:val="24"/>
          <w:szCs w:val="21"/>
        </w:rPr>
        <w:t>采购需求</w:t>
      </w:r>
      <w:r>
        <w:rPr>
          <w:sz w:val="24"/>
          <w:szCs w:val="21"/>
        </w:rPr>
        <w:t>”</w:t>
      </w:r>
      <w:r>
        <w:rPr>
          <w:rFonts w:hAnsi="宋体"/>
          <w:sz w:val="24"/>
          <w:szCs w:val="21"/>
        </w:rPr>
        <w:t>中各项参数</w:t>
      </w:r>
      <w:r>
        <w:rPr>
          <w:rFonts w:hAnsi="宋体"/>
          <w:b/>
          <w:sz w:val="24"/>
        </w:rPr>
        <w:t>（包含技术需求及商务、其他要求）</w:t>
      </w:r>
      <w:r>
        <w:rPr>
          <w:rFonts w:hAnsi="宋体"/>
          <w:sz w:val="24"/>
          <w:szCs w:val="21"/>
        </w:rPr>
        <w:t>一一对应</w:t>
      </w:r>
      <w:r>
        <w:rPr>
          <w:rFonts w:hint="eastAsia"/>
          <w:sz w:val="24"/>
          <w:szCs w:val="21"/>
        </w:rPr>
        <w:t>,在本表中</w:t>
      </w:r>
      <w:r>
        <w:rPr>
          <w:rFonts w:hAnsi="宋体"/>
          <w:sz w:val="24"/>
          <w:szCs w:val="21"/>
        </w:rPr>
        <w:t>如实填写</w:t>
      </w:r>
      <w:r>
        <w:rPr>
          <w:rFonts w:hint="eastAsia" w:hAnsi="宋体"/>
          <w:sz w:val="24"/>
          <w:szCs w:val="21"/>
        </w:rPr>
        <w:t>具体响应(有技术参数的提供响应的技术参数)</w:t>
      </w:r>
      <w:r>
        <w:rPr>
          <w:rFonts w:hAnsi="宋体"/>
          <w:sz w:val="24"/>
          <w:szCs w:val="21"/>
        </w:rPr>
        <w:t>，未按要求填写的，有可能作负偏离处理</w:t>
      </w:r>
      <w:r>
        <w:rPr>
          <w:rFonts w:hint="eastAsia" w:hAnsi="宋体"/>
          <w:sz w:val="24"/>
          <w:szCs w:val="21"/>
        </w:rPr>
        <w:t>。</w:t>
      </w:r>
    </w:p>
    <w:p>
      <w:pPr>
        <w:numPr>
          <w:ilvl w:val="0"/>
          <w:numId w:val="3"/>
        </w:numPr>
        <w:adjustRightInd/>
        <w:snapToGrid w:val="0"/>
        <w:outlineLvl w:val="0"/>
        <w:rPr>
          <w:sz w:val="24"/>
          <w:szCs w:val="21"/>
        </w:rPr>
      </w:pPr>
      <w:r>
        <w:rPr>
          <w:rFonts w:hint="eastAsia" w:ascii="宋体" w:hAnsi="宋体"/>
          <w:sz w:val="24"/>
          <w:szCs w:val="21"/>
        </w:rPr>
        <w:t>对招标文件技术需求中打“</w:t>
      </w:r>
      <w:r>
        <w:rPr>
          <w:rFonts w:hint="eastAsia" w:ascii="宋体" w:hAnsi="宋体"/>
          <w:sz w:val="24"/>
        </w:rPr>
        <w:t xml:space="preserve"> ▲</w:t>
      </w:r>
      <w:r>
        <w:rPr>
          <w:rFonts w:hint="eastAsia" w:ascii="宋体" w:hAnsi="宋体"/>
          <w:sz w:val="24"/>
          <w:szCs w:val="21"/>
        </w:rPr>
        <w:t>”的实质性技术指标需提供技术支持资料以便评审委员会核实，否则有可能作负偏离处理</w:t>
      </w:r>
      <w:r>
        <w:rPr>
          <w:rFonts w:ascii="宋体" w:hAnsi="宋体"/>
          <w:sz w:val="24"/>
          <w:szCs w:val="21"/>
        </w:rPr>
        <w:t>，其投标文件将被视为无效</w:t>
      </w:r>
      <w:r>
        <w:rPr>
          <w:rFonts w:hint="eastAsia" w:ascii="宋体" w:hAnsi="宋体"/>
          <w:sz w:val="24"/>
          <w:szCs w:val="21"/>
        </w:rPr>
        <w:t>。</w:t>
      </w:r>
    </w:p>
    <w:p>
      <w:pPr>
        <w:numPr>
          <w:ilvl w:val="0"/>
          <w:numId w:val="3"/>
        </w:numPr>
        <w:adjustRightInd/>
        <w:snapToGrid w:val="0"/>
        <w:outlineLvl w:val="0"/>
        <w:rPr>
          <w:sz w:val="24"/>
          <w:szCs w:val="21"/>
        </w:rPr>
      </w:pPr>
      <w:r>
        <w:rPr>
          <w:rFonts w:hAnsi="宋体"/>
          <w:sz w:val="24"/>
          <w:szCs w:val="21"/>
        </w:rPr>
        <w:t>投标人复制招标文件的技术规格相关部分内容作为其投标文件的一部分的，视为未实质性响应招标文件要求，其投标文件将被视为无效。</w:t>
      </w:r>
    </w:p>
    <w:p>
      <w:pPr>
        <w:numPr>
          <w:ilvl w:val="0"/>
          <w:numId w:val="3"/>
        </w:numPr>
        <w:adjustRightInd/>
        <w:snapToGrid w:val="0"/>
        <w:spacing w:before="120" w:beforeLines="50"/>
        <w:rPr>
          <w:b/>
          <w:sz w:val="24"/>
          <w:szCs w:val="20"/>
          <w:u w:val="single"/>
        </w:rPr>
      </w:pPr>
      <w:r>
        <w:rPr>
          <w:rFonts w:hAnsi="宋体"/>
          <w:b/>
          <w:sz w:val="24"/>
          <w:szCs w:val="20"/>
          <w:u w:val="single"/>
        </w:rPr>
        <w:t>本表作为项目的验收的主要依据，请慎重填写。若与事实不符，投标人若中标将承担项目无法通过验收退货，并按合同罚款、赔偿招标人损失和列入政府采购黑名单的后果。</w:t>
      </w:r>
    </w:p>
    <w:p>
      <w:pPr>
        <w:snapToGrid w:val="0"/>
        <w:spacing w:before="480" w:beforeLines="200" w:after="480" w:afterLines="200"/>
        <w:jc w:val="center"/>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snapToGrid w:val="0"/>
        <w:spacing w:before="480" w:beforeLines="200" w:after="480" w:afterLines="200"/>
        <w:jc w:val="center"/>
        <w:rPr>
          <w:rFonts w:ascii="宋体" w:hAnsi="宋体" w:cs="宋体"/>
          <w:b/>
          <w:kern w:val="0"/>
          <w:sz w:val="28"/>
          <w:szCs w:val="28"/>
        </w:rPr>
      </w:pPr>
      <w:r>
        <w:rPr>
          <w:rFonts w:ascii="宋体" w:hAnsi="宋体" w:cs="宋体"/>
          <w:b/>
          <w:bCs/>
          <w:sz w:val="32"/>
          <w:szCs w:val="32"/>
        </w:rPr>
        <w:br w:type="page"/>
      </w:r>
      <w:r>
        <w:rPr>
          <w:rFonts w:hint="eastAsia" w:ascii="宋体" w:hAnsi="宋体" w:cs="宋体"/>
          <w:b/>
          <w:kern w:val="0"/>
          <w:sz w:val="28"/>
          <w:szCs w:val="28"/>
        </w:rPr>
        <w:t>八、政府采购供应商廉洁自律承诺书</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left"/>
        <w:rPr>
          <w:rFonts w:hint="eastAsia" w:ascii="宋体" w:hAnsi="宋体" w:cs="宋体"/>
          <w:sz w:val="32"/>
          <w:szCs w:val="32"/>
        </w:rPr>
      </w:pPr>
      <w:r>
        <w:rPr>
          <w:rFonts w:ascii="宋体" w:hAnsi="宋体" w:cs="宋体"/>
          <w:b/>
          <w:kern w:val="0"/>
          <w:sz w:val="36"/>
          <w:szCs w:val="36"/>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报价文件部分</w:t>
      </w:r>
    </w:p>
    <w:p>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目录</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sz w:val="24"/>
        </w:rPr>
      </w:pPr>
      <w:r>
        <w:rPr>
          <w:rFonts w:hint="eastAsia" w:ascii="宋体" w:hAnsi="宋体" w:cs="宋体"/>
          <w:sz w:val="24"/>
        </w:rPr>
        <w:t>（1）开标一览表（报价表）…………………………………………………（页码）（2）</w:t>
      </w:r>
      <w:r>
        <w:rPr>
          <w:rFonts w:ascii="宋体" w:hAnsi="宋体" w:cs="宋体"/>
          <w:sz w:val="24"/>
        </w:rPr>
        <w:t>投标人针对报价需要说明的其他文件和说明（如</w:t>
      </w:r>
      <w:r>
        <w:rPr>
          <w:rFonts w:hint="eastAsia" w:ascii="宋体" w:hAnsi="宋体" w:cs="宋体"/>
          <w:sz w:val="24"/>
        </w:rPr>
        <w:t>有</w:t>
      </w:r>
      <w:r>
        <w:rPr>
          <w:rFonts w:ascii="宋体" w:hAnsi="宋体" w:cs="宋体"/>
          <w:sz w:val="24"/>
        </w:rPr>
        <w:t>）</w:t>
      </w:r>
      <w:r>
        <w:rPr>
          <w:rFonts w:hint="eastAsia" w:ascii="宋体" w:hAnsi="宋体" w:cs="宋体"/>
          <w:sz w:val="24"/>
        </w:rPr>
        <w:t>………………（页码）（3）</w:t>
      </w:r>
      <w:r>
        <w:rPr>
          <w:rFonts w:ascii="宋体" w:hAnsi="宋体" w:cs="宋体"/>
          <w:sz w:val="24"/>
        </w:rPr>
        <w:t>业务专用章使用说明函（如适用）</w:t>
      </w:r>
      <w:r>
        <w:rPr>
          <w:rFonts w:hint="eastAsia" w:ascii="宋体" w:hAnsi="宋体" w:cs="宋体"/>
          <w:sz w:val="24"/>
        </w:rPr>
        <w:t>……………………………………（页码）（4）</w:t>
      </w:r>
      <w:r>
        <w:rPr>
          <w:rFonts w:ascii="宋体" w:hAnsi="宋体" w:cs="宋体"/>
          <w:sz w:val="24"/>
        </w:rPr>
        <w:t>代理服务费支付承诺书</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（5）中小企业声明函…………………………………………………………（页码）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440" w:right="1800" w:bottom="1440" w:left="1800" w:header="851" w:footer="992" w:gutter="0"/>
          <w:cols w:space="720" w:num="1"/>
          <w:titlePg/>
          <w:docGrid w:linePitch="312" w:charSpace="0"/>
        </w:sectPr>
      </w:pPr>
    </w:p>
    <w:p>
      <w:pPr>
        <w:pStyle w:val="692"/>
        <w:keepNext w:val="0"/>
        <w:pageBreakBefore w:val="0"/>
        <w:tabs>
          <w:tab w:val="clear" w:pos="720"/>
        </w:tabs>
        <w:snapToGrid w:val="0"/>
        <w:spacing w:before="480" w:beforeLines="200" w:after="480" w:afterLines="200" w:line="240" w:lineRule="auto"/>
        <w:outlineLvl w:val="9"/>
        <w:rPr>
          <w:rFonts w:ascii="宋体" w:hAnsi="宋体" w:eastAsia="宋体" w:cs="宋体"/>
          <w:kern w:val="2"/>
          <w:sz w:val="28"/>
          <w:szCs w:val="28"/>
        </w:rPr>
      </w:pPr>
      <w:r>
        <w:rPr>
          <w:rFonts w:hint="eastAsia" w:ascii="宋体" w:hAnsi="宋体" w:eastAsia="宋体" w:cs="宋体"/>
          <w:kern w:val="2"/>
          <w:sz w:val="28"/>
          <w:szCs w:val="28"/>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【项目编号：</w:t>
      </w:r>
      <w:r>
        <w:rPr>
          <w:rFonts w:ascii="宋体" w:hAnsi="宋体" w:cs="宋体"/>
          <w:kern w:val="0"/>
          <w:sz w:val="24"/>
        </w:rPr>
        <w:t>0625-23215663</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73" w:hRule="atLeast"/>
          <w:jc w:val="center"/>
        </w:trPr>
        <w:tc>
          <w:tcPr>
            <w:tcW w:w="817" w:type="dxa"/>
            <w:noWrap w:val="0"/>
            <w:vAlign w:val="center"/>
          </w:tcPr>
          <w:p>
            <w:pPr>
              <w:jc w:val="center"/>
              <w:rPr>
                <w:rFonts w:ascii="宋体" w:hAnsi="宋体" w:cs="宋体"/>
                <w:b/>
                <w:sz w:val="24"/>
              </w:rPr>
            </w:pPr>
            <w:r>
              <w:rPr>
                <w:rFonts w:hint="eastAsia" w:ascii="宋体" w:hAnsi="宋体" w:cs="宋体"/>
                <w:b/>
                <w:sz w:val="24"/>
              </w:rPr>
              <w:t>序号</w:t>
            </w:r>
          </w:p>
        </w:tc>
        <w:tc>
          <w:tcPr>
            <w:tcW w:w="992" w:type="dxa"/>
            <w:noWrap w:val="0"/>
            <w:vAlign w:val="center"/>
          </w:tcPr>
          <w:p>
            <w:pPr>
              <w:jc w:val="center"/>
              <w:rPr>
                <w:rFonts w:ascii="宋体" w:hAnsi="宋体" w:cs="宋体"/>
                <w:b/>
                <w:sz w:val="24"/>
              </w:rPr>
            </w:pPr>
            <w:r>
              <w:rPr>
                <w:rFonts w:hint="eastAsia" w:ascii="宋体" w:hAnsi="宋体" w:cs="宋体"/>
                <w:b/>
                <w:sz w:val="24"/>
              </w:rPr>
              <w:t>名称</w:t>
            </w:r>
          </w:p>
        </w:tc>
        <w:tc>
          <w:tcPr>
            <w:tcW w:w="2268" w:type="dxa"/>
            <w:noWrap w:val="0"/>
            <w:vAlign w:val="center"/>
          </w:tcPr>
          <w:p>
            <w:pPr>
              <w:jc w:val="center"/>
              <w:rPr>
                <w:rFonts w:ascii="宋体" w:hAnsi="宋体" w:cs="宋体"/>
                <w:b/>
                <w:sz w:val="24"/>
              </w:rPr>
            </w:pPr>
            <w:r>
              <w:rPr>
                <w:rFonts w:hint="eastAsia" w:ascii="宋体" w:hAnsi="宋体" w:cs="宋体"/>
                <w:b/>
                <w:sz w:val="24"/>
              </w:rPr>
              <w:t>服务范围</w:t>
            </w:r>
          </w:p>
        </w:tc>
        <w:tc>
          <w:tcPr>
            <w:tcW w:w="2410" w:type="dxa"/>
            <w:noWrap w:val="0"/>
            <w:vAlign w:val="center"/>
          </w:tcPr>
          <w:p>
            <w:pPr>
              <w:jc w:val="center"/>
              <w:rPr>
                <w:rFonts w:ascii="宋体" w:hAnsi="宋体" w:cs="宋体"/>
                <w:b/>
                <w:sz w:val="24"/>
              </w:rPr>
            </w:pPr>
            <w:r>
              <w:rPr>
                <w:rFonts w:hint="eastAsia" w:ascii="宋体" w:hAnsi="宋体" w:cs="宋体"/>
                <w:b/>
                <w:sz w:val="24"/>
              </w:rPr>
              <w:t>服务要求</w:t>
            </w:r>
          </w:p>
        </w:tc>
        <w:tc>
          <w:tcPr>
            <w:tcW w:w="2268" w:type="dxa"/>
            <w:noWrap w:val="0"/>
            <w:vAlign w:val="center"/>
          </w:tcPr>
          <w:p>
            <w:pPr>
              <w:jc w:val="center"/>
              <w:rPr>
                <w:rFonts w:ascii="宋体" w:hAnsi="宋体" w:cs="宋体"/>
                <w:b/>
                <w:sz w:val="24"/>
              </w:rPr>
            </w:pPr>
            <w:r>
              <w:rPr>
                <w:rFonts w:hint="eastAsia" w:ascii="宋体" w:hAnsi="宋体" w:cs="宋体"/>
                <w:b/>
                <w:sz w:val="24"/>
              </w:rPr>
              <w:t>服务时间</w:t>
            </w:r>
          </w:p>
        </w:tc>
        <w:tc>
          <w:tcPr>
            <w:tcW w:w="2126" w:type="dxa"/>
            <w:noWrap w:val="0"/>
            <w:vAlign w:val="center"/>
          </w:tcPr>
          <w:p>
            <w:pPr>
              <w:jc w:val="center"/>
              <w:rPr>
                <w:rFonts w:ascii="宋体" w:hAnsi="宋体" w:cs="宋体"/>
                <w:b/>
                <w:sz w:val="24"/>
              </w:rPr>
            </w:pPr>
            <w:r>
              <w:rPr>
                <w:rFonts w:hint="eastAsia" w:ascii="宋体" w:hAnsi="宋体" w:cs="宋体"/>
                <w:b/>
                <w:sz w:val="24"/>
              </w:rPr>
              <w:t>服务标准</w:t>
            </w:r>
          </w:p>
        </w:tc>
        <w:tc>
          <w:tcPr>
            <w:tcW w:w="2127" w:type="dxa"/>
            <w:noWrap w:val="0"/>
            <w:vAlign w:val="center"/>
          </w:tcPr>
          <w:p>
            <w:pPr>
              <w:jc w:val="center"/>
              <w:rPr>
                <w:rFonts w:ascii="宋体" w:hAnsi="宋体" w:cs="宋体"/>
                <w:b/>
                <w:sz w:val="24"/>
              </w:rPr>
            </w:pPr>
            <w:r>
              <w:rPr>
                <w:rFonts w:hint="eastAsia" w:ascii="宋体" w:hAnsi="宋体" w:cs="宋体"/>
                <w:b/>
                <w:sz w:val="24"/>
              </w:rPr>
              <w:t>服务人数</w:t>
            </w:r>
          </w:p>
        </w:tc>
        <w:tc>
          <w:tcPr>
            <w:tcW w:w="2126" w:type="dxa"/>
            <w:noWrap w:val="0"/>
            <w:vAlign w:val="center"/>
          </w:tcPr>
          <w:p>
            <w:pPr>
              <w:jc w:val="center"/>
              <w:rPr>
                <w:rFonts w:ascii="宋体" w:hAnsi="宋体" w:cs="宋体"/>
                <w:b/>
                <w:sz w:val="24"/>
              </w:rPr>
            </w:pPr>
            <w:r>
              <w:rPr>
                <w:rFonts w:hint="eastAsia" w:ascii="宋体" w:hAnsi="宋体" w:cs="宋体"/>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jc w:val="center"/>
        </w:trPr>
        <w:tc>
          <w:tcPr>
            <w:tcW w:w="817" w:type="dxa"/>
            <w:noWrap w:val="0"/>
            <w:vAlign w:val="center"/>
          </w:tcPr>
          <w:p>
            <w:pPr>
              <w:jc w:val="center"/>
              <w:rPr>
                <w:rFonts w:ascii="宋体" w:hAnsi="宋体" w:cs="宋体"/>
                <w:sz w:val="24"/>
              </w:rPr>
            </w:pPr>
            <w:r>
              <w:rPr>
                <w:rFonts w:hint="eastAsia" w:ascii="宋体" w:hAnsi="宋体" w:cs="宋体"/>
                <w:sz w:val="24"/>
              </w:rPr>
              <w:t>1</w:t>
            </w:r>
          </w:p>
        </w:tc>
        <w:tc>
          <w:tcPr>
            <w:tcW w:w="992" w:type="dxa"/>
            <w:noWrap w:val="0"/>
            <w:vAlign w:val="center"/>
          </w:tcPr>
          <w:p>
            <w:pPr>
              <w:snapToGrid w:val="0"/>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noWrap w:val="0"/>
            <w:vAlign w:val="center"/>
          </w:tcPr>
          <w:p>
            <w:pPr>
              <w:snapToGrid w:val="0"/>
              <w:jc w:val="center"/>
              <w:rPr>
                <w:rFonts w:ascii="宋体" w:hAnsi="宋体" w:cs="宋体"/>
                <w:sz w:val="24"/>
              </w:rPr>
            </w:pPr>
          </w:p>
        </w:tc>
        <w:tc>
          <w:tcPr>
            <w:tcW w:w="2410" w:type="dxa"/>
            <w:noWrap w:val="0"/>
            <w:vAlign w:val="center"/>
          </w:tcPr>
          <w:p>
            <w:pPr>
              <w:snapToGrid w:val="0"/>
              <w:jc w:val="center"/>
              <w:rPr>
                <w:rFonts w:ascii="宋体" w:hAnsi="宋体" w:cs="宋体"/>
                <w:sz w:val="24"/>
              </w:rPr>
            </w:pPr>
          </w:p>
        </w:tc>
        <w:tc>
          <w:tcPr>
            <w:tcW w:w="2268" w:type="dxa"/>
            <w:noWrap w:val="0"/>
            <w:vAlign w:val="center"/>
          </w:tcPr>
          <w:p>
            <w:pPr>
              <w:snapToGrid w:val="0"/>
              <w:jc w:val="center"/>
              <w:rPr>
                <w:rFonts w:ascii="宋体" w:hAnsi="宋体" w:cs="宋体"/>
                <w:sz w:val="24"/>
              </w:rPr>
            </w:pPr>
          </w:p>
        </w:tc>
        <w:tc>
          <w:tcPr>
            <w:tcW w:w="2126" w:type="dxa"/>
            <w:noWrap w:val="0"/>
            <w:vAlign w:val="center"/>
          </w:tcPr>
          <w:p>
            <w:pPr>
              <w:jc w:val="center"/>
              <w:rPr>
                <w:rFonts w:ascii="宋体" w:hAnsi="宋体" w:cs="宋体"/>
                <w:sz w:val="24"/>
              </w:rPr>
            </w:pPr>
          </w:p>
        </w:tc>
        <w:tc>
          <w:tcPr>
            <w:tcW w:w="2127" w:type="dxa"/>
            <w:noWrap w:val="0"/>
            <w:vAlign w:val="center"/>
          </w:tcPr>
          <w:p>
            <w:pPr>
              <w:jc w:val="center"/>
              <w:rPr>
                <w:rFonts w:ascii="宋体" w:hAnsi="宋体" w:cs="宋体"/>
                <w:sz w:val="24"/>
              </w:rPr>
            </w:pPr>
          </w:p>
        </w:tc>
        <w:tc>
          <w:tcPr>
            <w:tcW w:w="2126"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jc w:val="center"/>
        </w:trPr>
        <w:tc>
          <w:tcPr>
            <w:tcW w:w="817" w:type="dxa"/>
            <w:noWrap w:val="0"/>
            <w:vAlign w:val="center"/>
          </w:tcPr>
          <w:p>
            <w:pPr>
              <w:jc w:val="center"/>
              <w:rPr>
                <w:rFonts w:ascii="宋体" w:hAnsi="宋体" w:cs="宋体"/>
                <w:sz w:val="24"/>
              </w:rPr>
            </w:pPr>
            <w:r>
              <w:rPr>
                <w:rFonts w:hint="eastAsia" w:ascii="宋体" w:hAnsi="宋体" w:cs="宋体"/>
                <w:sz w:val="24"/>
              </w:rPr>
              <w:t>2</w:t>
            </w:r>
          </w:p>
        </w:tc>
        <w:tc>
          <w:tcPr>
            <w:tcW w:w="992" w:type="dxa"/>
            <w:noWrap w:val="0"/>
            <w:vAlign w:val="center"/>
          </w:tcPr>
          <w:p>
            <w:pPr>
              <w:snapToGrid w:val="0"/>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noWrap w:val="0"/>
            <w:vAlign w:val="center"/>
          </w:tcPr>
          <w:p>
            <w:pPr>
              <w:snapToGrid w:val="0"/>
              <w:jc w:val="center"/>
              <w:rPr>
                <w:rFonts w:ascii="宋体" w:hAnsi="宋体" w:cs="宋体"/>
                <w:sz w:val="24"/>
              </w:rPr>
            </w:pPr>
          </w:p>
        </w:tc>
        <w:tc>
          <w:tcPr>
            <w:tcW w:w="2410" w:type="dxa"/>
            <w:noWrap w:val="0"/>
            <w:vAlign w:val="center"/>
          </w:tcPr>
          <w:p>
            <w:pPr>
              <w:snapToGrid w:val="0"/>
              <w:jc w:val="center"/>
              <w:rPr>
                <w:rFonts w:ascii="宋体" w:hAnsi="宋体" w:cs="宋体"/>
                <w:sz w:val="24"/>
              </w:rPr>
            </w:pPr>
          </w:p>
        </w:tc>
        <w:tc>
          <w:tcPr>
            <w:tcW w:w="2268" w:type="dxa"/>
            <w:noWrap w:val="0"/>
            <w:vAlign w:val="center"/>
          </w:tcPr>
          <w:p>
            <w:pPr>
              <w:snapToGrid w:val="0"/>
              <w:jc w:val="center"/>
              <w:rPr>
                <w:rFonts w:ascii="宋体" w:hAnsi="宋体" w:cs="宋体"/>
                <w:sz w:val="24"/>
              </w:rPr>
            </w:pPr>
          </w:p>
        </w:tc>
        <w:tc>
          <w:tcPr>
            <w:tcW w:w="2126" w:type="dxa"/>
            <w:noWrap w:val="0"/>
            <w:vAlign w:val="center"/>
          </w:tcPr>
          <w:p>
            <w:pPr>
              <w:jc w:val="center"/>
              <w:rPr>
                <w:rFonts w:ascii="宋体" w:hAnsi="宋体" w:cs="宋体"/>
                <w:sz w:val="24"/>
              </w:rPr>
            </w:pPr>
          </w:p>
        </w:tc>
        <w:tc>
          <w:tcPr>
            <w:tcW w:w="2127" w:type="dxa"/>
            <w:noWrap w:val="0"/>
            <w:vAlign w:val="center"/>
          </w:tcPr>
          <w:p>
            <w:pPr>
              <w:jc w:val="center"/>
              <w:rPr>
                <w:rFonts w:ascii="宋体" w:hAnsi="宋体" w:cs="宋体"/>
                <w:sz w:val="24"/>
              </w:rPr>
            </w:pPr>
          </w:p>
        </w:tc>
        <w:tc>
          <w:tcPr>
            <w:tcW w:w="2126"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jc w:val="center"/>
        </w:trPr>
        <w:tc>
          <w:tcPr>
            <w:tcW w:w="817" w:type="dxa"/>
            <w:noWrap w:val="0"/>
            <w:vAlign w:val="center"/>
          </w:tcPr>
          <w:p>
            <w:pPr>
              <w:jc w:val="center"/>
              <w:rPr>
                <w:rFonts w:ascii="宋体" w:hAnsi="宋体" w:cs="宋体"/>
                <w:sz w:val="24"/>
              </w:rPr>
            </w:pPr>
            <w:r>
              <w:rPr>
                <w:rFonts w:hint="eastAsia" w:ascii="宋体" w:hAnsi="宋体" w:cs="宋体"/>
                <w:sz w:val="24"/>
              </w:rPr>
              <w:t>…</w:t>
            </w:r>
          </w:p>
        </w:tc>
        <w:tc>
          <w:tcPr>
            <w:tcW w:w="992" w:type="dxa"/>
            <w:noWrap w:val="0"/>
            <w:vAlign w:val="center"/>
          </w:tcPr>
          <w:p>
            <w:pPr>
              <w:snapToGrid w:val="0"/>
              <w:jc w:val="center"/>
              <w:rPr>
                <w:rFonts w:ascii="宋体" w:hAnsi="宋体" w:cs="宋体"/>
                <w:sz w:val="24"/>
              </w:rPr>
            </w:pPr>
          </w:p>
        </w:tc>
        <w:tc>
          <w:tcPr>
            <w:tcW w:w="2268" w:type="dxa"/>
            <w:noWrap w:val="0"/>
            <w:vAlign w:val="center"/>
          </w:tcPr>
          <w:p>
            <w:pPr>
              <w:snapToGrid w:val="0"/>
              <w:jc w:val="center"/>
              <w:rPr>
                <w:rFonts w:ascii="宋体" w:hAnsi="宋体" w:cs="宋体"/>
                <w:sz w:val="24"/>
              </w:rPr>
            </w:pPr>
          </w:p>
        </w:tc>
        <w:tc>
          <w:tcPr>
            <w:tcW w:w="2410" w:type="dxa"/>
            <w:noWrap w:val="0"/>
            <w:vAlign w:val="center"/>
          </w:tcPr>
          <w:p>
            <w:pPr>
              <w:snapToGrid w:val="0"/>
              <w:jc w:val="center"/>
              <w:rPr>
                <w:rFonts w:ascii="宋体" w:hAnsi="宋体" w:cs="宋体"/>
                <w:sz w:val="24"/>
              </w:rPr>
            </w:pPr>
          </w:p>
        </w:tc>
        <w:tc>
          <w:tcPr>
            <w:tcW w:w="2268" w:type="dxa"/>
            <w:noWrap w:val="0"/>
            <w:vAlign w:val="center"/>
          </w:tcPr>
          <w:p>
            <w:pPr>
              <w:snapToGrid w:val="0"/>
              <w:jc w:val="center"/>
              <w:rPr>
                <w:rFonts w:ascii="宋体" w:hAnsi="宋体" w:cs="宋体"/>
                <w:sz w:val="24"/>
              </w:rPr>
            </w:pPr>
          </w:p>
        </w:tc>
        <w:tc>
          <w:tcPr>
            <w:tcW w:w="2126" w:type="dxa"/>
            <w:noWrap w:val="0"/>
            <w:vAlign w:val="center"/>
          </w:tcPr>
          <w:p>
            <w:pPr>
              <w:jc w:val="center"/>
              <w:rPr>
                <w:rFonts w:ascii="宋体" w:hAnsi="宋体" w:cs="宋体"/>
                <w:sz w:val="24"/>
              </w:rPr>
            </w:pPr>
          </w:p>
        </w:tc>
        <w:tc>
          <w:tcPr>
            <w:tcW w:w="2127" w:type="dxa"/>
            <w:noWrap w:val="0"/>
            <w:vAlign w:val="center"/>
          </w:tcPr>
          <w:p>
            <w:pPr>
              <w:jc w:val="center"/>
              <w:rPr>
                <w:rFonts w:ascii="宋体" w:hAnsi="宋体" w:cs="宋体"/>
                <w:sz w:val="24"/>
              </w:rPr>
            </w:pPr>
          </w:p>
        </w:tc>
        <w:tc>
          <w:tcPr>
            <w:tcW w:w="2126"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jc w:val="center"/>
        </w:trPr>
        <w:tc>
          <w:tcPr>
            <w:tcW w:w="817" w:type="dxa"/>
            <w:noWrap w:val="0"/>
            <w:vAlign w:val="center"/>
          </w:tcPr>
          <w:p>
            <w:pPr>
              <w:jc w:val="center"/>
              <w:rPr>
                <w:rFonts w:ascii="宋体" w:hAnsi="宋体" w:cs="宋体"/>
                <w:sz w:val="24"/>
              </w:rPr>
            </w:pPr>
          </w:p>
        </w:tc>
        <w:tc>
          <w:tcPr>
            <w:tcW w:w="992" w:type="dxa"/>
            <w:noWrap w:val="0"/>
            <w:vAlign w:val="center"/>
          </w:tcPr>
          <w:p>
            <w:pPr>
              <w:snapToGrid w:val="0"/>
              <w:jc w:val="center"/>
              <w:rPr>
                <w:rFonts w:ascii="宋体" w:hAnsi="宋体" w:cs="宋体"/>
                <w:sz w:val="24"/>
              </w:rPr>
            </w:pPr>
          </w:p>
        </w:tc>
        <w:tc>
          <w:tcPr>
            <w:tcW w:w="2268" w:type="dxa"/>
            <w:noWrap w:val="0"/>
            <w:vAlign w:val="center"/>
          </w:tcPr>
          <w:p>
            <w:pPr>
              <w:snapToGrid w:val="0"/>
              <w:jc w:val="center"/>
              <w:rPr>
                <w:rFonts w:ascii="宋体" w:hAnsi="宋体" w:cs="宋体"/>
                <w:sz w:val="24"/>
              </w:rPr>
            </w:pPr>
          </w:p>
        </w:tc>
        <w:tc>
          <w:tcPr>
            <w:tcW w:w="2410" w:type="dxa"/>
            <w:noWrap w:val="0"/>
            <w:vAlign w:val="center"/>
          </w:tcPr>
          <w:p>
            <w:pPr>
              <w:snapToGrid w:val="0"/>
              <w:jc w:val="center"/>
              <w:rPr>
                <w:rFonts w:ascii="宋体" w:hAnsi="宋体" w:cs="宋体"/>
                <w:sz w:val="24"/>
              </w:rPr>
            </w:pPr>
          </w:p>
        </w:tc>
        <w:tc>
          <w:tcPr>
            <w:tcW w:w="2268" w:type="dxa"/>
            <w:noWrap w:val="0"/>
            <w:vAlign w:val="center"/>
          </w:tcPr>
          <w:p>
            <w:pPr>
              <w:snapToGrid w:val="0"/>
              <w:jc w:val="center"/>
              <w:rPr>
                <w:rFonts w:ascii="宋体" w:hAnsi="宋体" w:cs="宋体"/>
                <w:sz w:val="24"/>
              </w:rPr>
            </w:pPr>
          </w:p>
        </w:tc>
        <w:tc>
          <w:tcPr>
            <w:tcW w:w="2126" w:type="dxa"/>
            <w:noWrap w:val="0"/>
            <w:vAlign w:val="center"/>
          </w:tcPr>
          <w:p>
            <w:pPr>
              <w:jc w:val="center"/>
              <w:rPr>
                <w:rFonts w:ascii="宋体" w:hAnsi="宋体" w:cs="宋体"/>
                <w:sz w:val="24"/>
              </w:rPr>
            </w:pPr>
          </w:p>
        </w:tc>
        <w:tc>
          <w:tcPr>
            <w:tcW w:w="2127" w:type="dxa"/>
            <w:noWrap w:val="0"/>
            <w:vAlign w:val="center"/>
          </w:tcPr>
          <w:p>
            <w:pPr>
              <w:jc w:val="center"/>
              <w:rPr>
                <w:rFonts w:ascii="宋体" w:hAnsi="宋体" w:cs="宋体"/>
                <w:sz w:val="24"/>
              </w:rPr>
            </w:pPr>
          </w:p>
        </w:tc>
        <w:tc>
          <w:tcPr>
            <w:tcW w:w="2126"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jc w:val="center"/>
        </w:trPr>
        <w:tc>
          <w:tcPr>
            <w:tcW w:w="817" w:type="dxa"/>
            <w:noWrap w:val="0"/>
            <w:vAlign w:val="center"/>
          </w:tcPr>
          <w:p>
            <w:pPr>
              <w:jc w:val="center"/>
              <w:rPr>
                <w:rFonts w:ascii="宋体" w:hAnsi="宋体" w:cs="宋体"/>
                <w:sz w:val="24"/>
              </w:rPr>
            </w:pPr>
          </w:p>
        </w:tc>
        <w:tc>
          <w:tcPr>
            <w:tcW w:w="992" w:type="dxa"/>
            <w:noWrap w:val="0"/>
            <w:vAlign w:val="center"/>
          </w:tcPr>
          <w:p>
            <w:pPr>
              <w:snapToGrid w:val="0"/>
              <w:jc w:val="center"/>
              <w:rPr>
                <w:rFonts w:ascii="宋体" w:hAnsi="宋体" w:cs="宋体"/>
                <w:sz w:val="24"/>
              </w:rPr>
            </w:pPr>
          </w:p>
        </w:tc>
        <w:tc>
          <w:tcPr>
            <w:tcW w:w="2268" w:type="dxa"/>
            <w:noWrap w:val="0"/>
            <w:vAlign w:val="center"/>
          </w:tcPr>
          <w:p>
            <w:pPr>
              <w:snapToGrid w:val="0"/>
              <w:jc w:val="center"/>
              <w:rPr>
                <w:rFonts w:ascii="宋体" w:hAnsi="宋体" w:cs="宋体"/>
                <w:sz w:val="24"/>
              </w:rPr>
            </w:pPr>
          </w:p>
        </w:tc>
        <w:tc>
          <w:tcPr>
            <w:tcW w:w="2410" w:type="dxa"/>
            <w:noWrap w:val="0"/>
            <w:vAlign w:val="center"/>
          </w:tcPr>
          <w:p>
            <w:pPr>
              <w:snapToGrid w:val="0"/>
              <w:jc w:val="center"/>
              <w:rPr>
                <w:rFonts w:ascii="宋体" w:hAnsi="宋体" w:cs="宋体"/>
                <w:sz w:val="24"/>
              </w:rPr>
            </w:pPr>
          </w:p>
        </w:tc>
        <w:tc>
          <w:tcPr>
            <w:tcW w:w="2268" w:type="dxa"/>
            <w:noWrap w:val="0"/>
            <w:vAlign w:val="center"/>
          </w:tcPr>
          <w:p>
            <w:pPr>
              <w:snapToGrid w:val="0"/>
              <w:jc w:val="center"/>
              <w:rPr>
                <w:rFonts w:ascii="宋体" w:hAnsi="宋体" w:cs="宋体"/>
                <w:sz w:val="24"/>
              </w:rPr>
            </w:pPr>
          </w:p>
        </w:tc>
        <w:tc>
          <w:tcPr>
            <w:tcW w:w="2126" w:type="dxa"/>
            <w:noWrap w:val="0"/>
            <w:vAlign w:val="center"/>
          </w:tcPr>
          <w:p>
            <w:pPr>
              <w:jc w:val="center"/>
              <w:rPr>
                <w:rFonts w:ascii="宋体" w:hAnsi="宋体" w:cs="宋体"/>
                <w:sz w:val="24"/>
              </w:rPr>
            </w:pPr>
          </w:p>
        </w:tc>
        <w:tc>
          <w:tcPr>
            <w:tcW w:w="2127" w:type="dxa"/>
            <w:noWrap w:val="0"/>
            <w:vAlign w:val="center"/>
          </w:tcPr>
          <w:p>
            <w:pPr>
              <w:jc w:val="center"/>
              <w:rPr>
                <w:rFonts w:ascii="宋体" w:hAnsi="宋体" w:cs="宋体"/>
                <w:sz w:val="24"/>
              </w:rPr>
            </w:pPr>
          </w:p>
        </w:tc>
        <w:tc>
          <w:tcPr>
            <w:tcW w:w="2126"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9" w:hRule="atLeast"/>
          <w:jc w:val="center"/>
        </w:trPr>
        <w:tc>
          <w:tcPr>
            <w:tcW w:w="6487" w:type="dxa"/>
            <w:gridSpan w:val="4"/>
            <w:noWrap w:val="0"/>
            <w:vAlign w:val="center"/>
          </w:tcPr>
          <w:p>
            <w:pPr>
              <w:jc w:val="center"/>
              <w:rPr>
                <w:rFonts w:ascii="宋体" w:hAnsi="宋体" w:cs="宋体"/>
                <w:b/>
                <w:sz w:val="24"/>
              </w:rPr>
            </w:pPr>
            <w:r>
              <w:rPr>
                <w:rFonts w:hint="eastAsia" w:ascii="宋体" w:hAnsi="宋体" w:cs="宋体"/>
                <w:b/>
                <w:sz w:val="24"/>
              </w:rPr>
              <w:t>投标报价（小写）</w:t>
            </w:r>
          </w:p>
        </w:tc>
        <w:tc>
          <w:tcPr>
            <w:tcW w:w="8647" w:type="dxa"/>
            <w:gridSpan w:val="4"/>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7" w:hRule="atLeast"/>
          <w:jc w:val="center"/>
        </w:trPr>
        <w:tc>
          <w:tcPr>
            <w:tcW w:w="6487" w:type="dxa"/>
            <w:gridSpan w:val="4"/>
            <w:noWrap w:val="0"/>
            <w:vAlign w:val="center"/>
          </w:tcPr>
          <w:p>
            <w:pPr>
              <w:jc w:val="center"/>
              <w:rPr>
                <w:rFonts w:ascii="宋体" w:hAnsi="宋体" w:cs="宋体"/>
                <w:b/>
                <w:sz w:val="24"/>
              </w:rPr>
            </w:pPr>
            <w:r>
              <w:rPr>
                <w:rFonts w:hint="eastAsia" w:ascii="宋体" w:hAnsi="宋体" w:cs="宋体"/>
                <w:b/>
                <w:sz w:val="24"/>
              </w:rPr>
              <w:t>投标报价（大写）</w:t>
            </w:r>
            <w:r>
              <w:rPr>
                <w:rFonts w:hint="eastAsia" w:hAnsi="宋体"/>
                <w:b/>
                <w:sz w:val="24"/>
              </w:rPr>
              <w:t>（大小写金额请一致）</w:t>
            </w:r>
          </w:p>
        </w:tc>
        <w:tc>
          <w:tcPr>
            <w:tcW w:w="8647" w:type="dxa"/>
            <w:gridSpan w:val="4"/>
            <w:noWrap w:val="0"/>
            <w:vAlign w:val="center"/>
          </w:tcPr>
          <w:p>
            <w:pPr>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800" w:bottom="1440" w:left="1800" w:header="851" w:footer="992" w:gutter="0"/>
          <w:cols w:space="720" w:num="1"/>
          <w:titlePg/>
          <w:docGrid w:linePitch="312" w:charSpace="0"/>
        </w:sectPr>
      </w:pPr>
    </w:p>
    <w:p>
      <w:pPr>
        <w:pStyle w:val="692"/>
        <w:keepNext w:val="0"/>
        <w:pageBreakBefore w:val="0"/>
        <w:tabs>
          <w:tab w:val="clear" w:pos="720"/>
        </w:tabs>
        <w:snapToGrid w:val="0"/>
        <w:spacing w:before="480" w:beforeLines="200" w:after="480" w:afterLines="200" w:line="240" w:lineRule="auto"/>
        <w:outlineLvl w:val="9"/>
        <w:rPr>
          <w:rFonts w:ascii="宋体" w:hAnsi="宋体" w:eastAsia="宋体" w:cs="宋体"/>
          <w:kern w:val="2"/>
          <w:sz w:val="28"/>
          <w:szCs w:val="28"/>
        </w:rPr>
      </w:pPr>
      <w:r>
        <w:rPr>
          <w:rFonts w:hint="eastAsia" w:ascii="宋体" w:hAnsi="宋体" w:eastAsia="宋体" w:cs="宋体"/>
          <w:kern w:val="2"/>
          <w:sz w:val="28"/>
          <w:szCs w:val="28"/>
        </w:rPr>
        <w:t>二、中小企业声明函（如果有）</w:t>
      </w:r>
    </w:p>
    <w:p>
      <w:pPr>
        <w:widowControl/>
        <w:spacing w:line="360" w:lineRule="auto"/>
        <w:jc w:val="left"/>
        <w:rPr>
          <w:rFonts w:ascii="宋体" w:hAnsi="宋体" w:cs="宋体"/>
          <w:b/>
          <w:sz w:val="24"/>
        </w:rPr>
        <w:sectPr>
          <w:pgSz w:w="11906" w:h="16838"/>
          <w:pgMar w:top="1440" w:right="1800" w:bottom="1440" w:left="1800" w:header="851" w:footer="992" w:gutter="0"/>
          <w:cols w:space="720" w:num="1"/>
          <w:titlePg/>
          <w:docGrid w:linePitch="312" w:charSpace="0"/>
        </w:sect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adjustRightInd/>
        <w:spacing w:before="480" w:beforeLines="200" w:after="240" w:afterLines="100" w:line="360" w:lineRule="auto"/>
        <w:jc w:val="center"/>
        <w:rPr>
          <w:rFonts w:ascii="宋体" w:hAnsi="宋体"/>
          <w:b/>
          <w:sz w:val="36"/>
          <w:szCs w:val="36"/>
        </w:rPr>
      </w:pPr>
      <w:r>
        <w:rPr>
          <w:rFonts w:hint="eastAsia" w:ascii="宋体" w:hAnsi="宋体"/>
          <w:b/>
          <w:sz w:val="36"/>
          <w:szCs w:val="36"/>
        </w:rPr>
        <w:t>附件</w:t>
      </w:r>
    </w:p>
    <w:p>
      <w:pPr>
        <w:spacing w:line="360" w:lineRule="auto"/>
        <w:rPr>
          <w:rFonts w:ascii="宋体" w:hAnsi="宋体" w:cs="宋体"/>
          <w:b/>
          <w:spacing w:val="6"/>
          <w:sz w:val="28"/>
          <w:szCs w:val="28"/>
        </w:rPr>
      </w:pPr>
      <w:r>
        <w:rPr>
          <w:rFonts w:hint="eastAsia" w:ascii="宋体" w:hAnsi="宋体" w:cs="宋体"/>
          <w:b/>
          <w:spacing w:val="6"/>
          <w:sz w:val="28"/>
          <w:szCs w:val="28"/>
        </w:rPr>
        <w:t>附件1：</w:t>
      </w:r>
    </w:p>
    <w:p>
      <w:pPr>
        <w:spacing w:before="480" w:beforeLines="200" w:after="480" w:afterLines="200"/>
        <w:jc w:val="center"/>
        <w:rPr>
          <w:rFonts w:ascii="宋体" w:hAnsi="宋体" w:cs="宋体"/>
          <w:b/>
          <w:spacing w:val="6"/>
          <w:sz w:val="28"/>
          <w:szCs w:val="28"/>
        </w:rPr>
      </w:pPr>
      <w:bookmarkStart w:id="512" w:name="OLE_LINK13"/>
      <w:bookmarkStart w:id="513" w:name="OLE_LINK14"/>
      <w:r>
        <w:rPr>
          <w:rFonts w:hint="eastAsia" w:ascii="宋体" w:hAnsi="宋体" w:cs="宋体"/>
          <w:b/>
          <w:spacing w:val="6"/>
          <w:sz w:val="28"/>
          <w:szCs w:val="28"/>
        </w:rPr>
        <w:t>残疾人福利性单位声明函</w:t>
      </w:r>
    </w:p>
    <w:bookmarkEnd w:id="512"/>
    <w:bookmarkEnd w:id="513"/>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rPr>
          <w:rFonts w:ascii="宋体" w:hAnsi="宋体" w:cs="宋体"/>
          <w:b/>
          <w:spacing w:val="6"/>
          <w:sz w:val="28"/>
          <w:szCs w:val="28"/>
        </w:rPr>
      </w:pPr>
      <w:r>
        <w:rPr>
          <w:rFonts w:ascii="宋体" w:hAnsi="宋体" w:cs="宋体"/>
          <w:b/>
          <w:spacing w:val="6"/>
          <w:sz w:val="32"/>
          <w:szCs w:val="32"/>
        </w:rPr>
        <w:br w:type="page"/>
      </w:r>
      <w:r>
        <w:rPr>
          <w:rFonts w:hint="eastAsia" w:ascii="宋体" w:hAnsi="宋体" w:cs="宋体"/>
          <w:b/>
          <w:spacing w:val="6"/>
          <w:sz w:val="28"/>
          <w:szCs w:val="28"/>
        </w:rPr>
        <w:t>附件2：质疑函范本及制作说明</w:t>
      </w:r>
    </w:p>
    <w:p>
      <w:pPr>
        <w:spacing w:before="480" w:beforeLines="200" w:after="480" w:afterLines="200"/>
        <w:jc w:val="center"/>
        <w:rPr>
          <w:rFonts w:ascii="宋体" w:hAnsi="宋体" w:cs="宋体"/>
          <w:b/>
          <w:spacing w:val="6"/>
          <w:sz w:val="28"/>
          <w:szCs w:val="28"/>
        </w:rPr>
      </w:pPr>
      <w:r>
        <w:rPr>
          <w:rFonts w:hint="eastAsia" w:ascii="宋体" w:hAnsi="宋体" w:cs="宋体"/>
          <w:b/>
          <w:spacing w:val="6"/>
          <w:sz w:val="28"/>
          <w:szCs w:val="28"/>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cs="宋体"/>
          <w:b/>
          <w:sz w:val="24"/>
        </w:rPr>
      </w:pPr>
      <w:r>
        <w:rPr>
          <w:rFonts w:ascii="宋体" w:hAnsi="宋体" w:cs="宋体"/>
          <w:b/>
          <w:spacing w:val="6"/>
          <w:sz w:val="32"/>
          <w:szCs w:val="32"/>
        </w:rPr>
        <w:br w:type="page"/>
      </w:r>
      <w:r>
        <w:rPr>
          <w:rFonts w:hint="eastAsia" w:ascii="宋体" w:hAnsi="宋体" w:cs="宋体"/>
          <w:b/>
          <w:spacing w:val="6"/>
          <w:sz w:val="28"/>
          <w:szCs w:val="28"/>
        </w:rPr>
        <w:t>附件3：投诉书范本及制作说明</w:t>
      </w:r>
    </w:p>
    <w:p>
      <w:pPr>
        <w:spacing w:before="480" w:beforeLines="200" w:after="480" w:afterLines="200"/>
        <w:jc w:val="center"/>
        <w:rPr>
          <w:rFonts w:ascii="宋体" w:hAnsi="宋体" w:cs="宋体"/>
          <w:b/>
          <w:spacing w:val="6"/>
          <w:sz w:val="28"/>
          <w:szCs w:val="28"/>
        </w:rPr>
      </w:pPr>
      <w:r>
        <w:rPr>
          <w:rFonts w:hint="eastAsia" w:ascii="宋体" w:hAnsi="宋体" w:cs="宋体"/>
          <w:b/>
          <w:spacing w:val="6"/>
          <w:sz w:val="28"/>
          <w:szCs w:val="28"/>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424" w:firstLineChars="177"/>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spacing w:val="6"/>
          <w:sz w:val="28"/>
          <w:szCs w:val="28"/>
        </w:rPr>
      </w:pPr>
      <w:r>
        <w:rPr>
          <w:rFonts w:ascii="宋体" w:hAnsi="宋体" w:cs="宋体"/>
          <w:b/>
          <w:spacing w:val="6"/>
          <w:sz w:val="32"/>
          <w:szCs w:val="32"/>
        </w:rPr>
        <w:br w:type="page"/>
      </w:r>
      <w:r>
        <w:rPr>
          <w:rFonts w:hint="eastAsia" w:ascii="宋体" w:hAnsi="宋体" w:cs="宋体"/>
          <w:b/>
          <w:spacing w:val="6"/>
          <w:sz w:val="28"/>
          <w:szCs w:val="28"/>
        </w:rPr>
        <w:t>附件4：</w:t>
      </w:r>
    </w:p>
    <w:p>
      <w:pPr>
        <w:spacing w:before="480" w:beforeLines="200" w:after="480" w:afterLines="200"/>
        <w:jc w:val="center"/>
        <w:rPr>
          <w:rFonts w:ascii="宋体" w:hAnsi="宋体" w:cs="宋体"/>
          <w:b/>
          <w:spacing w:val="6"/>
          <w:sz w:val="28"/>
          <w:szCs w:val="28"/>
        </w:rPr>
      </w:pPr>
      <w:r>
        <w:rPr>
          <w:rFonts w:hint="eastAsia" w:ascii="宋体" w:hAnsi="宋体" w:cs="宋体"/>
          <w:b/>
          <w:spacing w:val="6"/>
          <w:sz w:val="28"/>
          <w:szCs w:val="28"/>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hint="eastAsia" w:ascii="宋体" w:hAnsi="宋体" w:cs="宋体"/>
          <w:kern w:val="0"/>
          <w:sz w:val="24"/>
          <w:lang w:val="zh-CN"/>
        </w:rPr>
      </w:pP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你方组织的（项目名称）【项目编号：</w:t>
      </w:r>
      <w:r>
        <w:rPr>
          <w:rFonts w:ascii="宋体" w:hAnsi="宋体" w:cs="宋体"/>
          <w:kern w:val="0"/>
          <w:sz w:val="24"/>
        </w:rPr>
        <w:t>0625-23215663</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投标单位（法定名称章）：</w:t>
      </w:r>
    </w:p>
    <w:p>
      <w:pPr>
        <w:spacing w:line="360" w:lineRule="auto"/>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lang/>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i3Y6jS8CAACCBAAADgAAAGRycy9lMm9Eb2MueG1srVTL btswELwX6D8QvNd61I9GiBwEMVwUSJugaT+ApiiLKMlll7Rl9+u7opzUSXvIoToIXO1yODO71OXV wRq2Vxg0uJoXk5wz5SQ02m1r/v3b+t0HzkIUrhEGnKr5UQV+tXz75rL3lSqhA9MoZATiQtX7mncx +irLguyUFWECXjlKtoBWRApxmzUoekK3JivzfJ71gI1HkCoE+roak/yEiK8BhLbVUq1A7qxycURF ZUQkSaHTPvBlYtu2Ssa7tg0qMlNzUhrTmw6h9WZ4Z8tLUW1R+E7LEwXxGgovNFmhHR36BLUSUbAd 6r+grJYIAdo4kWCzUUhyhFQU+QtvHjrhVdJCVgf/ZHr4f7Dyy/4emW5oEjhzwlLDv5Jpwm2NYsVi 8Kf3oaKyB3+Pg8Lgb0H+CMzBTUdl6hoR+k6JhlgVQ332bMMQBNrKNv1naAhe7CIkqw4t2gGQTGCH 1JHjU0fUITJJH8tFPp3OZ5xJypXl7P28mKUzRPW43WOIHxVYNixqjsQ+wYv9bYgDHVE9liT6YHSz 1sakALebG4NsL2g81uk5oYfzMuNYX/OLWTlLyM9y4RwiT8+/IKyOdGuMtiTjvMi4gYdKk3ri++jY 6PwGmiO5hzCOLl1cWnSAvzjraWxrHn7uBCrOzCdHHbgoptNhzlMwnS1KCvA8sznPCCcJquaRs3F5 E8e7sfOotx2dVCTFDq6pa61Ofg78RlanXtNoJptP12iY/fM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CLdjqNLwIAAIIEAAAOAAAAAAAAAAEAIAAAACcBAABkcnMvZTJvRG9jLnht bFBLBQYAAAAABgAGAFkBAADIBQAAAAA= ">
                <v:fill on="t" focussize="0,0"/>
                <v:stroke color="#000000" miterlimit="2" joinstyle="miter"/>
                <v:imagedata o:title=""/>
                <o:lock v:ext="edit" aspectratio="f"/>
              </v:rect>
            </w:pict>
          </mc:Fallback>
        </mc:AlternateContent>
      </w:r>
      <w:r>
        <w:rPr>
          <w:rFonts w:ascii="宋体" w:hAnsi="宋体" w:cs="宋体"/>
          <w:b/>
          <w:bCs/>
          <w:sz w:val="24"/>
          <w:lang/>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H9hNy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YIzJyw1/CuZJtzGKJbP en86H0oqe/KP2CsM/h7kj8AcrFoqUzeI0LVK1MQq7+uzZxv6INBWtu4+Q03wYhshWbVv0PaAZALb p44czh1R+8gkfSxmk6v5lJolKVcU0/ezfJrOEOVpu8cQPyqwrF9UHIl9ghe7+xB7OqI8lST6YHR9 p41JAW7WK4NsJ2g87tJzRA+XZcaxruLzaTFNyM9y4RJinJ5/QVgd6dYYbUnGZZFxPQ+VJvXI9+TY 4Pwa6gO5hzCMLl1cWrSAvzjraGwrHn5uBSrOzCdHHZjnk0k/5ymYTK8KCvAys77MCCcJquKRs2G5 isPd2HrUm5ZOypNiBzfUtUYnP3t+A6tjr2k0k83Ha9TP/mWcqv78Opa/AV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C0f2E3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rPr>
          <w:rFonts w:hint="eastAsia" w:ascii="宋体" w:hAnsi="宋体" w:cs="宋体"/>
          <w:b/>
          <w:spacing w:val="6"/>
          <w:sz w:val="28"/>
          <w:szCs w:val="28"/>
        </w:rPr>
      </w:pPr>
      <w:r>
        <w:rPr>
          <w:rFonts w:ascii="宋体" w:hAnsi="宋体" w:cs="宋体"/>
          <w:b/>
          <w:spacing w:val="6"/>
          <w:sz w:val="32"/>
          <w:szCs w:val="32"/>
        </w:rPr>
        <w:br w:type="page"/>
      </w:r>
      <w:r>
        <w:rPr>
          <w:rFonts w:hint="eastAsia" w:ascii="宋体" w:hAnsi="宋体" w:cs="宋体"/>
          <w:b/>
          <w:spacing w:val="6"/>
          <w:sz w:val="28"/>
          <w:szCs w:val="28"/>
        </w:rPr>
        <w:t>附件</w:t>
      </w:r>
      <w:r>
        <w:rPr>
          <w:rFonts w:ascii="宋体" w:hAnsi="宋体" w:cs="宋体"/>
          <w:b/>
          <w:spacing w:val="6"/>
          <w:sz w:val="28"/>
          <w:szCs w:val="28"/>
        </w:rPr>
        <w:t>5</w:t>
      </w:r>
      <w:r>
        <w:rPr>
          <w:rFonts w:hint="eastAsia" w:ascii="宋体" w:hAnsi="宋体" w:cs="宋体"/>
          <w:b/>
          <w:spacing w:val="6"/>
          <w:sz w:val="28"/>
          <w:szCs w:val="28"/>
        </w:rPr>
        <w:t>：</w:t>
      </w:r>
    </w:p>
    <w:p>
      <w:pPr>
        <w:spacing w:before="480" w:beforeLines="200" w:after="480" w:afterLines="200"/>
        <w:jc w:val="center"/>
        <w:rPr>
          <w:rFonts w:ascii="宋体" w:hAnsi="宋体" w:cs="宋体"/>
          <w:b/>
          <w:spacing w:val="6"/>
          <w:sz w:val="28"/>
          <w:szCs w:val="28"/>
        </w:rPr>
      </w:pPr>
      <w:r>
        <w:rPr>
          <w:rFonts w:hint="eastAsia" w:ascii="宋体" w:hAnsi="宋体" w:cs="宋体"/>
          <w:b/>
          <w:spacing w:val="6"/>
          <w:sz w:val="28"/>
          <w:szCs w:val="28"/>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（项目名称）【项目编号：</w:t>
      </w:r>
      <w:r>
        <w:rPr>
          <w:rFonts w:ascii="宋体" w:hAnsi="宋体" w:cs="宋体"/>
          <w:kern w:val="0"/>
          <w:sz w:val="24"/>
        </w:rPr>
        <w:t>0625-23215663</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pacing w:line="360" w:lineRule="auto"/>
        <w:rPr>
          <w:rFonts w:ascii="宋体" w:hAnsi="宋体"/>
          <w:sz w:val="24"/>
        </w:rPr>
      </w:pPr>
    </w:p>
    <w:p>
      <w:pPr>
        <w:snapToGrid w:val="0"/>
        <w:spacing w:line="360" w:lineRule="auto"/>
        <w:rPr>
          <w:rFonts w:ascii="宋体" w:hAnsi="宋体" w:cs="宋体"/>
          <w:kern w:val="0"/>
          <w:sz w:val="24"/>
          <w:lang w:val="zh-CN"/>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联合体成员名称(电子签名/公章)：</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联合体成员名称(电子签名/公章)：</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日期：  年  月   日</w:t>
      </w:r>
    </w:p>
    <w:p>
      <w:pPr>
        <w:spacing w:line="360" w:lineRule="auto"/>
        <w:ind w:right="420"/>
        <w:rPr>
          <w:rFonts w:hint="eastAsia" w:ascii="宋体" w:hAnsi="宋体" w:cs="宋体"/>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rPr>
          <w:rFonts w:hint="eastAsia" w:ascii="宋体" w:hAnsi="宋体" w:cs="宋体"/>
          <w:b/>
          <w:spacing w:val="6"/>
          <w:sz w:val="28"/>
          <w:szCs w:val="28"/>
        </w:rPr>
      </w:pPr>
      <w:r>
        <w:rPr>
          <w:rFonts w:ascii="宋体" w:hAnsi="宋体" w:cs="宋体"/>
          <w:b/>
          <w:spacing w:val="6"/>
          <w:sz w:val="32"/>
          <w:szCs w:val="32"/>
        </w:rPr>
        <w:br w:type="page"/>
      </w:r>
      <w:r>
        <w:rPr>
          <w:rFonts w:hint="eastAsia" w:ascii="宋体" w:hAnsi="宋体" w:cs="宋体"/>
          <w:b/>
          <w:spacing w:val="6"/>
          <w:sz w:val="28"/>
          <w:szCs w:val="28"/>
        </w:rPr>
        <w:t>附件</w:t>
      </w:r>
      <w:r>
        <w:rPr>
          <w:rFonts w:ascii="宋体" w:hAnsi="宋体" w:cs="宋体"/>
          <w:b/>
          <w:spacing w:val="6"/>
          <w:sz w:val="28"/>
          <w:szCs w:val="28"/>
        </w:rPr>
        <w:t>6</w:t>
      </w:r>
      <w:r>
        <w:rPr>
          <w:rFonts w:hint="eastAsia" w:ascii="宋体" w:hAnsi="宋体" w:cs="宋体"/>
          <w:b/>
          <w:spacing w:val="6"/>
          <w:sz w:val="28"/>
          <w:szCs w:val="28"/>
        </w:rPr>
        <w:t>：</w:t>
      </w:r>
    </w:p>
    <w:p>
      <w:pPr>
        <w:spacing w:before="480" w:beforeLines="200" w:after="480" w:afterLines="200"/>
        <w:jc w:val="center"/>
        <w:rPr>
          <w:rFonts w:ascii="宋体" w:hAnsi="宋体" w:cs="宋体"/>
          <w:b/>
          <w:spacing w:val="6"/>
          <w:sz w:val="28"/>
          <w:szCs w:val="28"/>
        </w:rPr>
      </w:pPr>
      <w:r>
        <w:rPr>
          <w:rFonts w:hint="eastAsia" w:ascii="宋体" w:hAnsi="宋体" w:cs="宋体"/>
          <w:b/>
          <w:spacing w:val="6"/>
          <w:sz w:val="28"/>
          <w:szCs w:val="28"/>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（项目名称）【项目编号：</w:t>
      </w:r>
      <w:r>
        <w:rPr>
          <w:rFonts w:ascii="宋体" w:hAnsi="宋体" w:cs="宋体"/>
          <w:kern w:val="0"/>
          <w:sz w:val="24"/>
        </w:rPr>
        <w:t>0625-23215663</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w:t>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投标人名称(电子签名/公章)：</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分包供应商名称(电子签名/公章)：</w:t>
      </w:r>
    </w:p>
    <w:p>
      <w:pPr>
        <w:snapToGrid w:val="0"/>
        <w:spacing w:line="360" w:lineRule="auto"/>
        <w:jc w:val="left"/>
        <w:rPr>
          <w:rFonts w:ascii="宋体" w:hAnsi="宋体" w:cs="宋体"/>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w:t>
      </w:r>
    </w:p>
    <w:p>
      <w:pPr>
        <w:spacing w:line="360" w:lineRule="auto"/>
        <w:jc w:val="left"/>
        <w:rPr>
          <w:rFonts w:ascii="宋体" w:hAnsi="宋体" w:cs="宋体"/>
          <w:kern w:val="0"/>
          <w:sz w:val="24"/>
          <w:lang w:val="zh-CN"/>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日期：  年  月   日</w:t>
      </w:r>
    </w:p>
    <w:p>
      <w:pPr>
        <w:spacing w:line="360" w:lineRule="auto"/>
        <w:ind w:right="420"/>
        <w:rPr>
          <w:rFonts w:hint="eastAsia" w:ascii="宋体" w:hAnsi="宋体" w:cs="宋体"/>
          <w:sz w:val="24"/>
        </w:rPr>
      </w:pPr>
    </w:p>
    <w:p>
      <w:pPr>
        <w:snapToGrid w:val="0"/>
        <w:spacing w:line="360" w:lineRule="auto"/>
        <w:ind w:left="5758" w:leftChars="342" w:hanging="5040" w:hangingChars="2100"/>
        <w:rPr>
          <w:rFonts w:ascii="宋体" w:hAnsi="宋体" w:cs="宋体"/>
          <w:kern w:val="0"/>
          <w:sz w:val="24"/>
          <w:lang w:val="zh-CN"/>
        </w:rPr>
      </w:pP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spacing w:line="360" w:lineRule="auto"/>
        <w:rPr>
          <w:rFonts w:hint="eastAsia" w:ascii="宋体" w:hAnsi="宋体" w:cs="宋体"/>
          <w:b/>
          <w:spacing w:val="6"/>
          <w:sz w:val="28"/>
          <w:szCs w:val="28"/>
        </w:rPr>
      </w:pPr>
      <w:r>
        <w:rPr>
          <w:rFonts w:ascii="宋体" w:hAnsi="宋体" w:cs="宋体"/>
          <w:b/>
          <w:sz w:val="32"/>
          <w:szCs w:val="32"/>
        </w:rPr>
        <w:br w:type="page"/>
      </w:r>
      <w:r>
        <w:rPr>
          <w:rFonts w:hint="eastAsia" w:ascii="宋体" w:hAnsi="宋体" w:cs="宋体"/>
          <w:b/>
          <w:spacing w:val="6"/>
          <w:sz w:val="28"/>
          <w:szCs w:val="28"/>
        </w:rPr>
        <w:t>附件</w:t>
      </w:r>
      <w:r>
        <w:rPr>
          <w:rFonts w:ascii="宋体" w:hAnsi="宋体" w:cs="宋体"/>
          <w:b/>
          <w:spacing w:val="6"/>
          <w:sz w:val="28"/>
          <w:szCs w:val="28"/>
        </w:rPr>
        <w:t>7</w:t>
      </w:r>
      <w:r>
        <w:rPr>
          <w:rFonts w:hint="eastAsia" w:ascii="宋体" w:hAnsi="宋体" w:cs="宋体"/>
          <w:b/>
          <w:spacing w:val="6"/>
          <w:sz w:val="28"/>
          <w:szCs w:val="28"/>
        </w:rPr>
        <w:t>：</w:t>
      </w:r>
    </w:p>
    <w:p>
      <w:pPr>
        <w:spacing w:before="480" w:beforeLines="200" w:after="480" w:afterLines="200"/>
        <w:jc w:val="center"/>
        <w:rPr>
          <w:rFonts w:ascii="宋体" w:hAnsi="宋体" w:cs="宋体"/>
          <w:b/>
          <w:spacing w:val="6"/>
          <w:sz w:val="28"/>
          <w:szCs w:val="28"/>
        </w:rPr>
      </w:pPr>
      <w:r>
        <w:rPr>
          <w:rFonts w:hint="eastAsia" w:ascii="宋体" w:hAnsi="宋体" w:cs="宋体"/>
          <w:b/>
          <w:spacing w:val="6"/>
          <w:sz w:val="28"/>
          <w:szCs w:val="28"/>
        </w:rPr>
        <w:t>中小企业声明函（服务）</w:t>
      </w:r>
    </w:p>
    <w:p>
      <w:pPr>
        <w:spacing w:line="360" w:lineRule="auto"/>
        <w:ind w:firstLine="480" w:firstLineChars="20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（采购人）</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200"/>
        <w:jc w:val="left"/>
        <w:rPr>
          <w:rFonts w:hint="eastAsia" w:ascii="宋体" w:hAnsi="宋体" w:cs="宋体"/>
          <w:sz w:val="24"/>
        </w:rPr>
      </w:pPr>
    </w:p>
    <w:p>
      <w:pPr>
        <w:spacing w:line="360" w:lineRule="auto"/>
        <w:ind w:firstLine="200"/>
        <w:jc w:val="left"/>
        <w:rPr>
          <w:rFonts w:hint="eastAsia" w:ascii="宋体" w:hAnsi="宋体" w:cs="宋体"/>
          <w:sz w:val="24"/>
        </w:rPr>
      </w:pPr>
    </w:p>
    <w:p>
      <w:pPr>
        <w:spacing w:line="360" w:lineRule="auto"/>
        <w:jc w:val="lef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投标人名称（电子签名）：</w:t>
      </w:r>
    </w:p>
    <w:p>
      <w:pPr>
        <w:spacing w:line="360" w:lineRule="auto"/>
        <w:ind w:firstLine="200"/>
        <w:jc w:val="left"/>
        <w:rPr>
          <w:rFonts w:hint="eastAsia" w:ascii="宋体" w:hAnsi="宋体" w:cs="宋体"/>
          <w:sz w:val="24"/>
        </w:rPr>
      </w:pPr>
    </w:p>
    <w:p>
      <w:pPr>
        <w:spacing w:line="360" w:lineRule="auto"/>
        <w:jc w:val="left"/>
        <w:rPr>
          <w:rFonts w:ascii="宋体" w:hAnsi="宋体" w:cs="宋体"/>
          <w:sz w:val="24"/>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ind w:firstLine="200"/>
        <w:jc w:val="left"/>
        <w:rPr>
          <w:rFonts w:hint="eastAsia" w:ascii="宋体" w:hAnsi="宋体" w:cs="宋体"/>
          <w:b/>
          <w:sz w:val="24"/>
        </w:rPr>
      </w:pPr>
    </w:p>
    <w:p>
      <w:pPr>
        <w:spacing w:line="360" w:lineRule="auto"/>
        <w:ind w:firstLine="200"/>
        <w:jc w:val="left"/>
        <w:rPr>
          <w:rFonts w:hint="eastAsia" w:ascii="宋体" w:hAnsi="宋体" w:cs="宋体"/>
          <w:b/>
          <w:sz w:val="24"/>
        </w:rPr>
      </w:pPr>
    </w:p>
    <w:p>
      <w:pPr>
        <w:spacing w:line="360" w:lineRule="auto"/>
        <w:jc w:val="left"/>
        <w:rPr>
          <w:rFonts w:ascii="宋体" w:hAnsi="宋体" w:cs="宋体"/>
          <w:b/>
          <w:sz w:val="24"/>
        </w:rPr>
      </w:pPr>
      <w:r>
        <w:rPr>
          <w:rFonts w:hint="eastAsia" w:ascii="宋体" w:hAnsi="宋体" w:cs="宋体"/>
          <w:b/>
          <w:sz w:val="24"/>
        </w:rPr>
        <w:t>从业人员、营业收入、资产总额填报上一年度数据，无上一年度数据的新成立企业可不填报。</w:t>
      </w:r>
    </w:p>
    <w:p>
      <w:pPr>
        <w:spacing w:line="360" w:lineRule="auto"/>
        <w:jc w:val="left"/>
        <w:rPr>
          <w:rFonts w:ascii="宋体" w:hAnsi="宋体" w:cs="宋体"/>
          <w:sz w:val="24"/>
        </w:rPr>
      </w:pPr>
      <w:r>
        <w:rPr>
          <w:rFonts w:hint="eastAsia" w:ascii="宋体" w:hAnsi="宋体" w:cs="宋体"/>
          <w:sz w:val="24"/>
        </w:rPr>
        <w:t xml:space="preserve">    注：</w:t>
      </w:r>
    </w:p>
    <w:p>
      <w:pPr>
        <w:spacing w:line="360" w:lineRule="auto"/>
        <w:ind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left"/>
        <w:rPr>
          <w:rFonts w:hint="eastAsia" w:ascii="宋体" w:hAnsi="宋体" w:cs="宋体"/>
          <w:b/>
          <w:color w:val="000000"/>
          <w:spacing w:val="6"/>
          <w:sz w:val="28"/>
          <w:szCs w:val="28"/>
        </w:rPr>
      </w:pPr>
      <w:r>
        <w:rPr>
          <w:rFonts w:ascii="宋体" w:hAnsi="宋体" w:cs="宋体"/>
          <w:b/>
          <w:color w:val="FF0000"/>
          <w:kern w:val="0"/>
          <w:sz w:val="24"/>
        </w:rPr>
        <w:br w:type="page"/>
      </w:r>
      <w:r>
        <w:rPr>
          <w:rFonts w:hint="eastAsia" w:ascii="宋体" w:hAnsi="宋体" w:cs="宋体"/>
          <w:b/>
          <w:color w:val="000000"/>
          <w:spacing w:val="6"/>
          <w:sz w:val="28"/>
          <w:szCs w:val="28"/>
        </w:rPr>
        <w:t>附件8：</w:t>
      </w:r>
    </w:p>
    <w:p>
      <w:pPr>
        <w:spacing w:before="480" w:beforeLines="200" w:after="480" w:afterLines="200"/>
        <w:jc w:val="center"/>
        <w:rPr>
          <w:rFonts w:hint="eastAsia" w:ascii="宋体" w:hAnsi="宋体" w:cs="宋体"/>
          <w:b/>
          <w:color w:val="000000"/>
          <w:spacing w:val="6"/>
          <w:sz w:val="28"/>
          <w:szCs w:val="28"/>
        </w:rPr>
      </w:pPr>
      <w:r>
        <w:rPr>
          <w:rFonts w:hint="eastAsia" w:ascii="宋体" w:hAnsi="宋体" w:cs="宋体"/>
          <w:b/>
          <w:color w:val="000000"/>
          <w:spacing w:val="6"/>
          <w:sz w:val="28"/>
          <w:szCs w:val="28"/>
        </w:rPr>
        <w:t>代理服务费支付承诺书</w:t>
      </w:r>
    </w:p>
    <w:p>
      <w:pPr>
        <w:spacing w:line="360" w:lineRule="auto"/>
        <w:jc w:val="left"/>
        <w:rPr>
          <w:rFonts w:hint="eastAsia" w:ascii="宋体" w:hAnsi="宋体"/>
          <w:color w:val="000000"/>
          <w:sz w:val="24"/>
        </w:rPr>
      </w:pPr>
      <w:r>
        <w:rPr>
          <w:rFonts w:hint="eastAsia" w:ascii="宋体" w:hAnsi="宋体"/>
          <w:color w:val="000000"/>
          <w:sz w:val="24"/>
        </w:rPr>
        <w:t>致：浙江省国际技术设备招标有限公司：</w:t>
      </w:r>
    </w:p>
    <w:p>
      <w:pPr>
        <w:spacing w:line="360" w:lineRule="auto"/>
        <w:jc w:val="left"/>
        <w:rPr>
          <w:rFonts w:ascii="宋体" w:hAnsi="宋体"/>
          <w:color w:val="000000"/>
          <w:sz w:val="24"/>
        </w:rPr>
      </w:pP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我公司已认真阅读了</w:t>
      </w:r>
      <w:r>
        <w:rPr>
          <w:rFonts w:ascii="宋体" w:hAnsi="宋体"/>
          <w:color w:val="000000"/>
          <w:sz w:val="24"/>
        </w:rPr>
        <w:t>医共体医疗设备维保外包项目</w:t>
      </w:r>
      <w:r>
        <w:rPr>
          <w:rFonts w:hint="eastAsia" w:ascii="宋体" w:hAnsi="宋体"/>
          <w:color w:val="000000"/>
          <w:sz w:val="24"/>
        </w:rPr>
        <w:t>招标文件（项目编号：</w:t>
      </w:r>
      <w:r>
        <w:rPr>
          <w:rFonts w:ascii="宋体" w:hAnsi="宋体" w:cs="宋体"/>
          <w:kern w:val="0"/>
          <w:sz w:val="24"/>
        </w:rPr>
        <w:t>0625-23215663</w:t>
      </w:r>
      <w:r>
        <w:rPr>
          <w:rFonts w:hint="eastAsia" w:ascii="宋体" w:hAnsi="宋体"/>
          <w:color w:val="000000"/>
          <w:sz w:val="24"/>
        </w:rPr>
        <w:t>）并在此承诺：</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如中标，我公司将自中标结果公告发布之日起5个工作日内按招标文件规定的标准（金额）一次性向采购代理机构支付代理服务费。</w:t>
      </w:r>
    </w:p>
    <w:p>
      <w:pPr>
        <w:spacing w:line="360" w:lineRule="auto"/>
        <w:jc w:val="left"/>
        <w:rPr>
          <w:rFonts w:ascii="宋体" w:hAnsi="宋体"/>
          <w:color w:val="000000"/>
          <w:sz w:val="24"/>
        </w:rPr>
      </w:pPr>
    </w:p>
    <w:p>
      <w:pPr>
        <w:spacing w:line="360" w:lineRule="auto"/>
        <w:jc w:val="left"/>
        <w:rPr>
          <w:rFonts w:ascii="宋体" w:hAnsi="宋体"/>
          <w:color w:val="000000"/>
          <w:sz w:val="24"/>
        </w:rPr>
      </w:pPr>
    </w:p>
    <w:p>
      <w:pPr>
        <w:spacing w:line="360" w:lineRule="auto"/>
        <w:jc w:val="left"/>
        <w:rPr>
          <w:rFonts w:ascii="宋体" w:hAnsi="宋体"/>
          <w:color w:val="000000"/>
          <w:sz w:val="24"/>
        </w:rPr>
      </w:pPr>
    </w:p>
    <w:p>
      <w:pPr>
        <w:spacing w:line="360" w:lineRule="auto"/>
        <w:jc w:val="left"/>
        <w:rPr>
          <w:rFonts w:ascii="宋体" w:hAnsi="宋体"/>
          <w:color w:val="000000"/>
          <w:sz w:val="24"/>
        </w:rPr>
      </w:pPr>
    </w:p>
    <w:p>
      <w:pPr>
        <w:spacing w:line="360" w:lineRule="auto"/>
        <w:jc w:val="left"/>
        <w:rPr>
          <w:rFonts w:hint="eastAsia" w:ascii="宋体" w:hAnsi="宋体"/>
          <w:color w:val="000000"/>
          <w:sz w:val="24"/>
        </w:rPr>
      </w:pPr>
      <w:r>
        <w:rPr>
          <w:rFonts w:hint="eastAsia" w:ascii="宋体" w:hAnsi="宋体"/>
          <w:color w:val="000000"/>
          <w:sz w:val="24"/>
        </w:rPr>
        <w:t>承诺方（投标人）法定名称：</w:t>
      </w:r>
      <w:r>
        <w:rPr>
          <w:rFonts w:hint="eastAsia" w:ascii="宋体" w:hAnsi="宋体"/>
          <w:color w:val="000000"/>
          <w:sz w:val="24"/>
          <w:u w:val="single"/>
        </w:rPr>
        <w:t xml:space="preserve">          （盖章）         </w:t>
      </w:r>
    </w:p>
    <w:p>
      <w:pPr>
        <w:spacing w:line="360" w:lineRule="auto"/>
        <w:jc w:val="left"/>
        <w:rPr>
          <w:rFonts w:hint="eastAsia" w:ascii="宋体" w:hAnsi="宋体"/>
          <w:color w:val="000000"/>
          <w:sz w:val="24"/>
        </w:rPr>
      </w:pPr>
      <w:r>
        <w:rPr>
          <w:rFonts w:hint="eastAsia" w:ascii="宋体" w:hAnsi="宋体"/>
          <w:color w:val="000000"/>
          <w:sz w:val="24"/>
        </w:rPr>
        <w:t>承诺方（投标人）法定地址：</w:t>
      </w:r>
      <w:r>
        <w:rPr>
          <w:rFonts w:hint="eastAsia" w:ascii="宋体" w:hAnsi="宋体"/>
          <w:color w:val="000000"/>
          <w:sz w:val="24"/>
          <w:u w:val="single"/>
        </w:rPr>
        <w:t xml:space="preserve">                           </w:t>
      </w:r>
    </w:p>
    <w:p>
      <w:pPr>
        <w:spacing w:line="360" w:lineRule="auto"/>
        <w:jc w:val="left"/>
        <w:rPr>
          <w:rFonts w:hint="eastAsia" w:ascii="宋体" w:hAnsi="宋体"/>
          <w:color w:val="000000"/>
          <w:sz w:val="24"/>
          <w:u w:val="single"/>
        </w:rPr>
      </w:pP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 xml:space="preserve">  联系传真：</w:t>
      </w:r>
      <w:r>
        <w:rPr>
          <w:rFonts w:hint="eastAsia" w:ascii="宋体" w:hAnsi="宋体"/>
          <w:color w:val="000000"/>
          <w:sz w:val="24"/>
          <w:u w:val="single"/>
        </w:rPr>
        <w:t xml:space="preserve">               </w:t>
      </w:r>
    </w:p>
    <w:p>
      <w:pPr>
        <w:spacing w:line="360" w:lineRule="auto"/>
        <w:ind w:right="420"/>
        <w:rPr>
          <w:rFonts w:ascii="宋体" w:hAnsi="宋体" w:cs="宋体"/>
          <w:color w:val="000000"/>
        </w:rPr>
      </w:pPr>
      <w:r>
        <w:rPr>
          <w:rFonts w:hint="eastAsia" w:ascii="宋体" w:hAnsi="宋体"/>
          <w:color w:val="000000"/>
          <w:sz w:val="24"/>
        </w:rPr>
        <w:t>承诺日期：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rPr>
          <w:rFonts w:ascii="宋体" w:hAnsi="宋体" w:cs="宋体"/>
          <w:bCs/>
          <w:color w:val="000000"/>
          <w:sz w:val="24"/>
        </w:rPr>
      </w:pPr>
    </w:p>
    <w:sectPr>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E0002AFF" w:usb1="C0007843"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E00002FF" w:usb1="6AC7FDFB"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w:instrText>
    </w:r>
    <w:r>
      <w:rPr>
        <w:rFonts w:hint="eastAsia" w:ascii="仿宋_GB2312" w:eastAsia="仿宋_GB2312"/>
        <w:kern w:val="0"/>
        <w:szCs w:val="21"/>
        <w:lang w:eastAsia="zh-CN"/>
      </w:rPr>
      <w:instrText xml:space="preserve">=</w:instrText>
    </w:r>
    <w:r>
      <w:rPr>
        <w:rFonts w:ascii="仿宋_GB2312" w:eastAsia="仿宋_GB2312"/>
        <w:kern w:val="0"/>
        <w:szCs w:val="21"/>
        <w:lang w:eastAsia="zh-CN"/>
      </w:rPr>
      <w:fldChar w:fldCharType="begin"/>
    </w:r>
    <w:r>
      <w:rPr>
        <w:rFonts w:ascii="仿宋_GB2312" w:eastAsia="仿宋_GB2312"/>
        <w:kern w:val="0"/>
        <w:szCs w:val="21"/>
        <w:lang w:eastAsia="zh-CN"/>
      </w:rPr>
      <w:instrText xml:space="preserve"> </w:instrText>
    </w:r>
    <w:r>
      <w:rPr>
        <w:rFonts w:hint="eastAsia" w:ascii="仿宋_GB2312" w:eastAsia="仿宋_GB2312"/>
        <w:kern w:val="0"/>
        <w:szCs w:val="21"/>
      </w:rPr>
      <w:instrText xml:space="preserve">NUMPAGES</w:instrText>
    </w:r>
    <w:r>
      <w:rPr>
        <w:rFonts w:ascii="仿宋_GB2312" w:eastAsia="仿宋_GB2312"/>
        <w:kern w:val="0"/>
        <w:szCs w:val="21"/>
        <w:lang w:eastAsia="zh-CN"/>
      </w:rPr>
      <w:instrText xml:space="preserve"> </w:instrText>
    </w:r>
    <w:r>
      <w:rPr>
        <w:rFonts w:ascii="仿宋_GB2312" w:eastAsia="仿宋_GB2312"/>
        <w:kern w:val="0"/>
        <w:szCs w:val="21"/>
        <w:lang w:eastAsia="zh-CN"/>
      </w:rPr>
      <w:fldChar w:fldCharType="separate"/>
    </w:r>
    <w:r>
      <w:rPr>
        <w:rFonts w:ascii="仿宋_GB2312" w:eastAsia="仿宋_GB2312"/>
        <w:kern w:val="0"/>
        <w:szCs w:val="21"/>
        <w:lang/>
      </w:rPr>
      <w:instrText xml:space="preserve">72</w:instrText>
    </w:r>
    <w:r>
      <w:rPr>
        <w:rFonts w:ascii="仿宋_GB2312" w:eastAsia="仿宋_GB2312"/>
        <w:kern w:val="0"/>
        <w:szCs w:val="21"/>
        <w:lang w:eastAsia="zh-CN"/>
      </w:rPr>
      <w:fldChar w:fldCharType="end"/>
    </w:r>
    <w:r>
      <w:rPr>
        <w:rFonts w:hint="eastAsia" w:ascii="仿宋_GB2312" w:eastAsia="仿宋_GB2312"/>
        <w:kern w:val="0"/>
        <w:szCs w:val="21"/>
        <w:lang w:eastAsia="zh-CN"/>
      </w:rPr>
      <w:instrText xml:space="preserve">-2</w:instrText>
    </w:r>
    <w:r>
      <w:rPr>
        <w:rFonts w:hint="eastAsia" w:ascii="仿宋_GB2312" w:eastAsia="仿宋_GB2312"/>
        <w:kern w:val="0"/>
        <w:szCs w:val="21"/>
      </w:rPr>
      <w:instrText xml:space="preserve"> </w:instrText>
    </w:r>
    <w:r>
      <w:rPr>
        <w:rFonts w:hint="eastAsia" w:ascii="仿宋_GB2312" w:eastAsia="仿宋_GB2312"/>
        <w:kern w:val="0"/>
        <w:szCs w:val="21"/>
      </w:rPr>
      <w:fldChar w:fldCharType="separate"/>
    </w:r>
    <w:r>
      <w:rPr>
        <w:rFonts w:ascii="仿宋_GB2312" w:eastAsia="仿宋_GB2312"/>
        <w:kern w:val="0"/>
        <w:szCs w:val="21"/>
        <w:lang/>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w:instrText>
    </w:r>
    <w:r>
      <w:rPr>
        <w:rFonts w:hint="eastAsia" w:ascii="仿宋_GB2312" w:eastAsia="仿宋_GB2312"/>
        <w:kern w:val="0"/>
        <w:szCs w:val="21"/>
        <w:lang w:eastAsia="zh-CN"/>
      </w:rPr>
      <w:instrText xml:space="preserve">=</w:instrText>
    </w:r>
    <w:r>
      <w:rPr>
        <w:rFonts w:ascii="仿宋_GB2312" w:eastAsia="仿宋_GB2312"/>
        <w:kern w:val="0"/>
        <w:szCs w:val="21"/>
        <w:lang w:eastAsia="zh-CN"/>
      </w:rPr>
      <w:fldChar w:fldCharType="begin"/>
    </w:r>
    <w:r>
      <w:rPr>
        <w:rFonts w:ascii="仿宋_GB2312" w:eastAsia="仿宋_GB2312"/>
        <w:kern w:val="0"/>
        <w:szCs w:val="21"/>
        <w:lang w:eastAsia="zh-CN"/>
      </w:rPr>
      <w:instrText xml:space="preserve"> </w:instrText>
    </w:r>
    <w:r>
      <w:rPr>
        <w:rFonts w:hint="eastAsia" w:ascii="仿宋_GB2312" w:eastAsia="仿宋_GB2312"/>
        <w:kern w:val="0"/>
        <w:szCs w:val="21"/>
      </w:rPr>
      <w:instrText xml:space="preserve">NUMPAGES</w:instrText>
    </w:r>
    <w:r>
      <w:rPr>
        <w:rFonts w:ascii="仿宋_GB2312" w:eastAsia="仿宋_GB2312"/>
        <w:kern w:val="0"/>
        <w:szCs w:val="21"/>
        <w:lang w:eastAsia="zh-CN"/>
      </w:rPr>
      <w:instrText xml:space="preserve"> </w:instrText>
    </w:r>
    <w:r>
      <w:rPr>
        <w:rFonts w:ascii="仿宋_GB2312" w:eastAsia="仿宋_GB2312"/>
        <w:kern w:val="0"/>
        <w:szCs w:val="21"/>
        <w:lang w:eastAsia="zh-CN"/>
      </w:rPr>
      <w:fldChar w:fldCharType="separate"/>
    </w:r>
    <w:r>
      <w:rPr>
        <w:rFonts w:ascii="仿宋_GB2312" w:eastAsia="仿宋_GB2312"/>
        <w:kern w:val="0"/>
        <w:szCs w:val="21"/>
        <w:lang/>
      </w:rPr>
      <w:instrText xml:space="preserve">72</w:instrText>
    </w:r>
    <w:r>
      <w:rPr>
        <w:rFonts w:ascii="仿宋_GB2312" w:eastAsia="仿宋_GB2312"/>
        <w:kern w:val="0"/>
        <w:szCs w:val="21"/>
        <w:lang w:eastAsia="zh-CN"/>
      </w:rPr>
      <w:fldChar w:fldCharType="end"/>
    </w:r>
    <w:r>
      <w:rPr>
        <w:rFonts w:hint="eastAsia" w:ascii="仿宋_GB2312" w:eastAsia="仿宋_GB2312"/>
        <w:kern w:val="0"/>
        <w:szCs w:val="21"/>
        <w:lang w:eastAsia="zh-CN"/>
      </w:rPr>
      <w:instrText xml:space="preserve">-2</w:instrText>
    </w:r>
    <w:r>
      <w:rPr>
        <w:rFonts w:hint="eastAsia" w:ascii="仿宋_GB2312" w:eastAsia="仿宋_GB2312"/>
        <w:kern w:val="0"/>
        <w:szCs w:val="21"/>
      </w:rPr>
      <w:instrText xml:space="preserve"> </w:instrText>
    </w:r>
    <w:r>
      <w:rPr>
        <w:rFonts w:hint="eastAsia" w:ascii="仿宋_GB2312" w:eastAsia="仿宋_GB2312"/>
        <w:kern w:val="0"/>
        <w:szCs w:val="21"/>
      </w:rPr>
      <w:fldChar w:fldCharType="separate"/>
    </w:r>
    <w:r>
      <w:rPr>
        <w:rFonts w:ascii="仿宋_GB2312" w:eastAsia="仿宋_GB2312"/>
        <w:kern w:val="0"/>
        <w:szCs w:val="21"/>
        <w:lang/>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1481C"/>
    <w:multiLevelType w:val="multilevel"/>
    <w:tmpl w:val="3011481C"/>
    <w:lvl w:ilvl="0" w:tentative="0">
      <w:start w:val="2"/>
      <w:numFmt w:val="decimal"/>
      <w:lvlText w:val="%1、"/>
      <w:lvlJc w:val="left"/>
      <w:pPr>
        <w:tabs>
          <w:tab w:val="left" w:pos="360"/>
        </w:tabs>
        <w:ind w:left="360" w:hanging="360"/>
      </w:pPr>
      <w:rPr>
        <w:rFonts w:hint="default" w:ascii="Times New Roman" w:hAnsi="Times New Roman"/>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EBB3C4B"/>
    <w:multiLevelType w:val="singleLevel"/>
    <w:tmpl w:val="5EBB3C4B"/>
    <w:lvl w:ilvl="0" w:tentative="0">
      <w:start w:val="1"/>
      <w:numFmt w:val="chineseCounting"/>
      <w:suff w:val="nothing"/>
      <w:lvlText w:val="%1、"/>
      <w:lvlJc w:val="left"/>
    </w:lvl>
  </w:abstractNum>
  <w:abstractNum w:abstractNumId="2">
    <w:nsid w:val="710F0F7D"/>
    <w:multiLevelType w:val="multilevel"/>
    <w:tmpl w:val="710F0F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MTY1OTMxOTY2Zjk1ZDMxMDNjMjczMzVmOTk0Nz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8CC"/>
    <w:rsid w:val="00020B5F"/>
    <w:rsid w:val="000211BC"/>
    <w:rsid w:val="0002207B"/>
    <w:rsid w:val="0002278F"/>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182"/>
    <w:rsid w:val="00047354"/>
    <w:rsid w:val="00050656"/>
    <w:rsid w:val="00050A19"/>
    <w:rsid w:val="000511B6"/>
    <w:rsid w:val="00051B00"/>
    <w:rsid w:val="00051C72"/>
    <w:rsid w:val="00052192"/>
    <w:rsid w:val="0005238F"/>
    <w:rsid w:val="00052787"/>
    <w:rsid w:val="000529F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8EF"/>
    <w:rsid w:val="00082AD4"/>
    <w:rsid w:val="00083E07"/>
    <w:rsid w:val="000843DE"/>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A8F"/>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5F38"/>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05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6F3D"/>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76"/>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AF"/>
    <w:rsid w:val="001524DC"/>
    <w:rsid w:val="001525E5"/>
    <w:rsid w:val="00152918"/>
    <w:rsid w:val="00153859"/>
    <w:rsid w:val="00153915"/>
    <w:rsid w:val="001539F0"/>
    <w:rsid w:val="00154BBA"/>
    <w:rsid w:val="00155B95"/>
    <w:rsid w:val="00156853"/>
    <w:rsid w:val="00157432"/>
    <w:rsid w:val="00160A84"/>
    <w:rsid w:val="00161185"/>
    <w:rsid w:val="001620BA"/>
    <w:rsid w:val="001623AC"/>
    <w:rsid w:val="00162BAA"/>
    <w:rsid w:val="00162BD7"/>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991"/>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339"/>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9B2"/>
    <w:rsid w:val="001A3335"/>
    <w:rsid w:val="001A3C16"/>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3F0"/>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8AB"/>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C46"/>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3E41"/>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56B"/>
    <w:rsid w:val="00270780"/>
    <w:rsid w:val="00270CF6"/>
    <w:rsid w:val="00271097"/>
    <w:rsid w:val="00271C53"/>
    <w:rsid w:val="0027244F"/>
    <w:rsid w:val="002727E7"/>
    <w:rsid w:val="00272E32"/>
    <w:rsid w:val="00273052"/>
    <w:rsid w:val="002739CE"/>
    <w:rsid w:val="00273C5F"/>
    <w:rsid w:val="00273E11"/>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E9F"/>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004"/>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68F4"/>
    <w:rsid w:val="002E7EC1"/>
    <w:rsid w:val="002E7EE5"/>
    <w:rsid w:val="002F0323"/>
    <w:rsid w:val="002F0DFB"/>
    <w:rsid w:val="002F134F"/>
    <w:rsid w:val="002F1D0B"/>
    <w:rsid w:val="002F1E1D"/>
    <w:rsid w:val="002F1F02"/>
    <w:rsid w:val="002F27E5"/>
    <w:rsid w:val="002F2D81"/>
    <w:rsid w:val="002F2F66"/>
    <w:rsid w:val="002F39D4"/>
    <w:rsid w:val="002F4BA9"/>
    <w:rsid w:val="002F52FB"/>
    <w:rsid w:val="002F541B"/>
    <w:rsid w:val="002F5BFE"/>
    <w:rsid w:val="002F5DA5"/>
    <w:rsid w:val="002F5E17"/>
    <w:rsid w:val="002F647C"/>
    <w:rsid w:val="002F6C6B"/>
    <w:rsid w:val="002F6CB0"/>
    <w:rsid w:val="002F6EFF"/>
    <w:rsid w:val="002F7DF0"/>
    <w:rsid w:val="002F7FAF"/>
    <w:rsid w:val="00300573"/>
    <w:rsid w:val="003010BF"/>
    <w:rsid w:val="003025FE"/>
    <w:rsid w:val="00302A27"/>
    <w:rsid w:val="00303AB6"/>
    <w:rsid w:val="00304640"/>
    <w:rsid w:val="00304AC1"/>
    <w:rsid w:val="00305090"/>
    <w:rsid w:val="00305454"/>
    <w:rsid w:val="00305B9F"/>
    <w:rsid w:val="00305E21"/>
    <w:rsid w:val="003066C6"/>
    <w:rsid w:val="003066FA"/>
    <w:rsid w:val="00306AD6"/>
    <w:rsid w:val="00307683"/>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952"/>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C1"/>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055"/>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2DA"/>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0E2"/>
    <w:rsid w:val="004375E1"/>
    <w:rsid w:val="00437A2F"/>
    <w:rsid w:val="00440262"/>
    <w:rsid w:val="004406BF"/>
    <w:rsid w:val="00440814"/>
    <w:rsid w:val="004408AE"/>
    <w:rsid w:val="0044105D"/>
    <w:rsid w:val="00441424"/>
    <w:rsid w:val="00442731"/>
    <w:rsid w:val="00442C12"/>
    <w:rsid w:val="004434DF"/>
    <w:rsid w:val="0044354B"/>
    <w:rsid w:val="00444575"/>
    <w:rsid w:val="0044493E"/>
    <w:rsid w:val="00444A1F"/>
    <w:rsid w:val="00444FC6"/>
    <w:rsid w:val="00445874"/>
    <w:rsid w:val="00445C38"/>
    <w:rsid w:val="0044686B"/>
    <w:rsid w:val="00447326"/>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18C"/>
    <w:rsid w:val="00456272"/>
    <w:rsid w:val="004570EF"/>
    <w:rsid w:val="00457517"/>
    <w:rsid w:val="00457CF7"/>
    <w:rsid w:val="00457D37"/>
    <w:rsid w:val="0046028A"/>
    <w:rsid w:val="00460E3A"/>
    <w:rsid w:val="00460E68"/>
    <w:rsid w:val="004614BC"/>
    <w:rsid w:val="004619A5"/>
    <w:rsid w:val="00461AB8"/>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D92"/>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085"/>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901"/>
    <w:rsid w:val="00497AAD"/>
    <w:rsid w:val="00497BD7"/>
    <w:rsid w:val="00497D1A"/>
    <w:rsid w:val="004A00C9"/>
    <w:rsid w:val="004A03D0"/>
    <w:rsid w:val="004A1049"/>
    <w:rsid w:val="004A1AFA"/>
    <w:rsid w:val="004A1EA7"/>
    <w:rsid w:val="004A26F5"/>
    <w:rsid w:val="004A2891"/>
    <w:rsid w:val="004A2EF8"/>
    <w:rsid w:val="004A3A21"/>
    <w:rsid w:val="004A407A"/>
    <w:rsid w:val="004A4E3B"/>
    <w:rsid w:val="004A6110"/>
    <w:rsid w:val="004A61B8"/>
    <w:rsid w:val="004A6415"/>
    <w:rsid w:val="004A64F9"/>
    <w:rsid w:val="004A65F4"/>
    <w:rsid w:val="004A6D2C"/>
    <w:rsid w:val="004A7D01"/>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1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4BF5"/>
    <w:rsid w:val="005256D6"/>
    <w:rsid w:val="00525AD8"/>
    <w:rsid w:val="00525D56"/>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201"/>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B7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7F7"/>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FB"/>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1E31"/>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0E2C"/>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00E"/>
    <w:rsid w:val="00662D3D"/>
    <w:rsid w:val="00662F1F"/>
    <w:rsid w:val="00663619"/>
    <w:rsid w:val="00663D15"/>
    <w:rsid w:val="00665030"/>
    <w:rsid w:val="00665670"/>
    <w:rsid w:val="006659EA"/>
    <w:rsid w:val="006661E8"/>
    <w:rsid w:val="00666424"/>
    <w:rsid w:val="0066676C"/>
    <w:rsid w:val="006673A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2DE4"/>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381"/>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C2E"/>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8CF"/>
    <w:rsid w:val="006E727B"/>
    <w:rsid w:val="006E76C8"/>
    <w:rsid w:val="006E793F"/>
    <w:rsid w:val="006E7A92"/>
    <w:rsid w:val="006E7F55"/>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7FB"/>
    <w:rsid w:val="0072198A"/>
    <w:rsid w:val="00721AD9"/>
    <w:rsid w:val="00721FC3"/>
    <w:rsid w:val="00722A86"/>
    <w:rsid w:val="00722BC6"/>
    <w:rsid w:val="00722C69"/>
    <w:rsid w:val="0072311F"/>
    <w:rsid w:val="0072388C"/>
    <w:rsid w:val="0072454E"/>
    <w:rsid w:val="007249D1"/>
    <w:rsid w:val="00724A6A"/>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45E4"/>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8F0"/>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3E9B"/>
    <w:rsid w:val="0081497F"/>
    <w:rsid w:val="00814B90"/>
    <w:rsid w:val="00814FC7"/>
    <w:rsid w:val="0081660C"/>
    <w:rsid w:val="00816AD8"/>
    <w:rsid w:val="00817195"/>
    <w:rsid w:val="00817416"/>
    <w:rsid w:val="00817658"/>
    <w:rsid w:val="008206AE"/>
    <w:rsid w:val="00820A36"/>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47BF"/>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05D"/>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623"/>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75D"/>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D59"/>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1E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AC3"/>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FF4"/>
    <w:rsid w:val="00947BA5"/>
    <w:rsid w:val="00950805"/>
    <w:rsid w:val="009517E4"/>
    <w:rsid w:val="009518D4"/>
    <w:rsid w:val="009520BC"/>
    <w:rsid w:val="009521D2"/>
    <w:rsid w:val="00952403"/>
    <w:rsid w:val="00952589"/>
    <w:rsid w:val="00952BD8"/>
    <w:rsid w:val="00953573"/>
    <w:rsid w:val="0095370A"/>
    <w:rsid w:val="009537C0"/>
    <w:rsid w:val="009551E7"/>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9CA"/>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47C"/>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2A"/>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5B03"/>
    <w:rsid w:val="009B66F5"/>
    <w:rsid w:val="009B7505"/>
    <w:rsid w:val="009B7AD2"/>
    <w:rsid w:val="009C0020"/>
    <w:rsid w:val="009C03F7"/>
    <w:rsid w:val="009C096C"/>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F7"/>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A4C"/>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EBA"/>
    <w:rsid w:val="00AA6F6C"/>
    <w:rsid w:val="00AA721D"/>
    <w:rsid w:val="00AA7519"/>
    <w:rsid w:val="00AA790A"/>
    <w:rsid w:val="00AB02EA"/>
    <w:rsid w:val="00AB110C"/>
    <w:rsid w:val="00AB1C1B"/>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036"/>
    <w:rsid w:val="00AC0432"/>
    <w:rsid w:val="00AC0770"/>
    <w:rsid w:val="00AC1683"/>
    <w:rsid w:val="00AC1D82"/>
    <w:rsid w:val="00AC2D5F"/>
    <w:rsid w:val="00AC4094"/>
    <w:rsid w:val="00AC42B6"/>
    <w:rsid w:val="00AC4AB7"/>
    <w:rsid w:val="00AC4BD5"/>
    <w:rsid w:val="00AC51E0"/>
    <w:rsid w:val="00AC5338"/>
    <w:rsid w:val="00AC6D24"/>
    <w:rsid w:val="00AC6E18"/>
    <w:rsid w:val="00AC7170"/>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FA9"/>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0B1"/>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60"/>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A3C"/>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5D4D"/>
    <w:rsid w:val="00B66054"/>
    <w:rsid w:val="00B6677F"/>
    <w:rsid w:val="00B66C7A"/>
    <w:rsid w:val="00B672EA"/>
    <w:rsid w:val="00B6747B"/>
    <w:rsid w:val="00B67893"/>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E10"/>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69B"/>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47"/>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B38"/>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1FB"/>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5FD"/>
    <w:rsid w:val="00C65BD3"/>
    <w:rsid w:val="00C664FB"/>
    <w:rsid w:val="00C665DE"/>
    <w:rsid w:val="00C666A0"/>
    <w:rsid w:val="00C667C3"/>
    <w:rsid w:val="00C6728B"/>
    <w:rsid w:val="00C70718"/>
    <w:rsid w:val="00C70B25"/>
    <w:rsid w:val="00C71528"/>
    <w:rsid w:val="00C717E4"/>
    <w:rsid w:val="00C7191B"/>
    <w:rsid w:val="00C71F09"/>
    <w:rsid w:val="00C71F31"/>
    <w:rsid w:val="00C72588"/>
    <w:rsid w:val="00C727B9"/>
    <w:rsid w:val="00C72F44"/>
    <w:rsid w:val="00C73670"/>
    <w:rsid w:val="00C7372C"/>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1D0"/>
    <w:rsid w:val="00CA5685"/>
    <w:rsid w:val="00CA6A2E"/>
    <w:rsid w:val="00CA6B56"/>
    <w:rsid w:val="00CA79D3"/>
    <w:rsid w:val="00CA7D3E"/>
    <w:rsid w:val="00CB0317"/>
    <w:rsid w:val="00CB0662"/>
    <w:rsid w:val="00CB0A82"/>
    <w:rsid w:val="00CB0F2F"/>
    <w:rsid w:val="00CB0F76"/>
    <w:rsid w:val="00CB1556"/>
    <w:rsid w:val="00CB2913"/>
    <w:rsid w:val="00CB3970"/>
    <w:rsid w:val="00CB42B9"/>
    <w:rsid w:val="00CB4550"/>
    <w:rsid w:val="00CB4E62"/>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189"/>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E11"/>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802"/>
    <w:rsid w:val="00D815E6"/>
    <w:rsid w:val="00D81A28"/>
    <w:rsid w:val="00D81BDE"/>
    <w:rsid w:val="00D8201D"/>
    <w:rsid w:val="00D82B00"/>
    <w:rsid w:val="00D82B04"/>
    <w:rsid w:val="00D82BE4"/>
    <w:rsid w:val="00D82E05"/>
    <w:rsid w:val="00D83C0D"/>
    <w:rsid w:val="00D83C80"/>
    <w:rsid w:val="00D83F5B"/>
    <w:rsid w:val="00D8539D"/>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4"/>
    <w:rsid w:val="00D9384E"/>
    <w:rsid w:val="00D93AEE"/>
    <w:rsid w:val="00D9413E"/>
    <w:rsid w:val="00D94C8D"/>
    <w:rsid w:val="00D95F88"/>
    <w:rsid w:val="00D96698"/>
    <w:rsid w:val="00D96876"/>
    <w:rsid w:val="00D96940"/>
    <w:rsid w:val="00D96A2A"/>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FCB"/>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5DE"/>
    <w:rsid w:val="00E058DB"/>
    <w:rsid w:val="00E05950"/>
    <w:rsid w:val="00E05CD4"/>
    <w:rsid w:val="00E05DE8"/>
    <w:rsid w:val="00E06100"/>
    <w:rsid w:val="00E0614E"/>
    <w:rsid w:val="00E06E97"/>
    <w:rsid w:val="00E07B8F"/>
    <w:rsid w:val="00E105CE"/>
    <w:rsid w:val="00E10712"/>
    <w:rsid w:val="00E10DD1"/>
    <w:rsid w:val="00E10E48"/>
    <w:rsid w:val="00E1224C"/>
    <w:rsid w:val="00E1254C"/>
    <w:rsid w:val="00E12BDF"/>
    <w:rsid w:val="00E13326"/>
    <w:rsid w:val="00E13D07"/>
    <w:rsid w:val="00E14356"/>
    <w:rsid w:val="00E14961"/>
    <w:rsid w:val="00E14D76"/>
    <w:rsid w:val="00E15183"/>
    <w:rsid w:val="00E15CA5"/>
    <w:rsid w:val="00E15D6C"/>
    <w:rsid w:val="00E1720B"/>
    <w:rsid w:val="00E203DE"/>
    <w:rsid w:val="00E203EE"/>
    <w:rsid w:val="00E20CE7"/>
    <w:rsid w:val="00E217B1"/>
    <w:rsid w:val="00E222FA"/>
    <w:rsid w:val="00E229CE"/>
    <w:rsid w:val="00E22B4A"/>
    <w:rsid w:val="00E23C21"/>
    <w:rsid w:val="00E2449B"/>
    <w:rsid w:val="00E24A62"/>
    <w:rsid w:val="00E24F52"/>
    <w:rsid w:val="00E255CC"/>
    <w:rsid w:val="00E25636"/>
    <w:rsid w:val="00E25755"/>
    <w:rsid w:val="00E25F90"/>
    <w:rsid w:val="00E266DD"/>
    <w:rsid w:val="00E26D2E"/>
    <w:rsid w:val="00E279B2"/>
    <w:rsid w:val="00E303C0"/>
    <w:rsid w:val="00E3055B"/>
    <w:rsid w:val="00E30FA4"/>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391"/>
    <w:rsid w:val="00E46A6B"/>
    <w:rsid w:val="00E46A9C"/>
    <w:rsid w:val="00E47DB1"/>
    <w:rsid w:val="00E50BDD"/>
    <w:rsid w:val="00E50D6F"/>
    <w:rsid w:val="00E510CF"/>
    <w:rsid w:val="00E513D7"/>
    <w:rsid w:val="00E519FE"/>
    <w:rsid w:val="00E5206C"/>
    <w:rsid w:val="00E52AAB"/>
    <w:rsid w:val="00E5448E"/>
    <w:rsid w:val="00E54E0D"/>
    <w:rsid w:val="00E55247"/>
    <w:rsid w:val="00E558E5"/>
    <w:rsid w:val="00E55B3C"/>
    <w:rsid w:val="00E56788"/>
    <w:rsid w:val="00E56795"/>
    <w:rsid w:val="00E57932"/>
    <w:rsid w:val="00E606C4"/>
    <w:rsid w:val="00E60811"/>
    <w:rsid w:val="00E60AB8"/>
    <w:rsid w:val="00E6103E"/>
    <w:rsid w:val="00E6185F"/>
    <w:rsid w:val="00E61D32"/>
    <w:rsid w:val="00E63C60"/>
    <w:rsid w:val="00E64050"/>
    <w:rsid w:val="00E64B7B"/>
    <w:rsid w:val="00E64CEE"/>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4B0C"/>
    <w:rsid w:val="00E75667"/>
    <w:rsid w:val="00E756D3"/>
    <w:rsid w:val="00E75A5A"/>
    <w:rsid w:val="00E76004"/>
    <w:rsid w:val="00E7608F"/>
    <w:rsid w:val="00E760D7"/>
    <w:rsid w:val="00E769CC"/>
    <w:rsid w:val="00E76E26"/>
    <w:rsid w:val="00E77124"/>
    <w:rsid w:val="00E77341"/>
    <w:rsid w:val="00E7783E"/>
    <w:rsid w:val="00E778B8"/>
    <w:rsid w:val="00E77DFA"/>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84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BB4"/>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41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1C"/>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18"/>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CFC"/>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3F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3EB"/>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E26585"/>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E5D35"/>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2F16BD"/>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5">
    <w:name w:val="Normal Indent"/>
    <w:basedOn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8"/>
    <w:qFormat/>
    <w:uiPriority w:val="0"/>
    <w:pPr>
      <w:shd w:val="clear" w:color="auto" w:fill="000080"/>
    </w:pPr>
  </w:style>
  <w:style w:type="paragraph" w:styleId="19">
    <w:name w:val="annotation text"/>
    <w:basedOn w:val="1"/>
    <w:link w:val="89"/>
    <w:qFormat/>
    <w:uiPriority w:val="99"/>
    <w:pPr>
      <w:jc w:val="left"/>
    </w:pPr>
  </w:style>
  <w:style w:type="paragraph" w:styleId="20">
    <w:name w:val="Salutation"/>
    <w:basedOn w:val="1"/>
    <w:next w:val="1"/>
    <w:link w:val="90"/>
    <w:qFormat/>
    <w:uiPriority w:val="0"/>
    <w:rPr>
      <w:rFonts w:ascii="仿宋_GB2312" w:eastAsia="仿宋_GB2312"/>
      <w:sz w:val="28"/>
      <w:szCs w:val="20"/>
    </w:rPr>
  </w:style>
  <w:style w:type="paragraph" w:styleId="21">
    <w:name w:val="Body Text 3"/>
    <w:basedOn w:val="1"/>
    <w:link w:val="9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6"/>
    <w:qFormat/>
    <w:uiPriority w:val="0"/>
    <w:pPr>
      <w:ind w:left="100" w:leftChars="2500"/>
    </w:pPr>
    <w:rPr>
      <w:rFonts w:ascii="宋体"/>
      <w:sz w:val="24"/>
      <w:szCs w:val="21"/>
      <w:lang w:val="zh-CN"/>
    </w:rPr>
  </w:style>
  <w:style w:type="paragraph" w:styleId="36">
    <w:name w:val="Body Text Indent 2"/>
    <w:basedOn w:val="1"/>
    <w:link w:val="97"/>
    <w:qFormat/>
    <w:uiPriority w:val="0"/>
    <w:pPr>
      <w:spacing w:line="360" w:lineRule="auto"/>
      <w:ind w:firstLine="601"/>
      <w:textAlignment w:val="baseline"/>
    </w:pPr>
    <w:rPr>
      <w:rFonts w:ascii="宋体"/>
      <w:kern w:val="0"/>
      <w:sz w:val="28"/>
      <w:szCs w:val="20"/>
    </w:rPr>
  </w:style>
  <w:style w:type="paragraph" w:styleId="37">
    <w:name w:val="endnote text"/>
    <w:basedOn w:val="1"/>
    <w:link w:val="98"/>
    <w:qFormat/>
    <w:uiPriority w:val="0"/>
    <w:rPr>
      <w:lang w:val="zh-CN"/>
    </w:rPr>
  </w:style>
  <w:style w:type="paragraph" w:styleId="38">
    <w:name w:val="Balloon Text"/>
    <w:basedOn w:val="1"/>
    <w:link w:val="99"/>
    <w:qFormat/>
    <w:uiPriority w:val="0"/>
    <w:rPr>
      <w:sz w:val="18"/>
      <w:szCs w:val="18"/>
    </w:rPr>
  </w:style>
  <w:style w:type="paragraph" w:styleId="39">
    <w:name w:val="footer"/>
    <w:basedOn w:val="1"/>
    <w:link w:val="100"/>
    <w:qFormat/>
    <w:uiPriority w:val="99"/>
    <w:pPr>
      <w:tabs>
        <w:tab w:val="center" w:pos="4153"/>
        <w:tab w:val="right" w:pos="8306"/>
      </w:tabs>
      <w:snapToGrid w:val="0"/>
      <w:jc w:val="left"/>
    </w:pPr>
    <w:rPr>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3"/>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6"/>
    <w:qFormat/>
    <w:uiPriority w:val="0"/>
    <w:pPr>
      <w:spacing w:after="120" w:line="480" w:lineRule="auto"/>
    </w:p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9"/>
    <w:qFormat/>
    <w:uiPriority w:val="0"/>
    <w:rPr>
      <w:b/>
      <w:bCs/>
    </w:rPr>
  </w:style>
  <w:style w:type="paragraph" w:styleId="60">
    <w:name w:val="Body Text First Indent"/>
    <w:basedOn w:val="23"/>
    <w:link w:val="110"/>
    <w:qFormat/>
    <w:uiPriority w:val="0"/>
    <w:pPr>
      <w:ind w:firstLine="420"/>
    </w:pPr>
    <w:rPr>
      <w:rFonts w:hAnsi="Times New Roman" w:cs="Times New Roman"/>
      <w:snapToGrid/>
      <w:szCs w:val="20"/>
    </w:rPr>
  </w:style>
  <w:style w:type="paragraph" w:styleId="61">
    <w:name w:val="Body Text First Indent 2"/>
    <w:basedOn w:val="24"/>
    <w:link w:val="11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2"/>
      </w:tblPr>
      <w:tcPr>
        <w:tcBorders>
          <w:top w:val="nil"/>
          <w:left w:val="single" w:color="000000" w:sz="12" w:space="0"/>
          <w:bottom w:val="nil"/>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正文缩进 Char2"/>
    <w:link w:val="5"/>
    <w:qFormat/>
    <w:uiPriority w:val="0"/>
    <w:rPr>
      <w:rFonts w:ascii="宋体" w:eastAsia="宋体"/>
      <w:snapToGrid w:val="0"/>
      <w:color w:val="000000"/>
      <w:kern w:val="28"/>
      <w:sz w:val="28"/>
      <w:lang w:val="en-US" w:eastAsia="zh-CN" w:bidi="ar-SA"/>
    </w:rPr>
  </w:style>
  <w:style w:type="character" w:customStyle="1" w:styleId="81">
    <w:name w:val="标题 4 Char2"/>
    <w:link w:val="6"/>
    <w:qFormat/>
    <w:uiPriority w:val="9"/>
    <w:rPr>
      <w:rFonts w:ascii="Arial" w:hAnsi="Arial" w:eastAsia="黑体"/>
      <w:b/>
      <w:bCs/>
      <w:kern w:val="2"/>
      <w:sz w:val="28"/>
      <w:szCs w:val="28"/>
      <w:lang w:val="zh-CN"/>
    </w:rPr>
  </w:style>
  <w:style w:type="character" w:customStyle="1" w:styleId="82">
    <w:name w:val="标题 5 Char"/>
    <w:link w:val="7"/>
    <w:qFormat/>
    <w:uiPriority w:val="9"/>
    <w:rPr>
      <w:b/>
      <w:bCs/>
      <w:kern w:val="2"/>
      <w:sz w:val="28"/>
      <w:szCs w:val="28"/>
    </w:rPr>
  </w:style>
  <w:style w:type="character" w:customStyle="1" w:styleId="83">
    <w:name w:val="标题 6 Char"/>
    <w:link w:val="8"/>
    <w:qFormat/>
    <w:uiPriority w:val="0"/>
    <w:rPr>
      <w:rFonts w:ascii="Arial" w:hAnsi="Arial" w:eastAsia="黑体"/>
      <w:b/>
      <w:bCs/>
      <w:kern w:val="2"/>
      <w:sz w:val="24"/>
      <w:szCs w:val="24"/>
    </w:rPr>
  </w:style>
  <w:style w:type="character" w:customStyle="1" w:styleId="84">
    <w:name w:val="标题 7 Char"/>
    <w:link w:val="9"/>
    <w:qFormat/>
    <w:uiPriority w:val="0"/>
    <w:rPr>
      <w:b/>
      <w:bCs/>
      <w:kern w:val="2"/>
      <w:sz w:val="24"/>
      <w:szCs w:val="24"/>
    </w:rPr>
  </w:style>
  <w:style w:type="character" w:customStyle="1" w:styleId="85">
    <w:name w:val="标题 8 Char"/>
    <w:link w:val="10"/>
    <w:qFormat/>
    <w:uiPriority w:val="0"/>
    <w:rPr>
      <w:rFonts w:ascii="Arial" w:hAnsi="Arial" w:eastAsia="黑体"/>
      <w:kern w:val="2"/>
      <w:sz w:val="24"/>
      <w:szCs w:val="24"/>
    </w:rPr>
  </w:style>
  <w:style w:type="character" w:customStyle="1" w:styleId="86">
    <w:name w:val="标题 9 Char"/>
    <w:link w:val="11"/>
    <w:qFormat/>
    <w:uiPriority w:val="0"/>
    <w:rPr>
      <w:rFonts w:ascii="Arial" w:hAnsi="Arial" w:eastAsia="黑体"/>
      <w:kern w:val="2"/>
      <w:sz w:val="21"/>
      <w:szCs w:val="21"/>
    </w:rPr>
  </w:style>
  <w:style w:type="character" w:customStyle="1" w:styleId="87">
    <w:name w:val="题注 Char"/>
    <w:link w:val="16"/>
    <w:qFormat/>
    <w:uiPriority w:val="0"/>
    <w:rPr>
      <w:b/>
      <w:kern w:val="2"/>
      <w:sz w:val="28"/>
    </w:rPr>
  </w:style>
  <w:style w:type="character" w:customStyle="1" w:styleId="88">
    <w:name w:val="文档结构图 Char1"/>
    <w:link w:val="18"/>
    <w:qFormat/>
    <w:uiPriority w:val="0"/>
    <w:rPr>
      <w:kern w:val="2"/>
      <w:sz w:val="21"/>
      <w:szCs w:val="24"/>
      <w:shd w:val="clear" w:color="auto" w:fill="000080"/>
    </w:rPr>
  </w:style>
  <w:style w:type="character" w:customStyle="1" w:styleId="89">
    <w:name w:val="批注文字 Char1"/>
    <w:link w:val="19"/>
    <w:qFormat/>
    <w:uiPriority w:val="99"/>
    <w:rPr>
      <w:kern w:val="2"/>
      <w:sz w:val="21"/>
      <w:szCs w:val="24"/>
    </w:rPr>
  </w:style>
  <w:style w:type="character" w:customStyle="1" w:styleId="90">
    <w:name w:val="称呼 Char"/>
    <w:link w:val="20"/>
    <w:qFormat/>
    <w:uiPriority w:val="0"/>
    <w:rPr>
      <w:rFonts w:ascii="仿宋_GB2312" w:eastAsia="仿宋_GB2312"/>
      <w:kern w:val="2"/>
      <w:sz w:val="28"/>
    </w:rPr>
  </w:style>
  <w:style w:type="character" w:customStyle="1" w:styleId="91">
    <w:name w:val="正文文本 3 Char"/>
    <w:link w:val="21"/>
    <w:qFormat/>
    <w:uiPriority w:val="0"/>
    <w:rPr>
      <w:kern w:val="2"/>
      <w:sz w:val="21"/>
    </w:rPr>
  </w:style>
  <w:style w:type="character" w:customStyle="1" w:styleId="9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
    <w:name w:val="正文文本缩进 Char3"/>
    <w:link w:val="24"/>
    <w:qFormat/>
    <w:uiPriority w:val="0"/>
    <w:rPr>
      <w:rFonts w:ascii="宋体" w:hAnsi="宋体"/>
      <w:kern w:val="2"/>
      <w:sz w:val="24"/>
      <w:szCs w:val="24"/>
    </w:rPr>
  </w:style>
  <w:style w:type="character" w:customStyle="1" w:styleId="94">
    <w:name w:val="HTML 地址 Char"/>
    <w:link w:val="29"/>
    <w:qFormat/>
    <w:uiPriority w:val="0"/>
    <w:rPr>
      <w:rFonts w:ascii="宋体" w:hAnsi="宋体"/>
      <w:i/>
      <w:iCs/>
      <w:sz w:val="24"/>
      <w:szCs w:val="24"/>
    </w:rPr>
  </w:style>
  <w:style w:type="character" w:customStyle="1" w:styleId="9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6">
    <w:name w:val="日期 Char"/>
    <w:link w:val="35"/>
    <w:qFormat/>
    <w:uiPriority w:val="0"/>
    <w:rPr>
      <w:rFonts w:ascii="宋体"/>
      <w:kern w:val="2"/>
      <w:sz w:val="24"/>
      <w:szCs w:val="21"/>
      <w:lang w:val="zh-CN"/>
    </w:rPr>
  </w:style>
  <w:style w:type="character" w:customStyle="1" w:styleId="97">
    <w:name w:val="正文文本缩进 2 Char"/>
    <w:link w:val="36"/>
    <w:qFormat/>
    <w:uiPriority w:val="0"/>
    <w:rPr>
      <w:rFonts w:ascii="宋体"/>
      <w:sz w:val="28"/>
    </w:rPr>
  </w:style>
  <w:style w:type="character" w:customStyle="1" w:styleId="98">
    <w:name w:val="尾注文本 Char"/>
    <w:link w:val="37"/>
    <w:qFormat/>
    <w:uiPriority w:val="0"/>
    <w:rPr>
      <w:kern w:val="2"/>
      <w:sz w:val="21"/>
      <w:szCs w:val="24"/>
      <w:lang w:val="zh-CN"/>
    </w:rPr>
  </w:style>
  <w:style w:type="character" w:customStyle="1" w:styleId="99">
    <w:name w:val="批注框文本 Char"/>
    <w:link w:val="38"/>
    <w:qFormat/>
    <w:uiPriority w:val="0"/>
    <w:rPr>
      <w:kern w:val="2"/>
      <w:sz w:val="18"/>
      <w:szCs w:val="18"/>
    </w:rPr>
  </w:style>
  <w:style w:type="character" w:customStyle="1" w:styleId="100">
    <w:name w:val="页脚 Char2"/>
    <w:link w:val="39"/>
    <w:qFormat/>
    <w:locked/>
    <w:uiPriority w:val="99"/>
    <w:rPr>
      <w:kern w:val="2"/>
      <w:sz w:val="18"/>
      <w:szCs w:val="18"/>
    </w:rPr>
  </w:style>
  <w:style w:type="character" w:customStyle="1" w:styleId="101">
    <w:name w:val="页眉 Char2"/>
    <w:link w:val="40"/>
    <w:qFormat/>
    <w:uiPriority w:val="99"/>
    <w:rPr>
      <w:kern w:val="2"/>
      <w:sz w:val="18"/>
      <w:szCs w:val="18"/>
    </w:rPr>
  </w:style>
  <w:style w:type="character" w:customStyle="1" w:styleId="102">
    <w:name w:val="签名 Char"/>
    <w:link w:val="41"/>
    <w:qFormat/>
    <w:uiPriority w:val="0"/>
    <w:rPr>
      <w:rFonts w:eastAsia="仿宋_GB2312"/>
      <w:sz w:val="24"/>
    </w:rPr>
  </w:style>
  <w:style w:type="character" w:customStyle="1" w:styleId="103">
    <w:name w:val="副标题 Char"/>
    <w:link w:val="46"/>
    <w:qFormat/>
    <w:uiPriority w:val="0"/>
    <w:rPr>
      <w:rFonts w:ascii="Arial" w:hAnsi="Arial" w:eastAsia="隶书"/>
      <w:b/>
      <w:bCs/>
      <w:kern w:val="28"/>
      <w:sz w:val="44"/>
      <w:szCs w:val="32"/>
      <w:lang w:val="en-US" w:eastAsia="zh-CN" w:bidi="ar-SA"/>
    </w:rPr>
  </w:style>
  <w:style w:type="character" w:customStyle="1" w:styleId="104">
    <w:name w:val="脚注文本 Char"/>
    <w:link w:val="49"/>
    <w:qFormat/>
    <w:uiPriority w:val="0"/>
    <w:rPr>
      <w:color w:val="0000FF"/>
      <w:sz w:val="21"/>
    </w:rPr>
  </w:style>
  <w:style w:type="character" w:customStyle="1" w:styleId="105">
    <w:name w:val="正文文本缩进 3 Char"/>
    <w:link w:val="52"/>
    <w:qFormat/>
    <w:uiPriority w:val="0"/>
    <w:rPr>
      <w:kern w:val="2"/>
      <w:sz w:val="24"/>
    </w:rPr>
  </w:style>
  <w:style w:type="character" w:customStyle="1" w:styleId="106">
    <w:name w:val="正文文本 2 Char1"/>
    <w:link w:val="55"/>
    <w:qFormat/>
    <w:uiPriority w:val="0"/>
    <w:rPr>
      <w:kern w:val="2"/>
      <w:sz w:val="21"/>
      <w:szCs w:val="24"/>
    </w:rPr>
  </w:style>
  <w:style w:type="character" w:customStyle="1" w:styleId="107">
    <w:name w:val="HTML 预设格式 Char"/>
    <w:link w:val="56"/>
    <w:qFormat/>
    <w:uiPriority w:val="0"/>
    <w:rPr>
      <w:rFonts w:ascii="黑体" w:hAnsi="Courier New" w:eastAsia="黑体"/>
    </w:rPr>
  </w:style>
  <w:style w:type="character" w:customStyle="1" w:styleId="108">
    <w:name w:val="标题 Char2"/>
    <w:link w:val="58"/>
    <w:qFormat/>
    <w:uiPriority w:val="10"/>
    <w:rPr>
      <w:b/>
      <w:sz w:val="24"/>
      <w:lang w:val="en-GB"/>
    </w:rPr>
  </w:style>
  <w:style w:type="character" w:customStyle="1" w:styleId="109">
    <w:name w:val="批注主题 Char1"/>
    <w:link w:val="59"/>
    <w:qFormat/>
    <w:uiPriority w:val="0"/>
    <w:rPr>
      <w:b/>
      <w:bCs/>
      <w:kern w:val="2"/>
      <w:sz w:val="21"/>
      <w:szCs w:val="24"/>
    </w:rPr>
  </w:style>
  <w:style w:type="character" w:customStyle="1" w:styleId="110">
    <w:name w:val="正文首行缩进 Char"/>
    <w:link w:val="60"/>
    <w:qFormat/>
    <w:uiPriority w:val="0"/>
    <w:rPr>
      <w:rFonts w:ascii="宋体"/>
      <w:kern w:val="2"/>
      <w:sz w:val="24"/>
      <w:lang w:val="zh-CN"/>
    </w:rPr>
  </w:style>
  <w:style w:type="character" w:customStyle="1" w:styleId="111">
    <w:name w:val="正文首行缩进 2 Char"/>
    <w:link w:val="61"/>
    <w:qFormat/>
    <w:uiPriority w:val="0"/>
    <w:rPr>
      <w:rFonts w:ascii="宋体" w:hAnsi="宋体"/>
      <w:kern w:val="2"/>
      <w:sz w:val="21"/>
      <w:szCs w:val="24"/>
    </w:rPr>
  </w:style>
  <w:style w:type="character" w:customStyle="1" w:styleId="112">
    <w:name w:val="表格非标题文字 Char"/>
    <w:link w:val="113"/>
    <w:qFormat/>
    <w:uiPriority w:val="0"/>
    <w:rPr>
      <w:rFonts w:ascii="Futura Bk" w:hAnsi="Futura Bk"/>
      <w:kern w:val="2"/>
      <w:sz w:val="18"/>
      <w:szCs w:val="21"/>
      <w:lang w:val="en-US" w:eastAsia="zh-CN" w:bidi="ar-SA"/>
    </w:rPr>
  </w:style>
  <w:style w:type="paragraph" w:customStyle="1" w:styleId="113">
    <w:name w:val="表格非标题文字"/>
    <w:link w:val="112"/>
    <w:qFormat/>
    <w:uiPriority w:val="0"/>
    <w:pPr>
      <w:snapToGrid w:val="0"/>
      <w:spacing w:before="80" w:after="40"/>
    </w:pPr>
    <w:rPr>
      <w:rFonts w:ascii="Futura Bk" w:hAnsi="Futura Bk"/>
      <w:kern w:val="2"/>
      <w:sz w:val="18"/>
      <w:szCs w:val="21"/>
      <w:lang w:val="en-US" w:eastAsia="zh-CN" w:bidi="ar-SA"/>
    </w:rPr>
  </w:style>
  <w:style w:type="character" w:customStyle="1" w:styleId="114">
    <w:name w:val="*正文 Char"/>
    <w:link w:val="115"/>
    <w:qFormat/>
    <w:locked/>
    <w:uiPriority w:val="0"/>
    <w:rPr>
      <w:rFonts w:ascii="宋体" w:hAnsi="宋体"/>
      <w:sz w:val="24"/>
    </w:rPr>
  </w:style>
  <w:style w:type="paragraph" w:customStyle="1" w:styleId="115">
    <w:name w:val="*正文"/>
    <w:basedOn w:val="1"/>
    <w:link w:val="114"/>
    <w:qFormat/>
    <w:uiPriority w:val="0"/>
    <w:pPr>
      <w:snapToGrid w:val="0"/>
      <w:spacing w:line="360" w:lineRule="auto"/>
      <w:ind w:firstLine="482"/>
      <w:jc w:val="left"/>
    </w:pPr>
    <w:rPr>
      <w:rFonts w:ascii="宋体" w:hAnsi="宋体"/>
      <w:kern w:val="0"/>
      <w:sz w:val="24"/>
      <w:szCs w:val="20"/>
    </w:rPr>
  </w:style>
  <w:style w:type="character" w:customStyle="1" w:styleId="116">
    <w:name w:val="Char Char71"/>
    <w:semiHidden/>
    <w:qFormat/>
    <w:uiPriority w:val="0"/>
    <w:rPr>
      <w:rFonts w:eastAsia="宋体"/>
      <w:kern w:val="2"/>
      <w:sz w:val="21"/>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正文缩进 Char"/>
    <w:qFormat/>
    <w:uiPriority w:val="0"/>
    <w:rPr>
      <w:rFonts w:eastAsia="宋体"/>
      <w:kern w:val="2"/>
      <w:sz w:val="21"/>
      <w:lang w:val="en-US" w:eastAsia="zh-CN"/>
    </w:rPr>
  </w:style>
  <w:style w:type="character" w:customStyle="1" w:styleId="119">
    <w:name w:val="正文首行缩进 Char1"/>
    <w:qFormat/>
    <w:uiPriority w:val="0"/>
    <w:rPr>
      <w:rFonts w:ascii="宋体" w:hAnsi="Times New Roman" w:eastAsia="宋体" w:cs="Times New Roman"/>
      <w:snapToGrid w:val="0"/>
      <w:kern w:val="2"/>
      <w:sz w:val="24"/>
      <w:szCs w:val="21"/>
      <w:lang w:val="zh-CN"/>
    </w:rPr>
  </w:style>
  <w:style w:type="character" w:customStyle="1" w:styleId="120">
    <w:name w:val="Char Char28"/>
    <w:qFormat/>
    <w:uiPriority w:val="6"/>
    <w:rPr>
      <w:rFonts w:ascii="仿宋_GB2312" w:hAnsi="仿宋_GB2312" w:eastAsia="仿宋_GB2312"/>
      <w:kern w:val="1"/>
      <w:sz w:val="28"/>
    </w:rPr>
  </w:style>
  <w:style w:type="character" w:customStyle="1" w:styleId="1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2">
    <w:name w:val="Heading 1 Char"/>
    <w:qFormat/>
    <w:uiPriority w:val="6"/>
    <w:rPr>
      <w:rFonts w:ascii="Times New Roman" w:hAnsi="Times New Roman" w:eastAsia="黑体" w:cs="Times New Roman"/>
      <w:b/>
      <w:kern w:val="0"/>
      <w:sz w:val="24"/>
      <w:szCs w:val="24"/>
    </w:rPr>
  </w:style>
  <w:style w:type="character" w:customStyle="1" w:styleId="123">
    <w:name w:val="U_正文 Char"/>
    <w:link w:val="124"/>
    <w:qFormat/>
    <w:uiPriority w:val="0"/>
    <w:rPr>
      <w:sz w:val="24"/>
      <w:szCs w:val="24"/>
    </w:rPr>
  </w:style>
  <w:style w:type="paragraph" w:customStyle="1" w:styleId="124">
    <w:name w:val="U_正文"/>
    <w:basedOn w:val="1"/>
    <w:link w:val="123"/>
    <w:qFormat/>
    <w:uiPriority w:val="0"/>
    <w:pPr>
      <w:adjustRightInd/>
      <w:spacing w:beforeLines="20" w:afterLines="20" w:line="300" w:lineRule="auto"/>
      <w:ind w:firstLine="200" w:firstLineChars="200"/>
    </w:pPr>
    <w:rPr>
      <w:kern w:val="0"/>
      <w:sz w:val="24"/>
    </w:rPr>
  </w:style>
  <w:style w:type="character" w:customStyle="1" w:styleId="125">
    <w:name w:val="HTML 地址 Char1"/>
    <w:qFormat/>
    <w:uiPriority w:val="0"/>
    <w:rPr>
      <w:rFonts w:ascii="Times New Roman" w:hAnsi="Times New Roman" w:eastAsia="宋体" w:cs="Times New Roman"/>
      <w:i/>
      <w:iCs/>
      <w:szCs w:val="24"/>
    </w:rPr>
  </w:style>
  <w:style w:type="character" w:customStyle="1" w:styleId="126">
    <w:name w:val="Char Char51"/>
    <w:qFormat/>
    <w:uiPriority w:val="0"/>
    <w:rPr>
      <w:rFonts w:ascii="宋体" w:hAnsi="Courier New" w:eastAsia="宋体"/>
      <w:kern w:val="2"/>
      <w:sz w:val="21"/>
      <w:lang w:val="en-US" w:eastAsia="zh-CN"/>
    </w:rPr>
  </w:style>
  <w:style w:type="character" w:customStyle="1" w:styleId="127">
    <w:name w:val="表正文 Char"/>
    <w:qFormat/>
    <w:uiPriority w:val="0"/>
    <w:rPr>
      <w:rFonts w:ascii="宋体" w:eastAsia="宋体"/>
      <w:snapToGrid w:val="0"/>
      <w:color w:val="000000"/>
      <w:kern w:val="28"/>
      <w:sz w:val="28"/>
      <w:lang w:val="en-US" w:eastAsia="zh-CN" w:bidi="ar-SA"/>
    </w:rPr>
  </w:style>
  <w:style w:type="character" w:customStyle="1" w:styleId="128">
    <w:name w:val="Char Char34"/>
    <w:qFormat/>
    <w:uiPriority w:val="6"/>
    <w:rPr>
      <w:b/>
      <w:kern w:val="1"/>
      <w:sz w:val="28"/>
      <w:szCs w:val="28"/>
    </w:rPr>
  </w:style>
  <w:style w:type="character" w:customStyle="1" w:styleId="12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0">
    <w:name w:val="哈哈正文 Char"/>
    <w:link w:val="131"/>
    <w:qFormat/>
    <w:uiPriority w:val="0"/>
    <w:rPr>
      <w:rFonts w:ascii="宋体" w:hAnsi="宋体" w:eastAsia="宋体"/>
      <w:kern w:val="2"/>
      <w:sz w:val="24"/>
      <w:lang w:bidi="ar-SA"/>
    </w:rPr>
  </w:style>
  <w:style w:type="paragraph" w:customStyle="1" w:styleId="131">
    <w:name w:val="哈哈正文"/>
    <w:basedOn w:val="1"/>
    <w:link w:val="130"/>
    <w:qFormat/>
    <w:uiPriority w:val="0"/>
    <w:pPr>
      <w:adjustRightInd/>
      <w:spacing w:line="360" w:lineRule="auto"/>
      <w:ind w:firstLine="200" w:firstLineChars="200"/>
    </w:pPr>
    <w:rPr>
      <w:rFonts w:ascii="宋体" w:hAnsi="宋体"/>
      <w:sz w:val="24"/>
      <w:szCs w:val="20"/>
    </w:rPr>
  </w:style>
  <w:style w:type="character" w:customStyle="1" w:styleId="132">
    <w:name w:val="未处理的提及1"/>
    <w:qFormat/>
    <w:uiPriority w:val="0"/>
    <w:rPr>
      <w:color w:val="808080"/>
      <w:shd w:val="clear" w:color="auto" w:fill="E6E6E6"/>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Char Char32"/>
    <w:qFormat/>
    <w:uiPriority w:val="6"/>
    <w:rPr>
      <w:b/>
      <w:kern w:val="1"/>
      <w:sz w:val="24"/>
      <w:szCs w:val="24"/>
    </w:rPr>
  </w:style>
  <w:style w:type="character" w:customStyle="1" w:styleId="136">
    <w:name w:val="PI Char1"/>
    <w:qFormat/>
    <w:uiPriority w:val="0"/>
    <w:rPr>
      <w:rFonts w:ascii="宋体" w:hAnsi="宋体"/>
      <w:kern w:val="2"/>
      <w:sz w:val="24"/>
      <w:szCs w:val="24"/>
    </w:rPr>
  </w:style>
  <w:style w:type="character" w:customStyle="1" w:styleId="137">
    <w:name w:val="tw4winTerm"/>
    <w:qFormat/>
    <w:uiPriority w:val="0"/>
    <w:rPr>
      <w:color w:val="0000FF"/>
    </w:rPr>
  </w:style>
  <w:style w:type="character" w:customStyle="1" w:styleId="138">
    <w:name w:val="Footer Char"/>
    <w:qFormat/>
    <w:locked/>
    <w:uiPriority w:val="0"/>
    <w:rPr>
      <w:rFonts w:eastAsia="宋体"/>
      <w:kern w:val="2"/>
      <w:sz w:val="18"/>
      <w:lang w:val="en-US" w:eastAsia="zh-CN" w:bidi="ar-SA"/>
    </w:rPr>
  </w:style>
  <w:style w:type="character" w:customStyle="1" w:styleId="139">
    <w:name w:val="普通文字 Char Char1"/>
    <w:qFormat/>
    <w:uiPriority w:val="0"/>
    <w:rPr>
      <w:rFonts w:ascii="宋体" w:hAnsi="Courier New"/>
      <w:kern w:val="2"/>
      <w:sz w:val="21"/>
    </w:rPr>
  </w:style>
  <w:style w:type="character" w:customStyle="1" w:styleId="140">
    <w:name w:val="Char Char101"/>
    <w:qFormat/>
    <w:uiPriority w:val="6"/>
    <w:rPr>
      <w:rFonts w:ascii="宋体" w:hAnsi="宋体"/>
      <w:kern w:val="2"/>
      <w:sz w:val="21"/>
      <w:szCs w:val="24"/>
      <w:lang w:val="en-US" w:eastAsia="zh-CN"/>
    </w:rPr>
  </w:style>
  <w:style w:type="character" w:customStyle="1" w:styleId="141">
    <w:name w:val="标题 4 Char"/>
    <w:qFormat/>
    <w:uiPriority w:val="0"/>
    <w:rPr>
      <w:rFonts w:ascii="Arial" w:hAnsi="Arial" w:eastAsia="黑体"/>
      <w:b/>
      <w:kern w:val="2"/>
      <w:sz w:val="28"/>
    </w:rPr>
  </w:style>
  <w:style w:type="character" w:customStyle="1" w:styleId="142">
    <w:name w:val="链接"/>
    <w:qFormat/>
    <w:uiPriority w:val="0"/>
    <w:rPr>
      <w:color w:val="0000FF"/>
      <w:sz w:val="21"/>
      <w:szCs w:val="21"/>
      <w:u w:val="single"/>
    </w:rPr>
  </w:style>
  <w:style w:type="character" w:customStyle="1" w:styleId="143">
    <w:name w:val="h4 Char"/>
    <w:qFormat/>
    <w:uiPriority w:val="0"/>
    <w:rPr>
      <w:rFonts w:ascii="Arial" w:hAnsi="Arial" w:eastAsia="黑体"/>
      <w:b/>
      <w:bCs/>
      <w:kern w:val="2"/>
      <w:sz w:val="28"/>
      <w:szCs w:val="28"/>
      <w:lang w:val="zh-CN" w:eastAsia="zh-CN" w:bidi="ar-SA"/>
    </w:rPr>
  </w:style>
  <w:style w:type="character" w:customStyle="1" w:styleId="144">
    <w:name w:val="5正文 Char"/>
    <w:link w:val="145"/>
    <w:qFormat/>
    <w:uiPriority w:val="0"/>
    <w:rPr>
      <w:rFonts w:ascii="仿宋_GB2312" w:hAnsi="微软雅黑" w:eastAsia="仿宋_GB2312"/>
      <w:sz w:val="28"/>
      <w:szCs w:val="21"/>
    </w:rPr>
  </w:style>
  <w:style w:type="paragraph" w:customStyle="1" w:styleId="145">
    <w:name w:val="5正文"/>
    <w:basedOn w:val="1"/>
    <w:link w:val="14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6">
    <w:name w:val="标题 3 字符"/>
    <w:qFormat/>
    <w:uiPriority w:val="9"/>
    <w:rPr>
      <w:b/>
      <w:bCs/>
      <w:kern w:val="2"/>
      <w:sz w:val="32"/>
      <w:szCs w:val="32"/>
    </w:rPr>
  </w:style>
  <w:style w:type="character" w:customStyle="1" w:styleId="147">
    <w:name w:val="样式6 Char"/>
    <w:qFormat/>
    <w:uiPriority w:val="0"/>
    <w:rPr>
      <w:rFonts w:ascii="仿宋_GB2312" w:hAnsi="宋体" w:eastAsia="仿宋_GB2312"/>
      <w:b/>
      <w:bCs/>
      <w:kern w:val="2"/>
      <w:sz w:val="24"/>
      <w:szCs w:val="24"/>
      <w:lang w:val="en-US" w:eastAsia="zh-CN" w:bidi="ar-SA"/>
    </w:rPr>
  </w:style>
  <w:style w:type="character" w:customStyle="1" w:styleId="148">
    <w:name w:val="Char Char14"/>
    <w:qFormat/>
    <w:uiPriority w:val="6"/>
    <w:rPr>
      <w:rFonts w:ascii="黑体" w:hAnsi="黑体" w:eastAsia="黑体"/>
    </w:rPr>
  </w:style>
  <w:style w:type="character" w:customStyle="1" w:styleId="149">
    <w:name w:val="Heading 2 Hidden Char"/>
    <w:qFormat/>
    <w:uiPriority w:val="0"/>
    <w:rPr>
      <w:rFonts w:ascii="仿宋_GB2312" w:eastAsia="仿宋_GB2312"/>
      <w:b/>
      <w:bCs/>
      <w:kern w:val="2"/>
      <w:sz w:val="24"/>
      <w:szCs w:val="24"/>
      <w:lang w:val="zh-CN" w:eastAsia="zh-CN" w:bidi="ar-SA"/>
    </w:rPr>
  </w:style>
  <w:style w:type="character" w:customStyle="1" w:styleId="150">
    <w:name w:val="font11"/>
    <w:qFormat/>
    <w:uiPriority w:val="0"/>
    <w:rPr>
      <w:rFonts w:hint="default" w:ascii="Times New Roman" w:hAnsi="Times New Roman" w:cs="Times New Roman"/>
      <w:color w:val="000000"/>
      <w:sz w:val="22"/>
      <w:szCs w:val="22"/>
      <w:u w:val="none"/>
    </w:rPr>
  </w:style>
  <w:style w:type="character" w:customStyle="1" w:styleId="151">
    <w:name w:val="表正文 Char1"/>
    <w:qFormat/>
    <w:uiPriority w:val="0"/>
    <w:rPr>
      <w:rFonts w:ascii="宋体" w:eastAsia="宋体"/>
      <w:snapToGrid w:val="0"/>
      <w:color w:val="000000"/>
      <w:kern w:val="28"/>
      <w:sz w:val="28"/>
    </w:rPr>
  </w:style>
  <w:style w:type="character" w:customStyle="1" w:styleId="152">
    <w:name w:val="blue1"/>
    <w:basedOn w:val="69"/>
    <w:qFormat/>
    <w:uiPriority w:val="0"/>
    <w:rPr>
      <w:rFonts w:ascii="Arial" w:hAnsi="Arial" w:eastAsia="黑体" w:cs="Arial"/>
      <w:snapToGrid w:val="0"/>
      <w:kern w:val="0"/>
      <w:szCs w:val="21"/>
    </w:rPr>
  </w:style>
  <w:style w:type="character" w:customStyle="1" w:styleId="153">
    <w:name w:val="标书1 Char"/>
    <w:qFormat/>
    <w:uiPriority w:val="0"/>
    <w:rPr>
      <w:rFonts w:eastAsia="宋体"/>
      <w:b/>
      <w:bCs/>
      <w:kern w:val="44"/>
      <w:sz w:val="44"/>
      <w:szCs w:val="44"/>
      <w:lang w:val="en-US" w:eastAsia="zh-CN" w:bidi="ar-SA"/>
    </w:rPr>
  </w:style>
  <w:style w:type="character" w:customStyle="1" w:styleId="154">
    <w:name w:val="样式5 Char"/>
    <w:qFormat/>
    <w:uiPriority w:val="0"/>
    <w:rPr>
      <w:rFonts w:ascii="仿宋_GB2312" w:hAnsi="仿宋" w:eastAsia="仿宋_GB2312"/>
      <w:kern w:val="2"/>
      <w:sz w:val="24"/>
      <w:szCs w:val="24"/>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插图说明 Char"/>
    <w:qFormat/>
    <w:uiPriority w:val="0"/>
    <w:rPr>
      <w:rFonts w:eastAsia="黑体"/>
      <w:sz w:val="24"/>
      <w:lang w:val="en-US" w:eastAsia="zh-CN"/>
    </w:rPr>
  </w:style>
  <w:style w:type="character" w:customStyle="1" w:styleId="157">
    <w:name w:val="正文2 Char Char"/>
    <w:link w:val="158"/>
    <w:qFormat/>
    <w:uiPriority w:val="0"/>
    <w:rPr>
      <w:rFonts w:eastAsia="宋体"/>
      <w:kern w:val="2"/>
      <w:sz w:val="24"/>
      <w:lang w:val="en-US" w:eastAsia="zh-CN" w:bidi="ar-SA"/>
    </w:rPr>
  </w:style>
  <w:style w:type="paragraph" w:customStyle="1" w:styleId="158">
    <w:name w:val="正文2"/>
    <w:basedOn w:val="1"/>
    <w:link w:val="157"/>
    <w:qFormat/>
    <w:uiPriority w:val="0"/>
    <w:pPr>
      <w:spacing w:before="156" w:line="360" w:lineRule="auto"/>
      <w:ind w:firstLine="510" w:firstLineChars="200"/>
    </w:pPr>
    <w:rPr>
      <w:sz w:val="24"/>
      <w:szCs w:val="20"/>
    </w:rPr>
  </w:style>
  <w:style w:type="character" w:customStyle="1" w:styleId="159">
    <w:name w:val="Char Char24"/>
    <w:qFormat/>
    <w:uiPriority w:val="6"/>
    <w:rPr>
      <w:kern w:val="1"/>
      <w:sz w:val="21"/>
    </w:rPr>
  </w:style>
  <w:style w:type="character" w:customStyle="1" w:styleId="160">
    <w:name w:val="普通文字 Char1 Char"/>
    <w:qFormat/>
    <w:uiPriority w:val="0"/>
    <w:rPr>
      <w:rFonts w:ascii="宋体" w:hAnsi="Courier New" w:eastAsia="宋体"/>
      <w:kern w:val="2"/>
      <w:sz w:val="21"/>
      <w:szCs w:val="24"/>
      <w:lang w:val="en-US" w:eastAsia="zh-CN" w:bidi="ar-SA"/>
    </w:rPr>
  </w:style>
  <w:style w:type="character" w:customStyle="1" w:styleId="161">
    <w:name w:val="h3 Char1"/>
    <w:qFormat/>
    <w:uiPriority w:val="0"/>
    <w:rPr>
      <w:rFonts w:eastAsia="宋体"/>
      <w:b/>
      <w:bCs/>
      <w:kern w:val="2"/>
      <w:sz w:val="32"/>
      <w:szCs w:val="32"/>
      <w:lang w:bidi="ar-SA"/>
    </w:rPr>
  </w:style>
  <w:style w:type="character" w:customStyle="1" w:styleId="162">
    <w:name w:val="标题 Char1"/>
    <w:qFormat/>
    <w:uiPriority w:val="0"/>
    <w:rPr>
      <w:rFonts w:ascii="Cambria" w:hAnsi="Cambria" w:eastAsia="宋体" w:cs="Times New Roman"/>
      <w:b/>
      <w:bCs/>
      <w:sz w:val="32"/>
      <w:szCs w:val="32"/>
      <w:lang w:bidi="ar-SA"/>
    </w:rPr>
  </w:style>
  <w:style w:type="character" w:customStyle="1" w:styleId="163">
    <w:name w:val="gf正文1 Char"/>
    <w:qFormat/>
    <w:uiPriority w:val="0"/>
    <w:rPr>
      <w:rFonts w:ascii="宋体" w:hAnsi="宋体" w:eastAsia="宋体" w:cs="宋体"/>
      <w:kern w:val="2"/>
      <w:sz w:val="24"/>
      <w:szCs w:val="24"/>
      <w:lang w:val="en-US" w:eastAsia="zh-CN" w:bidi="ar-SA"/>
    </w:rPr>
  </w:style>
  <w:style w:type="character" w:customStyle="1" w:styleId="164">
    <w:name w:val="正文文本缩进 Char1"/>
    <w:qFormat/>
    <w:uiPriority w:val="0"/>
    <w:rPr>
      <w:rFonts w:ascii="Calibri" w:hAnsi="Calibri"/>
      <w:sz w:val="28"/>
    </w:rPr>
  </w:style>
  <w:style w:type="character" w:customStyle="1" w:styleId="165">
    <w:name w:val="No Spacing Char"/>
    <w:link w:val="166"/>
    <w:qFormat/>
    <w:uiPriority w:val="1"/>
    <w:rPr>
      <w:sz w:val="22"/>
      <w:szCs w:val="22"/>
      <w:lang w:val="en-US" w:eastAsia="zh-CN" w:bidi="ar-SA"/>
    </w:rPr>
  </w:style>
  <w:style w:type="paragraph" w:customStyle="1" w:styleId="166">
    <w:name w:val="无间隔1"/>
    <w:link w:val="165"/>
    <w:qFormat/>
    <w:uiPriority w:val="1"/>
    <w:rPr>
      <w:sz w:val="22"/>
      <w:szCs w:val="22"/>
      <w:lang w:val="en-US" w:eastAsia="zh-CN"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font12gray1"/>
    <w:qFormat/>
    <w:uiPriority w:val="0"/>
    <w:rPr>
      <w:rFonts w:ascii="仿宋_GB2312" w:eastAsia="微软雅黑"/>
      <w:b/>
      <w:spacing w:val="300"/>
      <w:kern w:val="2"/>
      <w:sz w:val="18"/>
      <w:szCs w:val="18"/>
      <w:lang w:val="en-US" w:eastAsia="zh-CN" w:bidi="ar-SA"/>
    </w:rPr>
  </w:style>
  <w:style w:type="character" w:customStyle="1" w:styleId="169">
    <w:name w:val="Char Char7"/>
    <w:semiHidden/>
    <w:qFormat/>
    <w:uiPriority w:val="0"/>
    <w:rPr>
      <w:rFonts w:eastAsia="宋体"/>
      <w:kern w:val="2"/>
      <w:sz w:val="21"/>
      <w:szCs w:val="24"/>
      <w:lang w:val="en-US" w:eastAsia="zh-CN" w:bidi="ar-SA"/>
    </w:rPr>
  </w:style>
  <w:style w:type="character" w:customStyle="1" w:styleId="170">
    <w:name w:val="表名 Char"/>
    <w:qFormat/>
    <w:uiPriority w:val="0"/>
    <w:rPr>
      <w:rFonts w:eastAsia="宋体"/>
      <w:b/>
      <w:bCs/>
      <w:kern w:val="2"/>
      <w:sz w:val="24"/>
      <w:szCs w:val="24"/>
      <w:lang w:val="en-US" w:eastAsia="zh-CN" w:bidi="ar-SA"/>
    </w:rPr>
  </w:style>
  <w:style w:type="character" w:customStyle="1" w:styleId="171">
    <w:name w:val="Document Map Char"/>
    <w:qFormat/>
    <w:locked/>
    <w:uiPriority w:val="0"/>
    <w:rPr>
      <w:rFonts w:eastAsia="宋体"/>
      <w:kern w:val="2"/>
      <w:sz w:val="21"/>
      <w:szCs w:val="24"/>
      <w:lang w:val="en-US" w:eastAsia="zh-CN" w:bidi="ar-SA"/>
    </w:rPr>
  </w:style>
  <w:style w:type="character" w:customStyle="1" w:styleId="172">
    <w:name w:val="font41"/>
    <w:qFormat/>
    <w:uiPriority w:val="0"/>
    <w:rPr>
      <w:rFonts w:hint="eastAsia" w:ascii="仿宋_GB2312" w:eastAsia="仿宋_GB2312" w:cs="仿宋_GB2312"/>
      <w:color w:val="000000"/>
      <w:sz w:val="22"/>
      <w:szCs w:val="22"/>
      <w:u w:val="none"/>
    </w:rPr>
  </w:style>
  <w:style w:type="character" w:customStyle="1" w:styleId="173">
    <w:name w:val="纯文本 Char_0"/>
    <w:link w:val="174"/>
    <w:qFormat/>
    <w:uiPriority w:val="0"/>
    <w:rPr>
      <w:rFonts w:ascii="宋体" w:hAnsi="Courier New"/>
      <w:kern w:val="2"/>
      <w:sz w:val="21"/>
      <w:szCs w:val="21"/>
      <w:lang w:val="en-US" w:eastAsia="zh-CN"/>
    </w:rPr>
  </w:style>
  <w:style w:type="paragraph" w:customStyle="1" w:styleId="174">
    <w:name w:val="纯文本_0_0"/>
    <w:basedOn w:val="175"/>
    <w:link w:val="173"/>
    <w:qFormat/>
    <w:uiPriority w:val="0"/>
    <w:rPr>
      <w:rFonts w:ascii="宋体" w:hAnsi="Courier New"/>
      <w:szCs w:val="21"/>
    </w:rPr>
  </w:style>
  <w:style w:type="paragraph" w:customStyle="1" w:styleId="175">
    <w:name w:val="正文_1_0"/>
    <w:qFormat/>
    <w:uiPriority w:val="0"/>
    <w:pPr>
      <w:widowControl w:val="0"/>
      <w:jc w:val="both"/>
    </w:pPr>
    <w:rPr>
      <w:kern w:val="2"/>
      <w:sz w:val="21"/>
      <w:szCs w:val="24"/>
      <w:lang w:val="en-US" w:eastAsia="zh-CN" w:bidi="ar-SA"/>
    </w:rPr>
  </w:style>
  <w:style w:type="character" w:customStyle="1" w:styleId="176">
    <w:name w:val="Balloon Text Char"/>
    <w:qFormat/>
    <w:locked/>
    <w:uiPriority w:val="0"/>
    <w:rPr>
      <w:rFonts w:eastAsia="宋体"/>
      <w:kern w:val="2"/>
      <w:sz w:val="18"/>
      <w:szCs w:val="18"/>
      <w:lang w:val="en-US" w:eastAsia="zh-CN" w:bidi="ar-SA"/>
    </w:rPr>
  </w:style>
  <w:style w:type="character" w:customStyle="1" w:styleId="177">
    <w:name w:val="正文 项目2 Char"/>
    <w:basedOn w:val="178"/>
    <w:qFormat/>
    <w:uiPriority w:val="0"/>
    <w:rPr>
      <w:rFonts w:ascii="仿宋_GB2312" w:hAnsi="仿宋_GB2312" w:eastAsia="仿宋_GB2312"/>
      <w:kern w:val="2"/>
      <w:sz w:val="24"/>
      <w:lang w:bidi="ar-SA"/>
    </w:rPr>
  </w:style>
  <w:style w:type="character" w:customStyle="1" w:styleId="178">
    <w:name w:val="正文 项目 Char"/>
    <w:qFormat/>
    <w:uiPriority w:val="0"/>
    <w:rPr>
      <w:rFonts w:ascii="仿宋_GB2312" w:hAnsi="仿宋_GB2312" w:eastAsia="仿宋_GB2312"/>
      <w:kern w:val="2"/>
      <w:sz w:val="24"/>
      <w:lang w:bidi="ar-SA"/>
    </w:rPr>
  </w:style>
  <w:style w:type="character" w:customStyle="1" w:styleId="179">
    <w:name w:val="h Char Char1"/>
    <w:qFormat/>
    <w:uiPriority w:val="0"/>
    <w:rPr>
      <w:rFonts w:eastAsia="宋体"/>
      <w:kern w:val="2"/>
      <w:sz w:val="18"/>
      <w:szCs w:val="18"/>
      <w:lang w:val="en-US" w:eastAsia="zh-CN" w:bidi="ar-SA"/>
    </w:rPr>
  </w:style>
  <w:style w:type="character" w:customStyle="1" w:styleId="180">
    <w:name w:val="Char Char27"/>
    <w:qFormat/>
    <w:uiPriority w:val="6"/>
    <w:rPr>
      <w:rFonts w:ascii="宋体" w:hAnsi="宋体" w:eastAsia="宋体"/>
      <w:color w:val="000000"/>
      <w:kern w:val="1"/>
      <w:sz w:val="28"/>
      <w:lang w:val="en-US" w:eastAsia="zh-CN" w:bidi="ar-SA"/>
    </w:rPr>
  </w:style>
  <w:style w:type="character" w:customStyle="1" w:styleId="181">
    <w:name w:val="px14"/>
    <w:qFormat/>
    <w:uiPriority w:val="0"/>
    <w:rPr>
      <w:rFonts w:ascii="仿宋_GB2312" w:eastAsia="微软雅黑" w:cs="Times New Roman"/>
      <w:b/>
      <w:kern w:val="2"/>
      <w:sz w:val="32"/>
      <w:szCs w:val="32"/>
      <w:lang w:val="en-US" w:eastAsia="zh-CN" w:bidi="ar-SA"/>
    </w:rPr>
  </w:style>
  <w:style w:type="character" w:customStyle="1" w:styleId="182">
    <w:name w:val="HTML 预设格式 Char1"/>
    <w:qFormat/>
    <w:uiPriority w:val="0"/>
    <w:rPr>
      <w:rFonts w:ascii="Courier New" w:hAnsi="Courier New" w:eastAsia="宋体" w:cs="Courier New"/>
      <w:sz w:val="20"/>
      <w:szCs w:val="20"/>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hei16b1"/>
    <w:qFormat/>
    <w:uiPriority w:val="0"/>
    <w:rPr>
      <w:rFonts w:hint="default" w:ascii="Arial" w:hAnsi="Arial" w:cs="Arial"/>
      <w:b/>
      <w:bCs/>
      <w:color w:val="000000"/>
      <w:sz w:val="24"/>
      <w:szCs w:val="24"/>
    </w:rPr>
  </w:style>
  <w:style w:type="character" w:customStyle="1" w:styleId="185">
    <w:name w:val="正文（绿盟科技） Char"/>
    <w:link w:val="186"/>
    <w:qFormat/>
    <w:uiPriority w:val="0"/>
    <w:rPr>
      <w:rFonts w:ascii="Arial" w:hAnsi="Arial"/>
      <w:sz w:val="21"/>
      <w:szCs w:val="21"/>
      <w:lang w:val="en-US" w:eastAsia="zh-CN" w:bidi="ar-SA"/>
    </w:rPr>
  </w:style>
  <w:style w:type="paragraph" w:customStyle="1" w:styleId="186">
    <w:name w:val="正文（绿盟科技）"/>
    <w:link w:val="185"/>
    <w:qFormat/>
    <w:uiPriority w:val="0"/>
    <w:pPr>
      <w:spacing w:line="300" w:lineRule="auto"/>
    </w:pPr>
    <w:rPr>
      <w:rFonts w:ascii="Arial" w:hAnsi="Arial"/>
      <w:sz w:val="21"/>
      <w:szCs w:val="21"/>
      <w:lang w:val="en-US" w:eastAsia="zh-CN" w:bidi="ar-SA"/>
    </w:rPr>
  </w:style>
  <w:style w:type="character" w:customStyle="1" w:styleId="187">
    <w:name w:val="Char Char19"/>
    <w:qFormat/>
    <w:uiPriority w:val="6"/>
    <w:rPr>
      <w:rFonts w:ascii="宋体" w:hAnsi="宋体"/>
      <w:i/>
      <w:sz w:val="24"/>
      <w:szCs w:val="24"/>
    </w:rPr>
  </w:style>
  <w:style w:type="character" w:customStyle="1" w:styleId="188">
    <w:name w:val="页脚 Char"/>
    <w:qFormat/>
    <w:uiPriority w:val="0"/>
    <w:rPr>
      <w:rFonts w:eastAsia="仿宋_GB2312"/>
      <w:kern w:val="2"/>
      <w:sz w:val="18"/>
      <w:lang w:val="en-US" w:eastAsia="zh-CN"/>
    </w:rPr>
  </w:style>
  <w:style w:type="character" w:customStyle="1" w:styleId="189">
    <w:name w:val="批注主题 Char"/>
    <w:qFormat/>
    <w:uiPriority w:val="0"/>
    <w:rPr>
      <w:rFonts w:eastAsia="宋体"/>
      <w:b/>
      <w:bCs/>
      <w:kern w:val="2"/>
      <w:sz w:val="21"/>
      <w:szCs w:val="24"/>
      <w:lang w:val="en-US" w:eastAsia="zh-CN" w:bidi="ar-SA"/>
    </w:rPr>
  </w:style>
  <w:style w:type="character" w:customStyle="1" w:styleId="190">
    <w:name w:val="Comment Text Char"/>
    <w:qFormat/>
    <w:locked/>
    <w:uiPriority w:val="0"/>
    <w:rPr>
      <w:rFonts w:ascii="宋体" w:hAnsi="宋体" w:eastAsia="宋体"/>
      <w:kern w:val="2"/>
      <w:sz w:val="24"/>
      <w:lang w:val="en-US" w:eastAsia="zh-CN" w:bidi="ar-SA"/>
    </w:rPr>
  </w:style>
  <w:style w:type="character" w:customStyle="1" w:styleId="191">
    <w:name w:val="标题 2 字符"/>
    <w:qFormat/>
    <w:uiPriority w:val="1"/>
    <w:rPr>
      <w:rFonts w:ascii="仿宋_GB2312" w:hAnsi="Times New Roman" w:eastAsia="仿宋_GB2312" w:cs="Times New Roman"/>
      <w:b/>
      <w:kern w:val="2"/>
      <w:sz w:val="24"/>
      <w:lang w:val="zh-CN"/>
    </w:rPr>
  </w:style>
  <w:style w:type="character" w:customStyle="1" w:styleId="192">
    <w:name w:val="Char Char72"/>
    <w:qFormat/>
    <w:uiPriority w:val="0"/>
    <w:rPr>
      <w:rFonts w:eastAsia="宋体"/>
      <w:kern w:val="2"/>
      <w:sz w:val="21"/>
      <w:szCs w:val="24"/>
      <w:lang w:val="en-US" w:eastAsia="zh-CN" w:bidi="ar-SA"/>
    </w:rPr>
  </w:style>
  <w:style w:type="character" w:customStyle="1" w:styleId="193">
    <w:name w:val="正文文本缩进 Char2"/>
    <w:qFormat/>
    <w:uiPriority w:val="0"/>
    <w:rPr>
      <w:rFonts w:ascii="Times New Roman" w:hAnsi="Times New Roman" w:eastAsia="宋体" w:cs="Times New Roman"/>
      <w:snapToGrid w:val="0"/>
      <w:kern w:val="0"/>
      <w:szCs w:val="24"/>
    </w:rPr>
  </w:style>
  <w:style w:type="character" w:customStyle="1" w:styleId="194">
    <w:name w:val="样式2 Char"/>
    <w:qFormat/>
    <w:uiPriority w:val="0"/>
    <w:rPr>
      <w:rFonts w:ascii="仿宋_GB2312" w:hAnsi="仿宋" w:eastAsia="仿宋_GB2312" w:cs="仿宋_GB2312"/>
      <w:b/>
      <w:bCs/>
      <w:sz w:val="32"/>
      <w:szCs w:val="30"/>
      <w:lang w:val="zh-CN"/>
    </w:rPr>
  </w:style>
  <w:style w:type="character" w:customStyle="1" w:styleId="195">
    <w:name w:val="表格名称[858D7CFB-ED40-4347-BF05-701D383B685F]"/>
    <w:link w:val="196"/>
    <w:qFormat/>
    <w:uiPriority w:val="0"/>
    <w:rPr>
      <w:sz w:val="32"/>
    </w:rPr>
  </w:style>
  <w:style w:type="paragraph" w:customStyle="1" w:styleId="196">
    <w:name w:val="表格名称"/>
    <w:basedOn w:val="2"/>
    <w:link w:val="195"/>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97">
    <w:name w:val="Char Char4"/>
    <w:qFormat/>
    <w:uiPriority w:val="0"/>
    <w:rPr>
      <w:rFonts w:eastAsia="宋体"/>
      <w:b/>
      <w:sz w:val="24"/>
      <w:lang w:val="en-GB" w:eastAsia="zh-CN" w:bidi="ar-SA"/>
    </w:rPr>
  </w:style>
  <w:style w:type="character" w:customStyle="1" w:styleId="198">
    <w:name w:val="c7 style3"/>
    <w:qFormat/>
    <w:uiPriority w:val="0"/>
  </w:style>
  <w:style w:type="character" w:customStyle="1" w:styleId="199">
    <w:name w:val="正文文本 3 Char1"/>
    <w:semiHidden/>
    <w:qFormat/>
    <w:uiPriority w:val="99"/>
    <w:rPr>
      <w:rFonts w:ascii="Times New Roman" w:hAnsi="Times New Roman" w:eastAsia="宋体" w:cs="Times New Roman"/>
      <w:sz w:val="16"/>
      <w:szCs w:val="16"/>
    </w:rPr>
  </w:style>
  <w:style w:type="character" w:customStyle="1" w:styleId="200">
    <w:name w:val="tw4winInternal"/>
    <w:qFormat/>
    <w:uiPriority w:val="0"/>
    <w:rPr>
      <w:rFonts w:ascii="Courier New" w:hAnsi="Courier New" w:cs="Courier New"/>
      <w:color w:val="FF0000"/>
      <w:lang w:val="en-US" w:eastAsia="zh-CN"/>
    </w:rPr>
  </w:style>
  <w:style w:type="character" w:customStyle="1" w:styleId="201">
    <w:name w:val="Char Char10"/>
    <w:semiHidden/>
    <w:qFormat/>
    <w:uiPriority w:val="0"/>
    <w:rPr>
      <w:rFonts w:ascii="宋体" w:hAnsi="宋体"/>
      <w:kern w:val="2"/>
      <w:sz w:val="21"/>
      <w:szCs w:val="24"/>
      <w:lang w:val="en-US" w:eastAsia="zh-CN"/>
    </w:rPr>
  </w:style>
  <w:style w:type="character" w:customStyle="1" w:styleId="202">
    <w:name w:val="shadow11"/>
    <w:qFormat/>
    <w:uiPriority w:val="0"/>
    <w:rPr>
      <w:color w:val="000000"/>
      <w:sz w:val="21"/>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Char Char"/>
    <w:qFormat/>
    <w:uiPriority w:val="0"/>
    <w:rPr>
      <w:rFonts w:ascii="宋体" w:hAnsi="Courier New" w:eastAsia="宋体"/>
      <w:kern w:val="2"/>
      <w:sz w:val="21"/>
      <w:lang w:val="en-US" w:eastAsia="zh-CN" w:bidi="ar-SA"/>
    </w:rPr>
  </w:style>
  <w:style w:type="character" w:customStyle="1" w:styleId="205">
    <w:name w:val="签名 Char1"/>
    <w:qFormat/>
    <w:uiPriority w:val="0"/>
    <w:rPr>
      <w:rFonts w:ascii="Times New Roman" w:hAnsi="Times New Roman" w:eastAsia="宋体" w:cs="Times New Roman"/>
      <w:szCs w:val="24"/>
    </w:rPr>
  </w:style>
  <w:style w:type="character" w:customStyle="1" w:styleId="206">
    <w:name w:val="Char Char18"/>
    <w:qFormat/>
    <w:uiPriority w:val="6"/>
    <w:rPr>
      <w:rFonts w:ascii="宋体" w:hAnsi="宋体"/>
      <w:sz w:val="28"/>
    </w:rPr>
  </w:style>
  <w:style w:type="character" w:customStyle="1" w:styleId="207">
    <w:name w:val="批注文字 Char"/>
    <w:qFormat/>
    <w:uiPriority w:val="99"/>
    <w:rPr>
      <w:kern w:val="2"/>
      <w:sz w:val="21"/>
      <w:szCs w:val="24"/>
    </w:rPr>
  </w:style>
  <w:style w:type="character" w:customStyle="1" w:styleId="208">
    <w:name w:val="Char Char22"/>
    <w:qFormat/>
    <w:uiPriority w:val="6"/>
    <w:rPr>
      <w:rFonts w:ascii="宋体" w:hAnsi="宋体"/>
      <w:kern w:val="1"/>
      <w:sz w:val="24"/>
      <w:szCs w:val="24"/>
    </w:rPr>
  </w:style>
  <w:style w:type="character" w:customStyle="1" w:styleId="209">
    <w:name w:val="pt141"/>
    <w:qFormat/>
    <w:uiPriority w:val="0"/>
    <w:rPr>
      <w:color w:val="330066"/>
      <w:sz w:val="22"/>
      <w:szCs w:val="22"/>
    </w:rPr>
  </w:style>
  <w:style w:type="character" w:customStyle="1" w:styleId="210">
    <w:name w:val="正文文本缩进 2 Char1"/>
    <w:semiHidden/>
    <w:qFormat/>
    <w:uiPriority w:val="99"/>
    <w:rPr>
      <w:rFonts w:ascii="Times New Roman" w:hAnsi="Times New Roman" w:eastAsia="宋体" w:cs="Times New Roman"/>
      <w:szCs w:val="24"/>
    </w:rPr>
  </w:style>
  <w:style w:type="character" w:customStyle="1" w:styleId="211">
    <w:name w:val="Char Char611"/>
    <w:qFormat/>
    <w:uiPriority w:val="0"/>
    <w:rPr>
      <w:rFonts w:eastAsia="宋体"/>
      <w:kern w:val="2"/>
      <w:sz w:val="21"/>
      <w:szCs w:val="24"/>
      <w:lang w:val="en-US" w:eastAsia="zh-CN" w:bidi="ar-SA"/>
    </w:rPr>
  </w:style>
  <w:style w:type="character" w:customStyle="1" w:styleId="212">
    <w:name w:val="highlight1"/>
    <w:qFormat/>
    <w:uiPriority w:val="0"/>
    <w:rPr>
      <w:rFonts w:ascii="仿宋_GB2312" w:eastAsia="微软雅黑"/>
      <w:b/>
      <w:kern w:val="2"/>
      <w:sz w:val="23"/>
      <w:szCs w:val="23"/>
      <w:lang w:val="en-US" w:eastAsia="zh-CN" w:bidi="ar-SA"/>
    </w:rPr>
  </w:style>
  <w:style w:type="character" w:customStyle="1" w:styleId="213">
    <w:name w:val="my正文 Char"/>
    <w:link w:val="214"/>
    <w:qFormat/>
    <w:locked/>
    <w:uiPriority w:val="0"/>
    <w:rPr>
      <w:rFonts w:ascii="Tahoma" w:hAnsi="Tahoma"/>
      <w:sz w:val="24"/>
      <w:szCs w:val="24"/>
    </w:rPr>
  </w:style>
  <w:style w:type="paragraph" w:customStyle="1" w:styleId="214">
    <w:name w:val="my正文"/>
    <w:basedOn w:val="1"/>
    <w:link w:val="213"/>
    <w:qFormat/>
    <w:uiPriority w:val="0"/>
    <w:pPr>
      <w:adjustRightInd/>
      <w:spacing w:line="360" w:lineRule="auto"/>
      <w:ind w:firstLine="480" w:firstLineChars="200"/>
    </w:pPr>
    <w:rPr>
      <w:rFonts w:ascii="Tahoma" w:hAnsi="Tahoma"/>
      <w:kern w:val="0"/>
      <w:sz w:val="24"/>
    </w:rPr>
  </w:style>
  <w:style w:type="character" w:customStyle="1" w:styleId="215">
    <w:name w:val="Used by Word for text of Help footnotes Char Char1"/>
    <w:qFormat/>
    <w:uiPriority w:val="0"/>
    <w:rPr>
      <w:color w:val="0000FF"/>
      <w:sz w:val="21"/>
    </w:rPr>
  </w:style>
  <w:style w:type="character" w:customStyle="1" w:styleId="216">
    <w:name w:val="页眉 Char"/>
    <w:qFormat/>
    <w:uiPriority w:val="0"/>
    <w:rPr>
      <w:rFonts w:eastAsia="仿宋_GB2312"/>
      <w:kern w:val="2"/>
      <w:sz w:val="18"/>
      <w:lang w:val="en-US" w:eastAsia="zh-CN"/>
    </w:rPr>
  </w:style>
  <w:style w:type="character" w:customStyle="1" w:styleId="217">
    <w:name w:val="FA正文 Char Char"/>
    <w:qFormat/>
    <w:uiPriority w:val="0"/>
    <w:rPr>
      <w:rFonts w:hAnsi="宋体"/>
      <w:kern w:val="2"/>
      <w:sz w:val="24"/>
      <w:lang w:bidi="ar-SA"/>
    </w:rPr>
  </w:style>
  <w:style w:type="character" w:customStyle="1" w:styleId="218">
    <w:name w:val="纯文本 字符"/>
    <w:qFormat/>
    <w:uiPriority w:val="0"/>
    <w:rPr>
      <w:rFonts w:ascii="宋体" w:hAnsi="Courier New" w:eastAsia="宋体" w:cs="Arial"/>
      <w:snapToGrid w:val="0"/>
      <w:kern w:val="2"/>
      <w:sz w:val="21"/>
      <w:szCs w:val="21"/>
      <w:lang w:val="en-US" w:eastAsia="zh-CN" w:bidi="ar-SA"/>
    </w:rPr>
  </w:style>
  <w:style w:type="character" w:customStyle="1" w:styleId="219">
    <w:name w:val="3级 Char"/>
    <w:link w:val="220"/>
    <w:qFormat/>
    <w:uiPriority w:val="0"/>
    <w:rPr>
      <w:rFonts w:ascii="宋体" w:hAnsi="宋体"/>
      <w:b/>
      <w:bCs/>
      <w:snapToGrid/>
      <w:sz w:val="28"/>
    </w:rPr>
  </w:style>
  <w:style w:type="paragraph" w:customStyle="1" w:styleId="220">
    <w:name w:val="3级"/>
    <w:basedOn w:val="221"/>
    <w:link w:val="219"/>
    <w:qFormat/>
    <w:uiPriority w:val="0"/>
    <w:pPr>
      <w:ind w:left="0" w:right="466" w:firstLine="288"/>
    </w:pPr>
    <w:rPr>
      <w:rFonts w:hAnsi="宋体"/>
      <w:snapToGrid/>
    </w:rPr>
  </w:style>
  <w:style w:type="paragraph" w:customStyle="1" w:styleId="22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2">
    <w:name w:val="myp11"/>
    <w:qFormat/>
    <w:uiPriority w:val="0"/>
    <w:rPr>
      <w:rFonts w:ascii="仿宋_GB2312" w:eastAsia="微软雅黑"/>
      <w:b/>
      <w:kern w:val="2"/>
      <w:sz w:val="32"/>
      <w:szCs w:val="32"/>
      <w:lang w:val="en-US" w:eastAsia="zh-CN" w:bidi="ar-SA"/>
    </w:rPr>
  </w:style>
  <w:style w:type="character" w:customStyle="1" w:styleId="223">
    <w:name w:val="H6 Char"/>
    <w:qFormat/>
    <w:uiPriority w:val="0"/>
    <w:rPr>
      <w:rFonts w:ascii="Arial" w:hAnsi="Arial" w:eastAsia="黑体"/>
      <w:b/>
      <w:bCs/>
      <w:kern w:val="2"/>
      <w:sz w:val="24"/>
      <w:szCs w:val="24"/>
    </w:rPr>
  </w:style>
  <w:style w:type="character" w:customStyle="1" w:styleId="224">
    <w:name w:val="Char Char91"/>
    <w:qFormat/>
    <w:uiPriority w:val="0"/>
    <w:rPr>
      <w:rFonts w:eastAsia="宋体"/>
      <w:kern w:val="2"/>
      <w:sz w:val="18"/>
      <w:szCs w:val="18"/>
      <w:lang w:val="en-US" w:eastAsia="zh-CN" w:bidi="ar-SA"/>
    </w:rPr>
  </w:style>
  <w:style w:type="character" w:customStyle="1" w:styleId="225">
    <w:name w:val="副标题 Char1"/>
    <w:qFormat/>
    <w:uiPriority w:val="0"/>
    <w:rPr>
      <w:rFonts w:ascii="Cambria" w:hAnsi="Cambria" w:eastAsia="宋体" w:cs="Times New Roman"/>
      <w:b/>
      <w:bCs/>
      <w:snapToGrid w:val="0"/>
      <w:kern w:val="28"/>
      <w:sz w:val="32"/>
      <w:szCs w:val="32"/>
    </w:rPr>
  </w:style>
  <w:style w:type="character" w:customStyle="1" w:styleId="226">
    <w:name w:val="font61"/>
    <w:qFormat/>
    <w:uiPriority w:val="0"/>
    <w:rPr>
      <w:rFonts w:hint="eastAsia" w:ascii="仿宋" w:hAnsi="仿宋" w:eastAsia="仿宋" w:cs="仿宋"/>
      <w:color w:val="000000"/>
      <w:sz w:val="20"/>
      <w:szCs w:val="20"/>
      <w:u w:val="none"/>
    </w:rPr>
  </w:style>
  <w:style w:type="character" w:customStyle="1" w:styleId="22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8">
    <w:name w:val="Char Char211"/>
    <w:qFormat/>
    <w:uiPriority w:val="0"/>
    <w:rPr>
      <w:rFonts w:eastAsia="宋体"/>
      <w:b/>
      <w:bCs/>
      <w:kern w:val="2"/>
      <w:sz w:val="21"/>
      <w:szCs w:val="24"/>
      <w:lang w:val="en-US" w:eastAsia="zh-CN" w:bidi="ar-SA"/>
    </w:rPr>
  </w:style>
  <w:style w:type="character" w:customStyle="1" w:styleId="229">
    <w:name w:val="标题 2 Char"/>
    <w:qFormat/>
    <w:uiPriority w:val="0"/>
    <w:rPr>
      <w:rFonts w:ascii="Arial" w:hAnsi="Arial" w:eastAsia="黑体"/>
      <w:b/>
      <w:kern w:val="2"/>
      <w:sz w:val="32"/>
      <w:lang w:val="en-US" w:eastAsia="zh-CN"/>
    </w:rPr>
  </w:style>
  <w:style w:type="character" w:customStyle="1" w:styleId="230">
    <w:name w:val="maywed421"/>
    <w:qFormat/>
    <w:uiPriority w:val="0"/>
    <w:rPr>
      <w:color w:val="366FB6"/>
      <w:u w:val="none"/>
    </w:rPr>
  </w:style>
  <w:style w:type="character" w:customStyle="1" w:styleId="231">
    <w:name w:val="正文文本缩进 Char"/>
    <w:qFormat/>
    <w:uiPriority w:val="0"/>
    <w:rPr>
      <w:rFonts w:ascii="宋体" w:hAnsi="宋体"/>
      <w:kern w:val="2"/>
      <w:sz w:val="24"/>
      <w:szCs w:val="24"/>
    </w:rPr>
  </w:style>
  <w:style w:type="character" w:customStyle="1" w:styleId="232">
    <w:name w:val="Char Char102"/>
    <w:semiHidden/>
    <w:qFormat/>
    <w:uiPriority w:val="0"/>
    <w:rPr>
      <w:rFonts w:ascii="宋体" w:hAnsi="宋体"/>
      <w:kern w:val="2"/>
      <w:sz w:val="21"/>
      <w:szCs w:val="24"/>
      <w:lang w:val="en-US" w:eastAsia="zh-CN"/>
    </w:rPr>
  </w:style>
  <w:style w:type="character" w:customStyle="1" w:styleId="233">
    <w:name w:val="页眉 Char1"/>
    <w:qFormat/>
    <w:uiPriority w:val="0"/>
    <w:rPr>
      <w:rFonts w:eastAsia="宋体"/>
      <w:kern w:val="2"/>
      <w:sz w:val="18"/>
      <w:szCs w:val="18"/>
      <w:lang w:val="en-US" w:eastAsia="zh-CN" w:bidi="ar-SA"/>
    </w:rPr>
  </w:style>
  <w:style w:type="character" w:customStyle="1" w:styleId="234">
    <w:name w:val="md"/>
    <w:basedOn w:val="69"/>
    <w:qFormat/>
    <w:uiPriority w:val="0"/>
    <w:rPr>
      <w:rFonts w:ascii="Arial" w:hAnsi="Arial" w:eastAsia="黑体" w:cs="Arial"/>
      <w:snapToGrid w:val="0"/>
      <w:kern w:val="0"/>
      <w:szCs w:val="21"/>
    </w:rPr>
  </w:style>
  <w:style w:type="character" w:customStyle="1" w:styleId="235">
    <w:name w:val="big1"/>
    <w:qFormat/>
    <w:uiPriority w:val="0"/>
    <w:rPr>
      <w:rFonts w:hint="eastAsia" w:ascii="宋体" w:hAnsi="宋体" w:eastAsia="宋体"/>
      <w:color w:val="333333"/>
      <w:sz w:val="22"/>
      <w:szCs w:val="22"/>
    </w:rPr>
  </w:style>
  <w:style w:type="character" w:customStyle="1" w:styleId="236">
    <w:name w:val="Char Char311"/>
    <w:qFormat/>
    <w:uiPriority w:val="0"/>
    <w:rPr>
      <w:rFonts w:eastAsia="宋体"/>
      <w:kern w:val="2"/>
      <w:sz w:val="21"/>
      <w:szCs w:val="24"/>
      <w:lang w:val="en-US" w:eastAsia="zh-CN" w:bidi="ar-SA"/>
    </w:rPr>
  </w:style>
  <w:style w:type="character" w:customStyle="1" w:styleId="237">
    <w:name w:val="Char Char81"/>
    <w:qFormat/>
    <w:uiPriority w:val="6"/>
    <w:rPr>
      <w:rFonts w:eastAsia="宋体"/>
      <w:b/>
      <w:sz w:val="24"/>
      <w:lang w:val="en-GB" w:eastAsia="zh-CN"/>
    </w:rPr>
  </w:style>
  <w:style w:type="character" w:customStyle="1" w:styleId="238">
    <w:name w:val="样式3 Char"/>
    <w:basedOn w:val="194"/>
    <w:qFormat/>
    <w:uiPriority w:val="0"/>
    <w:rPr>
      <w:rFonts w:ascii="仿宋_GB2312" w:hAnsi="仿宋" w:eastAsia="仿宋_GB2312" w:cs="仿宋_GB2312"/>
      <w:b w:val="0"/>
      <w:bCs w:val="0"/>
      <w:sz w:val="32"/>
      <w:szCs w:val="30"/>
      <w:lang w:val="zh-CN"/>
    </w:rPr>
  </w:style>
  <w:style w:type="character" w:customStyle="1" w:styleId="239">
    <w:name w:val="正文首行缩进 2 Char1"/>
    <w:qFormat/>
    <w:uiPriority w:val="0"/>
    <w:rPr>
      <w:rFonts w:ascii="Times New Roman" w:hAnsi="Times New Roman" w:eastAsia="宋体" w:cs="Times New Roman"/>
      <w:kern w:val="2"/>
      <w:sz w:val="24"/>
      <w:szCs w:val="24"/>
    </w:rPr>
  </w:style>
  <w:style w:type="character" w:customStyle="1" w:styleId="240">
    <w:name w:val="副标题 Char2"/>
    <w:qFormat/>
    <w:uiPriority w:val="0"/>
    <w:rPr>
      <w:rFonts w:ascii="Cambria" w:hAnsi="Cambria" w:eastAsia="宋体" w:cs="Times New Roman"/>
      <w:b/>
      <w:bCs/>
      <w:snapToGrid w:val="0"/>
      <w:kern w:val="28"/>
      <w:sz w:val="32"/>
      <w:szCs w:val="32"/>
    </w:rPr>
  </w:style>
  <w:style w:type="character" w:customStyle="1" w:styleId="241">
    <w:name w:val="标题4-dyf Char"/>
    <w:link w:val="242"/>
    <w:qFormat/>
    <w:uiPriority w:val="0"/>
    <w:rPr>
      <w:rFonts w:ascii="Cambria" w:hAnsi="Cambria"/>
      <w:b/>
      <w:bCs/>
      <w:color w:val="000000"/>
      <w:kern w:val="2"/>
      <w:sz w:val="21"/>
      <w:szCs w:val="21"/>
    </w:rPr>
  </w:style>
  <w:style w:type="paragraph" w:customStyle="1" w:styleId="242">
    <w:name w:val="标题4-dyf"/>
    <w:basedOn w:val="6"/>
    <w:link w:val="24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冯 Char"/>
    <w:link w:val="245"/>
    <w:qFormat/>
    <w:uiPriority w:val="0"/>
    <w:rPr>
      <w:rFonts w:ascii="宋体" w:hAnsi="宋体"/>
      <w:color w:val="000000"/>
      <w:sz w:val="24"/>
      <w:szCs w:val="24"/>
    </w:rPr>
  </w:style>
  <w:style w:type="paragraph" w:customStyle="1" w:styleId="245">
    <w:name w:val="冯"/>
    <w:basedOn w:val="1"/>
    <w:link w:val="244"/>
    <w:qFormat/>
    <w:uiPriority w:val="0"/>
    <w:pPr>
      <w:widowControl/>
      <w:adjustRightInd/>
      <w:spacing w:line="360" w:lineRule="auto"/>
      <w:ind w:firstLine="480" w:firstLineChars="200"/>
    </w:pPr>
    <w:rPr>
      <w:rFonts w:ascii="宋体" w:hAnsi="宋体"/>
      <w:color w:val="000000"/>
      <w:kern w:val="0"/>
      <w:sz w:val="24"/>
    </w:rPr>
  </w:style>
  <w:style w:type="character" w:customStyle="1" w:styleId="246">
    <w:name w:val="Header Char"/>
    <w:qFormat/>
    <w:locked/>
    <w:uiPriority w:val="0"/>
    <w:rPr>
      <w:rFonts w:eastAsia="宋体"/>
      <w:kern w:val="2"/>
      <w:sz w:val="18"/>
      <w:szCs w:val="18"/>
      <w:lang w:val="en-US" w:eastAsia="zh-CN" w:bidi="ar-SA"/>
    </w:rPr>
  </w:style>
  <w:style w:type="character" w:customStyle="1" w:styleId="247">
    <w:name w:val="Char Char12"/>
    <w:qFormat/>
    <w:uiPriority w:val="0"/>
    <w:rPr>
      <w:rFonts w:ascii="仿宋_GB2312" w:eastAsia="仿宋_GB2312"/>
      <w:b/>
      <w:bCs/>
      <w:kern w:val="2"/>
      <w:sz w:val="24"/>
      <w:szCs w:val="24"/>
      <w:lang w:val="zh-CN" w:eastAsia="zh-CN" w:bidi="ar-SA"/>
    </w:rPr>
  </w:style>
  <w:style w:type="character" w:customStyle="1" w:styleId="248">
    <w:name w:val="普通文字 Char3"/>
    <w:qFormat/>
    <w:uiPriority w:val="0"/>
    <w:rPr>
      <w:rFonts w:ascii="宋体" w:hAnsi="Courier New" w:eastAsia="宋体"/>
      <w:kern w:val="2"/>
      <w:sz w:val="21"/>
      <w:lang w:val="en-US" w:eastAsia="zh-CN" w:bidi="ar-SA"/>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正文首行缩进 Char Char Char Char Char"/>
    <w:qFormat/>
    <w:uiPriority w:val="0"/>
    <w:rPr>
      <w:rFonts w:ascii="宋体"/>
      <w:kern w:val="2"/>
      <w:sz w:val="24"/>
      <w:lang w:val="zh-CN"/>
    </w:rPr>
  </w:style>
  <w:style w:type="character" w:customStyle="1" w:styleId="251">
    <w:name w:val="PI Char"/>
    <w:qFormat/>
    <w:uiPriority w:val="0"/>
    <w:rPr>
      <w:rFonts w:ascii="宋体" w:hAnsi="宋体" w:eastAsia="宋体"/>
      <w:kern w:val="2"/>
      <w:sz w:val="24"/>
      <w:szCs w:val="24"/>
      <w:lang w:val="en-US" w:eastAsia="zh-CN" w:bidi="ar-SA"/>
    </w:rPr>
  </w:style>
  <w:style w:type="character" w:customStyle="1" w:styleId="252">
    <w:name w:val="Default Char"/>
    <w:link w:val="253"/>
    <w:qFormat/>
    <w:uiPriority w:val="0"/>
    <w:rPr>
      <w:rFonts w:ascii="仿宋_GB2312" w:eastAsia="仿宋_GB2312" w:cs="仿宋_GB2312"/>
      <w:color w:val="000000"/>
      <w:sz w:val="24"/>
      <w:szCs w:val="24"/>
      <w:lang w:val="en-US" w:eastAsia="zh-CN" w:bidi="ar-SA"/>
    </w:rPr>
  </w:style>
  <w:style w:type="paragraph" w:customStyle="1" w:styleId="253">
    <w:name w:val="Default"/>
    <w:link w:val="252"/>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54">
    <w:name w:val="style91"/>
    <w:qFormat/>
    <w:uiPriority w:val="0"/>
    <w:rPr>
      <w:color w:val="333333"/>
    </w:rPr>
  </w:style>
  <w:style w:type="character" w:customStyle="1" w:styleId="255">
    <w:name w:val="列出段落 Char2"/>
    <w:qFormat/>
    <w:uiPriority w:val="34"/>
    <w:rPr>
      <w:rFonts w:ascii="Calibri" w:hAnsi="Calibri"/>
      <w:kern w:val="2"/>
      <w:sz w:val="28"/>
    </w:rPr>
  </w:style>
  <w:style w:type="character" w:customStyle="1" w:styleId="256">
    <w:name w:val="mdeck"/>
    <w:qFormat/>
    <w:uiPriority w:val="0"/>
    <w:rPr>
      <w:rFonts w:ascii="仿宋_GB2312" w:eastAsia="微软雅黑"/>
      <w:b/>
      <w:kern w:val="2"/>
      <w:sz w:val="32"/>
      <w:szCs w:val="32"/>
      <w:lang w:val="en-US" w:eastAsia="zh-CN" w:bidi="ar-SA"/>
    </w:rPr>
  </w:style>
  <w:style w:type="character" w:customStyle="1" w:styleId="257">
    <w:name w:val="unnamed11"/>
    <w:qFormat/>
    <w:uiPriority w:val="0"/>
    <w:rPr>
      <w:sz w:val="20"/>
      <w:szCs w:val="20"/>
    </w:rPr>
  </w:style>
  <w:style w:type="character" w:customStyle="1" w:styleId="258">
    <w:name w:val="正文文本 Char2"/>
    <w:semiHidden/>
    <w:qFormat/>
    <w:uiPriority w:val="99"/>
    <w:rPr>
      <w:rFonts w:ascii="Times New Roman" w:hAnsi="Times New Roman" w:eastAsia="宋体" w:cs="Times New Roman"/>
      <w:snapToGrid w:val="0"/>
      <w:kern w:val="0"/>
      <w:szCs w:val="24"/>
    </w:rPr>
  </w:style>
  <w:style w:type="character" w:customStyle="1" w:styleId="259">
    <w:name w:val="标书正文格式 Char"/>
    <w:qFormat/>
    <w:uiPriority w:val="0"/>
    <w:rPr>
      <w:rFonts w:eastAsia="楷体_GB2312"/>
      <w:kern w:val="2"/>
      <w:sz w:val="24"/>
      <w:szCs w:val="24"/>
      <w:lang w:bidi="ar-SA"/>
    </w:rPr>
  </w:style>
  <w:style w:type="character" w:customStyle="1" w:styleId="260">
    <w:name w:val="Char Char11"/>
    <w:qFormat/>
    <w:locked/>
    <w:uiPriority w:val="0"/>
    <w:rPr>
      <w:rFonts w:ascii="宋体" w:hAnsi="宋体" w:eastAsia="宋体"/>
      <w:b/>
      <w:kern w:val="2"/>
      <w:sz w:val="24"/>
      <w:szCs w:val="24"/>
      <w:lang w:val="en-US" w:eastAsia="zh-CN" w:bidi="ar-SA"/>
    </w:rPr>
  </w:style>
  <w:style w:type="character" w:customStyle="1" w:styleId="261">
    <w:name w:val="ca-131"/>
    <w:qFormat/>
    <w:uiPriority w:val="0"/>
    <w:rPr>
      <w:rFonts w:hint="eastAsia" w:ascii="仿宋_GB2312" w:eastAsia="仿宋_GB2312"/>
      <w:b/>
      <w:bCs/>
      <w:color w:val="000000"/>
      <w:spacing w:val="-20"/>
      <w:sz w:val="24"/>
      <w:szCs w:val="24"/>
    </w:rPr>
  </w:style>
  <w:style w:type="character" w:customStyle="1" w:styleId="262">
    <w:name w:val="tw4winMark"/>
    <w:qFormat/>
    <w:uiPriority w:val="0"/>
    <w:rPr>
      <w:rFonts w:ascii="Courier New" w:hAnsi="Courier New" w:cs="Courier New"/>
      <w:vanish/>
      <w:color w:val="800080"/>
      <w:sz w:val="24"/>
      <w:szCs w:val="24"/>
      <w:vertAlign w:val="subscript"/>
    </w:rPr>
  </w:style>
  <w:style w:type="character" w:customStyle="1" w:styleId="263">
    <w:name w:val="正文样式 Char"/>
    <w:link w:val="264"/>
    <w:qFormat/>
    <w:uiPriority w:val="0"/>
    <w:rPr>
      <w:rFonts w:ascii="Calibri" w:hAnsi="Calibri"/>
      <w:sz w:val="24"/>
      <w:szCs w:val="24"/>
    </w:rPr>
  </w:style>
  <w:style w:type="paragraph" w:customStyle="1" w:styleId="264">
    <w:name w:val="正文样式"/>
    <w:basedOn w:val="1"/>
    <w:link w:val="263"/>
    <w:qFormat/>
    <w:uiPriority w:val="0"/>
    <w:pPr>
      <w:adjustRightInd/>
      <w:spacing w:line="360" w:lineRule="auto"/>
      <w:ind w:firstLine="480" w:firstLineChars="200"/>
    </w:pPr>
    <w:rPr>
      <w:rFonts w:ascii="Calibri" w:hAnsi="Calibri"/>
      <w:kern w:val="0"/>
      <w:sz w:val="24"/>
    </w:rPr>
  </w:style>
  <w:style w:type="character" w:customStyle="1" w:styleId="265">
    <w:name w:val="表正文 Char3"/>
    <w:qFormat/>
    <w:uiPriority w:val="0"/>
    <w:rPr>
      <w:rFonts w:eastAsia="宋体"/>
    </w:rPr>
  </w:style>
  <w:style w:type="character" w:customStyle="1" w:styleId="266">
    <w:name w:val="H5 Char"/>
    <w:qFormat/>
    <w:uiPriority w:val="0"/>
    <w:rPr>
      <w:b/>
      <w:bCs/>
      <w:kern w:val="2"/>
      <w:sz w:val="28"/>
      <w:szCs w:val="28"/>
    </w:rPr>
  </w:style>
  <w:style w:type="character" w:customStyle="1" w:styleId="267">
    <w:name w:val="Char Char3"/>
    <w:qFormat/>
    <w:uiPriority w:val="0"/>
    <w:rPr>
      <w:rFonts w:eastAsia="宋体"/>
      <w:kern w:val="2"/>
      <w:sz w:val="21"/>
      <w:szCs w:val="24"/>
      <w:lang w:val="en-US" w:eastAsia="zh-CN" w:bidi="ar-SA"/>
    </w:rPr>
  </w:style>
  <w:style w:type="character" w:customStyle="1" w:styleId="268">
    <w:name w:val="正文 编号 Char"/>
    <w:qFormat/>
    <w:uiPriority w:val="0"/>
    <w:rPr>
      <w:rFonts w:ascii="仿宋_GB2312" w:hAnsi="仿宋_GB2312" w:eastAsia="仿宋_GB2312"/>
      <w:kern w:val="2"/>
      <w:sz w:val="24"/>
      <w:lang w:bidi="ar-SA"/>
    </w:rPr>
  </w:style>
  <w:style w:type="character" w:customStyle="1" w:styleId="269">
    <w:name w:val="question-title2"/>
    <w:qFormat/>
    <w:uiPriority w:val="6"/>
    <w:rPr>
      <w:rFonts w:ascii="Arial" w:hAnsi="Arial" w:eastAsia="黑体" w:cs="Arial"/>
      <w:snapToGrid w:val="0"/>
      <w:kern w:val="0"/>
      <w:szCs w:val="21"/>
    </w:rPr>
  </w:style>
  <w:style w:type="character" w:customStyle="1" w:styleId="270">
    <w:name w:val="gf正文1 Char Char"/>
    <w:link w:val="271"/>
    <w:qFormat/>
    <w:uiPriority w:val="0"/>
    <w:rPr>
      <w:rFonts w:ascii="宋体" w:hAnsi="宋体" w:cs="宋体"/>
      <w:kern w:val="2"/>
      <w:sz w:val="24"/>
      <w:szCs w:val="24"/>
    </w:rPr>
  </w:style>
  <w:style w:type="paragraph" w:customStyle="1" w:styleId="271">
    <w:name w:val="gf正文1"/>
    <w:basedOn w:val="1"/>
    <w:link w:val="27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2">
    <w:name w:val="Char Char15"/>
    <w:qFormat/>
    <w:uiPriority w:val="6"/>
    <w:rPr>
      <w:rFonts w:ascii="宋体" w:hAnsi="宋体"/>
      <w:kern w:val="1"/>
      <w:sz w:val="21"/>
    </w:rPr>
  </w:style>
  <w:style w:type="character" w:customStyle="1" w:styleId="273">
    <w:name w:val="正文缩进 Char3"/>
    <w:qFormat/>
    <w:uiPriority w:val="0"/>
    <w:rPr>
      <w:rFonts w:ascii="宋体" w:eastAsia="宋体"/>
      <w:snapToGrid w:val="0"/>
      <w:color w:val="000000"/>
      <w:kern w:val="28"/>
      <w:sz w:val="28"/>
      <w:lang w:val="en-US" w:eastAsia="zh-CN" w:bidi="ar-SA"/>
    </w:rPr>
  </w:style>
  <w:style w:type="character" w:customStyle="1" w:styleId="274">
    <w:name w:val="列出段落 Char1"/>
    <w:link w:val="275"/>
    <w:qFormat/>
    <w:uiPriority w:val="0"/>
    <w:rPr>
      <w:rFonts w:ascii="Calibri" w:hAnsi="Calibri"/>
      <w:sz w:val="24"/>
      <w:lang w:eastAsia="en-US"/>
    </w:rPr>
  </w:style>
  <w:style w:type="paragraph" w:customStyle="1" w:styleId="275">
    <w:name w:val="列表1"/>
    <w:basedOn w:val="1"/>
    <w:next w:val="276"/>
    <w:link w:val="274"/>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6">
    <w:name w:val="List Paragraph"/>
    <w:basedOn w:val="1"/>
    <w:qFormat/>
    <w:uiPriority w:val="34"/>
    <w:pPr>
      <w:spacing w:line="360" w:lineRule="auto"/>
      <w:ind w:firstLine="200" w:firstLineChars="200"/>
    </w:pPr>
    <w:rPr>
      <w:rFonts w:eastAsia="楷体_GB2312" w:cs="Lucida Sans"/>
      <w:sz w:val="24"/>
    </w:rPr>
  </w:style>
  <w:style w:type="character" w:customStyle="1" w:styleId="277">
    <w:name w:val="Char Char8"/>
    <w:qFormat/>
    <w:uiPriority w:val="0"/>
    <w:rPr>
      <w:rFonts w:eastAsia="宋体"/>
      <w:b/>
      <w:sz w:val="24"/>
      <w:lang w:val="en-GB" w:eastAsia="zh-CN"/>
    </w:rPr>
  </w:style>
  <w:style w:type="character" w:customStyle="1" w:styleId="278">
    <w:name w:val="Normal Indent Char Char"/>
    <w:qFormat/>
    <w:uiPriority w:val="0"/>
    <w:rPr>
      <w:rFonts w:eastAsia="宋体"/>
      <w:kern w:val="2"/>
      <w:sz w:val="21"/>
      <w:lang w:val="en-US" w:eastAsia="zh-CN" w:bidi="ar-SA"/>
    </w:rPr>
  </w:style>
  <w:style w:type="character" w:customStyle="1" w:styleId="279">
    <w:name w:val="列表段落 字符"/>
    <w:qFormat/>
    <w:uiPriority w:val="99"/>
  </w:style>
  <w:style w:type="character" w:customStyle="1" w:styleId="280">
    <w:name w:val="Ò³Ã¼ Char Char1"/>
    <w:qFormat/>
    <w:uiPriority w:val="0"/>
    <w:rPr>
      <w:rFonts w:eastAsia="宋体"/>
      <w:kern w:val="2"/>
      <w:sz w:val="18"/>
      <w:szCs w:val="18"/>
      <w:lang w:val="en-US" w:eastAsia="zh-CN" w:bidi="ar-SA"/>
    </w:rPr>
  </w:style>
  <w:style w:type="character" w:customStyle="1" w:styleId="281">
    <w:name w:val="方案正文 Char"/>
    <w:qFormat/>
    <w:uiPriority w:val="0"/>
    <w:rPr>
      <w:rFonts w:ascii="仿宋_GB2312" w:eastAsia="仿宋_GB2312"/>
      <w:b/>
      <w:color w:val="000000"/>
      <w:kern w:val="2"/>
      <w:sz w:val="24"/>
      <w:lang w:val="en-US" w:eastAsia="zh-CN" w:bidi="ar-SA"/>
    </w:rPr>
  </w:style>
  <w:style w:type="character" w:customStyle="1" w:styleId="282">
    <w:name w:val="Char Char30"/>
    <w:qFormat/>
    <w:uiPriority w:val="6"/>
    <w:rPr>
      <w:rFonts w:ascii="Arial" w:hAnsi="Arial" w:eastAsia="黑体"/>
      <w:kern w:val="1"/>
      <w:sz w:val="21"/>
      <w:szCs w:val="21"/>
    </w:rPr>
  </w:style>
  <w:style w:type="character" w:customStyle="1" w:styleId="283">
    <w:name w:val="font01"/>
    <w:qFormat/>
    <w:uiPriority w:val="0"/>
    <w:rPr>
      <w:rFonts w:hint="eastAsia" w:ascii="微软雅黑" w:hAnsi="微软雅黑" w:eastAsia="微软雅黑" w:cs="微软雅黑"/>
      <w:color w:val="000000"/>
      <w:sz w:val="20"/>
      <w:szCs w:val="20"/>
      <w:u w:val="none"/>
    </w:rPr>
  </w:style>
  <w:style w:type="character" w:customStyle="1" w:styleId="284">
    <w:name w:val="Char Char20"/>
    <w:qFormat/>
    <w:uiPriority w:val="6"/>
    <w:rPr>
      <w:kern w:val="1"/>
      <w:sz w:val="24"/>
    </w:rPr>
  </w:style>
  <w:style w:type="character" w:customStyle="1" w:styleId="285">
    <w:name w:val="tw4winExternal"/>
    <w:qFormat/>
    <w:uiPriority w:val="0"/>
    <w:rPr>
      <w:rFonts w:ascii="Courier New" w:hAnsi="Courier New" w:cs="Courier New"/>
      <w:color w:val="808080"/>
      <w:lang w:val="en-US" w:eastAsia="zh-CN"/>
    </w:rPr>
  </w:style>
  <w:style w:type="character" w:customStyle="1" w:styleId="286">
    <w:name w:val="标题 4 Char1"/>
    <w:qFormat/>
    <w:uiPriority w:val="9"/>
    <w:rPr>
      <w:rFonts w:ascii="Cambria" w:hAnsi="Cambria" w:eastAsia="宋体" w:cs="Times New Roman"/>
      <w:b/>
      <w:bCs/>
      <w:kern w:val="2"/>
      <w:sz w:val="28"/>
      <w:szCs w:val="28"/>
    </w:rPr>
  </w:style>
  <w:style w:type="character" w:customStyle="1" w:styleId="287">
    <w:name w:val="批注文字 Char2"/>
    <w:qFormat/>
    <w:uiPriority w:val="99"/>
    <w:rPr>
      <w:rFonts w:ascii="Times New Roman" w:hAnsi="Times New Roman" w:eastAsia="宋体" w:cs="Times New Roman"/>
      <w:snapToGrid w:val="0"/>
      <w:kern w:val="0"/>
      <w:szCs w:val="24"/>
    </w:rPr>
  </w:style>
  <w:style w:type="character" w:customStyle="1" w:styleId="288">
    <w:name w:val="正文文本 2 Char"/>
    <w:qFormat/>
    <w:uiPriority w:val="0"/>
    <w:rPr>
      <w:rFonts w:eastAsia="宋体"/>
      <w:kern w:val="2"/>
      <w:sz w:val="21"/>
      <w:szCs w:val="24"/>
      <w:lang w:val="en-US" w:eastAsia="zh-CN" w:bidi="ar-SA"/>
    </w:rPr>
  </w:style>
  <w:style w:type="character" w:customStyle="1" w:styleId="289">
    <w:name w:val="Ò³Ã¼ Char Char"/>
    <w:qFormat/>
    <w:uiPriority w:val="0"/>
    <w:rPr>
      <w:rFonts w:eastAsia="宋体"/>
      <w:kern w:val="2"/>
      <w:sz w:val="18"/>
      <w:lang w:val="en-US" w:eastAsia="zh-CN" w:bidi="ar-SA"/>
    </w:rPr>
  </w:style>
  <w:style w:type="character" w:customStyle="1" w:styleId="290">
    <w:name w:val="message1"/>
    <w:qFormat/>
    <w:uiPriority w:val="0"/>
    <w:rPr>
      <w:rFonts w:hint="default" w:ascii="Tahoma" w:hAnsi="Tahoma" w:cs="Tahoma"/>
      <w:sz w:val="18"/>
      <w:szCs w:val="18"/>
    </w:rPr>
  </w:style>
  <w:style w:type="character" w:customStyle="1" w:styleId="291">
    <w:name w:val="Char Char23"/>
    <w:qFormat/>
    <w:uiPriority w:val="6"/>
    <w:rPr>
      <w:color w:val="0000FF"/>
      <w:sz w:val="21"/>
    </w:rPr>
  </w:style>
  <w:style w:type="character" w:customStyle="1" w:styleId="292">
    <w:name w:val="批注框文本 字符"/>
    <w:qFormat/>
    <w:uiPriority w:val="0"/>
    <w:rPr>
      <w:rFonts w:ascii="Arial" w:hAnsi="Arial" w:eastAsia="黑体" w:cs="Arial"/>
      <w:snapToGrid w:val="0"/>
      <w:kern w:val="0"/>
      <w:sz w:val="18"/>
      <w:szCs w:val="18"/>
    </w:rPr>
  </w:style>
  <w:style w:type="character" w:customStyle="1" w:styleId="293">
    <w:name w:val="纯文本 Char2"/>
    <w:semiHidden/>
    <w:qFormat/>
    <w:uiPriority w:val="99"/>
    <w:rPr>
      <w:rFonts w:ascii="宋体" w:hAnsi="Courier New" w:eastAsia="宋体" w:cs="Courier New"/>
    </w:rPr>
  </w:style>
  <w:style w:type="character" w:customStyle="1" w:styleId="294">
    <w:name w:val="Char Char25"/>
    <w:qFormat/>
    <w:uiPriority w:val="6"/>
    <w:rPr>
      <w:rFonts w:ascii="宋体" w:hAnsi="宋体"/>
      <w:kern w:val="1"/>
      <w:sz w:val="24"/>
      <w:lang w:val="zh-CN"/>
    </w:rPr>
  </w:style>
  <w:style w:type="character" w:customStyle="1" w:styleId="295">
    <w:name w:val="Char Char411"/>
    <w:qFormat/>
    <w:uiPriority w:val="0"/>
    <w:rPr>
      <w:rFonts w:eastAsia="宋体"/>
      <w:b/>
      <w:sz w:val="24"/>
      <w:lang w:val="en-GB" w:eastAsia="zh-CN" w:bidi="ar-SA"/>
    </w:rPr>
  </w:style>
  <w:style w:type="character" w:customStyle="1" w:styleId="296">
    <w:name w:val="Heading 7 Char"/>
    <w:qFormat/>
    <w:locked/>
    <w:uiPriority w:val="0"/>
    <w:rPr>
      <w:rFonts w:ascii="宋体" w:hAnsi="宋体" w:eastAsia="宋体"/>
      <w:b/>
      <w:bCs/>
      <w:kern w:val="2"/>
      <w:sz w:val="24"/>
      <w:szCs w:val="24"/>
      <w:lang w:val="en-US" w:eastAsia="zh-CN" w:bidi="ar-SA"/>
    </w:rPr>
  </w:style>
  <w:style w:type="character" w:customStyle="1" w:styleId="297">
    <w:name w:val="此正文 Char"/>
    <w:link w:val="298"/>
    <w:qFormat/>
    <w:uiPriority w:val="0"/>
    <w:rPr>
      <w:kern w:val="2"/>
      <w:sz w:val="24"/>
      <w:szCs w:val="24"/>
    </w:rPr>
  </w:style>
  <w:style w:type="paragraph" w:customStyle="1" w:styleId="298">
    <w:name w:val="此正文"/>
    <w:basedOn w:val="1"/>
    <w:link w:val="297"/>
    <w:qFormat/>
    <w:uiPriority w:val="0"/>
    <w:pPr>
      <w:adjustRightInd/>
      <w:spacing w:line="360" w:lineRule="auto"/>
      <w:ind w:firstLine="200" w:firstLineChars="200"/>
    </w:pPr>
    <w:rPr>
      <w:sz w:val="24"/>
    </w:rPr>
  </w:style>
  <w:style w:type="character" w:customStyle="1" w:styleId="299">
    <w:name w:val="Char Char2"/>
    <w:qFormat/>
    <w:uiPriority w:val="0"/>
    <w:rPr>
      <w:rFonts w:eastAsia="宋体"/>
      <w:b/>
      <w:bCs/>
      <w:kern w:val="2"/>
      <w:sz w:val="21"/>
      <w:szCs w:val="24"/>
      <w:lang w:val="en-US" w:eastAsia="zh-CN" w:bidi="ar-SA"/>
    </w:rPr>
  </w:style>
  <w:style w:type="character" w:customStyle="1" w:styleId="300">
    <w:name w:val="Footer-Even Char1"/>
    <w:qFormat/>
    <w:uiPriority w:val="0"/>
    <w:rPr>
      <w:rFonts w:eastAsia="宋体"/>
      <w:kern w:val="2"/>
      <w:sz w:val="18"/>
      <w:szCs w:val="18"/>
      <w:lang w:val="en-US" w:eastAsia="zh-CN" w:bidi="ar-SA"/>
    </w:rPr>
  </w:style>
  <w:style w:type="character" w:customStyle="1" w:styleId="301">
    <w:name w:val="Char Char29"/>
    <w:qFormat/>
    <w:uiPriority w:val="6"/>
    <w:rPr>
      <w:rFonts w:ascii="Arial" w:hAnsi="Arial" w:eastAsia="微软雅黑"/>
      <w:b/>
      <w:kern w:val="1"/>
      <w:sz w:val="44"/>
      <w:szCs w:val="32"/>
      <w:lang w:val="en-US" w:eastAsia="zh-CN" w:bidi="ar-SA"/>
    </w:rPr>
  </w:style>
  <w:style w:type="character" w:customStyle="1" w:styleId="302">
    <w:name w:val="font81"/>
    <w:qFormat/>
    <w:uiPriority w:val="0"/>
    <w:rPr>
      <w:rFonts w:ascii="微软雅黑" w:hAnsi="微软雅黑" w:eastAsia="微软雅黑" w:cs="微软雅黑"/>
      <w:color w:val="000000"/>
      <w:sz w:val="20"/>
      <w:szCs w:val="20"/>
      <w:u w:val="none"/>
    </w:rPr>
  </w:style>
  <w:style w:type="character" w:customStyle="1" w:styleId="303">
    <w:name w:val="Char Char312"/>
    <w:qFormat/>
    <w:uiPriority w:val="0"/>
    <w:rPr>
      <w:rFonts w:ascii="Times New Roman" w:hAnsi="Times New Roman" w:eastAsia="宋体" w:cs="Times New Roman"/>
      <w:b/>
      <w:kern w:val="2"/>
      <w:sz w:val="32"/>
      <w:szCs w:val="24"/>
      <w:lang w:val="en-US" w:eastAsia="zh-CN" w:bidi="ar-SA"/>
    </w:rPr>
  </w:style>
  <w:style w:type="character" w:customStyle="1" w:styleId="304">
    <w:name w:val="t21"/>
    <w:qFormat/>
    <w:uiPriority w:val="0"/>
    <w:rPr>
      <w:rFonts w:ascii="仿宋_GB2312" w:eastAsia="微软雅黑"/>
      <w:b/>
      <w:kern w:val="2"/>
      <w:sz w:val="23"/>
      <w:szCs w:val="23"/>
      <w:lang w:val="en-US" w:eastAsia="zh-CN" w:bidi="ar-SA"/>
    </w:rPr>
  </w:style>
  <w:style w:type="character" w:customStyle="1" w:styleId="305">
    <w:name w:val="样式8 Char"/>
    <w:qFormat/>
    <w:uiPriority w:val="0"/>
    <w:rPr>
      <w:rFonts w:ascii="仿宋_GB2312" w:hAnsi="宋体" w:eastAsia="仿宋_GB2312"/>
      <w:b/>
      <w:bCs/>
      <w:kern w:val="2"/>
      <w:sz w:val="24"/>
      <w:szCs w:val="24"/>
    </w:rPr>
  </w:style>
  <w:style w:type="character" w:customStyle="1" w:styleId="306">
    <w:name w:val="表格 Char Char"/>
    <w:qFormat/>
    <w:uiPriority w:val="0"/>
    <w:rPr>
      <w:rFonts w:ascii="宋体" w:hAnsi="宋体" w:eastAsia="宋体"/>
      <w:lang w:bidi="ar-SA"/>
    </w:rPr>
  </w:style>
  <w:style w:type="character" w:customStyle="1" w:styleId="307">
    <w:name w:val="正文文本 字符1"/>
    <w:qFormat/>
    <w:uiPriority w:val="0"/>
    <w:rPr>
      <w:rFonts w:ascii="Calibri" w:hAnsi="Calibri" w:eastAsia="黑体" w:cs="Arial"/>
      <w:snapToGrid w:val="0"/>
      <w:kern w:val="2"/>
      <w:sz w:val="28"/>
      <w:szCs w:val="21"/>
    </w:rPr>
  </w:style>
  <w:style w:type="character" w:customStyle="1" w:styleId="308">
    <w:name w:val="标题 6 Char1"/>
    <w:qFormat/>
    <w:uiPriority w:val="0"/>
    <w:rPr>
      <w:rFonts w:ascii="Arial" w:hAnsi="Arial" w:eastAsia="黑体" w:cs="Times New Roman"/>
      <w:b/>
      <w:sz w:val="24"/>
      <w:szCs w:val="20"/>
      <w:lang w:bidi="ar-SA"/>
    </w:rPr>
  </w:style>
  <w:style w:type="character" w:customStyle="1" w:styleId="309">
    <w:name w:val="带编号样式 Char"/>
    <w:qFormat/>
    <w:uiPriority w:val="0"/>
    <w:rPr>
      <w:rFonts w:ascii="仿宋_GB2312" w:eastAsia="仿宋_GB2312"/>
      <w:color w:val="000000"/>
      <w:sz w:val="24"/>
      <w:lang w:bidi="ar-SA"/>
    </w:rPr>
  </w:style>
  <w:style w:type="character" w:customStyle="1" w:styleId="310">
    <w:name w:val="unnamed31"/>
    <w:qFormat/>
    <w:uiPriority w:val="0"/>
    <w:rPr>
      <w:rFonts w:ascii="Tahoma" w:hAnsi="Tahoma" w:eastAsia="宋体"/>
      <w:b/>
      <w:kern w:val="2"/>
      <w:sz w:val="24"/>
      <w:szCs w:val="32"/>
      <w:u w:val="none"/>
      <w:lang w:val="en-US" w:eastAsia="zh-CN" w:bidi="ar-SA"/>
    </w:rPr>
  </w:style>
  <w:style w:type="character" w:customStyle="1" w:styleId="311">
    <w:name w:val="正文首行缩进 Char Char Char Char Char Char1"/>
    <w:qFormat/>
    <w:uiPriority w:val="0"/>
    <w:rPr>
      <w:rFonts w:ascii="宋体" w:eastAsia="宋体"/>
      <w:kern w:val="2"/>
      <w:sz w:val="24"/>
      <w:szCs w:val="24"/>
      <w:lang w:val="zh-CN" w:bidi="ar-SA"/>
    </w:rPr>
  </w:style>
  <w:style w:type="character" w:customStyle="1" w:styleId="312">
    <w:name w:val="文本正文 Char Char"/>
    <w:qFormat/>
    <w:locked/>
    <w:uiPriority w:val="0"/>
    <w:rPr>
      <w:sz w:val="24"/>
      <w:lang w:bidi="ar-SA"/>
    </w:rPr>
  </w:style>
  <w:style w:type="character" w:customStyle="1" w:styleId="313">
    <w:name w:val="正文缩进 字符"/>
    <w:qFormat/>
    <w:uiPriority w:val="0"/>
    <w:rPr>
      <w:rFonts w:ascii="宋体" w:eastAsia="宋体"/>
      <w:snapToGrid w:val="0"/>
      <w:color w:val="000000"/>
      <w:kern w:val="28"/>
      <w:sz w:val="28"/>
      <w:lang w:val="en-US" w:eastAsia="zh-CN" w:bidi="ar-SA"/>
    </w:rPr>
  </w:style>
  <w:style w:type="character" w:customStyle="1" w:styleId="314">
    <w:name w:val="样式 样式 标题 4h4H4Fab-4T5Ref Heading 1rh1Heading sqlsect 1.2.3.... +... Char"/>
    <w:link w:val="315"/>
    <w:qFormat/>
    <w:uiPriority w:val="0"/>
    <w:rPr>
      <w:rFonts w:ascii="微软雅黑" w:hAnsi="微软雅黑" w:eastAsia="微软雅黑"/>
      <w:b/>
      <w:bCs/>
      <w:kern w:val="2"/>
      <w:sz w:val="24"/>
      <w:szCs w:val="28"/>
    </w:rPr>
  </w:style>
  <w:style w:type="paragraph" w:customStyle="1" w:styleId="315">
    <w:name w:val="样式 样式 标题 4h4H4Fab-4T5Ref Heading 1rh1Heading sqlsect 1.2.3.... +..."/>
    <w:basedOn w:val="316"/>
    <w:link w:val="314"/>
    <w:qFormat/>
    <w:uiPriority w:val="0"/>
    <w:pPr>
      <w:tabs>
        <w:tab w:val="left" w:pos="2356"/>
      </w:tabs>
    </w:pPr>
  </w:style>
  <w:style w:type="paragraph" w:customStyle="1" w:styleId="316">
    <w:name w:val="样式 标题 4h4H4Fab-4T5Ref Heading 1rh1Heading sqlsect 1.2.3...."/>
    <w:basedOn w:val="6"/>
    <w:link w:val="3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7">
    <w:name w:val="样式 标题 4h4H4Fab-4T5Ref Heading 1rh1Heading sqlsect 1.2.3.... Char"/>
    <w:link w:val="316"/>
    <w:qFormat/>
    <w:uiPriority w:val="0"/>
    <w:rPr>
      <w:rFonts w:ascii="微软雅黑" w:hAnsi="微软雅黑" w:eastAsia="微软雅黑"/>
      <w:b/>
      <w:bCs/>
      <w:kern w:val="2"/>
      <w:sz w:val="24"/>
      <w:szCs w:val="28"/>
    </w:rPr>
  </w:style>
  <w:style w:type="character" w:customStyle="1" w:styleId="318">
    <w:name w:val="正文非缩进 Char"/>
    <w:qFormat/>
    <w:uiPriority w:val="0"/>
    <w:rPr>
      <w:rFonts w:ascii="宋体" w:eastAsia="宋体"/>
      <w:snapToGrid w:val="0"/>
      <w:color w:val="000000"/>
      <w:kern w:val="28"/>
      <w:sz w:val="28"/>
      <w:lang w:val="en-US" w:eastAsia="zh-CN" w:bidi="ar-SA"/>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称呼 Char1"/>
    <w:qFormat/>
    <w:uiPriority w:val="0"/>
    <w:rPr>
      <w:rFonts w:ascii="Times New Roman" w:hAnsi="Times New Roman" w:eastAsia="宋体" w:cs="Times New Roman"/>
      <w:szCs w:val="24"/>
    </w:rPr>
  </w:style>
  <w:style w:type="character" w:customStyle="1" w:styleId="321">
    <w:name w:val="正文1 Char"/>
    <w:qFormat/>
    <w:uiPriority w:val="0"/>
    <w:rPr>
      <w:rFonts w:ascii="宋体" w:eastAsia="宋体"/>
      <w:snapToGrid w:val="0"/>
      <w:color w:val="000000"/>
      <w:kern w:val="28"/>
      <w:sz w:val="28"/>
      <w:lang w:val="en-US" w:eastAsia="zh-CN" w:bidi="ar-SA"/>
    </w:rPr>
  </w:style>
  <w:style w:type="character" w:customStyle="1" w:styleId="322">
    <w:name w:val="正文缩进 Char1"/>
    <w:qFormat/>
    <w:uiPriority w:val="0"/>
    <w:rPr>
      <w:rFonts w:ascii="宋体" w:eastAsia="宋体"/>
      <w:snapToGrid w:val="0"/>
      <w:color w:val="000000"/>
      <w:kern w:val="28"/>
      <w:sz w:val="28"/>
      <w:lang w:val="en-US" w:eastAsia="zh-CN" w:bidi="ar-SA"/>
    </w:rPr>
  </w:style>
  <w:style w:type="character" w:customStyle="1" w:styleId="323">
    <w:name w:val="font21"/>
    <w:qFormat/>
    <w:uiPriority w:val="0"/>
    <w:rPr>
      <w:rFonts w:hint="eastAsia" w:ascii="宋体" w:hAnsi="宋体" w:eastAsia="宋体"/>
      <w:kern w:val="2"/>
      <w:sz w:val="28"/>
      <w:szCs w:val="28"/>
      <w:lang w:val="en-US" w:eastAsia="zh-CN" w:bidi="ar-SA"/>
    </w:rPr>
  </w:style>
  <w:style w:type="character" w:customStyle="1" w:styleId="324">
    <w:name w:val="Char Char26"/>
    <w:qFormat/>
    <w:uiPriority w:val="6"/>
    <w:rPr>
      <w:kern w:val="1"/>
      <w:sz w:val="21"/>
      <w:szCs w:val="24"/>
    </w:rPr>
  </w:style>
  <w:style w:type="character" w:customStyle="1" w:styleId="325">
    <w:name w:val="Item List Char"/>
    <w:link w:val="326"/>
    <w:qFormat/>
    <w:uiPriority w:val="0"/>
    <w:rPr>
      <w:rFonts w:ascii="Arial"/>
      <w:bCs/>
      <w:sz w:val="21"/>
      <w:szCs w:val="21"/>
      <w:lang w:val="en-US" w:eastAsia="zh-CN" w:bidi="ar-SA"/>
    </w:rPr>
  </w:style>
  <w:style w:type="paragraph" w:customStyle="1" w:styleId="326">
    <w:name w:val="Item List"/>
    <w:link w:val="325"/>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327">
    <w:name w:val="批注框文本 Char1"/>
    <w:qFormat/>
    <w:uiPriority w:val="0"/>
    <w:rPr>
      <w:rFonts w:ascii="Times New Roman" w:hAnsi="Times New Roman" w:eastAsia="宋体" w:cs="Times New Roman"/>
      <w:sz w:val="18"/>
      <w:szCs w:val="18"/>
    </w:rPr>
  </w:style>
  <w:style w:type="character" w:customStyle="1" w:styleId="328">
    <w:name w:val="纯文本 Char1"/>
    <w:link w:val="329"/>
    <w:qFormat/>
    <w:uiPriority w:val="0"/>
    <w:rPr>
      <w:rFonts w:ascii="宋体" w:hAnsi="Courier New"/>
    </w:rPr>
  </w:style>
  <w:style w:type="paragraph" w:customStyle="1" w:styleId="329">
    <w:name w:val="纯文本1"/>
    <w:basedOn w:val="1"/>
    <w:link w:val="328"/>
    <w:qFormat/>
    <w:uiPriority w:val="0"/>
    <w:pPr>
      <w:adjustRightInd/>
    </w:pPr>
    <w:rPr>
      <w:rFonts w:ascii="宋体" w:hAnsi="Courier New"/>
      <w:kern w:val="0"/>
      <w:sz w:val="20"/>
      <w:szCs w:val="20"/>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u w:val="none"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7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sz w:val="24"/>
      <w:lang w:val="en-US" w:eastAsia="zh-CN" w:bidi="ar-SA"/>
    </w:rPr>
  </w:style>
  <w:style w:type="paragraph" w:styleId="481">
    <w:name w:val="No Spacing"/>
    <w:basedOn w:val="1"/>
    <w:link w:val="482"/>
    <w:qFormat/>
    <w:uiPriority w:val="99"/>
    <w:rPr>
      <w:szCs w:val="22"/>
    </w:rPr>
  </w:style>
  <w:style w:type="character" w:customStyle="1" w:styleId="482">
    <w:name w:val="无间隔 Char"/>
    <w:link w:val="481"/>
    <w:qFormat/>
    <w:uiPriority w:val="99"/>
    <w:rPr>
      <w:kern w:val="2"/>
      <w:sz w:val="21"/>
      <w:szCs w:val="22"/>
    </w:rPr>
  </w:style>
  <w:style w:type="paragraph" w:customStyle="1" w:styleId="483">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5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53"/>
    <w:next w:val="25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53"/>
    <w:next w:val="253"/>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eastAsia="黑体"/>
      <w:sz w:val="21"/>
      <w:lang w:val="en-US" w:eastAsia="zh-CN" w:bidi="ar-SA"/>
    </w:rPr>
  </w:style>
  <w:style w:type="paragraph" w:customStyle="1" w:styleId="639">
    <w:name w:val="段"/>
    <w:qFormat/>
    <w:uiPriority w:val="0"/>
    <w:pPr>
      <w:autoSpaceDE w:val="0"/>
      <w:autoSpaceDN w:val="0"/>
      <w:ind w:firstLine="200" w:firstLineChars="200"/>
      <w:jc w:val="both"/>
    </w:pPr>
    <w:rPr>
      <w:rFonts w:ascii="宋体"/>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eastAsia="黑体"/>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olor w:val="000000"/>
      <w:kern w:val="2"/>
      <w:sz w:val="24"/>
      <w:szCs w:val="24"/>
      <w:u w:val="none"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u w:val="none" w:color="000000"/>
      <w:lang w:val="en-US" w:eastAsia="zh-CN" w:bidi="ar-SA"/>
    </w:rPr>
  </w:style>
  <w:style w:type="paragraph" w:customStyle="1" w:styleId="707">
    <w:name w:val="Normal0"/>
    <w:qFormat/>
    <w:uiPriority w:val="0"/>
    <w:rPr>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kern w:val="2"/>
      <w:sz w:val="21"/>
      <w:szCs w:val="22"/>
      <w:lang w:val="en-US" w:eastAsia="zh-CN" w:bidi="ar-SA"/>
    </w:rPr>
  </w:style>
  <w:style w:type="paragraph" w:customStyle="1" w:styleId="770">
    <w:name w:val="表文字"/>
    <w:qFormat/>
    <w:uiPriority w:val="0"/>
    <w:rPr>
      <w:rFonts w:ascii="宋体"/>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66">
    <w:name w:val="浅色底纹 - 强调文字颜色 51"/>
    <w:qFormat/>
    <w:uiPriority w:val="0"/>
    <w:rPr>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7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eastAsia="Arial Unicode MS" w:cs="Arial Unicode MS"/>
      <w:color w:val="000000"/>
      <w:kern w:val="2"/>
      <w:sz w:val="21"/>
      <w:szCs w:val="21"/>
      <w:u w:val="none"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76"/>
    <w:qFormat/>
    <w:uiPriority w:val="34"/>
    <w:pPr>
      <w:adjustRightInd/>
      <w:ind w:firstLine="420" w:firstLineChars="200"/>
    </w:pPr>
  </w:style>
  <w:style w:type="paragraph" w:customStyle="1" w:styleId="947">
    <w:name w:val="正文5"/>
    <w:qFormat/>
    <w:uiPriority w:val="0"/>
    <w:pPr>
      <w:jc w:val="both"/>
    </w:pPr>
    <w:rPr>
      <w:rFonts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styleId="961">
    <w:name w:val=""/>
    <w:semiHidden/>
    <w:uiPriority w:val="99"/>
    <w:rPr>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6792</Words>
  <Characters>38715</Characters>
  <Lines>322</Lines>
  <Paragraphs>90</Paragraphs>
  <TotalTime>0</TotalTime>
  <ScaleCrop>false</ScaleCrop>
  <LinksUpToDate>false</LinksUpToDate>
  <CharactersWithSpaces>45417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2023-01-12T06:10:00Z</dcterms:created>
  <dc:creator>玥</dc:creator>
  <cp:lastModifiedBy>WPS_1701756769</cp:lastModifiedBy>
  <cp:lastPrinted>2023-06-16T06:03:00Z</cp:lastPrinted>
  <dcterms:modified xsi:type="dcterms:W3CDTF">2024-02-26T01:09:15Z</dcterms:modified>
  <cp:revision>12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29C4554B55814417AE47545750E2C71B_13</vt:lpwstr>
  </property>
</Properties>
</file>