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color w:val="auto"/>
          <w:w w:val="80"/>
          <w:sz w:val="52"/>
          <w:szCs w:val="52"/>
          <w:highlight w:val="none"/>
          <w:lang w:bidi="th-TH"/>
        </w:rPr>
      </w:pPr>
    </w:p>
    <w:p>
      <w:pPr>
        <w:pStyle w:val="41"/>
        <w:rPr>
          <w:rFonts w:hint="default" w:ascii="宋体" w:hAnsi="宋体" w:cs="宋体"/>
          <w:color w:val="auto"/>
          <w:highlight w:val="none"/>
        </w:rPr>
      </w:pPr>
    </w:p>
    <w:p>
      <w:pPr>
        <w:snapToGrid w:val="0"/>
        <w:spacing w:line="360" w:lineRule="auto"/>
        <w:jc w:val="center"/>
        <w:rPr>
          <w:rFonts w:hint="default" w:ascii="宋体" w:hAnsi="宋体" w:cs="宋体"/>
          <w:b/>
          <w:bCs/>
          <w:color w:val="auto"/>
          <w:w w:val="90"/>
          <w:sz w:val="44"/>
          <w:szCs w:val="44"/>
          <w:highlight w:val="none"/>
        </w:rPr>
      </w:pPr>
      <w:r>
        <w:rPr>
          <w:rFonts w:ascii="宋体" w:hAnsi="宋体" w:cs="宋体"/>
          <w:b/>
          <w:bCs/>
          <w:color w:val="auto"/>
          <w:w w:val="90"/>
          <w:sz w:val="44"/>
          <w:szCs w:val="44"/>
          <w:highlight w:val="none"/>
        </w:rPr>
        <w:t>杭州市质量技术监督检测院</w:t>
      </w:r>
    </w:p>
    <w:p>
      <w:pPr>
        <w:snapToGrid w:val="0"/>
        <w:spacing w:line="360" w:lineRule="auto"/>
        <w:jc w:val="center"/>
        <w:rPr>
          <w:rFonts w:hint="eastAsia" w:ascii="宋体" w:hAnsi="宋体" w:eastAsia="宋体" w:cs="宋体"/>
          <w:b/>
          <w:bCs/>
          <w:color w:val="auto"/>
          <w:w w:val="90"/>
          <w:sz w:val="44"/>
          <w:szCs w:val="44"/>
          <w:highlight w:val="none"/>
          <w:lang w:eastAsia="zh-CN"/>
        </w:rPr>
      </w:pPr>
      <w:r>
        <w:rPr>
          <w:rFonts w:hint="eastAsia" w:ascii="宋体" w:hAnsi="宋体" w:cs="宋体"/>
          <w:b/>
          <w:bCs/>
          <w:color w:val="auto"/>
          <w:w w:val="90"/>
          <w:sz w:val="44"/>
          <w:szCs w:val="44"/>
          <w:highlight w:val="none"/>
          <w:lang w:eastAsia="zh-CN"/>
        </w:rPr>
        <w:t>气相色谱仪和电感耦合等离子体发射光谱仪</w:t>
      </w:r>
    </w:p>
    <w:p>
      <w:pPr>
        <w:jc w:val="center"/>
        <w:rPr>
          <w:rFonts w:hint="default" w:ascii="宋体" w:hAnsi="宋体" w:cs="宋体"/>
          <w:b/>
          <w:color w:val="auto"/>
          <w:szCs w:val="84"/>
          <w:highlight w:val="none"/>
        </w:rPr>
      </w:pPr>
      <w:r>
        <w:rPr>
          <w:rFonts w:ascii="宋体" w:hAnsi="宋体" w:cs="宋体"/>
          <w:b/>
          <w:color w:val="auto"/>
          <w:szCs w:val="84"/>
          <w:highlight w:val="none"/>
        </w:rPr>
        <w:t>（电子招投标方式）</w:t>
      </w:r>
    </w:p>
    <w:p>
      <w:pPr>
        <w:jc w:val="center"/>
        <w:rPr>
          <w:rFonts w:hint="default" w:ascii="宋体" w:hAnsi="宋体" w:cs="宋体"/>
          <w:b/>
          <w:color w:val="auto"/>
          <w:szCs w:val="84"/>
          <w:highlight w:val="none"/>
        </w:rPr>
      </w:pPr>
    </w:p>
    <w:p>
      <w:pPr>
        <w:jc w:val="center"/>
        <w:rPr>
          <w:rFonts w:hint="default" w:ascii="宋体" w:hAnsi="宋体" w:cs="宋体"/>
          <w:b/>
          <w:color w:val="auto"/>
          <w:szCs w:val="84"/>
          <w:highlight w:val="none"/>
        </w:rPr>
      </w:pPr>
    </w:p>
    <w:p>
      <w:pPr>
        <w:jc w:val="center"/>
        <w:rPr>
          <w:rFonts w:hint="default" w:ascii="宋体" w:hAnsi="宋体" w:cs="宋体"/>
          <w:b/>
          <w:color w:val="auto"/>
          <w:szCs w:val="84"/>
          <w:highlight w:val="none"/>
        </w:rPr>
      </w:pPr>
    </w:p>
    <w:p>
      <w:pPr>
        <w:spacing w:line="360" w:lineRule="auto"/>
        <w:jc w:val="center"/>
        <w:rPr>
          <w:rFonts w:hint="default" w:ascii="宋体" w:hAnsi="宋体" w:cs="宋体"/>
          <w:b/>
          <w:color w:val="auto"/>
          <w:sz w:val="84"/>
          <w:szCs w:val="84"/>
          <w:highlight w:val="none"/>
        </w:rPr>
      </w:pPr>
      <w:r>
        <w:rPr>
          <w:rFonts w:ascii="宋体" w:hAnsi="宋体" w:cs="宋体"/>
          <w:color w:val="auto"/>
          <w:spacing w:val="40"/>
          <w:w w:val="80"/>
          <w:sz w:val="96"/>
          <w:szCs w:val="96"/>
          <w:highlight w:val="none"/>
          <w:lang w:bidi="th-TH"/>
        </w:rPr>
        <w:t>采 购 文 件</w:t>
      </w:r>
    </w:p>
    <w:p>
      <w:pPr>
        <w:jc w:val="center"/>
        <w:rPr>
          <w:rFonts w:hint="default" w:ascii="宋体" w:hAnsi="宋体" w:cs="宋体"/>
          <w:b/>
          <w:color w:val="auto"/>
          <w:szCs w:val="84"/>
          <w:highlight w:val="none"/>
        </w:rPr>
      </w:pPr>
    </w:p>
    <w:p>
      <w:pPr>
        <w:jc w:val="center"/>
        <w:rPr>
          <w:rFonts w:hint="default" w:ascii="宋体" w:hAnsi="宋体" w:cs="宋体"/>
          <w:b/>
          <w:color w:val="auto"/>
          <w:szCs w:val="84"/>
          <w:highlight w:val="none"/>
        </w:rPr>
      </w:pPr>
    </w:p>
    <w:p>
      <w:pPr>
        <w:spacing w:line="360" w:lineRule="auto"/>
        <w:jc w:val="center"/>
        <w:rPr>
          <w:rFonts w:hint="eastAsia" w:ascii="宋体" w:hAnsi="宋体" w:eastAsia="宋体" w:cs="宋体"/>
          <w:b/>
          <w:bCs/>
          <w:color w:val="auto"/>
          <w:w w:val="80"/>
          <w:sz w:val="36"/>
          <w:szCs w:val="36"/>
          <w:highlight w:val="none"/>
          <w:lang w:eastAsia="zh-CN" w:bidi="th-TH"/>
        </w:rPr>
      </w:pPr>
      <w:r>
        <w:rPr>
          <w:rFonts w:ascii="宋体" w:hAnsi="宋体" w:cs="宋体"/>
          <w:b/>
          <w:bCs/>
          <w:color w:val="auto"/>
          <w:w w:val="80"/>
          <w:sz w:val="36"/>
          <w:szCs w:val="36"/>
          <w:highlight w:val="none"/>
          <w:lang w:bidi="th-TH"/>
        </w:rPr>
        <w:t>项目编号：ZJ-</w:t>
      </w:r>
      <w:r>
        <w:rPr>
          <w:rFonts w:hint="eastAsia" w:ascii="宋体" w:hAnsi="宋体" w:cs="宋体"/>
          <w:b/>
          <w:bCs/>
          <w:color w:val="auto"/>
          <w:w w:val="80"/>
          <w:sz w:val="36"/>
          <w:szCs w:val="36"/>
          <w:highlight w:val="none"/>
          <w:lang w:eastAsia="zh-CN" w:bidi="th-TH"/>
        </w:rPr>
        <w:t>2141791</w:t>
      </w:r>
    </w:p>
    <w:p>
      <w:pPr>
        <w:pStyle w:val="25"/>
        <w:ind w:left="5250"/>
        <w:rPr>
          <w:rFonts w:hint="default" w:ascii="宋体" w:hAnsi="宋体" w:cs="宋体"/>
          <w:color w:val="auto"/>
          <w:szCs w:val="28"/>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p>
      <w:pPr>
        <w:rPr>
          <w:rFonts w:hint="default" w:ascii="宋体" w:hAnsi="宋体" w:cs="宋体"/>
          <w:b/>
          <w:color w:val="auto"/>
          <w:highlight w:val="none"/>
        </w:rPr>
      </w:pPr>
    </w:p>
    <w:tbl>
      <w:tblPr>
        <w:tblStyle w:val="43"/>
        <w:tblW w:w="0" w:type="auto"/>
        <w:jc w:val="center"/>
        <w:tblLayout w:type="fixed"/>
        <w:tblCellMar>
          <w:top w:w="0" w:type="dxa"/>
          <w:left w:w="108" w:type="dxa"/>
          <w:bottom w:w="0" w:type="dxa"/>
          <w:right w:w="108" w:type="dxa"/>
        </w:tblCellMar>
      </w:tblPr>
      <w:tblGrid>
        <w:gridCol w:w="2032"/>
        <w:gridCol w:w="516"/>
        <w:gridCol w:w="4176"/>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采购人</w:t>
            </w:r>
          </w:p>
        </w:tc>
        <w:tc>
          <w:tcPr>
            <w:tcW w:w="516"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w:t>
            </w:r>
          </w:p>
        </w:tc>
        <w:tc>
          <w:tcPr>
            <w:tcW w:w="4176"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杭州市质量技术监督检测院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hint="default" w:ascii="宋体" w:hAnsi="宋体" w:cs="宋体"/>
                <w:color w:val="auto"/>
                <w:szCs w:val="21"/>
                <w:highlight w:val="none"/>
              </w:rPr>
            </w:pPr>
          </w:p>
        </w:tc>
        <w:tc>
          <w:tcPr>
            <w:tcW w:w="516" w:type="dxa"/>
            <w:vAlign w:val="center"/>
          </w:tcPr>
          <w:p>
            <w:pPr>
              <w:snapToGrid w:val="0"/>
              <w:jc w:val="distribute"/>
              <w:rPr>
                <w:rFonts w:hint="default" w:ascii="宋体" w:hAnsi="宋体" w:cs="宋体"/>
                <w:color w:val="auto"/>
                <w:szCs w:val="21"/>
                <w:highlight w:val="none"/>
              </w:rPr>
            </w:pPr>
          </w:p>
        </w:tc>
        <w:tc>
          <w:tcPr>
            <w:tcW w:w="4176" w:type="dxa"/>
            <w:vAlign w:val="center"/>
          </w:tcPr>
          <w:p>
            <w:pPr>
              <w:snapToGrid w:val="0"/>
              <w:jc w:val="distribute"/>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采购代理机构</w:t>
            </w:r>
          </w:p>
        </w:tc>
        <w:tc>
          <w:tcPr>
            <w:tcW w:w="516"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w:t>
            </w:r>
          </w:p>
        </w:tc>
        <w:tc>
          <w:tcPr>
            <w:tcW w:w="4176" w:type="dxa"/>
            <w:vAlign w:val="center"/>
          </w:tcPr>
          <w:p>
            <w:pPr>
              <w:snapToGrid w:val="0"/>
              <w:jc w:val="distribute"/>
              <w:rPr>
                <w:rFonts w:hint="default" w:ascii="宋体" w:hAnsi="宋体" w:cs="宋体"/>
                <w:color w:val="auto"/>
                <w:sz w:val="30"/>
                <w:szCs w:val="30"/>
                <w:highlight w:val="none"/>
              </w:rPr>
            </w:pPr>
            <w:r>
              <w:rPr>
                <w:rFonts w:ascii="宋体" w:hAnsi="宋体" w:cs="宋体"/>
                <w:color w:val="auto"/>
                <w:sz w:val="30"/>
                <w:szCs w:val="30"/>
                <w:highlight w:val="none"/>
              </w:rPr>
              <w:t>浙江国际招（投）标公司</w:t>
            </w:r>
          </w:p>
        </w:tc>
      </w:tr>
      <w:tr>
        <w:tblPrEx>
          <w:tblCellMar>
            <w:top w:w="0" w:type="dxa"/>
            <w:left w:w="108" w:type="dxa"/>
            <w:bottom w:w="0" w:type="dxa"/>
            <w:right w:w="108" w:type="dxa"/>
          </w:tblCellMar>
        </w:tblPrEx>
        <w:trPr>
          <w:trHeight w:val="680" w:hRule="atLeast"/>
          <w:jc w:val="center"/>
        </w:trPr>
        <w:tc>
          <w:tcPr>
            <w:tcW w:w="6724" w:type="dxa"/>
            <w:gridSpan w:val="3"/>
            <w:vAlign w:val="bottom"/>
          </w:tcPr>
          <w:p>
            <w:pPr>
              <w:snapToGrid w:val="0"/>
              <w:jc w:val="center"/>
              <w:rPr>
                <w:rFonts w:hint="default" w:ascii="宋体" w:hAnsi="宋体" w:cs="宋体"/>
                <w:color w:val="auto"/>
                <w:sz w:val="30"/>
                <w:szCs w:val="30"/>
                <w:highlight w:val="none"/>
              </w:rPr>
            </w:pPr>
            <w:r>
              <w:rPr>
                <w:rFonts w:ascii="宋体" w:hAnsi="宋体" w:cs="宋体"/>
                <w:color w:val="auto"/>
                <w:sz w:val="30"/>
                <w:szCs w:val="30"/>
                <w:highlight w:val="none"/>
              </w:rPr>
              <w:t>2021年0</w:t>
            </w:r>
            <w:r>
              <w:rPr>
                <w:rFonts w:hint="eastAsia" w:ascii="宋体" w:hAnsi="宋体" w:cs="宋体"/>
                <w:color w:val="auto"/>
                <w:sz w:val="30"/>
                <w:szCs w:val="30"/>
                <w:highlight w:val="none"/>
                <w:lang w:val="en-US" w:eastAsia="zh-CN"/>
              </w:rPr>
              <w:t>7</w:t>
            </w:r>
            <w:r>
              <w:rPr>
                <w:rFonts w:ascii="宋体" w:hAnsi="宋体" w:cs="宋体"/>
                <w:color w:val="auto"/>
                <w:sz w:val="30"/>
                <w:szCs w:val="30"/>
                <w:highlight w:val="none"/>
              </w:rPr>
              <w:t>月</w:t>
            </w:r>
          </w:p>
        </w:tc>
      </w:tr>
    </w:tbl>
    <w:p>
      <w:pPr>
        <w:pStyle w:val="23"/>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48"/>
          <w:szCs w:val="48"/>
          <w:highlight w:val="none"/>
        </w:rPr>
        <w:br w:type="page"/>
      </w:r>
      <w:r>
        <w:rPr>
          <w:rFonts w:hint="eastAsia" w:ascii="宋体" w:hAnsi="宋体" w:eastAsia="宋体" w:cs="宋体"/>
          <w:b/>
          <w:color w:val="auto"/>
          <w:sz w:val="28"/>
          <w:szCs w:val="28"/>
          <w:highlight w:val="none"/>
        </w:rPr>
        <w:t>目    录</w:t>
      </w:r>
    </w:p>
    <w:p>
      <w:pPr>
        <w:pStyle w:val="30"/>
        <w:tabs>
          <w:tab w:val="right" w:leader="hyphen" w:pos="8730"/>
          <w:tab w:val="clear" w:pos="8720"/>
        </w:tabs>
        <w:rPr>
          <w:rFonts w:hint="default" w:ascii="宋体" w:hAnsi="宋体" w:cs="宋体"/>
          <w:color w:val="auto"/>
          <w:highlight w:val="none"/>
        </w:rPr>
      </w:pPr>
      <w:r>
        <w:rPr>
          <w:rFonts w:ascii="宋体" w:hAnsi="宋体" w:cs="宋体"/>
          <w:b/>
          <w:caps w:val="0"/>
          <w:color w:val="auto"/>
          <w:sz w:val="21"/>
          <w:szCs w:val="21"/>
          <w:highlight w:val="none"/>
        </w:rPr>
        <w:fldChar w:fldCharType="begin"/>
      </w:r>
      <w:r>
        <w:rPr>
          <w:rFonts w:ascii="宋体" w:hAnsi="宋体" w:cs="宋体"/>
          <w:b/>
          <w:caps w:val="0"/>
          <w:color w:val="auto"/>
          <w:sz w:val="21"/>
          <w:szCs w:val="21"/>
          <w:highlight w:val="none"/>
        </w:rPr>
        <w:instrText xml:space="preserve"> TOC \o "1-2" \u </w:instrText>
      </w:r>
      <w:r>
        <w:rPr>
          <w:rFonts w:ascii="宋体" w:hAnsi="宋体" w:cs="宋体"/>
          <w:b/>
          <w:caps w:val="0"/>
          <w:color w:val="auto"/>
          <w:sz w:val="21"/>
          <w:szCs w:val="21"/>
          <w:highlight w:val="none"/>
        </w:rPr>
        <w:fldChar w:fldCharType="separate"/>
      </w:r>
      <w:r>
        <w:rPr>
          <w:rFonts w:ascii="宋体" w:hAnsi="宋体" w:cs="宋体"/>
          <w:color w:val="auto"/>
          <w:szCs w:val="30"/>
          <w:highlight w:val="none"/>
        </w:rPr>
        <w:t>第一部分  采购公告</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_Toc8266 \h </w:instrText>
      </w:r>
      <w:r>
        <w:rPr>
          <w:rFonts w:ascii="宋体" w:hAnsi="宋体" w:cs="宋体"/>
          <w:color w:val="auto"/>
          <w:highlight w:val="none"/>
        </w:rPr>
        <w:fldChar w:fldCharType="separate"/>
      </w:r>
      <w:r>
        <w:rPr>
          <w:rFonts w:ascii="宋体" w:hAnsi="宋体" w:cs="宋体"/>
          <w:color w:val="auto"/>
          <w:highlight w:val="none"/>
        </w:rPr>
        <w:t>2</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第二部分  投标须知</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_Toc30630 \h </w:instrText>
      </w:r>
      <w:r>
        <w:rPr>
          <w:rFonts w:ascii="宋体" w:hAnsi="宋体" w:cs="宋体"/>
          <w:color w:val="auto"/>
          <w:highlight w:val="none"/>
        </w:rPr>
        <w:fldChar w:fldCharType="separate"/>
      </w:r>
      <w:r>
        <w:rPr>
          <w:rFonts w:ascii="宋体" w:hAnsi="宋体" w:cs="宋体"/>
          <w:color w:val="auto"/>
          <w:highlight w:val="none"/>
        </w:rPr>
        <w:t>12</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一、总则</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_Toc25260 \h </w:instrText>
      </w:r>
      <w:r>
        <w:rPr>
          <w:rFonts w:ascii="宋体" w:hAnsi="宋体" w:cs="宋体"/>
          <w:color w:val="auto"/>
          <w:highlight w:val="none"/>
        </w:rPr>
        <w:fldChar w:fldCharType="separate"/>
      </w:r>
      <w:r>
        <w:rPr>
          <w:rFonts w:ascii="宋体" w:hAnsi="宋体" w:cs="宋体"/>
          <w:color w:val="auto"/>
          <w:highlight w:val="none"/>
        </w:rPr>
        <w:t>12</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二、采购文件</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_Toc26619 \h </w:instrText>
      </w:r>
      <w:r>
        <w:rPr>
          <w:rFonts w:ascii="宋体" w:hAnsi="宋体" w:cs="宋体"/>
          <w:color w:val="auto"/>
          <w:highlight w:val="none"/>
        </w:rPr>
        <w:fldChar w:fldCharType="separate"/>
      </w:r>
      <w:r>
        <w:rPr>
          <w:rFonts w:ascii="宋体" w:hAnsi="宋体" w:cs="宋体"/>
          <w:color w:val="auto"/>
          <w:highlight w:val="none"/>
        </w:rPr>
        <w:t>13</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三、投标文件的编制</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_Toc30686 \h </w:instrText>
      </w:r>
      <w:r>
        <w:rPr>
          <w:rFonts w:ascii="宋体" w:hAnsi="宋体" w:cs="宋体"/>
          <w:color w:val="auto"/>
          <w:highlight w:val="none"/>
        </w:rPr>
        <w:fldChar w:fldCharType="separate"/>
      </w:r>
      <w:r>
        <w:rPr>
          <w:rFonts w:ascii="宋体" w:hAnsi="宋体" w:cs="宋体"/>
          <w:color w:val="auto"/>
          <w:highlight w:val="none"/>
        </w:rPr>
        <w:t>14</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四、投标文件的递交</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_Toc20467 \h </w:instrText>
      </w:r>
      <w:r>
        <w:rPr>
          <w:rFonts w:ascii="宋体" w:hAnsi="宋体" w:cs="宋体"/>
          <w:color w:val="auto"/>
          <w:highlight w:val="none"/>
        </w:rPr>
        <w:fldChar w:fldCharType="separate"/>
      </w:r>
      <w:r>
        <w:rPr>
          <w:rFonts w:ascii="宋体" w:hAnsi="宋体" w:cs="宋体"/>
          <w:color w:val="auto"/>
          <w:highlight w:val="none"/>
        </w:rPr>
        <w:t>18</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五、开标与评标</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_Toc15078 \h </w:instrText>
      </w:r>
      <w:r>
        <w:rPr>
          <w:rFonts w:ascii="宋体" w:hAnsi="宋体" w:cs="宋体"/>
          <w:color w:val="auto"/>
          <w:highlight w:val="none"/>
        </w:rPr>
        <w:fldChar w:fldCharType="separate"/>
      </w:r>
      <w:r>
        <w:rPr>
          <w:rFonts w:ascii="宋体" w:hAnsi="宋体" w:cs="宋体"/>
          <w:color w:val="auto"/>
          <w:highlight w:val="none"/>
        </w:rPr>
        <w:t>19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六、确定中标人及授予合同</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_Toc16683 \h </w:instrText>
      </w:r>
      <w:r>
        <w:rPr>
          <w:rFonts w:ascii="宋体" w:hAnsi="宋体" w:cs="宋体"/>
          <w:color w:val="auto"/>
          <w:highlight w:val="none"/>
        </w:rPr>
        <w:fldChar w:fldCharType="separate"/>
      </w:r>
      <w:r>
        <w:rPr>
          <w:rFonts w:ascii="宋体" w:hAnsi="宋体" w:cs="宋体"/>
          <w:color w:val="auto"/>
          <w:highlight w:val="none"/>
        </w:rPr>
        <w:t>21</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第三部分 采购需求书</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_Toc14065 \h </w:instrText>
      </w:r>
      <w:r>
        <w:rPr>
          <w:rFonts w:ascii="宋体" w:hAnsi="宋体" w:cs="宋体"/>
          <w:color w:val="auto"/>
          <w:highlight w:val="none"/>
        </w:rPr>
        <w:fldChar w:fldCharType="separate"/>
      </w:r>
      <w:r>
        <w:rPr>
          <w:rFonts w:ascii="宋体" w:hAnsi="宋体" w:cs="宋体"/>
          <w:color w:val="auto"/>
          <w:highlight w:val="none"/>
        </w:rPr>
        <w:t>24</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一、概况</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_Toc25107 \h </w:instrText>
      </w:r>
      <w:r>
        <w:rPr>
          <w:rFonts w:ascii="宋体" w:hAnsi="宋体" w:cs="宋体"/>
          <w:color w:val="auto"/>
          <w:highlight w:val="none"/>
        </w:rPr>
        <w:fldChar w:fldCharType="separate"/>
      </w:r>
      <w:r>
        <w:rPr>
          <w:rFonts w:ascii="宋体" w:hAnsi="宋体" w:cs="宋体"/>
          <w:color w:val="auto"/>
          <w:highlight w:val="none"/>
        </w:rPr>
        <w:t>24</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二、 设备技术要求</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_Toc2238 \h </w:instrText>
      </w:r>
      <w:r>
        <w:rPr>
          <w:rFonts w:ascii="宋体" w:hAnsi="宋体" w:cs="宋体"/>
          <w:color w:val="auto"/>
          <w:highlight w:val="none"/>
        </w:rPr>
        <w:fldChar w:fldCharType="separate"/>
      </w:r>
      <w:r>
        <w:rPr>
          <w:rFonts w:ascii="宋体" w:hAnsi="宋体" w:cs="宋体"/>
          <w:color w:val="auto"/>
          <w:highlight w:val="none"/>
        </w:rPr>
        <w:t>25</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三、采购设备的其它要求</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_Toc29752 \h </w:instrText>
      </w:r>
      <w:r>
        <w:rPr>
          <w:rFonts w:ascii="宋体" w:hAnsi="宋体" w:cs="宋体"/>
          <w:color w:val="auto"/>
          <w:highlight w:val="none"/>
        </w:rPr>
        <w:fldChar w:fldCharType="separate"/>
      </w:r>
      <w:r>
        <w:rPr>
          <w:rFonts w:ascii="宋体" w:hAnsi="宋体" w:cs="宋体"/>
          <w:color w:val="auto"/>
          <w:highlight w:val="none"/>
        </w:rPr>
        <w:t>29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四、技术服务</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_Toc19531 \h </w:instrText>
      </w:r>
      <w:r>
        <w:rPr>
          <w:rFonts w:ascii="宋体" w:hAnsi="宋体" w:cs="宋体"/>
          <w:color w:val="auto"/>
          <w:highlight w:val="none"/>
        </w:rPr>
        <w:fldChar w:fldCharType="separate"/>
      </w:r>
      <w:r>
        <w:rPr>
          <w:rFonts w:ascii="宋体" w:hAnsi="宋体" w:cs="宋体"/>
          <w:color w:val="auto"/>
          <w:highlight w:val="none"/>
        </w:rPr>
        <w:t>29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五、验收</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_Toc2488 \h </w:instrText>
      </w:r>
      <w:r>
        <w:rPr>
          <w:rFonts w:ascii="宋体" w:hAnsi="宋体" w:cs="宋体"/>
          <w:color w:val="auto"/>
          <w:highlight w:val="none"/>
        </w:rPr>
        <w:fldChar w:fldCharType="separate"/>
      </w:r>
      <w:r>
        <w:rPr>
          <w:rFonts w:ascii="宋体" w:hAnsi="宋体" w:cs="宋体"/>
          <w:color w:val="auto"/>
          <w:highlight w:val="none"/>
        </w:rPr>
        <w:t>30</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六、采购的其它要求</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_Toc243 \h </w:instrText>
      </w:r>
      <w:r>
        <w:rPr>
          <w:rFonts w:ascii="宋体" w:hAnsi="宋体" w:cs="宋体"/>
          <w:color w:val="auto"/>
          <w:highlight w:val="none"/>
        </w:rPr>
        <w:fldChar w:fldCharType="separate"/>
      </w:r>
      <w:r>
        <w:rPr>
          <w:rFonts w:ascii="宋体" w:hAnsi="宋体" w:cs="宋体"/>
          <w:color w:val="auto"/>
          <w:highlight w:val="none"/>
        </w:rPr>
        <w:t>30</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七、付款条件</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_Toc19313 \h </w:instrText>
      </w:r>
      <w:r>
        <w:rPr>
          <w:rFonts w:ascii="宋体" w:hAnsi="宋体" w:cs="宋体"/>
          <w:color w:val="auto"/>
          <w:highlight w:val="none"/>
        </w:rPr>
        <w:fldChar w:fldCharType="separate"/>
      </w:r>
      <w:r>
        <w:rPr>
          <w:rFonts w:ascii="宋体" w:hAnsi="宋体" w:cs="宋体"/>
          <w:color w:val="auto"/>
          <w:highlight w:val="none"/>
        </w:rPr>
        <w:t>31</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八、供货期要求及交货地点</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_Toc24407 \h </w:instrText>
      </w:r>
      <w:r>
        <w:rPr>
          <w:rFonts w:ascii="宋体" w:hAnsi="宋体" w:cs="宋体"/>
          <w:color w:val="auto"/>
          <w:highlight w:val="none"/>
        </w:rPr>
        <w:fldChar w:fldCharType="separate"/>
      </w:r>
      <w:r>
        <w:rPr>
          <w:rFonts w:ascii="宋体" w:hAnsi="宋体" w:cs="宋体"/>
          <w:color w:val="auto"/>
          <w:highlight w:val="none"/>
        </w:rPr>
        <w:t>31</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第四部分  拟签订的合同文本</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_Toc32183 \h </w:instrText>
      </w:r>
      <w:r>
        <w:rPr>
          <w:rFonts w:ascii="宋体" w:hAnsi="宋体" w:cs="宋体"/>
          <w:color w:val="auto"/>
          <w:highlight w:val="none"/>
        </w:rPr>
        <w:fldChar w:fldCharType="separate"/>
      </w:r>
      <w:r>
        <w:rPr>
          <w:rFonts w:ascii="宋体" w:hAnsi="宋体" w:cs="宋体"/>
          <w:color w:val="auto"/>
          <w:highlight w:val="none"/>
        </w:rPr>
        <w:t>32</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第五部分  评标办法</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_Toc14287 \h </w:instrText>
      </w:r>
      <w:r>
        <w:rPr>
          <w:rFonts w:ascii="宋体" w:hAnsi="宋体" w:cs="宋体"/>
          <w:color w:val="auto"/>
          <w:highlight w:val="none"/>
        </w:rPr>
        <w:fldChar w:fldCharType="separate"/>
      </w:r>
      <w:r>
        <w:rPr>
          <w:rFonts w:ascii="宋体" w:hAnsi="宋体" w:cs="宋体"/>
          <w:color w:val="auto"/>
          <w:highlight w:val="none"/>
        </w:rPr>
        <w:t>39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一、评标原则</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_Toc8076 \h </w:instrText>
      </w:r>
      <w:r>
        <w:rPr>
          <w:rFonts w:ascii="宋体" w:hAnsi="宋体" w:cs="宋体"/>
          <w:color w:val="auto"/>
          <w:highlight w:val="none"/>
        </w:rPr>
        <w:fldChar w:fldCharType="separate"/>
      </w:r>
      <w:r>
        <w:rPr>
          <w:rFonts w:ascii="宋体" w:hAnsi="宋体" w:cs="宋体"/>
          <w:color w:val="auto"/>
          <w:highlight w:val="none"/>
        </w:rPr>
        <w:t>39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二、组建评标委员会</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_Toc25916 \h </w:instrText>
      </w:r>
      <w:r>
        <w:rPr>
          <w:rFonts w:ascii="宋体" w:hAnsi="宋体" w:cs="宋体"/>
          <w:color w:val="auto"/>
          <w:highlight w:val="none"/>
        </w:rPr>
        <w:fldChar w:fldCharType="separate"/>
      </w:r>
      <w:r>
        <w:rPr>
          <w:rFonts w:ascii="宋体" w:hAnsi="宋体" w:cs="宋体"/>
          <w:color w:val="auto"/>
          <w:highlight w:val="none"/>
        </w:rPr>
        <w:t>39</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color w:val="auto"/>
          <w:szCs w:val="21"/>
          <w:highlight w:val="none"/>
        </w:rPr>
        <w:t>三、评标程序和内容</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_Toc8359 \h </w:instrText>
      </w:r>
      <w:r>
        <w:rPr>
          <w:rFonts w:ascii="宋体" w:hAnsi="宋体" w:cs="宋体"/>
          <w:color w:val="auto"/>
          <w:highlight w:val="none"/>
        </w:rPr>
        <w:fldChar w:fldCharType="separate"/>
      </w:r>
      <w:r>
        <w:rPr>
          <w:rFonts w:ascii="宋体" w:hAnsi="宋体" w:cs="宋体"/>
          <w:color w:val="auto"/>
          <w:highlight w:val="none"/>
        </w:rPr>
        <w:t>40</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第六部分  投标文件格式</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_Toc32612 \h </w:instrText>
      </w:r>
      <w:r>
        <w:rPr>
          <w:rFonts w:ascii="宋体" w:hAnsi="宋体" w:cs="宋体"/>
          <w:color w:val="auto"/>
          <w:highlight w:val="none"/>
        </w:rPr>
        <w:fldChar w:fldCharType="separate"/>
      </w:r>
      <w:r>
        <w:rPr>
          <w:rFonts w:ascii="宋体" w:hAnsi="宋体" w:cs="宋体"/>
          <w:color w:val="auto"/>
          <w:highlight w:val="none"/>
        </w:rPr>
        <w:t>44</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bCs/>
          <w:snapToGrid w:val="0"/>
          <w:color w:val="auto"/>
          <w:kern w:val="0"/>
          <w:szCs w:val="21"/>
          <w:highlight w:val="none"/>
        </w:rPr>
        <w:t>一、投标文件封面（格式供参考）</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_Toc19679 \h </w:instrText>
      </w:r>
      <w:r>
        <w:rPr>
          <w:rFonts w:ascii="宋体" w:hAnsi="宋体" w:cs="宋体"/>
          <w:color w:val="auto"/>
          <w:highlight w:val="none"/>
        </w:rPr>
        <w:fldChar w:fldCharType="separate"/>
      </w:r>
      <w:r>
        <w:rPr>
          <w:rFonts w:ascii="宋体" w:hAnsi="宋体" w:cs="宋体"/>
          <w:color w:val="auto"/>
          <w:highlight w:val="none"/>
        </w:rPr>
        <w:t>45</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bCs/>
          <w:color w:val="auto"/>
          <w:highlight w:val="none"/>
        </w:rPr>
        <w:t>二、资格响应文件</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_Toc4425 \h </w:instrText>
      </w:r>
      <w:r>
        <w:rPr>
          <w:rFonts w:ascii="宋体" w:hAnsi="宋体" w:cs="宋体"/>
          <w:color w:val="auto"/>
          <w:highlight w:val="none"/>
        </w:rPr>
        <w:fldChar w:fldCharType="separate"/>
      </w:r>
      <w:r>
        <w:rPr>
          <w:rFonts w:ascii="宋体" w:hAnsi="宋体" w:cs="宋体"/>
          <w:color w:val="auto"/>
          <w:highlight w:val="none"/>
        </w:rPr>
        <w:t>47</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bCs/>
          <w:color w:val="auto"/>
          <w:highlight w:val="none"/>
        </w:rPr>
        <w:t>三、商务技术响应文件部分格式</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_Toc16299 \h </w:instrText>
      </w:r>
      <w:r>
        <w:rPr>
          <w:rFonts w:ascii="宋体" w:hAnsi="宋体" w:cs="宋体"/>
          <w:color w:val="auto"/>
          <w:highlight w:val="none"/>
        </w:rPr>
        <w:fldChar w:fldCharType="separate"/>
      </w:r>
      <w:r>
        <w:rPr>
          <w:rFonts w:ascii="宋体" w:hAnsi="宋体" w:cs="宋体"/>
          <w:color w:val="auto"/>
          <w:highlight w:val="none"/>
        </w:rPr>
        <w:t>50</w:t>
      </w:r>
      <w:r>
        <w:rPr>
          <w:rFonts w:ascii="宋体" w:hAnsi="宋体" w:cs="宋体"/>
          <w:color w:val="auto"/>
          <w:highlight w:val="none"/>
        </w:rPr>
        <w:fldChar w:fldCharType="end"/>
      </w:r>
    </w:p>
    <w:p>
      <w:pPr>
        <w:pStyle w:val="35"/>
        <w:tabs>
          <w:tab w:val="right" w:leader="hyphen" w:pos="8730"/>
          <w:tab w:val="clear" w:pos="8720"/>
        </w:tabs>
        <w:rPr>
          <w:rFonts w:hint="default" w:ascii="宋体" w:hAnsi="宋体" w:cs="宋体"/>
          <w:color w:val="auto"/>
          <w:highlight w:val="none"/>
        </w:rPr>
      </w:pPr>
      <w:r>
        <w:rPr>
          <w:rFonts w:ascii="宋体" w:hAnsi="宋体" w:cs="宋体"/>
          <w:bCs/>
          <w:color w:val="auto"/>
          <w:highlight w:val="none"/>
        </w:rPr>
        <w:t>四、报价响应文件部分格式</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_Toc31510 \h </w:instrText>
      </w:r>
      <w:r>
        <w:rPr>
          <w:rFonts w:ascii="宋体" w:hAnsi="宋体" w:cs="宋体"/>
          <w:color w:val="auto"/>
          <w:highlight w:val="none"/>
        </w:rPr>
        <w:fldChar w:fldCharType="separate"/>
      </w:r>
      <w:r>
        <w:rPr>
          <w:rFonts w:ascii="宋体" w:hAnsi="宋体" w:cs="宋体"/>
          <w:color w:val="auto"/>
          <w:highlight w:val="none"/>
        </w:rPr>
        <w:t>63</w:t>
      </w:r>
      <w:r>
        <w:rPr>
          <w:rFonts w:ascii="宋体" w:hAnsi="宋体" w:cs="宋体"/>
          <w:color w:val="auto"/>
          <w:highlight w:val="none"/>
        </w:rPr>
        <w:fldChar w:fldCharType="end"/>
      </w:r>
    </w:p>
    <w:p>
      <w:pPr>
        <w:pStyle w:val="30"/>
        <w:tabs>
          <w:tab w:val="right" w:leader="hyphen" w:pos="8730"/>
          <w:tab w:val="clear" w:pos="8720"/>
        </w:tabs>
        <w:rPr>
          <w:rFonts w:hint="default" w:ascii="宋体" w:hAnsi="宋体" w:cs="宋体"/>
          <w:color w:val="auto"/>
          <w:highlight w:val="none"/>
        </w:rPr>
      </w:pPr>
      <w:r>
        <w:rPr>
          <w:rFonts w:ascii="宋体" w:hAnsi="宋体" w:cs="宋体"/>
          <w:color w:val="auto"/>
          <w:szCs w:val="30"/>
          <w:highlight w:val="none"/>
        </w:rPr>
        <w:t>第七部分   其它</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_Toc2259 \h </w:instrText>
      </w:r>
      <w:r>
        <w:rPr>
          <w:rFonts w:ascii="宋体" w:hAnsi="宋体" w:cs="宋体"/>
          <w:color w:val="auto"/>
          <w:highlight w:val="none"/>
        </w:rPr>
        <w:fldChar w:fldCharType="separate"/>
      </w:r>
      <w:r>
        <w:rPr>
          <w:rFonts w:ascii="宋体" w:hAnsi="宋体" w:cs="宋体"/>
          <w:color w:val="auto"/>
          <w:highlight w:val="none"/>
        </w:rPr>
        <w:t>68</w:t>
      </w:r>
      <w:r>
        <w:rPr>
          <w:rFonts w:ascii="宋体" w:hAnsi="宋体" w:cs="宋体"/>
          <w:color w:val="auto"/>
          <w:highlight w:val="none"/>
        </w:rPr>
        <w:fldChar w:fldCharType="end"/>
      </w:r>
    </w:p>
    <w:p>
      <w:pPr>
        <w:jc w:val="center"/>
        <w:rPr>
          <w:rFonts w:hint="default" w:ascii="宋体" w:hAnsi="宋体" w:cs="宋体"/>
          <w:color w:val="auto"/>
          <w:szCs w:val="21"/>
          <w:highlight w:val="none"/>
        </w:rPr>
        <w:sectPr>
          <w:headerReference r:id="rId3" w:type="default"/>
          <w:footerReference r:id="rId4" w:type="default"/>
          <w:pgSz w:w="11906" w:h="16838"/>
          <w:pgMar w:top="1418" w:right="1588" w:bottom="1418" w:left="1588" w:header="851" w:footer="992" w:gutter="0"/>
          <w:pgNumType w:start="0"/>
          <w:cols w:space="720" w:num="1"/>
          <w:titlePg/>
          <w:docGrid w:type="lines" w:linePitch="312" w:charSpace="0"/>
        </w:sectPr>
      </w:pPr>
      <w:r>
        <w:rPr>
          <w:rFonts w:ascii="宋体" w:hAnsi="宋体" w:cs="宋体"/>
          <w:color w:val="auto"/>
          <w:szCs w:val="21"/>
          <w:highlight w:val="none"/>
        </w:rPr>
        <w:fldChar w:fldCharType="end"/>
      </w:r>
    </w:p>
    <w:p>
      <w:pPr>
        <w:adjustRightInd w:val="0"/>
        <w:snapToGrid w:val="0"/>
        <w:spacing w:beforeLines="50" w:afterLines="50" w:line="360" w:lineRule="auto"/>
        <w:jc w:val="center"/>
        <w:outlineLvl w:val="0"/>
        <w:rPr>
          <w:rFonts w:hint="default" w:ascii="宋体" w:hAnsi="宋体" w:cs="宋体"/>
          <w:color w:val="auto"/>
          <w:kern w:val="0"/>
          <w:szCs w:val="21"/>
          <w:highlight w:val="none"/>
        </w:rPr>
      </w:pPr>
      <w:bookmarkStart w:id="0" w:name="_Toc8266"/>
      <w:bookmarkStart w:id="1" w:name="_Toc21665"/>
      <w:r>
        <w:rPr>
          <w:rFonts w:ascii="宋体" w:hAnsi="宋体" w:cs="宋体"/>
          <w:b/>
          <w:color w:val="auto"/>
          <w:sz w:val="30"/>
          <w:szCs w:val="30"/>
          <w:highlight w:val="none"/>
        </w:rPr>
        <w:t>第一部分  采购公告</w:t>
      </w:r>
      <w:bookmarkEnd w:id="0"/>
      <w:bookmarkEnd w:id="1"/>
      <w:bookmarkStart w:id="2" w:name="_Toc251189093"/>
      <w:bookmarkStart w:id="3" w:name="_Toc185012671"/>
      <w:bookmarkStart w:id="4" w:name="_Toc251221438"/>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522" w:type="dxa"/>
            <w:vAlign w:val="center"/>
          </w:tcPr>
          <w:p>
            <w:pPr>
              <w:widowControl/>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项目概况</w:t>
            </w:r>
          </w:p>
          <w:p>
            <w:pPr>
              <w:widowControl/>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highlight w:val="none"/>
                <w:u w:val="single"/>
              </w:rPr>
              <w:t>杭州市质量技术监督检测院</w:t>
            </w:r>
            <w:r>
              <w:rPr>
                <w:rFonts w:hint="eastAsia" w:ascii="宋体" w:hAnsi="宋体" w:cs="宋体"/>
                <w:color w:val="auto"/>
                <w:highlight w:val="none"/>
                <w:u w:val="single"/>
                <w:lang w:eastAsia="zh-CN"/>
              </w:rPr>
              <w:t>气相色谱仪和电感耦合等离子体发射光谱仪</w:t>
            </w:r>
            <w:r>
              <w:rPr>
                <w:rFonts w:ascii="宋体" w:hAnsi="宋体" w:cs="宋体"/>
                <w:color w:val="auto"/>
                <w:szCs w:val="21"/>
                <w:highlight w:val="none"/>
              </w:rPr>
              <w:t>招标项目的潜在投标人应在</w:t>
            </w:r>
            <w:r>
              <w:rPr>
                <w:rFonts w:ascii="宋体" w:hAnsi="宋体" w:cs="宋体"/>
                <w:color w:val="auto"/>
                <w:szCs w:val="21"/>
                <w:highlight w:val="none"/>
                <w:u w:val="single"/>
              </w:rPr>
              <w:t>政府采购云平台（</w:t>
            </w:r>
            <w:r>
              <w:rPr>
                <w:rFonts w:hint="eastAsia" w:ascii="宋体" w:hAnsi="宋体" w:cs="宋体"/>
                <w:color w:val="auto"/>
                <w:szCs w:val="21"/>
                <w:highlight w:val="none"/>
                <w:u w:val="single"/>
              </w:rPr>
              <w:t>https://www.zcygov.cn</w:t>
            </w:r>
            <w:r>
              <w:rPr>
                <w:rFonts w:ascii="宋体" w:hAnsi="宋体" w:cs="宋体"/>
                <w:color w:val="auto"/>
                <w:szCs w:val="21"/>
                <w:highlight w:val="none"/>
                <w:u w:val="single"/>
              </w:rPr>
              <w:t>）</w:t>
            </w:r>
            <w:r>
              <w:rPr>
                <w:rFonts w:ascii="宋体" w:hAnsi="宋体" w:cs="宋体"/>
                <w:color w:val="auto"/>
                <w:szCs w:val="21"/>
                <w:highlight w:val="none"/>
              </w:rPr>
              <w:t>获取（下载）采购文件，并于</w:t>
            </w:r>
            <w:r>
              <w:rPr>
                <w:rFonts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8月11日</w:t>
            </w:r>
            <w:r>
              <w:rPr>
                <w:rFonts w:ascii="宋体" w:hAnsi="宋体" w:cs="宋体"/>
                <w:color w:val="auto"/>
                <w:szCs w:val="21"/>
                <w:highlight w:val="none"/>
                <w:u w:val="single"/>
              </w:rPr>
              <w:t>09:00:00</w:t>
            </w:r>
            <w:r>
              <w:rPr>
                <w:rFonts w:ascii="宋体" w:hAnsi="宋体" w:cs="宋体"/>
                <w:color w:val="auto"/>
                <w:szCs w:val="21"/>
                <w:highlight w:val="none"/>
              </w:rPr>
              <w:t>（北京时间）前提交（上传）投标文件。</w:t>
            </w:r>
          </w:p>
        </w:tc>
      </w:tr>
    </w:tbl>
    <w:p>
      <w:pPr>
        <w:widowControl/>
        <w:spacing w:line="360" w:lineRule="auto"/>
        <w:rPr>
          <w:rFonts w:hint="default" w:ascii="宋体" w:hAnsi="宋体" w:cs="宋体"/>
          <w:color w:val="auto"/>
          <w:kern w:val="0"/>
          <w:szCs w:val="21"/>
          <w:highlight w:val="none"/>
        </w:rPr>
      </w:pPr>
      <w:r>
        <w:rPr>
          <w:rFonts w:ascii="宋体" w:hAnsi="宋体" w:cs="宋体"/>
          <w:b/>
          <w:bCs/>
          <w:color w:val="auto"/>
          <w:kern w:val="0"/>
          <w:szCs w:val="21"/>
          <w:highlight w:val="none"/>
        </w:rPr>
        <w:t>一、项目基本情况</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项目编号：ZJ-</w:t>
      </w:r>
      <w:r>
        <w:rPr>
          <w:rFonts w:hint="eastAsia" w:ascii="宋体" w:hAnsi="宋体" w:cs="宋体"/>
          <w:color w:val="auto"/>
          <w:kern w:val="0"/>
          <w:szCs w:val="21"/>
          <w:highlight w:val="none"/>
          <w:lang w:eastAsia="zh-CN"/>
        </w:rPr>
        <w:t>2141791</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项目名称：杭州市质量技术监督检测院</w:t>
      </w:r>
      <w:r>
        <w:rPr>
          <w:rFonts w:hint="eastAsia" w:ascii="宋体" w:hAnsi="宋体" w:cs="宋体"/>
          <w:color w:val="auto"/>
          <w:kern w:val="0"/>
          <w:szCs w:val="21"/>
          <w:highlight w:val="none"/>
          <w:lang w:eastAsia="zh-CN"/>
        </w:rPr>
        <w:t>气相色谱仪和电感耦合等离子体发射光谱仪</w:t>
      </w:r>
    </w:p>
    <w:p>
      <w:pPr>
        <w:widowControl/>
        <w:adjustRightInd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1200000</w:t>
      </w:r>
    </w:p>
    <w:p>
      <w:pPr>
        <w:widowControl/>
        <w:adjustRightInd w:val="0"/>
        <w:snapToGrid w:val="0"/>
        <w:spacing w:line="360" w:lineRule="auto"/>
        <w:ind w:firstLine="420" w:firstLineChars="200"/>
        <w:jc w:val="left"/>
        <w:rPr>
          <w:rFonts w:hint="default" w:ascii="宋体" w:hAnsi="宋体" w:cs="宋体"/>
          <w:color w:val="auto"/>
          <w:kern w:val="0"/>
          <w:szCs w:val="21"/>
          <w:highlight w:val="none"/>
        </w:rPr>
      </w:pPr>
    </w:p>
    <w:p>
      <w:pPr>
        <w:widowControl/>
        <w:adjustRightInd w:val="0"/>
        <w:snapToGrid w:val="0"/>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采购需求：</w:t>
      </w:r>
    </w:p>
    <w:p>
      <w:pPr>
        <w:widowControl/>
        <w:adjustRightInd w:val="0"/>
        <w:snapToGrid w:val="0"/>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标项一</w:t>
      </w:r>
    </w:p>
    <w:p>
      <w:pPr>
        <w:widowControl/>
        <w:adjustRightInd w:val="0"/>
        <w:snapToGrid w:val="0"/>
        <w:spacing w:line="360" w:lineRule="auto"/>
        <w:ind w:firstLine="420" w:firstLineChars="200"/>
        <w:jc w:val="left"/>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标项名称：</w:t>
      </w:r>
      <w:r>
        <w:rPr>
          <w:rFonts w:hint="eastAsia" w:ascii="宋体" w:hAnsi="宋体" w:cs="宋体"/>
          <w:color w:val="auto"/>
          <w:kern w:val="0"/>
          <w:szCs w:val="21"/>
          <w:highlight w:val="none"/>
          <w:lang w:eastAsia="zh-CN"/>
        </w:rPr>
        <w:t>气相色谱仪和电感耦合等离子体发射光谱仪</w:t>
      </w:r>
    </w:p>
    <w:p>
      <w:pPr>
        <w:widowControl/>
        <w:adjustRightInd w:val="0"/>
        <w:snapToGrid w:val="0"/>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数量：1批</w:t>
      </w:r>
    </w:p>
    <w:p>
      <w:pPr>
        <w:widowControl/>
        <w:adjustRightInd w:val="0"/>
        <w:snapToGrid w:val="0"/>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12000</w:t>
      </w:r>
      <w:r>
        <w:rPr>
          <w:rFonts w:ascii="宋体" w:hAnsi="宋体" w:cs="Arial"/>
          <w:color w:val="auto"/>
          <w:kern w:val="0"/>
          <w:szCs w:val="21"/>
          <w:highlight w:val="none"/>
        </w:rPr>
        <w:t>00</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简要规格描述：</w:t>
      </w:r>
      <w:r>
        <w:rPr>
          <w:rFonts w:hint="eastAsia" w:ascii="宋体" w:hAnsi="宋体" w:cs="宋体"/>
          <w:color w:val="auto"/>
          <w:kern w:val="0"/>
          <w:szCs w:val="21"/>
          <w:highlight w:val="none"/>
          <w:lang w:eastAsia="zh-CN"/>
        </w:rPr>
        <w:t>气相色谱仪（配FID和ECD检测器）</w:t>
      </w:r>
      <w:r>
        <w:rPr>
          <w:rFonts w:ascii="宋体" w:hAnsi="宋体" w:cs="宋体"/>
          <w:color w:val="auto"/>
          <w:kern w:val="0"/>
          <w:szCs w:val="21"/>
          <w:highlight w:val="none"/>
        </w:rPr>
        <w:t xml:space="preserve"> 1套，</w:t>
      </w:r>
      <w:r>
        <w:rPr>
          <w:rFonts w:hint="eastAsia" w:ascii="宋体" w:hAnsi="宋体" w:cs="宋体"/>
          <w:color w:val="auto"/>
          <w:kern w:val="0"/>
          <w:szCs w:val="21"/>
          <w:highlight w:val="none"/>
        </w:rPr>
        <w:t>电感耦合等离子体发射光谱仪</w:t>
      </w:r>
      <w:r>
        <w:rPr>
          <w:rFonts w:ascii="宋体" w:hAnsi="宋体" w:cs="宋体"/>
          <w:color w:val="auto"/>
          <w:kern w:val="0"/>
          <w:szCs w:val="21"/>
          <w:highlight w:val="none"/>
        </w:rPr>
        <w:t>1套。详见采购文件第三部分。</w:t>
      </w:r>
    </w:p>
    <w:p>
      <w:pPr>
        <w:widowControl/>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备注：无。</w:t>
      </w:r>
    </w:p>
    <w:p>
      <w:pPr>
        <w:widowControl/>
        <w:adjustRightInd w:val="0"/>
        <w:snapToGrid w:val="0"/>
        <w:spacing w:line="360" w:lineRule="auto"/>
        <w:ind w:firstLine="420" w:firstLineChars="200"/>
        <w:jc w:val="left"/>
        <w:rPr>
          <w:rFonts w:hint="default" w:ascii="宋体" w:hAnsi="宋体" w:cs="Arial"/>
          <w:color w:val="auto"/>
          <w:kern w:val="0"/>
          <w:szCs w:val="21"/>
          <w:highlight w:val="none"/>
        </w:rPr>
      </w:pPr>
    </w:p>
    <w:p>
      <w:pPr>
        <w:widowControl/>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合同履行期限：按采购文件要求</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 </w:t>
      </w:r>
    </w:p>
    <w:p>
      <w:pPr>
        <w:widowControl/>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szCs w:val="21"/>
          <w:highlight w:val="none"/>
        </w:rPr>
        <w:t>本项目（否）接受联合体</w:t>
      </w:r>
      <w:r>
        <w:rPr>
          <w:rFonts w:ascii="宋体" w:hAnsi="宋体" w:cs="宋体"/>
          <w:color w:val="auto"/>
          <w:kern w:val="0"/>
          <w:szCs w:val="21"/>
          <w:highlight w:val="none"/>
        </w:rPr>
        <w:t>投标。</w:t>
      </w:r>
    </w:p>
    <w:p>
      <w:pPr>
        <w:widowControl/>
        <w:spacing w:line="360" w:lineRule="auto"/>
        <w:rPr>
          <w:rFonts w:hint="default" w:ascii="宋体" w:hAnsi="宋体" w:cs="宋体"/>
          <w:color w:val="auto"/>
          <w:kern w:val="0"/>
          <w:szCs w:val="21"/>
          <w:highlight w:val="none"/>
        </w:rPr>
      </w:pPr>
      <w:r>
        <w:rPr>
          <w:rFonts w:ascii="宋体" w:hAnsi="宋体" w:cs="宋体"/>
          <w:b/>
          <w:bCs/>
          <w:color w:val="auto"/>
          <w:kern w:val="0"/>
          <w:szCs w:val="21"/>
          <w:highlight w:val="none"/>
        </w:rPr>
        <w:t>二、申请人的资格要求：</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1.满足《中华人民共和国政府采购法》第二十二条规定；未被列入失信被执行人名单、重大税收违法案件当事人名单、政府采购严重违法失信行为记录名单，信用信息以信用中国网站（www.creditchina.gov.cn）、中国政府采购网（www.ccgp.gov.cn）公布为准；</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2.落实政府采购政策需满足的资格要求：无。</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3.本项目的特定资格要求：无。</w:t>
      </w:r>
    </w:p>
    <w:p>
      <w:pPr>
        <w:widowControl/>
        <w:spacing w:line="360" w:lineRule="auto"/>
        <w:jc w:val="left"/>
        <w:rPr>
          <w:rFonts w:hint="default" w:ascii="宋体" w:hAnsi="宋体" w:cs="宋体"/>
          <w:color w:val="auto"/>
          <w:kern w:val="0"/>
          <w:szCs w:val="21"/>
          <w:highlight w:val="none"/>
        </w:rPr>
      </w:pPr>
      <w:r>
        <w:rPr>
          <w:rFonts w:ascii="宋体" w:hAnsi="宋体" w:cs="宋体"/>
          <w:b/>
          <w:bCs/>
          <w:color w:val="auto"/>
          <w:kern w:val="0"/>
          <w:szCs w:val="21"/>
          <w:highlight w:val="none"/>
        </w:rPr>
        <w:t>三、获取采购文件</w:t>
      </w:r>
    </w:p>
    <w:p>
      <w:pPr>
        <w:widowControl/>
        <w:spacing w:line="360" w:lineRule="auto"/>
        <w:ind w:firstLine="630" w:firstLineChars="300"/>
        <w:jc w:val="left"/>
        <w:rPr>
          <w:rFonts w:hint="default" w:ascii="宋体" w:hAnsi="宋体" w:cs="宋体"/>
          <w:color w:val="auto"/>
          <w:kern w:val="0"/>
          <w:szCs w:val="21"/>
          <w:highlight w:val="none"/>
        </w:rPr>
      </w:pPr>
      <w:r>
        <w:rPr>
          <w:rFonts w:ascii="宋体" w:hAnsi="宋体" w:cs="宋体"/>
          <w:color w:val="auto"/>
          <w:kern w:val="0"/>
          <w:szCs w:val="21"/>
          <w:highlight w:val="none"/>
        </w:rPr>
        <w:t>时间：</w:t>
      </w:r>
      <w:r>
        <w:rPr>
          <w:rFonts w:ascii="宋体" w:hAnsi="宋体" w:cs="宋体"/>
          <w:color w:val="auto"/>
          <w:szCs w:val="21"/>
          <w:highlight w:val="none"/>
          <w:u w:val="single"/>
        </w:rPr>
        <w:t>/</w:t>
      </w:r>
      <w:r>
        <w:rPr>
          <w:rFonts w:ascii="宋体" w:hAnsi="宋体" w:cs="宋体"/>
          <w:color w:val="auto"/>
          <w:kern w:val="0"/>
          <w:szCs w:val="21"/>
          <w:highlight w:val="none"/>
        </w:rPr>
        <w:t>至</w:t>
      </w:r>
      <w:r>
        <w:rPr>
          <w:rFonts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8月11日</w:t>
      </w:r>
      <w:r>
        <w:rPr>
          <w:rFonts w:ascii="宋体" w:hAnsi="宋体" w:cs="宋体"/>
          <w:color w:val="auto"/>
          <w:kern w:val="0"/>
          <w:szCs w:val="21"/>
          <w:highlight w:val="none"/>
        </w:rPr>
        <w:t>，每天上午</w:t>
      </w:r>
      <w:r>
        <w:rPr>
          <w:rFonts w:ascii="宋体" w:hAnsi="宋体" w:cs="宋体"/>
          <w:color w:val="auto"/>
          <w:kern w:val="0"/>
          <w:szCs w:val="21"/>
          <w:highlight w:val="none"/>
          <w:u w:val="single"/>
        </w:rPr>
        <w:t>00:00至12:00</w:t>
      </w:r>
      <w:r>
        <w:rPr>
          <w:rFonts w:ascii="宋体" w:hAnsi="宋体" w:cs="宋体"/>
          <w:color w:val="auto"/>
          <w:kern w:val="0"/>
          <w:szCs w:val="21"/>
          <w:highlight w:val="none"/>
        </w:rPr>
        <w:t>，下午</w:t>
      </w:r>
      <w:r>
        <w:rPr>
          <w:rFonts w:ascii="宋体" w:hAnsi="宋体" w:cs="宋体"/>
          <w:color w:val="auto"/>
          <w:kern w:val="0"/>
          <w:szCs w:val="21"/>
          <w:highlight w:val="none"/>
          <w:u w:val="single"/>
        </w:rPr>
        <w:t>12:00至23:59</w:t>
      </w:r>
      <w:r>
        <w:rPr>
          <w:rFonts w:ascii="宋体" w:hAnsi="宋体" w:cs="宋体"/>
          <w:color w:val="auto"/>
          <w:kern w:val="0"/>
          <w:szCs w:val="21"/>
          <w:highlight w:val="none"/>
        </w:rPr>
        <w:t>（北京时间，线上获取法定节假日均可，线下获取文件法定节假日除外）</w:t>
      </w:r>
    </w:p>
    <w:p>
      <w:pPr>
        <w:widowControl/>
        <w:spacing w:line="360" w:lineRule="auto"/>
        <w:ind w:firstLine="630"/>
        <w:jc w:val="left"/>
        <w:rPr>
          <w:rFonts w:hint="default" w:ascii="宋体" w:hAnsi="宋体" w:cs="宋体"/>
          <w:color w:val="auto"/>
          <w:szCs w:val="21"/>
          <w:highlight w:val="none"/>
        </w:rPr>
      </w:pPr>
      <w:r>
        <w:rPr>
          <w:rFonts w:ascii="宋体" w:hAnsi="宋体" w:cs="宋体"/>
          <w:color w:val="auto"/>
          <w:kern w:val="0"/>
          <w:szCs w:val="21"/>
          <w:highlight w:val="none"/>
        </w:rPr>
        <w:t>地点（网址）：政府采购云平台（</w:t>
      </w:r>
      <w:r>
        <w:rPr>
          <w:rFonts w:hint="eastAsia" w:ascii="宋体" w:hAnsi="宋体" w:cs="宋体"/>
          <w:color w:val="auto"/>
          <w:kern w:val="0"/>
          <w:szCs w:val="21"/>
          <w:highlight w:val="none"/>
        </w:rPr>
        <w:t>https://www.zcygov.cn</w:t>
      </w:r>
      <w:r>
        <w:rPr>
          <w:rFonts w:ascii="宋体" w:hAnsi="宋体" w:cs="宋体"/>
          <w:color w:val="auto"/>
          <w:kern w:val="0"/>
          <w:szCs w:val="21"/>
          <w:highlight w:val="none"/>
        </w:rPr>
        <w:t>） </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 xml:space="preserve"> 方式：</w:t>
      </w:r>
      <w:r>
        <w:rPr>
          <w:rFonts w:hint="eastAsia" w:ascii="宋体" w:hAnsi="宋体" w:cs="Arial"/>
          <w:color w:val="auto"/>
          <w:kern w:val="0"/>
          <w:szCs w:val="21"/>
          <w:highlight w:val="none"/>
        </w:rPr>
        <w:t>自行下载。供应商登录政采云平台https://www.zcygov.cn/在线申请获取采购文件（进入“项目采购”应用，在获取采购文件菜单中选择项目，申请获取采购文件）。通过本公告下方“游客，浏览采购文件”下载的采购文件仅供浏览。</w:t>
      </w:r>
    </w:p>
    <w:p>
      <w:pPr>
        <w:widowControl/>
        <w:spacing w:line="360" w:lineRule="auto"/>
        <w:jc w:val="left"/>
        <w:rPr>
          <w:rFonts w:hint="default" w:ascii="宋体" w:hAnsi="宋体" w:cs="宋体"/>
          <w:color w:val="auto"/>
          <w:kern w:val="0"/>
          <w:szCs w:val="21"/>
          <w:highlight w:val="none"/>
        </w:rPr>
      </w:pPr>
      <w:r>
        <w:rPr>
          <w:rFonts w:ascii="宋体" w:hAnsi="宋体" w:cs="宋体"/>
          <w:color w:val="auto"/>
          <w:kern w:val="0"/>
          <w:szCs w:val="21"/>
          <w:highlight w:val="none"/>
        </w:rPr>
        <w:t>    售价（元）：0 </w:t>
      </w:r>
    </w:p>
    <w:p>
      <w:pPr>
        <w:widowControl/>
        <w:spacing w:line="360" w:lineRule="auto"/>
        <w:rPr>
          <w:rFonts w:hint="default" w:ascii="宋体" w:hAnsi="宋体" w:cs="宋体"/>
          <w:color w:val="auto"/>
          <w:kern w:val="0"/>
          <w:szCs w:val="21"/>
          <w:highlight w:val="none"/>
        </w:rPr>
      </w:pPr>
      <w:r>
        <w:rPr>
          <w:rFonts w:ascii="宋体" w:hAnsi="宋体" w:cs="宋体"/>
          <w:b/>
          <w:bCs/>
          <w:color w:val="auto"/>
          <w:kern w:val="0"/>
          <w:szCs w:val="21"/>
          <w:highlight w:val="none"/>
        </w:rPr>
        <w:t>四、提交投标文件截止时间、开标时间和地点</w:t>
      </w:r>
    </w:p>
    <w:p>
      <w:pPr>
        <w:widowControl/>
        <w:snapToGrid w:val="0"/>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提交投标文件截止时间：</w:t>
      </w:r>
      <w:r>
        <w:rPr>
          <w:rFonts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8月11日09</w:t>
      </w:r>
      <w:r>
        <w:rPr>
          <w:rFonts w:ascii="宋体" w:hAnsi="宋体" w:cs="宋体"/>
          <w:color w:val="auto"/>
          <w:szCs w:val="21"/>
          <w:highlight w:val="none"/>
          <w:u w:val="single"/>
        </w:rPr>
        <w:t>:00:00</w:t>
      </w:r>
      <w:r>
        <w:rPr>
          <w:rFonts w:ascii="宋体" w:hAnsi="宋体" w:cs="宋体"/>
          <w:color w:val="auto"/>
          <w:kern w:val="0"/>
          <w:szCs w:val="21"/>
          <w:highlight w:val="none"/>
          <w:u w:val="single"/>
        </w:rPr>
        <w:t>（北京时间）</w:t>
      </w:r>
    </w:p>
    <w:p>
      <w:pPr>
        <w:widowControl/>
        <w:snapToGrid w:val="0"/>
        <w:spacing w:line="360" w:lineRule="auto"/>
        <w:ind w:firstLine="420" w:firstLineChars="200"/>
        <w:jc w:val="left"/>
        <w:rPr>
          <w:rFonts w:hint="default" w:ascii="宋体" w:hAnsi="宋体" w:cs="宋体"/>
          <w:color w:val="auto"/>
          <w:kern w:val="0"/>
          <w:szCs w:val="21"/>
          <w:highlight w:val="none"/>
          <w:u w:val="single"/>
        </w:rPr>
      </w:pPr>
      <w:r>
        <w:rPr>
          <w:rFonts w:ascii="宋体" w:hAnsi="宋体" w:cs="宋体"/>
          <w:color w:val="auto"/>
          <w:kern w:val="0"/>
          <w:szCs w:val="21"/>
          <w:highlight w:val="none"/>
        </w:rPr>
        <w:t>投标地点（网址）：</w:t>
      </w:r>
      <w:r>
        <w:rPr>
          <w:rFonts w:ascii="宋体" w:hAnsi="宋体" w:cs="宋体"/>
          <w:color w:val="auto"/>
          <w:kern w:val="0"/>
          <w:szCs w:val="21"/>
          <w:highlight w:val="none"/>
          <w:u w:val="single"/>
        </w:rPr>
        <w:t>政府采购云平台（</w:t>
      </w:r>
      <w:r>
        <w:rPr>
          <w:rFonts w:hint="eastAsia" w:ascii="宋体" w:hAnsi="宋体" w:cs="宋体"/>
          <w:color w:val="auto"/>
          <w:kern w:val="0"/>
          <w:szCs w:val="21"/>
          <w:highlight w:val="none"/>
          <w:u w:val="single"/>
        </w:rPr>
        <w:t>https://www.zcygov.cn</w:t>
      </w:r>
      <w:r>
        <w:rPr>
          <w:rFonts w:ascii="宋体" w:hAnsi="宋体" w:cs="宋体"/>
          <w:color w:val="auto"/>
          <w:kern w:val="0"/>
          <w:szCs w:val="21"/>
          <w:highlight w:val="none"/>
          <w:u w:val="single"/>
        </w:rPr>
        <w:t>）</w:t>
      </w:r>
    </w:p>
    <w:p>
      <w:pPr>
        <w:widowControl/>
        <w:snapToGrid w:val="0"/>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开标时间：</w:t>
      </w:r>
      <w:r>
        <w:rPr>
          <w:rFonts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8月11日09</w:t>
      </w:r>
      <w:r>
        <w:rPr>
          <w:rFonts w:ascii="宋体" w:hAnsi="宋体" w:cs="宋体"/>
          <w:color w:val="auto"/>
          <w:szCs w:val="21"/>
          <w:highlight w:val="none"/>
          <w:u w:val="single"/>
        </w:rPr>
        <w:t>:00:00</w:t>
      </w:r>
      <w:r>
        <w:rPr>
          <w:rFonts w:ascii="宋体" w:hAnsi="宋体" w:cs="宋体"/>
          <w:color w:val="auto"/>
          <w:kern w:val="0"/>
          <w:szCs w:val="21"/>
          <w:highlight w:val="none"/>
          <w:u w:val="single"/>
        </w:rPr>
        <w:t>（北京时间）</w:t>
      </w:r>
    </w:p>
    <w:p>
      <w:pPr>
        <w:widowControl/>
        <w:snapToGrid w:val="0"/>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开标地点（网址）：</w:t>
      </w:r>
      <w:r>
        <w:rPr>
          <w:rFonts w:ascii="宋体" w:hAnsi="宋体" w:cs="宋体"/>
          <w:color w:val="auto"/>
          <w:kern w:val="0"/>
          <w:szCs w:val="21"/>
          <w:highlight w:val="none"/>
          <w:u w:val="single"/>
        </w:rPr>
        <w:t>政府采购云平台（</w:t>
      </w:r>
      <w:r>
        <w:rPr>
          <w:rFonts w:hint="eastAsia" w:ascii="宋体" w:hAnsi="宋体" w:cs="宋体"/>
          <w:color w:val="auto"/>
          <w:kern w:val="0"/>
          <w:szCs w:val="21"/>
          <w:highlight w:val="none"/>
          <w:u w:val="single"/>
        </w:rPr>
        <w:t>https://www.zcygov.cn</w:t>
      </w:r>
      <w:r>
        <w:rPr>
          <w:rFonts w:ascii="宋体" w:hAnsi="宋体" w:cs="宋体"/>
          <w:color w:val="auto"/>
          <w:kern w:val="0"/>
          <w:szCs w:val="21"/>
          <w:highlight w:val="none"/>
          <w:u w:val="single"/>
        </w:rPr>
        <w:t>)</w:t>
      </w:r>
    </w:p>
    <w:p>
      <w:pPr>
        <w:widowControl/>
        <w:numPr>
          <w:ilvl w:val="0"/>
          <w:numId w:val="1"/>
        </w:numPr>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采购意向公开链接</w:t>
      </w:r>
    </w:p>
    <w:p>
      <w:pPr>
        <w:widowControl/>
        <w:spacing w:line="360" w:lineRule="auto"/>
        <w:ind w:firstLine="420" w:firstLineChars="200"/>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https://zfcg.czt.zj.gov.cn/innerUsed_noticeDetails/index.html?noticeId=7828661&amp;utm=web-government-front.49399a16.0.0.60440970e94c11eb8455bdf2410cfbb5</w:t>
      </w:r>
    </w:p>
    <w:p>
      <w:pPr>
        <w:widowControl/>
        <w:numPr>
          <w:ilvl w:val="0"/>
          <w:numId w:val="0"/>
        </w:numPr>
        <w:spacing w:line="360" w:lineRule="auto"/>
        <w:rPr>
          <w:rFonts w:hint="default" w:ascii="宋体" w:hAnsi="宋体" w:cs="宋体"/>
          <w:color w:val="auto"/>
          <w:kern w:val="0"/>
          <w:szCs w:val="21"/>
          <w:highlight w:val="none"/>
        </w:rPr>
      </w:pPr>
      <w:r>
        <w:rPr>
          <w:rFonts w:hint="eastAsia" w:ascii="宋体" w:hAnsi="宋体" w:cs="宋体"/>
          <w:b/>
          <w:bCs/>
          <w:color w:val="auto"/>
          <w:kern w:val="0"/>
          <w:szCs w:val="21"/>
          <w:highlight w:val="none"/>
          <w:lang w:eastAsia="zh-CN"/>
        </w:rPr>
        <w:t>六</w:t>
      </w:r>
      <w:r>
        <w:rPr>
          <w:rFonts w:ascii="宋体" w:hAnsi="宋体" w:cs="宋体"/>
          <w:b/>
          <w:bCs/>
          <w:color w:val="auto"/>
          <w:kern w:val="0"/>
          <w:szCs w:val="21"/>
          <w:highlight w:val="none"/>
        </w:rPr>
        <w:t>、公告期限</w:t>
      </w:r>
    </w:p>
    <w:p>
      <w:pPr>
        <w:widowControl/>
        <w:spacing w:line="360" w:lineRule="auto"/>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自本公告发布之日起5个工作日。</w:t>
      </w:r>
    </w:p>
    <w:p>
      <w:pPr>
        <w:widowControl/>
        <w:spacing w:line="360" w:lineRule="auto"/>
        <w:rPr>
          <w:rFonts w:hint="default" w:ascii="宋体" w:hAnsi="宋体" w:cs="宋体"/>
          <w:color w:val="auto"/>
          <w:kern w:val="0"/>
          <w:szCs w:val="21"/>
          <w:highlight w:val="none"/>
        </w:rPr>
      </w:pPr>
      <w:r>
        <w:rPr>
          <w:rFonts w:hint="eastAsia" w:ascii="宋体" w:hAnsi="宋体" w:cs="宋体"/>
          <w:b/>
          <w:bCs/>
          <w:color w:val="auto"/>
          <w:kern w:val="0"/>
          <w:szCs w:val="21"/>
          <w:highlight w:val="none"/>
          <w:lang w:eastAsia="zh-CN"/>
        </w:rPr>
        <w:t>七</w:t>
      </w:r>
      <w:r>
        <w:rPr>
          <w:rFonts w:ascii="宋体" w:hAnsi="宋体" w:cs="宋体"/>
          <w:b/>
          <w:bCs/>
          <w:color w:val="auto"/>
          <w:kern w:val="0"/>
          <w:szCs w:val="21"/>
          <w:highlight w:val="none"/>
        </w:rPr>
        <w:t>、其他补充事宜</w:t>
      </w:r>
    </w:p>
    <w:p>
      <w:pPr>
        <w:widowControl/>
        <w:spacing w:line="360" w:lineRule="auto"/>
        <w:ind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其他事项</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才能参与投标；</w:t>
      </w:r>
    </w:p>
    <w:p>
      <w:pPr>
        <w:widowControl/>
        <w:spacing w:line="360" w:lineRule="auto"/>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（2）单位负责人为同一人或者存在直接控股、管理关系的不同供应商，不得同时参加同一合同项下的投标。 </w:t>
      </w:r>
    </w:p>
    <w:p>
      <w:pPr>
        <w:widowControl/>
        <w:spacing w:line="360" w:lineRule="auto"/>
        <w:ind w:firstLine="420" w:firstLineChars="200"/>
        <w:jc w:val="left"/>
        <w:rPr>
          <w:rFonts w:hint="default" w:ascii="宋体" w:hAnsi="宋体" w:cs="宋体"/>
          <w:i/>
          <w:iCs/>
          <w:color w:val="auto"/>
          <w:kern w:val="0"/>
          <w:szCs w:val="21"/>
          <w:highlight w:val="none"/>
        </w:rPr>
      </w:pPr>
      <w:r>
        <w:rPr>
          <w:rFonts w:ascii="宋体" w:hAnsi="宋体" w:cs="Arial"/>
          <w:color w:val="auto"/>
          <w:kern w:val="0"/>
          <w:szCs w:val="21"/>
          <w:highlight w:val="none"/>
        </w:rPr>
        <w:t>（3）采购项目需要落实的政府采购政策：《政府采购促进中小企业发展</w:t>
      </w:r>
      <w:r>
        <w:rPr>
          <w:rFonts w:hint="eastAsia" w:ascii="宋体" w:hAnsi="宋体" w:cs="Arial"/>
          <w:color w:val="auto"/>
          <w:kern w:val="0"/>
          <w:szCs w:val="21"/>
          <w:highlight w:val="none"/>
          <w:lang w:eastAsia="zh-CN"/>
        </w:rPr>
        <w:t>管理</w:t>
      </w:r>
      <w:r>
        <w:rPr>
          <w:rFonts w:ascii="宋体" w:hAnsi="宋体" w:cs="Arial"/>
          <w:color w:val="auto"/>
          <w:kern w:val="0"/>
          <w:szCs w:val="21"/>
          <w:highlight w:val="none"/>
        </w:rPr>
        <w:t>办法》、《关于促进残疾人就业政府采购政策的通知》（财库〔2017〕141号）、《关于政府采购支持监狱企业发展有关问题的通知》（财库[2014]68号）、《关于调整优化节能产品环境标志产品政府采购执行机制的通知》（财库[2019]9号）</w:t>
      </w:r>
      <w:r>
        <w:rPr>
          <w:rFonts w:ascii="宋体" w:hAnsi="宋体" w:cs="宋体"/>
          <w:color w:val="auto"/>
          <w:kern w:val="0"/>
          <w:szCs w:val="21"/>
          <w:highlight w:val="none"/>
        </w:rPr>
        <w:t>、《杭州市政府采购支持中小企业信用融资暂行办法》</w:t>
      </w:r>
      <w:r>
        <w:rPr>
          <w:rFonts w:ascii="宋体" w:hAnsi="宋体" w:cs="Arial"/>
          <w:color w:val="auto"/>
          <w:kern w:val="0"/>
          <w:szCs w:val="21"/>
          <w:highlight w:val="none"/>
        </w:rPr>
        <w:t xml:space="preserve">。 </w:t>
      </w:r>
    </w:p>
    <w:p>
      <w:pPr>
        <w:widowControl/>
        <w:spacing w:line="360" w:lineRule="auto"/>
        <w:ind w:firstLine="384"/>
        <w:jc w:val="left"/>
        <w:rPr>
          <w:rFonts w:hint="default" w:ascii="宋体" w:hAnsi="宋体" w:cs="宋体"/>
          <w:color w:val="auto"/>
          <w:szCs w:val="21"/>
          <w:highlight w:val="none"/>
        </w:rPr>
      </w:pPr>
      <w:r>
        <w:rPr>
          <w:rFonts w:ascii="宋体" w:hAnsi="宋体" w:cs="Arial"/>
          <w:color w:val="auto"/>
          <w:kern w:val="0"/>
          <w:szCs w:val="21"/>
          <w:highlight w:val="none"/>
        </w:rPr>
        <w:t>（4）</w:t>
      </w:r>
      <w:r>
        <w:rPr>
          <w:rFonts w:ascii="宋体" w:hAnsi="宋体" w:cs="宋体"/>
          <w:color w:val="auto"/>
          <w:kern w:val="0"/>
          <w:szCs w:val="21"/>
          <w:highlight w:val="none"/>
        </w:rPr>
        <w:t>为支持和促进中小企业发展，杭州市财政局出台了政府采购信用融资政策，供应商可凭中标合同申请贷款，利率一般在基准利率左右（不同银行略有差异）。具体可登录http://220.191.208.230/login.do办理业务</w:t>
      </w:r>
      <w:r>
        <w:rPr>
          <w:rFonts w:ascii="宋体" w:hAnsi="宋体" w:cs="宋体"/>
          <w:color w:val="auto"/>
          <w:szCs w:val="21"/>
          <w:highlight w:val="none"/>
        </w:rPr>
        <w:t>。</w:t>
      </w:r>
    </w:p>
    <w:p>
      <w:pPr>
        <w:widowControl/>
        <w:spacing w:line="360" w:lineRule="auto"/>
        <w:ind w:firstLine="384"/>
        <w:jc w:val="left"/>
        <w:rPr>
          <w:rFonts w:hint="default" w:ascii="宋体" w:hAnsi="宋体" w:cs="Arial"/>
          <w:color w:val="auto"/>
          <w:kern w:val="0"/>
          <w:szCs w:val="21"/>
          <w:highlight w:val="none"/>
        </w:rPr>
      </w:pPr>
      <w:r>
        <w:rPr>
          <w:rFonts w:ascii="宋体" w:hAnsi="宋体" w:cs="Arial"/>
          <w:color w:val="auto"/>
          <w:kern w:val="0"/>
          <w:szCs w:val="21"/>
          <w:highlight w:val="none"/>
        </w:rPr>
        <w:t>（5）本项目采取电子招投标，电子招投标有关事项说明：</w:t>
      </w:r>
    </w:p>
    <w:p>
      <w:pPr>
        <w:widowControl/>
        <w:spacing w:line="360" w:lineRule="auto"/>
        <w:ind w:firstLine="384"/>
        <w:jc w:val="left"/>
        <w:rPr>
          <w:rFonts w:hint="default" w:ascii="宋体" w:hAnsi="宋体" w:cs="Arial"/>
          <w:color w:val="auto"/>
          <w:kern w:val="0"/>
          <w:szCs w:val="21"/>
          <w:highlight w:val="none"/>
        </w:rPr>
      </w:pPr>
      <w:r>
        <w:rPr>
          <w:rFonts w:ascii="宋体" w:hAnsi="宋体" w:cs="Arial"/>
          <w:color w:val="auto"/>
          <w:kern w:val="0"/>
          <w:szCs w:val="21"/>
          <w:highlight w:val="none"/>
        </w:rPr>
        <w:t>A.本项目通过“浙江政府采购网（http://zfcg.czt.zj.gov.cn）”实行电子投标，供应商须安装客户端软件，并按照采购文件和电子交易平台的要求制作投标文件。</w:t>
      </w:r>
    </w:p>
    <w:p>
      <w:pPr>
        <w:widowControl/>
        <w:spacing w:line="360" w:lineRule="auto"/>
        <w:ind w:firstLine="384"/>
        <w:jc w:val="left"/>
        <w:rPr>
          <w:rFonts w:hint="default" w:ascii="宋体" w:hAnsi="宋体" w:cs="Arial"/>
          <w:color w:val="auto"/>
          <w:kern w:val="0"/>
          <w:szCs w:val="21"/>
          <w:highlight w:val="none"/>
        </w:rPr>
      </w:pPr>
      <w:r>
        <w:rPr>
          <w:rFonts w:ascii="宋体" w:hAnsi="宋体" w:cs="Arial"/>
          <w:color w:val="auto"/>
          <w:kern w:val="0"/>
          <w:szCs w:val="21"/>
          <w:highlight w:val="none"/>
        </w:rPr>
        <w:t>客户端软件下载方式：供应商可通过“浙江政府采购网-下载专区-电子交易客户端”进行下载。</w:t>
      </w:r>
    </w:p>
    <w:p>
      <w:pPr>
        <w:widowControl/>
        <w:spacing w:line="360" w:lineRule="auto"/>
        <w:ind w:firstLine="384"/>
        <w:jc w:val="left"/>
        <w:rPr>
          <w:rFonts w:hint="default" w:ascii="宋体" w:hAnsi="宋体" w:cs="宋体"/>
          <w:color w:val="auto"/>
          <w:kern w:val="0"/>
          <w:szCs w:val="21"/>
          <w:highlight w:val="none"/>
        </w:rPr>
      </w:pPr>
      <w:r>
        <w:rPr>
          <w:rFonts w:ascii="宋体" w:hAnsi="宋体" w:cs="Arial"/>
          <w:color w:val="auto"/>
          <w:kern w:val="0"/>
          <w:szCs w:val="21"/>
          <w:highlight w:val="none"/>
        </w:rPr>
        <w:t>B.供应商须申领CA，并在浙江政府采购网完成绑定方可进行投标文件的编制，CA相关操作可参考“浙江政府采购网-下载专区-电子交易客户端-CA驱动和申领流程”。</w:t>
      </w:r>
    </w:p>
    <w:p>
      <w:pPr>
        <w:widowControl/>
        <w:spacing w:line="360" w:lineRule="auto"/>
        <w:rPr>
          <w:rFonts w:hint="default" w:ascii="宋体" w:hAnsi="宋体" w:cs="宋体"/>
          <w:color w:val="auto"/>
          <w:kern w:val="0"/>
          <w:szCs w:val="21"/>
          <w:highlight w:val="none"/>
        </w:rPr>
      </w:pPr>
      <w:r>
        <w:rPr>
          <w:rFonts w:ascii="宋体" w:hAnsi="宋体" w:cs="宋体"/>
          <w:b/>
          <w:bCs/>
          <w:color w:val="auto"/>
          <w:kern w:val="0"/>
          <w:szCs w:val="21"/>
          <w:highlight w:val="none"/>
        </w:rPr>
        <w:t>七、对本次招标提出询问、质疑、投诉，请按以下方式联系。</w:t>
      </w:r>
      <w:r>
        <w:rPr>
          <w:rFonts w:ascii="宋体" w:hAnsi="宋体" w:cs="宋体"/>
          <w:color w:val="auto"/>
          <w:kern w:val="0"/>
          <w:szCs w:val="21"/>
          <w:highlight w:val="none"/>
        </w:rPr>
        <w:t>　　　　　　　　　　　　</w:t>
      </w:r>
    </w:p>
    <w:p>
      <w:pPr>
        <w:widowControl/>
        <w:adjustRightInd w:val="0"/>
        <w:snapToGrid w:val="0"/>
        <w:spacing w:line="360" w:lineRule="auto"/>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1.采购人信息</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名    称：</w:t>
      </w:r>
      <w:r>
        <w:rPr>
          <w:rFonts w:ascii="宋体" w:hAnsi="宋体" w:cs="宋体"/>
          <w:color w:val="auto"/>
          <w:szCs w:val="21"/>
          <w:highlight w:val="none"/>
          <w:u w:val="single"/>
        </w:rPr>
        <w:t>杭州市质量技术监督检测院</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杭州市九环路50号</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项目联系人（询问）：</w:t>
      </w:r>
      <w:r>
        <w:rPr>
          <w:rFonts w:ascii="宋体" w:hAnsi="宋体" w:cs="宋体"/>
          <w:color w:val="auto"/>
          <w:szCs w:val="21"/>
          <w:highlight w:val="none"/>
          <w:u w:val="single"/>
        </w:rPr>
        <w:t>曾春柳</w:t>
      </w:r>
    </w:p>
    <w:p>
      <w:pPr>
        <w:widowControl/>
        <w:adjustRightInd w:val="0"/>
        <w:snapToGrid w:val="0"/>
        <w:spacing w:line="360" w:lineRule="auto"/>
        <w:ind w:firstLine="420" w:firstLineChars="200"/>
        <w:jc w:val="left"/>
        <w:rPr>
          <w:rFonts w:hint="default" w:ascii="宋体" w:hAnsi="宋体" w:cs="宋体"/>
          <w:color w:val="auto"/>
          <w:szCs w:val="21"/>
          <w:highlight w:val="none"/>
          <w:u w:val="single"/>
        </w:rPr>
      </w:pPr>
      <w:r>
        <w:rPr>
          <w:rFonts w:ascii="宋体" w:hAnsi="宋体" w:cs="宋体"/>
          <w:color w:val="auto"/>
          <w:szCs w:val="21"/>
          <w:highlight w:val="none"/>
        </w:rPr>
        <w:t>项目联系方式（询问）：</w:t>
      </w:r>
      <w:r>
        <w:rPr>
          <w:rFonts w:ascii="宋体" w:hAnsi="宋体" w:cs="宋体"/>
          <w:color w:val="auto"/>
          <w:szCs w:val="21"/>
          <w:highlight w:val="none"/>
          <w:u w:val="single"/>
        </w:rPr>
        <w:t>0571-81995009</w:t>
      </w:r>
      <w:r>
        <w:rPr>
          <w:rFonts w:ascii="宋体" w:hAnsi="宋体" w:cs="宋体"/>
          <w:color w:val="auto"/>
          <w:szCs w:val="21"/>
          <w:highlight w:val="none"/>
          <w:u w:val="single"/>
          <w:shd w:val="clear" w:color="auto" w:fill="F7F7F7"/>
        </w:rPr>
        <w:br w:type="textWrapping"/>
      </w:r>
      <w:r>
        <w:rPr>
          <w:rFonts w:ascii="宋体" w:hAnsi="宋体" w:cs="宋体"/>
          <w:color w:val="auto"/>
          <w:szCs w:val="21"/>
          <w:highlight w:val="none"/>
        </w:rPr>
        <w:t>   质疑联系人：</w:t>
      </w:r>
      <w:r>
        <w:rPr>
          <w:rFonts w:ascii="宋体" w:hAnsi="宋体" w:cs="宋体"/>
          <w:color w:val="auto"/>
          <w:szCs w:val="21"/>
          <w:highlight w:val="none"/>
          <w:u w:val="single"/>
        </w:rPr>
        <w:t>童昌兴</w:t>
      </w:r>
    </w:p>
    <w:p>
      <w:pPr>
        <w:widowControl/>
        <w:adjustRightInd w:val="0"/>
        <w:snapToGrid w:val="0"/>
        <w:spacing w:line="360" w:lineRule="auto"/>
        <w:ind w:firstLine="420" w:firstLineChars="200"/>
        <w:jc w:val="left"/>
        <w:rPr>
          <w:rFonts w:hint="default" w:ascii="宋体" w:hAnsi="宋体" w:cs="宋体"/>
          <w:b/>
          <w:bCs/>
          <w:color w:val="auto"/>
          <w:szCs w:val="21"/>
          <w:highlight w:val="none"/>
        </w:rPr>
      </w:pPr>
      <w:r>
        <w:rPr>
          <w:rFonts w:ascii="宋体" w:hAnsi="宋体" w:cs="宋体"/>
          <w:color w:val="auto"/>
          <w:szCs w:val="21"/>
          <w:highlight w:val="none"/>
        </w:rPr>
        <w:t>质疑联系方式：</w:t>
      </w:r>
      <w:r>
        <w:rPr>
          <w:rFonts w:ascii="宋体" w:hAnsi="宋体" w:cs="宋体"/>
          <w:color w:val="auto"/>
          <w:kern w:val="0"/>
          <w:szCs w:val="21"/>
          <w:highlight w:val="none"/>
          <w:u w:val="single"/>
        </w:rPr>
        <w:t>0571-81995009</w:t>
      </w:r>
      <w:r>
        <w:rPr>
          <w:rFonts w:ascii="宋体" w:hAnsi="宋体" w:cs="宋体"/>
          <w:color w:val="auto"/>
          <w:szCs w:val="21"/>
          <w:highlight w:val="none"/>
        </w:rPr>
        <w:br w:type="textWrapping"/>
      </w:r>
      <w:r>
        <w:rPr>
          <w:rFonts w:ascii="宋体" w:hAnsi="宋体" w:cs="宋体"/>
          <w:b/>
          <w:bCs/>
          <w:color w:val="auto"/>
          <w:szCs w:val="21"/>
          <w:highlight w:val="none"/>
        </w:rPr>
        <w:t>2.采购代理机构信息</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名    称： </w:t>
      </w:r>
      <w:r>
        <w:rPr>
          <w:rFonts w:ascii="宋体" w:hAnsi="宋体" w:cs="宋体"/>
          <w:color w:val="auto"/>
          <w:szCs w:val="21"/>
          <w:highlight w:val="none"/>
          <w:u w:val="single"/>
        </w:rPr>
        <w:t>浙江国际招（投）标公司 </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地    址： </w:t>
      </w:r>
      <w:r>
        <w:rPr>
          <w:rFonts w:ascii="宋体" w:hAnsi="宋体" w:cs="宋体"/>
          <w:color w:val="auto"/>
          <w:szCs w:val="21"/>
          <w:highlight w:val="none"/>
          <w:u w:val="single"/>
        </w:rPr>
        <w:t>杭州市文三路90号东部软件园</w:t>
      </w:r>
      <w:r>
        <w:rPr>
          <w:rFonts w:hint="eastAsia" w:ascii="宋体" w:hAnsi="宋体" w:cs="宋体"/>
          <w:color w:val="auto"/>
          <w:szCs w:val="21"/>
          <w:highlight w:val="none"/>
          <w:u w:val="single"/>
          <w:lang w:val="en-US" w:eastAsia="zh-CN"/>
        </w:rPr>
        <w:t>1</w:t>
      </w:r>
      <w:r>
        <w:rPr>
          <w:rFonts w:ascii="宋体" w:hAnsi="宋体" w:cs="宋体"/>
          <w:color w:val="auto"/>
          <w:szCs w:val="21"/>
          <w:highlight w:val="none"/>
          <w:u w:val="single"/>
        </w:rPr>
        <w:t>号楼</w:t>
      </w:r>
      <w:r>
        <w:rPr>
          <w:rFonts w:hint="eastAsia" w:ascii="宋体" w:hAnsi="宋体" w:cs="宋体"/>
          <w:color w:val="auto"/>
          <w:szCs w:val="21"/>
          <w:highlight w:val="none"/>
          <w:u w:val="single"/>
          <w:lang w:val="en-US" w:eastAsia="zh-CN"/>
        </w:rPr>
        <w:t>3</w:t>
      </w:r>
      <w:r>
        <w:rPr>
          <w:rFonts w:ascii="宋体" w:hAnsi="宋体" w:cs="宋体"/>
          <w:color w:val="auto"/>
          <w:szCs w:val="21"/>
          <w:highlight w:val="none"/>
          <w:u w:val="single"/>
        </w:rPr>
        <w:t>楼</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传    真：</w:t>
      </w:r>
      <w:r>
        <w:rPr>
          <w:rFonts w:ascii="宋体" w:hAnsi="宋体" w:cs="宋体"/>
          <w:color w:val="auto"/>
          <w:szCs w:val="21"/>
          <w:highlight w:val="none"/>
          <w:u w:val="single"/>
        </w:rPr>
        <w:t>0571-88473411</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项目联系人（询问）：</w:t>
      </w:r>
      <w:r>
        <w:rPr>
          <w:rFonts w:ascii="宋体" w:hAnsi="宋体" w:cs="宋体"/>
          <w:color w:val="auto"/>
          <w:szCs w:val="21"/>
          <w:highlight w:val="none"/>
          <w:u w:val="single"/>
        </w:rPr>
        <w:t>赵娟</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项目联系方式（询问）：</w:t>
      </w:r>
      <w:r>
        <w:rPr>
          <w:rFonts w:ascii="宋体" w:hAnsi="宋体" w:cs="宋体"/>
          <w:color w:val="auto"/>
          <w:szCs w:val="21"/>
          <w:highlight w:val="none"/>
          <w:u w:val="single"/>
        </w:rPr>
        <w:t>0571-81061819</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质疑联系人：</w:t>
      </w:r>
      <w:r>
        <w:rPr>
          <w:rFonts w:ascii="宋体" w:hAnsi="宋体" w:cs="宋体"/>
          <w:color w:val="auto"/>
          <w:szCs w:val="21"/>
          <w:highlight w:val="none"/>
          <w:u w:val="single"/>
        </w:rPr>
        <w:t>张彦波</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质疑联系方式：</w:t>
      </w:r>
      <w:r>
        <w:rPr>
          <w:rFonts w:ascii="宋体" w:hAnsi="宋体" w:cs="宋体"/>
          <w:color w:val="auto"/>
          <w:szCs w:val="21"/>
          <w:highlight w:val="none"/>
          <w:u w:val="single"/>
        </w:rPr>
        <w:t>0571-81061820</w:t>
      </w:r>
    </w:p>
    <w:p>
      <w:pPr>
        <w:widowControl/>
        <w:adjustRightInd w:val="0"/>
        <w:snapToGrid w:val="0"/>
        <w:spacing w:line="360" w:lineRule="auto"/>
        <w:ind w:left="420" w:hanging="420" w:hangingChars="200"/>
        <w:jc w:val="left"/>
        <w:rPr>
          <w:rFonts w:hint="default" w:ascii="宋体" w:hAnsi="宋体" w:cs="宋体"/>
          <w:b/>
          <w:bCs/>
          <w:color w:val="auto"/>
          <w:szCs w:val="21"/>
          <w:highlight w:val="none"/>
        </w:rPr>
      </w:pPr>
      <w:r>
        <w:rPr>
          <w:rFonts w:ascii="宋体" w:hAnsi="宋体" w:cs="宋体"/>
          <w:color w:val="auto"/>
          <w:szCs w:val="21"/>
          <w:highlight w:val="none"/>
        </w:rPr>
        <w:t> </w:t>
      </w:r>
      <w:r>
        <w:rPr>
          <w:rFonts w:ascii="宋体" w:hAnsi="宋体" w:cs="宋体"/>
          <w:b/>
          <w:bCs/>
          <w:color w:val="auto"/>
          <w:szCs w:val="21"/>
          <w:highlight w:val="none"/>
        </w:rPr>
        <w:t>3.同级政府采购监督管理部门</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名    称：杭州市财政局政府采购监管处</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地    址：</w:t>
      </w:r>
      <w:r>
        <w:rPr>
          <w:rFonts w:ascii="宋体" w:hAnsi="宋体" w:cs="宋体"/>
          <w:color w:val="auto"/>
          <w:kern w:val="0"/>
          <w:szCs w:val="21"/>
          <w:highlight w:val="none"/>
        </w:rPr>
        <w:t>杭州市中河中路152号617办公室</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传    真：</w:t>
      </w:r>
      <w:r>
        <w:rPr>
          <w:rFonts w:ascii="宋体" w:hAnsi="宋体" w:cs="宋体"/>
          <w:color w:val="auto"/>
          <w:kern w:val="0"/>
          <w:szCs w:val="21"/>
          <w:highlight w:val="none"/>
        </w:rPr>
        <w:t>0571-87715261</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联系人 ：</w:t>
      </w:r>
      <w:r>
        <w:rPr>
          <w:rFonts w:ascii="宋体" w:hAnsi="宋体" w:cs="宋体"/>
          <w:color w:val="auto"/>
          <w:kern w:val="0"/>
          <w:szCs w:val="21"/>
          <w:highlight w:val="none"/>
        </w:rPr>
        <w:t>吕先生</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监督投诉电话：</w:t>
      </w:r>
      <w:r>
        <w:rPr>
          <w:rFonts w:ascii="宋体" w:hAnsi="宋体" w:cs="宋体"/>
          <w:color w:val="auto"/>
          <w:kern w:val="0"/>
          <w:szCs w:val="21"/>
          <w:highlight w:val="none"/>
        </w:rPr>
        <w:t>0571-87715261</w:t>
      </w:r>
    </w:p>
    <w:bookmarkEnd w:id="2"/>
    <w:bookmarkEnd w:id="3"/>
    <w:bookmarkEnd w:id="4"/>
    <w:p>
      <w:pPr>
        <w:widowControl/>
        <w:tabs>
          <w:tab w:val="left" w:pos="8647"/>
        </w:tabs>
        <w:adjustRightInd w:val="0"/>
        <w:snapToGrid w:val="0"/>
        <w:spacing w:line="360" w:lineRule="auto"/>
        <w:ind w:right="-59" w:firstLine="420" w:firstLineChars="200"/>
        <w:jc w:val="right"/>
        <w:rPr>
          <w:rFonts w:hint="default" w:ascii="宋体" w:hAnsi="宋体" w:cs="宋体"/>
          <w:color w:val="auto"/>
          <w:kern w:val="0"/>
          <w:szCs w:val="21"/>
          <w:highlight w:val="none"/>
        </w:rPr>
      </w:pPr>
    </w:p>
    <w:p>
      <w:pPr>
        <w:widowControl/>
        <w:tabs>
          <w:tab w:val="left" w:pos="8647"/>
        </w:tabs>
        <w:adjustRightInd w:val="0"/>
        <w:snapToGrid w:val="0"/>
        <w:spacing w:line="360" w:lineRule="auto"/>
        <w:ind w:right="-59" w:firstLine="420" w:firstLineChars="200"/>
        <w:jc w:val="right"/>
        <w:rPr>
          <w:rFonts w:hint="default" w:ascii="宋体" w:hAnsi="宋体" w:cs="宋体"/>
          <w:color w:val="auto"/>
          <w:kern w:val="0"/>
          <w:szCs w:val="21"/>
          <w:highlight w:val="none"/>
        </w:rPr>
      </w:pPr>
    </w:p>
    <w:p>
      <w:pPr>
        <w:widowControl/>
        <w:tabs>
          <w:tab w:val="left" w:pos="8647"/>
        </w:tabs>
        <w:adjustRightInd w:val="0"/>
        <w:snapToGrid w:val="0"/>
        <w:spacing w:line="360" w:lineRule="auto"/>
        <w:ind w:right="-59"/>
        <w:jc w:val="center"/>
        <w:rPr>
          <w:rFonts w:hint="default" w:ascii="宋体" w:hAnsi="宋体" w:cs="宋体"/>
          <w:b/>
          <w:color w:val="auto"/>
          <w:sz w:val="30"/>
          <w:szCs w:val="30"/>
          <w:highlight w:val="none"/>
        </w:rPr>
      </w:pPr>
      <w:r>
        <w:rPr>
          <w:rFonts w:ascii="宋体" w:hAnsi="宋体" w:cs="宋体"/>
          <w:b/>
          <w:bCs/>
          <w:color w:val="auto"/>
          <w:sz w:val="28"/>
          <w:szCs w:val="21"/>
          <w:highlight w:val="none"/>
        </w:rPr>
        <w:br w:type="page"/>
      </w:r>
      <w:r>
        <w:rPr>
          <w:rFonts w:ascii="宋体" w:hAnsi="宋体" w:cs="宋体"/>
          <w:b/>
          <w:color w:val="auto"/>
          <w:sz w:val="30"/>
          <w:szCs w:val="30"/>
          <w:highlight w:val="none"/>
        </w:rPr>
        <w:t>前 附 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vAlign w:val="center"/>
          </w:tcPr>
          <w:p>
            <w:pPr>
              <w:adjustRightInd w:val="0"/>
              <w:jc w:val="center"/>
              <w:rPr>
                <w:rFonts w:hint="default" w:ascii="宋体" w:hAnsi="宋体" w:cs="宋体"/>
                <w:b/>
                <w:bCs/>
                <w:color w:val="auto"/>
                <w:szCs w:val="21"/>
                <w:highlight w:val="none"/>
              </w:rPr>
            </w:pPr>
            <w:r>
              <w:rPr>
                <w:rFonts w:ascii="宋体" w:hAnsi="宋体" w:cs="宋体"/>
                <w:b/>
                <w:bCs/>
                <w:color w:val="auto"/>
                <w:szCs w:val="21"/>
                <w:highlight w:val="none"/>
              </w:rPr>
              <w:t>序号</w:t>
            </w:r>
          </w:p>
        </w:tc>
        <w:tc>
          <w:tcPr>
            <w:tcW w:w="1800" w:type="dxa"/>
            <w:vAlign w:val="center"/>
          </w:tcPr>
          <w:p>
            <w:pPr>
              <w:adjustRightInd w:val="0"/>
              <w:jc w:val="center"/>
              <w:rPr>
                <w:rFonts w:hint="default" w:ascii="宋体" w:hAnsi="宋体" w:cs="宋体"/>
                <w:b/>
                <w:bCs/>
                <w:color w:val="auto"/>
                <w:szCs w:val="21"/>
                <w:highlight w:val="none"/>
              </w:rPr>
            </w:pPr>
            <w:r>
              <w:rPr>
                <w:rFonts w:ascii="宋体" w:hAnsi="宋体" w:cs="宋体"/>
                <w:b/>
                <w:bCs/>
                <w:color w:val="auto"/>
                <w:szCs w:val="21"/>
                <w:highlight w:val="none"/>
              </w:rPr>
              <w:t>项   目</w:t>
            </w:r>
          </w:p>
        </w:tc>
        <w:tc>
          <w:tcPr>
            <w:tcW w:w="6383" w:type="dxa"/>
            <w:vAlign w:val="center"/>
          </w:tcPr>
          <w:p>
            <w:pPr>
              <w:adjustRightInd w:val="0"/>
              <w:jc w:val="center"/>
              <w:rPr>
                <w:rFonts w:hint="default" w:ascii="宋体" w:hAnsi="宋体" w:cs="宋体"/>
                <w:b/>
                <w:bCs/>
                <w:color w:val="auto"/>
                <w:szCs w:val="21"/>
                <w:highlight w:val="none"/>
              </w:rPr>
            </w:pPr>
            <w:r>
              <w:rPr>
                <w:rFonts w:ascii="宋体" w:hAnsi="宋体" w:cs="宋体"/>
                <w:b/>
                <w:bCs/>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项目名称</w:t>
            </w:r>
          </w:p>
        </w:tc>
        <w:tc>
          <w:tcPr>
            <w:tcW w:w="6383" w:type="dxa"/>
            <w:vAlign w:val="center"/>
          </w:tcPr>
          <w:p>
            <w:pPr>
              <w:snapToGrid w:val="0"/>
              <w:spacing w:line="32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杭州市质量技术监督检测院</w:t>
            </w:r>
            <w:r>
              <w:rPr>
                <w:rFonts w:hint="eastAsia" w:ascii="宋体" w:hAnsi="宋体" w:cs="宋体"/>
                <w:color w:val="auto"/>
                <w:highlight w:val="none"/>
                <w:lang w:eastAsia="zh-CN"/>
              </w:rPr>
              <w:t>气相色谱仪和电感耦合等离子体发射光谱仪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项目编号</w:t>
            </w:r>
          </w:p>
        </w:tc>
        <w:tc>
          <w:tcPr>
            <w:tcW w:w="6383" w:type="dxa"/>
            <w:vAlign w:val="center"/>
          </w:tcPr>
          <w:p>
            <w:pPr>
              <w:snapToGrid w:val="0"/>
              <w:spacing w:line="320" w:lineRule="exact"/>
              <w:rPr>
                <w:rFonts w:hint="eastAsia" w:ascii="宋体" w:hAnsi="宋体" w:eastAsia="宋体" w:cs="宋体"/>
                <w:bCs/>
                <w:color w:val="auto"/>
                <w:szCs w:val="21"/>
                <w:highlight w:val="none"/>
                <w:lang w:eastAsia="zh-CN"/>
              </w:rPr>
            </w:pPr>
            <w:r>
              <w:rPr>
                <w:rFonts w:ascii="宋体" w:hAnsi="宋体" w:cs="宋体"/>
                <w:bCs/>
                <w:color w:val="auto"/>
                <w:szCs w:val="21"/>
                <w:highlight w:val="none"/>
              </w:rPr>
              <w:t>ZJ-</w:t>
            </w:r>
            <w:r>
              <w:rPr>
                <w:rFonts w:hint="eastAsia" w:ascii="宋体" w:hAnsi="宋体" w:cs="宋体"/>
                <w:bCs/>
                <w:color w:val="auto"/>
                <w:szCs w:val="21"/>
                <w:highlight w:val="none"/>
                <w:lang w:eastAsia="zh-CN"/>
              </w:rPr>
              <w:t>2141791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3</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采购方式</w:t>
            </w:r>
          </w:p>
        </w:tc>
        <w:tc>
          <w:tcPr>
            <w:tcW w:w="6383" w:type="dxa"/>
            <w:vAlign w:val="center"/>
          </w:tcPr>
          <w:p>
            <w:pPr>
              <w:snapToGrid w:val="0"/>
              <w:spacing w:line="320" w:lineRule="exact"/>
              <w:rPr>
                <w:rFonts w:hint="default" w:ascii="宋体" w:hAnsi="宋体" w:cs="宋体"/>
                <w:bCs/>
                <w:color w:val="auto"/>
                <w:szCs w:val="21"/>
                <w:highlight w:val="none"/>
              </w:rPr>
            </w:pPr>
            <w:r>
              <w:rPr>
                <w:rFonts w:ascii="宋体" w:hAnsi="宋体" w:cs="宋体"/>
                <w:bCs/>
                <w:color w:val="auto"/>
                <w:szCs w:val="21"/>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4</w:t>
            </w:r>
          </w:p>
        </w:tc>
        <w:tc>
          <w:tcPr>
            <w:tcW w:w="1800"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交货地点</w:t>
            </w:r>
          </w:p>
        </w:tc>
        <w:tc>
          <w:tcPr>
            <w:tcW w:w="6383" w:type="dxa"/>
            <w:vAlign w:val="center"/>
          </w:tcPr>
          <w:p>
            <w:pPr>
              <w:adjustRightInd w:val="0"/>
              <w:rPr>
                <w:rFonts w:hint="default" w:ascii="宋体" w:hAnsi="宋体" w:cs="宋体"/>
                <w:color w:val="auto"/>
                <w:szCs w:val="21"/>
                <w:highlight w:val="none"/>
              </w:rPr>
            </w:pPr>
            <w:r>
              <w:rPr>
                <w:rFonts w:ascii="宋体" w:hAnsi="宋体" w:cs="宋体"/>
                <w:color w:val="auto"/>
                <w:kern w:val="0"/>
                <w:szCs w:val="21"/>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5</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采购内容</w:t>
            </w:r>
          </w:p>
        </w:tc>
        <w:tc>
          <w:tcPr>
            <w:tcW w:w="6383" w:type="dxa"/>
            <w:vAlign w:val="center"/>
          </w:tcPr>
          <w:p>
            <w:pPr>
              <w:widowControl/>
              <w:adjustRightInd w:val="0"/>
              <w:snapToGrid w:val="0"/>
              <w:jc w:val="left"/>
              <w:rPr>
                <w:rFonts w:hint="default" w:ascii="宋体" w:hAnsi="宋体" w:cs="宋体"/>
                <w:color w:val="auto"/>
                <w:szCs w:val="21"/>
                <w:highlight w:val="none"/>
              </w:rPr>
            </w:pPr>
            <w:r>
              <w:rPr>
                <w:rFonts w:ascii="宋体" w:hAnsi="宋体" w:cs="宋体"/>
                <w:color w:val="auto"/>
                <w:szCs w:val="21"/>
                <w:highlight w:val="none"/>
              </w:rPr>
              <w:t>详见采购文件第三部分。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6</w:t>
            </w:r>
          </w:p>
        </w:tc>
        <w:tc>
          <w:tcPr>
            <w:tcW w:w="1800" w:type="dxa"/>
            <w:vAlign w:val="center"/>
          </w:tcPr>
          <w:p>
            <w:pPr>
              <w:adjustRightInd w:val="0"/>
              <w:spacing w:line="340" w:lineRule="exact"/>
              <w:jc w:val="center"/>
              <w:rPr>
                <w:rFonts w:hint="default" w:ascii="宋体" w:hAnsi="宋体" w:cs="宋体"/>
                <w:snapToGrid w:val="0"/>
                <w:color w:val="auto"/>
                <w:kern w:val="0"/>
                <w:szCs w:val="21"/>
                <w:highlight w:val="none"/>
              </w:rPr>
            </w:pPr>
            <w:r>
              <w:rPr>
                <w:rFonts w:ascii="宋体" w:hAnsi="宋体" w:cs="宋体"/>
                <w:color w:val="auto"/>
                <w:kern w:val="0"/>
                <w:szCs w:val="21"/>
                <w:highlight w:val="none"/>
              </w:rPr>
              <w:t>交货时间</w:t>
            </w:r>
          </w:p>
        </w:tc>
        <w:tc>
          <w:tcPr>
            <w:tcW w:w="6383" w:type="dxa"/>
            <w:vAlign w:val="center"/>
          </w:tcPr>
          <w:p>
            <w:pPr>
              <w:spacing w:line="340" w:lineRule="exact"/>
              <w:rPr>
                <w:rFonts w:hint="default" w:ascii="宋体" w:hAnsi="宋体" w:cs="宋体"/>
                <w:bCs/>
                <w:snapToGrid w:val="0"/>
                <w:color w:val="auto"/>
                <w:kern w:val="0"/>
                <w:szCs w:val="21"/>
                <w:highlight w:val="none"/>
              </w:rPr>
            </w:pPr>
            <w:r>
              <w:rPr>
                <w:rFonts w:ascii="宋体" w:hAnsi="宋体" w:cs="宋体"/>
                <w:color w:val="auto"/>
                <w:kern w:val="0"/>
                <w:szCs w:val="21"/>
                <w:highlight w:val="none"/>
              </w:rPr>
              <w:t>国产设备的交货期为合同签订后60日历天，进口设备的交货期为合同签订后90日历天（采购需求中有特殊要求的按采购需求执行）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7</w:t>
            </w:r>
          </w:p>
        </w:tc>
        <w:tc>
          <w:tcPr>
            <w:tcW w:w="1800" w:type="dxa"/>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资金来源</w:t>
            </w:r>
          </w:p>
        </w:tc>
        <w:tc>
          <w:tcPr>
            <w:tcW w:w="6383" w:type="dxa"/>
            <w:vAlign w:val="center"/>
          </w:tcPr>
          <w:p>
            <w:pPr>
              <w:snapToGrid w:val="0"/>
              <w:rPr>
                <w:rFonts w:hint="default" w:ascii="宋体" w:hAnsi="宋体" w:cs="宋体"/>
                <w:color w:val="auto"/>
                <w:szCs w:val="21"/>
                <w:highlight w:val="none"/>
              </w:rPr>
            </w:pPr>
            <w:r>
              <w:rPr>
                <w:rFonts w:ascii="宋体" w:hAnsi="宋体" w:cs="宋体"/>
                <w:color w:val="auto"/>
                <w:szCs w:val="21"/>
                <w:highlight w:val="none"/>
              </w:rPr>
              <w:t>财政资金。</w:t>
            </w:r>
          </w:p>
          <w:p>
            <w:pPr>
              <w:snapToGrid w:val="0"/>
              <w:rPr>
                <w:rFonts w:hint="default" w:ascii="宋体" w:hAnsi="宋体" w:cs="宋体"/>
                <w:color w:val="auto"/>
                <w:szCs w:val="21"/>
                <w:highlight w:val="none"/>
              </w:rPr>
            </w:pPr>
            <w:r>
              <w:rPr>
                <w:rFonts w:ascii="宋体" w:hAnsi="宋体" w:cs="宋体"/>
                <w:color w:val="auto"/>
                <w:szCs w:val="21"/>
                <w:highlight w:val="none"/>
              </w:rPr>
              <w:t>采购计划文号：</w:t>
            </w:r>
            <w:r>
              <w:rPr>
                <w:rFonts w:hint="eastAsia" w:ascii="宋体" w:hAnsi="宋体" w:cs="宋体"/>
                <w:color w:val="auto"/>
                <w:szCs w:val="21"/>
                <w:highlight w:val="none"/>
              </w:rPr>
              <w:t>杭政采分-2021-01903[HZZFCG-YS-2021-07737]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8</w:t>
            </w:r>
          </w:p>
        </w:tc>
        <w:tc>
          <w:tcPr>
            <w:tcW w:w="1800" w:type="dxa"/>
            <w:vAlign w:val="center"/>
          </w:tcPr>
          <w:p>
            <w:pPr>
              <w:snapToGrid w:val="0"/>
              <w:spacing w:line="360" w:lineRule="exact"/>
              <w:jc w:val="center"/>
              <w:rPr>
                <w:rFonts w:hint="default" w:ascii="宋体" w:hAnsi="宋体" w:cs="宋体"/>
                <w:b/>
                <w:color w:val="auto"/>
                <w:szCs w:val="21"/>
                <w:highlight w:val="none"/>
              </w:rPr>
            </w:pPr>
            <w:r>
              <w:rPr>
                <w:rFonts w:ascii="宋体" w:hAnsi="宋体" w:cs="宋体"/>
                <w:b/>
                <w:color w:val="auto"/>
                <w:szCs w:val="21"/>
                <w:highlight w:val="none"/>
              </w:rPr>
              <w:t>▲采购预算</w:t>
            </w:r>
          </w:p>
        </w:tc>
        <w:tc>
          <w:tcPr>
            <w:tcW w:w="6383" w:type="dxa"/>
            <w:vAlign w:val="center"/>
          </w:tcPr>
          <w:p>
            <w:pPr>
              <w:snapToGrid w:val="0"/>
              <w:spacing w:line="320" w:lineRule="exact"/>
              <w:rPr>
                <w:rFonts w:hint="default" w:ascii="宋体" w:hAnsi="宋体" w:cs="宋体"/>
                <w:b/>
                <w:color w:val="auto"/>
                <w:szCs w:val="21"/>
                <w:highlight w:val="none"/>
              </w:rPr>
            </w:pPr>
            <w:r>
              <w:rPr>
                <w:rFonts w:ascii="宋体" w:hAnsi="宋体" w:cs="宋体"/>
                <w:b/>
                <w:color w:val="auto"/>
                <w:kern w:val="0"/>
                <w:szCs w:val="21"/>
                <w:highlight w:val="none"/>
              </w:rPr>
              <w:t>本项目采购预算详见采购公告。超过此预算的报价将作无效标处理。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9</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资格审查方式</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资格后审。</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10</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投标保证金</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11</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踏勘现场</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12</w:t>
            </w:r>
          </w:p>
        </w:tc>
        <w:tc>
          <w:tcPr>
            <w:tcW w:w="1800" w:type="dxa"/>
            <w:vAlign w:val="center"/>
          </w:tcPr>
          <w:p>
            <w:pPr>
              <w:snapToGrid w:val="0"/>
              <w:spacing w:line="36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招标答疑</w:t>
            </w:r>
          </w:p>
        </w:tc>
        <w:tc>
          <w:tcPr>
            <w:tcW w:w="6383" w:type="dxa"/>
            <w:vAlign w:val="center"/>
          </w:tcPr>
          <w:p>
            <w:pPr>
              <w:snapToGrid w:val="0"/>
              <w:spacing w:line="320" w:lineRule="exact"/>
              <w:rPr>
                <w:rFonts w:hint="default" w:ascii="宋体" w:hAnsi="宋体" w:cs="宋体"/>
                <w:snapToGrid w:val="0"/>
                <w:color w:val="auto"/>
                <w:kern w:val="0"/>
                <w:szCs w:val="21"/>
                <w:highlight w:val="none"/>
              </w:rPr>
            </w:pPr>
            <w:r>
              <w:rPr>
                <w:rFonts w:hint="default" w:ascii="宋体" w:hAnsi="宋体" w:cs="宋体"/>
                <w:snapToGrid w:val="0"/>
                <w:color w:val="auto"/>
                <w:kern w:val="0"/>
                <w:szCs w:val="21"/>
                <w:highlight w:val="none"/>
              </w:rPr>
              <w:t>供应商如认为采购文件表述不清晰的，必须在2021年</w:t>
            </w:r>
            <w:r>
              <w:rPr>
                <w:rFonts w:hint="eastAsia" w:ascii="宋体" w:hAnsi="宋体" w:cs="宋体"/>
                <w:snapToGrid w:val="0"/>
                <w:color w:val="auto"/>
                <w:kern w:val="0"/>
                <w:szCs w:val="21"/>
                <w:highlight w:val="none"/>
                <w:lang w:val="en-US" w:eastAsia="zh-CN"/>
              </w:rPr>
              <w:t>7</w:t>
            </w:r>
            <w:r>
              <w:rPr>
                <w:rFonts w:hint="default"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30</w:t>
            </w:r>
            <w:bookmarkStart w:id="242" w:name="_GoBack"/>
            <w:bookmarkEnd w:id="242"/>
            <w:r>
              <w:rPr>
                <w:rFonts w:hint="default" w:ascii="宋体" w:hAnsi="宋体" w:cs="宋体"/>
                <w:snapToGrid w:val="0"/>
                <w:color w:val="auto"/>
                <w:kern w:val="0"/>
                <w:szCs w:val="21"/>
                <w:highlight w:val="none"/>
              </w:rPr>
              <w:t>日17时之前、将要求答疑的问题传真0571－88473411,并发电子邮件至laoyaomm@126.com（电子邮件与书面文件有不一致的，一律以书面文件为准）。截止期后的疑问将不予受理、答复。答疑回复内容是采购文件的组成部份，并将以更正（澄清）公告形式告知所有已获取采购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13</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采购文件的澄清与修改</w:t>
            </w:r>
          </w:p>
        </w:tc>
        <w:tc>
          <w:tcPr>
            <w:tcW w:w="6383" w:type="dxa"/>
            <w:vAlign w:val="center"/>
          </w:tcPr>
          <w:p>
            <w:pPr>
              <w:snapToGrid w:val="0"/>
              <w:spacing w:line="320" w:lineRule="exact"/>
              <w:ind w:right="105" w:rightChars="50"/>
              <w:rPr>
                <w:rFonts w:hint="default" w:ascii="宋体" w:hAnsi="宋体" w:cs="宋体"/>
                <w:color w:val="auto"/>
                <w:szCs w:val="21"/>
                <w:highlight w:val="none"/>
              </w:rPr>
            </w:pPr>
            <w:r>
              <w:rPr>
                <w:rFonts w:hint="default" w:ascii="宋体" w:hAnsi="宋体" w:cs="宋体"/>
                <w:color w:val="auto"/>
                <w:szCs w:val="21"/>
                <w:highlight w:val="none"/>
              </w:rPr>
              <w:t>在投标截止时间15天前，采购人有权澄清和修改采购文件，并以更正（澄清）公告形式告知所有已获取采购文件的供应商。修改和澄清（答疑）答复的内容作为采购文件的补充和组成部分，对所有供应商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14</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投标文件形式</w:t>
            </w:r>
          </w:p>
        </w:tc>
        <w:tc>
          <w:tcPr>
            <w:tcW w:w="6383" w:type="dxa"/>
            <w:vAlign w:val="center"/>
          </w:tcPr>
          <w:p>
            <w:pPr>
              <w:snapToGrid w:val="0"/>
              <w:spacing w:line="320" w:lineRule="exact"/>
              <w:ind w:right="105" w:rightChars="50"/>
              <w:rPr>
                <w:rFonts w:hint="default" w:ascii="宋体" w:hAnsi="宋体" w:cs="宋体"/>
                <w:color w:val="auto"/>
                <w:szCs w:val="21"/>
                <w:highlight w:val="none"/>
              </w:rPr>
            </w:pPr>
            <w:r>
              <w:rPr>
                <w:rFonts w:ascii="宋体" w:hAnsi="宋体" w:cs="宋体"/>
                <w:color w:val="auto"/>
                <w:szCs w:val="21"/>
                <w:highlight w:val="none"/>
              </w:rPr>
              <w:t>投标文件包括“电子加密投标文件”和“备份投标文件”，在投标文件编制完成后同时生成。</w:t>
            </w:r>
          </w:p>
          <w:p>
            <w:pPr>
              <w:numPr>
                <w:ilvl w:val="0"/>
                <w:numId w:val="2"/>
              </w:numPr>
              <w:snapToGrid w:val="0"/>
              <w:spacing w:line="320" w:lineRule="exact"/>
              <w:rPr>
                <w:rFonts w:hint="default" w:ascii="宋体" w:hAnsi="宋体" w:cs="宋体"/>
                <w:color w:val="auto"/>
                <w:szCs w:val="21"/>
                <w:highlight w:val="none"/>
              </w:rPr>
            </w:pPr>
            <w:r>
              <w:rPr>
                <w:rFonts w:hint="default" w:ascii="宋体" w:hAnsi="宋体" w:cs="宋体"/>
                <w:color w:val="auto"/>
                <w:szCs w:val="21"/>
                <w:highlight w:val="none"/>
              </w:rPr>
              <w:t>“电子加密投标文件”是指通过“政采云电子交易客户端”完成投标文件编制后生成并加密的数据电文形式的投标文件。</w:t>
            </w:r>
          </w:p>
          <w:p>
            <w:pPr>
              <w:numPr>
                <w:ilvl w:val="0"/>
                <w:numId w:val="2"/>
              </w:numPr>
              <w:snapToGrid w:val="0"/>
              <w:spacing w:line="320" w:lineRule="exact"/>
              <w:rPr>
                <w:rFonts w:hint="default" w:ascii="宋体" w:hAnsi="宋体" w:cs="宋体"/>
                <w:color w:val="auto"/>
                <w:szCs w:val="21"/>
                <w:highlight w:val="none"/>
              </w:rPr>
            </w:pPr>
            <w:r>
              <w:rPr>
                <w:rFonts w:hint="default" w:ascii="宋体" w:hAnsi="宋体" w:cs="宋体"/>
                <w:color w:val="auto"/>
                <w:szCs w:val="21"/>
                <w:highlight w:val="none"/>
              </w:rPr>
              <w:t>“备份投标文件”是指与“电子加密投标文件”同时生成的数据电文形式的电子文件（用于供应商标书解密异常时应急使用），其他方式编制的备份投标文件视为无效备份投标文件。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15</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投标文件份数</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1.一份电子加密标书（后缀格式为.jmbs）</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2.一份备份投标文件（后缀格式为.bfbs）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648" w:type="dxa"/>
            <w:vMerge w:val="restart"/>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16</w:t>
            </w:r>
          </w:p>
        </w:tc>
        <w:tc>
          <w:tcPr>
            <w:tcW w:w="1800" w:type="dxa"/>
            <w:vMerge w:val="restart"/>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投标文件的上传和递交</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1.电子加密投标文件：投标文件制作完成并生成加密标书，在投标截止时间前，供应商需将加密的投标文件上传至政采云平台，在开标时间开始后30分钟内，解密投标文件。</w:t>
            </w:r>
          </w:p>
          <w:p>
            <w:pPr>
              <w:snapToGrid w:val="0"/>
              <w:spacing w:line="320" w:lineRule="exact"/>
              <w:rPr>
                <w:rFonts w:hint="default" w:ascii="宋体" w:hAnsi="宋体" w:cs="宋体"/>
                <w:b/>
                <w:bCs/>
                <w:color w:val="auto"/>
                <w:szCs w:val="21"/>
                <w:highlight w:val="none"/>
              </w:rPr>
            </w:pPr>
            <w:r>
              <w:rPr>
                <w:rFonts w:ascii="宋体" w:hAnsi="宋体" w:cs="宋体"/>
                <w:b/>
                <w:bCs/>
                <w:color w:val="auto"/>
                <w:szCs w:val="21"/>
                <w:highlight w:val="none"/>
              </w:rPr>
              <w:t>a.供应商应未能投标截止时间前成功上传电子加密投标文件的投标无效。</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2" w:hRule="atLeast"/>
          <w:jc w:val="center"/>
        </w:trPr>
        <w:tc>
          <w:tcPr>
            <w:tcW w:w="648" w:type="dxa"/>
            <w:vMerge w:val="continue"/>
            <w:vAlign w:val="center"/>
          </w:tcPr>
          <w:p>
            <w:pPr>
              <w:adjustRightInd w:val="0"/>
              <w:jc w:val="center"/>
              <w:rPr>
                <w:rFonts w:hint="default" w:ascii="宋体" w:hAnsi="宋体" w:cs="宋体"/>
                <w:color w:val="auto"/>
                <w:szCs w:val="21"/>
                <w:highlight w:val="none"/>
              </w:rPr>
            </w:pPr>
          </w:p>
        </w:tc>
        <w:tc>
          <w:tcPr>
            <w:tcW w:w="1800" w:type="dxa"/>
            <w:vMerge w:val="continue"/>
            <w:vAlign w:val="center"/>
          </w:tcPr>
          <w:p>
            <w:pPr>
              <w:snapToGrid w:val="0"/>
              <w:spacing w:line="360" w:lineRule="exact"/>
              <w:jc w:val="center"/>
              <w:rPr>
                <w:rFonts w:hint="default" w:ascii="宋体" w:hAnsi="宋体" w:cs="宋体"/>
                <w:color w:val="auto"/>
                <w:szCs w:val="21"/>
                <w:highlight w:val="none"/>
              </w:rPr>
            </w:pP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2.备份投标文件：供应商确保在投标截止时间前，将备份投标文件通过快递形式寄达采购代理机构处，以便标书解密异常时应急使用（邮寄地址：杭州市文三路90号东部软件园</w:t>
            </w:r>
            <w:r>
              <w:rPr>
                <w:rFonts w:hint="eastAsia" w:ascii="宋体" w:hAnsi="宋体" w:cs="宋体"/>
                <w:color w:val="auto"/>
                <w:szCs w:val="21"/>
                <w:highlight w:val="none"/>
                <w:lang w:val="en-US" w:eastAsia="zh-CN"/>
              </w:rPr>
              <w:t>1</w:t>
            </w:r>
            <w:r>
              <w:rPr>
                <w:rFonts w:ascii="宋体" w:hAnsi="宋体" w:cs="宋体"/>
                <w:color w:val="auto"/>
                <w:szCs w:val="21"/>
                <w:highlight w:val="none"/>
              </w:rPr>
              <w:t>号楼</w:t>
            </w:r>
            <w:r>
              <w:rPr>
                <w:rFonts w:hint="eastAsia" w:ascii="宋体" w:hAnsi="宋体" w:cs="宋体"/>
                <w:color w:val="auto"/>
                <w:szCs w:val="21"/>
                <w:highlight w:val="none"/>
                <w:lang w:val="en-US" w:eastAsia="zh-CN"/>
              </w:rPr>
              <w:t>3楼319</w:t>
            </w:r>
            <w:r>
              <w:rPr>
                <w:rFonts w:ascii="宋体" w:hAnsi="宋体" w:cs="宋体"/>
                <w:color w:val="auto"/>
                <w:szCs w:val="21"/>
                <w:highlight w:val="none"/>
              </w:rPr>
              <w:t>室，接收人：赵娟，电话：0571-81061819）。</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a.备份投标文件递交要求：供应商须将备份投标文件以U盘形式放在密封袋中，密封后并在密封袋上注明投标项目名称、投标单位名称并加盖公章。未密封包装或者逾期邮寄送达的“备份投标文件”将不予接收。</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648" w:type="dxa"/>
            <w:vMerge w:val="continue"/>
            <w:vAlign w:val="center"/>
          </w:tcPr>
          <w:p>
            <w:pPr>
              <w:adjustRightInd w:val="0"/>
              <w:jc w:val="center"/>
              <w:rPr>
                <w:rFonts w:hint="default" w:ascii="宋体" w:hAnsi="宋体" w:cs="宋体"/>
                <w:color w:val="auto"/>
                <w:szCs w:val="21"/>
                <w:highlight w:val="none"/>
              </w:rPr>
            </w:pPr>
          </w:p>
        </w:tc>
        <w:tc>
          <w:tcPr>
            <w:tcW w:w="1800" w:type="dxa"/>
            <w:vMerge w:val="continue"/>
            <w:vAlign w:val="center"/>
          </w:tcPr>
          <w:p>
            <w:pPr>
              <w:snapToGrid w:val="0"/>
              <w:spacing w:line="360" w:lineRule="exact"/>
              <w:jc w:val="center"/>
              <w:rPr>
                <w:rFonts w:hint="default" w:ascii="宋体" w:hAnsi="宋体" w:cs="宋体"/>
                <w:color w:val="auto"/>
                <w:szCs w:val="21"/>
                <w:highlight w:val="none"/>
              </w:rPr>
            </w:pP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3.电子加密投标文件的解密和异常情况处理：</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a.开标后，各供应商代表应当在限定时间内自行完成“电子加密投标文件”的在线解密。</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b.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c.投标截止时间前，供应商仅递交了“备份投标文件”而未将电子加密投标文件上传至“政府采购云平台”的，投标无效。</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d.供应商应同时提递交电子加密投标文件、备份投标文件，如出现投标文件不一致以电子加密投标文件为准。</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e.供应商上传了电子加密投标文件，未提供备份投标文件，解密出现问题后，由此导致对该供应商投标无法评审的，其后果由该供应商自行承担。</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f.各供应商自行在浙江政府采购网下载或查阅采购文件和相关更正公告等，不另行通知，如有遗漏采购人、采购代理机构概不负责。</w:t>
            </w:r>
          </w:p>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g.不同单位的投标文件若由同一台电脑制作，后果由供应商自行承担。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17</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投标文件、流程文件签章</w:t>
            </w:r>
          </w:p>
        </w:tc>
        <w:tc>
          <w:tcPr>
            <w:tcW w:w="6383" w:type="dxa"/>
            <w:vAlign w:val="center"/>
          </w:tcPr>
          <w:p>
            <w:pPr>
              <w:numPr>
                <w:ilvl w:val="0"/>
                <w:numId w:val="3"/>
              </w:num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电子投标文件必须有电子签章；</w:t>
            </w:r>
          </w:p>
          <w:p>
            <w:pPr>
              <w:numPr>
                <w:ilvl w:val="0"/>
                <w:numId w:val="3"/>
              </w:num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开标后，相关信息记录确认、澄清说明、回复等内容，电子签章、或者签章后上传相关文件，均认可；</w:t>
            </w:r>
          </w:p>
          <w:p>
            <w:pPr>
              <w:pStyle w:val="2"/>
              <w:numPr>
                <w:ilvl w:val="0"/>
                <w:numId w:val="3"/>
              </w:numPr>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18</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评标办法</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19</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开标时间</w:t>
            </w:r>
          </w:p>
        </w:tc>
        <w:tc>
          <w:tcPr>
            <w:tcW w:w="6383" w:type="dxa"/>
            <w:vAlign w:val="center"/>
          </w:tcPr>
          <w:p>
            <w:pPr>
              <w:adjustRightInd w:val="0"/>
              <w:snapToGrid w:val="0"/>
              <w:spacing w:line="320" w:lineRule="exact"/>
              <w:ind w:left="15" w:hanging="14" w:hangingChars="7"/>
              <w:rPr>
                <w:rFonts w:hint="default" w:ascii="宋体" w:hAnsi="宋体" w:cs="宋体"/>
                <w:color w:val="auto"/>
                <w:szCs w:val="21"/>
                <w:highlight w:val="none"/>
              </w:rPr>
            </w:pPr>
            <w:r>
              <w:rPr>
                <w:rFonts w:hint="default" w:ascii="宋体" w:hAnsi="宋体" w:cs="宋体"/>
                <w:color w:val="auto"/>
                <w:szCs w:val="21"/>
                <w:highlight w:val="none"/>
              </w:rPr>
              <w:t>2021年</w:t>
            </w:r>
            <w:r>
              <w:rPr>
                <w:rFonts w:hint="eastAsia" w:ascii="宋体" w:hAnsi="宋体" w:cs="宋体"/>
                <w:color w:val="auto"/>
                <w:szCs w:val="21"/>
                <w:highlight w:val="none"/>
                <w:lang w:val="en-US" w:eastAsia="zh-CN"/>
              </w:rPr>
              <w:t>8月11日</w:t>
            </w:r>
            <w:r>
              <w:rPr>
                <w:rFonts w:hint="default" w:ascii="宋体" w:hAnsi="宋体" w:cs="宋体"/>
                <w:color w:val="auto"/>
                <w:szCs w:val="21"/>
                <w:highlight w:val="none"/>
              </w:rPr>
              <w:t>09:00:00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20</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开标程序</w:t>
            </w:r>
          </w:p>
        </w:tc>
        <w:tc>
          <w:tcPr>
            <w:tcW w:w="6383" w:type="dxa"/>
            <w:vAlign w:val="center"/>
          </w:tcPr>
          <w:p>
            <w:pPr>
              <w:adjustRightInd w:val="0"/>
              <w:snapToGrid w:val="0"/>
              <w:spacing w:line="320" w:lineRule="exact"/>
              <w:ind w:left="15" w:hanging="14" w:hangingChars="7"/>
              <w:rPr>
                <w:rFonts w:hint="default" w:ascii="宋体" w:hAnsi="宋体" w:cs="宋体"/>
                <w:color w:val="auto"/>
                <w:szCs w:val="21"/>
                <w:highlight w:val="none"/>
              </w:rPr>
            </w:pPr>
            <w:r>
              <w:rPr>
                <w:rFonts w:ascii="宋体" w:hAnsi="宋体" w:cs="宋体"/>
                <w:color w:val="auto"/>
                <w:szCs w:val="21"/>
                <w:highlight w:val="none"/>
              </w:rPr>
              <w:t>1.开标后，采购代理机构点击【开始解密】，供应商应在30分钟内完成解密。供应商在规定的时间内都已完成解密，则系统自动结束解密；供应商超过解密时限，默认自动放弃；</w:t>
            </w:r>
          </w:p>
          <w:p>
            <w:pPr>
              <w:adjustRightInd w:val="0"/>
              <w:snapToGrid w:val="0"/>
              <w:spacing w:line="320" w:lineRule="exact"/>
              <w:ind w:left="15" w:hanging="14" w:hangingChars="7"/>
              <w:rPr>
                <w:rFonts w:hint="default" w:ascii="宋体" w:hAnsi="宋体" w:cs="宋体"/>
                <w:color w:val="auto"/>
                <w:szCs w:val="21"/>
                <w:highlight w:val="none"/>
              </w:rPr>
            </w:pPr>
            <w:r>
              <w:rPr>
                <w:rFonts w:ascii="宋体" w:hAnsi="宋体" w:cs="宋体"/>
                <w:color w:val="auto"/>
                <w:szCs w:val="21"/>
                <w:highlight w:val="none"/>
              </w:rPr>
              <w:t>2.解密不成功时，如投标供应商已按规定递交了“备份投标文件”的，采购代理机构通过【异常处理】端口对备份投标文件上传、解密；</w:t>
            </w:r>
          </w:p>
          <w:p>
            <w:pPr>
              <w:adjustRightInd w:val="0"/>
              <w:snapToGrid w:val="0"/>
              <w:spacing w:line="320" w:lineRule="exact"/>
              <w:ind w:left="15" w:hanging="14" w:hangingChars="7"/>
              <w:rPr>
                <w:rFonts w:hint="default" w:ascii="宋体" w:hAnsi="宋体" w:cs="宋体"/>
                <w:color w:val="auto"/>
                <w:szCs w:val="21"/>
                <w:highlight w:val="none"/>
              </w:rPr>
            </w:pPr>
            <w:r>
              <w:rPr>
                <w:rFonts w:ascii="宋体" w:hAnsi="宋体" w:cs="宋体"/>
                <w:color w:val="auto"/>
                <w:szCs w:val="21"/>
                <w:highlight w:val="none"/>
              </w:rPr>
              <w:t>3.结束解密后，供应商通过邮件形式将经授权代表签署的《政府采购活动现场确认声明书》（格式见采购文件第七部分，采购文件最后一页内容）扫描件发至代理机构经办人邮箱（邮箱地址：laoyaomm@126.com，联系人：赵娟，电话：0571-81061819）；</w:t>
            </w:r>
          </w:p>
          <w:p>
            <w:pPr>
              <w:adjustRightInd w:val="0"/>
              <w:snapToGrid w:val="0"/>
              <w:spacing w:line="320" w:lineRule="exact"/>
              <w:ind w:left="15" w:hanging="14" w:hangingChars="7"/>
              <w:rPr>
                <w:rFonts w:hint="default" w:ascii="宋体" w:hAnsi="宋体" w:cs="宋体"/>
                <w:color w:val="auto"/>
                <w:szCs w:val="21"/>
                <w:highlight w:val="none"/>
              </w:rPr>
            </w:pPr>
            <w:r>
              <w:rPr>
                <w:rFonts w:ascii="宋体" w:hAnsi="宋体" w:cs="宋体"/>
                <w:color w:val="auto"/>
                <w:szCs w:val="21"/>
                <w:highlight w:val="none"/>
              </w:rPr>
              <w:t>4.采购组织机构点击【开启标书信息】，开启标书成功后进入开标流程。</w:t>
            </w:r>
          </w:p>
          <w:p>
            <w:pPr>
              <w:pStyle w:val="2"/>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21</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评标程序</w:t>
            </w:r>
          </w:p>
        </w:tc>
        <w:tc>
          <w:tcPr>
            <w:tcW w:w="6383" w:type="dxa"/>
            <w:vAlign w:val="center"/>
          </w:tcPr>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1.资格审查：由采购人或采购代理机构代表根据采购文件的规定对投标人进行资格审查，资格审查不合格的投标人，其投标作无效标处理。</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2.符合性评审：依据采购文件的规定，从投标文件的有效性、完整性和对采购文件的响应程度进行审查，以确定是否对采购文件的实质性要求作出响应。具体审查内容见评标办法第3.2条规定。</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3.商务技术评分：由评标委员会对各投标人的技术商务充分审核、讨论及评议后，独立评分。</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4.商务技术评分汇总</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5.商务技术结果公布；在线公布经商务技术评审后有效投标供应商的名单，及其商务技术部分得分情况。</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6.开启报价响应文件：采购代理机构成功开启报价响应文件后，方可查看各供应商报价情况。</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代理机构在线公布开标一览表有关内容，供应商在线签字确认《开标记录》（不予确认的应说明理由，否则视为无异议）。</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7.报价评审：由评标委员会对报价的合理性、准确性等进行审查核实。</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8.得分汇总</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9.结果公布：供应商可通过在线平台查看评审结果。</w:t>
            </w:r>
          </w:p>
          <w:p>
            <w:pPr>
              <w:pStyle w:val="23"/>
              <w:snapToGrid w:val="0"/>
              <w:spacing w:line="320" w:lineRule="exact"/>
              <w:rPr>
                <w:rFonts w:ascii="宋体" w:hAnsi="宋体" w:eastAsia="宋体" w:cs="宋体"/>
                <w:snapToGrid w:val="0"/>
                <w:color w:val="auto"/>
                <w:kern w:val="0"/>
                <w:highlight w:val="none"/>
              </w:rPr>
            </w:pPr>
            <w:r>
              <w:rPr>
                <w:rFonts w:hint="eastAsia" w:ascii="宋体" w:hAnsi="宋体" w:eastAsia="宋体" w:cs="宋体"/>
                <w:color w:val="auto"/>
                <w:highlight w:val="none"/>
              </w:rPr>
              <w:t>注：除邮件交互外，如政采云平台提供信息发布、澄清说明、数据交换等操作方式的，或者政采云系统平台有新的操作流程的，按其规定。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22</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投标有效期</w:t>
            </w:r>
          </w:p>
        </w:tc>
        <w:tc>
          <w:tcPr>
            <w:tcW w:w="6383" w:type="dxa"/>
            <w:vAlign w:val="center"/>
          </w:tcPr>
          <w:p>
            <w:pPr>
              <w:snapToGrid w:val="0"/>
              <w:spacing w:line="320" w:lineRule="exact"/>
              <w:rPr>
                <w:rFonts w:hint="default" w:ascii="宋体" w:hAnsi="宋体" w:cs="宋体"/>
                <w:color w:val="auto"/>
                <w:szCs w:val="21"/>
                <w:highlight w:val="none"/>
              </w:rPr>
            </w:pPr>
            <w:r>
              <w:rPr>
                <w:rFonts w:ascii="宋体" w:hAnsi="宋体" w:cs="宋体"/>
                <w:color w:val="auto"/>
                <w:szCs w:val="21"/>
                <w:highlight w:val="none"/>
              </w:rPr>
              <w:t>投标截止日后</w:t>
            </w:r>
            <w:r>
              <w:rPr>
                <w:rFonts w:ascii="宋体" w:hAnsi="宋体" w:cs="宋体"/>
                <w:b/>
                <w:bCs/>
                <w:color w:val="auto"/>
                <w:szCs w:val="21"/>
                <w:highlight w:val="none"/>
              </w:rPr>
              <w:t>90天</w:t>
            </w:r>
            <w:r>
              <w:rPr>
                <w:rFonts w:ascii="宋体" w:hAnsi="宋体" w:cs="宋体"/>
                <w:color w:val="auto"/>
                <w:szCs w:val="21"/>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23</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6383" w:type="dxa"/>
            <w:vAlign w:val="center"/>
          </w:tcPr>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（1）履约保证金递交形式：电汇、汇票、支票或银行、保险公司出具的保函形式；</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（2）金额：合同总价的5%；</w:t>
            </w:r>
          </w:p>
          <w:p>
            <w:pPr>
              <w:pStyle w:val="23"/>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（3）递交时间：合同签订后7日内。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24</w:t>
            </w:r>
          </w:p>
        </w:tc>
        <w:tc>
          <w:tcPr>
            <w:tcW w:w="1800" w:type="dxa"/>
            <w:vAlign w:val="center"/>
          </w:tcPr>
          <w:p>
            <w:pPr>
              <w:adjustRightInd w:val="0"/>
              <w:snapToGrid w:val="0"/>
              <w:spacing w:line="360" w:lineRule="exact"/>
              <w:jc w:val="center"/>
              <w:rPr>
                <w:rFonts w:hint="default" w:ascii="宋体" w:hAnsi="宋体" w:cs="宋体"/>
                <w:color w:val="auto"/>
                <w:szCs w:val="21"/>
                <w:highlight w:val="none"/>
              </w:rPr>
            </w:pPr>
            <w:r>
              <w:rPr>
                <w:rFonts w:ascii="宋体" w:hAnsi="宋体" w:cs="宋体"/>
                <w:snapToGrid w:val="0"/>
                <w:color w:val="auto"/>
                <w:kern w:val="0"/>
                <w:szCs w:val="21"/>
                <w:highlight w:val="none"/>
              </w:rPr>
              <w:t>询标澄清</w:t>
            </w:r>
          </w:p>
        </w:tc>
        <w:tc>
          <w:tcPr>
            <w:tcW w:w="6383" w:type="dxa"/>
            <w:vAlign w:val="center"/>
          </w:tcPr>
          <w:p>
            <w:pPr>
              <w:pStyle w:val="23"/>
              <w:adjustRightInd w:val="0"/>
              <w:snapToGrid w:val="0"/>
              <w:spacing w:line="320" w:lineRule="exact"/>
              <w:rPr>
                <w:rFonts w:ascii="宋体" w:hAnsi="宋体" w:eastAsia="宋体" w:cs="宋体"/>
                <w:color w:val="auto"/>
                <w:highlight w:val="none"/>
              </w:rPr>
            </w:pPr>
            <w:r>
              <w:rPr>
                <w:rFonts w:hint="eastAsia" w:ascii="宋体" w:hAnsi="宋体" w:eastAsia="宋体" w:cs="宋体"/>
                <w:color w:val="auto"/>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25</w:t>
            </w:r>
          </w:p>
        </w:tc>
        <w:tc>
          <w:tcPr>
            <w:tcW w:w="1800" w:type="dxa"/>
            <w:vAlign w:val="center"/>
          </w:tcPr>
          <w:p>
            <w:pPr>
              <w:adjustRightInd w:val="0"/>
              <w:snapToGrid w:val="0"/>
              <w:spacing w:line="36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公告发布媒体</w:t>
            </w:r>
          </w:p>
        </w:tc>
        <w:tc>
          <w:tcPr>
            <w:tcW w:w="6383" w:type="dxa"/>
            <w:vAlign w:val="center"/>
          </w:tcPr>
          <w:p>
            <w:pPr>
              <w:pStyle w:val="23"/>
              <w:adjustRightInd w:val="0"/>
              <w:snapToGrid w:val="0"/>
              <w:spacing w:line="320" w:lineRule="exact"/>
              <w:rPr>
                <w:rFonts w:ascii="宋体" w:hAnsi="宋体" w:eastAsia="宋体" w:cs="宋体"/>
                <w:color w:val="auto"/>
                <w:highlight w:val="none"/>
              </w:rPr>
            </w:pPr>
            <w:r>
              <w:rPr>
                <w:rFonts w:hint="eastAsia" w:ascii="宋体" w:hAnsi="宋体" w:eastAsia="宋体" w:cs="宋体"/>
                <w:color w:val="auto"/>
                <w:kern w:val="0"/>
                <w:highlight w:val="none"/>
              </w:rPr>
              <w:t>浙江政府采购网/政采云平台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Align w:val="center"/>
          </w:tcPr>
          <w:p>
            <w:pPr>
              <w:adjustRightInd w:val="0"/>
              <w:spacing w:line="34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26</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质疑</w:t>
            </w:r>
          </w:p>
        </w:tc>
        <w:tc>
          <w:tcPr>
            <w:tcW w:w="6383" w:type="dxa"/>
            <w:vAlign w:val="center"/>
          </w:tcPr>
          <w:p>
            <w:pPr>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根据《中华人民共和国政府采购法》第五十二条、《中华人民共和国政府采购法实施条例》第五十三条、《政府采购质疑和投诉办法》的规定：</w:t>
            </w:r>
          </w:p>
          <w:p>
            <w:pPr>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投标人认为采购（招标）文件、采购过程、中标或者成交结果使自己的权益受到损害的，可以在知道或者应知其权益受到损害之日起7个工作日内，以书面形式向采购人、采购代理机构提出质疑。</w:t>
            </w:r>
          </w:p>
          <w:p>
            <w:pPr>
              <w:snapToGrid w:val="0"/>
              <w:spacing w:line="320" w:lineRule="exact"/>
              <w:rPr>
                <w:rFonts w:hint="default" w:ascii="宋体" w:hAnsi="宋体" w:cs="宋体"/>
                <w:b/>
                <w:bCs/>
                <w:snapToGrid w:val="0"/>
                <w:color w:val="auto"/>
                <w:kern w:val="0"/>
                <w:szCs w:val="21"/>
                <w:highlight w:val="none"/>
              </w:rPr>
            </w:pPr>
            <w:r>
              <w:rPr>
                <w:rFonts w:ascii="宋体" w:hAnsi="宋体" w:cs="宋体"/>
                <w:snapToGrid w:val="0"/>
                <w:color w:val="auto"/>
                <w:kern w:val="0"/>
                <w:szCs w:val="21"/>
                <w:highlight w:val="none"/>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27</w:t>
            </w:r>
          </w:p>
        </w:tc>
        <w:tc>
          <w:tcPr>
            <w:tcW w:w="1800" w:type="dxa"/>
            <w:vAlign w:val="center"/>
          </w:tcPr>
          <w:p>
            <w:pPr>
              <w:snapToGrid w:val="0"/>
              <w:spacing w:line="360" w:lineRule="exact"/>
              <w:jc w:val="center"/>
              <w:rPr>
                <w:rFonts w:hint="default" w:ascii="宋体" w:hAnsi="宋体" w:cs="宋体"/>
                <w:color w:val="auto"/>
                <w:szCs w:val="21"/>
                <w:highlight w:val="none"/>
              </w:rPr>
            </w:pPr>
            <w:r>
              <w:rPr>
                <w:rFonts w:ascii="宋体" w:hAnsi="宋体" w:cs="宋体"/>
                <w:color w:val="auto"/>
                <w:szCs w:val="21"/>
                <w:highlight w:val="none"/>
              </w:rPr>
              <w:t>投诉</w:t>
            </w:r>
          </w:p>
        </w:tc>
        <w:tc>
          <w:tcPr>
            <w:tcW w:w="6383" w:type="dxa"/>
            <w:vAlign w:val="center"/>
          </w:tcPr>
          <w:p>
            <w:pPr>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78" w:hRule="atLeast"/>
          <w:jc w:val="center"/>
        </w:trPr>
        <w:tc>
          <w:tcPr>
            <w:tcW w:w="648"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28</w:t>
            </w:r>
          </w:p>
        </w:tc>
        <w:tc>
          <w:tcPr>
            <w:tcW w:w="1800" w:type="dxa"/>
            <w:vAlign w:val="center"/>
          </w:tcPr>
          <w:p>
            <w:pPr>
              <w:snapToGrid w:val="0"/>
              <w:spacing w:line="360" w:lineRule="exact"/>
              <w:jc w:val="center"/>
              <w:rPr>
                <w:rFonts w:hint="default" w:ascii="宋体" w:hAnsi="宋体" w:cs="宋体"/>
                <w:b/>
                <w:color w:val="auto"/>
                <w:szCs w:val="21"/>
                <w:highlight w:val="none"/>
              </w:rPr>
            </w:pPr>
            <w:r>
              <w:rPr>
                <w:rFonts w:ascii="宋体" w:hAnsi="宋体" w:cs="宋体"/>
                <w:b/>
                <w:color w:val="auto"/>
                <w:szCs w:val="21"/>
                <w:highlight w:val="none"/>
              </w:rPr>
              <w:t>特别说明</w:t>
            </w:r>
          </w:p>
        </w:tc>
        <w:tc>
          <w:tcPr>
            <w:tcW w:w="6383" w:type="dxa"/>
            <w:vAlign w:val="center"/>
          </w:tcPr>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（3）质疑、投诉人未按前列序号第26、27条规定进行质疑、投诉（申诉）、举报等，均属于扰乱政府采购市场不良行为。</w:t>
            </w:r>
          </w:p>
          <w:p>
            <w:pPr>
              <w:pStyle w:val="23"/>
              <w:snapToGrid w:val="0"/>
              <w:spacing w:line="320" w:lineRule="exact"/>
              <w:rPr>
                <w:rFonts w:ascii="宋体" w:hAnsi="宋体" w:eastAsia="宋体" w:cs="宋体"/>
                <w:b/>
                <w:color w:val="auto"/>
                <w:highlight w:val="none"/>
              </w:rPr>
            </w:pPr>
            <w:r>
              <w:rPr>
                <w:rFonts w:hint="eastAsia" w:ascii="宋体" w:hAnsi="宋体" w:eastAsia="宋体" w:cs="宋体"/>
                <w:b/>
                <w:bCs/>
                <w:snapToGrid w:val="0"/>
                <w:color w:val="auto"/>
                <w:kern w:val="0"/>
                <w:highlight w:val="none"/>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29</w:t>
            </w:r>
          </w:p>
        </w:tc>
        <w:tc>
          <w:tcPr>
            <w:tcW w:w="1800" w:type="dxa"/>
            <w:vAlign w:val="center"/>
          </w:tcPr>
          <w:p>
            <w:pPr>
              <w:adjustRightInd w:val="0"/>
              <w:snapToGrid w:val="0"/>
              <w:jc w:val="center"/>
              <w:rPr>
                <w:rFonts w:hint="default" w:ascii="宋体" w:hAnsi="宋体" w:cs="宋体"/>
                <w:b/>
                <w:color w:val="auto"/>
                <w:szCs w:val="21"/>
                <w:highlight w:val="none"/>
              </w:rPr>
            </w:pPr>
            <w:r>
              <w:rPr>
                <w:rFonts w:ascii="宋体" w:hAnsi="宋体" w:cs="宋体"/>
                <w:color w:val="auto"/>
                <w:szCs w:val="21"/>
                <w:highlight w:val="none"/>
              </w:rPr>
              <w:t>采购代理服务费</w:t>
            </w:r>
          </w:p>
        </w:tc>
        <w:tc>
          <w:tcPr>
            <w:tcW w:w="6383" w:type="dxa"/>
            <w:vAlign w:val="center"/>
          </w:tcPr>
          <w:p>
            <w:pPr>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本项目的采购代理费由中标人支付。计费标准：</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1、中标服务费以中标（成交）金额为计费基准，按《计价格［2002］1980号》及《发改办价格［2003］857号》规定的货物类收费标准计取。即：</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中标金额</w:t>
                  </w:r>
                </w:p>
              </w:tc>
              <w:tc>
                <w:tcPr>
                  <w:tcW w:w="198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≤100万元</w:t>
                  </w:r>
                </w:p>
              </w:tc>
              <w:tc>
                <w:tcPr>
                  <w:tcW w:w="198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100万元-500万元</w:t>
                  </w:r>
                </w:p>
              </w:tc>
              <w:tc>
                <w:tcPr>
                  <w:tcW w:w="1980" w:type="dxa"/>
                </w:tcPr>
                <w:p>
                  <w:pPr>
                    <w:adjustRightInd w:val="0"/>
                    <w:snapToGrid w:val="0"/>
                    <w:spacing w:line="320" w:lineRule="exact"/>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1.1%</w:t>
                  </w:r>
                </w:p>
              </w:tc>
            </w:tr>
          </w:tbl>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采购代理费收费按照差额定率累进法计取。</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2、结算方式及时间为：在领取中标通知书时由中标人一次性向采购代理机构付清。中标结果公告发出后，中标人可按中标结果公告上的服务费金额缴纳至如下账号：</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（1）收 款 人：浙江国际招（投）标公司</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（2）开户银行：中国工商银行杭州武林支行</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（3）账    号：1202 0212 0990 6782 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30</w:t>
            </w:r>
          </w:p>
        </w:tc>
        <w:tc>
          <w:tcPr>
            <w:tcW w:w="1800" w:type="dxa"/>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节能环保要求</w:t>
            </w:r>
          </w:p>
        </w:tc>
        <w:tc>
          <w:tcPr>
            <w:tcW w:w="6383" w:type="dxa"/>
            <w:vAlign w:val="center"/>
          </w:tcPr>
          <w:p>
            <w:pPr>
              <w:adjustRightInd w:val="0"/>
              <w:snapToGrid w:val="0"/>
              <w:spacing w:line="320" w:lineRule="exact"/>
              <w:rPr>
                <w:rFonts w:hint="default" w:ascii="宋体" w:hAnsi="宋体" w:cs="宋体"/>
                <w:snapToGrid w:val="0"/>
                <w:color w:val="auto"/>
                <w:kern w:val="0"/>
                <w:szCs w:val="21"/>
                <w:highlight w:val="none"/>
              </w:rPr>
            </w:pPr>
            <w:r>
              <w:rPr>
                <w:rFonts w:hint="default" w:ascii="宋体" w:hAnsi="宋体" w:cs="宋体"/>
                <w:snapToGrid w:val="0"/>
                <w:color w:val="auto"/>
                <w:kern w:val="0"/>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djustRightInd w:val="0"/>
              <w:snapToGrid w:val="0"/>
              <w:spacing w:line="320" w:lineRule="exact"/>
              <w:rPr>
                <w:rFonts w:hint="default" w:ascii="宋体" w:hAnsi="宋体" w:cs="宋体"/>
                <w:snapToGrid w:val="0"/>
                <w:color w:val="auto"/>
                <w:kern w:val="0"/>
                <w:szCs w:val="21"/>
                <w:highlight w:val="none"/>
              </w:rPr>
            </w:pPr>
            <w:r>
              <w:rPr>
                <w:rFonts w:hint="default" w:ascii="宋体" w:hAnsi="宋体" w:cs="宋体"/>
                <w:snapToGrid w:val="0"/>
                <w:color w:val="auto"/>
                <w:kern w:val="0"/>
                <w:szCs w:val="21"/>
                <w:highlight w:val="none"/>
              </w:rPr>
              <w:t>2.采购人拟采购的产品属于政府强制采购的节能产品品目清单范围的，供应商未按采购文件要求提供国家确定的认证机构出具的、处于有效期之内的节能产品认证证书，投标无效。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restart"/>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w:t>
            </w:r>
          </w:p>
        </w:tc>
        <w:tc>
          <w:tcPr>
            <w:tcW w:w="1800" w:type="dxa"/>
            <w:vMerge w:val="restart"/>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支持中小企业</w:t>
            </w:r>
          </w:p>
        </w:tc>
        <w:tc>
          <w:tcPr>
            <w:tcW w:w="6383" w:type="dxa"/>
            <w:vAlign w:val="center"/>
          </w:tcPr>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1.企业类型</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（1）中小企业</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符合中小企业划分标准的个体工商户，在政府采购活动中视同中小企业。</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符合上述条件的中小企业参加货物采购活动中，货物由中小企业制造，即货物由中小企业生产且使用该中小企业商号或者注册商标的，可享受相关中小企业扶持政策。</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如果一个采购项目或采购标项含有多个采购标的的，则每个采购标的均应由中小企业制造。大型企业提供的所有采购标的均为中小企业制造的且使用该中小企业商号或者注册商标的，视作中小企业投标。供应商提供的货物既有中小企业制造货物，也有大型企业制造货物的，不享受《政府采购促进中小企业发展管理办法》规定的中小企业扶持政策。</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投标文件中须出具《政府采购促进中小企业发展管理办法》【财库（2020）46号】规定的《中小企业声明函》。供应商应当对其出具的《中小企业声明函》真实性负责，供应商出具的《中小企业声明函》内容不实的，属于提供虚假材料谋取中标。供应商应从制造商处获得充分、准确的信息。对相关制造商信息了解不充分，或者不能确定相关信息真实、准确的，不建议出具《中小企业声明函》。</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（2）残疾人福利性单位</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符合《关于促进残疾人就业政府采购政策的通知》（财库〔2017〕141号）规定的条件并提供《残疾人福利性单位声明函》的残疾人福利性单位视同小型、微型企业；残疾人福利性单位提供本单位制造的货物或者提供其他残疾人福利性单位制造的货物（不包括使用非残疾人福利性单位注册商标的货物），视作小微企业投标。</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（3）监狱企业</w:t>
            </w:r>
          </w:p>
          <w:p>
            <w:pPr>
              <w:widowControl/>
              <w:adjustRightInd w:val="0"/>
              <w:snapToGrid w:val="0"/>
              <w:spacing w:line="320" w:lineRule="exact"/>
              <w:rPr>
                <w:rFonts w:hint="default" w:ascii="宋体" w:hAnsi="宋体" w:cs="宋体"/>
                <w:color w:val="auto"/>
                <w:highlight w:val="none"/>
              </w:rPr>
            </w:pPr>
            <w:r>
              <w:rPr>
                <w:rFonts w:ascii="宋体" w:hAnsi="宋体" w:cs="宋体"/>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adjustRightInd w:val="0"/>
              <w:snapToGrid w:val="0"/>
              <w:spacing w:line="320" w:lineRule="exact"/>
              <w:ind w:firstLine="420" w:firstLineChars="200"/>
              <w:rPr>
                <w:rFonts w:hint="default" w:ascii="宋体" w:hAnsi="宋体" w:cs="宋体"/>
                <w:color w:val="auto"/>
                <w:highlight w:val="none"/>
              </w:rPr>
            </w:pPr>
            <w:r>
              <w:rPr>
                <w:rFonts w:ascii="宋体" w:hAnsi="宋体" w:cs="宋体"/>
                <w:color w:val="auto"/>
                <w:highlight w:val="none"/>
              </w:rPr>
              <w:t>监狱企业只有提供本企业制造的货物，或者提供其他监狱企业或小型、微型企业制造的货物时，视作小微企业投标。</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2.针对本项目的相关规定</w:t>
            </w:r>
          </w:p>
          <w:p>
            <w:pPr>
              <w:adjustRightInd w:val="0"/>
              <w:snapToGrid w:val="0"/>
              <w:spacing w:line="320" w:lineRule="exact"/>
              <w:rPr>
                <w:rFonts w:hint="default" w:ascii="宋体" w:hAnsi="宋体" w:cs="宋体"/>
                <w:color w:val="auto"/>
                <w:highlight w:val="none"/>
              </w:rPr>
            </w:pPr>
            <w:r>
              <w:rPr>
                <w:rFonts w:ascii="宋体" w:hAnsi="宋体" w:cs="宋体"/>
                <w:color w:val="auto"/>
                <w:highlight w:val="none"/>
              </w:rPr>
              <w:t>（1）本项目采购标的对应的中小企业计划分标准所属行业为：</w:t>
            </w:r>
            <w:r>
              <w:rPr>
                <w:rFonts w:ascii="宋体" w:hAnsi="宋体" w:cs="宋体"/>
                <w:b/>
                <w:bCs/>
                <w:color w:val="auto"/>
                <w:highlight w:val="none"/>
              </w:rPr>
              <w:t>工业</w:t>
            </w:r>
            <w:r>
              <w:rPr>
                <w:rFonts w:ascii="宋体" w:hAnsi="宋体" w:cs="宋体"/>
                <w:color w:val="auto"/>
                <w:highlight w:val="none"/>
              </w:rPr>
              <w:t>。</w:t>
            </w:r>
          </w:p>
          <w:p>
            <w:pPr>
              <w:pStyle w:val="2"/>
              <w:ind w:firstLine="0"/>
              <w:rPr>
                <w:color w:val="auto"/>
                <w:highlight w:val="none"/>
              </w:rPr>
            </w:pPr>
            <w:r>
              <w:rPr>
                <w:rFonts w:hint="eastAsia" w:ascii="宋体" w:hAnsi="宋体" w:eastAsia="宋体" w:cs="宋体"/>
                <w:color w:val="auto"/>
                <w:sz w:val="21"/>
                <w:szCs w:val="21"/>
                <w:highlight w:val="none"/>
              </w:rPr>
              <w:t>（2）本项目对符合规定的小微企业（含小型企业）报价给予</w:t>
            </w:r>
            <w:r>
              <w:rPr>
                <w:rFonts w:hint="eastAsia" w:ascii="宋体" w:hAnsi="宋体" w:eastAsia="宋体" w:cs="宋体"/>
                <w:b/>
                <w:bCs/>
                <w:color w:val="auto"/>
                <w:sz w:val="21"/>
                <w:szCs w:val="21"/>
                <w:highlight w:val="none"/>
                <w:u w:val="single"/>
              </w:rPr>
              <w:t>6</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的扣除。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48" w:type="dxa"/>
            <w:vMerge w:val="continue"/>
            <w:vAlign w:val="center"/>
          </w:tcPr>
          <w:p>
            <w:pPr>
              <w:adjustRightInd w:val="0"/>
              <w:snapToGrid w:val="0"/>
              <w:jc w:val="center"/>
              <w:rPr>
                <w:rFonts w:hint="default" w:ascii="宋体" w:hAnsi="宋体" w:cs="宋体"/>
                <w:snapToGrid w:val="0"/>
                <w:color w:val="auto"/>
                <w:kern w:val="0"/>
                <w:szCs w:val="21"/>
                <w:highlight w:val="none"/>
              </w:rPr>
            </w:pPr>
          </w:p>
        </w:tc>
        <w:tc>
          <w:tcPr>
            <w:tcW w:w="1800" w:type="dxa"/>
            <w:vMerge w:val="continue"/>
            <w:vAlign w:val="center"/>
          </w:tcPr>
          <w:p>
            <w:pPr>
              <w:adjustRightInd w:val="0"/>
              <w:snapToGrid w:val="0"/>
              <w:jc w:val="center"/>
              <w:rPr>
                <w:rFonts w:hint="default" w:ascii="宋体" w:hAnsi="宋体" w:cs="宋体"/>
                <w:snapToGrid w:val="0"/>
                <w:color w:val="auto"/>
                <w:kern w:val="0"/>
                <w:szCs w:val="21"/>
                <w:highlight w:val="none"/>
              </w:rPr>
            </w:pPr>
          </w:p>
        </w:tc>
        <w:tc>
          <w:tcPr>
            <w:tcW w:w="6383" w:type="dxa"/>
            <w:vAlign w:val="center"/>
          </w:tcPr>
          <w:p>
            <w:pPr>
              <w:adjustRightInd w:val="0"/>
              <w:snapToGrid w:val="0"/>
              <w:spacing w:line="320" w:lineRule="exac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企业信用融资：</w:t>
            </w:r>
          </w:p>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color w:val="auto"/>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ascii="宋体" w:hAnsi="宋体" w:cs="宋体"/>
                <w:bCs/>
                <w:snapToGrid w:val="0"/>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Merge w:val="restart"/>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w:t>
            </w:r>
          </w:p>
        </w:tc>
        <w:tc>
          <w:tcPr>
            <w:tcW w:w="1800" w:type="dxa"/>
            <w:vMerge w:val="restart"/>
            <w:vAlign w:val="center"/>
          </w:tcPr>
          <w:p>
            <w:pPr>
              <w:adjustRightInd w:val="0"/>
              <w:snapToGrid w:val="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投标人信用信息事项</w:t>
            </w:r>
          </w:p>
        </w:tc>
        <w:tc>
          <w:tcPr>
            <w:tcW w:w="6383" w:type="dxa"/>
            <w:vAlign w:val="center"/>
          </w:tcPr>
          <w:p>
            <w:pPr>
              <w:adjustRightInd w:val="0"/>
              <w:snapToGrid w:val="0"/>
              <w:spacing w:line="320" w:lineRule="exact"/>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信用信息查询渠道及截止时间：项目评审组织人员将通过“信用中国”网站(www.creditchina.gov.cn)、中国政府采购网(www.ccgp.gov.cn)渠道查询投标人投标截止时间前的信用记录。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vAlign w:val="center"/>
          </w:tcPr>
          <w:p>
            <w:pPr>
              <w:jc w:val="center"/>
              <w:rPr>
                <w:rFonts w:hint="default" w:ascii="宋体" w:hAnsi="宋体" w:cs="宋体"/>
                <w:color w:val="auto"/>
                <w:szCs w:val="21"/>
                <w:highlight w:val="none"/>
              </w:rPr>
            </w:pPr>
          </w:p>
        </w:tc>
        <w:tc>
          <w:tcPr>
            <w:tcW w:w="1800" w:type="dxa"/>
            <w:vMerge w:val="continue"/>
            <w:vAlign w:val="center"/>
          </w:tcPr>
          <w:p>
            <w:pPr>
              <w:snapToGrid w:val="0"/>
              <w:spacing w:line="360" w:lineRule="auto"/>
              <w:rPr>
                <w:rFonts w:hint="default" w:ascii="宋体" w:hAnsi="宋体" w:cs="宋体"/>
                <w:b/>
                <w:color w:val="auto"/>
                <w:szCs w:val="21"/>
                <w:highlight w:val="none"/>
              </w:rPr>
            </w:pPr>
          </w:p>
        </w:tc>
        <w:tc>
          <w:tcPr>
            <w:tcW w:w="6383" w:type="dxa"/>
            <w:vAlign w:val="center"/>
          </w:tcPr>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648" w:type="dxa"/>
            <w:vMerge w:val="continue"/>
            <w:vAlign w:val="center"/>
          </w:tcPr>
          <w:p>
            <w:pPr>
              <w:jc w:val="center"/>
              <w:rPr>
                <w:rFonts w:hint="default" w:ascii="宋体" w:hAnsi="宋体" w:cs="宋体"/>
                <w:color w:val="auto"/>
                <w:szCs w:val="21"/>
                <w:highlight w:val="none"/>
              </w:rPr>
            </w:pPr>
          </w:p>
        </w:tc>
        <w:tc>
          <w:tcPr>
            <w:tcW w:w="1800" w:type="dxa"/>
            <w:vMerge w:val="continue"/>
            <w:vAlign w:val="center"/>
          </w:tcPr>
          <w:p>
            <w:pPr>
              <w:snapToGrid w:val="0"/>
              <w:spacing w:line="360" w:lineRule="auto"/>
              <w:rPr>
                <w:rFonts w:hint="default" w:ascii="宋体" w:hAnsi="宋体" w:cs="宋体"/>
                <w:b/>
                <w:color w:val="auto"/>
                <w:szCs w:val="21"/>
                <w:highlight w:val="none"/>
              </w:rPr>
            </w:pPr>
          </w:p>
        </w:tc>
        <w:tc>
          <w:tcPr>
            <w:tcW w:w="6383" w:type="dxa"/>
            <w:vAlign w:val="center"/>
          </w:tcPr>
          <w:p>
            <w:pPr>
              <w:adjustRightInd w:val="0"/>
              <w:snapToGrid w:val="0"/>
              <w:spacing w:line="320" w:lineRule="exac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信用信息的使用规则：经查询列入失信被执行人名单、重大税收违法案件当事人名单、政府采购严重违法失信行为记录名单的投标人的投标文件将被拒绝。</w:t>
            </w:r>
          </w:p>
        </w:tc>
      </w:tr>
    </w:tbl>
    <w:p>
      <w:pPr>
        <w:rPr>
          <w:rFonts w:hint="default"/>
          <w:color w:val="auto"/>
          <w:highlight w:val="none"/>
        </w:rPr>
      </w:pPr>
      <w:bookmarkStart w:id="5" w:name="_Toc251566649"/>
      <w:bookmarkStart w:id="6" w:name="_Toc240450076"/>
    </w:p>
    <w:p>
      <w:pPr>
        <w:rPr>
          <w:rFonts w:hint="default"/>
          <w:color w:val="auto"/>
          <w:highlight w:val="none"/>
        </w:rPr>
      </w:pPr>
    </w:p>
    <w:p>
      <w:pPr>
        <w:adjustRightInd w:val="0"/>
        <w:snapToGrid w:val="0"/>
        <w:spacing w:beforeLines="50" w:afterLines="50" w:line="360" w:lineRule="auto"/>
        <w:jc w:val="center"/>
        <w:outlineLvl w:val="0"/>
        <w:rPr>
          <w:rFonts w:hint="default" w:ascii="宋体" w:hAnsi="宋体" w:cs="宋体"/>
          <w:color w:val="auto"/>
          <w:szCs w:val="21"/>
          <w:highlight w:val="none"/>
        </w:rPr>
      </w:pPr>
      <w:r>
        <w:rPr>
          <w:rFonts w:ascii="宋体" w:hAnsi="宋体" w:cs="宋体"/>
          <w:color w:val="auto"/>
          <w:szCs w:val="21"/>
          <w:highlight w:val="none"/>
        </w:rPr>
        <w:br w:type="page"/>
      </w:r>
      <w:bookmarkStart w:id="7" w:name="_Toc30630"/>
      <w:bookmarkStart w:id="8" w:name="_Toc2187"/>
      <w:r>
        <w:rPr>
          <w:rFonts w:ascii="宋体" w:hAnsi="宋体" w:cs="宋体"/>
          <w:b/>
          <w:color w:val="auto"/>
          <w:sz w:val="30"/>
          <w:szCs w:val="30"/>
          <w:highlight w:val="none"/>
        </w:rPr>
        <w:t>第二部分  投标须知</w:t>
      </w:r>
      <w:bookmarkEnd w:id="5"/>
      <w:bookmarkEnd w:id="6"/>
      <w:bookmarkEnd w:id="7"/>
      <w:bookmarkEnd w:id="8"/>
    </w:p>
    <w:p>
      <w:pPr>
        <w:pStyle w:val="4"/>
        <w:snapToGrid w:val="0"/>
        <w:spacing w:beforeLines="50" w:afterLines="50" w:line="360" w:lineRule="auto"/>
        <w:rPr>
          <w:rFonts w:hint="default" w:ascii="宋体" w:hAnsi="宋体" w:eastAsia="宋体" w:cs="宋体"/>
          <w:color w:val="auto"/>
          <w:sz w:val="21"/>
          <w:szCs w:val="21"/>
          <w:highlight w:val="none"/>
        </w:rPr>
      </w:pPr>
      <w:bookmarkStart w:id="9" w:name="_Toc12000"/>
      <w:bookmarkStart w:id="10" w:name="_Toc251566650"/>
      <w:bookmarkStart w:id="11" w:name="_Toc25260"/>
      <w:bookmarkStart w:id="12" w:name="_Toc240450077"/>
      <w:r>
        <w:rPr>
          <w:rFonts w:ascii="宋体" w:hAnsi="宋体" w:eastAsia="宋体" w:cs="宋体"/>
          <w:color w:val="auto"/>
          <w:sz w:val="21"/>
          <w:szCs w:val="21"/>
          <w:highlight w:val="none"/>
        </w:rPr>
        <w:t>一、总则</w:t>
      </w:r>
      <w:bookmarkEnd w:id="9"/>
      <w:bookmarkEnd w:id="10"/>
      <w:bookmarkEnd w:id="11"/>
      <w:bookmarkEnd w:id="12"/>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本次招标工作是按照《中华人民共和国政府采购法》、《中华人民共和国政府采购法实施条例》、《政府采购货物和服务招标投标管理办法》等相关法律法规组织和实施，并接受杭州市财政局政府采购监管处监督。</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1．适用范围</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1.1 本采购文件仅适用于本次招标项目。</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 本项目采购方式为公开招标。</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1.3 投标须知为采购文件的通用条款，如通用条款与前附表、用户需求、合同条款等特定条款不一致的，请按特定条款执行。</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2．定义</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2.1“采购人”系指杭州市质量技术监督检测院</w:t>
      </w:r>
      <w:r>
        <w:rPr>
          <w:rFonts w:ascii="宋体" w:hAnsi="宋体" w:cs="宋体"/>
          <w:color w:val="auto"/>
          <w:szCs w:val="21"/>
          <w:highlight w:val="none"/>
        </w:rPr>
        <w:t>（合同中的买方）</w:t>
      </w:r>
      <w:r>
        <w:rPr>
          <w:rFonts w:ascii="宋体" w:hAnsi="宋体" w:cs="宋体"/>
          <w:snapToGrid w:val="0"/>
          <w:color w:val="auto"/>
          <w:kern w:val="0"/>
          <w:szCs w:val="21"/>
          <w:highlight w:val="none"/>
        </w:rPr>
        <w:t>。</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2.2“采购代理机构”系指浙江国际招（投）标公司。</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2.3“监督管理部门”系指杭州市财政局政府采购监管处。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2.4“投标人”系指响应本次招标，参加本次投标的独立法人</w:t>
      </w:r>
      <w:r>
        <w:rPr>
          <w:rFonts w:ascii="宋体" w:hAnsi="宋体" w:cs="宋体"/>
          <w:color w:val="auto"/>
          <w:szCs w:val="21"/>
          <w:highlight w:val="none"/>
        </w:rPr>
        <w:t>（合同中的卖方）</w:t>
      </w:r>
      <w:r>
        <w:rPr>
          <w:rFonts w:ascii="宋体" w:hAnsi="宋体" w:cs="宋体"/>
          <w:snapToGrid w:val="0"/>
          <w:color w:val="auto"/>
          <w:kern w:val="0"/>
          <w:szCs w:val="21"/>
          <w:highlight w:val="none"/>
        </w:rPr>
        <w:t>。</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2.5“货物”系指供应商按采购文件或合同要求，须向采购人提供的一切材料、设备、机械、仪器、备件、配件、工具、手册及其他技术资料和文字材料。</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2.6“实质性条款”系指采购文件条款前标注“▲”标识的条款。</w:t>
      </w:r>
    </w:p>
    <w:p>
      <w:pPr>
        <w:adjustRightInd w:val="0"/>
        <w:snapToGrid w:val="0"/>
        <w:spacing w:line="360" w:lineRule="auto"/>
        <w:ind w:firstLine="420" w:firstLineChars="200"/>
        <w:rPr>
          <w:rFonts w:hint="default" w:ascii="宋体" w:hAnsi="宋体" w:cs="宋体"/>
          <w:color w:val="auto"/>
          <w:highlight w:val="none"/>
        </w:rPr>
      </w:pPr>
      <w:r>
        <w:rPr>
          <w:rFonts w:ascii="宋体" w:hAnsi="宋体" w:cs="宋体"/>
          <w:snapToGrid w:val="0"/>
          <w:color w:val="auto"/>
          <w:kern w:val="0"/>
          <w:szCs w:val="21"/>
          <w:highlight w:val="none"/>
        </w:rPr>
        <w:t>2.7</w:t>
      </w:r>
      <w:r>
        <w:rPr>
          <w:rFonts w:ascii="宋体" w:hAnsi="宋体"/>
          <w:snapToGrid w:val="0"/>
          <w:color w:val="auto"/>
          <w:kern w:val="0"/>
          <w:szCs w:val="21"/>
          <w:highlight w:val="none"/>
        </w:rPr>
        <w:t>官方指定网站公示的内容视为书面告知。</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3．合格的投标人及合格的投标货物和服务</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3.1合格的投标人，详见采购公告第二条规定的投标人必须具备的资格条件并经采购人或采购代理机构审查通过的。</w:t>
      </w:r>
    </w:p>
    <w:p>
      <w:pPr>
        <w:adjustRightInd w:val="0"/>
        <w:snapToGrid w:val="0"/>
        <w:spacing w:line="360" w:lineRule="auto"/>
        <w:ind w:firstLine="422" w:firstLineChars="200"/>
        <w:rPr>
          <w:rFonts w:hint="default" w:ascii="宋体" w:hAnsi="宋体" w:cs="宋体"/>
          <w:b/>
          <w:bCs/>
          <w:snapToGrid w:val="0"/>
          <w:color w:val="auto"/>
          <w:kern w:val="0"/>
          <w:highlight w:val="none"/>
        </w:rPr>
      </w:pPr>
      <w:r>
        <w:rPr>
          <w:rFonts w:ascii="宋体" w:hAnsi="宋体" w:cs="宋体"/>
          <w:b/>
          <w:bCs/>
          <w:snapToGrid w:val="0"/>
          <w:color w:val="auto"/>
          <w:kern w:val="0"/>
          <w:highlight w:val="none"/>
        </w:rPr>
        <w:t>3.2对投标人的限制</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3.2.2为本项目提供过整体设计、规范编制或者项目管理、监理、检测等服务的供应商，不得再参加该采购项目的其他采购活动（“其他采购活动”指为采购项目提供整体设计、规范编制和项目管理、监理、检测等服务之外的采购活动。同一供应商可以同时承担项目的整体设计、规范编制和项目管理、监理、检测等服务）；</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3.2.3以联合体形式参加政府采购活动的，联合体各方不得再单独参加或者与其他投标人另外组成联合体参加同一合同项下的政府采购活动；（本项目不适用）</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3.2.5在政府采购活动中，采购人员及相关人员与供应商有下列利害关系之一的，应当回避：</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（一）参加采购活动前3年内与供应商存在劳动关系；</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（二）参加采购活动前3年内担任供应商的董事、监事；</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（三）参加采购活动前3年内是供应商的控股股东或者实际控制人；</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（四）与供应商的法定代表人或者负责人有夫妻、直系血亲、三代以内旁系血亲或者近姻亲关系；</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（五）与供应商有其他可能影响政府采购活动公平、公正进行的关系。</w:t>
      </w:r>
    </w:p>
    <w:p>
      <w:pPr>
        <w:adjustRightInd w:val="0"/>
        <w:snapToGrid w:val="0"/>
        <w:spacing w:line="360" w:lineRule="auto"/>
        <w:ind w:firstLine="420" w:firstLineChars="200"/>
        <w:rPr>
          <w:rFonts w:hint="default" w:ascii="宋体" w:hAnsi="宋体" w:cs="宋体"/>
          <w:snapToGrid w:val="0"/>
          <w:color w:val="auto"/>
          <w:kern w:val="0"/>
          <w:highlight w:val="none"/>
        </w:rPr>
      </w:pPr>
      <w:r>
        <w:rPr>
          <w:rFonts w:ascii="宋体" w:hAnsi="宋体" w:cs="宋体"/>
          <w:snapToGrid w:val="0"/>
          <w:color w:val="auto"/>
          <w:kern w:val="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4．相关说明</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4.1 投标费用</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投标人应承担其参加投标所涉及的一切费用，不管投标结果如何，采购人对这些费用不负任何责任。</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hint="default" w:ascii="宋体" w:hAnsi="宋体" w:cs="宋体"/>
          <w:b/>
          <w:bCs/>
          <w:snapToGrid w:val="0"/>
          <w:color w:val="auto"/>
          <w:kern w:val="0"/>
          <w:szCs w:val="21"/>
          <w:highlight w:val="none"/>
        </w:rPr>
      </w:pPr>
      <w:r>
        <w:rPr>
          <w:rFonts w:ascii="宋体" w:hAnsi="宋体" w:cs="宋体"/>
          <w:b/>
          <w:bCs/>
          <w:snapToGrid w:val="0"/>
          <w:color w:val="auto"/>
          <w:kern w:val="0"/>
          <w:szCs w:val="21"/>
          <w:highlight w:val="none"/>
        </w:rPr>
        <w:t>4.3投标人投标所使用的资格、信誉、荣誉、业绩与企业认证必须为本法人所拥有。投标人投标拟派项目实施人员必须为本法人员工。</w:t>
      </w:r>
    </w:p>
    <w:p>
      <w:pPr>
        <w:adjustRightInd w:val="0"/>
        <w:snapToGrid w:val="0"/>
        <w:spacing w:line="360" w:lineRule="auto"/>
        <w:ind w:firstLine="422" w:firstLineChars="200"/>
        <w:rPr>
          <w:rFonts w:hint="default" w:ascii="宋体" w:hAnsi="宋体" w:cs="宋体"/>
          <w:b/>
          <w:bCs/>
          <w:snapToGrid w:val="0"/>
          <w:color w:val="auto"/>
          <w:kern w:val="0"/>
          <w:szCs w:val="21"/>
          <w:highlight w:val="none"/>
        </w:rPr>
      </w:pPr>
      <w:r>
        <w:rPr>
          <w:rFonts w:ascii="宋体" w:hAnsi="宋体" w:cs="宋体"/>
          <w:b/>
          <w:bCs/>
          <w:snapToGrid w:val="0"/>
          <w:color w:val="auto"/>
          <w:kern w:val="0"/>
          <w:szCs w:val="21"/>
          <w:highlight w:val="none"/>
        </w:rPr>
        <w:t>4.4投标人应仔细阅读采购文件的所有内容，按照采购文件的要求提交投标文件，并对所提供的全部资料的真实性承担法律责任。</w:t>
      </w:r>
    </w:p>
    <w:p>
      <w:pPr>
        <w:adjustRightInd w:val="0"/>
        <w:snapToGrid w:val="0"/>
        <w:spacing w:line="360" w:lineRule="auto"/>
        <w:ind w:firstLine="422" w:firstLineChars="200"/>
        <w:rPr>
          <w:rFonts w:hint="default" w:ascii="宋体" w:hAnsi="宋体" w:cs="宋体"/>
          <w:snapToGrid w:val="0"/>
          <w:color w:val="auto"/>
          <w:kern w:val="0"/>
          <w:szCs w:val="21"/>
          <w:highlight w:val="none"/>
        </w:rPr>
      </w:pPr>
      <w:r>
        <w:rPr>
          <w:rFonts w:ascii="宋体" w:hAnsi="宋体" w:cs="宋体"/>
          <w:b/>
          <w:bCs/>
          <w:snapToGrid w:val="0"/>
          <w:color w:val="auto"/>
          <w:kern w:val="0"/>
          <w:szCs w:val="21"/>
          <w:highlight w:val="none"/>
        </w:rPr>
        <w:t>4.5投标人在投标活动中提供任何虚假材料,其投标无效，并报监管部门查处；中标后发现的,按《政府采购货物和服务招标投标管理办法》（财政部令第87号）相关规定承担相应的法律责任。</w:t>
      </w:r>
    </w:p>
    <w:p>
      <w:pPr>
        <w:pStyle w:val="4"/>
        <w:snapToGrid w:val="0"/>
        <w:spacing w:beforeLines="50" w:afterLines="50" w:line="360" w:lineRule="auto"/>
        <w:rPr>
          <w:rFonts w:hint="default" w:ascii="宋体" w:hAnsi="宋体" w:eastAsia="宋体" w:cs="宋体"/>
          <w:color w:val="auto"/>
          <w:sz w:val="21"/>
          <w:szCs w:val="21"/>
          <w:highlight w:val="none"/>
        </w:rPr>
      </w:pPr>
      <w:bookmarkStart w:id="13" w:name="_Toc240450078"/>
      <w:bookmarkStart w:id="14" w:name="_Toc251566651"/>
      <w:bookmarkStart w:id="15" w:name="_Toc27862"/>
      <w:bookmarkStart w:id="16" w:name="_Toc26619"/>
      <w:r>
        <w:rPr>
          <w:rFonts w:ascii="宋体" w:hAnsi="宋体" w:eastAsia="宋体" w:cs="宋体"/>
          <w:color w:val="auto"/>
          <w:sz w:val="21"/>
          <w:szCs w:val="21"/>
          <w:highlight w:val="none"/>
        </w:rPr>
        <w:t>二、</w:t>
      </w:r>
      <w:bookmarkEnd w:id="13"/>
      <w:bookmarkEnd w:id="14"/>
      <w:r>
        <w:rPr>
          <w:rFonts w:ascii="宋体" w:hAnsi="宋体" w:eastAsia="宋体" w:cs="宋体"/>
          <w:color w:val="auto"/>
          <w:sz w:val="21"/>
          <w:szCs w:val="21"/>
          <w:highlight w:val="none"/>
        </w:rPr>
        <w:t>采购文件</w:t>
      </w:r>
      <w:bookmarkEnd w:id="15"/>
      <w:bookmarkEnd w:id="16"/>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5．采购文件构成</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5.1 本采购文件包括目录所示内容及所有按本须知第6、7条发出的补充资料。</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5.4 本采购文件由采购人或采购代理机构依据相关法律、法规、规章、省市规定及采购文件进行解释。</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6．采购文件的澄清</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6.1 供应商在获取采购文件后，若有问题需要澄清或认为有必要与采购人进行技术交流，应于前附表规定的时间前，将问题传真至0571-88473411，同时将问题发电子邮件至laoyaomm@126.com（电子邮件与书面文件有不一致的，以书面文件为准）。截止期后的疑问将不予受理、答复。</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6.2 供应商要求解释或澄清的问题应以书面形式送达，并加盖公章、写明日期。</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6.3 所有要求解释或澄清的问题都予以解答，答疑内容与补充内容以更正（澄清）公告形式告知所有获取采购文件的供应商。</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7．采购文件的修改</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7.2 采购文件的修改将以更正（澄清）公告通知所有获取采购文件的供应商，并对其具有约束力。</w:t>
      </w:r>
      <w:r>
        <w:rPr>
          <w:rFonts w:ascii="宋体" w:hAnsi="宋体" w:cs="宋体"/>
          <w:color w:val="auto"/>
          <w:highlight w:val="none"/>
        </w:rPr>
        <w:t>供应商应及时关注浙江政府采购网上该项目的公告信息</w:t>
      </w:r>
      <w:r>
        <w:rPr>
          <w:rFonts w:ascii="宋体" w:hAnsi="宋体" w:cs="宋体"/>
          <w:snapToGrid w:val="0"/>
          <w:color w:val="auto"/>
          <w:kern w:val="0"/>
          <w:szCs w:val="21"/>
          <w:highlight w:val="none"/>
        </w:rPr>
        <w:t>。</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7.3 在更正（澄清）公告发布后，如果供应商认为编制投标文件的时间不充分的，必须在公告发布之日的24小时内通知采购人和采购代理机构。否则，视同供应商有充足时间编制投标文件。</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7.5 采购文件的澄清、答复、修改或补充都应该通过采购代理机构以法定形式发布，除此以外的发布不属于采购文件的组成部分。</w:t>
      </w:r>
    </w:p>
    <w:p>
      <w:pPr>
        <w:pStyle w:val="4"/>
        <w:snapToGrid w:val="0"/>
        <w:spacing w:beforeLines="50" w:afterLines="50" w:line="360" w:lineRule="auto"/>
        <w:rPr>
          <w:rFonts w:hint="default" w:ascii="宋体" w:hAnsi="宋体" w:eastAsia="宋体" w:cs="宋体"/>
          <w:color w:val="auto"/>
          <w:sz w:val="21"/>
          <w:szCs w:val="21"/>
          <w:highlight w:val="none"/>
        </w:rPr>
      </w:pPr>
      <w:bookmarkStart w:id="17" w:name="_Toc251566652"/>
      <w:bookmarkStart w:id="18" w:name="_Toc30686"/>
      <w:bookmarkStart w:id="19" w:name="_Toc31368"/>
      <w:bookmarkStart w:id="20" w:name="_Toc240450079"/>
      <w:r>
        <w:rPr>
          <w:rFonts w:ascii="宋体" w:hAnsi="宋体" w:eastAsia="宋体" w:cs="宋体"/>
          <w:color w:val="auto"/>
          <w:sz w:val="21"/>
          <w:szCs w:val="21"/>
          <w:highlight w:val="none"/>
        </w:rPr>
        <w:t>三、投标文件的编制</w:t>
      </w:r>
      <w:bookmarkEnd w:id="17"/>
      <w:bookmarkEnd w:id="18"/>
      <w:bookmarkEnd w:id="19"/>
      <w:bookmarkEnd w:id="20"/>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8．投标文件的语言、计量单位、形式及效力</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8.1语言及计量单位</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8.1.1 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8.1.2 除采购文件另有规定外，投标文件所使用的计量单位，均须采用中华人民共和国法定计量单位，否则视同未响应。</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8.2投标文件的形式和效力</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8.2.1投标文件形式为电子加密投标文件、以介质存储的数据电文形式的备份投标文件。电子投标文件按“政采云供应商项目采购-电子招投标操作指南”及本采购文件要求制作、加密传输。</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8.2.2电子投标文件未在投标截止时间前完成传输的，视为未按时递交投标文件；电子投标文件未按时解密，视为投标文件撤回。</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9．投标文件构成</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供应商向采购人递交的投标文件由</w:t>
      </w:r>
      <w:r>
        <w:rPr>
          <w:rFonts w:ascii="宋体" w:hAnsi="宋体" w:cs="宋体"/>
          <w:b/>
          <w:bCs/>
          <w:snapToGrid w:val="0"/>
          <w:color w:val="auto"/>
          <w:kern w:val="0"/>
          <w:szCs w:val="21"/>
          <w:highlight w:val="none"/>
        </w:rPr>
        <w:t>资格响应文件、商务技术响应文件、报价响应文件</w:t>
      </w:r>
      <w:r>
        <w:rPr>
          <w:rFonts w:ascii="宋体" w:hAnsi="宋体" w:cs="宋体"/>
          <w:snapToGrid w:val="0"/>
          <w:color w:val="auto"/>
          <w:kern w:val="0"/>
          <w:szCs w:val="21"/>
          <w:highlight w:val="none"/>
        </w:rPr>
        <w:t>组成，具体内容如下：</w:t>
      </w:r>
    </w:p>
    <w:p>
      <w:pPr>
        <w:autoSpaceDE w:val="0"/>
        <w:autoSpaceDN w:val="0"/>
        <w:adjustRightInd w:val="0"/>
        <w:snapToGrid w:val="0"/>
        <w:spacing w:line="360" w:lineRule="auto"/>
        <w:ind w:firstLine="422" w:firstLineChars="200"/>
        <w:textAlignment w:val="bottom"/>
        <w:rPr>
          <w:rFonts w:hint="default" w:ascii="宋体" w:hAnsi="宋体" w:cs="宋体"/>
          <w:b/>
          <w:bCs/>
          <w:color w:val="auto"/>
          <w:szCs w:val="21"/>
          <w:highlight w:val="none"/>
        </w:rPr>
      </w:pPr>
      <w:r>
        <w:rPr>
          <w:rFonts w:ascii="宋体" w:hAnsi="宋体" w:cs="宋体"/>
          <w:b/>
          <w:bCs/>
          <w:color w:val="auto"/>
          <w:szCs w:val="21"/>
          <w:highlight w:val="none"/>
        </w:rPr>
        <w:t>9.1资格响应文件</w:t>
      </w:r>
    </w:p>
    <w:p>
      <w:pPr>
        <w:tabs>
          <w:tab w:val="left" w:pos="720"/>
        </w:tabs>
        <w:adjustRightInd w:val="0"/>
        <w:snapToGrid w:val="0"/>
        <w:spacing w:line="360" w:lineRule="auto"/>
        <w:ind w:firstLine="422" w:firstLineChars="20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1）符合《中华人民共和国政府采购法》第二十二条的规定；未被列入失信被执行人名单、重大税收违法案件当事人名单、政府采购严重违法失信行为记录名单，信用信息以信用中国网站（www.creditchina.gov.cn）、中国政府采购网（www.ccgp.gov.cn）公布为准；</w:t>
      </w:r>
    </w:p>
    <w:p>
      <w:pPr>
        <w:tabs>
          <w:tab w:val="left" w:pos="720"/>
        </w:tabs>
        <w:adjustRightInd w:val="0"/>
        <w:snapToGrid w:val="0"/>
        <w:spacing w:line="360" w:lineRule="auto"/>
        <w:ind w:firstLine="422" w:firstLineChars="20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以下a～b项是第二十二条要求及对应证明材料的具体内容，各供应商须在投标文件中出具对应证明材料。</w:t>
      </w:r>
    </w:p>
    <w:p>
      <w:pPr>
        <w:pStyle w:val="38"/>
        <w:numPr>
          <w:ilvl w:val="0"/>
          <w:numId w:val="4"/>
        </w:numPr>
        <w:shd w:val="clear" w:color="auto" w:fill="auto"/>
        <w:tabs>
          <w:tab w:val="left" w:pos="630"/>
          <w:tab w:val="left" w:pos="840"/>
          <w:tab w:val="left" w:pos="1050"/>
        </w:tabs>
        <w:adjustRightInd w:val="0"/>
        <w:snapToGrid w:val="0"/>
        <w:spacing w:before="0" w:beforeAutospacing="0" w:after="0" w:afterAutospacing="0" w:line="360" w:lineRule="auto"/>
        <w:ind w:hanging="5"/>
        <w:rPr>
          <w:rFonts w:hint="default" w:ascii="宋体" w:hAnsi="宋体" w:cs="宋体"/>
          <w:b/>
          <w:bCs/>
          <w:color w:val="auto"/>
          <w:sz w:val="21"/>
          <w:szCs w:val="21"/>
          <w:highlight w:val="none"/>
        </w:rPr>
      </w:pPr>
      <w:r>
        <w:rPr>
          <w:rFonts w:ascii="宋体" w:hAnsi="宋体" w:cs="宋体"/>
          <w:b/>
          <w:bCs/>
          <w:color w:val="auto"/>
          <w:sz w:val="21"/>
          <w:szCs w:val="21"/>
          <w:highlight w:val="none"/>
        </w:rPr>
        <w:t>具有独立承担民事责任的能力：</w:t>
      </w:r>
    </w:p>
    <w:p>
      <w:pPr>
        <w:pStyle w:val="38"/>
        <w:shd w:val="clear" w:color="auto" w:fill="auto"/>
        <w:tabs>
          <w:tab w:val="left" w:pos="630"/>
          <w:tab w:val="left" w:pos="840"/>
          <w:tab w:val="left" w:pos="1050"/>
        </w:tabs>
        <w:adjustRightInd w:val="0"/>
        <w:snapToGrid w:val="0"/>
        <w:spacing w:before="0" w:beforeAutospacing="0" w:after="0" w:afterAutospacing="0" w:line="360" w:lineRule="auto"/>
        <w:ind w:left="420"/>
        <w:rPr>
          <w:rFonts w:hint="default" w:ascii="宋体" w:hAnsi="宋体" w:cs="宋体"/>
          <w:b/>
          <w:bCs/>
          <w:color w:val="auto"/>
          <w:sz w:val="21"/>
          <w:szCs w:val="21"/>
          <w:highlight w:val="none"/>
        </w:rPr>
      </w:pPr>
      <w:r>
        <w:rPr>
          <w:rFonts w:ascii="宋体" w:hAnsi="宋体" w:cs="宋体"/>
          <w:b/>
          <w:bCs/>
          <w:color w:val="auto"/>
          <w:sz w:val="21"/>
          <w:szCs w:val="21"/>
          <w:highlight w:val="none"/>
        </w:rPr>
        <w:t>供应商须在投标文件中出具符合以下情况的证明材料复印件（五选一）：</w:t>
      </w:r>
    </w:p>
    <w:p>
      <w:pPr>
        <w:pStyle w:val="38"/>
        <w:numPr>
          <w:ilvl w:val="0"/>
          <w:numId w:val="5"/>
        </w:numPr>
        <w:shd w:val="clear" w:color="auto" w:fill="auto"/>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如供应商是企业（包括合伙企业），提供在工商部门注册的有效“企业法人营业执照”或“营业执照”；</w:t>
      </w:r>
    </w:p>
    <w:p>
      <w:pPr>
        <w:pStyle w:val="38"/>
        <w:numPr>
          <w:ilvl w:val="0"/>
          <w:numId w:val="5"/>
        </w:numPr>
        <w:shd w:val="clear" w:color="auto" w:fill="auto"/>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如供应商是事业单位，提供有效的“事业单位法人证书”；</w:t>
      </w:r>
    </w:p>
    <w:p>
      <w:pPr>
        <w:pStyle w:val="38"/>
        <w:numPr>
          <w:ilvl w:val="0"/>
          <w:numId w:val="5"/>
        </w:numPr>
        <w:shd w:val="clear" w:color="auto" w:fill="auto"/>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如供应商是非企业专业服务机构的，提供执业许可证等证明文件；</w:t>
      </w:r>
    </w:p>
    <w:p>
      <w:pPr>
        <w:pStyle w:val="38"/>
        <w:numPr>
          <w:ilvl w:val="0"/>
          <w:numId w:val="5"/>
        </w:numPr>
        <w:shd w:val="clear" w:color="auto" w:fill="auto"/>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如供应商是个体工商户，提供有效的“个体工商户营业执照”；</w:t>
      </w:r>
    </w:p>
    <w:p>
      <w:pPr>
        <w:pStyle w:val="38"/>
        <w:numPr>
          <w:ilvl w:val="0"/>
          <w:numId w:val="5"/>
        </w:numPr>
        <w:shd w:val="clear" w:color="auto" w:fill="auto"/>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2" w:firstLineChars="200"/>
        <w:textAlignment w:val="bottom"/>
        <w:rPr>
          <w:rFonts w:hint="default" w:ascii="宋体" w:hAnsi="宋体" w:cs="宋体"/>
          <w:b/>
          <w:bCs/>
          <w:color w:val="auto"/>
          <w:szCs w:val="21"/>
          <w:highlight w:val="none"/>
        </w:rPr>
      </w:pPr>
      <w:r>
        <w:rPr>
          <w:rFonts w:ascii="宋体" w:hAnsi="宋体" w:cs="宋体"/>
          <w:b/>
          <w:bCs/>
          <w:color w:val="auto"/>
          <w:szCs w:val="21"/>
          <w:highlight w:val="none"/>
        </w:rPr>
        <w:t>b.供应商符合政府采购资格条件的《承诺函》：</w:t>
      </w:r>
    </w:p>
    <w:p>
      <w:pPr>
        <w:pStyle w:val="38"/>
        <w:shd w:val="clear" w:color="auto" w:fill="auto"/>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供应商须在投标文件中出具《承诺函》。（参考格式见本文件第六部分）</w:t>
      </w:r>
    </w:p>
    <w:p>
      <w:pPr>
        <w:autoSpaceDE w:val="0"/>
        <w:autoSpaceDN w:val="0"/>
        <w:adjustRightInd w:val="0"/>
        <w:snapToGrid w:val="0"/>
        <w:spacing w:line="360" w:lineRule="auto"/>
        <w:ind w:firstLine="422" w:firstLineChars="200"/>
        <w:jc w:val="left"/>
        <w:textAlignment w:val="bottom"/>
        <w:rPr>
          <w:rFonts w:hint="default" w:ascii="宋体" w:hAnsi="宋体" w:cs="宋体"/>
          <w:b/>
          <w:bCs/>
          <w:color w:val="auto"/>
          <w:szCs w:val="21"/>
          <w:highlight w:val="none"/>
        </w:rPr>
      </w:pPr>
      <w:r>
        <w:rPr>
          <w:rFonts w:hint="eastAsia" w:ascii="宋体" w:hAnsi="宋体" w:cs="宋体"/>
          <w:b/>
          <w:bCs/>
          <w:color w:val="auto"/>
          <w:szCs w:val="21"/>
          <w:highlight w:val="none"/>
          <w:lang w:val="en-US" w:eastAsia="zh-CN"/>
        </w:rPr>
        <w:t>C.</w:t>
      </w:r>
      <w:r>
        <w:rPr>
          <w:rFonts w:ascii="宋体" w:hAnsi="宋体" w:cs="宋体"/>
          <w:b/>
          <w:bCs/>
          <w:color w:val="auto"/>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8"/>
        <w:shd w:val="clear" w:color="auto" w:fill="auto"/>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对列入失信被执行人、重大税收违法案件当事人名单、政府采购严重违法失信行为记录名单的供应商，其投标将作无效标处理。</w:t>
      </w:r>
    </w:p>
    <w:p>
      <w:pPr>
        <w:widowControl/>
        <w:spacing w:line="360" w:lineRule="auto"/>
        <w:ind w:firstLine="422" w:firstLineChars="200"/>
        <w:jc w:val="left"/>
        <w:rPr>
          <w:rFonts w:hint="default" w:ascii="宋体" w:hAnsi="宋体" w:cs="Arial"/>
          <w:b/>
          <w:bCs/>
          <w:color w:val="auto"/>
          <w:kern w:val="0"/>
          <w:szCs w:val="21"/>
          <w:highlight w:val="none"/>
        </w:rPr>
      </w:pPr>
      <w:r>
        <w:rPr>
          <w:rFonts w:ascii="宋体" w:hAnsi="宋体" w:cs="Arial"/>
          <w:b/>
          <w:bCs/>
          <w:color w:val="auto"/>
          <w:kern w:val="0"/>
          <w:szCs w:val="21"/>
          <w:highlight w:val="none"/>
        </w:rPr>
        <w:t>（2）落实政府采购政策需满足的资格要求：无。</w:t>
      </w:r>
    </w:p>
    <w:p>
      <w:pPr>
        <w:tabs>
          <w:tab w:val="left" w:pos="720"/>
        </w:tabs>
        <w:adjustRightInd w:val="0"/>
        <w:snapToGrid w:val="0"/>
        <w:spacing w:line="360" w:lineRule="auto"/>
        <w:ind w:firstLine="422" w:firstLineChars="200"/>
        <w:jc w:val="left"/>
        <w:rPr>
          <w:rFonts w:hint="default" w:ascii="宋体" w:hAnsi="宋体" w:cs="宋体"/>
          <w:b/>
          <w:color w:val="auto"/>
          <w:szCs w:val="21"/>
          <w:highlight w:val="none"/>
        </w:rPr>
      </w:pPr>
      <w:r>
        <w:rPr>
          <w:rFonts w:ascii="宋体" w:hAnsi="宋体" w:cs="宋体"/>
          <w:b/>
          <w:snapToGrid w:val="0"/>
          <w:color w:val="auto"/>
          <w:kern w:val="0"/>
          <w:szCs w:val="21"/>
          <w:highlight w:val="none"/>
        </w:rPr>
        <w:t>（3）特定资格条件：无。</w:t>
      </w:r>
    </w:p>
    <w:p>
      <w:pPr>
        <w:autoSpaceDE w:val="0"/>
        <w:autoSpaceDN w:val="0"/>
        <w:adjustRightInd w:val="0"/>
        <w:snapToGrid w:val="0"/>
        <w:spacing w:line="360" w:lineRule="auto"/>
        <w:ind w:firstLine="422" w:firstLineChars="200"/>
        <w:textAlignment w:val="bottom"/>
        <w:rPr>
          <w:rFonts w:hint="default" w:ascii="宋体" w:hAnsi="宋体" w:cs="宋体"/>
          <w:b/>
          <w:bCs/>
          <w:color w:val="auto"/>
          <w:szCs w:val="21"/>
          <w:highlight w:val="none"/>
        </w:rPr>
      </w:pPr>
      <w:r>
        <w:rPr>
          <w:rFonts w:ascii="宋体" w:hAnsi="宋体" w:cs="宋体"/>
          <w:b/>
          <w:bCs/>
          <w:color w:val="auto"/>
          <w:szCs w:val="21"/>
          <w:highlight w:val="none"/>
        </w:rPr>
        <w:t>9.2 商务技术响应文件</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评分索引表；</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snapToGrid w:val="0"/>
          <w:color w:val="auto"/>
          <w:kern w:val="0"/>
          <w:szCs w:val="21"/>
          <w:highlight w:val="none"/>
        </w:rPr>
      </w:pPr>
      <w:r>
        <w:rPr>
          <w:rFonts w:ascii="宋体" w:hAnsi="宋体" w:cs="宋体"/>
          <w:bCs/>
          <w:snapToGrid w:val="0"/>
          <w:color w:val="auto"/>
          <w:kern w:val="0"/>
          <w:szCs w:val="21"/>
          <w:highlight w:val="none"/>
        </w:rPr>
        <w:t>投标函；</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法定代表人授权委托书，同时须附法定代表人和授权委托代表的有效身份证复印件（法定代表人直接参加投标并对相应文件签字的，只需提供前者）；</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中标服务费结算信息表</w:t>
      </w:r>
      <w:r>
        <w:rPr>
          <w:rFonts w:hint="eastAsia" w:ascii="宋体" w:hAnsi="宋体" w:cs="宋体"/>
          <w:bCs/>
          <w:color w:val="auto"/>
          <w:szCs w:val="21"/>
          <w:highlight w:val="none"/>
          <w:lang w:eastAsia="zh-CN"/>
        </w:rPr>
        <w:t>；</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投标人情况介绍</w:t>
      </w:r>
      <w:r>
        <w:rPr>
          <w:rFonts w:hint="eastAsia" w:ascii="宋体" w:hAnsi="宋体" w:cs="宋体"/>
          <w:bCs/>
          <w:color w:val="auto"/>
          <w:szCs w:val="21"/>
          <w:highlight w:val="none"/>
          <w:lang w:eastAsia="zh-CN"/>
        </w:rPr>
        <w:t>；</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廉政承诺书</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投标人同类项目业绩（以提供的完整合同复印件为准，原件备查）。</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投标产品列入财政部、发改委、生态环境部等部门发布的品目清单的，须提供国家确定的认证机构出具的、处于有效期之内的节能产品、环境标志产品认证证书复印件</w:t>
      </w:r>
      <w:r>
        <w:rPr>
          <w:rFonts w:hint="eastAsia" w:ascii="宋体" w:hAnsi="宋体" w:cs="宋体"/>
          <w:bCs/>
          <w:color w:val="auto"/>
          <w:szCs w:val="21"/>
          <w:highlight w:val="none"/>
          <w:lang w:eastAsia="zh-CN"/>
        </w:rPr>
        <w:t>；</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合同条款偏离表/商务条款偏离表；</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技术响应表。</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技术资料：产品彩页样本资料或官网公开的参数截图等。</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安装调试方案。</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验收方案。</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售后服务方案，包括每一项设备的免费保修期，售后服务响应时间、服务质量承诺。</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培训方案。包括培训工程师、培训次数、课程。</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常用配件（备品备件）价格表。</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与技术资信标评分有关的其他材料。</w:t>
      </w:r>
    </w:p>
    <w:p>
      <w:pPr>
        <w:numPr>
          <w:ilvl w:val="0"/>
          <w:numId w:val="6"/>
        </w:numPr>
        <w:tabs>
          <w:tab w:val="left" w:pos="851"/>
          <w:tab w:val="left" w:pos="900"/>
          <w:tab w:val="left" w:pos="1080"/>
        </w:tabs>
        <w:adjustRightInd w:val="0"/>
        <w:snapToGrid w:val="0"/>
        <w:spacing w:line="360" w:lineRule="auto"/>
        <w:ind w:left="0" w:firstLine="340"/>
        <w:jc w:val="left"/>
        <w:rPr>
          <w:rFonts w:hint="default" w:ascii="宋体" w:hAnsi="宋体" w:cs="宋体"/>
          <w:bCs/>
          <w:color w:val="auto"/>
          <w:szCs w:val="21"/>
          <w:highlight w:val="none"/>
        </w:rPr>
      </w:pPr>
      <w:r>
        <w:rPr>
          <w:rFonts w:ascii="宋体" w:hAnsi="宋体" w:cs="宋体"/>
          <w:bCs/>
          <w:color w:val="auto"/>
          <w:szCs w:val="21"/>
          <w:highlight w:val="none"/>
        </w:rPr>
        <w:t>投标人认为需要提供的其它文件及资料。</w:t>
      </w:r>
    </w:p>
    <w:p>
      <w:pPr>
        <w:adjustRightInd w:val="0"/>
        <w:snapToGrid w:val="0"/>
        <w:spacing w:line="360" w:lineRule="auto"/>
        <w:ind w:firstLine="422" w:firstLineChars="200"/>
        <w:jc w:val="left"/>
        <w:rPr>
          <w:rFonts w:hint="default" w:ascii="宋体" w:hAnsi="宋体" w:cs="宋体"/>
          <w:snapToGrid w:val="0"/>
          <w:color w:val="auto"/>
          <w:kern w:val="0"/>
          <w:szCs w:val="21"/>
          <w:highlight w:val="none"/>
        </w:rPr>
      </w:pPr>
      <w:r>
        <w:rPr>
          <w:rFonts w:ascii="宋体" w:hAnsi="宋体" w:cs="宋体"/>
          <w:b/>
          <w:snapToGrid w:val="0"/>
          <w:color w:val="auto"/>
          <w:kern w:val="0"/>
          <w:szCs w:val="21"/>
          <w:highlight w:val="none"/>
        </w:rPr>
        <w:t>9.3报价响应文件</w:t>
      </w:r>
    </w:p>
    <w:p>
      <w:pPr>
        <w:numPr>
          <w:ilvl w:val="0"/>
          <w:numId w:val="7"/>
        </w:numPr>
        <w:adjustRightInd w:val="0"/>
        <w:snapToGrid w:val="0"/>
        <w:spacing w:line="360" w:lineRule="auto"/>
        <w:ind w:left="993" w:hanging="571"/>
        <w:jc w:val="left"/>
        <w:rPr>
          <w:rFonts w:hint="default" w:ascii="宋体" w:hAnsi="宋体" w:cs="宋体"/>
          <w:bCs/>
          <w:snapToGrid w:val="0"/>
          <w:color w:val="auto"/>
          <w:kern w:val="0"/>
          <w:szCs w:val="21"/>
          <w:highlight w:val="none"/>
        </w:rPr>
      </w:pPr>
      <w:r>
        <w:rPr>
          <w:rFonts w:ascii="宋体" w:hAnsi="宋体" w:cs="宋体"/>
          <w:bCs/>
          <w:snapToGrid w:val="0"/>
          <w:color w:val="auto"/>
          <w:kern w:val="0"/>
          <w:szCs w:val="21"/>
          <w:highlight w:val="none"/>
        </w:rPr>
        <w:t>开标一览表；</w:t>
      </w:r>
    </w:p>
    <w:p>
      <w:pPr>
        <w:numPr>
          <w:ilvl w:val="0"/>
          <w:numId w:val="7"/>
        </w:numPr>
        <w:adjustRightInd w:val="0"/>
        <w:snapToGrid w:val="0"/>
        <w:spacing w:line="360" w:lineRule="auto"/>
        <w:ind w:left="993" w:hanging="571"/>
        <w:jc w:val="left"/>
        <w:rPr>
          <w:rFonts w:hint="default" w:ascii="宋体" w:hAnsi="宋体" w:cs="宋体"/>
          <w:bCs/>
          <w:snapToGrid w:val="0"/>
          <w:color w:val="auto"/>
          <w:kern w:val="0"/>
          <w:szCs w:val="21"/>
          <w:highlight w:val="none"/>
        </w:rPr>
      </w:pPr>
      <w:r>
        <w:rPr>
          <w:rFonts w:ascii="宋体" w:hAnsi="宋体" w:cs="宋体"/>
          <w:bCs/>
          <w:snapToGrid w:val="0"/>
          <w:color w:val="auto"/>
          <w:kern w:val="0"/>
          <w:szCs w:val="21"/>
          <w:highlight w:val="none"/>
        </w:rPr>
        <w:t>投标报价明细表；</w:t>
      </w:r>
    </w:p>
    <w:p>
      <w:pPr>
        <w:numPr>
          <w:ilvl w:val="0"/>
          <w:numId w:val="7"/>
        </w:numPr>
        <w:tabs>
          <w:tab w:val="left" w:pos="840"/>
          <w:tab w:val="left" w:pos="1050"/>
        </w:tabs>
        <w:adjustRightInd w:val="0"/>
        <w:snapToGrid w:val="0"/>
        <w:spacing w:line="360" w:lineRule="auto"/>
        <w:ind w:left="13" w:firstLine="409"/>
        <w:jc w:val="left"/>
        <w:rPr>
          <w:rFonts w:hint="default" w:ascii="宋体" w:hAnsi="宋体" w:cs="宋体"/>
          <w:bCs/>
          <w:snapToGrid w:val="0"/>
          <w:color w:val="auto"/>
          <w:kern w:val="0"/>
          <w:szCs w:val="21"/>
          <w:highlight w:val="none"/>
        </w:rPr>
      </w:pPr>
      <w:r>
        <w:rPr>
          <w:rFonts w:ascii="宋体" w:hAnsi="宋体" w:cs="Arial"/>
          <w:b/>
          <w:bCs/>
          <w:color w:val="auto"/>
          <w:kern w:val="0"/>
          <w:szCs w:val="21"/>
          <w:highlight w:val="none"/>
        </w:rPr>
        <w:t>《中小企业声明函》（格式详见第六部分）或《残疾人福利性单位声明函》（格式详见第六部分）或省级以上监狱管理局、戒毒管理局（含新疆生产建设兵团）出具的监狱企业证明文件；本项目对应的中小企业划分标准所属行业</w:t>
      </w:r>
      <w:r>
        <w:rPr>
          <w:rFonts w:hint="eastAsia" w:ascii="宋体" w:hAnsi="宋体" w:cs="Arial"/>
          <w:b/>
          <w:bCs/>
          <w:color w:val="auto"/>
          <w:kern w:val="0"/>
          <w:szCs w:val="21"/>
          <w:highlight w:val="none"/>
          <w:lang w:val="en-US" w:eastAsia="zh-CN"/>
        </w:rPr>
        <w:t>:</w:t>
      </w:r>
      <w:r>
        <w:rPr>
          <w:rFonts w:ascii="宋体" w:hAnsi="宋体" w:cs="Arial"/>
          <w:b/>
          <w:bCs/>
          <w:color w:val="auto"/>
          <w:kern w:val="0"/>
          <w:szCs w:val="21"/>
          <w:highlight w:val="none"/>
        </w:rPr>
        <w:t>工业。</w:t>
      </w:r>
    </w:p>
    <w:p>
      <w:pPr>
        <w:numPr>
          <w:ilvl w:val="0"/>
          <w:numId w:val="7"/>
        </w:numPr>
        <w:tabs>
          <w:tab w:val="left" w:pos="840"/>
          <w:tab w:val="left" w:pos="1050"/>
        </w:tabs>
        <w:adjustRightInd w:val="0"/>
        <w:snapToGrid w:val="0"/>
        <w:spacing w:line="360" w:lineRule="auto"/>
        <w:ind w:left="13" w:firstLine="409"/>
        <w:jc w:val="left"/>
        <w:rPr>
          <w:rFonts w:hint="default" w:ascii="宋体" w:hAnsi="宋体" w:cs="宋体"/>
          <w:bCs/>
          <w:snapToGrid w:val="0"/>
          <w:color w:val="auto"/>
          <w:kern w:val="0"/>
          <w:szCs w:val="21"/>
          <w:highlight w:val="none"/>
        </w:rPr>
      </w:pPr>
      <w:r>
        <w:rPr>
          <w:rFonts w:ascii="宋体" w:hAnsi="宋体" w:cs="宋体"/>
          <w:bCs/>
          <w:snapToGrid w:val="0"/>
          <w:color w:val="auto"/>
          <w:kern w:val="0"/>
          <w:szCs w:val="21"/>
          <w:highlight w:val="none"/>
        </w:rPr>
        <w:t>投标人认为针对报价需要说明的其他文件及资料。</w:t>
      </w:r>
    </w:p>
    <w:p>
      <w:pPr>
        <w:adjustRightInd w:val="0"/>
        <w:snapToGrid w:val="0"/>
        <w:spacing w:line="360" w:lineRule="auto"/>
        <w:ind w:firstLine="422" w:firstLineChars="20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9.5陈述和答辩</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本项目不设陈述和答辩环节。</w:t>
      </w:r>
    </w:p>
    <w:p>
      <w:pPr>
        <w:adjustRightInd w:val="0"/>
        <w:snapToGrid w:val="0"/>
        <w:spacing w:beforeLines="50"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10．投标函</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10.1 投标人应完整地填写采购文件中提供的投标函和投标相关附件。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10.2 投标文件应当对采购文件中有关投标有效期、采购需求等实质性内容作出响应。投标人在满足采购文件实质性要求的基础上，可以提出比采购文件要求更有利于采购人的承诺。</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11．投标报价</w:t>
      </w:r>
    </w:p>
    <w:p>
      <w:pPr>
        <w:pStyle w:val="2"/>
        <w:snapToGrid w:val="0"/>
        <w:ind w:firstLine="420" w:firstLineChars="2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11.1投标人应按采购文件中规定填写报价相关表单；</w:t>
      </w:r>
    </w:p>
    <w:p>
      <w:pPr>
        <w:pStyle w:val="2"/>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11.2</w:t>
      </w:r>
      <w:r>
        <w:rPr>
          <w:rFonts w:hint="eastAsia" w:ascii="宋体" w:hAnsi="宋体" w:eastAsia="宋体" w:cs="宋体"/>
          <w:b/>
          <w:snapToGrid w:val="0"/>
          <w:color w:val="auto"/>
          <w:kern w:val="0"/>
          <w:sz w:val="21"/>
          <w:szCs w:val="21"/>
          <w:highlight w:val="none"/>
        </w:rPr>
        <w:t>本次报价方式为总价包干，包含采购范围内货物的供货、安装、调试、验收、培训和售后服务等内容。上述费用及完成本项目所需的一切费用必须包含在投标总价中，如以后已实施而未列入报价的费用将被视为已含在总价内，采购人均不予支付。供安装调试所需辅材一次报入投标总价，除需求变更增减外，以后不作调整。</w:t>
      </w:r>
    </w:p>
    <w:p>
      <w:pPr>
        <w:widowControl/>
        <w:adjustRightInd w:val="0"/>
        <w:snapToGrid w:val="0"/>
        <w:spacing w:line="360" w:lineRule="auto"/>
        <w:ind w:firstLine="422" w:firstLineChars="200"/>
        <w:jc w:val="left"/>
        <w:rPr>
          <w:rFonts w:hint="default" w:ascii="宋体" w:hAnsi="宋体" w:cs="宋体"/>
          <w:snapToGrid w:val="0"/>
          <w:color w:val="auto"/>
          <w:kern w:val="0"/>
          <w:szCs w:val="21"/>
          <w:highlight w:val="none"/>
        </w:rPr>
      </w:pPr>
      <w:r>
        <w:rPr>
          <w:rFonts w:ascii="宋体" w:hAnsi="宋体" w:cs="宋体"/>
          <w:b/>
          <w:snapToGrid w:val="0"/>
          <w:color w:val="auto"/>
          <w:kern w:val="0"/>
          <w:szCs w:val="21"/>
          <w:highlight w:val="none"/>
        </w:rPr>
        <w:t>11.3本项目采购代理服务费由中标人向采购代理机构支付，相关成本支出由投标人自行考虑。采购代理服务费计取标准见前附表。</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11.4本项目只允许一次报价，不允许以开标后调整的报价作为评标的依据（但按本采购文件投标须知投标文件错误的修正并经评标委员会认定或经投标人确认同意的除外）。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11.5其它需在报价中考虑的因素：</w:t>
      </w:r>
    </w:p>
    <w:p>
      <w:pPr>
        <w:numPr>
          <w:ilvl w:val="0"/>
          <w:numId w:val="8"/>
        </w:numPr>
        <w:tabs>
          <w:tab w:val="left" w:pos="993"/>
        </w:tabs>
        <w:adjustRightInd w:val="0"/>
        <w:snapToGrid w:val="0"/>
        <w:spacing w:line="360" w:lineRule="auto"/>
        <w:ind w:left="0" w:firstLine="42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采购需求中明确的需供应商承担的费用均应含在投标总价中；</w:t>
      </w:r>
    </w:p>
    <w:p>
      <w:pPr>
        <w:numPr>
          <w:ilvl w:val="0"/>
          <w:numId w:val="8"/>
        </w:numPr>
        <w:tabs>
          <w:tab w:val="left" w:pos="993"/>
        </w:tabs>
        <w:adjustRightInd w:val="0"/>
        <w:snapToGrid w:val="0"/>
        <w:spacing w:line="360" w:lineRule="auto"/>
        <w:ind w:left="0" w:firstLine="420"/>
        <w:jc w:val="left"/>
        <w:rPr>
          <w:rFonts w:hint="default" w:ascii="宋体" w:hAnsi="宋体" w:cs="宋体"/>
          <w:b/>
          <w:snapToGrid w:val="0"/>
          <w:color w:val="auto"/>
          <w:kern w:val="0"/>
          <w:szCs w:val="21"/>
          <w:highlight w:val="none"/>
        </w:rPr>
      </w:pPr>
      <w:r>
        <w:rPr>
          <w:rFonts w:ascii="宋体" w:hAnsi="宋体" w:cs="宋体"/>
          <w:b/>
          <w:color w:val="auto"/>
          <w:szCs w:val="21"/>
          <w:highlight w:val="none"/>
        </w:rPr>
        <w:t>采购文件未明示但投标人认为可能产生的潜在费用支出均需自行考虑并计入投标总价中；</w:t>
      </w:r>
    </w:p>
    <w:p>
      <w:pPr>
        <w:numPr>
          <w:ilvl w:val="0"/>
          <w:numId w:val="8"/>
        </w:numPr>
        <w:tabs>
          <w:tab w:val="left" w:pos="993"/>
        </w:tabs>
        <w:adjustRightInd w:val="0"/>
        <w:snapToGrid w:val="0"/>
        <w:spacing w:line="360" w:lineRule="auto"/>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对于没有填报的项目，采购人将不再支付，并均认为已包含在报价内。</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12．投标货币</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投标人用人民币报价。</w:t>
      </w:r>
    </w:p>
    <w:p>
      <w:pPr>
        <w:pStyle w:val="2"/>
        <w:numPr>
          <w:ilvl w:val="0"/>
          <w:numId w:val="9"/>
        </w:numPr>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投标保证金</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13.1 本项目不收取投标保证金。但违反政府采购相关规定给采购人造成损失的，投标人应当承担赔偿责任。</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14．投标有效期</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14.1 投标文件在开标之日起90个日历天内有效。</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14.3 中标人的投标文件自开标之日起至合同履行完毕止均应保持有效。</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15．投标文件的式样</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15.2 投标文件是电子投标文件，包括“电子加密投标文件”和“备份投标文件”，在投标文件编制完成后同时生成。</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（3）一份电子加密标书（后缀格式为.jmbs），一份</w:t>
      </w:r>
      <w:r>
        <w:rPr>
          <w:rFonts w:hint="eastAsia" w:ascii="宋体" w:hAnsi="宋体" w:cs="宋体"/>
          <w:snapToGrid w:val="0"/>
          <w:color w:val="auto"/>
          <w:kern w:val="0"/>
          <w:szCs w:val="21"/>
          <w:highlight w:val="none"/>
          <w:lang w:eastAsia="zh-CN"/>
        </w:rPr>
        <w:t>备份投标文件</w:t>
      </w:r>
      <w:r>
        <w:rPr>
          <w:rFonts w:ascii="宋体" w:hAnsi="宋体" w:cs="宋体"/>
          <w:snapToGrid w:val="0"/>
          <w:color w:val="auto"/>
          <w:kern w:val="0"/>
          <w:szCs w:val="21"/>
          <w:highlight w:val="none"/>
        </w:rPr>
        <w:t>（后缀格式为.bfbs）</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（4）每份电子投标文件应包括资格响应文件、商务技术响应文件、报价响应文件三部分内容。</w:t>
      </w:r>
    </w:p>
    <w:p>
      <w:pPr>
        <w:adjustRightInd w:val="0"/>
        <w:snapToGrid w:val="0"/>
        <w:spacing w:line="360" w:lineRule="auto"/>
        <w:ind w:firstLine="422" w:firstLineChars="200"/>
        <w:jc w:val="left"/>
        <w:rPr>
          <w:rFonts w:hint="default" w:ascii="宋体" w:hAnsi="宋体" w:cs="宋体"/>
          <w:b/>
          <w:bCs/>
          <w:snapToGrid w:val="0"/>
          <w:color w:val="auto"/>
          <w:kern w:val="0"/>
          <w:szCs w:val="21"/>
          <w:highlight w:val="none"/>
        </w:rPr>
      </w:pPr>
      <w:r>
        <w:rPr>
          <w:rFonts w:ascii="宋体" w:hAnsi="宋体" w:cs="宋体"/>
          <w:b/>
          <w:bCs/>
          <w:snapToGrid w:val="0"/>
          <w:color w:val="auto"/>
          <w:kern w:val="0"/>
          <w:szCs w:val="21"/>
          <w:highlight w:val="none"/>
        </w:rPr>
        <w:t>15.3 投标文件中投标函、法定代表人授权委托书的格式、签字、盖章及内容均应符合采购文件格式要求，否则投标文件无效。</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15.4投标人应根据“政采云供应商项目采购-电子招投标操作指南”及本采购文件规定编制电子投标文件并进行关联定位，以便评标委员会在评标时，点击评分项，可直接定位到该评分项内容。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如对采购文件的某项要求，投标人的投标响应文件未能提供相应的内容与其对应，则评标委员会在评审时会提示投标人未对此项招标要求提供相应内容。由此产生的评分影响由投标人自行承担。</w:t>
      </w:r>
    </w:p>
    <w:p>
      <w:pPr>
        <w:pStyle w:val="2"/>
        <w:rPr>
          <w:rFonts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投标文件内容不完整、编排混乱导致投标文件被误读、漏读，或者在按采购文件规定的部分查找不到相关内容的，是投标人的责任。</w:t>
      </w:r>
    </w:p>
    <w:p>
      <w:pPr>
        <w:pStyle w:val="4"/>
        <w:snapToGrid w:val="0"/>
        <w:spacing w:beforeLines="50" w:afterLines="50" w:line="360" w:lineRule="auto"/>
        <w:rPr>
          <w:rFonts w:hint="default" w:ascii="宋体" w:hAnsi="宋体" w:eastAsia="宋体" w:cs="宋体"/>
          <w:color w:val="auto"/>
          <w:sz w:val="21"/>
          <w:szCs w:val="21"/>
          <w:highlight w:val="none"/>
        </w:rPr>
      </w:pPr>
      <w:bookmarkStart w:id="21" w:name="_Toc240450080"/>
      <w:bookmarkStart w:id="22" w:name="_Toc251566653"/>
      <w:bookmarkStart w:id="23" w:name="_Toc20467"/>
      <w:bookmarkStart w:id="24" w:name="_Toc11108"/>
      <w:bookmarkStart w:id="25" w:name="_Toc1575"/>
      <w:r>
        <w:rPr>
          <w:rFonts w:ascii="宋体" w:hAnsi="宋体" w:eastAsia="宋体" w:cs="宋体"/>
          <w:color w:val="auto"/>
          <w:sz w:val="21"/>
          <w:szCs w:val="21"/>
          <w:highlight w:val="none"/>
        </w:rPr>
        <w:t>四、投标文件的递交</w:t>
      </w:r>
      <w:bookmarkEnd w:id="21"/>
      <w:bookmarkEnd w:id="22"/>
      <w:bookmarkEnd w:id="23"/>
      <w:bookmarkEnd w:id="24"/>
      <w:bookmarkEnd w:id="25"/>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16．投标文件的递交</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16.1 电子加密投标文件：投标文件制作完成并生成加密标书，在投标截止时间前，投标人需将加密的投标文件上传至政采云平台，到达开标时间后，解密投标文件。</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a.投标人未能在投标截止时间前成功上传电子加密投标文件的投标无效。</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b.投标人成功上传电子加密投标文件后，可自行打印投标文件接收回执。</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16.2备份投标文件：供应商确保在投标截止时间前，将备份投标文件通过快递形式寄达采购代理机构处，以便标书解密异常时应急使用。</w:t>
      </w:r>
    </w:p>
    <w:p>
      <w:pPr>
        <w:pStyle w:val="23"/>
        <w:numPr>
          <w:ilvl w:val="0"/>
          <w:numId w:val="10"/>
        </w:numPr>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pStyle w:val="23"/>
        <w:numPr>
          <w:ilvl w:val="0"/>
          <w:numId w:val="10"/>
        </w:numPr>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投标人仅提交备份投标文件的，投标无效。</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17．投标截止期</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17.1 投标人应按前附表规定的日期、时间和方式上传、递交投标文件。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18．迟交的投标文件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在本须知第17条规定的截止期后收到的任何投标文件，采购人将不予接收。</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19．投标文件的修改与撤回</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snapToGrid w:val="0"/>
          <w:color w:val="auto"/>
          <w:kern w:val="0"/>
          <w:highlight w:val="none"/>
        </w:rPr>
        <w:t>19.1 投标人在递交投标文件后，在规定的投标截止时间前，</w:t>
      </w:r>
      <w:r>
        <w:rPr>
          <w:rFonts w:hint="eastAsia" w:ascii="宋体" w:hAnsi="宋体" w:eastAsia="宋体" w:cs="宋体"/>
          <w:color w:val="auto"/>
          <w:highlight w:val="none"/>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19.2 在投标截止期之后，投标人不得对其投标作任何修改。</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19.3 从投标截止期至投标人在投标函格式中确定的投标有效期期满这段时间内，投标人不得撤回其投标。</w:t>
      </w:r>
    </w:p>
    <w:p>
      <w:pPr>
        <w:pStyle w:val="4"/>
        <w:snapToGrid w:val="0"/>
        <w:spacing w:beforeLines="50" w:afterLines="50" w:line="360" w:lineRule="auto"/>
        <w:rPr>
          <w:rFonts w:hint="default" w:ascii="宋体" w:hAnsi="宋体" w:eastAsia="宋体" w:cs="宋体"/>
          <w:color w:val="auto"/>
          <w:sz w:val="21"/>
          <w:szCs w:val="21"/>
          <w:highlight w:val="none"/>
        </w:rPr>
      </w:pPr>
      <w:bookmarkStart w:id="26" w:name="_Toc14566"/>
      <w:bookmarkStart w:id="27" w:name="_Toc13578"/>
      <w:bookmarkStart w:id="28" w:name="_Toc240450081"/>
      <w:bookmarkStart w:id="29" w:name="_Toc251566654"/>
      <w:bookmarkStart w:id="30" w:name="_Toc15078"/>
      <w:r>
        <w:rPr>
          <w:rFonts w:ascii="宋体" w:hAnsi="宋体" w:eastAsia="宋体" w:cs="宋体"/>
          <w:color w:val="auto"/>
          <w:sz w:val="21"/>
          <w:szCs w:val="21"/>
          <w:highlight w:val="none"/>
        </w:rPr>
        <w:t>五、开标与评标</w:t>
      </w:r>
      <w:bookmarkEnd w:id="26"/>
      <w:bookmarkEnd w:id="27"/>
      <w:bookmarkEnd w:id="28"/>
      <w:bookmarkEnd w:id="29"/>
      <w:bookmarkEnd w:id="30"/>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20．开标</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20.1 采购人将于前附表规定的时间和地点公开开标。若采购人按本须知第7条规定，通过修改采购文件更改了开标时间和地点的，以后者为准。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20.2开评标期间，供应商代表应在线操作，并关注政采云有关信息公布、澄清等情况。供应商代表不参加开标程序的，事后不得对采购相关人员、开标过程和开标结果提出异议。</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20.3 开标程序</w:t>
      </w:r>
    </w:p>
    <w:p>
      <w:pPr>
        <w:adjustRightInd w:val="0"/>
        <w:snapToGrid w:val="0"/>
        <w:spacing w:line="360" w:lineRule="auto"/>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20.3.1开标第一阶段</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（2）投标文件解密结束，各供应商通过邮件形式签署《政府采购活动现场确认声明书》；</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（3）开启投标文件，进入资格审查；</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（4）开启资格审查通过的投标供应商的商务技术文件进入符合性审查、商务技术评审；</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（5）第一阶段开标结束。</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备注：开标程序的第一阶段结束后，采购人或采购代理机构将对依法对投标供应商的资格进行审查，资格审查结束后进入符合性审查和商务技术的评审工作。</w:t>
      </w:r>
    </w:p>
    <w:p>
      <w:pPr>
        <w:adjustRightInd w:val="0"/>
        <w:snapToGrid w:val="0"/>
        <w:spacing w:line="360" w:lineRule="auto"/>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20.3.</w:t>
      </w: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开标第</w:t>
      </w:r>
      <w:r>
        <w:rPr>
          <w:rFonts w:hint="eastAsia" w:ascii="宋体" w:hAnsi="宋体" w:cs="宋体"/>
          <w:b/>
          <w:bCs/>
          <w:color w:val="auto"/>
          <w:szCs w:val="21"/>
          <w:highlight w:val="none"/>
          <w:lang w:val="en-US" w:eastAsia="zh-CN"/>
        </w:rPr>
        <w:t>二</w:t>
      </w:r>
      <w:r>
        <w:rPr>
          <w:rFonts w:ascii="宋体" w:hAnsi="宋体" w:cs="宋体"/>
          <w:b/>
          <w:bCs/>
          <w:color w:val="auto"/>
          <w:szCs w:val="21"/>
          <w:highlight w:val="none"/>
        </w:rPr>
        <w:t>阶段</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（1）符合性审查、商务技术评审结束后，举行开标程序第二阶段会议。在线公布经商务技术评审后有效供应商的名单，同时公布其商务技术部分得分情况。</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开启符合性审查、商务技术评审有效供应商的《报价响应文件》，在线公布开标一览表有关内容，同时当场制作开标记录表，供应商在线签字确认（不予确认的应说明理由，否则视为无异议）。报价响应文件开标结束后，由评标委员会对报价的合理性、准确性等进行审查核实。</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（3）评审结束后，公布中标（成交）候选供应商名单，及采购人最终确定中标或中标人名单的时间和公告方式等。</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20.4如遇“政府采购云平台”电子化开标或评审程序调整的，或者政采云系统提供数据电文交互功能的，按其规定执行。</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21．评标</w:t>
      </w:r>
    </w:p>
    <w:p>
      <w:pPr>
        <w:adjustRightInd w:val="0"/>
        <w:snapToGrid w:val="0"/>
        <w:spacing w:line="360" w:lineRule="auto"/>
        <w:ind w:firstLine="422" w:firstLineChars="200"/>
        <w:jc w:val="left"/>
        <w:rPr>
          <w:rFonts w:hint="default" w:ascii="宋体" w:hAnsi="宋体" w:cs="宋体"/>
          <w:b/>
          <w:color w:val="auto"/>
          <w:szCs w:val="21"/>
          <w:highlight w:val="none"/>
        </w:rPr>
      </w:pPr>
      <w:r>
        <w:rPr>
          <w:rFonts w:ascii="宋体" w:hAnsi="宋体" w:cs="宋体"/>
          <w:b/>
          <w:color w:val="auto"/>
          <w:szCs w:val="21"/>
          <w:highlight w:val="none"/>
        </w:rPr>
        <w:t>21.1 评标组织</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pPr>
        <w:adjustRightInd w:val="0"/>
        <w:snapToGrid w:val="0"/>
        <w:spacing w:line="360" w:lineRule="auto"/>
        <w:ind w:firstLine="422" w:firstLineChars="200"/>
        <w:jc w:val="left"/>
        <w:rPr>
          <w:rFonts w:hint="default" w:ascii="宋体" w:hAnsi="宋体" w:cs="宋体"/>
          <w:b/>
          <w:color w:val="auto"/>
          <w:szCs w:val="21"/>
          <w:highlight w:val="none"/>
        </w:rPr>
      </w:pPr>
      <w:r>
        <w:rPr>
          <w:rFonts w:ascii="宋体" w:hAnsi="宋体" w:cs="宋体"/>
          <w:b/>
          <w:color w:val="auto"/>
          <w:szCs w:val="21"/>
          <w:highlight w:val="none"/>
        </w:rPr>
        <w:t>21.2评标纪律</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本次评标工作将在严格保密的情况下进行，评标委员会成员名单在中标结果公告前将保密。</w:t>
      </w:r>
    </w:p>
    <w:p>
      <w:pPr>
        <w:adjustRightInd w:val="0"/>
        <w:snapToGrid w:val="0"/>
        <w:spacing w:line="360" w:lineRule="auto"/>
        <w:ind w:firstLine="422" w:firstLineChars="200"/>
        <w:jc w:val="left"/>
        <w:rPr>
          <w:rFonts w:hint="default" w:ascii="宋体" w:hAnsi="宋体" w:cs="宋体"/>
          <w:b/>
          <w:color w:val="auto"/>
          <w:szCs w:val="21"/>
          <w:highlight w:val="none"/>
        </w:rPr>
      </w:pPr>
      <w:r>
        <w:rPr>
          <w:rFonts w:ascii="宋体" w:hAnsi="宋体" w:cs="宋体"/>
          <w:b/>
          <w:color w:val="auto"/>
          <w:szCs w:val="21"/>
          <w:highlight w:val="none"/>
        </w:rPr>
        <w:t>21.3评标办法</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采用综合评分法，详见采购文件第五部分“评标办法”。</w:t>
      </w:r>
    </w:p>
    <w:p>
      <w:pPr>
        <w:adjustRightInd w:val="0"/>
        <w:snapToGrid w:val="0"/>
        <w:spacing w:line="360" w:lineRule="auto"/>
        <w:ind w:firstLine="422" w:firstLineChars="200"/>
        <w:jc w:val="left"/>
        <w:rPr>
          <w:rFonts w:hint="default" w:ascii="宋体" w:hAnsi="宋体" w:cs="宋体"/>
          <w:b/>
          <w:color w:val="auto"/>
          <w:szCs w:val="21"/>
          <w:highlight w:val="none"/>
        </w:rPr>
      </w:pPr>
      <w:r>
        <w:rPr>
          <w:rFonts w:ascii="宋体" w:hAnsi="宋体" w:cs="宋体"/>
          <w:b/>
          <w:color w:val="auto"/>
          <w:szCs w:val="21"/>
          <w:highlight w:val="none"/>
        </w:rPr>
        <w:t>21.4 评标程序</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21.4.1投标文件初审。初审分为资格性检查和符合性检查。</w:t>
      </w:r>
    </w:p>
    <w:p>
      <w:pPr>
        <w:numPr>
          <w:ilvl w:val="0"/>
          <w:numId w:val="11"/>
        </w:num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资格性检查。</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开标后，采购人或采购代理机构将依据法律法规和本须知第9.1条规定对投标人的基本资格条件、特定资格条件进行审查。</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snapToGrid w:val="0"/>
          <w:color w:val="auto"/>
          <w:kern w:val="0"/>
          <w:szCs w:val="21"/>
          <w:highlight w:val="none"/>
        </w:rPr>
        <w:t>投标人未按照采购文件投标须知9.1条要求提供与基本资格条件、特定资格条件相应的有效资格证明材料的，视为投标人不具备采购文件中规定的资格要求，其资格审查不通过。</w:t>
      </w:r>
    </w:p>
    <w:p>
      <w:pPr>
        <w:numPr>
          <w:ilvl w:val="0"/>
          <w:numId w:val="11"/>
        </w:num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符合性检查。依据采购文件的规定，从投标文件的有效性、完整性和对采购文件的响应程度进行审查，以确定是否对采购文件的实质性要求作出响应。具体审查内容见第五部分“评标办法”。</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评标委员会决定投标文件的响应性只根据投标文件本身的内容，而不寻求外部证据。</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21.4.2比较与评价。</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21.4.3按采购文件中规定的评标方法和标准，对投标人进行排序，并推荐中标候选人。</w:t>
      </w:r>
    </w:p>
    <w:p>
      <w:pPr>
        <w:adjustRightInd w:val="0"/>
        <w:snapToGrid w:val="0"/>
        <w:spacing w:line="360" w:lineRule="auto"/>
        <w:ind w:firstLine="420" w:firstLineChars="200"/>
        <w:jc w:val="left"/>
        <w:rPr>
          <w:rFonts w:hint="default" w:ascii="宋体" w:hAnsi="宋体" w:cs="宋体"/>
          <w:b/>
          <w:color w:val="auto"/>
          <w:szCs w:val="21"/>
          <w:highlight w:val="none"/>
        </w:rPr>
      </w:pPr>
      <w:r>
        <w:rPr>
          <w:rFonts w:ascii="宋体" w:hAnsi="宋体" w:cs="宋体"/>
          <w:color w:val="auto"/>
          <w:szCs w:val="21"/>
          <w:highlight w:val="none"/>
        </w:rPr>
        <w:t>21.4.4编写评标报告</w:t>
      </w:r>
      <w:r>
        <w:rPr>
          <w:rFonts w:ascii="宋体" w:hAnsi="宋体" w:cs="宋体"/>
          <w:b/>
          <w:color w:val="auto"/>
          <w:szCs w:val="21"/>
          <w:highlight w:val="none"/>
        </w:rPr>
        <w:t>。</w:t>
      </w:r>
    </w:p>
    <w:p>
      <w:pPr>
        <w:tabs>
          <w:tab w:val="left" w:pos="900"/>
          <w:tab w:val="left" w:pos="1080"/>
        </w:tabs>
        <w:adjustRightInd w:val="0"/>
        <w:snapToGrid w:val="0"/>
        <w:spacing w:line="360" w:lineRule="auto"/>
        <w:ind w:firstLine="422" w:firstLineChars="200"/>
        <w:jc w:val="left"/>
        <w:rPr>
          <w:rFonts w:hint="default" w:ascii="宋体" w:hAnsi="宋体" w:cs="宋体"/>
          <w:snapToGrid w:val="0"/>
          <w:color w:val="auto"/>
          <w:kern w:val="0"/>
          <w:szCs w:val="21"/>
          <w:highlight w:val="none"/>
        </w:rPr>
      </w:pPr>
      <w:r>
        <w:rPr>
          <w:rFonts w:ascii="宋体" w:hAnsi="宋体" w:cs="宋体"/>
          <w:b/>
          <w:color w:val="auto"/>
          <w:szCs w:val="21"/>
          <w:highlight w:val="none"/>
        </w:rPr>
        <w:t>22．串通投标</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有下列情形之一的，视为投标人串通投标，其投标无效：</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（1）不同投标人的投标文件由同一单位或者个人编制；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（2）不同投标人委托同一单位或者个人办理投标事宜；</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（3）不同投标人的投标文件载明的项目管理成员或者联系人员为同一人；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（4）不同投标人的投标文件异常一致或者投标报价呈规律性差异；</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（5）不同投标人的投标文件相互混装。</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23．废标</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23.1根据《中华人民共和国政府采购法》第三十六条，出现下列情形之一的，应予以废标：</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（1）符合专业条件的供应商或者对采购文件作实质响应的供应商不足三家的；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（2）出现影响采购公正的违法、违规行为的；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（3）所有投标人的报价均超过了采购预算，采购人不能支付的；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（4）因重大变故，采购任务取消的。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23.2采购过程中出现以下情形，导致电子交易平台无法正常运行，或者无法保证电子交易的公平、公正和安全时，采购组织机构可中止电子交易活动：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（1）电子交易平台发生故障而无法登录访问的； </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（2）电子交易平台应用或数据库出现错误，不能进行正常操作的；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（3）电子交易平台发现严重安全漏洞，有潜在泄密危险的；</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（4）病毒发作导致不能进行正常操作的； </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（5）其他无法保证电子交易的公平、公正和安全的情况。</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23.3 废标后，采购人应当将废标理由通知所有投标人并重新组织招标；或者经主管部门批准，采取其他方式组织采购。</w:t>
      </w:r>
    </w:p>
    <w:p>
      <w:pPr>
        <w:pStyle w:val="4"/>
        <w:snapToGrid w:val="0"/>
        <w:spacing w:beforeLines="50" w:afterLines="50" w:line="360" w:lineRule="auto"/>
        <w:rPr>
          <w:rFonts w:hint="default" w:ascii="宋体" w:hAnsi="宋体" w:eastAsia="宋体" w:cs="宋体"/>
          <w:color w:val="auto"/>
          <w:sz w:val="21"/>
          <w:szCs w:val="21"/>
          <w:highlight w:val="none"/>
        </w:rPr>
      </w:pPr>
      <w:bookmarkStart w:id="31" w:name="_Toc16683"/>
      <w:bookmarkStart w:id="32" w:name="_Toc26186"/>
      <w:bookmarkStart w:id="33" w:name="_Toc240450082"/>
      <w:bookmarkStart w:id="34" w:name="_Toc251566655"/>
      <w:r>
        <w:rPr>
          <w:rFonts w:ascii="宋体" w:hAnsi="宋体" w:eastAsia="宋体" w:cs="宋体"/>
          <w:color w:val="auto"/>
          <w:sz w:val="21"/>
          <w:szCs w:val="21"/>
          <w:highlight w:val="none"/>
        </w:rPr>
        <w:t>六、确定中标人及授予合同</w:t>
      </w:r>
      <w:bookmarkEnd w:id="31"/>
      <w:bookmarkEnd w:id="32"/>
      <w:bookmarkEnd w:id="33"/>
      <w:bookmarkEnd w:id="34"/>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24．中标人的确定</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24.1 采购代理机构应当自评审结束之日起2个工作日内将评审报告送交采购人。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采购人或者采购代理机构应当自中标人确定之日起2个工作日内，在省级以上财政部门指定的媒体上公告中标结果。</w:t>
      </w:r>
      <w:r>
        <w:rPr>
          <w:rFonts w:hint="eastAsia" w:ascii="宋体" w:hAnsi="宋体" w:cs="宋体"/>
          <w:snapToGrid w:val="0"/>
          <w:color w:val="auto"/>
          <w:kern w:val="0"/>
          <w:szCs w:val="21"/>
          <w:highlight w:val="none"/>
          <w:lang w:eastAsia="zh-CN"/>
        </w:rPr>
        <w:t>中标</w:t>
      </w:r>
      <w:r>
        <w:rPr>
          <w:rFonts w:hint="eastAsia" w:ascii="宋体" w:hAnsi="宋体" w:cs="宋体"/>
          <w:snapToGrid w:val="0"/>
          <w:color w:val="auto"/>
          <w:kern w:val="0"/>
          <w:szCs w:val="21"/>
          <w:highlight w:val="none"/>
        </w:rPr>
        <w:t>供应商享受中小企业扶持政策的，采购人、采购代理机构应当随</w:t>
      </w:r>
      <w:r>
        <w:rPr>
          <w:rFonts w:hint="eastAsia" w:ascii="宋体" w:hAnsi="宋体" w:cs="宋体"/>
          <w:snapToGrid w:val="0"/>
          <w:color w:val="auto"/>
          <w:kern w:val="0"/>
          <w:szCs w:val="21"/>
          <w:highlight w:val="none"/>
          <w:lang w:eastAsia="zh-CN"/>
        </w:rPr>
        <w:t>中标</w:t>
      </w:r>
      <w:r>
        <w:rPr>
          <w:rFonts w:hint="eastAsia" w:ascii="宋体" w:hAnsi="宋体" w:cs="宋体"/>
          <w:snapToGrid w:val="0"/>
          <w:color w:val="auto"/>
          <w:kern w:val="0"/>
          <w:szCs w:val="21"/>
          <w:highlight w:val="none"/>
        </w:rPr>
        <w:t>结果公开</w:t>
      </w:r>
      <w:r>
        <w:rPr>
          <w:rFonts w:hint="eastAsia" w:ascii="宋体" w:hAnsi="宋体" w:cs="宋体"/>
          <w:snapToGrid w:val="0"/>
          <w:color w:val="auto"/>
          <w:kern w:val="0"/>
          <w:szCs w:val="21"/>
          <w:highlight w:val="none"/>
          <w:lang w:eastAsia="zh-CN"/>
        </w:rPr>
        <w:t>中标</w:t>
      </w:r>
      <w:r>
        <w:rPr>
          <w:rFonts w:hint="eastAsia" w:ascii="宋体" w:hAnsi="宋体" w:cs="宋体"/>
          <w:snapToGrid w:val="0"/>
          <w:color w:val="auto"/>
          <w:kern w:val="0"/>
          <w:szCs w:val="21"/>
          <w:highlight w:val="none"/>
        </w:rPr>
        <w:t>供应商的《中小企业声明函》。</w:t>
      </w:r>
      <w:r>
        <w:rPr>
          <w:rFonts w:ascii="宋体" w:hAnsi="宋体" w:cs="宋体"/>
          <w:snapToGrid w:val="0"/>
          <w:color w:val="auto"/>
          <w:kern w:val="0"/>
          <w:szCs w:val="21"/>
          <w:highlight w:val="none"/>
        </w:rPr>
        <w:t>公告期限为1个工作日。</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24.2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24.3中标通知书发出后，采购人不得违法改变中标结果，中标人无正当理由不得放弃中标。 </w:t>
      </w:r>
    </w:p>
    <w:p>
      <w:pPr>
        <w:adjustRightInd w:val="0"/>
        <w:snapToGrid w:val="0"/>
        <w:spacing w:line="360" w:lineRule="auto"/>
        <w:ind w:firstLine="422" w:firstLineChars="20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24.4中标人应为浙江政府采购注册供应商，如尚未注册，必须在投标截止前按照《浙江省政府采购供应商注册及诚信管理暂行办法》（浙财采监字［2009］28号）的相关规定，及时办理更新或供应商注册事项。</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25．合同授予</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25.1 本项目的合同将授予按本须知第24.1款所确定的中标人。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25.2 中标或者成交供应商拒绝与采购人签订合同的，采购人可以按照评审报告推荐的中标或者成交候选人名单排序，确定下一候选人为中标或者成交供应商，也可以重新开展政府采购活动。</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26．签订合同</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26.3 采购文件、中标人的投标文件及投标修改文件、评标过程中有关澄清文件及经投标人法定代表人或授权代表签字确认的询标回复和承诺及中标通知书均作为合同组成部分。</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27．履约保证金</w:t>
      </w:r>
    </w:p>
    <w:p>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ascii="宋体" w:hAnsi="宋体" w:cs="宋体"/>
          <w:snapToGrid w:val="0"/>
          <w:color w:val="auto"/>
          <w:kern w:val="0"/>
          <w:szCs w:val="21"/>
          <w:highlight w:val="none"/>
        </w:rPr>
        <w:t>详见前附表</w:t>
      </w:r>
      <w:r>
        <w:rPr>
          <w:rFonts w:hint="eastAsia" w:ascii="宋体" w:hAnsi="宋体" w:cs="宋体"/>
          <w:snapToGrid w:val="0"/>
          <w:color w:val="auto"/>
          <w:kern w:val="0"/>
          <w:szCs w:val="21"/>
          <w:highlight w:val="none"/>
          <w:lang w:eastAsia="zh-CN"/>
        </w:rPr>
        <w:t>。</w:t>
      </w:r>
    </w:p>
    <w:p>
      <w:pPr>
        <w:adjustRightInd w:val="0"/>
        <w:snapToGrid w:val="0"/>
        <w:spacing w:beforeLines="50"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28.采购代理服务费</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snapToGrid w:val="0"/>
          <w:color w:val="auto"/>
          <w:kern w:val="0"/>
          <w:szCs w:val="21"/>
          <w:highlight w:val="none"/>
        </w:rPr>
        <w:t>本项目的采购代理费由中标人支付，</w:t>
      </w:r>
      <w:r>
        <w:rPr>
          <w:rFonts w:ascii="宋体" w:hAnsi="宋体" w:cs="宋体"/>
          <w:color w:val="auto"/>
          <w:szCs w:val="21"/>
          <w:highlight w:val="none"/>
        </w:rPr>
        <w:t>收费标准详见前附表。</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29.质疑与投诉</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质疑函范本、投诉书范本请到浙江政府采购网下载专区下载。</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29.1供应商询问</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供应商对政府采购活动事项有疑问的，可以向采购机构提出询问，采购人或者采购代理机构应当在3个工作日内对供应商依法提出的询问作出答复，但答复的内容不得涉及商业秘密。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29.2供应商质疑</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29.2.1投标人认为采购文件、采购过程、中标或者成交结果使自己的权益受到损害的，可以在知道或者应知其权益受到损害之日起7个工作日内，以书面形式向采购人、采购代理机构提出质疑。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本项目要求投标人在法定质疑期内一次性提出针对同一采购程序环节的质疑。</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29.2.2提出质疑的投标人（以下简称质疑人）应当是参与所质疑项目采购活动的投标人。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29.2.3投标人提出质疑应当提交质疑函和必要的证明材料。质疑函应当包括下列内容：</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（一）投标人的姓名或者名称、地址、邮编、联系人及联系电话；</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（二）质疑项目的名称、编号；</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（三）具体、明确的质疑事项和与质疑事项相关的请求；</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（四）事实依据；</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（五）必要的法律依据；</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（六）提出质疑的日期。</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29.3.4采购人、采购代理机构在收到法定质疑期内发出的质疑函后7个工作日内作出答复，并以书面形式通知质疑人和其他有关投标人。质疑答复的内容不得涉及商业秘密。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29.3供应商投诉</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30．采购结束</w:t>
      </w:r>
    </w:p>
    <w:p>
      <w:pPr>
        <w:adjustRightInd w:val="0"/>
        <w:snapToGrid w:val="0"/>
        <w:spacing w:line="360" w:lineRule="auto"/>
        <w:ind w:firstLine="420" w:firstLineChars="200"/>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30.1中标人与采购人签订合同生效后即为采购结束。</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30.2本项目的投标文件不予退回。</w:t>
      </w:r>
    </w:p>
    <w:p>
      <w:pPr>
        <w:adjustRightInd w:val="0"/>
        <w:snapToGrid w:val="0"/>
        <w:spacing w:beforeLines="50" w:afterLines="50" w:line="360" w:lineRule="auto"/>
        <w:jc w:val="center"/>
        <w:outlineLvl w:val="0"/>
        <w:rPr>
          <w:rFonts w:hint="default" w:ascii="宋体" w:hAnsi="宋体" w:cs="宋体"/>
          <w:b/>
          <w:color w:val="auto"/>
          <w:sz w:val="30"/>
          <w:szCs w:val="30"/>
          <w:highlight w:val="none"/>
        </w:rPr>
      </w:pPr>
      <w:r>
        <w:rPr>
          <w:rFonts w:ascii="宋体" w:hAnsi="宋体" w:cs="宋体"/>
          <w:b/>
          <w:bCs/>
          <w:color w:val="auto"/>
          <w:sz w:val="28"/>
          <w:szCs w:val="21"/>
          <w:highlight w:val="none"/>
        </w:rPr>
        <w:br w:type="page"/>
      </w:r>
      <w:bookmarkStart w:id="35" w:name="_Toc83616202"/>
      <w:bookmarkStart w:id="36" w:name="_Toc14065"/>
      <w:bookmarkStart w:id="37" w:name="_Toc242012796"/>
      <w:bookmarkStart w:id="38" w:name="_Toc31190"/>
      <w:r>
        <w:rPr>
          <w:rFonts w:ascii="宋体" w:hAnsi="宋体" w:cs="宋体"/>
          <w:b/>
          <w:color w:val="auto"/>
          <w:sz w:val="30"/>
          <w:szCs w:val="30"/>
          <w:highlight w:val="none"/>
        </w:rPr>
        <w:t>第三部分</w:t>
      </w:r>
      <w:bookmarkEnd w:id="35"/>
      <w:r>
        <w:rPr>
          <w:rFonts w:ascii="宋体" w:hAnsi="宋体" w:cs="宋体"/>
          <w:b/>
          <w:color w:val="auto"/>
          <w:sz w:val="30"/>
          <w:szCs w:val="30"/>
          <w:highlight w:val="none"/>
        </w:rPr>
        <w:t xml:space="preserve"> 采购需求书</w:t>
      </w:r>
      <w:bookmarkEnd w:id="36"/>
      <w:bookmarkEnd w:id="37"/>
      <w:bookmarkEnd w:id="38"/>
    </w:p>
    <w:p>
      <w:pPr>
        <w:pStyle w:val="4"/>
        <w:spacing w:before="0" w:after="0" w:line="360" w:lineRule="auto"/>
        <w:rPr>
          <w:rFonts w:hint="default" w:ascii="宋体" w:hAnsi="宋体" w:eastAsia="宋体" w:cs="宋体"/>
          <w:color w:val="auto"/>
          <w:sz w:val="21"/>
          <w:szCs w:val="21"/>
          <w:highlight w:val="none"/>
        </w:rPr>
      </w:pPr>
      <w:bookmarkStart w:id="39" w:name="_Toc25107"/>
      <w:bookmarkStart w:id="40" w:name="_Toc430590276"/>
      <w:bookmarkStart w:id="41" w:name="_Toc17303"/>
      <w:bookmarkStart w:id="42" w:name="_Toc204483585"/>
      <w:bookmarkStart w:id="43" w:name="_Toc236047431"/>
      <w:bookmarkStart w:id="44" w:name="_Toc31661"/>
      <w:r>
        <w:rPr>
          <w:rFonts w:ascii="宋体" w:hAnsi="宋体" w:eastAsia="宋体" w:cs="宋体"/>
          <w:color w:val="auto"/>
          <w:sz w:val="21"/>
          <w:szCs w:val="21"/>
          <w:highlight w:val="none"/>
        </w:rPr>
        <w:t>一、概况</w:t>
      </w:r>
      <w:bookmarkEnd w:id="39"/>
      <w:bookmarkEnd w:id="40"/>
      <w:bookmarkEnd w:id="41"/>
      <w:bookmarkEnd w:id="42"/>
      <w:bookmarkEnd w:id="43"/>
      <w:bookmarkEnd w:id="44"/>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1.采购设备清单：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810"/>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103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4810"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设备名称</w:t>
            </w:r>
          </w:p>
        </w:tc>
        <w:tc>
          <w:tcPr>
            <w:tcW w:w="867"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数量</w:t>
            </w:r>
          </w:p>
        </w:tc>
        <w:tc>
          <w:tcPr>
            <w:tcW w:w="1554"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5" w:type="dxa"/>
            <w:vAlign w:val="center"/>
          </w:tcPr>
          <w:p>
            <w:pPr>
              <w:adjustRightInd w:val="0"/>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1</w:t>
            </w:r>
          </w:p>
        </w:tc>
        <w:tc>
          <w:tcPr>
            <w:tcW w:w="4810" w:type="dxa"/>
            <w:vAlign w:val="center"/>
          </w:tcPr>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气相色谱仪(配FID和ECD检测器)</w:t>
            </w:r>
          </w:p>
        </w:tc>
        <w:tc>
          <w:tcPr>
            <w:tcW w:w="867" w:type="dxa"/>
            <w:vAlign w:val="center"/>
          </w:tcPr>
          <w:p>
            <w:pPr>
              <w:adjustRightInd w:val="0"/>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1套</w:t>
            </w:r>
          </w:p>
        </w:tc>
        <w:tc>
          <w:tcPr>
            <w:tcW w:w="1554"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5" w:type="dxa"/>
            <w:vAlign w:val="center"/>
          </w:tcPr>
          <w:p>
            <w:pPr>
              <w:adjustRightInd w:val="0"/>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2</w:t>
            </w:r>
          </w:p>
        </w:tc>
        <w:tc>
          <w:tcPr>
            <w:tcW w:w="4810" w:type="dxa"/>
            <w:vAlign w:val="center"/>
          </w:tcPr>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电感耦合等离子体发射光谱仪</w:t>
            </w:r>
          </w:p>
        </w:tc>
        <w:tc>
          <w:tcPr>
            <w:tcW w:w="867" w:type="dxa"/>
            <w:vAlign w:val="center"/>
          </w:tcPr>
          <w:p>
            <w:pPr>
              <w:adjustRightInd w:val="0"/>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1套</w:t>
            </w:r>
          </w:p>
        </w:tc>
        <w:tc>
          <w:tcPr>
            <w:tcW w:w="1554"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是</w:t>
            </w:r>
          </w:p>
        </w:tc>
      </w:tr>
    </w:tbl>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2.使用地点：杭州市质量技术监督检测院。</w:t>
      </w:r>
    </w:p>
    <w:p>
      <w:pPr>
        <w:tabs>
          <w:tab w:val="left" w:pos="8460"/>
        </w:tabs>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3.特别说明：本次采购的设备供货时须提供第三方法定计量机构检定证书或符合使用要求的校准证书。投标人在投标文件中须提供验收方案，必须包括：验收标准、参数指标、校准的指标等，供采购人确认。</w:t>
      </w:r>
    </w:p>
    <w:p>
      <w:pPr>
        <w:tabs>
          <w:tab w:val="left" w:pos="8460"/>
        </w:tabs>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w:t>
      </w:r>
      <w:r>
        <w:rPr>
          <w:rFonts w:ascii="宋体" w:hAnsi="宋体" w:cs="宋体"/>
          <w:snapToGrid w:val="0"/>
          <w:color w:val="auto"/>
          <w:kern w:val="0"/>
          <w:szCs w:val="21"/>
          <w:highlight w:val="none"/>
        </w:rPr>
        <w:t>本采购文件中打▲的条款为关键性指标，不允许负偏离，出现负偏离的将导致投标无效。打★的条款为重要指标，允许偏离，但在技术评分时会重点扣分。</w:t>
      </w:r>
    </w:p>
    <w:p>
      <w:pPr>
        <w:tabs>
          <w:tab w:val="left" w:pos="8460"/>
        </w:tabs>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5.允许购买进口论证的设备，采购人可以购买进口产品。</w:t>
      </w:r>
    </w:p>
    <w:p>
      <w:pPr>
        <w:tabs>
          <w:tab w:val="left" w:pos="8460"/>
        </w:tabs>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6.投标文件中需要提供投标设备的产品样本资料（指批量印刷的彩页）（扫描件或复印件均可）或者官网公开的技术参数截图，不提供的视作投标产品未响应采购文件技术要求，在技术评分时予以扣分。</w:t>
      </w:r>
    </w:p>
    <w:p>
      <w:pPr>
        <w:tabs>
          <w:tab w:val="left" w:pos="8460"/>
        </w:tabs>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7.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spacing w:line="360" w:lineRule="auto"/>
        <w:ind w:firstLine="420" w:firstLineChars="200"/>
        <w:rPr>
          <w:rFonts w:hint="default" w:ascii="宋体" w:hAnsi="宋体" w:cs="宋体"/>
          <w:b/>
          <w:color w:val="auto"/>
          <w:szCs w:val="21"/>
          <w:highlight w:val="none"/>
        </w:rPr>
      </w:pPr>
      <w:r>
        <w:rPr>
          <w:rFonts w:ascii="宋体" w:hAnsi="宋体" w:cs="宋体"/>
          <w:color w:val="auto"/>
          <w:szCs w:val="21"/>
          <w:highlight w:val="none"/>
        </w:rPr>
        <w:t>8.本项目的核心产品是</w:t>
      </w:r>
      <w:r>
        <w:rPr>
          <w:rFonts w:hint="default" w:ascii="宋体" w:hAnsi="宋体" w:cs="宋体"/>
          <w:b/>
          <w:bCs/>
          <w:color w:val="auto"/>
          <w:szCs w:val="21"/>
          <w:highlight w:val="none"/>
          <w:u w:val="single"/>
        </w:rPr>
        <w:t>电感耦合等离子体发射光谱仪</w:t>
      </w:r>
      <w:r>
        <w:rPr>
          <w:rFonts w:ascii="宋体" w:hAnsi="宋体" w:cs="宋体"/>
          <w:b/>
          <w:bCs/>
          <w:color w:val="auto"/>
          <w:szCs w:val="21"/>
          <w:highlight w:val="none"/>
          <w:u w:val="single"/>
        </w:rPr>
        <w:t>。</w:t>
      </w:r>
      <w:r>
        <w:rPr>
          <w:rFonts w:ascii="宋体" w:hAnsi="宋体" w:cs="宋体"/>
          <w:color w:val="auto"/>
          <w:szCs w:val="21"/>
          <w:highlight w:val="none"/>
        </w:rPr>
        <w:t>不同投标人的核心产品出现同品牌时，</w:t>
      </w:r>
      <w:r>
        <w:rPr>
          <w:rFonts w:ascii="宋体" w:hAnsi="宋体" w:cs="宋体"/>
          <w:b/>
          <w:color w:val="auto"/>
          <w:szCs w:val="21"/>
          <w:highlight w:val="none"/>
        </w:rPr>
        <w:t>按如下方式处理：</w:t>
      </w:r>
    </w:p>
    <w:p>
      <w:pPr>
        <w:spacing w:line="360" w:lineRule="auto"/>
        <w:ind w:firstLine="422" w:firstLineChars="200"/>
        <w:rPr>
          <w:rFonts w:hint="default" w:ascii="宋体" w:hAnsi="宋体" w:cs="宋体"/>
          <w:b/>
          <w:color w:val="auto"/>
          <w:szCs w:val="21"/>
          <w:highlight w:val="none"/>
        </w:rPr>
        <w:sectPr>
          <w:footerReference r:id="rId5" w:type="default"/>
          <w:pgSz w:w="11850" w:h="16783"/>
          <w:pgMar w:top="1247" w:right="1588" w:bottom="1089" w:left="1588" w:header="851" w:footer="992" w:gutter="0"/>
          <w:cols w:space="720" w:num="1"/>
          <w:docGrid w:linePitch="312" w:charSpace="0"/>
        </w:sectPr>
      </w:pPr>
      <w:r>
        <w:rPr>
          <w:rFonts w:ascii="宋体" w:hAnsi="宋体" w:cs="宋体"/>
          <w:b/>
          <w:color w:val="auto"/>
          <w:szCs w:val="21"/>
          <w:highlight w:val="none"/>
        </w:rPr>
        <w:t>提供相同品牌产品且通过资格审查、符合性审查的不同投标人参加同一合同项下投标的，按一家投标人计算，评审后得分最高的同品牌（含核心产品）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pStyle w:val="4"/>
        <w:numPr>
          <w:ilvl w:val="0"/>
          <w:numId w:val="12"/>
        </w:numPr>
        <w:snapToGrid w:val="0"/>
        <w:spacing w:beforeLines="50" w:afterLines="50" w:line="360" w:lineRule="auto"/>
        <w:rPr>
          <w:rFonts w:hint="default" w:ascii="宋体" w:hAnsi="宋体" w:eastAsia="宋体" w:cs="宋体"/>
          <w:color w:val="auto"/>
          <w:sz w:val="21"/>
          <w:szCs w:val="21"/>
          <w:highlight w:val="none"/>
        </w:rPr>
      </w:pPr>
      <w:bookmarkStart w:id="45" w:name="_Toc2238"/>
      <w:bookmarkStart w:id="46" w:name="_Toc25749"/>
      <w:r>
        <w:rPr>
          <w:rFonts w:ascii="宋体" w:hAnsi="宋体" w:eastAsia="宋体" w:cs="宋体"/>
          <w:color w:val="auto"/>
          <w:sz w:val="21"/>
          <w:szCs w:val="21"/>
          <w:highlight w:val="none"/>
        </w:rPr>
        <w:t>设备技术要求</w:t>
      </w:r>
      <w:bookmarkEnd w:id="45"/>
      <w:bookmarkEnd w:id="46"/>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55"/>
        <w:gridCol w:w="8428"/>
        <w:gridCol w:w="87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序号</w:t>
            </w:r>
          </w:p>
        </w:tc>
        <w:tc>
          <w:tcPr>
            <w:tcW w:w="165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设备名称</w:t>
            </w:r>
          </w:p>
        </w:tc>
        <w:tc>
          <w:tcPr>
            <w:tcW w:w="8428" w:type="dxa"/>
            <w:tcBorders>
              <w:top w:val="single" w:color="auto" w:sz="4" w:space="0"/>
              <w:left w:val="nil"/>
              <w:bottom w:val="single" w:color="auto" w:sz="4" w:space="0"/>
              <w:right w:val="single" w:color="auto" w:sz="4" w:space="0"/>
            </w:tcBorders>
            <w:vAlign w:val="center"/>
          </w:tcPr>
          <w:p>
            <w:pPr>
              <w:ind w:firstLine="480"/>
              <w:jc w:val="center"/>
              <w:rPr>
                <w:rFonts w:hint="default" w:ascii="宋体" w:hAnsi="宋体" w:cs="宋体"/>
                <w:color w:val="auto"/>
                <w:kern w:val="0"/>
                <w:szCs w:val="21"/>
                <w:highlight w:val="none"/>
              </w:rPr>
            </w:pPr>
            <w:r>
              <w:rPr>
                <w:rFonts w:ascii="宋体" w:hAnsi="宋体" w:cs="宋体"/>
                <w:color w:val="auto"/>
                <w:kern w:val="0"/>
                <w:szCs w:val="21"/>
                <w:highlight w:val="none"/>
              </w:rPr>
              <w:t>技术参数</w:t>
            </w:r>
          </w:p>
        </w:tc>
        <w:tc>
          <w:tcPr>
            <w:tcW w:w="87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b/>
                <w:bCs/>
                <w:color w:val="auto"/>
                <w:kern w:val="0"/>
                <w:szCs w:val="21"/>
                <w:highlight w:val="none"/>
              </w:rPr>
            </w:pPr>
            <w:r>
              <w:rPr>
                <w:rFonts w:ascii="宋体" w:hAnsi="宋体" w:cs="宋体"/>
                <w:color w:val="auto"/>
                <w:kern w:val="0"/>
                <w:szCs w:val="21"/>
                <w:highlight w:val="none"/>
              </w:rPr>
              <w:t>数量</w:t>
            </w:r>
          </w:p>
        </w:tc>
        <w:tc>
          <w:tcPr>
            <w:tcW w:w="1610"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1</w:t>
            </w:r>
          </w:p>
        </w:tc>
        <w:tc>
          <w:tcPr>
            <w:tcW w:w="1655"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color w:val="auto"/>
                <w:kern w:val="0"/>
                <w:sz w:val="21"/>
                <w:szCs w:val="21"/>
                <w:highlight w:val="none"/>
                <w:lang w:val="en-US" w:eastAsia="zh-CN" w:bidi="ar-SA"/>
              </w:rPr>
            </w:pPr>
            <w:r>
              <w:rPr>
                <w:rFonts w:hint="default" w:ascii="宋体" w:hAnsi="宋体" w:cs="宋体"/>
                <w:color w:val="auto"/>
                <w:kern w:val="0"/>
                <w:szCs w:val="21"/>
                <w:highlight w:val="none"/>
              </w:rPr>
              <w:t>气相色谱仪(配FID和ECD检测器)</w:t>
            </w:r>
          </w:p>
        </w:tc>
        <w:tc>
          <w:tcPr>
            <w:tcW w:w="8428"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柱箱</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1.1温度分辨：1℃温度设定，0.1℃程序设定。</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1.2温度稳定性：&lt;0.01℃每1℃环境变化。</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分流/无分流进样口2个（带电子气路控制）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2.1电子参数设定压力、流速和分流比。</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2.2流量范围：流量设定范围：0～200ml/min（以N2为载气时）0～1250ml/min（以H2，He为载气时）0～200ml/min（以Ar/CH4为载气时）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2.3数字式电子气路控制保证气体流量精度。</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★2.4分流/不分流进样口：快速扳转系统，更换衬管无需拆卸螺丝</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电子气路控制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3.1自动海拔高度压力及室温补偿。</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▲3.2全电子压力/流量控制，控制精度：0.001psi。</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3.3具有恒流，恒压，程序增加流速，程序升压及压力脉冲等操作模式的电子气路控制。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液体自动进样器（进样塔2个，外置液体进样盘1个）</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▲4.1双塔进样</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★4.2单个进样塔的样品盘位数不少于15位，外置样品盘位数不少于150位，样品瓶均为2ml。</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4.3非内置式。</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★4.4可升级配置样品加温/降温/涡旋/条形码等样品预处理功能。</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4.5交叉污染：小于十万分之一。</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4.6具有内标加入功能，在吸取样品后继续吸取内标物，具体体积由软件控制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氢火焰检测器（FID带电子气路控制）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★5.1最低检测限（对十三烷）：&lt;1.35 pg C/s。</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5.2线性动态范围：&gt;107（±10%）。能在一次进样中可以对检测器的整个浓度范围（107）的峰实现定量分析。</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★5.3数据采集速率：900 Hz。</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5.4标准的EPC用于三种气体：</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-空气：0到800 mL/min</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-氢气：0到100 mL/min</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-尾吹气：（N2或He）：0到100 mL/min</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5.5灭火自动检测和自动再点火。</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5.6最高使用温度：450°C。</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微电子捕获检测器（ECD带电子气路控制）</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★6.1最低检测限：&lt;3.9fg/mL林丹。</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6.2独有的信号线性化，线性动态范围：对林丹&gt;5×104。</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6.3放射源：&lt;15 mCi的63Ni的ß射线。</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6.4独特的微池设计，最大限度减少污染并优化灵敏度。</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6.5最高使用温度：400°C。</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★6.6标准EPC尾吹气类型：氩/5%甲烷或氮气；0到150 mL/min。</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★7</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气相色谱仪主机集成彩色触摸屏界面，彩色；触摸显示屏可访问气相色谱设定值、状态信息、配置和信号图，以确认分析正按预期运行。</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★8</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气相色谱系统内置智能化功能可实现远程连接，能够监控气相色谱系统、检查系统日志，并在实验室外进行方法更改。</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★9</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气相色谱仪至少允许安装2个进样口及4个检测器</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10</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化学工作站</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10.1软件部分：可控制气相色谱仪所有参数和运行，可实施编辑功能，自动进行序列样品分析；实时在线显示色谱图，积分并报告出分析结果，绘制标准曲线；具有在线帮助的自学操作教程；具有自诊断程序。</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10.2保留时间锁定软件:可进行同台仪器的不同检测器,不同柱长及多台仪器之间数据的比对和确认。</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▲10.3具有保留时间锁定库。</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10.4数据通讯：LAN网卡,实现真正的远程诊断。</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11、配置要求</w:t>
            </w:r>
          </w:p>
          <w:p>
            <w:pPr>
              <w:widowControl/>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11.1气相色谱主机1套，分流不分流进样口2个，氢火焰检测器1个（带电子气路控制），微电子捕获检测器1个（带电子气路控制），液体进样器1套（两个进样塔和1个150位样品盘），安装工具包1个</w:t>
            </w:r>
          </w:p>
        </w:tc>
        <w:tc>
          <w:tcPr>
            <w:tcW w:w="87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1套</w:t>
            </w:r>
          </w:p>
        </w:tc>
        <w:tc>
          <w:tcPr>
            <w:tcW w:w="1610"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2</w:t>
            </w:r>
          </w:p>
        </w:tc>
        <w:tc>
          <w:tcPr>
            <w:tcW w:w="1655"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color w:val="auto"/>
                <w:kern w:val="0"/>
                <w:sz w:val="21"/>
                <w:szCs w:val="21"/>
                <w:highlight w:val="none"/>
                <w:lang w:val="en-US" w:eastAsia="zh-CN" w:bidi="ar-SA"/>
              </w:rPr>
            </w:pPr>
            <w:r>
              <w:rPr>
                <w:rFonts w:hint="default" w:ascii="宋体" w:hAnsi="宋体" w:cs="宋体"/>
                <w:color w:val="auto"/>
                <w:kern w:val="0"/>
                <w:szCs w:val="21"/>
                <w:highlight w:val="none"/>
              </w:rPr>
              <w:t>电感耦合等离子体发射光谱仪</w:t>
            </w:r>
          </w:p>
        </w:tc>
        <w:tc>
          <w:tcPr>
            <w:tcW w:w="8428" w:type="dxa"/>
            <w:tcBorders>
              <w:top w:val="single" w:color="auto" w:sz="4" w:space="0"/>
              <w:left w:val="nil"/>
              <w:bottom w:val="single" w:color="auto" w:sz="4" w:space="0"/>
              <w:right w:val="single" w:color="auto" w:sz="4" w:space="0"/>
            </w:tcBorders>
            <w:vAlign w:val="center"/>
          </w:tcPr>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系统、检测器、分析软件和数据处理系统组成，全自动控制。</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进样系统</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2.1耐HF酸进样系统，耐： 50% (v/v) HCl、HNO3、H2SO4、H3PO4，20% (v/v) HF，30% (w/v)NaOH以及30%的高盐样品。</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★2.2分析1个不少于40元素的样品时间≤25秒，分析数据的质量质控要求，验收指标。</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2.3分析1ppm的锰标准溶液，Mn 257nm谱线的强度不少于50万cps或cts。</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2.4炬管、雾室和雾化器为一体式设计，从雾室到炬管无需任何管线连接，以减小样品分析时的记忆效应，安装和拆卸无需任何工具。</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2.5四通道以上蠕动泵，具有智能快速冲洗功能，随时监测特定的谱线，直至其强度降低到设定值后才开始分析下一个样品。</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2.7无需氩气消除尾焰干扰，免维护省氩气设计，若有需要清洗的锥或者提取装置，提供5套备用</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自激式射频发生器，频率＞35MHz。</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最大功率≥1500W，1W增量连续可调。功率稳定性优于0.1%</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射频发生器的功率传输效率＞78%。以原厂英文资料为准。 </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矩管垂直放置，减少样品污染及残留</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等离子体观测方式有轴向和径向两种，在一次分析中可以采用轴向和径向两种观测方式，由软件控制全自动切换，并同时给出两种观测方式的测量结果。</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等离子体气、雾化器、辅助气全部采用质量流量计控制，连续可调，其中等离子体气流量控制步长1L/min，辅助气流量控制为0.2L/min，雾化器流量控制调节步长0.1L/min。</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离子体具有实时全彩色摄像系统，操作者在仪器的控制软件中可以实时全彩色看到等离子体的运行图形，设置1/500秒、1/1000秒、1/2000秒摄像速度抓拍等离子体照片各一张，并观察炬管、炬管中心管是否变脏需要清洗。以原厂资料为准。</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系统类型：高性能二维(交叉)色散中阶梯光栅(或棱镜)，波长范围：165-780nm。</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光学设计上采用全谱直读的设计，而且强光和弱光同时测量可以采用不同的积分时间，以避免检测器的损坏，表现在仪器的软件上为曝光时间和曝光次数自动确定，随样品中谱线的不同而自动变化，无需人工设置积分时间。以软件现场演示为准。</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具有独立的紫外光分光系统和可见光分光系统，两套系统分别拥有自己独立的分光光学器件和独立的检测器。（提供制造商官方文件作为证明材料）。</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检测器系统必须包含不少于450个独立运行的CCD检测器。以原厂资料为准</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控制软件可以在中文版Windows 10下运行，可以脱离仪器安装在其它计算机上进行模拟运行（模拟等离子体点火、熄火、样品分析），同时模拟软件具有数据处理功能，以便于教学、演示和培训。</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全谱全读功能，在用户分析样品的同时，仪器自动采集所有元素的所有谱线，当用户需要查看分析方法中没有设置的元素时，只需在方法中增加需要查看的元素谱线，再处理数据即可获得结果，无需重新分析样品。</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软件具有多元素谱图同时显示功能，至少提供10个元素同时显示的软件截屏作为证明资料。</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软件具有标准曲线编辑功能，可以任意删除任何一个标准点，而不需要重新做标准曲线。提供软件截屏作为证明资料。</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谱图叠加功能显示每个像素点，同一个元素不同样品可以同时显示，提供软件截屏作为证明资料。</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性能指标，仪器安装验收按照下列的性能指标逐项进行，全部符合则为仪器验收合格。</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等离子体气（Plasma gas）流量  ≤ 10L/min。（提供制造商官方文件证明）</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快速瞬时信号分析：1秒钟内分析元素周期表中所有元素（不少于75个）500次以上。</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高精密度分析：以实时内标法分析As、Zn、Mn、La、Ba元素10次，这5个元素中的每个元素的测量RSD必须都小于0.1%。</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配同品牌自动进样器，自动进样器位数≥180位</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配备半导体制冷有机物进样系统，可进行煤油等的直接进样分析</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主机</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25.1配备高灵敏度进样系统的等离子体发射光谱仪主机一套（包括控制和数据采集处理系统）。</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25.2等离子体全彩色监测摄像装置1套。在摄像装置观察样品进样、观察等离子体颜色变化、观察炬管、炬管中心管是否变脏需要清洗过程中，不影响样品分析的正常进行。</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双向观测光路一套，在一次分析中可以同时进行轴向观测和径向观测，并同时给出测量结果。</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25.4双向观测等离子体尾焰切割装置一套。</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25.5自激式固态射频发生器一套。</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25.6离子体的平板一套，若使用螺旋线圈，须配5套螺旋线圈。</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25.7紫外光分光系统一套。</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 紫外光固态检测器一套，包含不少于230个CCD检测器。</w:t>
            </w:r>
          </w:p>
          <w:p>
            <w:pPr>
              <w:pStyle w:val="2"/>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 可见光分光系统一套。</w:t>
            </w:r>
          </w:p>
          <w:p>
            <w:pPr>
              <w:pStyle w:val="2"/>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25.10可见光固态检测器一套，包含不少于230个CCD检测器。</w:t>
            </w:r>
          </w:p>
        </w:tc>
        <w:tc>
          <w:tcPr>
            <w:tcW w:w="87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color w:val="auto"/>
                <w:kern w:val="0"/>
                <w:szCs w:val="21"/>
                <w:highlight w:val="none"/>
              </w:rPr>
            </w:pPr>
            <w:r>
              <w:rPr>
                <w:rFonts w:ascii="宋体" w:hAnsi="宋体" w:cs="宋体"/>
                <w:color w:val="auto"/>
                <w:kern w:val="0"/>
                <w:szCs w:val="21"/>
                <w:highlight w:val="none"/>
              </w:rPr>
              <w:t>1套</w:t>
            </w:r>
          </w:p>
        </w:tc>
        <w:tc>
          <w:tcPr>
            <w:tcW w:w="1610"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年及以上</w:t>
            </w:r>
          </w:p>
        </w:tc>
      </w:tr>
    </w:tbl>
    <w:p>
      <w:pPr>
        <w:rPr>
          <w:rFonts w:hint="default"/>
          <w:color w:val="auto"/>
          <w:szCs w:val="21"/>
          <w:highlight w:val="none"/>
        </w:rPr>
      </w:pPr>
    </w:p>
    <w:p>
      <w:pPr>
        <w:pStyle w:val="4"/>
        <w:spacing w:before="0" w:after="0" w:line="360" w:lineRule="auto"/>
        <w:rPr>
          <w:rFonts w:hint="default" w:ascii="宋体" w:hAnsi="宋体" w:eastAsia="宋体" w:cs="宋体"/>
          <w:color w:val="auto"/>
          <w:sz w:val="21"/>
          <w:szCs w:val="21"/>
          <w:highlight w:val="none"/>
        </w:rPr>
        <w:sectPr>
          <w:pgSz w:w="16783" w:h="11850" w:orient="landscape"/>
          <w:pgMar w:top="1588" w:right="1247" w:bottom="1588" w:left="1089" w:header="851" w:footer="992" w:gutter="0"/>
          <w:cols w:space="720" w:num="1"/>
          <w:docGrid w:linePitch="312" w:charSpace="0"/>
        </w:sectPr>
      </w:pPr>
      <w:bookmarkStart w:id="47" w:name="_Toc29752"/>
    </w:p>
    <w:p>
      <w:pPr>
        <w:pStyle w:val="4"/>
        <w:spacing w:before="0" w:after="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三、采购设备的其它要求</w:t>
      </w:r>
      <w:bookmarkEnd w:id="47"/>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3.1所有设备必须是全新的，未曾使用过的。</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3.2供应商提供设备的专用工具及其清单。</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3.3供应商提供的检测设备须符合国家有关设备制造标准。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3.4供应商应在投标文件详细说明所提供货物的技术规格和参数以及主要部件产地。</w:t>
      </w:r>
    </w:p>
    <w:p>
      <w:pPr>
        <w:pStyle w:val="4"/>
        <w:spacing w:before="0" w:after="0" w:line="360" w:lineRule="auto"/>
        <w:rPr>
          <w:rFonts w:hint="default" w:ascii="宋体" w:hAnsi="宋体" w:eastAsia="宋体" w:cs="宋体"/>
          <w:color w:val="auto"/>
          <w:sz w:val="21"/>
          <w:szCs w:val="21"/>
          <w:highlight w:val="none"/>
        </w:rPr>
      </w:pPr>
      <w:bookmarkStart w:id="48" w:name="_Toc248212763"/>
      <w:bookmarkStart w:id="49" w:name="_Toc248058833"/>
      <w:bookmarkStart w:id="50" w:name="_Toc19531"/>
      <w:bookmarkStart w:id="51" w:name="_Toc422319076"/>
      <w:bookmarkStart w:id="52" w:name="_Toc248227215"/>
      <w:bookmarkStart w:id="53" w:name="_Toc248228531"/>
      <w:bookmarkStart w:id="54" w:name="_Toc248212206"/>
      <w:bookmarkStart w:id="55" w:name="_Toc268268768"/>
      <w:bookmarkStart w:id="56" w:name="_Toc5057"/>
      <w:bookmarkStart w:id="57" w:name="_Toc132888837"/>
      <w:bookmarkStart w:id="58" w:name="_Toc248215396"/>
      <w:r>
        <w:rPr>
          <w:rFonts w:ascii="宋体" w:hAnsi="宋体" w:eastAsia="宋体" w:cs="宋体"/>
          <w:color w:val="auto"/>
          <w:sz w:val="21"/>
          <w:szCs w:val="21"/>
          <w:highlight w:val="none"/>
        </w:rPr>
        <w:t>四、技术服务</w:t>
      </w:r>
      <w:bookmarkEnd w:id="48"/>
      <w:bookmarkEnd w:id="49"/>
      <w:bookmarkEnd w:id="50"/>
      <w:bookmarkEnd w:id="51"/>
      <w:bookmarkEnd w:id="52"/>
      <w:bookmarkEnd w:id="53"/>
      <w:bookmarkEnd w:id="54"/>
      <w:bookmarkEnd w:id="55"/>
      <w:bookmarkEnd w:id="56"/>
      <w:bookmarkEnd w:id="57"/>
      <w:bookmarkEnd w:id="58"/>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val="en-US" w:eastAsia="zh-CN"/>
        </w:rPr>
        <w:t>1要求设备供应商具有同类产品的销售经验，</w:t>
      </w:r>
      <w:r>
        <w:rPr>
          <w:rFonts w:ascii="宋体" w:hAnsi="宋体" w:cs="宋体"/>
          <w:color w:val="auto"/>
          <w:szCs w:val="21"/>
          <w:highlight w:val="none"/>
        </w:rPr>
        <w:t>设备的安装、调试由供应商负责，但用户需配合供应商进行该项内容。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（1）供应商应确保设备运行可靠、维护方便。</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（2）供应商负责组织专业技术人员进行设备安装调试。</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（3）安装调试到位后的设备由供应商与设备使用单位组织的验收小组共同进行质量验收签字。</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（4）设备交货的同时，供应商应向采购人提供不少于两套以下列明的中文（或带有中文摘要的英文）技术资料，其费用应包括在报价总价内。</w:t>
      </w:r>
    </w:p>
    <w:p>
      <w:pPr>
        <w:spacing w:line="360" w:lineRule="auto"/>
        <w:ind w:firstLine="539" w:firstLineChars="257"/>
        <w:rPr>
          <w:rFonts w:hint="default" w:ascii="宋体" w:hAnsi="宋体" w:cs="宋体"/>
          <w:color w:val="auto"/>
          <w:szCs w:val="21"/>
          <w:highlight w:val="none"/>
        </w:rPr>
      </w:pPr>
      <w:r>
        <w:rPr>
          <w:rFonts w:ascii="宋体" w:hAnsi="宋体" w:cs="宋体"/>
          <w:color w:val="auto"/>
          <w:szCs w:val="21"/>
          <w:highlight w:val="none"/>
        </w:rPr>
        <w:t>（a）产品技术说明书；</w:t>
      </w:r>
    </w:p>
    <w:p>
      <w:pPr>
        <w:spacing w:line="360" w:lineRule="auto"/>
        <w:ind w:firstLine="539" w:firstLineChars="257"/>
        <w:rPr>
          <w:rFonts w:hint="default" w:ascii="宋体" w:hAnsi="宋体" w:cs="宋体"/>
          <w:color w:val="auto"/>
          <w:szCs w:val="21"/>
          <w:highlight w:val="none"/>
        </w:rPr>
      </w:pPr>
      <w:r>
        <w:rPr>
          <w:rFonts w:ascii="宋体" w:hAnsi="宋体" w:cs="宋体"/>
          <w:color w:val="auto"/>
          <w:szCs w:val="21"/>
          <w:highlight w:val="none"/>
        </w:rPr>
        <w:t>（b）用户手册；</w:t>
      </w:r>
    </w:p>
    <w:p>
      <w:pPr>
        <w:spacing w:line="360" w:lineRule="auto"/>
        <w:ind w:firstLine="539" w:firstLineChars="257"/>
        <w:rPr>
          <w:rFonts w:hint="default" w:ascii="宋体" w:hAnsi="宋体" w:cs="宋体"/>
          <w:color w:val="auto"/>
          <w:szCs w:val="21"/>
          <w:highlight w:val="none"/>
        </w:rPr>
      </w:pPr>
      <w:r>
        <w:rPr>
          <w:rFonts w:ascii="宋体" w:hAnsi="宋体" w:cs="宋体"/>
          <w:color w:val="auto"/>
          <w:szCs w:val="21"/>
          <w:highlight w:val="none"/>
        </w:rPr>
        <w:t>（c）出厂明细表（装箱单）；</w:t>
      </w:r>
    </w:p>
    <w:p>
      <w:pPr>
        <w:spacing w:line="360" w:lineRule="auto"/>
        <w:ind w:firstLine="539" w:firstLineChars="257"/>
        <w:rPr>
          <w:rFonts w:hint="default" w:ascii="宋体" w:hAnsi="宋体" w:cs="宋体"/>
          <w:color w:val="auto"/>
          <w:szCs w:val="21"/>
          <w:highlight w:val="none"/>
        </w:rPr>
      </w:pPr>
      <w:r>
        <w:rPr>
          <w:rFonts w:ascii="宋体" w:hAnsi="宋体" w:cs="宋体"/>
          <w:color w:val="auto"/>
          <w:szCs w:val="21"/>
          <w:highlight w:val="none"/>
        </w:rPr>
        <w:t>（d）出厂检验报告和合格书；</w:t>
      </w:r>
    </w:p>
    <w:p>
      <w:pPr>
        <w:spacing w:line="360" w:lineRule="auto"/>
        <w:ind w:firstLine="539" w:firstLineChars="257"/>
        <w:rPr>
          <w:rFonts w:hint="default" w:ascii="宋体" w:hAnsi="宋体" w:cs="宋体"/>
          <w:color w:val="auto"/>
          <w:szCs w:val="21"/>
          <w:highlight w:val="none"/>
        </w:rPr>
      </w:pPr>
      <w:r>
        <w:rPr>
          <w:rFonts w:ascii="宋体" w:hAnsi="宋体" w:cs="宋体"/>
          <w:color w:val="auto"/>
          <w:szCs w:val="21"/>
          <w:highlight w:val="none"/>
        </w:rPr>
        <w:t>（e）其他相关技术资料。</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（5）供应商向用户提供安装和维修所需特殊专用的工具、随机备件及清单和中文说明书，其费用包括在谈判价格内。</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（6）如因供应商责任而造成的安装延期，产生的费用由供应商负担。</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（7）验收不合格的货物，采购人可以要求中标（成交）方无条件免费更换或退货，并赔偿由此造成的采购人的损失。</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4.2供应商应为采购人或最终用户技术人员进行有关设备维护、操作、保养等方面培训，直至能独立操作。</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4.3售后服务要求：</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（1）质保期</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详见本章节第二项内容。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保修的货物在运行中发生问题，供应商维修响应时间为24小时，在48小时内到达现场并开始维修服务。各供应商视自身能力在投标文件中提供更优、更合理的维修服务承诺。</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（2）质保期后的服务要求</w:t>
      </w:r>
    </w:p>
    <w:p>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质保期结束后，供应商对设备履行终身技术支持、维修、零配件供应服务，供应商在投标文件技术商务文件中必须明确说明服务承诺。</w:t>
      </w:r>
      <w:r>
        <w:rPr>
          <w:rFonts w:hint="eastAsia" w:ascii="宋体" w:hAnsi="宋体" w:cs="宋体"/>
          <w:color w:val="auto"/>
          <w:szCs w:val="21"/>
          <w:highlight w:val="none"/>
          <w:shd w:val="clear" w:fill="FFFF00"/>
          <w:lang w:val="en-US" w:eastAsia="zh-CN"/>
        </w:rPr>
        <w:t>投标文件中须提供</w:t>
      </w:r>
      <w:r>
        <w:rPr>
          <w:rFonts w:hint="eastAsia" w:ascii="宋体" w:hAnsi="宋体" w:cs="宋体"/>
          <w:color w:val="auto"/>
          <w:szCs w:val="21"/>
          <w:highlight w:val="none"/>
          <w:shd w:val="clear" w:fill="FFFF00"/>
        </w:rPr>
        <w:t>配件及耗材折扣报价</w:t>
      </w:r>
      <w:r>
        <w:rPr>
          <w:rFonts w:hint="eastAsia" w:ascii="宋体" w:hAnsi="宋体" w:cs="宋体"/>
          <w:color w:val="auto"/>
          <w:szCs w:val="21"/>
          <w:highlight w:val="none"/>
          <w:shd w:val="clear" w:fill="FFFF00"/>
          <w:lang w:eastAsia="zh-CN"/>
        </w:rPr>
        <w:t>。</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4.4质量保证</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（1）在保证期内因货物本身的质量问题发生故障，供应商应负责免费修理和更换零部件。对达不到技术要求者，根据实际情况，经双方协商，可按以下办法处理：</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（a）更换：由供应商承担所发生的全部费用；</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（b）贬值处理：由双方合议定价；</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（c）退货处理：供应商应退还采购人支付的货物款，同时应承担该货物的直接费用（运输、保险、检验、货款利息及银行手续费等）。</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（2）如质保期外的使用过程中发生质量问题，供应商在接到采购人通知后48小时内到达采购人现场。</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（3）在免费质保期内，供应商应对货物出现的质量及安全问题负责处理解决。</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4.5软件升级供应商必须承诺提供终生免费的软件升级服务。</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4.6培训</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1.技术培训：仪器安装调试合格后，由卖方工程师在买方现场进行免费技术培训； </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2.培训内容及要求：</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①了解设备的工作原理、组成及各部组件、控制系统的工作原理和使用方法；</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②熟练掌握整套系统的操作规程</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③能够对设备的一般故障进行诊断和简单维修，进行易损件的更换；</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④对设备能够进行日常的维护和保养。</w:t>
      </w:r>
    </w:p>
    <w:p>
      <w:pPr>
        <w:pStyle w:val="4"/>
        <w:spacing w:before="0" w:after="0" w:line="360" w:lineRule="auto"/>
        <w:rPr>
          <w:rFonts w:hint="default" w:ascii="宋体" w:hAnsi="宋体" w:eastAsia="宋体" w:cs="宋体"/>
          <w:color w:val="auto"/>
          <w:sz w:val="21"/>
          <w:szCs w:val="21"/>
          <w:highlight w:val="none"/>
        </w:rPr>
      </w:pPr>
      <w:bookmarkStart w:id="59" w:name="_Toc248227216"/>
      <w:bookmarkStart w:id="60" w:name="_Toc248215397"/>
      <w:bookmarkStart w:id="61" w:name="_Toc248228532"/>
      <w:bookmarkStart w:id="62" w:name="_Toc2488"/>
      <w:bookmarkStart w:id="63" w:name="_Toc268268769"/>
      <w:bookmarkStart w:id="64" w:name="_Toc248058834"/>
      <w:bookmarkStart w:id="65" w:name="_Toc132888838"/>
      <w:bookmarkStart w:id="66" w:name="_Toc248212764"/>
      <w:bookmarkStart w:id="67" w:name="_Toc248212207"/>
      <w:bookmarkStart w:id="68" w:name="_Toc8350"/>
      <w:bookmarkStart w:id="69" w:name="_Toc422319077"/>
      <w:r>
        <w:rPr>
          <w:rFonts w:ascii="宋体" w:hAnsi="宋体" w:eastAsia="宋体" w:cs="宋体"/>
          <w:color w:val="auto"/>
          <w:sz w:val="21"/>
          <w:szCs w:val="21"/>
          <w:highlight w:val="none"/>
        </w:rPr>
        <w:t>五、验收</w:t>
      </w:r>
      <w:bookmarkEnd w:id="59"/>
      <w:bookmarkEnd w:id="60"/>
      <w:bookmarkEnd w:id="61"/>
      <w:bookmarkEnd w:id="62"/>
      <w:bookmarkEnd w:id="63"/>
      <w:bookmarkEnd w:id="64"/>
      <w:bookmarkEnd w:id="65"/>
      <w:bookmarkEnd w:id="66"/>
      <w:bookmarkEnd w:id="67"/>
      <w:bookmarkEnd w:id="68"/>
      <w:bookmarkEnd w:id="69"/>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5.1投标人提供详细的验收方案，要求验收流程、验收指标、验收标准明确，文件资料齐全，验收方法科学合理。</w:t>
      </w:r>
      <w:r>
        <w:rPr>
          <w:rFonts w:ascii="宋体" w:hAnsi="宋体" w:cs="宋体"/>
          <w:b/>
          <w:color w:val="auto"/>
          <w:szCs w:val="21"/>
          <w:highlight w:val="none"/>
        </w:rPr>
        <w:t>具有资质的第三方计量机构的检定证书或符合使用要求的校准证书</w:t>
      </w:r>
      <w:r>
        <w:rPr>
          <w:rFonts w:ascii="宋体" w:hAnsi="宋体" w:cs="宋体"/>
          <w:color w:val="auto"/>
          <w:szCs w:val="21"/>
          <w:highlight w:val="none"/>
        </w:rPr>
        <w:t>作为采购人指定的验收小组收货验收和使用的重要技术依据，检验的结果应随货物交采购人。</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5.2设备验收应当由采购人在指定地点进行，采购人对供应商所交货物依照采购文件上的技术规格要求或国家（设备制造国）有关标准指定验收小组进行验收，性能达到技术要求的，给予签收。验收不合格的不予以签收，后果由供应商负责。条件满足后，买卖双方将签署验收协议。</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5.3验收标准：各类设备的数量、技术质量性能和规格型号、外观等应符合采购文件要求及合同中的相关条款，同时应符合产品制造商和国家相关标准，进口设备和价值5万元以上的设备供货方应与最终用户签订技术合同，明确安装调试、保修服务、配件提供、培训与技术升级等事宜。</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5.4采购人应在货到指定地点安装调试完毕之日起5个工作日内组织验收完毕。验收时供应商应在现场。所有调试及验收测试已进行完毕，并形成书面报告。</w:t>
      </w:r>
    </w:p>
    <w:p>
      <w:pPr>
        <w:pStyle w:val="4"/>
        <w:spacing w:before="0" w:after="0" w:line="360" w:lineRule="auto"/>
        <w:rPr>
          <w:rFonts w:hint="default" w:ascii="宋体" w:hAnsi="宋体" w:eastAsia="宋体" w:cs="宋体"/>
          <w:color w:val="auto"/>
          <w:sz w:val="21"/>
          <w:szCs w:val="21"/>
          <w:highlight w:val="none"/>
        </w:rPr>
      </w:pPr>
      <w:bookmarkStart w:id="70" w:name="_Toc248212209"/>
      <w:bookmarkStart w:id="71" w:name="_Toc248212766"/>
      <w:bookmarkStart w:id="72" w:name="_Toc248058836"/>
      <w:bookmarkStart w:id="73" w:name="_Toc248227218"/>
      <w:bookmarkStart w:id="74" w:name="_Toc243"/>
      <w:bookmarkStart w:id="75" w:name="_Toc132888840"/>
      <w:bookmarkStart w:id="76" w:name="_Toc248228534"/>
      <w:bookmarkStart w:id="77" w:name="_Toc268268770"/>
      <w:bookmarkStart w:id="78" w:name="_Toc248215399"/>
      <w:bookmarkStart w:id="79" w:name="_Toc422319078"/>
      <w:bookmarkStart w:id="80" w:name="_Toc23945"/>
      <w:r>
        <w:rPr>
          <w:rFonts w:ascii="宋体" w:hAnsi="宋体" w:eastAsia="宋体" w:cs="宋体"/>
          <w:color w:val="auto"/>
          <w:sz w:val="21"/>
          <w:szCs w:val="21"/>
          <w:highlight w:val="none"/>
        </w:rPr>
        <w:t>六、采购的其它要求</w:t>
      </w:r>
      <w:bookmarkEnd w:id="70"/>
      <w:bookmarkEnd w:id="71"/>
      <w:bookmarkEnd w:id="72"/>
      <w:bookmarkEnd w:id="73"/>
      <w:bookmarkEnd w:id="74"/>
      <w:bookmarkEnd w:id="75"/>
      <w:bookmarkEnd w:id="76"/>
      <w:bookmarkEnd w:id="77"/>
      <w:bookmarkEnd w:id="78"/>
      <w:bookmarkEnd w:id="79"/>
      <w:bookmarkEnd w:id="80"/>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6.1供应商应在投标文件中对采购文件技术规范的要求逐条加以说明，并在偏离表中体现出来。</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6.2复印本采购文件是不允许的，违反者将导致投标无效。</w:t>
      </w:r>
    </w:p>
    <w:p>
      <w:pPr>
        <w:pStyle w:val="4"/>
        <w:spacing w:before="0" w:after="0" w:line="360" w:lineRule="auto"/>
        <w:rPr>
          <w:rFonts w:hint="default" w:ascii="宋体" w:hAnsi="宋体" w:eastAsia="宋体" w:cs="宋体"/>
          <w:color w:val="auto"/>
          <w:sz w:val="21"/>
          <w:szCs w:val="21"/>
          <w:highlight w:val="none"/>
        </w:rPr>
      </w:pPr>
      <w:bookmarkStart w:id="81" w:name="_Toc248215400"/>
      <w:bookmarkStart w:id="82" w:name="_Toc248212210"/>
      <w:bookmarkStart w:id="83" w:name="_Toc248228535"/>
      <w:bookmarkStart w:id="84" w:name="_Toc248227219"/>
      <w:bookmarkStart w:id="85" w:name="_Toc5748"/>
      <w:bookmarkStart w:id="86" w:name="_Toc132888841"/>
      <w:bookmarkStart w:id="87" w:name="_Toc19313"/>
      <w:bookmarkStart w:id="88" w:name="_Toc422319079"/>
      <w:bookmarkStart w:id="89" w:name="_Toc248058837"/>
      <w:bookmarkStart w:id="90" w:name="_Toc248212767"/>
      <w:bookmarkStart w:id="91" w:name="_Toc268268771"/>
      <w:r>
        <w:rPr>
          <w:rFonts w:ascii="宋体" w:hAnsi="宋体" w:eastAsia="宋体" w:cs="宋体"/>
          <w:color w:val="auto"/>
          <w:sz w:val="21"/>
          <w:szCs w:val="21"/>
          <w:highlight w:val="none"/>
        </w:rPr>
        <w:t>七、付款条件</w:t>
      </w:r>
      <w:bookmarkEnd w:id="81"/>
      <w:bookmarkEnd w:id="82"/>
      <w:bookmarkEnd w:id="83"/>
      <w:bookmarkEnd w:id="84"/>
      <w:bookmarkEnd w:id="85"/>
      <w:bookmarkEnd w:id="86"/>
      <w:bookmarkEnd w:id="87"/>
      <w:bookmarkEnd w:id="88"/>
      <w:bookmarkEnd w:id="89"/>
      <w:bookmarkEnd w:id="90"/>
      <w:bookmarkEnd w:id="91"/>
    </w:p>
    <w:p>
      <w:pPr>
        <w:widowControl/>
        <w:autoSpaceDE w:val="0"/>
        <w:autoSpaceDN w:val="0"/>
        <w:adjustRightInd w:val="0"/>
        <w:snapToGrid w:val="0"/>
        <w:spacing w:line="360" w:lineRule="auto"/>
        <w:ind w:firstLine="364"/>
        <w:textAlignment w:val="bottom"/>
        <w:rPr>
          <w:rFonts w:hint="default" w:ascii="宋体" w:hAnsi="宋体" w:cs="宋体"/>
          <w:color w:val="auto"/>
          <w:szCs w:val="21"/>
          <w:highlight w:val="none"/>
        </w:rPr>
      </w:pPr>
      <w:r>
        <w:rPr>
          <w:rFonts w:ascii="宋体" w:hAnsi="宋体" w:cs="宋体"/>
          <w:color w:val="auto"/>
          <w:szCs w:val="21"/>
          <w:highlight w:val="none"/>
        </w:rPr>
        <w:t>7.1 卖方必须在本合同签订后7天内向买方缴纳合同总价5%的履约保证金。如果卖方未能按合同规定履行其义务，买方有权从履约保证金中取得补偿。 如无质量或服务纠纷发生，买方在质保期满后十个工作日内退还（不计利息）。</w:t>
      </w:r>
    </w:p>
    <w:p>
      <w:pPr>
        <w:widowControl/>
        <w:autoSpaceDE w:val="0"/>
        <w:autoSpaceDN w:val="0"/>
        <w:adjustRightInd w:val="0"/>
        <w:snapToGrid w:val="0"/>
        <w:spacing w:line="360" w:lineRule="auto"/>
        <w:ind w:firstLine="364"/>
        <w:textAlignment w:val="bottom"/>
        <w:rPr>
          <w:rFonts w:hint="eastAsia" w:ascii="宋体" w:hAnsi="宋体" w:eastAsia="宋体" w:cs="宋体"/>
          <w:color w:val="auto"/>
          <w:szCs w:val="21"/>
          <w:highlight w:val="none"/>
          <w:lang w:eastAsia="zh-CN"/>
        </w:rPr>
      </w:pPr>
      <w:r>
        <w:rPr>
          <w:rFonts w:ascii="宋体" w:hAnsi="宋体" w:cs="宋体"/>
          <w:color w:val="auto"/>
          <w:szCs w:val="21"/>
          <w:highlight w:val="none"/>
        </w:rPr>
        <w:t>7.2 合同生效后</w:t>
      </w:r>
      <w:r>
        <w:rPr>
          <w:rFonts w:hint="eastAsia" w:ascii="宋体" w:hAnsi="宋体" w:cs="宋体"/>
          <w:color w:val="auto"/>
          <w:szCs w:val="21"/>
          <w:highlight w:val="none"/>
          <w:lang w:val="en-US" w:eastAsia="zh-CN"/>
        </w:rPr>
        <w:t>15日历天</w:t>
      </w:r>
      <w:r>
        <w:rPr>
          <w:rFonts w:ascii="宋体" w:hAnsi="宋体" w:cs="宋体"/>
          <w:color w:val="auto"/>
          <w:szCs w:val="21"/>
          <w:highlight w:val="none"/>
        </w:rPr>
        <w:t>内，买方凭卖方出具的收据支付合同总价的30%作为合同预付款</w:t>
      </w:r>
      <w:r>
        <w:rPr>
          <w:rFonts w:hint="eastAsia" w:ascii="宋体" w:hAnsi="宋体" w:cs="宋体"/>
          <w:color w:val="auto"/>
          <w:szCs w:val="21"/>
          <w:highlight w:val="none"/>
          <w:lang w:eastAsia="zh-CN"/>
        </w:rPr>
        <w:t>。</w:t>
      </w:r>
    </w:p>
    <w:p>
      <w:pPr>
        <w:widowControl/>
        <w:autoSpaceDE w:val="0"/>
        <w:autoSpaceDN w:val="0"/>
        <w:adjustRightInd w:val="0"/>
        <w:snapToGrid w:val="0"/>
        <w:spacing w:line="360" w:lineRule="auto"/>
        <w:ind w:firstLine="364"/>
        <w:textAlignment w:val="bottom"/>
        <w:rPr>
          <w:rFonts w:hint="default" w:ascii="宋体" w:hAnsi="宋体" w:cs="宋体"/>
          <w:color w:val="auto"/>
          <w:szCs w:val="21"/>
          <w:highlight w:val="none"/>
        </w:rPr>
      </w:pPr>
      <w:r>
        <w:rPr>
          <w:rFonts w:ascii="宋体" w:hAnsi="宋体" w:cs="宋体"/>
          <w:color w:val="auto"/>
          <w:szCs w:val="21"/>
          <w:highlight w:val="none"/>
        </w:rPr>
        <w:t>7.3 卖方凭验收报告、全额发票向买方办理余款结算手续，买方付清全部合同货款。</w:t>
      </w:r>
    </w:p>
    <w:p>
      <w:pPr>
        <w:pStyle w:val="4"/>
        <w:spacing w:before="0" w:after="0" w:line="360" w:lineRule="auto"/>
        <w:rPr>
          <w:rFonts w:hint="default" w:ascii="宋体" w:hAnsi="宋体" w:eastAsia="宋体" w:cs="宋体"/>
          <w:color w:val="auto"/>
          <w:sz w:val="21"/>
          <w:szCs w:val="21"/>
          <w:highlight w:val="none"/>
        </w:rPr>
      </w:pPr>
      <w:bookmarkStart w:id="92" w:name="_Toc248227220"/>
      <w:bookmarkStart w:id="93" w:name="_Toc248215401"/>
      <w:bookmarkStart w:id="94" w:name="_Toc422319080"/>
      <w:bookmarkStart w:id="95" w:name="_Toc24407"/>
      <w:bookmarkStart w:id="96" w:name="_Toc248228536"/>
      <w:bookmarkStart w:id="97" w:name="_Toc132888842"/>
      <w:bookmarkStart w:id="98" w:name="_Toc248212768"/>
      <w:bookmarkStart w:id="99" w:name="_Toc3610"/>
      <w:bookmarkStart w:id="100" w:name="_Toc248212211"/>
      <w:bookmarkStart w:id="101" w:name="_Toc248058838"/>
      <w:bookmarkStart w:id="102" w:name="_Toc268268772"/>
      <w:r>
        <w:rPr>
          <w:rFonts w:ascii="宋体" w:hAnsi="宋体" w:eastAsia="宋体" w:cs="宋体"/>
          <w:color w:val="auto"/>
          <w:sz w:val="21"/>
          <w:szCs w:val="21"/>
          <w:highlight w:val="none"/>
        </w:rPr>
        <w:t>八、供货期要求及交货地点</w:t>
      </w:r>
      <w:bookmarkEnd w:id="92"/>
      <w:bookmarkEnd w:id="93"/>
      <w:bookmarkEnd w:id="94"/>
      <w:bookmarkEnd w:id="95"/>
      <w:bookmarkEnd w:id="96"/>
      <w:bookmarkEnd w:id="97"/>
      <w:bookmarkEnd w:id="98"/>
      <w:bookmarkEnd w:id="99"/>
      <w:bookmarkEnd w:id="100"/>
      <w:bookmarkEnd w:id="101"/>
      <w:bookmarkEnd w:id="102"/>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国产设备的交货期为合同签订后60日历天，进口设备的交货期为合同签订后90日历天。采购需求中有特殊要求的，按采购需求。交货日为供货方将货物送到采购人指定的目的地。</w:t>
      </w:r>
    </w:p>
    <w:p>
      <w:pPr>
        <w:rPr>
          <w:rFonts w:hint="default" w:ascii="宋体" w:hAnsi="宋体" w:cs="宋体"/>
          <w:b/>
          <w:color w:val="auto"/>
          <w:sz w:val="30"/>
          <w:szCs w:val="30"/>
          <w:highlight w:val="none"/>
        </w:rPr>
      </w:pPr>
      <w:bookmarkStart w:id="103" w:name="_Toc19650"/>
      <w:bookmarkStart w:id="104" w:name="_Toc242012824"/>
      <w:r>
        <w:rPr>
          <w:rFonts w:ascii="宋体" w:hAnsi="宋体" w:cs="宋体"/>
          <w:b/>
          <w:color w:val="auto"/>
          <w:sz w:val="30"/>
          <w:szCs w:val="30"/>
          <w:highlight w:val="none"/>
        </w:rPr>
        <w:br w:type="page"/>
      </w:r>
    </w:p>
    <w:p>
      <w:pPr>
        <w:adjustRightInd w:val="0"/>
        <w:snapToGrid w:val="0"/>
        <w:spacing w:beforeLines="50" w:afterLines="50" w:line="360" w:lineRule="auto"/>
        <w:jc w:val="center"/>
        <w:outlineLvl w:val="0"/>
        <w:rPr>
          <w:rFonts w:hint="default" w:ascii="宋体" w:hAnsi="宋体" w:cs="宋体"/>
          <w:color w:val="auto"/>
          <w:sz w:val="36"/>
          <w:highlight w:val="none"/>
        </w:rPr>
      </w:pPr>
      <w:bookmarkStart w:id="105" w:name="_Toc32183"/>
      <w:r>
        <w:rPr>
          <w:rFonts w:ascii="宋体" w:hAnsi="宋体" w:cs="宋体"/>
          <w:b/>
          <w:color w:val="auto"/>
          <w:sz w:val="30"/>
          <w:szCs w:val="30"/>
          <w:highlight w:val="none"/>
        </w:rPr>
        <w:t xml:space="preserve">第四部分  </w:t>
      </w:r>
      <w:bookmarkEnd w:id="103"/>
      <w:bookmarkEnd w:id="104"/>
      <w:r>
        <w:rPr>
          <w:rFonts w:ascii="宋体" w:hAnsi="宋体" w:cs="宋体"/>
          <w:b/>
          <w:color w:val="auto"/>
          <w:sz w:val="30"/>
          <w:szCs w:val="30"/>
          <w:highlight w:val="none"/>
        </w:rPr>
        <w:t>拟签订的合同文本</w:t>
      </w:r>
      <w:bookmarkEnd w:id="105"/>
    </w:p>
    <w:p>
      <w:pPr>
        <w:adjustRightInd w:val="0"/>
        <w:snapToGrid w:val="0"/>
        <w:spacing w:line="360" w:lineRule="auto"/>
        <w:rPr>
          <w:rFonts w:hint="default" w:ascii="宋体" w:hAnsi="宋体" w:cs="宋体"/>
          <w:b/>
          <w:bCs/>
          <w:color w:val="auto"/>
          <w:szCs w:val="21"/>
          <w:highlight w:val="none"/>
        </w:rPr>
      </w:pPr>
      <w:bookmarkStart w:id="106" w:name="_Hlk534720381"/>
      <w:bookmarkStart w:id="107" w:name="_Toc249760790"/>
      <w:bookmarkStart w:id="108" w:name="_Toc251566661"/>
      <w:r>
        <w:rPr>
          <w:rFonts w:ascii="宋体" w:hAnsi="宋体" w:cs="宋体"/>
          <w:b/>
          <w:bCs/>
          <w:color w:val="auto"/>
          <w:szCs w:val="21"/>
          <w:highlight w:val="none"/>
        </w:rPr>
        <w:t>买方：杭州市质量技术监督检测院</w:t>
      </w:r>
    </w:p>
    <w:p>
      <w:pPr>
        <w:adjustRightInd w:val="0"/>
        <w:snapToGri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卖方：</w:t>
      </w:r>
    </w:p>
    <w:p>
      <w:pPr>
        <w:adjustRightInd w:val="0"/>
        <w:snapToGrid w:val="0"/>
        <w:spacing w:line="360" w:lineRule="auto"/>
        <w:rPr>
          <w:rFonts w:hint="default" w:ascii="宋体" w:hAnsi="宋体" w:cs="宋体"/>
          <w:b/>
          <w:bCs/>
          <w:color w:val="auto"/>
          <w:szCs w:val="21"/>
          <w:highlight w:val="none"/>
        </w:rPr>
      </w:pPr>
    </w:p>
    <w:p>
      <w:pPr>
        <w:adjustRightInd w:val="0"/>
        <w:snapToGri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一、定义</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 “合同”系指买方和卖方（以下简称合同双方）已达成的协议，即由双方签订的合同格式中的文件，包括所有的附件、附录、招投标文件和组成合同部分的所有其它文件。</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 “合同价格”系指根据合同规定，在卖方全面正确地履行合同义务时买方应支付给卖方的款项。</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1.3 “货物”系指卖方按合同要求，须向买方提供的一切货物、机械、仪器仪表、备品备件、工具、手册及其它技术资料和其它材料。</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1.4 “服务”系指合同规定卖方须承担的安装、调试、技术协助、校准、培训以及其它类似的义务。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1.5 “买方”系指本项目的采购人。</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1.6 “卖方”系指中标后提供合同货物和服务的经济实体。</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1.7 “现场”系指将要进行货物安装的地点。</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1.8 “验收”系指买方依据技术规格规定接受合同货物所依据的程序和条件。</w:t>
      </w:r>
    </w:p>
    <w:p>
      <w:pPr>
        <w:adjustRightInd w:val="0"/>
        <w:snapToGrid w:val="0"/>
        <w:spacing w:line="360" w:lineRule="auto"/>
        <w:rPr>
          <w:rFonts w:hint="default" w:ascii="宋体" w:hAnsi="宋体" w:cs="宋体"/>
          <w:b/>
          <w:bCs/>
          <w:color w:val="auto"/>
          <w:szCs w:val="21"/>
          <w:highlight w:val="none"/>
        </w:rPr>
      </w:pPr>
      <w:bookmarkStart w:id="109" w:name="_Toc236047438"/>
      <w:bookmarkStart w:id="110" w:name="_Toc318219016"/>
      <w:bookmarkStart w:id="111" w:name="_Toc285725537"/>
      <w:r>
        <w:rPr>
          <w:rFonts w:ascii="宋体" w:hAnsi="宋体" w:cs="宋体"/>
          <w:b/>
          <w:bCs/>
          <w:color w:val="auto"/>
          <w:szCs w:val="21"/>
          <w:highlight w:val="none"/>
        </w:rPr>
        <w:t>二、合同标的</w:t>
      </w:r>
      <w:bookmarkEnd w:id="109"/>
      <w:bookmarkEnd w:id="110"/>
      <w:bookmarkEnd w:id="111"/>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 本次合同的标的为：</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 详细数量、名称、产地、规格</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11"/>
        <w:gridCol w:w="1276"/>
        <w:gridCol w:w="1064"/>
        <w:gridCol w:w="1062"/>
        <w:gridCol w:w="8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2111"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产品名称</w:t>
            </w:r>
          </w:p>
        </w:tc>
        <w:tc>
          <w:tcPr>
            <w:tcW w:w="1276"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型 号</w:t>
            </w:r>
          </w:p>
        </w:tc>
        <w:tc>
          <w:tcPr>
            <w:tcW w:w="1064"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品牌</w:t>
            </w:r>
          </w:p>
        </w:tc>
        <w:tc>
          <w:tcPr>
            <w:tcW w:w="1062"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产地</w:t>
            </w:r>
          </w:p>
        </w:tc>
        <w:tc>
          <w:tcPr>
            <w:tcW w:w="851"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数量</w:t>
            </w:r>
          </w:p>
        </w:tc>
        <w:tc>
          <w:tcPr>
            <w:tcW w:w="1559" w:type="dxa"/>
            <w:vAlign w:val="center"/>
          </w:tcPr>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合同价</w:t>
            </w:r>
          </w:p>
          <w:p>
            <w:pPr>
              <w:spacing w:line="400" w:lineRule="exact"/>
              <w:jc w:val="center"/>
              <w:rPr>
                <w:rFonts w:hint="default" w:ascii="宋体" w:hAnsi="宋体" w:cs="宋体"/>
                <w:color w:val="auto"/>
                <w:szCs w:val="21"/>
                <w:highlight w:val="none"/>
              </w:rPr>
            </w:pPr>
            <w:r>
              <w:rPr>
                <w:rFonts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1</w:t>
            </w:r>
          </w:p>
        </w:tc>
        <w:tc>
          <w:tcPr>
            <w:tcW w:w="2111" w:type="dxa"/>
            <w:vAlign w:val="center"/>
          </w:tcPr>
          <w:p>
            <w:pPr>
              <w:widowControl/>
              <w:spacing w:line="360" w:lineRule="auto"/>
              <w:jc w:val="left"/>
              <w:rPr>
                <w:rFonts w:hint="default" w:ascii="宋体" w:hAnsi="宋体" w:cs="宋体"/>
                <w:color w:val="auto"/>
                <w:szCs w:val="21"/>
                <w:highlight w:val="none"/>
              </w:rPr>
            </w:pPr>
          </w:p>
        </w:tc>
        <w:tc>
          <w:tcPr>
            <w:tcW w:w="1276" w:type="dxa"/>
            <w:vAlign w:val="center"/>
          </w:tcPr>
          <w:p>
            <w:pPr>
              <w:widowControl/>
              <w:spacing w:line="360" w:lineRule="auto"/>
              <w:jc w:val="center"/>
              <w:textAlignment w:val="center"/>
              <w:rPr>
                <w:rFonts w:hint="default" w:ascii="宋体" w:hAnsi="宋体" w:cs="宋体"/>
                <w:color w:val="auto"/>
                <w:szCs w:val="21"/>
                <w:highlight w:val="none"/>
              </w:rPr>
            </w:pPr>
          </w:p>
        </w:tc>
        <w:tc>
          <w:tcPr>
            <w:tcW w:w="1064" w:type="dxa"/>
            <w:vAlign w:val="center"/>
          </w:tcPr>
          <w:p>
            <w:pPr>
              <w:widowControl/>
              <w:spacing w:line="360" w:lineRule="auto"/>
              <w:jc w:val="center"/>
              <w:textAlignment w:val="center"/>
              <w:rPr>
                <w:rFonts w:hint="default" w:ascii="宋体" w:hAnsi="宋体" w:cs="宋体"/>
                <w:color w:val="auto"/>
                <w:szCs w:val="21"/>
                <w:highlight w:val="none"/>
              </w:rPr>
            </w:pPr>
          </w:p>
        </w:tc>
        <w:tc>
          <w:tcPr>
            <w:tcW w:w="1062" w:type="dxa"/>
            <w:vAlign w:val="center"/>
          </w:tcPr>
          <w:p>
            <w:pPr>
              <w:widowControl/>
              <w:spacing w:line="360" w:lineRule="auto"/>
              <w:jc w:val="center"/>
              <w:textAlignment w:val="center"/>
              <w:rPr>
                <w:rFonts w:hint="default" w:ascii="宋体" w:hAnsi="宋体" w:cs="宋体"/>
                <w:color w:val="auto"/>
                <w:szCs w:val="21"/>
                <w:highlight w:val="none"/>
              </w:rPr>
            </w:pPr>
          </w:p>
        </w:tc>
        <w:tc>
          <w:tcPr>
            <w:tcW w:w="851" w:type="dxa"/>
            <w:vAlign w:val="center"/>
          </w:tcPr>
          <w:p>
            <w:pPr>
              <w:widowControl/>
              <w:spacing w:line="360" w:lineRule="auto"/>
              <w:jc w:val="center"/>
              <w:textAlignment w:val="center"/>
              <w:rPr>
                <w:rFonts w:hint="default" w:ascii="宋体" w:hAnsi="宋体" w:cs="宋体"/>
                <w:color w:val="auto"/>
                <w:szCs w:val="21"/>
                <w:highlight w:val="none"/>
              </w:rPr>
            </w:pPr>
          </w:p>
        </w:tc>
        <w:tc>
          <w:tcPr>
            <w:tcW w:w="1559" w:type="dxa"/>
            <w:vAlign w:val="center"/>
          </w:tcPr>
          <w:p>
            <w:pPr>
              <w:spacing w:line="360" w:lineRule="auto"/>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2</w:t>
            </w:r>
          </w:p>
        </w:tc>
        <w:tc>
          <w:tcPr>
            <w:tcW w:w="2111" w:type="dxa"/>
            <w:vAlign w:val="center"/>
          </w:tcPr>
          <w:p>
            <w:pPr>
              <w:widowControl/>
              <w:spacing w:line="360" w:lineRule="auto"/>
              <w:jc w:val="left"/>
              <w:rPr>
                <w:rFonts w:hint="default" w:ascii="宋体" w:hAnsi="宋体" w:cs="宋体"/>
                <w:color w:val="auto"/>
                <w:szCs w:val="21"/>
                <w:highlight w:val="none"/>
              </w:rPr>
            </w:pPr>
          </w:p>
        </w:tc>
        <w:tc>
          <w:tcPr>
            <w:tcW w:w="1276" w:type="dxa"/>
            <w:vAlign w:val="center"/>
          </w:tcPr>
          <w:p>
            <w:pPr>
              <w:widowControl/>
              <w:spacing w:line="360" w:lineRule="auto"/>
              <w:jc w:val="center"/>
              <w:textAlignment w:val="center"/>
              <w:rPr>
                <w:rFonts w:hint="default" w:ascii="宋体" w:hAnsi="宋体" w:cs="宋体"/>
                <w:color w:val="auto"/>
                <w:kern w:val="0"/>
                <w:szCs w:val="21"/>
                <w:highlight w:val="none"/>
              </w:rPr>
            </w:pPr>
          </w:p>
        </w:tc>
        <w:tc>
          <w:tcPr>
            <w:tcW w:w="1064" w:type="dxa"/>
            <w:vAlign w:val="center"/>
          </w:tcPr>
          <w:p>
            <w:pPr>
              <w:widowControl/>
              <w:spacing w:line="360" w:lineRule="auto"/>
              <w:jc w:val="center"/>
              <w:textAlignment w:val="center"/>
              <w:rPr>
                <w:rFonts w:hint="default" w:ascii="宋体" w:hAnsi="宋体" w:cs="宋体"/>
                <w:color w:val="auto"/>
                <w:szCs w:val="21"/>
                <w:highlight w:val="none"/>
              </w:rPr>
            </w:pPr>
          </w:p>
        </w:tc>
        <w:tc>
          <w:tcPr>
            <w:tcW w:w="1062" w:type="dxa"/>
            <w:vAlign w:val="center"/>
          </w:tcPr>
          <w:p>
            <w:pPr>
              <w:widowControl/>
              <w:spacing w:line="360" w:lineRule="auto"/>
              <w:jc w:val="center"/>
              <w:textAlignment w:val="center"/>
              <w:rPr>
                <w:rFonts w:hint="default" w:ascii="宋体" w:hAnsi="宋体" w:cs="宋体"/>
                <w:color w:val="auto"/>
                <w:szCs w:val="21"/>
                <w:highlight w:val="none"/>
              </w:rPr>
            </w:pPr>
          </w:p>
        </w:tc>
        <w:tc>
          <w:tcPr>
            <w:tcW w:w="851" w:type="dxa"/>
            <w:vAlign w:val="center"/>
          </w:tcPr>
          <w:p>
            <w:pPr>
              <w:widowControl/>
              <w:spacing w:line="360" w:lineRule="auto"/>
              <w:jc w:val="center"/>
              <w:textAlignment w:val="center"/>
              <w:rPr>
                <w:rFonts w:hint="default" w:ascii="宋体" w:hAnsi="宋体" w:cs="宋体"/>
                <w:color w:val="auto"/>
                <w:szCs w:val="21"/>
                <w:highlight w:val="none"/>
              </w:rPr>
            </w:pPr>
          </w:p>
        </w:tc>
        <w:tc>
          <w:tcPr>
            <w:tcW w:w="1559" w:type="dxa"/>
            <w:vAlign w:val="center"/>
          </w:tcPr>
          <w:p>
            <w:pPr>
              <w:spacing w:line="360" w:lineRule="auto"/>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3</w:t>
            </w:r>
          </w:p>
        </w:tc>
        <w:tc>
          <w:tcPr>
            <w:tcW w:w="2111" w:type="dxa"/>
            <w:vAlign w:val="center"/>
          </w:tcPr>
          <w:p>
            <w:pPr>
              <w:widowControl/>
              <w:spacing w:line="360" w:lineRule="auto"/>
              <w:jc w:val="left"/>
              <w:rPr>
                <w:rFonts w:hint="default" w:ascii="宋体" w:hAnsi="宋体" w:cs="宋体"/>
                <w:color w:val="auto"/>
                <w:szCs w:val="21"/>
                <w:highlight w:val="none"/>
              </w:rPr>
            </w:pPr>
          </w:p>
        </w:tc>
        <w:tc>
          <w:tcPr>
            <w:tcW w:w="1276" w:type="dxa"/>
            <w:vAlign w:val="center"/>
          </w:tcPr>
          <w:p>
            <w:pPr>
              <w:widowControl/>
              <w:spacing w:line="360" w:lineRule="auto"/>
              <w:jc w:val="center"/>
              <w:textAlignment w:val="center"/>
              <w:rPr>
                <w:rFonts w:hint="default" w:ascii="宋体" w:hAnsi="宋体" w:cs="宋体"/>
                <w:color w:val="auto"/>
                <w:kern w:val="0"/>
                <w:szCs w:val="21"/>
                <w:highlight w:val="none"/>
              </w:rPr>
            </w:pPr>
          </w:p>
        </w:tc>
        <w:tc>
          <w:tcPr>
            <w:tcW w:w="1064" w:type="dxa"/>
            <w:vAlign w:val="center"/>
          </w:tcPr>
          <w:p>
            <w:pPr>
              <w:widowControl/>
              <w:spacing w:line="360" w:lineRule="auto"/>
              <w:jc w:val="center"/>
              <w:textAlignment w:val="center"/>
              <w:rPr>
                <w:rFonts w:hint="default" w:ascii="宋体" w:hAnsi="宋体" w:cs="宋体"/>
                <w:color w:val="auto"/>
                <w:szCs w:val="21"/>
                <w:highlight w:val="none"/>
              </w:rPr>
            </w:pPr>
          </w:p>
        </w:tc>
        <w:tc>
          <w:tcPr>
            <w:tcW w:w="1062" w:type="dxa"/>
            <w:vAlign w:val="center"/>
          </w:tcPr>
          <w:p>
            <w:pPr>
              <w:widowControl/>
              <w:spacing w:line="360" w:lineRule="auto"/>
              <w:jc w:val="center"/>
              <w:textAlignment w:val="center"/>
              <w:rPr>
                <w:rFonts w:hint="default" w:ascii="宋体" w:hAnsi="宋体" w:cs="宋体"/>
                <w:color w:val="auto"/>
                <w:szCs w:val="21"/>
                <w:highlight w:val="none"/>
              </w:rPr>
            </w:pPr>
          </w:p>
        </w:tc>
        <w:tc>
          <w:tcPr>
            <w:tcW w:w="851" w:type="dxa"/>
            <w:vAlign w:val="center"/>
          </w:tcPr>
          <w:p>
            <w:pPr>
              <w:widowControl/>
              <w:spacing w:line="360" w:lineRule="auto"/>
              <w:jc w:val="center"/>
              <w:textAlignment w:val="center"/>
              <w:rPr>
                <w:rFonts w:hint="default" w:ascii="宋体" w:hAnsi="宋体" w:cs="宋体"/>
                <w:color w:val="auto"/>
                <w:szCs w:val="21"/>
                <w:highlight w:val="none"/>
              </w:rPr>
            </w:pPr>
          </w:p>
        </w:tc>
        <w:tc>
          <w:tcPr>
            <w:tcW w:w="1559" w:type="dxa"/>
            <w:vAlign w:val="center"/>
          </w:tcPr>
          <w:p>
            <w:pPr>
              <w:spacing w:line="360" w:lineRule="auto"/>
              <w:jc w:val="center"/>
              <w:rPr>
                <w:rFonts w:hint="default" w:ascii="宋体" w:hAnsi="宋体" w:cs="宋体"/>
                <w:color w:val="auto"/>
                <w:szCs w:val="21"/>
                <w:highlight w:val="none"/>
              </w:rPr>
            </w:pPr>
          </w:p>
        </w:tc>
      </w:tr>
    </w:tbl>
    <w:p>
      <w:pPr>
        <w:adjustRightInd w:val="0"/>
        <w:snapToGrid w:val="0"/>
        <w:spacing w:line="360" w:lineRule="auto"/>
        <w:ind w:firstLine="420" w:firstLineChars="200"/>
        <w:rPr>
          <w:rFonts w:hint="default" w:ascii="宋体" w:hAnsi="宋体" w:cs="宋体"/>
          <w:color w:val="auto"/>
          <w:szCs w:val="21"/>
          <w:highlight w:val="none"/>
        </w:rPr>
      </w:pPr>
    </w:p>
    <w:p>
      <w:pPr>
        <w:adjustRightInd w:val="0"/>
        <w:snapToGrid w:val="0"/>
        <w:spacing w:line="360" w:lineRule="auto"/>
        <w:rPr>
          <w:rFonts w:hint="default" w:ascii="宋体" w:hAnsi="宋体" w:cs="宋体"/>
          <w:b/>
          <w:bCs/>
          <w:color w:val="auto"/>
          <w:szCs w:val="21"/>
          <w:highlight w:val="none"/>
        </w:rPr>
      </w:pPr>
      <w:bookmarkStart w:id="112" w:name="_Toc285725538"/>
      <w:bookmarkStart w:id="113" w:name="_Toc318219017"/>
      <w:bookmarkStart w:id="114" w:name="_Toc236047439"/>
      <w:r>
        <w:rPr>
          <w:rFonts w:ascii="宋体" w:hAnsi="宋体" w:cs="宋体"/>
          <w:b/>
          <w:bCs/>
          <w:color w:val="auto"/>
          <w:szCs w:val="21"/>
          <w:highlight w:val="none"/>
        </w:rPr>
        <w:t>三、合同价格</w:t>
      </w:r>
      <w:bookmarkEnd w:id="112"/>
      <w:bookmarkEnd w:id="113"/>
      <w:bookmarkEnd w:id="114"/>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 本合同金额为人民币（大写）    （¥      元）。</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3.2此合同价格须包含设备主机和标准附件、备品备件、专用工具等到达采购人指定地点的运输、装卸、安装、调试、检验、技术服务、培训、进口环节税等所需的各种费用及必要的保险费用和各项税金等所有费用的总和。对于没有填报的项目，买方将不再支付，并均认为已包含在合同总价内。</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3.3 质保期内的备品备件均由卖方提供，费用已含入合同总价内。</w:t>
      </w:r>
    </w:p>
    <w:p>
      <w:pPr>
        <w:adjustRightInd w:val="0"/>
        <w:snapToGrid w:val="0"/>
        <w:spacing w:line="360" w:lineRule="auto"/>
        <w:rPr>
          <w:rFonts w:hint="default" w:ascii="宋体" w:hAnsi="宋体" w:cs="宋体"/>
          <w:b/>
          <w:bCs/>
          <w:color w:val="auto"/>
          <w:szCs w:val="21"/>
          <w:highlight w:val="none"/>
        </w:rPr>
      </w:pPr>
      <w:bookmarkStart w:id="115" w:name="_Toc236047440"/>
      <w:bookmarkStart w:id="116" w:name="_Toc285725539"/>
      <w:bookmarkStart w:id="117" w:name="_Toc318219018"/>
      <w:r>
        <w:rPr>
          <w:rFonts w:ascii="宋体" w:hAnsi="宋体" w:cs="宋体"/>
          <w:b/>
          <w:bCs/>
          <w:color w:val="auto"/>
          <w:szCs w:val="21"/>
          <w:highlight w:val="none"/>
        </w:rPr>
        <w:t>四、质量标准</w:t>
      </w:r>
      <w:bookmarkEnd w:id="115"/>
      <w:bookmarkEnd w:id="116"/>
      <w:bookmarkEnd w:id="117"/>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4.1本合同下交付的货物应符合技术规格所述的标准。如没有提及适用标准，则应符合货物来源国使用的官方标准。这些标准必须是有关机构发布的最新有效版本的标准。</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4.2除非技术规格中另有规定，计量单位均采用中华人民共和国法定计量单位。</w:t>
      </w:r>
    </w:p>
    <w:p>
      <w:pPr>
        <w:adjustRightInd w:val="0"/>
        <w:snapToGrid w:val="0"/>
        <w:spacing w:line="360" w:lineRule="auto"/>
        <w:rPr>
          <w:rFonts w:hint="default" w:ascii="宋体" w:hAnsi="宋体" w:cs="宋体"/>
          <w:b/>
          <w:bCs/>
          <w:color w:val="auto"/>
          <w:szCs w:val="21"/>
          <w:highlight w:val="none"/>
        </w:rPr>
      </w:pPr>
      <w:bookmarkStart w:id="118" w:name="_Toc285725540"/>
      <w:bookmarkStart w:id="119" w:name="_Toc318219019"/>
      <w:bookmarkStart w:id="120" w:name="_Toc236047441"/>
      <w:r>
        <w:rPr>
          <w:rFonts w:ascii="宋体" w:hAnsi="宋体" w:cs="宋体"/>
          <w:b/>
          <w:bCs/>
          <w:color w:val="auto"/>
          <w:szCs w:val="21"/>
          <w:highlight w:val="none"/>
        </w:rPr>
        <w:t>五、 交货期</w:t>
      </w:r>
      <w:bookmarkEnd w:id="118"/>
      <w:bookmarkEnd w:id="119"/>
      <w:bookmarkEnd w:id="120"/>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5.1 交货期：_____________________</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5.2交货地点：买方指定地点。</w:t>
      </w:r>
    </w:p>
    <w:p>
      <w:pPr>
        <w:adjustRightInd w:val="0"/>
        <w:snapToGrid w:val="0"/>
        <w:spacing w:line="360" w:lineRule="auto"/>
        <w:rPr>
          <w:rFonts w:hint="default" w:ascii="宋体" w:hAnsi="宋体" w:cs="宋体"/>
          <w:b/>
          <w:bCs/>
          <w:color w:val="auto"/>
          <w:szCs w:val="21"/>
          <w:highlight w:val="none"/>
        </w:rPr>
      </w:pPr>
      <w:bookmarkStart w:id="121" w:name="_Toc285725541"/>
      <w:bookmarkStart w:id="122" w:name="_Toc236047442"/>
      <w:bookmarkStart w:id="123" w:name="_Toc318219020"/>
      <w:r>
        <w:rPr>
          <w:rFonts w:ascii="宋体" w:hAnsi="宋体" w:cs="宋体"/>
          <w:b/>
          <w:bCs/>
          <w:color w:val="auto"/>
          <w:szCs w:val="21"/>
          <w:highlight w:val="none"/>
        </w:rPr>
        <w:t>六、合同文件和资料的使用</w:t>
      </w:r>
      <w:bookmarkEnd w:id="121"/>
      <w:bookmarkEnd w:id="122"/>
      <w:bookmarkEnd w:id="123"/>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6.1没有买方事先书面同意，卖方不得将由买方或买方代表提供的有关合同或任何合同条文、规格、计划、图纸、模型、样品或资料提供给卖方雇佣于履行本合同以外的任何其他人。即使本合同的雇员提供，也应注意保密并限于履行合同必须的范围。</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6.2没有买方事先书面同意，除了履行本合同之外，卖方不应使用合同条款6.1条所列举的任何文件和资料。</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6.3 除了合同本身之外，合同条款6.1条所列举的任何文件是买方的财产。如买方有要求，卖方在完成本合同后应将这些文件及全部复制件还给买方。</w:t>
      </w:r>
    </w:p>
    <w:p>
      <w:pPr>
        <w:adjustRightInd w:val="0"/>
        <w:snapToGrid w:val="0"/>
        <w:spacing w:line="360" w:lineRule="auto"/>
        <w:rPr>
          <w:rFonts w:hint="default" w:ascii="宋体" w:hAnsi="宋体" w:cs="宋体"/>
          <w:b/>
          <w:bCs/>
          <w:color w:val="auto"/>
          <w:szCs w:val="21"/>
          <w:highlight w:val="none"/>
        </w:rPr>
      </w:pPr>
      <w:bookmarkStart w:id="124" w:name="_Toc285725542"/>
      <w:bookmarkStart w:id="125" w:name="_Toc318219021"/>
      <w:bookmarkStart w:id="126" w:name="_Toc236047443"/>
      <w:r>
        <w:rPr>
          <w:rFonts w:ascii="宋体" w:hAnsi="宋体" w:cs="宋体"/>
          <w:b/>
          <w:bCs/>
          <w:color w:val="auto"/>
          <w:szCs w:val="21"/>
          <w:highlight w:val="none"/>
        </w:rPr>
        <w:t>七、知识产权</w:t>
      </w:r>
      <w:bookmarkEnd w:id="124"/>
      <w:bookmarkEnd w:id="125"/>
      <w:bookmarkEnd w:id="126"/>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7.1 卖方须保障买方在中国使用其货物、服务及其任何部分不受到第三方关于侵犯专利权、商标权、工业设计权或其他知识产权的指控。任何第三方如果提出侵权指控，卖方须与第三方交涉并承担由此而引起的一切法律责任和费用。</w:t>
      </w:r>
    </w:p>
    <w:p>
      <w:pPr>
        <w:adjustRightInd w:val="0"/>
        <w:snapToGrid w:val="0"/>
        <w:spacing w:line="360" w:lineRule="auto"/>
        <w:rPr>
          <w:rFonts w:hint="default" w:ascii="宋体" w:hAnsi="宋体" w:cs="宋体"/>
          <w:b/>
          <w:bCs/>
          <w:color w:val="auto"/>
          <w:szCs w:val="21"/>
          <w:highlight w:val="none"/>
        </w:rPr>
      </w:pPr>
      <w:bookmarkStart w:id="127" w:name="_Toc285725543"/>
      <w:bookmarkStart w:id="128" w:name="_Toc318219022"/>
      <w:bookmarkStart w:id="129" w:name="_Toc236047444"/>
      <w:r>
        <w:rPr>
          <w:rFonts w:ascii="宋体" w:hAnsi="宋体" w:cs="宋体"/>
          <w:b/>
          <w:bCs/>
          <w:color w:val="auto"/>
          <w:szCs w:val="21"/>
          <w:highlight w:val="none"/>
        </w:rPr>
        <w:t>八、履约</w:t>
      </w:r>
      <w:bookmarkEnd w:id="127"/>
      <w:bookmarkEnd w:id="128"/>
      <w:bookmarkEnd w:id="129"/>
      <w:r>
        <w:rPr>
          <w:rFonts w:ascii="宋体" w:hAnsi="宋体" w:cs="宋体"/>
          <w:b/>
          <w:bCs/>
          <w:color w:val="auto"/>
          <w:szCs w:val="21"/>
          <w:highlight w:val="none"/>
        </w:rPr>
        <w:t>担保</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8.1履约担保：卖方在合同签订之后，向买方提供合同总价5%的履约担保金额。</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8.2履约担保退换：如无质量或服务纠纷发生，买方在质保期满后十个工作日内退还（不计利息）。</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8.3履约担保用于补偿因卖方不能完成其合同义务而蒙受的损失。</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8.4履约担保须采用人民币，并采用下列方式之一提交：</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1)电汇、汇票、支票或银行、保险公司出具的保函。</w:t>
      </w:r>
    </w:p>
    <w:p>
      <w:pPr>
        <w:adjustRightInd w:val="0"/>
        <w:snapToGrid w:val="0"/>
        <w:spacing w:line="360" w:lineRule="auto"/>
        <w:rPr>
          <w:rFonts w:hint="default" w:ascii="宋体" w:hAnsi="宋体" w:cs="宋体"/>
          <w:b/>
          <w:bCs/>
          <w:color w:val="auto"/>
          <w:szCs w:val="21"/>
          <w:highlight w:val="none"/>
        </w:rPr>
      </w:pPr>
      <w:bookmarkStart w:id="130" w:name="_Toc285725544"/>
      <w:bookmarkStart w:id="131" w:name="_Toc318219023"/>
      <w:bookmarkStart w:id="132" w:name="_Toc236047445"/>
      <w:r>
        <w:rPr>
          <w:rFonts w:ascii="宋体" w:hAnsi="宋体" w:cs="宋体"/>
          <w:b/>
          <w:bCs/>
          <w:color w:val="auto"/>
          <w:szCs w:val="21"/>
          <w:highlight w:val="none"/>
        </w:rPr>
        <w:t>九、包装</w:t>
      </w:r>
      <w:bookmarkEnd w:id="130"/>
      <w:bookmarkEnd w:id="131"/>
      <w:bookmarkEnd w:id="132"/>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9.1 除非本合同另有规定，提供的全部货物须采用相应标准的保护措施进行包装卖方对所提供的货物应采用保护措施进行包装，其中包装应适合远程运输，并能防潮，防冻，防震，防锈，不致因上述原因出现任何损坏，卖方应对包装不妥造成的锈蚀及其它损失承担责任。</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9.2 每件包装应附有详细装箱单和质量证书各两套，一套在包装箱里，一套在包装箱外。</w:t>
      </w:r>
    </w:p>
    <w:p>
      <w:pPr>
        <w:adjustRightInd w:val="0"/>
        <w:snapToGrid w:val="0"/>
        <w:spacing w:line="360" w:lineRule="auto"/>
        <w:rPr>
          <w:rFonts w:hint="default" w:ascii="宋体" w:hAnsi="宋体" w:cs="宋体"/>
          <w:b/>
          <w:bCs/>
          <w:color w:val="auto"/>
          <w:szCs w:val="21"/>
          <w:highlight w:val="none"/>
        </w:rPr>
      </w:pPr>
      <w:bookmarkStart w:id="133" w:name="_Toc318219024"/>
      <w:bookmarkStart w:id="134" w:name="_Toc285725545"/>
      <w:bookmarkStart w:id="135" w:name="_Toc236047446"/>
      <w:r>
        <w:rPr>
          <w:rFonts w:ascii="宋体" w:hAnsi="宋体" w:cs="宋体"/>
          <w:b/>
          <w:bCs/>
          <w:color w:val="auto"/>
          <w:szCs w:val="21"/>
          <w:highlight w:val="none"/>
        </w:rPr>
        <w:t>十、运输标记</w:t>
      </w:r>
      <w:bookmarkEnd w:id="133"/>
      <w:bookmarkEnd w:id="134"/>
      <w:bookmarkEnd w:id="135"/>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10.1卖方应在每一包装箱的适当位置作出下列标记：</w:t>
      </w:r>
    </w:p>
    <w:p>
      <w:pPr>
        <w:adjustRightInd w:val="0"/>
        <w:snapToGrid w:val="0"/>
        <w:spacing w:line="360" w:lineRule="auto"/>
        <w:ind w:firstLine="495" w:firstLineChars="236"/>
        <w:rPr>
          <w:rFonts w:hint="default" w:ascii="宋体" w:hAnsi="宋体" w:cs="宋体"/>
          <w:color w:val="auto"/>
          <w:szCs w:val="21"/>
          <w:highlight w:val="none"/>
        </w:rPr>
      </w:pPr>
      <w:r>
        <w:rPr>
          <w:rFonts w:ascii="宋体" w:hAnsi="宋体" w:cs="宋体"/>
          <w:color w:val="auto"/>
          <w:szCs w:val="21"/>
          <w:highlight w:val="none"/>
        </w:rPr>
        <w:t>a.收货人；</w:t>
      </w:r>
    </w:p>
    <w:p>
      <w:pPr>
        <w:adjustRightInd w:val="0"/>
        <w:snapToGrid w:val="0"/>
        <w:spacing w:line="360" w:lineRule="auto"/>
        <w:ind w:firstLine="495" w:firstLineChars="236"/>
        <w:rPr>
          <w:rFonts w:hint="default" w:ascii="宋体" w:hAnsi="宋体" w:cs="宋体"/>
          <w:color w:val="auto"/>
          <w:szCs w:val="21"/>
          <w:highlight w:val="none"/>
        </w:rPr>
      </w:pPr>
      <w:r>
        <w:rPr>
          <w:rFonts w:ascii="宋体" w:hAnsi="宋体" w:cs="宋体"/>
          <w:color w:val="auto"/>
          <w:szCs w:val="21"/>
          <w:highlight w:val="none"/>
        </w:rPr>
        <w:t>b.货物名称、件数；</w:t>
      </w:r>
    </w:p>
    <w:p>
      <w:pPr>
        <w:adjustRightInd w:val="0"/>
        <w:snapToGrid w:val="0"/>
        <w:spacing w:line="360" w:lineRule="auto"/>
        <w:ind w:firstLine="495" w:firstLineChars="236"/>
        <w:rPr>
          <w:rFonts w:hint="default" w:ascii="宋体" w:hAnsi="宋体" w:cs="宋体"/>
          <w:color w:val="auto"/>
          <w:szCs w:val="21"/>
          <w:highlight w:val="none"/>
        </w:rPr>
      </w:pPr>
      <w:r>
        <w:rPr>
          <w:rFonts w:ascii="宋体" w:hAnsi="宋体" w:cs="宋体"/>
          <w:color w:val="auto"/>
          <w:szCs w:val="21"/>
          <w:highlight w:val="none"/>
        </w:rPr>
        <w:t>c.毛重、净重；</w:t>
      </w:r>
    </w:p>
    <w:p>
      <w:pPr>
        <w:adjustRightInd w:val="0"/>
        <w:snapToGrid w:val="0"/>
        <w:spacing w:line="360" w:lineRule="auto"/>
        <w:ind w:firstLine="495" w:firstLineChars="236"/>
        <w:rPr>
          <w:rFonts w:hint="default" w:ascii="宋体" w:hAnsi="宋体" w:cs="宋体"/>
          <w:color w:val="auto"/>
          <w:szCs w:val="21"/>
          <w:highlight w:val="none"/>
        </w:rPr>
      </w:pPr>
      <w:r>
        <w:rPr>
          <w:rFonts w:ascii="宋体" w:hAnsi="宋体" w:cs="宋体"/>
          <w:color w:val="auto"/>
          <w:szCs w:val="21"/>
          <w:highlight w:val="none"/>
        </w:rPr>
        <w:t>d.体积（长×宽×高，用毫米表示）。</w:t>
      </w:r>
    </w:p>
    <w:p>
      <w:pPr>
        <w:adjustRightInd w:val="0"/>
        <w:snapToGrid w:val="0"/>
        <w:spacing w:line="360" w:lineRule="auto"/>
        <w:ind w:firstLine="495" w:firstLineChars="236"/>
        <w:rPr>
          <w:rFonts w:hint="default" w:ascii="宋体" w:hAnsi="宋体" w:cs="宋体"/>
          <w:color w:val="auto"/>
          <w:szCs w:val="21"/>
          <w:highlight w:val="none"/>
        </w:rPr>
      </w:pPr>
      <w:r>
        <w:rPr>
          <w:rFonts w:ascii="宋体" w:hAnsi="宋体" w:cs="宋体"/>
          <w:color w:val="auto"/>
          <w:szCs w:val="21"/>
          <w:highlight w:val="none"/>
        </w:rPr>
        <w:t>e.按照货物的特点及装卸和运输上的不同要求，包装箱上应明显印刷有“轻放”、“勿倒置”和“防雨”等字样，危险品包装应有警示标志。</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10.2 凡重达两吨或两吨以上的包装，卖方应在每件包装箱的两侧用中文标明“重心”和“吊装点”，并根据货物的特点和运输的不同要求，以清晰字样在包装箱上注明“小心轻放”、“勿倒置”、“防潮”等适当的标志，以方便装卸和搬运。 </w:t>
      </w:r>
    </w:p>
    <w:p>
      <w:pPr>
        <w:adjustRightInd w:val="0"/>
        <w:snapToGrid w:val="0"/>
        <w:spacing w:line="360" w:lineRule="auto"/>
        <w:rPr>
          <w:rFonts w:hint="default" w:ascii="宋体" w:hAnsi="宋体" w:cs="宋体"/>
          <w:b/>
          <w:bCs/>
          <w:color w:val="auto"/>
          <w:szCs w:val="21"/>
          <w:highlight w:val="none"/>
        </w:rPr>
      </w:pPr>
      <w:bookmarkStart w:id="136" w:name="_Toc285725546"/>
      <w:bookmarkStart w:id="137" w:name="_Toc318219025"/>
      <w:bookmarkStart w:id="138" w:name="_Toc236047447"/>
      <w:r>
        <w:rPr>
          <w:rFonts w:ascii="宋体" w:hAnsi="宋体" w:cs="宋体"/>
          <w:b/>
          <w:bCs/>
          <w:color w:val="auto"/>
          <w:szCs w:val="21"/>
          <w:highlight w:val="none"/>
        </w:rPr>
        <w:t>十一、装运及运输</w:t>
      </w:r>
      <w:bookmarkEnd w:id="136"/>
      <w:bookmarkEnd w:id="137"/>
      <w:bookmarkEnd w:id="138"/>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11.1卖方应在合同规定的交货期前以书面形式通知买方合同号、货物名称、数量、包装件数、总毛重、总体积（立方米）和每一包装箱的尺寸（长×宽×高）、单价和总价、备妥待运日期以及货物在运输和仓储中的特殊要求和注意事项。若货物中有易燃品或危险品，卖方也须将详细情况通知买方。买方认为必要时，可在货物装箱出厂前进行查验。</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11.2卖方装运的货物必须符合合同规定的货物名称、型号规格、数量或重量，否则，一切后果均由卖方承担。</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11.3 货物必须按时运至买方指定地点，如不能按时运达，延期交货造成的损失由卖方负责进行赔偿。</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11.4装运及运输过程由卖方负责，期间发生的一切损失由卖方承担。</w:t>
      </w:r>
    </w:p>
    <w:p>
      <w:pPr>
        <w:adjustRightInd w:val="0"/>
        <w:snapToGrid w:val="0"/>
        <w:spacing w:line="360" w:lineRule="auto"/>
        <w:rPr>
          <w:rFonts w:hint="default" w:ascii="宋体" w:hAnsi="宋体" w:cs="宋体"/>
          <w:b/>
          <w:bCs/>
          <w:color w:val="auto"/>
          <w:szCs w:val="21"/>
          <w:highlight w:val="none"/>
        </w:rPr>
      </w:pPr>
      <w:bookmarkStart w:id="139" w:name="_Toc236047448"/>
      <w:bookmarkStart w:id="140" w:name="_Toc285725547"/>
      <w:bookmarkStart w:id="141" w:name="_Toc318219026"/>
      <w:r>
        <w:rPr>
          <w:rFonts w:ascii="宋体" w:hAnsi="宋体" w:cs="宋体"/>
          <w:b/>
          <w:bCs/>
          <w:color w:val="auto"/>
          <w:szCs w:val="21"/>
          <w:highlight w:val="none"/>
        </w:rPr>
        <w:t>十二、 保险</w:t>
      </w:r>
      <w:bookmarkEnd w:id="139"/>
      <w:bookmarkEnd w:id="140"/>
      <w:bookmarkEnd w:id="141"/>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12.1 卖方应在货物装运前，为所供设备办理保险。</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12.2保险的有效期必须在货物交付给买方之后。</w:t>
      </w:r>
    </w:p>
    <w:p>
      <w:pPr>
        <w:adjustRightInd w:val="0"/>
        <w:snapToGrid w:val="0"/>
        <w:spacing w:line="360" w:lineRule="auto"/>
        <w:rPr>
          <w:rFonts w:hint="default" w:ascii="宋体" w:hAnsi="宋体" w:cs="宋体"/>
          <w:b/>
          <w:bCs/>
          <w:color w:val="auto"/>
          <w:szCs w:val="21"/>
          <w:highlight w:val="none"/>
        </w:rPr>
      </w:pPr>
      <w:bookmarkStart w:id="142" w:name="_Toc236047449"/>
      <w:bookmarkStart w:id="143" w:name="_Toc285725548"/>
      <w:bookmarkStart w:id="144" w:name="_Toc318219027"/>
      <w:r>
        <w:rPr>
          <w:rFonts w:ascii="宋体" w:hAnsi="宋体" w:cs="宋体"/>
          <w:b/>
          <w:bCs/>
          <w:color w:val="auto"/>
          <w:szCs w:val="21"/>
          <w:highlight w:val="none"/>
        </w:rPr>
        <w:t>十三、伴随服务</w:t>
      </w:r>
      <w:bookmarkEnd w:id="142"/>
      <w:bookmarkEnd w:id="143"/>
      <w:bookmarkEnd w:id="144"/>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13.1卖方须提供如下的伴随服务：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卖方须负责对货物的现场安装、调试和其它服务。合同所订货物到达买方指定地点后，卖方应在接到买方通知后三天内指派合格的技术人员到指定地点进行安装调试。如因卖方责任而造成的延期，所有因安装延期而产生的费用由卖方负担。货物运抵现场后，买方将对货物的质量、规格、数量进行检验，如发现货物的规格或数量或两者都与合同不符，买方有权向卖方提出索赔。</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2)卖方人员在现场安装调试培训期间，其食宿、交通等费用均自行承担。</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3)货物安装调试完毕后，卖方负责对买方有关人员就货物的运行、维护和简单修理进行培训，使买方人员能熟练掌握操作技术、维护保养知识及常见故障判别及排除方法等。</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13.2卖方提供的伴随服务已包含在合同总价中。</w:t>
      </w:r>
    </w:p>
    <w:p>
      <w:pPr>
        <w:spacing w:line="360" w:lineRule="auto"/>
        <w:rPr>
          <w:rFonts w:hint="default" w:ascii="宋体" w:hAnsi="宋体" w:cs="宋体"/>
          <w:b/>
          <w:color w:val="auto"/>
          <w:szCs w:val="21"/>
          <w:highlight w:val="none"/>
        </w:rPr>
      </w:pPr>
      <w:bookmarkStart w:id="145" w:name="_Toc236047450"/>
      <w:bookmarkStart w:id="146" w:name="_Toc285725549"/>
      <w:bookmarkStart w:id="147" w:name="_Toc318219028"/>
      <w:r>
        <w:rPr>
          <w:rFonts w:ascii="宋体" w:hAnsi="宋体" w:cs="宋体"/>
          <w:b/>
          <w:bCs/>
          <w:color w:val="auto"/>
          <w:szCs w:val="21"/>
          <w:highlight w:val="none"/>
        </w:rPr>
        <w:t>十四、</w:t>
      </w:r>
      <w:bookmarkEnd w:id="145"/>
      <w:bookmarkEnd w:id="146"/>
      <w:bookmarkEnd w:id="147"/>
      <w:r>
        <w:rPr>
          <w:rFonts w:ascii="宋体" w:hAnsi="宋体" w:cs="宋体"/>
          <w:b/>
          <w:color w:val="auto"/>
          <w:szCs w:val="21"/>
          <w:highlight w:val="none"/>
        </w:rPr>
        <w:t>验收</w:t>
      </w:r>
      <w:bookmarkStart w:id="148" w:name="_Toc236047451"/>
      <w:bookmarkStart w:id="149" w:name="_Toc318219029"/>
      <w:bookmarkStart w:id="150" w:name="_Toc285725550"/>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14.1卖方交货前应对产品作出全面检查和对验收文件进行整理列出清单，作为买方指定的验收小组收货验收和使用的技术条件依据，检验的结果应随货物交买方。</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14.2验收工作应当由买方在指定地点进行，买方对卖方所交货物依照采购文件上的技术规格要求或国家（设备制造国）有关标准指定验收小组进行验收，性能达到技术要求的，给予签收。验收不合格的不予以签收，后果由卖方负责。条件满足后，双方将签署验收协议。</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14.3设备满足合同中规定的各项技术规格、指标和性能要求，符合厂家提供的正式技术文件的说明。</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14.4买方应在货到指定地点安装调试完毕之日起5个工作日内组织验收完毕。验收时卖方应在现场。所有调试及验收测试已进行完毕，并形成书面报告。</w:t>
      </w:r>
    </w:p>
    <w:p>
      <w:pPr>
        <w:adjustRightInd w:val="0"/>
        <w:snapToGri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十五、质量保证</w:t>
      </w:r>
      <w:bookmarkEnd w:id="148"/>
      <w:bookmarkEnd w:id="149"/>
      <w:bookmarkEnd w:id="150"/>
      <w:r>
        <w:rPr>
          <w:rFonts w:ascii="宋体" w:hAnsi="宋体" w:cs="宋体"/>
          <w:b/>
          <w:bCs/>
          <w:color w:val="auto"/>
          <w:szCs w:val="21"/>
          <w:highlight w:val="none"/>
        </w:rPr>
        <w:t>和售后服务</w:t>
      </w:r>
    </w:p>
    <w:p>
      <w:pPr>
        <w:adjustRightInd w:val="0"/>
        <w:snapToGrid w:val="0"/>
        <w:spacing w:line="360" w:lineRule="auto"/>
        <w:ind w:firstLine="420" w:firstLineChars="200"/>
        <w:rPr>
          <w:rFonts w:hint="default" w:ascii="宋体" w:hAnsi="宋体" w:cs="宋体"/>
          <w:color w:val="auto"/>
          <w:szCs w:val="21"/>
          <w:highlight w:val="none"/>
        </w:rPr>
      </w:pPr>
      <w:bookmarkStart w:id="151" w:name="_Toc236047452"/>
      <w:bookmarkStart w:id="152" w:name="_Toc285725551"/>
      <w:bookmarkStart w:id="153" w:name="_Toc318219030"/>
      <w:r>
        <w:rPr>
          <w:rFonts w:ascii="宋体" w:hAnsi="宋体" w:cs="宋体"/>
          <w:color w:val="auto"/>
          <w:szCs w:val="21"/>
          <w:highlight w:val="none"/>
        </w:rPr>
        <w:t>15.1卖方应保证其提供的货物是全新的、未使用过的，采用的是最佳材料和第一流的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外，出现上述情况，卖方应在收到买方通知后30天内，免费负责修理或更换有缺陷的零部件或整机。对造成的损失买方保留索赔的权利。</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15.2除非合同中另有规定，合同项下货物的质量保证期为货物正式验收后_____个月。</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15.3在保修期内因设备故障造成需方停工，供货方应在4小时内进行答复，48小时内排除故障。</w:t>
      </w:r>
    </w:p>
    <w:p>
      <w:pPr>
        <w:adjustRightInd w:val="0"/>
        <w:snapToGri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十六、技术资料</w:t>
      </w:r>
      <w:bookmarkEnd w:id="151"/>
      <w:bookmarkEnd w:id="152"/>
      <w:bookmarkEnd w:id="153"/>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16.1卖方应准备与合同货物或仪器相符的中文技术资料，例如：样本、图纸、操作手册、使用说明、维修指南或服务手册等。如本条款所述资料寄送不完整或丢失，卖方应在收到买方通知后立即免费另寄。</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16.2上述一套完整的资料应包装好随每批货物一起发运。</w:t>
      </w:r>
    </w:p>
    <w:p>
      <w:pPr>
        <w:adjustRightInd w:val="0"/>
        <w:snapToGrid w:val="0"/>
        <w:spacing w:line="360" w:lineRule="auto"/>
        <w:rPr>
          <w:rFonts w:hint="default" w:ascii="宋体" w:hAnsi="宋体" w:cs="宋体"/>
          <w:b/>
          <w:bCs/>
          <w:color w:val="auto"/>
          <w:szCs w:val="21"/>
          <w:highlight w:val="none"/>
        </w:rPr>
      </w:pPr>
      <w:bookmarkStart w:id="154" w:name="_Toc236047453"/>
      <w:bookmarkStart w:id="155" w:name="_Toc285725552"/>
      <w:bookmarkStart w:id="156" w:name="_Toc318219031"/>
      <w:r>
        <w:rPr>
          <w:rFonts w:ascii="宋体" w:hAnsi="宋体" w:cs="宋体"/>
          <w:b/>
          <w:bCs/>
          <w:color w:val="auto"/>
          <w:szCs w:val="21"/>
          <w:highlight w:val="none"/>
        </w:rPr>
        <w:t>十七、付款</w:t>
      </w:r>
      <w:bookmarkEnd w:id="154"/>
      <w:bookmarkEnd w:id="155"/>
      <w:bookmarkEnd w:id="156"/>
    </w:p>
    <w:p>
      <w:pPr>
        <w:adjustRightInd w:val="0"/>
        <w:snapToGrid w:val="0"/>
        <w:spacing w:line="360" w:lineRule="auto"/>
        <w:ind w:firstLine="420" w:firstLineChars="200"/>
        <w:rPr>
          <w:rFonts w:hint="default" w:ascii="宋体" w:hAnsi="宋体" w:cs="宋体"/>
          <w:color w:val="auto"/>
          <w:szCs w:val="21"/>
          <w:highlight w:val="none"/>
        </w:rPr>
      </w:pPr>
      <w:bookmarkStart w:id="157" w:name="_Toc285725553"/>
      <w:bookmarkStart w:id="158" w:name="_Toc318219032"/>
      <w:bookmarkStart w:id="159" w:name="_Toc236047454"/>
      <w:r>
        <w:rPr>
          <w:rFonts w:ascii="宋体" w:hAnsi="宋体" w:cs="宋体"/>
          <w:color w:val="auto"/>
          <w:szCs w:val="21"/>
          <w:highlight w:val="none"/>
        </w:rPr>
        <w:t>见第三部分</w:t>
      </w:r>
      <w:r>
        <w:rPr>
          <w:rFonts w:hint="eastAsia" w:ascii="宋体" w:hAnsi="宋体" w:cs="宋体"/>
          <w:color w:val="auto"/>
          <w:szCs w:val="21"/>
          <w:highlight w:val="none"/>
          <w:lang w:eastAsia="zh-CN"/>
        </w:rPr>
        <w:t>采购</w:t>
      </w:r>
      <w:r>
        <w:rPr>
          <w:rFonts w:ascii="宋体" w:hAnsi="宋体" w:cs="宋体"/>
          <w:color w:val="auto"/>
          <w:szCs w:val="21"/>
          <w:highlight w:val="none"/>
        </w:rPr>
        <w:t>需求书。</w:t>
      </w:r>
    </w:p>
    <w:p>
      <w:pPr>
        <w:adjustRightInd w:val="0"/>
        <w:snapToGri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十八、索赔</w:t>
      </w:r>
      <w:bookmarkEnd w:id="157"/>
      <w:bookmarkEnd w:id="158"/>
      <w:bookmarkEnd w:id="159"/>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18.1 卖方对货物与合同要求不符负有责任，并且买方已于规定的检验、安装、调试和验收测试期限内和质量保证期内提出索赔，卖方应按买方同意的下述一种或多种方法解决索赔事宜。</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卖方同意买方拒收货物并把被拒收货物的金额以合同规定的同类货币付给买方，卖方负担发生的一切损失和费用，包括利息、银行费用、运输和保险费、检验费、仓储和装卸费以及为保管和保护被拒绝货物所需要的其它必要费用。</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2)根据货物的疵劣和受损程度以及买方遭受损失的金额，经双方同意降低货物价格。</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3)更换有缺陷的零件、部件和货物，或修理缺陷部分，以达到合同规定的规格、质量和性能，卖方承担一切费用和风险并负担买方遭受的一切直接费用。同时卖方应相应延长被更换货物的质量保证期。</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18.2 如果买方提出索赔通知后30天内卖方未能予以答复，该索赔应视为已被卖方接受。若卖方未能在买方提出索赔通知的30天内或买方同意的更长一些的时间内，按买方同意的上述任何一种方式处理索赔事宜，买方将从合同价款或卖方提供的履约担保中扣回索赔金额，同时保留进一步要求赔偿的权利。</w:t>
      </w:r>
    </w:p>
    <w:p>
      <w:pPr>
        <w:adjustRightInd w:val="0"/>
        <w:snapToGrid w:val="0"/>
        <w:spacing w:line="360" w:lineRule="auto"/>
        <w:rPr>
          <w:rFonts w:hint="default" w:ascii="宋体" w:hAnsi="宋体" w:cs="宋体"/>
          <w:b/>
          <w:bCs/>
          <w:color w:val="auto"/>
          <w:szCs w:val="21"/>
          <w:highlight w:val="none"/>
        </w:rPr>
      </w:pPr>
      <w:bookmarkStart w:id="160" w:name="_Toc318219033"/>
      <w:bookmarkStart w:id="161" w:name="_Toc236047455"/>
      <w:bookmarkStart w:id="162" w:name="_Toc285725554"/>
      <w:r>
        <w:rPr>
          <w:rFonts w:ascii="宋体" w:hAnsi="宋体" w:cs="宋体"/>
          <w:b/>
          <w:bCs/>
          <w:color w:val="auto"/>
          <w:szCs w:val="21"/>
          <w:highlight w:val="none"/>
        </w:rPr>
        <w:t>十九、延期交货与核定损失额</w:t>
      </w:r>
      <w:bookmarkEnd w:id="160"/>
      <w:bookmarkEnd w:id="161"/>
      <w:bookmarkEnd w:id="162"/>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19.1 如果卖方未能按合同规定的时间按期交货（不可抗力除外），在卖方同意支付核定损失额的条件下，买方将同意延长交货期。核定损失额的支付将由买方从合同价款或从履约担保中扣除。核定损失额比率为每迟交7天，按迟交货物金额的0.5％，不满7天按7天计算，但是，核定损失额的支付不得超过迟交货物部分合同金额的25％。 如果卖方在达到核定损失额的最高限额后仍不能交货，买方有权因卖方违约终止合同，而卖方仍有义务支付上述迟交核定损失金额。</w:t>
      </w:r>
    </w:p>
    <w:p>
      <w:pPr>
        <w:adjustRightInd w:val="0"/>
        <w:snapToGrid w:val="0"/>
        <w:spacing w:line="360" w:lineRule="auto"/>
        <w:rPr>
          <w:rFonts w:hint="default" w:ascii="宋体" w:hAnsi="宋体" w:cs="宋体"/>
          <w:b/>
          <w:bCs/>
          <w:color w:val="auto"/>
          <w:szCs w:val="21"/>
          <w:highlight w:val="none"/>
        </w:rPr>
      </w:pPr>
      <w:bookmarkStart w:id="163" w:name="_Toc236047456"/>
      <w:bookmarkStart w:id="164" w:name="_Toc318219034"/>
      <w:bookmarkStart w:id="165" w:name="_Toc285725555"/>
      <w:r>
        <w:rPr>
          <w:rFonts w:ascii="宋体" w:hAnsi="宋体" w:cs="宋体"/>
          <w:b/>
          <w:bCs/>
          <w:color w:val="auto"/>
          <w:szCs w:val="21"/>
          <w:highlight w:val="none"/>
        </w:rPr>
        <w:t>二十、不可抗力</w:t>
      </w:r>
      <w:bookmarkEnd w:id="163"/>
      <w:bookmarkEnd w:id="164"/>
      <w:bookmarkEnd w:id="165"/>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20.1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20.2受阻一方应在不可抗力事件发生后尽快用书面形式通知对方，并于事件发生后14天内将有关当局出具的证明文件用特快专递或挂号信寄给对方审阅确认。一旦不可抗力事件的影响持续120天以上， 双方应通过友好协商在合理的时间内达成进一步履行合同的协议。</w:t>
      </w:r>
    </w:p>
    <w:p>
      <w:pPr>
        <w:adjustRightInd w:val="0"/>
        <w:snapToGrid w:val="0"/>
        <w:spacing w:line="360" w:lineRule="auto"/>
        <w:rPr>
          <w:rFonts w:hint="default" w:ascii="宋体" w:hAnsi="宋体" w:cs="宋体"/>
          <w:b/>
          <w:bCs/>
          <w:color w:val="auto"/>
          <w:szCs w:val="21"/>
          <w:highlight w:val="none"/>
        </w:rPr>
      </w:pPr>
      <w:bookmarkStart w:id="166" w:name="_Toc236047457"/>
      <w:bookmarkStart w:id="167" w:name="_Toc285725556"/>
      <w:bookmarkStart w:id="168" w:name="_Toc318219035"/>
      <w:r>
        <w:rPr>
          <w:rFonts w:ascii="宋体" w:hAnsi="宋体" w:cs="宋体"/>
          <w:b/>
          <w:bCs/>
          <w:color w:val="auto"/>
          <w:szCs w:val="21"/>
          <w:highlight w:val="none"/>
        </w:rPr>
        <w:t>二十一、税费</w:t>
      </w:r>
      <w:bookmarkEnd w:id="166"/>
      <w:bookmarkEnd w:id="167"/>
      <w:bookmarkEnd w:id="168"/>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21.1中国政府根据现行税法向买方征收的与履行本合同有关的一切税费由买方支付。</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21.2中国政府根据现行税法向卖方征收的与履行本合同有关的一切税费由卖方支付。</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21.3发生在中国境外的，与履行本合同有关的一切税费，应由卖方承担。</w:t>
      </w:r>
    </w:p>
    <w:p>
      <w:pPr>
        <w:adjustRightInd w:val="0"/>
        <w:snapToGrid w:val="0"/>
        <w:spacing w:line="360" w:lineRule="auto"/>
        <w:rPr>
          <w:rFonts w:hint="default" w:ascii="宋体" w:hAnsi="宋体" w:cs="宋体"/>
          <w:b/>
          <w:bCs/>
          <w:color w:val="auto"/>
          <w:szCs w:val="21"/>
          <w:highlight w:val="none"/>
        </w:rPr>
      </w:pPr>
      <w:bookmarkStart w:id="169" w:name="_Toc318219036"/>
      <w:bookmarkStart w:id="170" w:name="_Toc236047458"/>
      <w:bookmarkStart w:id="171" w:name="_Toc285725557"/>
      <w:r>
        <w:rPr>
          <w:rFonts w:ascii="宋体" w:hAnsi="宋体" w:cs="宋体"/>
          <w:b/>
          <w:bCs/>
          <w:color w:val="auto"/>
          <w:szCs w:val="21"/>
          <w:highlight w:val="none"/>
        </w:rPr>
        <w:t>二十二、违约终止合同</w:t>
      </w:r>
      <w:bookmarkEnd w:id="169"/>
      <w:bookmarkEnd w:id="170"/>
      <w:bookmarkEnd w:id="171"/>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22.1 在补救违约而采取的任何其它措施未能实现的情况下，即在卖方收到买方发出的违约通知后30天内（或经买方书面确认的更长时间内）仍未纠正其下述任何一种违约行为，买方可向卖方发出书面违约通知，终止全部或部分合同：</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 如果卖方未能在合同规定的期限内或买方准许的任何延期内交付部分或全部货物。</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 卖方未能履行合同项下的任何其它义务。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22.2 一旦买方根据第22.1款终止部分或全部合同，买方可以按其认为适当的条件和方式采购类似未交付部分的货物。卖方应承担买方购买类似货物的额外费用。但是，卖方应继续履行合同中未终止的部分。</w:t>
      </w:r>
    </w:p>
    <w:p>
      <w:pPr>
        <w:adjustRightInd w:val="0"/>
        <w:snapToGrid w:val="0"/>
        <w:spacing w:line="360" w:lineRule="auto"/>
        <w:rPr>
          <w:rFonts w:hint="default" w:ascii="宋体" w:hAnsi="宋体" w:cs="宋体"/>
          <w:b/>
          <w:bCs/>
          <w:color w:val="auto"/>
          <w:szCs w:val="21"/>
          <w:highlight w:val="none"/>
        </w:rPr>
      </w:pPr>
      <w:bookmarkStart w:id="172" w:name="_Toc318219037"/>
      <w:bookmarkStart w:id="173" w:name="_Toc236047459"/>
      <w:bookmarkStart w:id="174" w:name="_Toc285725558"/>
      <w:r>
        <w:rPr>
          <w:rFonts w:ascii="宋体" w:hAnsi="宋体" w:cs="宋体"/>
          <w:b/>
          <w:bCs/>
          <w:color w:val="auto"/>
          <w:szCs w:val="21"/>
          <w:highlight w:val="none"/>
        </w:rPr>
        <w:t>二十三、破产终止合同</w:t>
      </w:r>
      <w:bookmarkEnd w:id="172"/>
      <w:bookmarkEnd w:id="173"/>
      <w:bookmarkEnd w:id="174"/>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23.1 当卖方破产或无清偿能力时，买方可在任何时候以书面通知卖方终止合同，该终止合同以不损害或影响买方已采取或将采取补救措施的任何权利为条件。</w:t>
      </w:r>
    </w:p>
    <w:p>
      <w:pPr>
        <w:adjustRightInd w:val="0"/>
        <w:snapToGrid w:val="0"/>
        <w:spacing w:line="360" w:lineRule="auto"/>
        <w:rPr>
          <w:rFonts w:hint="default" w:ascii="宋体" w:hAnsi="宋体" w:cs="宋体"/>
          <w:b/>
          <w:bCs/>
          <w:color w:val="auto"/>
          <w:szCs w:val="21"/>
          <w:highlight w:val="none"/>
        </w:rPr>
      </w:pPr>
      <w:bookmarkStart w:id="175" w:name="_Toc318219038"/>
      <w:bookmarkStart w:id="176" w:name="_Toc285725559"/>
      <w:bookmarkStart w:id="177" w:name="_Toc236047460"/>
      <w:r>
        <w:rPr>
          <w:rFonts w:ascii="宋体" w:hAnsi="宋体" w:cs="宋体"/>
          <w:b/>
          <w:bCs/>
          <w:color w:val="auto"/>
          <w:szCs w:val="21"/>
          <w:highlight w:val="none"/>
        </w:rPr>
        <w:t>二十四、因买方的便利而终止合同</w:t>
      </w:r>
      <w:bookmarkEnd w:id="175"/>
      <w:bookmarkEnd w:id="176"/>
      <w:bookmarkEnd w:id="177"/>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24.1买方可在任何时候出于自身的便利向卖方发出书面通知全部或部分终止合同，终止通知应明确该终止合同是处于买方的便利，并明确合同终止的程度，以及终止的生效日期。</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24.2对卖方在收到终止通知后30日内已完成并准备交运的货物，买方应按合同价格和条款予以接受，对于剩余的货物，买方可：</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1）仅对部分货物按照原来的合同价格和条款予以接受；或</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2）取消对剩余货物的采购，并按双方商定的金额向卖方支付部分完成的货物和服务以及卖方以前已采购的材料和部件的费用。</w:t>
      </w:r>
    </w:p>
    <w:p>
      <w:pPr>
        <w:adjustRightInd w:val="0"/>
        <w:snapToGrid w:val="0"/>
        <w:spacing w:line="360" w:lineRule="auto"/>
        <w:rPr>
          <w:rFonts w:hint="default" w:ascii="宋体" w:hAnsi="宋体" w:cs="宋体"/>
          <w:b/>
          <w:bCs/>
          <w:color w:val="auto"/>
          <w:szCs w:val="21"/>
          <w:highlight w:val="none"/>
        </w:rPr>
      </w:pPr>
      <w:bookmarkStart w:id="178" w:name="_Toc318219039"/>
      <w:bookmarkStart w:id="179" w:name="_Toc236047461"/>
      <w:bookmarkStart w:id="180" w:name="_Toc285725560"/>
      <w:r>
        <w:rPr>
          <w:rFonts w:ascii="宋体" w:hAnsi="宋体" w:cs="宋体"/>
          <w:b/>
          <w:bCs/>
          <w:color w:val="auto"/>
          <w:szCs w:val="21"/>
          <w:highlight w:val="none"/>
        </w:rPr>
        <w:t>二十五、变更指示</w:t>
      </w:r>
      <w:bookmarkEnd w:id="178"/>
      <w:bookmarkEnd w:id="179"/>
      <w:bookmarkEnd w:id="180"/>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25.1 买方可以随时向卖方发出书面指示，在合同总体范围内对如下一点或几点提出变更：</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 合同项下需为买方特殊制造的货物的图纸、设计或规格；</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 装运方式和包装方式；</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 交货地点；</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 卖方须提供的服务。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25.2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adjustRightInd w:val="0"/>
        <w:snapToGrid w:val="0"/>
        <w:spacing w:line="360" w:lineRule="auto"/>
        <w:rPr>
          <w:rFonts w:hint="default" w:ascii="宋体" w:hAnsi="宋体" w:cs="宋体"/>
          <w:b/>
          <w:bCs/>
          <w:color w:val="auto"/>
          <w:szCs w:val="21"/>
          <w:highlight w:val="none"/>
        </w:rPr>
      </w:pPr>
      <w:bookmarkStart w:id="181" w:name="_Toc285725561"/>
      <w:bookmarkStart w:id="182" w:name="_Toc318219040"/>
      <w:bookmarkStart w:id="183" w:name="_Toc236047462"/>
      <w:r>
        <w:rPr>
          <w:rFonts w:ascii="宋体" w:hAnsi="宋体" w:cs="宋体"/>
          <w:b/>
          <w:bCs/>
          <w:color w:val="auto"/>
          <w:szCs w:val="21"/>
          <w:highlight w:val="none"/>
        </w:rPr>
        <w:t>二十六、合同修改</w:t>
      </w:r>
      <w:bookmarkEnd w:id="181"/>
      <w:bookmarkEnd w:id="182"/>
      <w:bookmarkEnd w:id="183"/>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26.1 欲对合同条款作出任何改动或偏离，均须由买卖双方签署书面的合同修改书。</w:t>
      </w:r>
    </w:p>
    <w:p>
      <w:pPr>
        <w:adjustRightInd w:val="0"/>
        <w:snapToGrid w:val="0"/>
        <w:spacing w:line="360" w:lineRule="auto"/>
        <w:rPr>
          <w:rFonts w:hint="default" w:ascii="宋体" w:hAnsi="宋体" w:cs="宋体"/>
          <w:b/>
          <w:bCs/>
          <w:color w:val="auto"/>
          <w:szCs w:val="21"/>
          <w:highlight w:val="none"/>
        </w:rPr>
      </w:pPr>
      <w:bookmarkStart w:id="184" w:name="_Toc318219041"/>
      <w:bookmarkStart w:id="185" w:name="_Toc236047463"/>
      <w:bookmarkStart w:id="186" w:name="_Toc285725562"/>
      <w:r>
        <w:rPr>
          <w:rFonts w:ascii="宋体" w:hAnsi="宋体" w:cs="宋体"/>
          <w:b/>
          <w:bCs/>
          <w:color w:val="auto"/>
          <w:szCs w:val="21"/>
          <w:highlight w:val="none"/>
        </w:rPr>
        <w:t>二十七、转让与分包</w:t>
      </w:r>
      <w:bookmarkEnd w:id="184"/>
      <w:bookmarkEnd w:id="185"/>
      <w:bookmarkEnd w:id="186"/>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27.1 除买方事先同意外，卖方不得转委托或部分转让或全部转让其应履行的合同项下的义务。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27.2 卖方应书面通知买方本合同项下所授予的所有分包合同。但该通知不解除卖方承担的本合同项下的任何责任或义务。</w:t>
      </w:r>
    </w:p>
    <w:p>
      <w:pPr>
        <w:adjustRightInd w:val="0"/>
        <w:snapToGrid w:val="0"/>
        <w:spacing w:line="360" w:lineRule="auto"/>
        <w:rPr>
          <w:rFonts w:hint="default" w:ascii="宋体" w:hAnsi="宋体" w:cs="宋体"/>
          <w:b/>
          <w:bCs/>
          <w:color w:val="auto"/>
          <w:szCs w:val="21"/>
          <w:highlight w:val="none"/>
        </w:rPr>
      </w:pPr>
      <w:bookmarkStart w:id="187" w:name="_Toc285725563"/>
      <w:bookmarkStart w:id="188" w:name="_Toc318219042"/>
      <w:bookmarkStart w:id="189" w:name="_Toc236047464"/>
      <w:r>
        <w:rPr>
          <w:rFonts w:ascii="宋体" w:hAnsi="宋体" w:cs="宋体"/>
          <w:b/>
          <w:bCs/>
          <w:color w:val="auto"/>
          <w:szCs w:val="21"/>
          <w:highlight w:val="none"/>
        </w:rPr>
        <w:t>二十八、适用法律</w:t>
      </w:r>
      <w:bookmarkEnd w:id="187"/>
      <w:bookmarkEnd w:id="188"/>
      <w:bookmarkEnd w:id="189"/>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28.1 本合同应按中华人民共和国的法律解释。</w:t>
      </w:r>
    </w:p>
    <w:p>
      <w:pPr>
        <w:adjustRightInd w:val="0"/>
        <w:snapToGrid w:val="0"/>
        <w:spacing w:line="360" w:lineRule="auto"/>
        <w:rPr>
          <w:rFonts w:hint="default" w:ascii="宋体" w:hAnsi="宋体" w:cs="宋体"/>
          <w:b/>
          <w:bCs/>
          <w:color w:val="auto"/>
          <w:szCs w:val="21"/>
          <w:highlight w:val="none"/>
        </w:rPr>
      </w:pPr>
      <w:bookmarkStart w:id="190" w:name="_Toc318219043"/>
      <w:bookmarkStart w:id="191" w:name="_Toc285725564"/>
      <w:bookmarkStart w:id="192" w:name="_Toc236047465"/>
      <w:r>
        <w:rPr>
          <w:rFonts w:ascii="宋体" w:hAnsi="宋体" w:cs="宋体"/>
          <w:b/>
          <w:bCs/>
          <w:color w:val="auto"/>
          <w:szCs w:val="21"/>
          <w:highlight w:val="none"/>
        </w:rPr>
        <w:t>二十九、争端处理</w:t>
      </w:r>
      <w:bookmarkEnd w:id="190"/>
      <w:bookmarkEnd w:id="191"/>
      <w:bookmarkEnd w:id="192"/>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29.1在执行本合同中发生的或与本合同有关的争端，双方应通过友好协商解决，经协商在60天内不能达成协议时，可向买方所在地法院起诉。</w:t>
      </w:r>
    </w:p>
    <w:p>
      <w:pPr>
        <w:adjustRightInd w:val="0"/>
        <w:snapToGrid w:val="0"/>
        <w:spacing w:line="360" w:lineRule="auto"/>
        <w:rPr>
          <w:rFonts w:hint="default" w:ascii="宋体" w:hAnsi="宋体" w:cs="宋体"/>
          <w:b/>
          <w:bCs/>
          <w:color w:val="auto"/>
          <w:szCs w:val="21"/>
          <w:highlight w:val="none"/>
        </w:rPr>
      </w:pPr>
      <w:bookmarkStart w:id="193" w:name="_Toc285725565"/>
      <w:bookmarkStart w:id="194" w:name="_Toc318219044"/>
      <w:bookmarkStart w:id="195" w:name="_Toc236047466"/>
      <w:r>
        <w:rPr>
          <w:rFonts w:ascii="宋体" w:hAnsi="宋体" w:cs="宋体"/>
          <w:b/>
          <w:bCs/>
          <w:color w:val="auto"/>
          <w:szCs w:val="21"/>
          <w:highlight w:val="none"/>
        </w:rPr>
        <w:t>三十、通知</w:t>
      </w:r>
      <w:bookmarkEnd w:id="193"/>
      <w:bookmarkEnd w:id="194"/>
      <w:bookmarkEnd w:id="195"/>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30.1 本合同任何一方给另一方的通知都应以书面或电传、电报、传真的形式发送，而另一方应以书面形式确认并发送到对方明确的地址。</w:t>
      </w:r>
    </w:p>
    <w:p>
      <w:pPr>
        <w:adjustRightInd w:val="0"/>
        <w:snapToGrid w:val="0"/>
        <w:spacing w:line="360" w:lineRule="auto"/>
        <w:rPr>
          <w:rFonts w:hint="default" w:ascii="宋体" w:hAnsi="宋体" w:cs="宋体"/>
          <w:color w:val="auto"/>
          <w:szCs w:val="21"/>
          <w:highlight w:val="none"/>
        </w:rPr>
      </w:pPr>
      <w:r>
        <w:rPr>
          <w:rFonts w:ascii="宋体" w:hAnsi="宋体" w:cs="宋体"/>
          <w:b/>
          <w:bCs/>
          <w:color w:val="auto"/>
          <w:szCs w:val="21"/>
          <w:highlight w:val="none"/>
        </w:rPr>
        <w:t>三十一、</w:t>
      </w:r>
      <w:r>
        <w:rPr>
          <w:rFonts w:ascii="宋体" w:hAnsi="宋体" w:cs="宋体"/>
          <w:color w:val="auto"/>
          <w:szCs w:val="21"/>
          <w:highlight w:val="none"/>
        </w:rPr>
        <w:t>其他</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31.1卖方应为浙江政府采购注册供应商，如尚未注册，应在投标截止时间前，登陆浙江政府采购网进行注册并将书面资料提交复核备案。</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31.2本合同（□是  □否）为可融资合同，关于中小企业信用融资事项可登陆http://220.191.208.230/login.do办理业务。</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31.3未经过买方的同意，卖方不得转让其应履行的合同项下的义务，和将部分合同项下的义务分包给其他单位完成。</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31.4卖方不得参与可能与合同规定的与买方的利益相冲突的任何活动。</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31.5卖方人员在买方场地工作时，应遵守买方相关规章、制度。</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31.6本合同任何一方给另一方的通知，都应以书面或电传/传真/电报的形式发送，而另一方应以书面形式确认并发送到对方明确的地址。</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31.7合同履行期内买卖双方均不得随意变更或解除合同。合同若有未尽事宜，需双方共同协商，订立补充协议，补充协议与本合同有同等法律效力。</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31.8采购文件（编号： ）、投标文件及评标过程中形成的文字资料、询标纪要均作为本合同的组成部分，具有同等效力。</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31.9本合同经买卖双方法定代表人或其委托人签字盖章后生效。</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31.10本合同一式 4份，买方执 2 份、卖方执 2 份。</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31.11适用法律：本合同应按照中华人民共和国的法律进行解释。</w:t>
      </w:r>
    </w:p>
    <w:p>
      <w:pPr>
        <w:adjustRightInd w:val="0"/>
        <w:snapToGrid w:val="0"/>
        <w:spacing w:line="360" w:lineRule="auto"/>
        <w:rPr>
          <w:rFonts w:hint="default" w:ascii="宋体" w:hAnsi="宋体" w:cs="宋体"/>
          <w:snapToGrid w:val="0"/>
          <w:color w:val="auto"/>
          <w:szCs w:val="21"/>
          <w:highlight w:val="none"/>
        </w:rPr>
      </w:pP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 xml:space="preserve">买方（公章）： </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法定代表人或授权委托人：</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地址：</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邮编：</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联系人：</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电话：</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传真：</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开户银行：</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账号：</w:t>
      </w:r>
    </w:p>
    <w:p>
      <w:pPr>
        <w:adjustRightInd w:val="0"/>
        <w:snapToGrid w:val="0"/>
        <w:spacing w:line="360" w:lineRule="auto"/>
        <w:rPr>
          <w:rFonts w:hint="default" w:ascii="宋体" w:hAnsi="宋体" w:cs="宋体"/>
          <w:snapToGrid w:val="0"/>
          <w:color w:val="auto"/>
          <w:szCs w:val="21"/>
          <w:highlight w:val="none"/>
        </w:rPr>
      </w:pP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卖方（公章）：</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法定代表人或授权委托人：</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地址：</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邮编：</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联系人：</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电话：          手机：</w:t>
      </w:r>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传真：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default" w:ascii="宋体" w:hAnsi="宋体" w:cs="宋体"/>
          <w:snapToGrid w:val="0"/>
          <w:color w:val="auto"/>
          <w:szCs w:val="21"/>
          <w:highlight w:val="none"/>
        </w:rPr>
      </w:pPr>
      <w:bookmarkStart w:id="196" w:name="_Toc374694366"/>
      <w:bookmarkStart w:id="197" w:name="_Toc404266401"/>
      <w:bookmarkStart w:id="198" w:name="_Toc374445952"/>
      <w:bookmarkStart w:id="199" w:name="_Toc375902743"/>
      <w:r>
        <w:rPr>
          <w:rFonts w:ascii="宋体" w:hAnsi="宋体" w:cs="宋体"/>
          <w:snapToGrid w:val="0"/>
          <w:color w:val="auto"/>
          <w:szCs w:val="21"/>
          <w:highlight w:val="none"/>
        </w:rPr>
        <w:t>开户银行：</w:t>
      </w:r>
      <w:bookmarkEnd w:id="196"/>
      <w:bookmarkEnd w:id="197"/>
      <w:bookmarkEnd w:id="198"/>
      <w:bookmarkEnd w:id="199"/>
    </w:p>
    <w:p>
      <w:pPr>
        <w:adjustRightInd w:val="0"/>
        <w:snapToGrid w:val="0"/>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账号：</w:t>
      </w:r>
    </w:p>
    <w:p>
      <w:pPr>
        <w:adjustRightInd w:val="0"/>
        <w:snapToGrid w:val="0"/>
        <w:spacing w:line="360" w:lineRule="auto"/>
        <w:jc w:val="center"/>
        <w:rPr>
          <w:rFonts w:hint="default" w:ascii="宋体" w:hAnsi="宋体" w:cs="宋体"/>
          <w:color w:val="auto"/>
          <w:highlight w:val="none"/>
        </w:rPr>
      </w:pPr>
      <w:r>
        <w:rPr>
          <w:rFonts w:ascii="宋体" w:hAnsi="宋体" w:cs="宋体"/>
          <w:snapToGrid w:val="0"/>
          <w:color w:val="auto"/>
          <w:szCs w:val="21"/>
          <w:highlight w:val="none"/>
        </w:rPr>
        <w:t xml:space="preserve">             合同签发日期：</w:t>
      </w:r>
    </w:p>
    <w:bookmarkEnd w:id="106"/>
    <w:p>
      <w:pPr>
        <w:adjustRightInd w:val="0"/>
        <w:snapToGrid w:val="0"/>
        <w:spacing w:beforeLines="50" w:afterLines="50" w:line="360" w:lineRule="auto"/>
        <w:jc w:val="center"/>
        <w:outlineLvl w:val="0"/>
        <w:rPr>
          <w:rFonts w:hint="default" w:ascii="宋体" w:hAnsi="宋体" w:cs="宋体"/>
          <w:b/>
          <w:color w:val="auto"/>
          <w:sz w:val="30"/>
          <w:szCs w:val="30"/>
          <w:highlight w:val="none"/>
        </w:rPr>
      </w:pPr>
      <w:r>
        <w:rPr>
          <w:rFonts w:ascii="宋体" w:hAnsi="宋体" w:cs="宋体"/>
          <w:b/>
          <w:color w:val="auto"/>
          <w:sz w:val="30"/>
          <w:szCs w:val="30"/>
          <w:highlight w:val="none"/>
        </w:rPr>
        <w:br w:type="page"/>
      </w:r>
      <w:bookmarkStart w:id="200" w:name="_Toc14349"/>
      <w:bookmarkStart w:id="201" w:name="_Toc14287"/>
      <w:r>
        <w:rPr>
          <w:rFonts w:ascii="宋体" w:hAnsi="宋体" w:cs="宋体"/>
          <w:b/>
          <w:color w:val="auto"/>
          <w:sz w:val="30"/>
          <w:szCs w:val="30"/>
          <w:highlight w:val="none"/>
        </w:rPr>
        <w:t>第五部分  评标办法</w:t>
      </w:r>
      <w:bookmarkEnd w:id="107"/>
      <w:bookmarkEnd w:id="108"/>
      <w:bookmarkEnd w:id="200"/>
      <w:bookmarkEnd w:id="201"/>
    </w:p>
    <w:p>
      <w:pPr>
        <w:adjustRightInd w:val="0"/>
        <w:snapToGrid w:val="0"/>
        <w:spacing w:line="360" w:lineRule="auto"/>
        <w:ind w:firstLine="420" w:firstLineChars="200"/>
        <w:rPr>
          <w:rFonts w:hint="default" w:ascii="宋体" w:hAnsi="宋体" w:cs="宋体"/>
          <w:color w:val="auto"/>
          <w:szCs w:val="21"/>
          <w:highlight w:val="none"/>
        </w:rPr>
      </w:pPr>
      <w:bookmarkStart w:id="202" w:name="_Toc295465366"/>
      <w:bookmarkStart w:id="203" w:name="_Toc415814139"/>
      <w:bookmarkStart w:id="204" w:name="_Toc251566662"/>
      <w:bookmarkStart w:id="205" w:name="_Toc367274988"/>
      <w:bookmarkStart w:id="206" w:name="_Toc249760791"/>
      <w:r>
        <w:rPr>
          <w:rFonts w:ascii="宋体" w:hAnsi="宋体" w:cs="宋体"/>
          <w:color w:val="auto"/>
          <w:szCs w:val="21"/>
          <w:highlight w:val="none"/>
        </w:rPr>
        <w:t>根据《中华人民共和国政府采购法》、《政府采购货物和服务招标投标管理办法》等有关法律法规，结合本项目的实际，按照公正、公平、科学、择优的原则选择中标人，特制定本办法。</w:t>
      </w:r>
    </w:p>
    <w:p>
      <w:pPr>
        <w:pStyle w:val="23"/>
        <w:adjustRightInd w:val="0"/>
        <w:snapToGrid w:val="0"/>
        <w:spacing w:line="360" w:lineRule="auto"/>
        <w:rPr>
          <w:rFonts w:ascii="宋体" w:hAnsi="宋体" w:eastAsia="宋体" w:cs="宋体"/>
          <w:b/>
          <w:bCs/>
          <w:color w:val="auto"/>
          <w:highlight w:val="none"/>
        </w:rPr>
      </w:pPr>
    </w:p>
    <w:p>
      <w:pPr>
        <w:pStyle w:val="4"/>
        <w:snapToGrid w:val="0"/>
        <w:spacing w:beforeLines="50" w:afterLines="50" w:line="360" w:lineRule="auto"/>
        <w:rPr>
          <w:rFonts w:hint="default" w:ascii="宋体" w:hAnsi="宋体" w:eastAsia="宋体" w:cs="宋体"/>
          <w:color w:val="auto"/>
          <w:sz w:val="21"/>
          <w:szCs w:val="21"/>
          <w:highlight w:val="none"/>
        </w:rPr>
      </w:pPr>
      <w:bookmarkStart w:id="207" w:name="_Toc19609"/>
      <w:bookmarkStart w:id="208" w:name="_Toc8076"/>
      <w:r>
        <w:rPr>
          <w:rFonts w:ascii="宋体" w:hAnsi="宋体" w:eastAsia="宋体" w:cs="宋体"/>
          <w:color w:val="auto"/>
          <w:sz w:val="21"/>
          <w:szCs w:val="21"/>
          <w:highlight w:val="none"/>
        </w:rPr>
        <w:t>一、评标原则</w:t>
      </w:r>
      <w:bookmarkEnd w:id="207"/>
      <w:bookmarkEnd w:id="208"/>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1.1本项目评标采用</w:t>
      </w:r>
      <w:r>
        <w:rPr>
          <w:rFonts w:ascii="宋体" w:hAnsi="宋体" w:cs="宋体"/>
          <w:snapToGrid w:val="0"/>
          <w:color w:val="auto"/>
          <w:kern w:val="0"/>
          <w:szCs w:val="21"/>
          <w:highlight w:val="none"/>
          <w:u w:val="single"/>
        </w:rPr>
        <w:t>综合评分法</w:t>
      </w:r>
      <w:r>
        <w:rPr>
          <w:rFonts w:ascii="宋体" w:hAnsi="宋体" w:cs="宋体"/>
          <w:snapToGrid w:val="0"/>
          <w:color w:val="auto"/>
          <w:kern w:val="0"/>
          <w:szCs w:val="21"/>
          <w:highlight w:val="none"/>
        </w:rPr>
        <w:t>，即投标文件满足采购文件全部实质性要求，且按照评审因素的量化指标评审得分最高的投标人为中标候选人。</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 评标工作由采购代理机构负责组织，具体评标事务由招标人依法组建的评标委员会负责，并独立履行下列职责：</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1.2.1审查投标文件是否符合采购文件要求，并作出评价；</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1.2.2 要求投标供应商对投标文件有关事项作出解释或者澄清；</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1.2.3 推荐中标候选供应商名单，或者受采购人委托按照事先确定的办法直接确定中标供应商；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1.2.4 向招标采购单位或者有关部门报告非法干预评标工作的行为。</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1.3 评审专家不得参加与自己有利害关系的政府采购项目的评审活动。评标委员会成员有下列情形之一的，应当回避：</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1.3.1 参加采购活动前3年内与供应商存在劳动关系；</w:t>
      </w:r>
      <w:r>
        <w:rPr>
          <w:rFonts w:ascii="宋体" w:hAnsi="宋体" w:cs="宋体"/>
          <w:snapToGrid w:val="0"/>
          <w:color w:val="auto"/>
          <w:kern w:val="0"/>
          <w:szCs w:val="21"/>
          <w:highlight w:val="none"/>
        </w:rPr>
        <w:br w:type="textWrapping"/>
      </w:r>
      <w:r>
        <w:rPr>
          <w:rFonts w:ascii="宋体" w:hAnsi="宋体" w:cs="宋体"/>
          <w:snapToGrid w:val="0"/>
          <w:color w:val="auto"/>
          <w:kern w:val="0"/>
          <w:szCs w:val="21"/>
          <w:highlight w:val="none"/>
        </w:rPr>
        <w:t>　　1.3.2 参加采购活动前3年内担任供应商的董事、监事；</w:t>
      </w:r>
      <w:r>
        <w:rPr>
          <w:rFonts w:ascii="宋体" w:hAnsi="宋体" w:cs="宋体"/>
          <w:snapToGrid w:val="0"/>
          <w:color w:val="auto"/>
          <w:kern w:val="0"/>
          <w:szCs w:val="21"/>
          <w:highlight w:val="none"/>
        </w:rPr>
        <w:br w:type="textWrapping"/>
      </w:r>
      <w:r>
        <w:rPr>
          <w:rFonts w:ascii="宋体" w:hAnsi="宋体" w:cs="宋体"/>
          <w:snapToGrid w:val="0"/>
          <w:color w:val="auto"/>
          <w:kern w:val="0"/>
          <w:szCs w:val="21"/>
          <w:highlight w:val="none"/>
        </w:rPr>
        <w:t>　　1.3.3 参加采购活动前3年内是供应商的控股股东或者实际控制人；</w:t>
      </w:r>
      <w:r>
        <w:rPr>
          <w:rFonts w:ascii="宋体" w:hAnsi="宋体" w:cs="宋体"/>
          <w:snapToGrid w:val="0"/>
          <w:color w:val="auto"/>
          <w:kern w:val="0"/>
          <w:szCs w:val="21"/>
          <w:highlight w:val="none"/>
        </w:rPr>
        <w:br w:type="textWrapping"/>
      </w:r>
      <w:r>
        <w:rPr>
          <w:rFonts w:ascii="宋体" w:hAnsi="宋体" w:cs="宋体"/>
          <w:snapToGrid w:val="0"/>
          <w:color w:val="auto"/>
          <w:kern w:val="0"/>
          <w:szCs w:val="21"/>
          <w:highlight w:val="none"/>
        </w:rPr>
        <w:t>　　1.3.4 与供应商的法定代表人或者负责人有夫妻、直系血亲、三代以内旁系血亲或者近姻亲关系；</w:t>
      </w:r>
      <w:r>
        <w:rPr>
          <w:rFonts w:ascii="宋体" w:hAnsi="宋体" w:cs="宋体"/>
          <w:snapToGrid w:val="0"/>
          <w:color w:val="auto"/>
          <w:kern w:val="0"/>
          <w:szCs w:val="21"/>
          <w:highlight w:val="none"/>
        </w:rPr>
        <w:br w:type="textWrapping"/>
      </w:r>
      <w:r>
        <w:rPr>
          <w:rFonts w:ascii="宋体" w:hAnsi="宋体" w:cs="宋体"/>
          <w:snapToGrid w:val="0"/>
          <w:color w:val="auto"/>
          <w:kern w:val="0"/>
          <w:szCs w:val="21"/>
          <w:highlight w:val="none"/>
        </w:rPr>
        <w:t>　　1.3.5 与供应商有其他可能影响政府采购活动公平、公正进行的关系。</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1.4 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val="0"/>
        <w:snapToGrid w:val="0"/>
        <w:spacing w:line="360" w:lineRule="auto"/>
        <w:ind w:firstLine="420" w:firstLineChars="200"/>
        <w:rPr>
          <w:rFonts w:hint="default" w:ascii="宋体" w:hAnsi="宋体" w:cs="宋体"/>
          <w:b/>
          <w:color w:val="auto"/>
          <w:spacing w:val="-6"/>
          <w:szCs w:val="21"/>
          <w:highlight w:val="none"/>
        </w:rPr>
      </w:pPr>
      <w:r>
        <w:rPr>
          <w:rFonts w:ascii="宋体" w:hAnsi="宋体" w:cs="宋体"/>
          <w:snapToGrid w:val="0"/>
          <w:color w:val="auto"/>
          <w:kern w:val="0"/>
          <w:szCs w:val="21"/>
          <w:highlight w:val="none"/>
        </w:rPr>
        <w:t>1.5 评标委员会的评审工作应遵循政府采购的有关规定进行，对投标文件作出的评审结论，应当符合有关法律、法规、规章和采购文件的规定。</w:t>
      </w:r>
    </w:p>
    <w:p>
      <w:pPr>
        <w:pStyle w:val="4"/>
        <w:snapToGrid w:val="0"/>
        <w:spacing w:beforeLines="50" w:afterLines="50" w:line="360" w:lineRule="auto"/>
        <w:rPr>
          <w:rFonts w:hint="default" w:ascii="宋体" w:hAnsi="宋体" w:eastAsia="宋体" w:cs="宋体"/>
          <w:color w:val="auto"/>
          <w:sz w:val="21"/>
          <w:szCs w:val="21"/>
          <w:highlight w:val="none"/>
        </w:rPr>
      </w:pPr>
      <w:bookmarkStart w:id="209" w:name="_Toc25916"/>
      <w:bookmarkStart w:id="210" w:name="_Toc29597"/>
      <w:r>
        <w:rPr>
          <w:rFonts w:ascii="宋体" w:hAnsi="宋体" w:eastAsia="宋体" w:cs="宋体"/>
          <w:color w:val="auto"/>
          <w:sz w:val="21"/>
          <w:szCs w:val="21"/>
          <w:highlight w:val="none"/>
        </w:rPr>
        <w:t>二、组建评标委员会</w:t>
      </w:r>
      <w:bookmarkEnd w:id="209"/>
      <w:bookmarkEnd w:id="210"/>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评标工作由招标人依法组建的评标委员会负责。</w:t>
      </w:r>
    </w:p>
    <w:p>
      <w:pPr>
        <w:pStyle w:val="2"/>
        <w:snapToGrid w:val="0"/>
        <w:ind w:firstLine="388" w:firstLineChars="196"/>
        <w:rPr>
          <w:rFonts w:ascii="宋体" w:hAnsi="宋体" w:eastAsia="宋体" w:cs="宋体"/>
          <w:color w:val="auto"/>
          <w:spacing w:val="-6"/>
          <w:sz w:val="21"/>
          <w:szCs w:val="21"/>
          <w:highlight w:val="none"/>
        </w:rPr>
      </w:pPr>
    </w:p>
    <w:p>
      <w:pPr>
        <w:pStyle w:val="4"/>
        <w:snapToGrid w:val="0"/>
        <w:spacing w:beforeLines="50" w:afterLines="50" w:line="360" w:lineRule="auto"/>
        <w:rPr>
          <w:rFonts w:hint="default" w:ascii="宋体" w:hAnsi="宋体" w:eastAsia="宋体" w:cs="宋体"/>
          <w:color w:val="auto"/>
          <w:sz w:val="21"/>
          <w:szCs w:val="21"/>
          <w:highlight w:val="none"/>
        </w:rPr>
      </w:pPr>
      <w:bookmarkStart w:id="211" w:name="_Toc21082"/>
      <w:bookmarkStart w:id="212" w:name="_Toc8359"/>
      <w:r>
        <w:rPr>
          <w:rFonts w:ascii="宋体" w:hAnsi="宋体" w:eastAsia="宋体" w:cs="宋体"/>
          <w:color w:val="auto"/>
          <w:sz w:val="21"/>
          <w:szCs w:val="21"/>
          <w:highlight w:val="none"/>
        </w:rPr>
        <w:t>三、评标程序和内容</w:t>
      </w:r>
      <w:bookmarkEnd w:id="211"/>
      <w:bookmarkEnd w:id="212"/>
    </w:p>
    <w:bookmarkEnd w:id="202"/>
    <w:bookmarkEnd w:id="203"/>
    <w:bookmarkEnd w:id="204"/>
    <w:bookmarkEnd w:id="205"/>
    <w:bookmarkEnd w:id="206"/>
    <w:p>
      <w:pPr>
        <w:adjustRightInd w:val="0"/>
        <w:snapToGrid w:val="0"/>
        <w:spacing w:line="360" w:lineRule="auto"/>
        <w:ind w:firstLine="422" w:firstLineChars="200"/>
        <w:rPr>
          <w:rFonts w:hint="default" w:ascii="宋体" w:hAnsi="宋体" w:cs="宋体"/>
          <w:snapToGrid w:val="0"/>
          <w:color w:val="auto"/>
          <w:kern w:val="0"/>
          <w:szCs w:val="21"/>
          <w:highlight w:val="none"/>
        </w:rPr>
      </w:pPr>
      <w:r>
        <w:rPr>
          <w:rFonts w:ascii="宋体" w:hAnsi="宋体" w:cs="宋体"/>
          <w:b/>
          <w:bCs/>
          <w:snapToGrid w:val="0"/>
          <w:color w:val="auto"/>
          <w:kern w:val="0"/>
          <w:szCs w:val="21"/>
          <w:highlight w:val="none"/>
        </w:rPr>
        <w:t>3.1评标的一般程序</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3.1.1推荐评标委员会组长；</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3.1.2熟悉采购文件和评标办法；</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3.1.3投标文件的初步评审；</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3.1.4投标文件的详细评审；</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3.1.5必要时对投标文件中的问题进行澄清；</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3.1.6根据评标办法对投标文件进行评分；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3.1.7完成评标报告，推荐中标候选人。</w:t>
      </w:r>
    </w:p>
    <w:p>
      <w:pPr>
        <w:adjustRightInd w:val="0"/>
        <w:snapToGrid w:val="0"/>
        <w:spacing w:line="360" w:lineRule="auto"/>
        <w:ind w:firstLine="422" w:firstLineChars="200"/>
        <w:rPr>
          <w:rFonts w:hint="default" w:ascii="宋体" w:hAnsi="宋体" w:cs="宋体"/>
          <w:snapToGrid w:val="0"/>
          <w:color w:val="auto"/>
          <w:kern w:val="0"/>
          <w:szCs w:val="21"/>
          <w:highlight w:val="none"/>
        </w:rPr>
      </w:pPr>
      <w:r>
        <w:rPr>
          <w:rFonts w:ascii="宋体" w:hAnsi="宋体" w:cs="宋体"/>
          <w:b/>
          <w:bCs/>
          <w:snapToGrid w:val="0"/>
          <w:color w:val="auto"/>
          <w:kern w:val="0"/>
          <w:szCs w:val="21"/>
          <w:highlight w:val="none"/>
        </w:rPr>
        <w:t>3.2投标文件的资格、符合性评审</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3.2.1开标结束后，采购人或者采购代理机构应当依法对投标人的资格进行审查。资格证明材料不全或者不符合招标要求的资格审查不通过。</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3.2.2评标委员会对资格审查合格投标人的投标文件进行符合性审查，以确定其是否满足采购文件的实质性要求。投标人不得通过补充、修改或撤销投标文件中的内容使其成为实质性响应的投标。投标人在投标截止以后不得提交任何资料作为评标依据。</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3.2.3在符合性审查和商务评审时，如发现下列情形之一的，投标文件将被视为无效，不再进入技术评审：</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3.2.3.1 投标文件无法定代表人或其授权代表签字或盖章，或未提供法定代表人授权委托书或者填写项目不齐全的；（针对投标函、法定代表人资格证明书、授权委托书）</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3.2.3.2 投标文件内容虚假的；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3.2.3.3 投标有效期不能满足采购文件要求的；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3.2.3.4 未实质性响应采购文件标“▲”的要求或者投标文件有招标人不能接受的附加条件的；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3.2.3.5 存在法律、法规、规章规定的其它无效投标情况的。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3.2.4在技术评审时，如发现下列情形之一的，投标文件将被视为无效，不再进入报价评审：</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3.2.4.1 未提供或未如实提供技术方案，或者投标文件标明的响应或偏离与事实不符或虚假投标的；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3.2.4.2 明显不符合采购文件要求的投标内容、质量标准，或者与采购文件中标“▲”的技术指标、主要服务项目发生实质性偏离的；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3.2.4.3 存在法律、法规、规章规定的其它无效投标情况的。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3.2.5在报价评审时，如发现下列情形之一的，投标文件将被视为无效，不再进入评标排序：</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3.2.5.1 投标报价具有选择性的；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3.2.5.2 投标报价超过预算的；</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3.2.5.3开标一览表投标报价为零的（包括投标文件中标明：免费或赠予）或其报价（大写）无法按正常书写方式进行报价唱标的或无投标报价的；</w:t>
      </w: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3.2.5.4政采云平台填报的开标一览表中的价格与上传的报价响应文件中开标一览表的报价不一致时，投标人不同意按3.4.2第（5）条原则修正的。</w:t>
      </w:r>
    </w:p>
    <w:p>
      <w:pPr>
        <w:spacing w:line="360" w:lineRule="auto"/>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 xml:space="preserve">    3.2.5.5报价响应文件未按要求进行签字、盖章。</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3.3 评标委员会的专家负责对通过符合性审查的投标人的投标文件进行详细评审，评审内容分以下三部分：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3.3.1资信部分：由评标专家集体讨论后，按少数服从多数的原则，统一评分分值。</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3.3.2技术部分：由评标专家负责，采用记名方式各自评分，此项评分为全部有效评分的算术平均值。如某一份评分表中某一项评分，超过评标细则所规定的分值范围，则该张打分表无效。</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3.3.3价格部分：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价格部分由评标委员会统一计算统一评分。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价格部分评分应在报价范围口径一致的评标价基础上进行。评标价应在最终报价的基础上，按照采购文件约定的因素和方法进行计算。凡属采购文件原因造成项目范围或报价口径不一致的，应予以扣除。但因投标人自身失误造成多算、少算或漏算，不得调整。评分由评标委员会对投标文件的商务报价进行仔细查阅、分析与计算，并指定专人进行检查复核。</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3.3.4以上评分保留小数2位。</w:t>
      </w:r>
    </w:p>
    <w:p>
      <w:pPr>
        <w:adjustRightInd w:val="0"/>
        <w:snapToGrid w:val="0"/>
        <w:spacing w:line="360" w:lineRule="auto"/>
        <w:ind w:firstLine="420" w:firstLineChars="200"/>
        <w:rPr>
          <w:rFonts w:hint="default" w:ascii="宋体" w:hAnsi="宋体" w:cs="宋体"/>
          <w:snapToGrid w:val="0"/>
          <w:color w:val="auto"/>
          <w:kern w:val="0"/>
          <w:szCs w:val="21"/>
          <w:highlight w:val="none"/>
        </w:rPr>
      </w:pPr>
    </w:p>
    <w:p>
      <w:pPr>
        <w:adjustRightInd w:val="0"/>
        <w:snapToGrid w:val="0"/>
        <w:spacing w:line="360" w:lineRule="auto"/>
        <w:ind w:firstLine="422" w:firstLineChars="200"/>
        <w:rPr>
          <w:rFonts w:hint="default" w:ascii="宋体" w:hAnsi="宋体" w:cs="宋体"/>
          <w:snapToGrid w:val="0"/>
          <w:color w:val="auto"/>
          <w:kern w:val="0"/>
          <w:szCs w:val="21"/>
          <w:highlight w:val="none"/>
        </w:rPr>
      </w:pPr>
      <w:r>
        <w:rPr>
          <w:rFonts w:ascii="宋体" w:hAnsi="宋体" w:cs="宋体"/>
          <w:b/>
          <w:bCs/>
          <w:snapToGrid w:val="0"/>
          <w:color w:val="auto"/>
          <w:kern w:val="0"/>
          <w:szCs w:val="21"/>
          <w:highlight w:val="none"/>
        </w:rPr>
        <w:t>3.4必要时对投标文件中的问题进行澄清</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3.4.1投标文件的澄清</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全权代表签字或盖章确认，并不得超出投标文件的范围或者改变投标文件的实质性内容。</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3.4.2错误修正</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投标文件报价出现前后不一致的，按照下列规定修正：</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(1)投标文件中开标一览表(报价表)内容与投标文件中相应内容不一致的，以开标一览表(报价表)为准；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(2)大写金额和小写金额不一致的，以大写金额为准；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(3)单价金额小数点或者百分比有明显错位的，以开标一览表的总价为准，并修改单价；</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(4)总价金额与按单价汇总金额不一致的，以单价金额计算结果为准。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(5)政采云平台填报的开标一览表中的价格与上传的报价响应文件中开标一览表的报价不一致的，以上传的报价响应文件中开标一览表的价格为准，修正平台上的投标报价。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3.4.3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20" w:firstLineChars="200"/>
        <w:rPr>
          <w:rFonts w:hint="default" w:ascii="宋体" w:hAnsi="宋体" w:cs="宋体"/>
          <w:snapToGrid w:val="0"/>
          <w:color w:val="auto"/>
          <w:kern w:val="0"/>
          <w:szCs w:val="21"/>
          <w:highlight w:val="none"/>
        </w:rPr>
      </w:pPr>
    </w:p>
    <w:p>
      <w:pPr>
        <w:adjustRightInd w:val="0"/>
        <w:snapToGrid w:val="0"/>
        <w:spacing w:line="360" w:lineRule="auto"/>
        <w:ind w:firstLine="422" w:firstLineChars="200"/>
        <w:rPr>
          <w:rFonts w:hint="default" w:ascii="宋体" w:hAnsi="宋体" w:cs="宋体"/>
          <w:b/>
          <w:bCs/>
          <w:snapToGrid w:val="0"/>
          <w:color w:val="auto"/>
          <w:kern w:val="0"/>
          <w:szCs w:val="21"/>
          <w:highlight w:val="none"/>
        </w:rPr>
      </w:pPr>
      <w:r>
        <w:rPr>
          <w:rFonts w:ascii="宋体" w:hAnsi="宋体" w:cs="宋体"/>
          <w:b/>
          <w:bCs/>
          <w:snapToGrid w:val="0"/>
          <w:color w:val="auto"/>
          <w:kern w:val="0"/>
          <w:szCs w:val="21"/>
          <w:highlight w:val="none"/>
        </w:rPr>
        <w:t>3.5评分细则</w:t>
      </w:r>
    </w:p>
    <w:p>
      <w:pPr>
        <w:adjustRightInd w:val="0"/>
        <w:spacing w:line="360" w:lineRule="auto"/>
        <w:ind w:firstLine="420" w:firstLineChars="199"/>
        <w:rPr>
          <w:rFonts w:hint="default" w:ascii="宋体" w:hAnsi="宋体" w:cs="宋体"/>
          <w:b/>
          <w:color w:val="auto"/>
          <w:szCs w:val="21"/>
          <w:highlight w:val="none"/>
        </w:rPr>
      </w:pPr>
      <w:r>
        <w:rPr>
          <w:rFonts w:ascii="宋体" w:hAnsi="宋体" w:cs="宋体"/>
          <w:b/>
          <w:color w:val="auto"/>
          <w:szCs w:val="21"/>
          <w:highlight w:val="none"/>
        </w:rPr>
        <w:t>(一)资信分（5分）</w:t>
      </w:r>
    </w:p>
    <w:tbl>
      <w:tblPr>
        <w:tblStyle w:val="4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44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序号</w:t>
            </w:r>
          </w:p>
        </w:tc>
        <w:tc>
          <w:tcPr>
            <w:tcW w:w="7442"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评分内容</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4"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1</w:t>
            </w:r>
          </w:p>
        </w:tc>
        <w:tc>
          <w:tcPr>
            <w:tcW w:w="7442" w:type="dxa"/>
            <w:vAlign w:val="center"/>
          </w:tcPr>
          <w:p>
            <w:pPr>
              <w:rPr>
                <w:rFonts w:hint="default" w:ascii="宋体" w:hAnsi="宋体" w:cs="宋体"/>
                <w:color w:val="auto"/>
                <w:kern w:val="0"/>
                <w:szCs w:val="21"/>
                <w:highlight w:val="none"/>
              </w:rPr>
            </w:pPr>
            <w:r>
              <w:rPr>
                <w:rFonts w:ascii="宋体" w:hAnsi="宋体" w:cs="宋体"/>
                <w:snapToGrid w:val="0"/>
                <w:color w:val="auto"/>
                <w:kern w:val="0"/>
                <w:szCs w:val="21"/>
                <w:highlight w:val="none"/>
              </w:rPr>
              <w:t>投标人的同类产品的销售业绩（3分）。提供合同或验收报告或用户证明复印件，每个案例得1分，最高得3分。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2</w:t>
            </w:r>
          </w:p>
        </w:tc>
        <w:tc>
          <w:tcPr>
            <w:tcW w:w="7442" w:type="dxa"/>
            <w:vAlign w:val="center"/>
          </w:tcPr>
          <w:p>
            <w:pPr>
              <w:rPr>
                <w:rFonts w:hint="default" w:ascii="宋体" w:hAnsi="宋体" w:cs="宋体"/>
                <w:color w:val="auto"/>
                <w:kern w:val="0"/>
                <w:szCs w:val="21"/>
                <w:highlight w:val="none"/>
              </w:rPr>
            </w:pPr>
            <w:r>
              <w:rPr>
                <w:rFonts w:ascii="宋体" w:hAnsi="宋体" w:cs="宋体"/>
                <w:color w:val="auto"/>
                <w:kern w:val="0"/>
                <w:szCs w:val="21"/>
                <w:highlight w:val="none"/>
              </w:rPr>
              <w:t>环境标志产品、节能产品评审（2分）：投标产品列入财政部、发改委、生态环境部等部门发布的“环境标志产品品目清单”的，每项得0.5分，最高得1分。投标产品列入财政部、发改委、生态环境部等部门发布的“节能产品品目清单”的，每项得0.5分，最高得1分。投标人须</w:t>
            </w:r>
            <w:r>
              <w:rPr>
                <w:rFonts w:ascii="宋体" w:hAnsi="宋体" w:cs="宋体"/>
                <w:snapToGrid w:val="0"/>
                <w:color w:val="auto"/>
                <w:kern w:val="0"/>
                <w:szCs w:val="21"/>
                <w:highlight w:val="none"/>
              </w:rPr>
              <w:t>提供国家确定的认证机构出具的、处于有效期之内的节能产品、环境标志产品认证证书复印件，否则不得分。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2</w:t>
            </w:r>
          </w:p>
        </w:tc>
      </w:tr>
    </w:tbl>
    <w:p>
      <w:pPr>
        <w:adjustRightInd w:val="0"/>
        <w:spacing w:line="360" w:lineRule="auto"/>
        <w:ind w:firstLine="413" w:firstLineChars="196"/>
        <w:rPr>
          <w:rFonts w:hint="default" w:ascii="宋体" w:hAnsi="宋体" w:cs="宋体"/>
          <w:b/>
          <w:color w:val="auto"/>
          <w:szCs w:val="21"/>
          <w:highlight w:val="none"/>
        </w:rPr>
      </w:pPr>
    </w:p>
    <w:p>
      <w:pPr>
        <w:adjustRightInd w:val="0"/>
        <w:spacing w:line="360" w:lineRule="auto"/>
        <w:ind w:firstLine="413" w:firstLineChars="196"/>
        <w:rPr>
          <w:rFonts w:hint="default" w:ascii="宋体" w:hAnsi="宋体" w:cs="宋体"/>
          <w:b/>
          <w:color w:val="auto"/>
          <w:szCs w:val="21"/>
          <w:highlight w:val="none"/>
        </w:rPr>
      </w:pPr>
      <w:r>
        <w:rPr>
          <w:rFonts w:ascii="宋体" w:hAnsi="宋体" w:cs="宋体"/>
          <w:b/>
          <w:color w:val="auto"/>
          <w:szCs w:val="21"/>
          <w:highlight w:val="none"/>
        </w:rPr>
        <w:t>（二）技术分 （65分）</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51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序号</w:t>
            </w:r>
          </w:p>
        </w:tc>
        <w:tc>
          <w:tcPr>
            <w:tcW w:w="7511" w:type="dxa"/>
          </w:tcPr>
          <w:p>
            <w:pPr>
              <w:jc w:val="center"/>
              <w:rPr>
                <w:rFonts w:hint="default" w:ascii="宋体" w:hAnsi="宋体" w:cs="宋体"/>
                <w:bCs/>
                <w:color w:val="auto"/>
                <w:szCs w:val="21"/>
                <w:highlight w:val="none"/>
              </w:rPr>
            </w:pPr>
            <w:r>
              <w:rPr>
                <w:rFonts w:ascii="宋体" w:hAnsi="宋体" w:cs="宋体"/>
                <w:bCs/>
                <w:color w:val="auto"/>
                <w:szCs w:val="21"/>
                <w:highlight w:val="none"/>
              </w:rPr>
              <w:t>评分内容</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1</w:t>
            </w:r>
          </w:p>
        </w:tc>
        <w:tc>
          <w:tcPr>
            <w:tcW w:w="7511" w:type="dxa"/>
          </w:tcPr>
          <w:p>
            <w:pPr>
              <w:jc w:val="left"/>
              <w:rPr>
                <w:rFonts w:hint="default" w:ascii="宋体" w:hAnsi="宋体" w:cs="宋体"/>
                <w:bCs/>
                <w:color w:val="auto"/>
                <w:szCs w:val="21"/>
                <w:highlight w:val="none"/>
              </w:rPr>
            </w:pPr>
            <w:r>
              <w:rPr>
                <w:rFonts w:ascii="宋体" w:hAnsi="宋体" w:cs="宋体"/>
                <w:snapToGrid w:val="0"/>
                <w:color w:val="auto"/>
                <w:kern w:val="0"/>
                <w:szCs w:val="21"/>
                <w:highlight w:val="none"/>
              </w:rPr>
              <w:t>产品的技术指标。</w:t>
            </w:r>
            <w:r>
              <w:rPr>
                <w:rFonts w:hint="eastAsia" w:ascii="宋体" w:hAnsi="宋体" w:cs="宋体"/>
                <w:snapToGrid w:val="0"/>
                <w:color w:val="auto"/>
                <w:kern w:val="0"/>
                <w:szCs w:val="21"/>
                <w:highlight w:val="none"/>
                <w:lang w:val="en-US" w:eastAsia="zh-CN"/>
              </w:rPr>
              <w:t>关键性</w:t>
            </w:r>
            <w:r>
              <w:rPr>
                <w:rFonts w:ascii="宋体" w:hAnsi="宋体" w:cs="宋体"/>
                <w:snapToGrid w:val="0"/>
                <w:color w:val="auto"/>
                <w:kern w:val="0"/>
                <w:szCs w:val="21"/>
                <w:highlight w:val="none"/>
              </w:rPr>
              <w:t>指标（打▲条款）出现负偏离的投标无效。所有指标均满足得30分，重要指标（打★条款）明显优于招标需求的，每项得1分，最高得6分；技术要求中重要指标（打★条款）每一项负偏离视偏离程度扣4分，一般技术指标每一项负偏离视偏离程度扣2分。</w:t>
            </w:r>
            <w:r>
              <w:rPr>
                <w:rFonts w:ascii="宋体" w:hAnsi="宋体" w:cs="宋体"/>
                <w:color w:val="auto"/>
                <w:szCs w:val="21"/>
                <w:highlight w:val="none"/>
              </w:rPr>
              <w:t>负偏离1</w:t>
            </w:r>
            <w:r>
              <w:rPr>
                <w:rFonts w:hint="eastAsia" w:ascii="宋体" w:hAnsi="宋体" w:cs="宋体"/>
                <w:color w:val="auto"/>
                <w:szCs w:val="21"/>
                <w:highlight w:val="none"/>
                <w:lang w:val="en-US" w:eastAsia="zh-CN"/>
              </w:rPr>
              <w:t>6</w:t>
            </w:r>
            <w:r>
              <w:rPr>
                <w:rFonts w:ascii="宋体" w:hAnsi="宋体" w:cs="宋体"/>
                <w:color w:val="auto"/>
                <w:szCs w:val="21"/>
                <w:highlight w:val="none"/>
              </w:rPr>
              <w:t>项及以上的投标无效。</w:t>
            </w:r>
            <w:r>
              <w:rPr>
                <w:rFonts w:ascii="宋体" w:hAnsi="宋体" w:cs="宋体"/>
                <w:snapToGrid w:val="0"/>
                <w:color w:val="auto"/>
                <w:kern w:val="0"/>
                <w:szCs w:val="21"/>
                <w:highlight w:val="none"/>
              </w:rPr>
              <w:t>投标响应指标与产品样本彩页或官网参数、产品检测报告等不一致的，视作负偏离。</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2</w:t>
            </w:r>
          </w:p>
        </w:tc>
        <w:tc>
          <w:tcPr>
            <w:tcW w:w="7511" w:type="dxa"/>
            <w:vAlign w:val="center"/>
          </w:tcPr>
          <w:p>
            <w:pPr>
              <w:jc w:val="left"/>
              <w:rPr>
                <w:rFonts w:hint="default" w:ascii="宋体" w:hAnsi="宋体" w:cs="宋体"/>
                <w:bCs/>
                <w:color w:val="auto"/>
                <w:szCs w:val="21"/>
                <w:highlight w:val="none"/>
              </w:rPr>
            </w:pPr>
            <w:r>
              <w:rPr>
                <w:rFonts w:ascii="宋体" w:hAnsi="宋体" w:cs="宋体"/>
                <w:snapToGrid w:val="0"/>
                <w:color w:val="auto"/>
                <w:kern w:val="0"/>
                <w:szCs w:val="21"/>
                <w:highlight w:val="none"/>
              </w:rPr>
              <w:t>产品技术支持文件。根据投标产品提供的产品样本彩页或官网参数、产品检测报告等佐证材料的详尽程度，所有产品都提供了样本彩页或官网参数，并且字迹清晰、参数完全符合要求的得6分。未提供的每项产品扣2分。如模糊不清的，不予认可。如有瑕疵的可扣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c>
          <w:tcPr>
            <w:tcW w:w="7511" w:type="dxa"/>
            <w:vAlign w:val="center"/>
          </w:tcPr>
          <w:p>
            <w:pPr>
              <w:jc w:val="left"/>
              <w:rPr>
                <w:rFonts w:hint="default" w:ascii="宋体" w:hAnsi="宋体" w:cs="宋体"/>
                <w:bCs/>
                <w:color w:val="auto"/>
                <w:szCs w:val="21"/>
                <w:highlight w:val="none"/>
              </w:rPr>
            </w:pPr>
            <w:r>
              <w:rPr>
                <w:rFonts w:ascii="宋体" w:hAnsi="宋体" w:cs="宋体"/>
                <w:snapToGrid w:val="0"/>
                <w:color w:val="auto"/>
                <w:kern w:val="0"/>
                <w:szCs w:val="21"/>
                <w:highlight w:val="none"/>
              </w:rPr>
              <w:t>安装调试方案。投标人提供详细的调试验收方案，根据方案的可行性评分。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4</w:t>
            </w:r>
          </w:p>
        </w:tc>
        <w:tc>
          <w:tcPr>
            <w:tcW w:w="7511" w:type="dxa"/>
          </w:tcPr>
          <w:p>
            <w:pPr>
              <w:adjustRightInd w:val="0"/>
              <w:snapToGrid w:val="0"/>
              <w:rPr>
                <w:rFonts w:hint="default" w:ascii="宋体" w:hAnsi="宋体" w:cs="宋体"/>
                <w:bCs/>
                <w:color w:val="auto"/>
                <w:szCs w:val="21"/>
                <w:highlight w:val="none"/>
              </w:rPr>
            </w:pPr>
            <w:r>
              <w:rPr>
                <w:rFonts w:ascii="宋体" w:hAnsi="宋体" w:cs="宋体"/>
                <w:bCs/>
                <w:color w:val="auto"/>
                <w:szCs w:val="21"/>
                <w:highlight w:val="none"/>
              </w:rPr>
              <w:t>验收方案。投标人提供详细的验收方案，要求验收流程、验收指标、验收标准明确，文件资料齐全，验收方法科学合理，由评委进行评分。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5</w:t>
            </w:r>
          </w:p>
        </w:tc>
        <w:tc>
          <w:tcPr>
            <w:tcW w:w="7511" w:type="dxa"/>
          </w:tcPr>
          <w:p>
            <w:pPr>
              <w:jc w:val="left"/>
              <w:rPr>
                <w:rFonts w:hint="default" w:ascii="宋体" w:hAnsi="宋体" w:cs="宋体"/>
                <w:bCs/>
                <w:color w:val="auto"/>
                <w:szCs w:val="21"/>
                <w:highlight w:val="none"/>
              </w:rPr>
            </w:pPr>
            <w:r>
              <w:rPr>
                <w:rFonts w:ascii="宋体" w:hAnsi="宋体" w:cs="宋体"/>
                <w:snapToGrid w:val="0"/>
                <w:color w:val="auto"/>
                <w:kern w:val="0"/>
                <w:szCs w:val="21"/>
                <w:highlight w:val="none"/>
              </w:rPr>
              <w:t>质保期，基本满足的得1分。主要设备质保期超过采购文件规定的，每增加1年加1分,不足1年不得分，最多得3分。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6</w:t>
            </w:r>
          </w:p>
        </w:tc>
        <w:tc>
          <w:tcPr>
            <w:tcW w:w="7511" w:type="dxa"/>
          </w:tcPr>
          <w:p>
            <w:pPr>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售后服务响应的时间。接到通知后需要1小时及以上才能到达现场的得1分，1小时以内能到达现场的2分，其他不得分。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7</w:t>
            </w:r>
          </w:p>
        </w:tc>
        <w:tc>
          <w:tcPr>
            <w:tcW w:w="7511" w:type="dxa"/>
          </w:tcPr>
          <w:p>
            <w:pPr>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售后服务质量。投标人对产品发生故障时提供的售后服务</w:t>
            </w:r>
            <w:r>
              <w:rPr>
                <w:rFonts w:hint="eastAsia" w:ascii="宋体" w:hAnsi="宋体" w:cs="宋体"/>
                <w:snapToGrid w:val="0"/>
                <w:color w:val="auto"/>
                <w:kern w:val="0"/>
                <w:szCs w:val="21"/>
                <w:highlight w:val="none"/>
                <w:lang w:val="en-US" w:eastAsia="zh-CN"/>
              </w:rPr>
              <w:t>方案</w:t>
            </w:r>
            <w:r>
              <w:rPr>
                <w:rFonts w:ascii="宋体" w:hAnsi="宋体" w:cs="宋体"/>
                <w:snapToGrid w:val="0"/>
                <w:color w:val="auto"/>
                <w:kern w:val="0"/>
                <w:szCs w:val="21"/>
                <w:highlight w:val="none"/>
              </w:rPr>
              <w:t>（3分），对产品出现质量及安全问题时提供的处理方式（2分）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8</w:t>
            </w:r>
          </w:p>
        </w:tc>
        <w:tc>
          <w:tcPr>
            <w:tcW w:w="7511" w:type="dxa"/>
          </w:tcPr>
          <w:p>
            <w:pPr>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培训。培训工程师。承诺由厂家工程师上门进行培训的得2分，由代理商或授权第三方工程师提供培训的得1分。无培训的不得分。</w:t>
            </w:r>
          </w:p>
          <w:p>
            <w:pPr>
              <w:jc w:val="left"/>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培训课程及次数，由投标人自行提供方案，评委评分</w:t>
            </w:r>
            <w:r>
              <w:rPr>
                <w:rFonts w:ascii="宋体" w:hAnsi="宋体" w:cs="宋体"/>
                <w:snapToGrid w:val="0"/>
                <w:color w:val="auto"/>
                <w:kern w:val="0"/>
                <w:szCs w:val="21"/>
                <w:highlight w:val="none"/>
              </w:rPr>
              <w:t>（1分）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5"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9</w:t>
            </w:r>
          </w:p>
        </w:tc>
        <w:tc>
          <w:tcPr>
            <w:tcW w:w="7511" w:type="dxa"/>
          </w:tcPr>
          <w:p>
            <w:pPr>
              <w:jc w:val="left"/>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配件及耗材折扣报价。根据各投标人提供的耗材及质保期满后供应的备品备件价格进行评分。</w:t>
            </w:r>
          </w:p>
        </w:tc>
        <w:tc>
          <w:tcPr>
            <w:tcW w:w="810" w:type="dxa"/>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3</w:t>
            </w:r>
          </w:p>
        </w:tc>
      </w:tr>
    </w:tbl>
    <w:p>
      <w:pPr>
        <w:adjustRightInd w:val="0"/>
        <w:snapToGrid w:val="0"/>
        <w:spacing w:line="360" w:lineRule="auto"/>
        <w:ind w:firstLine="422" w:firstLineChars="200"/>
        <w:rPr>
          <w:rFonts w:hint="default" w:ascii="宋体" w:hAnsi="宋体" w:cs="宋体"/>
          <w:color w:val="auto"/>
          <w:szCs w:val="21"/>
          <w:highlight w:val="none"/>
        </w:rPr>
      </w:pPr>
      <w:r>
        <w:rPr>
          <w:rFonts w:ascii="宋体" w:hAnsi="宋体" w:cs="宋体"/>
          <w:b/>
          <w:color w:val="auto"/>
          <w:szCs w:val="21"/>
          <w:highlight w:val="none"/>
        </w:rPr>
        <w:t>在统计得分时，如发现某一单项评分超过评分细则规定的分值范围，则该张评分表无效。</w:t>
      </w:r>
    </w:p>
    <w:p>
      <w:pPr>
        <w:adjustRightInd w:val="0"/>
        <w:snapToGrid w:val="0"/>
        <w:spacing w:line="360" w:lineRule="auto"/>
        <w:ind w:firstLine="422" w:firstLineChars="200"/>
        <w:rPr>
          <w:rFonts w:hint="default" w:ascii="宋体" w:hAnsi="宋体" w:cs="宋体"/>
          <w:color w:val="auto"/>
          <w:szCs w:val="21"/>
          <w:highlight w:val="none"/>
        </w:rPr>
      </w:pPr>
      <w:r>
        <w:rPr>
          <w:rFonts w:ascii="宋体" w:hAnsi="宋体" w:cs="宋体"/>
          <w:b/>
          <w:color w:val="auto"/>
          <w:szCs w:val="21"/>
          <w:highlight w:val="none"/>
        </w:rPr>
        <w:t>（三）报价分  （满分30分）</w:t>
      </w:r>
    </w:p>
    <w:p>
      <w:pPr>
        <w:widowControl/>
        <w:numPr>
          <w:ilvl w:val="0"/>
          <w:numId w:val="13"/>
        </w:numPr>
        <w:adjustRightInd w:val="0"/>
        <w:snapToGrid w:val="0"/>
        <w:spacing w:line="360" w:lineRule="auto"/>
        <w:ind w:firstLine="420" w:firstLineChars="200"/>
        <w:rPr>
          <w:rFonts w:hint="default" w:ascii="宋体" w:hAnsi="宋体" w:cs="宋体"/>
          <w:b/>
          <w:bCs/>
          <w:color w:val="auto"/>
          <w:szCs w:val="21"/>
          <w:highlight w:val="none"/>
        </w:rPr>
      </w:pPr>
      <w:r>
        <w:rPr>
          <w:rFonts w:ascii="宋体" w:hAnsi="宋体" w:cs="宋体"/>
          <w:color w:val="auto"/>
          <w:szCs w:val="21"/>
          <w:highlight w:val="none"/>
        </w:rPr>
        <w:t>投标人报价分由评标委员会按综合评分因素及标准要求集体判定评分。</w:t>
      </w:r>
      <w:r>
        <w:rPr>
          <w:rFonts w:ascii="宋体" w:hAnsi="宋体" w:cs="宋体"/>
          <w:b/>
          <w:bCs/>
          <w:color w:val="auto"/>
          <w:szCs w:val="21"/>
          <w:highlight w:val="none"/>
        </w:rPr>
        <w:t>本项目对符合规定的小微企业（含小型企业）报价给予6%的扣除。</w:t>
      </w:r>
    </w:p>
    <w:p>
      <w:pPr>
        <w:widowControl/>
        <w:numPr>
          <w:ilvl w:val="0"/>
          <w:numId w:val="13"/>
        </w:num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满足采购文件要求且有效投标价格中的最低的投标报价（评审价）为评标基准价，其价格分为满分30分。其他投标人的价格分统一按照下列公式计算：</w:t>
      </w:r>
    </w:p>
    <w:p>
      <w:pPr>
        <w:widowControl/>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投标报价得分=（评标基准价/投标报价）×价格权值（即30%）×100</w:t>
      </w:r>
    </w:p>
    <w:p>
      <w:pPr>
        <w:widowControl/>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（3）超出采购文件要求的优惠条件，在计算价格分时，不能从投标价中扣除。</w:t>
      </w:r>
    </w:p>
    <w:p>
      <w:pPr>
        <w:widowControl/>
        <w:adjustRightInd w:val="0"/>
        <w:snapToGrid w:val="0"/>
        <w:spacing w:line="360" w:lineRule="auto"/>
        <w:ind w:firstLine="420" w:firstLineChars="200"/>
        <w:rPr>
          <w:rFonts w:hint="default"/>
          <w:color w:val="auto"/>
          <w:highlight w:val="none"/>
        </w:rPr>
      </w:pPr>
      <w:r>
        <w:rPr>
          <w:rFonts w:hint="eastAsia" w:ascii="宋体" w:hAnsi="宋体" w:cs="宋体"/>
          <w:color w:val="auto"/>
          <w:szCs w:val="21"/>
          <w:highlight w:val="none"/>
          <w:lang w:eastAsia="zh-CN"/>
        </w:rPr>
        <w:t>符合条件的小微企业、</w:t>
      </w:r>
      <w:r>
        <w:rPr>
          <w:rFonts w:ascii="宋体" w:hAnsi="宋体" w:cs="宋体"/>
          <w:color w:val="auto"/>
          <w:szCs w:val="21"/>
          <w:highlight w:val="none"/>
        </w:rPr>
        <w:t>残疾人福利性单位</w:t>
      </w:r>
      <w:r>
        <w:rPr>
          <w:rFonts w:hint="eastAsia" w:ascii="宋体" w:hAnsi="宋体" w:cs="宋体"/>
          <w:color w:val="auto"/>
          <w:szCs w:val="21"/>
          <w:highlight w:val="none"/>
          <w:lang w:eastAsia="zh-CN"/>
        </w:rPr>
        <w:t>享受价格折扣</w:t>
      </w:r>
      <w:r>
        <w:rPr>
          <w:rFonts w:ascii="宋体" w:hAnsi="宋体" w:cs="宋体"/>
          <w:color w:val="auto"/>
          <w:szCs w:val="21"/>
          <w:highlight w:val="none"/>
        </w:rPr>
        <w:t>的，采购人或者其委托的采购代理机构应当随中标、成交结果同时公告其</w:t>
      </w:r>
      <w:r>
        <w:rPr>
          <w:rFonts w:hint="eastAsia" w:ascii="宋体" w:hAnsi="宋体" w:cs="宋体"/>
          <w:color w:val="auto"/>
          <w:szCs w:val="21"/>
          <w:highlight w:val="none"/>
          <w:lang w:eastAsia="zh-CN"/>
        </w:rPr>
        <w:t>《中小企业声明函》或</w:t>
      </w:r>
      <w:r>
        <w:rPr>
          <w:rFonts w:ascii="宋体" w:hAnsi="宋体" w:cs="宋体"/>
          <w:color w:val="auto"/>
          <w:szCs w:val="21"/>
          <w:highlight w:val="none"/>
        </w:rPr>
        <w:t>《残疾人福利性单位声明函》，接受社会监督。</w:t>
      </w:r>
    </w:p>
    <w:p>
      <w:pPr>
        <w:adjustRightInd w:val="0"/>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（四）最终得分</w:t>
      </w:r>
    </w:p>
    <w:p>
      <w:pPr>
        <w:adjustRightInd w:val="0"/>
        <w:snapToGrid w:val="0"/>
        <w:spacing w:line="360" w:lineRule="auto"/>
        <w:ind w:firstLine="420" w:firstLineChars="200"/>
        <w:rPr>
          <w:rFonts w:hint="default" w:ascii="宋体" w:hAnsi="宋体" w:cs="宋体"/>
          <w:b/>
          <w:snapToGrid w:val="0"/>
          <w:color w:val="auto"/>
          <w:kern w:val="0"/>
          <w:szCs w:val="21"/>
          <w:highlight w:val="none"/>
        </w:rPr>
      </w:pPr>
      <w:r>
        <w:rPr>
          <w:rFonts w:ascii="宋体" w:hAnsi="宋体" w:cs="宋体"/>
          <w:snapToGrid w:val="0"/>
          <w:color w:val="auto"/>
          <w:kern w:val="0"/>
          <w:szCs w:val="21"/>
          <w:highlight w:val="none"/>
        </w:rPr>
        <w:t>评分时保留小数点后1位小数，计算评分值时保留小数点后2位小数，由评标委员会当场统一计算。</w:t>
      </w:r>
    </w:p>
    <w:p>
      <w:pPr>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投标人的最终总得分为资信、技术、报价各部分得分的总和。</w:t>
      </w:r>
    </w:p>
    <w:p>
      <w:pPr>
        <w:tabs>
          <w:tab w:val="left" w:pos="735"/>
        </w:tabs>
        <w:adjustRightInd w:val="0"/>
        <w:snapToGrid w:val="0"/>
        <w:spacing w:line="360" w:lineRule="auto"/>
        <w:ind w:firstLine="422" w:firstLineChars="20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报价是中标的一个重要因素，但最低报价不是中标的唯一依据。</w:t>
      </w:r>
    </w:p>
    <w:p>
      <w:pPr>
        <w:adjustRightInd w:val="0"/>
        <w:snapToGrid w:val="0"/>
        <w:spacing w:line="360" w:lineRule="auto"/>
        <w:ind w:firstLine="420" w:firstLineChars="200"/>
        <w:rPr>
          <w:rFonts w:hint="default" w:ascii="宋体" w:hAnsi="宋体" w:cs="宋体"/>
          <w:snapToGrid w:val="0"/>
          <w:color w:val="auto"/>
          <w:kern w:val="0"/>
          <w:szCs w:val="21"/>
          <w:highlight w:val="none"/>
        </w:rPr>
      </w:pPr>
    </w:p>
    <w:p>
      <w:pPr>
        <w:adjustRightInd w:val="0"/>
        <w:snapToGrid w:val="0"/>
        <w:spacing w:line="360" w:lineRule="auto"/>
        <w:ind w:firstLine="398" w:firstLineChars="200"/>
        <w:rPr>
          <w:rFonts w:hint="default" w:ascii="宋体" w:hAnsi="宋体" w:cs="宋体"/>
          <w:b/>
          <w:color w:val="auto"/>
          <w:spacing w:val="-6"/>
          <w:szCs w:val="21"/>
          <w:highlight w:val="none"/>
        </w:rPr>
      </w:pPr>
      <w:r>
        <w:rPr>
          <w:rFonts w:ascii="宋体" w:hAnsi="宋体" w:cs="宋体"/>
          <w:b/>
          <w:color w:val="auto"/>
          <w:spacing w:val="-6"/>
          <w:szCs w:val="21"/>
          <w:highlight w:val="none"/>
        </w:rPr>
        <w:t>3.6 完成评标报告，推荐中标候选人</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3.6.1评标委员会应根据评标情况和结果，向招标人提交评标报告。评标报告由评标委员会成员起草，经评标委员会三分之二以上的成员同意通过。评标委员会全体成员应在评标报告上签字确认，评标专家如有保留意见可以在评标报告中阐明。</w:t>
      </w:r>
    </w:p>
    <w:p>
      <w:pPr>
        <w:adjustRightInd w:val="0"/>
        <w:snapToGrid w:val="0"/>
        <w:spacing w:line="36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3.6.2评标委员会根据综合评分对进入评分范围的投标文件综合评分由高到低进行排序，依次按采购文件规定的数量推荐中标候选人。评分相同时，报价低者优先。评分、报价均相同时，技术的分高者优先。评分、报价、技术的分均相同时，由评标委员会全体成员记名投票（不得弃权）决定排序。</w:t>
      </w:r>
    </w:p>
    <w:p>
      <w:pPr>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snapToGrid w:val="0"/>
          <w:color w:val="auto"/>
          <w:kern w:val="0"/>
          <w:szCs w:val="21"/>
          <w:highlight w:val="none"/>
        </w:rPr>
        <w:t>3.6.3本项目中标候选人数量：1人。</w:t>
      </w:r>
    </w:p>
    <w:p>
      <w:pPr>
        <w:adjustRightInd w:val="0"/>
        <w:snapToGrid w:val="0"/>
        <w:spacing w:line="360" w:lineRule="auto"/>
        <w:ind w:firstLine="420" w:firstLineChars="200"/>
        <w:jc w:val="left"/>
        <w:rPr>
          <w:rFonts w:hint="default" w:ascii="宋体" w:hAnsi="宋体" w:cs="宋体"/>
          <w:color w:val="auto"/>
          <w:szCs w:val="21"/>
          <w:highlight w:val="none"/>
        </w:rPr>
      </w:pPr>
    </w:p>
    <w:p>
      <w:pPr>
        <w:adjustRightInd w:val="0"/>
        <w:snapToGrid w:val="0"/>
        <w:spacing w:beforeLines="50" w:afterLines="50" w:line="360" w:lineRule="auto"/>
        <w:jc w:val="center"/>
        <w:outlineLvl w:val="0"/>
        <w:rPr>
          <w:rFonts w:hint="default" w:ascii="宋体" w:hAnsi="宋体" w:cs="宋体"/>
          <w:b/>
          <w:bCs/>
          <w:color w:val="auto"/>
          <w:sz w:val="32"/>
          <w:szCs w:val="32"/>
          <w:highlight w:val="none"/>
        </w:rPr>
      </w:pPr>
      <w:r>
        <w:rPr>
          <w:rFonts w:ascii="宋体" w:hAnsi="宋体" w:cs="宋体"/>
          <w:color w:val="auto"/>
          <w:szCs w:val="21"/>
          <w:highlight w:val="none"/>
        </w:rPr>
        <w:br w:type="page"/>
      </w:r>
      <w:bookmarkStart w:id="213" w:name="_Toc251566668"/>
      <w:bookmarkStart w:id="214" w:name="_Toc32612"/>
      <w:bookmarkStart w:id="215" w:name="_Toc234764855"/>
      <w:bookmarkStart w:id="216" w:name="_Toc249760797"/>
      <w:bookmarkStart w:id="217" w:name="_Toc1306"/>
      <w:r>
        <w:rPr>
          <w:rFonts w:ascii="宋体" w:hAnsi="宋体" w:cs="宋体"/>
          <w:b/>
          <w:color w:val="auto"/>
          <w:sz w:val="30"/>
          <w:szCs w:val="30"/>
          <w:highlight w:val="none"/>
        </w:rPr>
        <w:t>第六部分  投标文件格式</w:t>
      </w:r>
      <w:bookmarkEnd w:id="213"/>
      <w:bookmarkEnd w:id="214"/>
      <w:bookmarkEnd w:id="215"/>
      <w:bookmarkEnd w:id="216"/>
      <w:bookmarkEnd w:id="217"/>
    </w:p>
    <w:p>
      <w:pPr>
        <w:autoSpaceDE w:val="0"/>
        <w:autoSpaceDN w:val="0"/>
        <w:adjustRightInd w:val="0"/>
        <w:spacing w:line="360" w:lineRule="auto"/>
        <w:ind w:firstLine="480"/>
        <w:rPr>
          <w:rFonts w:hint="default" w:ascii="宋体" w:hAnsi="宋体" w:cs="宋体"/>
          <w:color w:val="auto"/>
          <w:sz w:val="24"/>
          <w:highlight w:val="none"/>
        </w:rPr>
      </w:pP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说明：</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1．投标文件由投标人根据采购文件要求参照附件格式编制。</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2．投标人根据实际情况填写。</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3．采购文件中没有参考格式的，投标人自行编制。</w:t>
      </w:r>
    </w:p>
    <w:p>
      <w:pPr>
        <w:autoSpaceDE w:val="0"/>
        <w:autoSpaceDN w:val="0"/>
        <w:adjustRightInd w:val="0"/>
        <w:snapToGrid w:val="0"/>
        <w:spacing w:line="360" w:lineRule="auto"/>
        <w:outlineLvl w:val="1"/>
        <w:rPr>
          <w:rFonts w:hint="default" w:ascii="宋体" w:hAnsi="宋体" w:cs="宋体"/>
          <w:bCs/>
          <w:snapToGrid w:val="0"/>
          <w:color w:val="auto"/>
          <w:kern w:val="0"/>
          <w:szCs w:val="21"/>
          <w:highlight w:val="none"/>
        </w:rPr>
      </w:pPr>
      <w:r>
        <w:rPr>
          <w:rFonts w:ascii="宋体" w:hAnsi="宋体" w:cs="宋体"/>
          <w:b/>
          <w:bCs/>
          <w:color w:val="auto"/>
          <w:sz w:val="32"/>
          <w:szCs w:val="32"/>
          <w:highlight w:val="none"/>
        </w:rPr>
        <w:br w:type="page"/>
      </w:r>
      <w:bookmarkStart w:id="218" w:name="_Toc27220"/>
      <w:bookmarkStart w:id="219" w:name="_Toc1647"/>
      <w:bookmarkStart w:id="220" w:name="_Toc19679"/>
      <w:r>
        <w:rPr>
          <w:rFonts w:ascii="宋体" w:hAnsi="宋体" w:cs="宋体"/>
          <w:bCs/>
          <w:snapToGrid w:val="0"/>
          <w:color w:val="auto"/>
          <w:kern w:val="0"/>
          <w:szCs w:val="21"/>
          <w:highlight w:val="none"/>
        </w:rPr>
        <w:t>一、</w:t>
      </w:r>
      <w:bookmarkEnd w:id="218"/>
      <w:bookmarkEnd w:id="219"/>
      <w:bookmarkStart w:id="221" w:name="_Toc32101"/>
      <w:bookmarkStart w:id="222" w:name="_Toc27346"/>
      <w:r>
        <w:rPr>
          <w:rFonts w:ascii="宋体" w:hAnsi="宋体" w:cs="宋体"/>
          <w:bCs/>
          <w:snapToGrid w:val="0"/>
          <w:color w:val="auto"/>
          <w:kern w:val="0"/>
          <w:szCs w:val="21"/>
          <w:highlight w:val="none"/>
        </w:rPr>
        <w:t>投标文件封面（格式供参考）</w:t>
      </w:r>
      <w:bookmarkEnd w:id="220"/>
      <w:bookmarkEnd w:id="221"/>
      <w:bookmarkEnd w:id="222"/>
    </w:p>
    <w:p>
      <w:pPr>
        <w:autoSpaceDE w:val="0"/>
        <w:autoSpaceDN w:val="0"/>
        <w:adjustRightInd w:val="0"/>
        <w:rPr>
          <w:rFonts w:hint="default" w:ascii="宋体" w:hAnsi="宋体" w:cs="宋体"/>
          <w:bCs/>
          <w:color w:val="auto"/>
          <w:highlight w:val="none"/>
        </w:rPr>
      </w:pPr>
    </w:p>
    <w:p>
      <w:pPr>
        <w:autoSpaceDE w:val="0"/>
        <w:autoSpaceDN w:val="0"/>
        <w:adjustRightInd w:val="0"/>
        <w:rPr>
          <w:rFonts w:hint="default" w:ascii="宋体" w:hAnsi="宋体" w:cs="宋体"/>
          <w:bCs/>
          <w:color w:val="auto"/>
          <w:highlight w:val="none"/>
        </w:rPr>
      </w:pPr>
      <w:r>
        <w:rPr>
          <w:rFonts w:ascii="宋体" w:hAnsi="宋体" w:cs="宋体"/>
          <w:bCs/>
          <w:color w:val="auto"/>
          <w:highlight w:val="none"/>
        </w:rPr>
        <w:t>1.1报价响应文件封面格式</w:t>
      </w:r>
    </w:p>
    <w:p>
      <w:pPr>
        <w:autoSpaceDE w:val="0"/>
        <w:autoSpaceDN w:val="0"/>
        <w:adjustRightInd w:val="0"/>
        <w:spacing w:line="360" w:lineRule="auto"/>
        <w:jc w:val="right"/>
        <w:rPr>
          <w:rFonts w:hint="default" w:ascii="宋体" w:hAnsi="宋体" w:cs="宋体"/>
          <w:b/>
          <w:color w:val="auto"/>
          <w:sz w:val="28"/>
          <w:szCs w:val="28"/>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杭州市质量技术监督检测院</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气相色谱仪和电感耦合等离子体发射光谱仪</w:t>
      </w:r>
    </w:p>
    <w:p>
      <w:pPr>
        <w:autoSpaceDE w:val="0"/>
        <w:autoSpaceDN w:val="0"/>
        <w:adjustRightInd w:val="0"/>
        <w:spacing w:line="360" w:lineRule="auto"/>
        <w:jc w:val="center"/>
        <w:rPr>
          <w:rFonts w:hint="default" w:ascii="宋体" w:hAnsi="宋体" w:cs="宋体"/>
          <w:color w:val="auto"/>
          <w:sz w:val="32"/>
          <w:szCs w:val="32"/>
          <w:highlight w:val="none"/>
          <w:u w:val="single"/>
        </w:rPr>
      </w:pPr>
    </w:p>
    <w:p>
      <w:pPr>
        <w:autoSpaceDE w:val="0"/>
        <w:autoSpaceDN w:val="0"/>
        <w:adjustRightInd w:val="0"/>
        <w:spacing w:line="360" w:lineRule="auto"/>
        <w:jc w:val="center"/>
        <w:rPr>
          <w:rFonts w:hint="default" w:ascii="宋体" w:hAnsi="宋体" w:cs="宋体"/>
          <w:b/>
          <w:color w:val="auto"/>
          <w:sz w:val="32"/>
          <w:szCs w:val="32"/>
          <w:highlight w:val="none"/>
        </w:rPr>
      </w:pPr>
    </w:p>
    <w:p>
      <w:pPr>
        <w:spacing w:line="360" w:lineRule="auto"/>
        <w:jc w:val="center"/>
        <w:rPr>
          <w:rFonts w:hint="default" w:ascii="宋体" w:hAnsi="宋体" w:cs="宋体"/>
          <w:color w:val="auto"/>
          <w:spacing w:val="40"/>
          <w:w w:val="90"/>
          <w:sz w:val="96"/>
          <w:szCs w:val="96"/>
          <w:highlight w:val="none"/>
          <w:lang w:bidi="th-TH"/>
        </w:rPr>
      </w:pPr>
      <w:r>
        <w:rPr>
          <w:rFonts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default" w:ascii="宋体" w:hAnsi="宋体" w:cs="宋体"/>
          <w:b/>
          <w:color w:val="auto"/>
          <w:sz w:val="44"/>
          <w:szCs w:val="44"/>
          <w:highlight w:val="none"/>
        </w:rPr>
      </w:pPr>
      <w:r>
        <w:rPr>
          <w:rFonts w:ascii="宋体" w:hAnsi="宋体" w:cs="宋体"/>
          <w:b/>
          <w:color w:val="auto"/>
          <w:sz w:val="44"/>
          <w:szCs w:val="44"/>
          <w:highlight w:val="none"/>
        </w:rPr>
        <w:t>（报价响应文件）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项目编号：ZJ-</w:t>
      </w:r>
      <w:r>
        <w:rPr>
          <w:rFonts w:hint="eastAsia" w:ascii="宋体" w:hAnsi="宋体" w:cs="宋体"/>
          <w:b/>
          <w:color w:val="auto"/>
          <w:sz w:val="32"/>
          <w:szCs w:val="32"/>
          <w:highlight w:val="none"/>
          <w:lang w:eastAsia="zh-CN"/>
        </w:rPr>
        <w:t>2141791</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r>
        <w:rPr>
          <w:rFonts w:ascii="宋体" w:hAnsi="宋体" w:cs="宋体"/>
          <w:b/>
          <w:color w:val="auto"/>
          <w:sz w:val="32"/>
          <w:szCs w:val="32"/>
          <w:highlight w:val="none"/>
        </w:rPr>
        <w:t>投标人（盖</w:t>
      </w:r>
      <w:r>
        <w:rPr>
          <w:rFonts w:hint="eastAsia" w:ascii="宋体" w:hAnsi="宋体" w:cs="宋体"/>
          <w:b/>
          <w:color w:val="auto"/>
          <w:sz w:val="32"/>
          <w:szCs w:val="32"/>
          <w:highlight w:val="none"/>
          <w:lang w:eastAsia="zh-CN"/>
        </w:rPr>
        <w:t>公</w:t>
      </w:r>
      <w:r>
        <w:rPr>
          <w:rFonts w:ascii="宋体" w:hAnsi="宋体" w:cs="宋体"/>
          <w:b/>
          <w:color w:val="auto"/>
          <w:sz w:val="32"/>
          <w:szCs w:val="32"/>
          <w:highlight w:val="none"/>
        </w:rPr>
        <w:t>章）：</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r>
        <w:rPr>
          <w:rFonts w:ascii="宋体" w:hAnsi="宋体" w:cs="宋体"/>
          <w:b/>
          <w:color w:val="auto"/>
          <w:sz w:val="32"/>
          <w:szCs w:val="32"/>
          <w:highlight w:val="none"/>
        </w:rPr>
        <w:t xml:space="preserve">法定代表人或授权代表(签字或盖章)： </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时间：    年   月   日</w:t>
      </w:r>
    </w:p>
    <w:p>
      <w:pPr>
        <w:autoSpaceDE w:val="0"/>
        <w:autoSpaceDN w:val="0"/>
        <w:adjustRightInd w:val="0"/>
        <w:rPr>
          <w:rFonts w:hint="default" w:ascii="宋体" w:hAnsi="宋体" w:cs="宋体"/>
          <w:bCs/>
          <w:color w:val="auto"/>
          <w:highlight w:val="none"/>
        </w:rPr>
      </w:pPr>
      <w:r>
        <w:rPr>
          <w:rFonts w:ascii="宋体" w:hAnsi="宋体" w:cs="宋体"/>
          <w:color w:val="auto"/>
          <w:highlight w:val="none"/>
        </w:rPr>
        <w:br w:type="page"/>
      </w:r>
      <w:r>
        <w:rPr>
          <w:rFonts w:ascii="宋体" w:hAnsi="宋体" w:cs="宋体"/>
          <w:bCs/>
          <w:color w:val="auto"/>
          <w:highlight w:val="none"/>
        </w:rPr>
        <w:t>1.2资格响应文件/商务技术响应文件封面格式</w:t>
      </w:r>
    </w:p>
    <w:p>
      <w:pPr>
        <w:autoSpaceDE w:val="0"/>
        <w:autoSpaceDN w:val="0"/>
        <w:adjustRightInd w:val="0"/>
        <w:rPr>
          <w:rFonts w:hint="default" w:ascii="宋体" w:hAnsi="宋体" w:cs="宋体"/>
          <w:b/>
          <w:bCs/>
          <w:color w:val="auto"/>
          <w:highlight w:val="none"/>
        </w:rPr>
      </w:pPr>
    </w:p>
    <w:p>
      <w:pPr>
        <w:autoSpaceDE w:val="0"/>
        <w:autoSpaceDN w:val="0"/>
        <w:adjustRightInd w:val="0"/>
        <w:spacing w:line="360" w:lineRule="auto"/>
        <w:jc w:val="right"/>
        <w:rPr>
          <w:rFonts w:hint="default" w:ascii="宋体" w:hAnsi="宋体" w:cs="宋体"/>
          <w:b/>
          <w:color w:val="auto"/>
          <w:sz w:val="28"/>
          <w:szCs w:val="28"/>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杭州市质量技术监督检测院</w:t>
      </w:r>
    </w:p>
    <w:p>
      <w:pPr>
        <w:autoSpaceDE w:val="0"/>
        <w:autoSpaceDN w:val="0"/>
        <w:adjustRightInd w:val="0"/>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2"/>
          <w:szCs w:val="32"/>
          <w:highlight w:val="none"/>
          <w:lang w:eastAsia="zh-CN"/>
        </w:rPr>
        <w:t>气相色谱仪和电感耦合等离子体发射光谱仪</w:t>
      </w:r>
    </w:p>
    <w:p>
      <w:pPr>
        <w:autoSpaceDE w:val="0"/>
        <w:autoSpaceDN w:val="0"/>
        <w:adjustRightInd w:val="0"/>
        <w:spacing w:line="360" w:lineRule="auto"/>
        <w:jc w:val="center"/>
        <w:rPr>
          <w:rFonts w:hint="default" w:ascii="宋体" w:hAnsi="宋体" w:cs="宋体"/>
          <w:color w:val="auto"/>
          <w:sz w:val="32"/>
          <w:szCs w:val="32"/>
          <w:highlight w:val="none"/>
          <w:u w:val="single"/>
        </w:rPr>
      </w:pPr>
    </w:p>
    <w:p>
      <w:pPr>
        <w:autoSpaceDE w:val="0"/>
        <w:autoSpaceDN w:val="0"/>
        <w:adjustRightInd w:val="0"/>
        <w:spacing w:line="360" w:lineRule="auto"/>
        <w:jc w:val="center"/>
        <w:rPr>
          <w:rFonts w:hint="default" w:ascii="宋体" w:hAnsi="宋体" w:cs="宋体"/>
          <w:b/>
          <w:color w:val="auto"/>
          <w:sz w:val="32"/>
          <w:szCs w:val="32"/>
          <w:highlight w:val="none"/>
        </w:rPr>
      </w:pPr>
    </w:p>
    <w:p>
      <w:pPr>
        <w:spacing w:line="360" w:lineRule="auto"/>
        <w:jc w:val="center"/>
        <w:rPr>
          <w:rFonts w:hint="default" w:ascii="宋体" w:hAnsi="宋体" w:cs="宋体"/>
          <w:color w:val="auto"/>
          <w:spacing w:val="40"/>
          <w:w w:val="90"/>
          <w:sz w:val="96"/>
          <w:szCs w:val="96"/>
          <w:highlight w:val="none"/>
          <w:lang w:bidi="th-TH"/>
        </w:rPr>
      </w:pPr>
      <w:r>
        <w:rPr>
          <w:rFonts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default" w:ascii="宋体" w:hAnsi="宋体" w:cs="宋体"/>
          <w:b/>
          <w:color w:val="auto"/>
          <w:sz w:val="44"/>
          <w:szCs w:val="44"/>
          <w:highlight w:val="none"/>
        </w:rPr>
      </w:pPr>
      <w:r>
        <w:rPr>
          <w:rFonts w:ascii="宋体" w:hAnsi="宋体" w:cs="宋体"/>
          <w:b/>
          <w:color w:val="auto"/>
          <w:sz w:val="44"/>
          <w:szCs w:val="44"/>
          <w:highlight w:val="none"/>
        </w:rPr>
        <w:t>（资格响应文件/商务技术响应文件）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项目编号：ZJ-</w:t>
      </w:r>
      <w:r>
        <w:rPr>
          <w:rFonts w:hint="eastAsia" w:ascii="宋体" w:hAnsi="宋体" w:cs="宋体"/>
          <w:b/>
          <w:color w:val="auto"/>
          <w:sz w:val="32"/>
          <w:szCs w:val="32"/>
          <w:highlight w:val="none"/>
          <w:lang w:eastAsia="zh-CN"/>
        </w:rPr>
        <w:t>2141791</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r>
        <w:rPr>
          <w:rFonts w:ascii="宋体" w:hAnsi="宋体" w:cs="宋体"/>
          <w:b/>
          <w:color w:val="auto"/>
          <w:sz w:val="32"/>
          <w:szCs w:val="32"/>
          <w:highlight w:val="none"/>
        </w:rPr>
        <w:t>投标人（盖</w:t>
      </w:r>
      <w:r>
        <w:rPr>
          <w:rFonts w:hint="eastAsia" w:ascii="宋体" w:hAnsi="宋体" w:cs="宋体"/>
          <w:b/>
          <w:color w:val="auto"/>
          <w:sz w:val="32"/>
          <w:szCs w:val="32"/>
          <w:highlight w:val="none"/>
          <w:lang w:eastAsia="zh-CN"/>
        </w:rPr>
        <w:t>公</w:t>
      </w:r>
      <w:r>
        <w:rPr>
          <w:rFonts w:ascii="宋体" w:hAnsi="宋体" w:cs="宋体"/>
          <w:b/>
          <w:color w:val="auto"/>
          <w:sz w:val="32"/>
          <w:szCs w:val="32"/>
          <w:highlight w:val="none"/>
        </w:rPr>
        <w:t>章）：</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rPr>
          <w:rFonts w:hint="default" w:ascii="宋体" w:hAnsi="宋体" w:cs="宋体"/>
          <w:b/>
          <w:color w:val="auto"/>
          <w:sz w:val="32"/>
          <w:szCs w:val="32"/>
          <w:highlight w:val="none"/>
        </w:rPr>
      </w:pPr>
      <w:r>
        <w:rPr>
          <w:rFonts w:ascii="宋体" w:hAnsi="宋体" w:cs="宋体"/>
          <w:b/>
          <w:color w:val="auto"/>
          <w:sz w:val="32"/>
          <w:szCs w:val="32"/>
          <w:highlight w:val="none"/>
        </w:rPr>
        <w:t xml:space="preserve">法定代表人或授权代表(签字或盖章)： </w:t>
      </w:r>
    </w:p>
    <w:p>
      <w:pPr>
        <w:autoSpaceDE w:val="0"/>
        <w:autoSpaceDN w:val="0"/>
        <w:adjustRightInd w:val="0"/>
        <w:spacing w:line="360" w:lineRule="auto"/>
        <w:rPr>
          <w:rFonts w:hint="default" w:ascii="宋体" w:hAnsi="宋体" w:cs="宋体"/>
          <w:b/>
          <w:color w:val="auto"/>
          <w:sz w:val="32"/>
          <w:szCs w:val="32"/>
          <w:highlight w:val="none"/>
        </w:rPr>
      </w:pPr>
    </w:p>
    <w:p>
      <w:pPr>
        <w:autoSpaceDE w:val="0"/>
        <w:autoSpaceDN w:val="0"/>
        <w:adjustRightInd w:val="0"/>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时间：    年   月   日</w:t>
      </w:r>
    </w:p>
    <w:p>
      <w:pPr>
        <w:autoSpaceDE w:val="0"/>
        <w:autoSpaceDN w:val="0"/>
        <w:adjustRightInd w:val="0"/>
        <w:spacing w:line="360" w:lineRule="auto"/>
        <w:rPr>
          <w:rFonts w:hint="default" w:ascii="宋体" w:hAnsi="宋体" w:cs="宋体"/>
          <w:color w:val="auto"/>
          <w:highlight w:val="none"/>
        </w:rPr>
      </w:pPr>
    </w:p>
    <w:p>
      <w:pPr>
        <w:rPr>
          <w:rFonts w:hint="default" w:ascii="宋体" w:hAnsi="宋体" w:cs="宋体"/>
          <w:color w:val="auto"/>
          <w:highlight w:val="none"/>
        </w:rPr>
      </w:pPr>
      <w:r>
        <w:rPr>
          <w:rFonts w:ascii="宋体" w:hAnsi="宋体" w:cs="宋体"/>
          <w:snapToGrid w:val="0"/>
          <w:color w:val="auto"/>
          <w:kern w:val="0"/>
          <w:highlight w:val="none"/>
        </w:rPr>
        <w:br w:type="page"/>
      </w:r>
    </w:p>
    <w:p>
      <w:pPr>
        <w:autoSpaceDE w:val="0"/>
        <w:autoSpaceDN w:val="0"/>
        <w:adjustRightInd w:val="0"/>
        <w:spacing w:line="360" w:lineRule="auto"/>
        <w:outlineLvl w:val="1"/>
        <w:rPr>
          <w:rFonts w:hint="default" w:ascii="宋体" w:hAnsi="宋体" w:cs="宋体"/>
          <w:b/>
          <w:bCs/>
          <w:color w:val="auto"/>
          <w:sz w:val="24"/>
          <w:highlight w:val="none"/>
        </w:rPr>
      </w:pPr>
      <w:bookmarkStart w:id="223" w:name="_Toc15653"/>
      <w:bookmarkStart w:id="224" w:name="_Toc31523"/>
      <w:bookmarkStart w:id="225" w:name="_Toc4425"/>
      <w:r>
        <w:rPr>
          <w:rFonts w:ascii="宋体" w:hAnsi="宋体" w:cs="宋体"/>
          <w:b/>
          <w:bCs/>
          <w:color w:val="auto"/>
          <w:sz w:val="24"/>
          <w:highlight w:val="none"/>
        </w:rPr>
        <w:t>二、</w:t>
      </w:r>
      <w:bookmarkEnd w:id="223"/>
      <w:bookmarkEnd w:id="224"/>
      <w:r>
        <w:rPr>
          <w:rFonts w:ascii="宋体" w:hAnsi="宋体" w:cs="宋体"/>
          <w:b/>
          <w:bCs/>
          <w:color w:val="auto"/>
          <w:sz w:val="24"/>
          <w:highlight w:val="none"/>
        </w:rPr>
        <w:t>资格响应文件</w:t>
      </w:r>
      <w:bookmarkEnd w:id="225"/>
    </w:p>
    <w:p>
      <w:pPr>
        <w:autoSpaceDE w:val="0"/>
        <w:autoSpaceDN w:val="0"/>
        <w:adjustRightInd w:val="0"/>
        <w:snapToGrid w:val="0"/>
        <w:spacing w:line="360" w:lineRule="auto"/>
        <w:ind w:right="420"/>
        <w:rPr>
          <w:rFonts w:hint="default" w:ascii="宋体" w:hAnsi="宋体" w:cs="宋体"/>
          <w:b/>
          <w:snapToGrid w:val="0"/>
          <w:color w:val="auto"/>
          <w:kern w:val="0"/>
          <w:highlight w:val="none"/>
        </w:rPr>
      </w:pPr>
      <w:r>
        <w:rPr>
          <w:rFonts w:ascii="宋体" w:hAnsi="宋体" w:cs="宋体"/>
          <w:b/>
          <w:snapToGrid w:val="0"/>
          <w:color w:val="auto"/>
          <w:kern w:val="0"/>
          <w:highlight w:val="none"/>
        </w:rPr>
        <w:t>2.1资格审查需要的资料</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2335" w:type="dxa"/>
            <w:vAlign w:val="center"/>
          </w:tcPr>
          <w:p>
            <w:pPr>
              <w:ind w:left="344" w:leftChars="114" w:hanging="105" w:hangingChars="50"/>
              <w:jc w:val="center"/>
              <w:rPr>
                <w:rFonts w:hint="default" w:ascii="宋体" w:hAnsi="宋体" w:cs="宋体"/>
                <w:color w:val="auto"/>
                <w:szCs w:val="21"/>
                <w:highlight w:val="none"/>
              </w:rPr>
            </w:pPr>
            <w:r>
              <w:rPr>
                <w:rFonts w:ascii="宋体" w:hAnsi="宋体" w:cs="宋体"/>
                <w:color w:val="auto"/>
                <w:szCs w:val="21"/>
                <w:highlight w:val="none"/>
              </w:rPr>
              <w:t>评审因素</w:t>
            </w:r>
          </w:p>
        </w:tc>
        <w:tc>
          <w:tcPr>
            <w:tcW w:w="4338" w:type="dxa"/>
            <w:vAlign w:val="center"/>
          </w:tcPr>
          <w:p>
            <w:pPr>
              <w:ind w:left="2"/>
              <w:jc w:val="center"/>
              <w:rPr>
                <w:rFonts w:hint="default" w:ascii="宋体" w:hAnsi="宋体" w:cs="宋体"/>
                <w:color w:val="auto"/>
                <w:szCs w:val="21"/>
                <w:highlight w:val="none"/>
              </w:rPr>
            </w:pPr>
            <w:r>
              <w:rPr>
                <w:rFonts w:ascii="宋体" w:hAnsi="宋体" w:cs="宋体"/>
                <w:color w:val="auto"/>
                <w:szCs w:val="21"/>
                <w:highlight w:val="none"/>
              </w:rPr>
              <w:t>相关证明文件</w:t>
            </w:r>
          </w:p>
        </w:tc>
        <w:tc>
          <w:tcPr>
            <w:tcW w:w="1474" w:type="dxa"/>
            <w:vAlign w:val="center"/>
          </w:tcPr>
          <w:p>
            <w:pPr>
              <w:ind w:left="2"/>
              <w:jc w:val="center"/>
              <w:rPr>
                <w:rFonts w:hint="default" w:ascii="宋体" w:hAnsi="宋体" w:cs="宋体"/>
                <w:color w:val="auto"/>
                <w:szCs w:val="21"/>
                <w:highlight w:val="none"/>
              </w:rPr>
            </w:pPr>
            <w:r>
              <w:rPr>
                <w:rFonts w:ascii="宋体" w:hAnsi="宋体" w:cs="宋体"/>
                <w:color w:val="auto"/>
                <w:szCs w:val="21"/>
                <w:highlight w:val="none"/>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1</w:t>
            </w:r>
          </w:p>
        </w:tc>
        <w:tc>
          <w:tcPr>
            <w:tcW w:w="2335" w:type="dxa"/>
            <w:vAlign w:val="center"/>
          </w:tcPr>
          <w:p>
            <w:pPr>
              <w:widowControl/>
              <w:adjustRightInd w:val="0"/>
              <w:snapToGrid w:val="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采购公告第二条要求</w:t>
            </w:r>
          </w:p>
        </w:tc>
        <w:tc>
          <w:tcPr>
            <w:tcW w:w="4338" w:type="dxa"/>
            <w:vAlign w:val="center"/>
          </w:tcPr>
          <w:p>
            <w:pPr>
              <w:tabs>
                <w:tab w:val="left" w:pos="720"/>
              </w:tabs>
              <w:adjustRightInd w:val="0"/>
              <w:snapToGrid w:val="0"/>
              <w:jc w:val="left"/>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采购文件投标须知9.1条规定的相关资料</w:t>
            </w:r>
          </w:p>
        </w:tc>
        <w:tc>
          <w:tcPr>
            <w:tcW w:w="1474" w:type="dxa"/>
            <w:vAlign w:val="center"/>
          </w:tcPr>
          <w:p>
            <w:pPr>
              <w:adjustRightInd w:val="0"/>
              <w:snapToGrid w:val="0"/>
              <w:jc w:val="left"/>
              <w:rPr>
                <w:rFonts w:hint="default" w:ascii="宋体" w:hAnsi="宋体" w:cs="宋体"/>
                <w:color w:val="auto"/>
                <w:szCs w:val="21"/>
                <w:highlight w:val="none"/>
              </w:rPr>
            </w:pPr>
          </w:p>
        </w:tc>
      </w:tr>
    </w:tbl>
    <w:p>
      <w:pPr>
        <w:tabs>
          <w:tab w:val="left" w:pos="735"/>
        </w:tabs>
        <w:adjustRightInd w:val="0"/>
        <w:snapToGrid w:val="0"/>
        <w:spacing w:line="360" w:lineRule="auto"/>
        <w:rPr>
          <w:rFonts w:hint="default" w:ascii="宋体" w:hAnsi="宋体" w:cs="宋体"/>
          <w:b/>
          <w:color w:val="auto"/>
          <w:szCs w:val="21"/>
          <w:highlight w:val="none"/>
        </w:rPr>
      </w:pPr>
      <w:r>
        <w:rPr>
          <w:rFonts w:ascii="宋体" w:hAnsi="宋体" w:cs="宋体"/>
          <w:b/>
          <w:snapToGrid w:val="0"/>
          <w:color w:val="auto"/>
          <w:kern w:val="0"/>
          <w:szCs w:val="21"/>
          <w:highlight w:val="none"/>
        </w:rPr>
        <w:t>注：证明材料附后。</w:t>
      </w:r>
    </w:p>
    <w:p>
      <w:pPr>
        <w:pStyle w:val="38"/>
        <w:tabs>
          <w:tab w:val="left" w:pos="630"/>
          <w:tab w:val="left" w:pos="840"/>
          <w:tab w:val="left" w:pos="1050"/>
        </w:tabs>
        <w:adjustRightInd w:val="0"/>
        <w:snapToGrid w:val="0"/>
        <w:spacing w:before="0" w:beforeAutospacing="0" w:after="0" w:afterAutospacing="0" w:line="360" w:lineRule="auto"/>
        <w:rPr>
          <w:rFonts w:hint="default" w:ascii="宋体" w:hAnsi="宋体" w:cs="宋体"/>
          <w:b/>
          <w:bCs/>
          <w:color w:val="auto"/>
          <w:sz w:val="21"/>
          <w:szCs w:val="21"/>
          <w:highlight w:val="none"/>
        </w:rPr>
      </w:pPr>
      <w:r>
        <w:rPr>
          <w:rFonts w:ascii="宋体" w:hAnsi="宋体" w:cs="宋体"/>
          <w:color w:val="auto"/>
          <w:highlight w:val="none"/>
        </w:rPr>
        <w:br w:type="page"/>
      </w:r>
      <w:r>
        <w:rPr>
          <w:rFonts w:ascii="宋体" w:hAnsi="宋体" w:cs="宋体"/>
          <w:b/>
          <w:color w:val="auto"/>
          <w:sz w:val="21"/>
          <w:szCs w:val="21"/>
          <w:highlight w:val="none"/>
        </w:rPr>
        <w:t>2.2基本资格条件相关证明材料</w:t>
      </w:r>
    </w:p>
    <w:p>
      <w:pPr>
        <w:pStyle w:val="38"/>
        <w:numPr>
          <w:ilvl w:val="0"/>
          <w:numId w:val="14"/>
        </w:numPr>
        <w:tabs>
          <w:tab w:val="left" w:pos="630"/>
          <w:tab w:val="left" w:pos="840"/>
          <w:tab w:val="left" w:pos="1050"/>
        </w:tabs>
        <w:adjustRightInd w:val="0"/>
        <w:snapToGrid w:val="0"/>
        <w:spacing w:before="0" w:beforeAutospacing="0" w:after="0" w:afterAutospacing="0" w:line="360" w:lineRule="auto"/>
        <w:ind w:hanging="5"/>
        <w:rPr>
          <w:rFonts w:hint="default" w:ascii="宋体" w:hAnsi="宋体" w:cs="宋体"/>
          <w:b/>
          <w:bCs/>
          <w:color w:val="auto"/>
          <w:sz w:val="21"/>
          <w:szCs w:val="21"/>
          <w:highlight w:val="none"/>
        </w:rPr>
      </w:pPr>
      <w:r>
        <w:rPr>
          <w:rFonts w:ascii="宋体" w:hAnsi="宋体" w:cs="宋体"/>
          <w:b/>
          <w:bCs/>
          <w:color w:val="auto"/>
          <w:sz w:val="21"/>
          <w:szCs w:val="21"/>
          <w:highlight w:val="none"/>
        </w:rPr>
        <w:t>具有独立承担民事责任的能力：</w:t>
      </w:r>
    </w:p>
    <w:p>
      <w:pPr>
        <w:pStyle w:val="38"/>
        <w:tabs>
          <w:tab w:val="left" w:pos="630"/>
          <w:tab w:val="left" w:pos="840"/>
          <w:tab w:val="left" w:pos="1050"/>
        </w:tabs>
        <w:adjustRightInd w:val="0"/>
        <w:snapToGrid w:val="0"/>
        <w:spacing w:before="0" w:beforeAutospacing="0" w:after="0" w:afterAutospacing="0" w:line="360" w:lineRule="auto"/>
        <w:ind w:left="420"/>
        <w:rPr>
          <w:rFonts w:hint="default" w:ascii="宋体" w:hAnsi="宋体" w:cs="宋体"/>
          <w:b/>
          <w:bCs/>
          <w:color w:val="auto"/>
          <w:sz w:val="21"/>
          <w:szCs w:val="21"/>
          <w:highlight w:val="none"/>
        </w:rPr>
      </w:pPr>
      <w:r>
        <w:rPr>
          <w:rFonts w:ascii="宋体" w:hAnsi="宋体" w:cs="宋体"/>
          <w:b/>
          <w:bCs/>
          <w:color w:val="auto"/>
          <w:sz w:val="21"/>
          <w:szCs w:val="21"/>
          <w:highlight w:val="none"/>
        </w:rPr>
        <w:t>投标人须在投标文件中出具符合以下情况的证明材料复印件（五选一）：</w:t>
      </w:r>
    </w:p>
    <w:p>
      <w:pPr>
        <w:pStyle w:val="38"/>
        <w:numPr>
          <w:ilvl w:val="0"/>
          <w:numId w:val="15"/>
        </w:numPr>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如投标人是企业（包括合伙企业），提供在工商部门注册的有效“企业法人营业执照”或“营业执照”；</w:t>
      </w:r>
    </w:p>
    <w:p>
      <w:pPr>
        <w:pStyle w:val="38"/>
        <w:numPr>
          <w:ilvl w:val="0"/>
          <w:numId w:val="15"/>
        </w:numPr>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如投标人是事业单位，提供有效的“事业单位法人证书”；</w:t>
      </w:r>
    </w:p>
    <w:p>
      <w:pPr>
        <w:pStyle w:val="38"/>
        <w:numPr>
          <w:ilvl w:val="0"/>
          <w:numId w:val="15"/>
        </w:numPr>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如投标人是非企业专业服务机构的，提供执业许可证等证明文件；</w:t>
      </w:r>
    </w:p>
    <w:p>
      <w:pPr>
        <w:pStyle w:val="38"/>
        <w:numPr>
          <w:ilvl w:val="0"/>
          <w:numId w:val="15"/>
        </w:numPr>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如投标人是个体工商户，提供有效的“个体工商户营业执照”；</w:t>
      </w:r>
    </w:p>
    <w:p>
      <w:pPr>
        <w:pStyle w:val="38"/>
        <w:numPr>
          <w:ilvl w:val="0"/>
          <w:numId w:val="15"/>
        </w:numPr>
        <w:tabs>
          <w:tab w:val="left" w:pos="312"/>
        </w:tabs>
        <w:adjustRightInd w:val="0"/>
        <w:snapToGrid w:val="0"/>
        <w:spacing w:before="0" w:beforeAutospacing="0" w:after="0" w:afterAutospacing="0"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1"/>
          <w:highlight w:val="none"/>
        </w:rPr>
        <w:t>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2" w:firstLineChars="200"/>
        <w:textAlignment w:val="bottom"/>
        <w:rPr>
          <w:rFonts w:hint="default" w:ascii="宋体" w:hAnsi="宋体" w:cs="宋体"/>
          <w:b/>
          <w:bCs/>
          <w:color w:val="auto"/>
          <w:szCs w:val="21"/>
          <w:highlight w:val="none"/>
        </w:rPr>
      </w:pPr>
      <w:r>
        <w:rPr>
          <w:rFonts w:ascii="宋体" w:hAnsi="宋体" w:cs="宋体"/>
          <w:b/>
          <w:bCs/>
          <w:color w:val="auto"/>
          <w:szCs w:val="21"/>
          <w:highlight w:val="none"/>
        </w:rPr>
        <w:br w:type="page"/>
      </w:r>
      <w:r>
        <w:rPr>
          <w:rFonts w:ascii="宋体" w:hAnsi="宋体" w:cs="宋体"/>
          <w:b/>
          <w:bCs/>
          <w:color w:val="auto"/>
          <w:szCs w:val="21"/>
          <w:highlight w:val="none"/>
        </w:rPr>
        <w:t>b.供应商符合政府采购资格条件的《承诺函》（参考格式如下）</w:t>
      </w:r>
    </w:p>
    <w:p>
      <w:pPr>
        <w:pStyle w:val="38"/>
        <w:adjustRightInd w:val="0"/>
        <w:snapToGrid w:val="0"/>
        <w:spacing w:before="0" w:beforeAutospacing="0" w:after="0" w:afterAutospacing="0" w:line="36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承诺函</w:t>
      </w:r>
    </w:p>
    <w:p>
      <w:pPr>
        <w:spacing w:line="480" w:lineRule="auto"/>
        <w:rPr>
          <w:rFonts w:hint="default" w:ascii="宋体" w:hAnsi="宋体" w:cs="宋体"/>
          <w:b/>
          <w:bCs/>
          <w:color w:val="auto"/>
          <w:szCs w:val="21"/>
          <w:highlight w:val="none"/>
        </w:rPr>
      </w:pPr>
      <w:r>
        <w:rPr>
          <w:rFonts w:ascii="宋体" w:hAnsi="宋体" w:cs="宋体"/>
          <w:color w:val="auto"/>
          <w:szCs w:val="21"/>
          <w:highlight w:val="none"/>
          <w:u w:val="single"/>
        </w:rPr>
        <w:t>（采购人）：</w:t>
      </w:r>
    </w:p>
    <w:p>
      <w:pPr>
        <w:pStyle w:val="38"/>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w:t>
      </w:r>
      <w:r>
        <w:rPr>
          <w:rFonts w:ascii="宋体" w:hAnsi="宋体" w:cs="宋体"/>
          <w:i/>
          <w:iCs/>
          <w:color w:val="auto"/>
          <w:sz w:val="21"/>
          <w:szCs w:val="21"/>
          <w:highlight w:val="none"/>
          <w:u w:val="single"/>
        </w:rPr>
        <w:t>（投标人全称）</w:t>
      </w:r>
      <w:r>
        <w:rPr>
          <w:rFonts w:ascii="宋体" w:hAnsi="宋体" w:cs="宋体"/>
          <w:color w:val="auto"/>
          <w:sz w:val="21"/>
          <w:szCs w:val="21"/>
          <w:highlight w:val="none"/>
        </w:rPr>
        <w:t>参与</w:t>
      </w:r>
      <w:r>
        <w:rPr>
          <w:rFonts w:ascii="宋体" w:hAnsi="宋体" w:cs="宋体"/>
          <w:i/>
          <w:iCs/>
          <w:color w:val="auto"/>
          <w:sz w:val="21"/>
          <w:szCs w:val="21"/>
          <w:highlight w:val="none"/>
          <w:u w:val="single"/>
        </w:rPr>
        <w:t xml:space="preserve">  （项目名称）   </w:t>
      </w:r>
      <w:r>
        <w:rPr>
          <w:rFonts w:ascii="宋体" w:hAnsi="宋体" w:cs="宋体"/>
          <w:color w:val="auto"/>
          <w:sz w:val="21"/>
          <w:szCs w:val="21"/>
          <w:highlight w:val="none"/>
        </w:rPr>
        <w:t>政府采购活动，针对《中华人民共和国政府采购法》第二十二条所述条件做如下承诺：</w:t>
      </w:r>
    </w:p>
    <w:p>
      <w:pPr>
        <w:pStyle w:val="38"/>
        <w:numPr>
          <w:ilvl w:val="0"/>
          <w:numId w:val="16"/>
        </w:numPr>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我方具有良好的商业信誉和健全的财务会计制度；</w:t>
      </w:r>
    </w:p>
    <w:p>
      <w:pPr>
        <w:pStyle w:val="38"/>
        <w:numPr>
          <w:ilvl w:val="0"/>
          <w:numId w:val="16"/>
        </w:numPr>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我方具有履行本项目合同所必需的设备和专业技术能力；</w:t>
      </w:r>
    </w:p>
    <w:p>
      <w:pPr>
        <w:pStyle w:val="38"/>
        <w:numPr>
          <w:ilvl w:val="0"/>
          <w:numId w:val="16"/>
        </w:numPr>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我方没有缴纳税收和社会保障等方面的失信记录；</w:t>
      </w:r>
    </w:p>
    <w:p>
      <w:pPr>
        <w:pStyle w:val="38"/>
        <w:numPr>
          <w:ilvl w:val="0"/>
          <w:numId w:val="16"/>
        </w:numPr>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8"/>
        <w:shd w:val="clear" w:color="auto" w:fill="auto"/>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我方对上述承诺内容的真实性负责。如有虚假，将依法承担相应责任。</w:t>
      </w:r>
    </w:p>
    <w:p>
      <w:pPr>
        <w:snapToGrid w:val="0"/>
        <w:spacing w:line="360" w:lineRule="auto"/>
        <w:rPr>
          <w:rFonts w:hint="default" w:ascii="宋体" w:hAnsi="宋体" w:cs="宋体"/>
          <w:color w:val="auto"/>
          <w:highlight w:val="none"/>
        </w:rPr>
      </w:pPr>
    </w:p>
    <w:p>
      <w:pPr>
        <w:snapToGrid w:val="0"/>
        <w:spacing w:line="360" w:lineRule="auto"/>
        <w:rPr>
          <w:rFonts w:hint="default" w:ascii="宋体" w:hAnsi="宋体" w:cs="宋体"/>
          <w:color w:val="auto"/>
          <w:spacing w:val="20"/>
          <w:highlight w:val="none"/>
          <w:u w:val="single"/>
        </w:rPr>
      </w:pPr>
      <w:r>
        <w:rPr>
          <w:rFonts w:ascii="宋体" w:hAnsi="宋体" w:cs="宋体"/>
          <w:color w:val="auto"/>
          <w:highlight w:val="none"/>
        </w:rPr>
        <w:t>供应商全称（盖单位公章）：</w:t>
      </w:r>
    </w:p>
    <w:p>
      <w:pPr>
        <w:snapToGrid w:val="0"/>
        <w:spacing w:line="360" w:lineRule="auto"/>
        <w:rPr>
          <w:rFonts w:hint="default" w:ascii="宋体" w:hAnsi="宋体" w:cs="宋体"/>
          <w:color w:val="auto"/>
          <w:spacing w:val="20"/>
          <w:highlight w:val="none"/>
          <w:u w:val="single"/>
        </w:rPr>
      </w:pPr>
      <w:r>
        <w:rPr>
          <w:rFonts w:ascii="宋体" w:hAnsi="宋体" w:cs="宋体"/>
          <w:color w:val="auto"/>
          <w:highlight w:val="none"/>
        </w:rPr>
        <w:t>法定代表人或授权代表（签字或盖章）：</w:t>
      </w:r>
    </w:p>
    <w:p>
      <w:pPr>
        <w:snapToGrid w:val="0"/>
        <w:spacing w:line="360" w:lineRule="auto"/>
        <w:rPr>
          <w:rFonts w:ascii="宋体" w:hAnsi="宋体" w:cs="宋体"/>
          <w:color w:val="auto"/>
          <w:highlight w:val="none"/>
        </w:rPr>
      </w:pPr>
      <w:r>
        <w:rPr>
          <w:rFonts w:ascii="宋体" w:hAnsi="宋体" w:cs="宋体"/>
          <w:color w:val="auto"/>
          <w:spacing w:val="20"/>
          <w:highlight w:val="none"/>
        </w:rPr>
        <w:t xml:space="preserve">日期：  </w:t>
      </w:r>
      <w:r>
        <w:rPr>
          <w:rFonts w:ascii="宋体" w:hAnsi="宋体" w:cs="宋体"/>
          <w:color w:val="auto"/>
          <w:highlight w:val="none"/>
        </w:rPr>
        <w:t>年  月  日</w:t>
      </w:r>
    </w:p>
    <w:p>
      <w:pPr>
        <w:pStyle w:val="2"/>
        <w:rPr>
          <w:color w:val="auto"/>
          <w:highlight w:val="none"/>
        </w:rPr>
      </w:pPr>
    </w:p>
    <w:p>
      <w:pPr>
        <w:pStyle w:val="2"/>
        <w:rPr>
          <w:rFonts w:hint="default"/>
          <w:color w:val="auto"/>
          <w:highlight w:val="none"/>
        </w:rPr>
      </w:pPr>
      <w:bookmarkStart w:id="226" w:name="_Toc702"/>
      <w:r>
        <w:rPr>
          <w:color w:val="auto"/>
          <w:highlight w:val="none"/>
        </w:rPr>
        <w:t>特别说明：已完成信用修复的“缴纳税收和社会保障等方面的失信记录”不包含在上述第3点所述情形内（属于重大违法纪录情形的除外）。</w:t>
      </w:r>
      <w:bookmarkEnd w:id="226"/>
    </w:p>
    <w:p>
      <w:pPr>
        <w:pStyle w:val="38"/>
        <w:adjustRightInd w:val="0"/>
        <w:snapToGrid w:val="0"/>
        <w:spacing w:before="0" w:beforeAutospacing="0" w:after="0" w:afterAutospacing="0" w:line="360" w:lineRule="auto"/>
        <w:rPr>
          <w:rFonts w:hint="default" w:ascii="宋体" w:hAnsi="宋体" w:cs="宋体"/>
          <w:b/>
          <w:bCs/>
          <w:color w:val="auto"/>
          <w:sz w:val="21"/>
          <w:szCs w:val="21"/>
          <w:highlight w:val="none"/>
        </w:rPr>
        <w:sectPr>
          <w:footerReference r:id="rId6" w:type="default"/>
          <w:pgSz w:w="11850" w:h="16783"/>
          <w:pgMar w:top="1247" w:right="1588" w:bottom="1089" w:left="1588" w:header="851" w:footer="992" w:gutter="0"/>
          <w:cols w:space="720" w:num="1"/>
          <w:docGrid w:linePitch="312" w:charSpace="0"/>
        </w:sectPr>
      </w:pPr>
      <w:r>
        <w:rPr>
          <w:rFonts w:ascii="宋体" w:hAnsi="宋体" w:cs="宋体"/>
          <w:b/>
          <w:bCs/>
          <w:color w:val="auto"/>
          <w:sz w:val="21"/>
          <w:szCs w:val="21"/>
          <w:highlight w:val="none"/>
        </w:rPr>
        <w:br w:type="page"/>
      </w:r>
    </w:p>
    <w:p>
      <w:pPr>
        <w:autoSpaceDE w:val="0"/>
        <w:autoSpaceDN w:val="0"/>
        <w:adjustRightInd w:val="0"/>
        <w:spacing w:line="360" w:lineRule="auto"/>
        <w:outlineLvl w:val="1"/>
        <w:rPr>
          <w:rFonts w:hint="default" w:ascii="宋体" w:hAnsi="宋体" w:cs="宋体"/>
          <w:b/>
          <w:bCs/>
          <w:color w:val="auto"/>
          <w:sz w:val="24"/>
          <w:highlight w:val="none"/>
        </w:rPr>
      </w:pPr>
      <w:bookmarkStart w:id="227" w:name="_Toc3961"/>
      <w:bookmarkStart w:id="228" w:name="_Toc16299"/>
      <w:r>
        <w:rPr>
          <w:rFonts w:ascii="宋体" w:hAnsi="宋体" w:cs="宋体"/>
          <w:b/>
          <w:bCs/>
          <w:color w:val="auto"/>
          <w:highlight w:val="none"/>
        </w:rPr>
        <w:t>三</w:t>
      </w:r>
      <w:r>
        <w:rPr>
          <w:rFonts w:ascii="宋体" w:hAnsi="宋体" w:cs="宋体"/>
          <w:b/>
          <w:bCs/>
          <w:color w:val="auto"/>
          <w:sz w:val="24"/>
          <w:highlight w:val="none"/>
        </w:rPr>
        <w:t>、商务技术响应文件部分格式</w:t>
      </w:r>
      <w:bookmarkEnd w:id="227"/>
      <w:bookmarkEnd w:id="228"/>
    </w:p>
    <w:p>
      <w:pPr>
        <w:autoSpaceDE w:val="0"/>
        <w:autoSpaceDN w:val="0"/>
        <w:adjustRightInd w:val="0"/>
        <w:spacing w:line="360" w:lineRule="auto"/>
        <w:rPr>
          <w:rFonts w:hint="default" w:ascii="宋体" w:hAnsi="宋体" w:cs="宋体"/>
          <w:b/>
          <w:color w:val="auto"/>
          <w:szCs w:val="21"/>
          <w:highlight w:val="none"/>
        </w:rPr>
      </w:pPr>
      <w:r>
        <w:rPr>
          <w:rFonts w:ascii="宋体" w:hAnsi="宋体" w:cs="宋体"/>
          <w:b/>
          <w:color w:val="auto"/>
          <w:szCs w:val="21"/>
          <w:highlight w:val="none"/>
        </w:rPr>
        <w:t>（顺序不做强制；未提供各式的，可自行提供）</w:t>
      </w:r>
    </w:p>
    <w:p>
      <w:pPr>
        <w:autoSpaceDE w:val="0"/>
        <w:autoSpaceDN w:val="0"/>
        <w:adjustRightInd w:val="0"/>
        <w:spacing w:line="360" w:lineRule="auto"/>
        <w:rPr>
          <w:rFonts w:hint="default" w:ascii="宋体" w:hAnsi="宋体" w:cs="宋体"/>
          <w:b/>
          <w:color w:val="auto"/>
          <w:szCs w:val="21"/>
          <w:highlight w:val="none"/>
        </w:rPr>
      </w:pPr>
      <w:r>
        <w:rPr>
          <w:rFonts w:ascii="宋体" w:hAnsi="宋体" w:cs="宋体"/>
          <w:b/>
          <w:color w:val="auto"/>
          <w:szCs w:val="21"/>
          <w:highlight w:val="none"/>
        </w:rPr>
        <w:t>3.1评分索引表；</w:t>
      </w:r>
    </w:p>
    <w:p>
      <w:pPr>
        <w:pStyle w:val="23"/>
        <w:snapToGrid w:val="0"/>
        <w:spacing w:line="360" w:lineRule="auto"/>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评分索引表</w:t>
      </w:r>
    </w:p>
    <w:tbl>
      <w:tblPr>
        <w:tblStyle w:val="43"/>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序号</w:t>
            </w:r>
          </w:p>
        </w:tc>
        <w:tc>
          <w:tcPr>
            <w:tcW w:w="5033" w:type="dxa"/>
            <w:vAlign w:val="center"/>
          </w:tcPr>
          <w:p>
            <w:pPr>
              <w:adjustRightInd w:val="0"/>
              <w:snapToGrid w:val="0"/>
              <w:jc w:val="center"/>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评分细则内容</w:t>
            </w: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投标响应情况</w:t>
            </w: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证明材料所在页码</w:t>
            </w: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snapToGrid w:val="0"/>
                <w:color w:val="auto"/>
                <w:kern w:val="0"/>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hint="default" w:ascii="宋体" w:hAnsi="宋体" w:cs="宋体"/>
                <w:snapToGrid w:val="0"/>
                <w:color w:val="auto"/>
                <w:kern w:val="0"/>
                <w:szCs w:val="21"/>
                <w:highlight w:val="none"/>
              </w:rPr>
            </w:pPr>
          </w:p>
        </w:tc>
        <w:tc>
          <w:tcPr>
            <w:tcW w:w="5033" w:type="dxa"/>
            <w:vAlign w:val="center"/>
          </w:tcPr>
          <w:p>
            <w:pPr>
              <w:adjustRightInd w:val="0"/>
              <w:snapToGrid w:val="0"/>
              <w:rPr>
                <w:rFonts w:hint="default" w:ascii="宋体" w:hAnsi="宋体" w:cs="宋体"/>
                <w:color w:val="auto"/>
                <w:szCs w:val="21"/>
                <w:highlight w:val="none"/>
              </w:rPr>
            </w:pPr>
          </w:p>
        </w:tc>
        <w:tc>
          <w:tcPr>
            <w:tcW w:w="1134" w:type="dxa"/>
            <w:vAlign w:val="center"/>
          </w:tcPr>
          <w:p>
            <w:pPr>
              <w:adjustRightInd w:val="0"/>
              <w:snapToGrid w:val="0"/>
              <w:jc w:val="center"/>
              <w:rPr>
                <w:rFonts w:hint="default" w:ascii="宋体" w:hAnsi="宋体" w:cs="宋体"/>
                <w:b/>
                <w:snapToGrid w:val="0"/>
                <w:color w:val="auto"/>
                <w:kern w:val="0"/>
                <w:szCs w:val="21"/>
                <w:highlight w:val="none"/>
              </w:rPr>
            </w:pPr>
          </w:p>
        </w:tc>
        <w:tc>
          <w:tcPr>
            <w:tcW w:w="1082" w:type="dxa"/>
            <w:vAlign w:val="center"/>
          </w:tcPr>
          <w:p>
            <w:pPr>
              <w:adjustRightInd w:val="0"/>
              <w:snapToGrid w:val="0"/>
              <w:jc w:val="center"/>
              <w:rPr>
                <w:rFonts w:hint="default" w:ascii="宋体" w:hAnsi="宋体" w:cs="宋体"/>
                <w:b/>
                <w:snapToGrid w:val="0"/>
                <w:color w:val="auto"/>
                <w:kern w:val="0"/>
                <w:szCs w:val="21"/>
                <w:highlight w:val="none"/>
              </w:rPr>
            </w:pPr>
          </w:p>
        </w:tc>
        <w:tc>
          <w:tcPr>
            <w:tcW w:w="1044" w:type="dxa"/>
            <w:vAlign w:val="center"/>
          </w:tcPr>
          <w:p>
            <w:pPr>
              <w:adjustRightInd w:val="0"/>
              <w:snapToGrid w:val="0"/>
              <w:jc w:val="center"/>
              <w:rPr>
                <w:rFonts w:hint="default" w:ascii="宋体" w:hAnsi="宋体" w:cs="宋体"/>
                <w:b/>
                <w:snapToGrid w:val="0"/>
                <w:color w:val="auto"/>
                <w:kern w:val="0"/>
                <w:szCs w:val="21"/>
                <w:highlight w:val="none"/>
              </w:rPr>
            </w:pPr>
          </w:p>
        </w:tc>
      </w:tr>
    </w:tbl>
    <w:p>
      <w:pPr>
        <w:autoSpaceDE w:val="0"/>
        <w:autoSpaceDN w:val="0"/>
        <w:adjustRightInd w:val="0"/>
        <w:spacing w:line="360" w:lineRule="auto"/>
        <w:rPr>
          <w:rFonts w:hint="default" w:ascii="宋体" w:hAnsi="宋体" w:cs="宋体"/>
          <w:b/>
          <w:color w:val="auto"/>
          <w:szCs w:val="21"/>
          <w:highlight w:val="none"/>
        </w:rPr>
        <w:sectPr>
          <w:footerReference r:id="rId7" w:type="default"/>
          <w:pgSz w:w="11850" w:h="16783"/>
          <w:pgMar w:top="1247" w:right="1588" w:bottom="1089" w:left="1588" w:header="851" w:footer="992" w:gutter="0"/>
          <w:cols w:space="720" w:num="1"/>
          <w:docGrid w:linePitch="312" w:charSpace="0"/>
        </w:sectPr>
      </w:pPr>
    </w:p>
    <w:p>
      <w:pPr>
        <w:autoSpaceDE w:val="0"/>
        <w:autoSpaceDN w:val="0"/>
        <w:adjustRightIn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3.2投标函</w:t>
      </w:r>
    </w:p>
    <w:p>
      <w:pPr>
        <w:pStyle w:val="23"/>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23"/>
        <w:spacing w:line="360" w:lineRule="auto"/>
        <w:rPr>
          <w:rFonts w:ascii="宋体" w:hAnsi="宋体" w:eastAsia="宋体" w:cs="宋体"/>
          <w:color w:val="auto"/>
          <w:highlight w:val="none"/>
          <w:u w:val="single"/>
        </w:rPr>
      </w:pPr>
      <w:r>
        <w:rPr>
          <w:rFonts w:hint="eastAsia" w:ascii="宋体" w:hAnsi="宋体" w:eastAsia="宋体" w:cs="宋体"/>
          <w:snapToGrid w:val="0"/>
          <w:color w:val="auto"/>
          <w:kern w:val="0"/>
          <w:highlight w:val="none"/>
          <w:u w:val="single"/>
        </w:rPr>
        <w:t>杭州市质量技术监督检测院</w:t>
      </w:r>
      <w:r>
        <w:rPr>
          <w:rFonts w:hint="eastAsia" w:ascii="宋体" w:hAnsi="宋体" w:eastAsia="宋体" w:cs="宋体"/>
          <w:color w:val="auto"/>
          <w:highlight w:val="none"/>
        </w:rPr>
        <w:t>：</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u w:val="single"/>
        </w:rPr>
        <w:t xml:space="preserve"> (投标人全称)</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(全权代表姓名)(职务、职称)</w:t>
      </w:r>
      <w:r>
        <w:rPr>
          <w:rFonts w:hint="eastAsia" w:ascii="宋体" w:hAnsi="宋体" w:eastAsia="宋体" w:cs="宋体"/>
          <w:color w:val="auto"/>
          <w:highlight w:val="none"/>
        </w:rPr>
        <w:t>为全权代表，参加贵方组织的</w:t>
      </w:r>
      <w:r>
        <w:rPr>
          <w:rFonts w:hint="eastAsia" w:ascii="宋体" w:hAnsi="宋体" w:eastAsia="宋体" w:cs="宋体"/>
          <w:color w:val="auto"/>
          <w:highlight w:val="none"/>
          <w:u w:val="single"/>
        </w:rPr>
        <w:t>杭州市质量技术监督检测院气相色谱仪和电感耦合等离子体发射光谱仪项目</w:t>
      </w:r>
      <w:r>
        <w:rPr>
          <w:rFonts w:hint="eastAsia" w:ascii="宋体" w:hAnsi="宋体" w:eastAsia="宋体" w:cs="宋体"/>
          <w:color w:val="auto"/>
          <w:highlight w:val="none"/>
        </w:rPr>
        <w:t xml:space="preserve"> (项目编号：ZJ-</w:t>
      </w:r>
      <w:r>
        <w:rPr>
          <w:rFonts w:hint="eastAsia" w:ascii="宋体" w:hAnsi="宋体" w:eastAsia="宋体" w:cs="宋体"/>
          <w:color w:val="auto"/>
          <w:highlight w:val="none"/>
          <w:lang w:eastAsia="zh-CN"/>
        </w:rPr>
        <w:t>2141791</w:t>
      </w:r>
      <w:r>
        <w:rPr>
          <w:rFonts w:hint="eastAsia" w:ascii="宋体" w:hAnsi="宋体" w:eastAsia="宋体" w:cs="宋体"/>
          <w:color w:val="auto"/>
          <w:highlight w:val="none"/>
        </w:rPr>
        <w:t>)的有关活动，并对此项目进行投标。为此：</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1、我方同意在投标人编制和提交投标文件须知规定的开标日期起遵守本投标书中的承诺且在投标有效期满之前均具有约束力。</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2、我方承诺已经具备《中华人民共和国政府采购法》中规定的参加政府采购活动的投标人应当具备的条件：</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(4)良好的资金、财务状况；</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(5)没有违反政府采购法规、政策的记录；</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(6)没有发生重大经济纠纷和走私犯罪记录。</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3、提供编制和提交投标文件须知规定的全部投标文件，包括一份电子加密标书（后缀格式为.jmbs），一份</w:t>
      </w:r>
      <w:r>
        <w:rPr>
          <w:rFonts w:hint="eastAsia" w:ascii="宋体" w:hAnsi="宋体" w:eastAsia="宋体" w:cs="宋体"/>
          <w:color w:val="auto"/>
          <w:highlight w:val="none"/>
          <w:lang w:eastAsia="zh-CN"/>
        </w:rPr>
        <w:t>备份投标文件</w:t>
      </w:r>
      <w:r>
        <w:rPr>
          <w:rFonts w:hint="eastAsia" w:ascii="宋体" w:hAnsi="宋体" w:eastAsia="宋体" w:cs="宋体"/>
          <w:color w:val="auto"/>
          <w:highlight w:val="none"/>
        </w:rPr>
        <w:t>（后缀格式为.bfbs）。具体内容为：</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(1)资格响应文件、商务技术响应文件、报价响应文件；</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(2)编制和提交投标文件须知要求投标人提交的全部文件；</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(3)按采购文件要求提供和交付的货物和服务的投标报价详见开标一览表；</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(4)保证忠实地执行双方所签订的合同，并承担合同规定的责任和义务；</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(5)保证遵守采购文件中的其他有关规定。</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5、我方愿意向贵方提供任何与该项投标有关的数据、情况和技术资料。若贵方需要，我方愿意提供我方作出的一切承诺的证明材料。</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6、我方已详细审核全部采购文件，包括采购文件修改书(如果有)、参考资料及有关附件，确认无误。</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b)采取不正当手段诋毁、排挤其他投标人的；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c)与采购人、其它投标人或者采购代理机构恶意串通的；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pPr>
        <w:pStyle w:val="23"/>
        <w:spacing w:line="420" w:lineRule="exact"/>
        <w:ind w:firstLine="420" w:firstLineChars="200"/>
        <w:rPr>
          <w:rFonts w:ascii="宋体" w:hAnsi="宋体" w:eastAsia="宋体" w:cs="宋体"/>
          <w:color w:val="auto"/>
          <w:highlight w:val="none"/>
        </w:rPr>
      </w:pP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法定代表人或授权委托人（签字或盖章）：___________</w:t>
      </w:r>
      <w:r>
        <w:rPr>
          <w:rFonts w:hint="eastAsia" w:ascii="宋体" w:hAnsi="宋体" w:eastAsia="宋体" w:cs="宋体"/>
          <w:color w:val="auto"/>
          <w:highlight w:val="none"/>
        </w:rPr>
        <w:tab/>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投标人（盖公章）：</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联系人：________联系电话</w:t>
      </w:r>
      <w:r>
        <w:rPr>
          <w:rFonts w:hint="eastAsia" w:ascii="宋体" w:hAnsi="宋体" w:eastAsia="宋体" w:cs="宋体"/>
          <w:color w:val="auto"/>
          <w:highlight w:val="none"/>
          <w:u w:val="single"/>
        </w:rPr>
        <w:t xml:space="preserve">：                 </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联系地址：_______________________________________</w:t>
      </w:r>
    </w:p>
    <w:p>
      <w:pPr>
        <w:pStyle w:val="23"/>
        <w:spacing w:line="42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传真号码</w:t>
      </w:r>
      <w:r>
        <w:rPr>
          <w:rFonts w:hint="eastAsia" w:ascii="宋体" w:hAnsi="宋体" w:eastAsia="宋体" w:cs="宋体"/>
          <w:color w:val="auto"/>
          <w:highlight w:val="none"/>
          <w:u w:val="single"/>
        </w:rPr>
        <w:t xml:space="preserve">：                     </w:t>
      </w:r>
    </w:p>
    <w:p>
      <w:pPr>
        <w:pStyle w:val="23"/>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邮箱：_________________________</w:t>
      </w:r>
    </w:p>
    <w:p>
      <w:pPr>
        <w:pStyle w:val="23"/>
        <w:jc w:val="right"/>
        <w:rPr>
          <w:rFonts w:ascii="宋体" w:hAnsi="宋体" w:eastAsia="宋体" w:cs="宋体"/>
          <w:color w:val="auto"/>
          <w:highlight w:val="none"/>
        </w:rPr>
      </w:pPr>
      <w:r>
        <w:rPr>
          <w:rFonts w:hint="eastAsia" w:ascii="宋体" w:hAnsi="宋体" w:eastAsia="宋体" w:cs="宋体"/>
          <w:color w:val="auto"/>
          <w:highlight w:val="none"/>
        </w:rPr>
        <w:t>日    期：年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月日</w:t>
      </w:r>
    </w:p>
    <w:p>
      <w:pPr>
        <w:adjustRightInd w:val="0"/>
        <w:snapToGrid w:val="0"/>
        <w:spacing w:line="360" w:lineRule="auto"/>
        <w:rPr>
          <w:rFonts w:hint="default" w:ascii="宋体" w:hAnsi="宋体" w:cs="宋体"/>
          <w:color w:val="auto"/>
          <w:highlight w:val="none"/>
        </w:rPr>
      </w:pPr>
    </w:p>
    <w:p>
      <w:pPr>
        <w:pStyle w:val="18"/>
        <w:rPr>
          <w:rFonts w:hint="default" w:ascii="宋体" w:hAnsi="宋体" w:cs="宋体"/>
          <w:color w:val="auto"/>
          <w:highlight w:val="none"/>
        </w:rPr>
      </w:pPr>
    </w:p>
    <w:p>
      <w:pPr>
        <w:autoSpaceDE w:val="0"/>
        <w:autoSpaceDN w:val="0"/>
        <w:adjustRightInd w:val="0"/>
        <w:spacing w:line="360" w:lineRule="auto"/>
        <w:rPr>
          <w:rFonts w:hint="default" w:ascii="宋体" w:hAnsi="宋体" w:cs="宋体"/>
          <w:b/>
          <w:color w:val="auto"/>
          <w:szCs w:val="21"/>
          <w:highlight w:val="none"/>
        </w:rPr>
        <w:sectPr>
          <w:pgSz w:w="11906" w:h="16838"/>
          <w:pgMar w:top="1247" w:right="1588" w:bottom="1089" w:left="1588" w:header="851" w:footer="992" w:gutter="0"/>
          <w:cols w:space="720" w:num="1"/>
          <w:docGrid w:linePitch="312" w:charSpace="0"/>
        </w:sectPr>
      </w:pPr>
    </w:p>
    <w:p>
      <w:pPr>
        <w:adjustRightInd w:val="0"/>
        <w:snapToGrid w:val="0"/>
        <w:spacing w:beforeLines="50" w:line="360" w:lineRule="auto"/>
        <w:rPr>
          <w:rFonts w:hint="default" w:ascii="宋体" w:hAnsi="宋体" w:cs="宋体"/>
          <w:b/>
          <w:color w:val="auto"/>
          <w:highlight w:val="none"/>
        </w:rPr>
      </w:pPr>
      <w:r>
        <w:rPr>
          <w:rFonts w:ascii="宋体" w:hAnsi="宋体" w:cs="宋体"/>
          <w:b/>
          <w:color w:val="auto"/>
          <w:highlight w:val="none"/>
        </w:rPr>
        <w:t>3.3法定代表人授权委托书</w:t>
      </w:r>
    </w:p>
    <w:p>
      <w:pPr>
        <w:adjustRightInd w:val="0"/>
        <w:spacing w:line="360" w:lineRule="auto"/>
        <w:jc w:val="center"/>
        <w:rPr>
          <w:rFonts w:hint="default" w:ascii="宋体" w:hAnsi="宋体" w:cs="宋体"/>
          <w:b/>
          <w:bCs/>
          <w:snapToGrid w:val="0"/>
          <w:color w:val="auto"/>
          <w:kern w:val="0"/>
          <w:sz w:val="28"/>
          <w:szCs w:val="28"/>
          <w:highlight w:val="none"/>
        </w:rPr>
      </w:pPr>
    </w:p>
    <w:p>
      <w:pPr>
        <w:adjustRightInd w:val="0"/>
        <w:spacing w:line="360" w:lineRule="auto"/>
        <w:jc w:val="center"/>
        <w:rPr>
          <w:rFonts w:hint="default" w:ascii="宋体" w:hAnsi="宋体" w:cs="宋体"/>
          <w:b/>
          <w:snapToGrid w:val="0"/>
          <w:color w:val="auto"/>
          <w:kern w:val="0"/>
          <w:sz w:val="28"/>
          <w:szCs w:val="28"/>
          <w:highlight w:val="none"/>
        </w:rPr>
      </w:pPr>
      <w:r>
        <w:rPr>
          <w:rFonts w:ascii="宋体" w:hAnsi="宋体" w:cs="宋体"/>
          <w:b/>
          <w:bCs/>
          <w:snapToGrid w:val="0"/>
          <w:color w:val="auto"/>
          <w:kern w:val="0"/>
          <w:sz w:val="28"/>
          <w:szCs w:val="28"/>
          <w:highlight w:val="none"/>
        </w:rPr>
        <w:t>法定代表人授权委托书</w:t>
      </w:r>
    </w:p>
    <w:p>
      <w:pPr>
        <w:adjustRightInd w:val="0"/>
        <w:spacing w:line="360" w:lineRule="auto"/>
        <w:jc w:val="left"/>
        <w:rPr>
          <w:rFonts w:hint="default" w:ascii="宋体" w:hAnsi="宋体" w:cs="宋体"/>
          <w:b/>
          <w:snapToGrid w:val="0"/>
          <w:color w:val="auto"/>
          <w:kern w:val="0"/>
          <w:sz w:val="32"/>
          <w:highlight w:val="none"/>
        </w:rPr>
      </w:pPr>
    </w:p>
    <w:p>
      <w:pPr>
        <w:adjustRightInd w:val="0"/>
        <w:spacing w:line="480" w:lineRule="auto"/>
        <w:ind w:left="4" w:firstLine="455" w:firstLineChars="217"/>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我 </w:t>
      </w:r>
      <w:r>
        <w:rPr>
          <w:rFonts w:ascii="宋体" w:hAnsi="宋体" w:cs="宋体"/>
          <w:snapToGrid w:val="0"/>
          <w:color w:val="auto"/>
          <w:kern w:val="0"/>
          <w:szCs w:val="21"/>
          <w:highlight w:val="none"/>
          <w:u w:val="single"/>
        </w:rPr>
        <w:t>（姓名）</w:t>
      </w:r>
      <w:r>
        <w:rPr>
          <w:rFonts w:ascii="宋体" w:hAnsi="宋体" w:cs="宋体"/>
          <w:snapToGrid w:val="0"/>
          <w:color w:val="auto"/>
          <w:kern w:val="0"/>
          <w:szCs w:val="21"/>
          <w:highlight w:val="none"/>
        </w:rPr>
        <w:t>系</w:t>
      </w:r>
      <w:r>
        <w:rPr>
          <w:rFonts w:ascii="宋体" w:hAnsi="宋体" w:cs="宋体"/>
          <w:snapToGrid w:val="0"/>
          <w:color w:val="auto"/>
          <w:kern w:val="0"/>
          <w:szCs w:val="21"/>
          <w:highlight w:val="none"/>
          <w:u w:val="single"/>
        </w:rPr>
        <w:t>（投标人名称）</w:t>
      </w:r>
      <w:r>
        <w:rPr>
          <w:rFonts w:ascii="宋体" w:hAnsi="宋体" w:cs="宋体"/>
          <w:snapToGrid w:val="0"/>
          <w:color w:val="auto"/>
          <w:kern w:val="0"/>
          <w:szCs w:val="21"/>
          <w:highlight w:val="none"/>
        </w:rPr>
        <w:t>的法定代表人，现授权委托</w:t>
      </w:r>
      <w:r>
        <w:rPr>
          <w:rFonts w:ascii="宋体" w:hAnsi="宋体" w:cs="宋体"/>
          <w:snapToGrid w:val="0"/>
          <w:color w:val="auto"/>
          <w:kern w:val="0"/>
          <w:szCs w:val="21"/>
          <w:highlight w:val="none"/>
          <w:u w:val="single"/>
        </w:rPr>
        <w:t>（姓名、身份证号）</w:t>
      </w:r>
      <w:r>
        <w:rPr>
          <w:rFonts w:ascii="宋体" w:hAnsi="宋体" w:cs="宋体"/>
          <w:snapToGrid w:val="0"/>
          <w:color w:val="auto"/>
          <w:kern w:val="0"/>
          <w:szCs w:val="21"/>
          <w:highlight w:val="none"/>
        </w:rPr>
        <w:t>为我公司授权代表，以本公司的名义参加</w:t>
      </w:r>
      <w:r>
        <w:rPr>
          <w:rFonts w:ascii="宋体" w:hAnsi="宋体" w:cs="宋体"/>
          <w:snapToGrid w:val="0"/>
          <w:color w:val="auto"/>
          <w:kern w:val="0"/>
          <w:szCs w:val="21"/>
          <w:highlight w:val="none"/>
          <w:u w:val="single"/>
        </w:rPr>
        <w:t xml:space="preserve">   （采购人）    </w:t>
      </w:r>
      <w:r>
        <w:rPr>
          <w:rFonts w:ascii="宋体" w:hAnsi="宋体" w:cs="宋体"/>
          <w:snapToGrid w:val="0"/>
          <w:color w:val="auto"/>
          <w:kern w:val="0"/>
          <w:szCs w:val="21"/>
          <w:highlight w:val="none"/>
        </w:rPr>
        <w:t>的 项目的投标活动。授权代表在开标、评标、合同谈判过程中所签署的一切文件和处理与之有关的一切事务，我均予以承认。</w:t>
      </w:r>
    </w:p>
    <w:p>
      <w:pPr>
        <w:adjustRightInd w:val="0"/>
        <w:spacing w:line="480" w:lineRule="auto"/>
        <w:ind w:firstLine="420" w:firstLineChars="2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授权代表无权转委托。特此委托。</w:t>
      </w:r>
    </w:p>
    <w:p>
      <w:pPr>
        <w:spacing w:line="360" w:lineRule="auto"/>
        <w:ind w:right="1800" w:firstLine="3570" w:firstLineChars="170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投标人：（盖公章）       </w:t>
      </w:r>
    </w:p>
    <w:p>
      <w:pPr>
        <w:autoSpaceDE w:val="0"/>
        <w:autoSpaceDN w:val="0"/>
        <w:adjustRightInd w:val="0"/>
        <w:spacing w:line="360" w:lineRule="auto"/>
        <w:ind w:right="42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法定代表人（签字或盖章） </w:t>
      </w:r>
    </w:p>
    <w:p>
      <w:pPr>
        <w:autoSpaceDE w:val="0"/>
        <w:autoSpaceDN w:val="0"/>
        <w:adjustRightInd w:val="0"/>
        <w:spacing w:line="360" w:lineRule="auto"/>
        <w:ind w:right="42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法定代表人身份证号码：</w:t>
      </w:r>
    </w:p>
    <w:p>
      <w:pPr>
        <w:autoSpaceDE w:val="0"/>
        <w:autoSpaceDN w:val="0"/>
        <w:adjustRightInd w:val="0"/>
        <w:spacing w:line="360" w:lineRule="auto"/>
        <w:ind w:right="42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授权代表（签字或盖章） </w:t>
      </w:r>
    </w:p>
    <w:p>
      <w:pPr>
        <w:autoSpaceDE w:val="0"/>
        <w:autoSpaceDN w:val="0"/>
        <w:adjustRightInd w:val="0"/>
        <w:spacing w:line="360" w:lineRule="auto"/>
        <w:ind w:right="42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授权代表身份证号码：</w:t>
      </w:r>
    </w:p>
    <w:p>
      <w:pPr>
        <w:autoSpaceDE w:val="0"/>
        <w:autoSpaceDN w:val="0"/>
        <w:adjustRightInd w:val="0"/>
        <w:spacing w:line="360" w:lineRule="auto"/>
        <w:ind w:right="420"/>
        <w:rPr>
          <w:rFonts w:hint="default" w:ascii="宋体" w:hAnsi="宋体" w:cs="宋体"/>
          <w:snapToGrid w:val="0"/>
          <w:color w:val="auto"/>
          <w:kern w:val="0"/>
          <w:szCs w:val="21"/>
          <w:highlight w:val="none"/>
        </w:rPr>
      </w:pPr>
    </w:p>
    <w:p>
      <w:pPr>
        <w:autoSpaceDE w:val="0"/>
        <w:autoSpaceDN w:val="0"/>
        <w:adjustRightInd w:val="0"/>
        <w:spacing w:line="360" w:lineRule="auto"/>
        <w:ind w:right="420"/>
        <w:jc w:val="center"/>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年    月    日</w:t>
      </w:r>
    </w:p>
    <w:p>
      <w:pPr>
        <w:autoSpaceDE w:val="0"/>
        <w:autoSpaceDN w:val="0"/>
        <w:adjustRightInd w:val="0"/>
        <w:snapToGrid w:val="0"/>
        <w:spacing w:line="360" w:lineRule="auto"/>
        <w:ind w:right="420"/>
        <w:rPr>
          <w:rFonts w:hint="default" w:ascii="宋体" w:hAnsi="宋体" w:cs="宋体"/>
          <w:b/>
          <w:snapToGrid w:val="0"/>
          <w:color w:val="auto"/>
          <w:kern w:val="0"/>
          <w:szCs w:val="21"/>
          <w:highlight w:val="none"/>
        </w:rPr>
      </w:pPr>
      <w:r>
        <w:rPr>
          <w:rFonts w:ascii="宋体" w:hAnsi="宋体" w:cs="宋体"/>
          <w:b/>
          <w:snapToGrid w:val="0"/>
          <w:color w:val="auto"/>
          <w:kern w:val="0"/>
          <w:szCs w:val="21"/>
          <w:highlight w:val="none"/>
        </w:rPr>
        <w:t>附：法定代表人和授权代表的身份证复印件。（正反面）</w:t>
      </w:r>
    </w:p>
    <w:p>
      <w:pPr>
        <w:pStyle w:val="2"/>
        <w:ind w:firstLine="0"/>
        <w:rPr>
          <w:rFonts w:ascii="宋体" w:hAnsi="宋体" w:eastAsia="宋体" w:cs="宋体"/>
          <w:color w:val="auto"/>
          <w:highlight w:val="none"/>
        </w:rPr>
      </w:pPr>
      <w:r>
        <w:rPr>
          <w:rFonts w:hint="eastAsia" w:ascii="宋体" w:hAnsi="宋体" w:eastAsia="宋体" w:cs="宋体"/>
          <w:color w:val="auto"/>
          <w:highlight w:val="none"/>
        </w:rPr>
        <w:br w:type="page"/>
      </w:r>
      <w:bookmarkStart w:id="229" w:name="_Toc449276285"/>
      <w:bookmarkStart w:id="230" w:name="_Toc8110"/>
      <w:bookmarkStart w:id="231" w:name="_Toc453178067"/>
      <w:bookmarkStart w:id="232" w:name="_Toc452660112"/>
      <w:r>
        <w:rPr>
          <w:rFonts w:hint="eastAsia" w:ascii="宋体" w:hAnsi="宋体" w:eastAsia="宋体" w:cs="宋体"/>
          <w:color w:val="auto"/>
          <w:highlight w:val="none"/>
        </w:rPr>
        <w:t>3.</w:t>
      </w:r>
      <w:bookmarkEnd w:id="229"/>
      <w:bookmarkEnd w:id="230"/>
      <w:bookmarkEnd w:id="231"/>
      <w:bookmarkEnd w:id="232"/>
      <w:r>
        <w:rPr>
          <w:rFonts w:hint="eastAsia" w:ascii="宋体" w:hAnsi="宋体" w:eastAsia="宋体" w:cs="宋体"/>
          <w:color w:val="auto"/>
          <w:highlight w:val="none"/>
        </w:rPr>
        <w:t>4 中标服务结算信息表</w:t>
      </w:r>
    </w:p>
    <w:p>
      <w:pPr>
        <w:rPr>
          <w:rFonts w:hint="default" w:ascii="宋体" w:hAnsi="宋体" w:cs="宋体"/>
          <w:color w:val="auto"/>
          <w:highlight w:val="none"/>
        </w:rPr>
      </w:pPr>
    </w:p>
    <w:p>
      <w:pPr>
        <w:spacing w:line="360" w:lineRule="auto"/>
        <w:rPr>
          <w:rFonts w:hint="default" w:ascii="宋体" w:hAnsi="宋体" w:cs="宋体"/>
          <w:color w:val="auto"/>
          <w:highlight w:val="none"/>
        </w:rPr>
      </w:pPr>
    </w:p>
    <w:p>
      <w:pPr>
        <w:autoSpaceDE w:val="0"/>
        <w:autoSpaceDN w:val="0"/>
        <w:adjustRightInd w:val="0"/>
        <w:snapToGrid w:val="0"/>
        <w:spacing w:line="360" w:lineRule="auto"/>
        <w:jc w:val="center"/>
        <w:rPr>
          <w:rFonts w:hint="default" w:ascii="宋体" w:hAnsi="宋体" w:cs="宋体"/>
          <w:b/>
          <w:bCs/>
          <w:color w:val="auto"/>
          <w:sz w:val="32"/>
          <w:szCs w:val="32"/>
          <w:highlight w:val="none"/>
        </w:rPr>
      </w:pPr>
      <w:bookmarkStart w:id="233" w:name="_Toc8503_WPSOffice_Level1"/>
      <w:r>
        <w:rPr>
          <w:rFonts w:ascii="宋体" w:hAnsi="宋体" w:cs="宋体"/>
          <w:b/>
          <w:bCs/>
          <w:color w:val="auto"/>
          <w:sz w:val="32"/>
          <w:szCs w:val="32"/>
          <w:highlight w:val="none"/>
        </w:rPr>
        <w:t>中标服务费结算信息表</w:t>
      </w:r>
      <w:bookmarkEnd w:id="23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投标人名称</w:t>
            </w:r>
          </w:p>
        </w:tc>
        <w:tc>
          <w:tcPr>
            <w:tcW w:w="5598" w:type="dxa"/>
          </w:tcPr>
          <w:p>
            <w:pPr>
              <w:autoSpaceDE w:val="0"/>
              <w:autoSpaceDN w:val="0"/>
              <w:adjustRightInd w:val="0"/>
              <w:snapToGrid w:val="0"/>
              <w:spacing w:line="360" w:lineRule="auto"/>
              <w:rPr>
                <w:rFonts w:hint="default"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项目编号</w:t>
            </w:r>
          </w:p>
        </w:tc>
        <w:tc>
          <w:tcPr>
            <w:tcW w:w="5598" w:type="dxa"/>
          </w:tcPr>
          <w:p>
            <w:pPr>
              <w:autoSpaceDE w:val="0"/>
              <w:autoSpaceDN w:val="0"/>
              <w:adjustRightInd w:val="0"/>
              <w:snapToGrid w:val="0"/>
              <w:spacing w:line="360" w:lineRule="auto"/>
              <w:rPr>
                <w:rFonts w:hint="default"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若中标，中标服务费发票类型</w:t>
            </w:r>
          </w:p>
        </w:tc>
        <w:tc>
          <w:tcPr>
            <w:tcW w:w="5598" w:type="dxa"/>
          </w:tcPr>
          <w:p>
            <w:pPr>
              <w:autoSpaceDE w:val="0"/>
              <w:autoSpaceDN w:val="0"/>
              <w:adjustRightInd w:val="0"/>
              <w:snapToGrid w:val="0"/>
              <w:spacing w:line="360" w:lineRule="auto"/>
              <w:rPr>
                <w:rFonts w:hint="default" w:ascii="宋体" w:hAnsi="宋体" w:cs="宋体"/>
                <w:bCs/>
                <w:color w:val="auto"/>
                <w:sz w:val="24"/>
                <w:highlight w:val="none"/>
              </w:rPr>
            </w:pPr>
            <w:r>
              <w:rPr>
                <w:rFonts w:ascii="宋体" w:hAnsi="宋体" w:cs="宋体"/>
                <w:bCs/>
                <w:color w:val="auto"/>
                <w:sz w:val="24"/>
                <w:highlight w:val="none"/>
              </w:rPr>
              <w:t>（）增值税普通发票</w:t>
            </w:r>
          </w:p>
          <w:p>
            <w:pPr>
              <w:autoSpaceDE w:val="0"/>
              <w:autoSpaceDN w:val="0"/>
              <w:adjustRightInd w:val="0"/>
              <w:snapToGrid w:val="0"/>
              <w:spacing w:line="360" w:lineRule="auto"/>
              <w:rPr>
                <w:rFonts w:hint="default" w:ascii="宋体" w:hAnsi="宋体" w:cs="宋体"/>
                <w:bCs/>
                <w:color w:val="auto"/>
                <w:sz w:val="24"/>
                <w:highlight w:val="none"/>
              </w:rPr>
            </w:pPr>
            <w:r>
              <w:rPr>
                <w:rFonts w:ascii="宋体" w:hAnsi="宋体" w:cs="宋体"/>
                <w:bCs/>
                <w:color w:val="auto"/>
                <w:sz w:val="24"/>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开票信息</w:t>
            </w:r>
          </w:p>
          <w:p>
            <w:pPr>
              <w:autoSpaceDE w:val="0"/>
              <w:autoSpaceDN w:val="0"/>
              <w:adjustRightInd w:val="0"/>
              <w:snapToGrid w:val="0"/>
              <w:spacing w:line="360" w:lineRule="auto"/>
              <w:jc w:val="center"/>
              <w:rPr>
                <w:rFonts w:hint="default" w:ascii="宋体" w:hAnsi="宋体" w:cs="宋体"/>
                <w:bCs/>
                <w:color w:val="auto"/>
                <w:sz w:val="24"/>
                <w:highlight w:val="none"/>
              </w:rPr>
            </w:pPr>
            <w:r>
              <w:rPr>
                <w:rFonts w:ascii="宋体" w:hAnsi="宋体" w:cs="宋体"/>
                <w:bCs/>
                <w:color w:val="auto"/>
                <w:sz w:val="24"/>
                <w:highlight w:val="none"/>
              </w:rPr>
              <w:t>（普通发票只需要提供纳税识别号，专用发票需要财务确认过的开票信息）</w:t>
            </w:r>
          </w:p>
        </w:tc>
        <w:tc>
          <w:tcPr>
            <w:tcW w:w="5598" w:type="dxa"/>
          </w:tcPr>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纳税识别号：</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（税务部门备案的）地址：</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（税务部门备案的）电话：</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开户行：</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rPr>
                <w:rFonts w:hint="default" w:ascii="宋体" w:hAnsi="宋体" w:cs="宋体"/>
                <w:bCs/>
                <w:color w:val="auto"/>
                <w:sz w:val="24"/>
                <w:highlight w:val="none"/>
              </w:rPr>
            </w:pPr>
            <w:r>
              <w:rPr>
                <w:rFonts w:ascii="宋体" w:hAnsi="宋体" w:cs="宋体"/>
                <w:bCs/>
                <w:color w:val="auto"/>
                <w:sz w:val="24"/>
                <w:highlight w:val="none"/>
              </w:rPr>
              <w:t>若中标，服务费发票快递接收地址、联系人、电话</w:t>
            </w:r>
          </w:p>
        </w:tc>
        <w:tc>
          <w:tcPr>
            <w:tcW w:w="5598" w:type="dxa"/>
          </w:tcPr>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地址：</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收件人：</w:t>
            </w:r>
          </w:p>
          <w:p>
            <w:pPr>
              <w:autoSpaceDE w:val="0"/>
              <w:autoSpaceDN w:val="0"/>
              <w:adjustRightInd w:val="0"/>
              <w:snapToGri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电话：</w:t>
            </w:r>
          </w:p>
        </w:tc>
      </w:tr>
    </w:tbl>
    <w:p>
      <w:pPr>
        <w:autoSpaceDE w:val="0"/>
        <w:autoSpaceDN w:val="0"/>
        <w:adjustRightInd w:val="0"/>
        <w:snapToGrid w:val="0"/>
        <w:spacing w:line="360" w:lineRule="auto"/>
        <w:rPr>
          <w:rFonts w:hint="default" w:ascii="宋体" w:hAnsi="宋体" w:cs="宋体"/>
          <w:b/>
          <w:bCs/>
          <w:color w:val="auto"/>
          <w:szCs w:val="21"/>
          <w:highlight w:val="none"/>
        </w:rPr>
      </w:pPr>
    </w:p>
    <w:p>
      <w:pPr>
        <w:autoSpaceDE w:val="0"/>
        <w:autoSpaceDN w:val="0"/>
        <w:adjustRightInd w:val="0"/>
        <w:spacing w:line="360" w:lineRule="auto"/>
        <w:rPr>
          <w:rFonts w:hint="default" w:ascii="宋体" w:hAnsi="宋体" w:cs="宋体"/>
          <w:b/>
          <w:color w:val="auto"/>
          <w:szCs w:val="21"/>
          <w:highlight w:val="none"/>
        </w:rPr>
      </w:pPr>
      <w:r>
        <w:rPr>
          <w:rFonts w:ascii="宋体" w:hAnsi="宋体" w:cs="宋体"/>
          <w:b/>
          <w:bCs/>
          <w:color w:val="auto"/>
          <w:sz w:val="24"/>
          <w:highlight w:val="none"/>
        </w:rPr>
        <w:t>请将此表填好后仔细核对，务必准确。 填完后发送至laoyaomm@126.com。邮件名称请注明单位名称。</w:t>
      </w:r>
      <w:r>
        <w:rPr>
          <w:rFonts w:ascii="宋体" w:hAnsi="宋体" w:cs="宋体"/>
          <w:color w:val="auto"/>
          <w:highlight w:val="none"/>
        </w:rPr>
        <w:br w:type="page"/>
      </w:r>
      <w:r>
        <w:rPr>
          <w:rFonts w:ascii="宋体" w:hAnsi="宋体" w:cs="宋体"/>
          <w:b/>
          <w:color w:val="auto"/>
          <w:szCs w:val="21"/>
          <w:highlight w:val="none"/>
        </w:rPr>
        <w:t>3.5投标人基本情况</w:t>
      </w:r>
    </w:p>
    <w:p>
      <w:pPr>
        <w:spacing w:line="240" w:lineRule="atLeast"/>
        <w:jc w:val="center"/>
        <w:rPr>
          <w:rFonts w:hint="default" w:ascii="宋体" w:hAnsi="宋体" w:cs="宋体"/>
          <w:b/>
          <w:color w:val="auto"/>
          <w:sz w:val="32"/>
          <w:szCs w:val="32"/>
          <w:highlight w:val="none"/>
        </w:rPr>
      </w:pPr>
      <w:r>
        <w:rPr>
          <w:rFonts w:ascii="宋体" w:hAnsi="宋体" w:cs="宋体"/>
          <w:b/>
          <w:color w:val="auto"/>
          <w:sz w:val="32"/>
          <w:szCs w:val="32"/>
          <w:highlight w:val="none"/>
        </w:rPr>
        <w:t>投标人基本情况表</w:t>
      </w:r>
    </w:p>
    <w:p>
      <w:pPr>
        <w:spacing w:line="240" w:lineRule="atLeast"/>
        <w:ind w:firstLine="2233" w:firstLineChars="695"/>
        <w:rPr>
          <w:rFonts w:hint="default" w:ascii="宋体" w:hAnsi="宋体" w:cs="宋体"/>
          <w:b/>
          <w:color w:val="auto"/>
          <w:sz w:val="32"/>
          <w:szCs w:val="32"/>
          <w:highlight w:val="none"/>
        </w:rPr>
      </w:pPr>
    </w:p>
    <w:tbl>
      <w:tblPr>
        <w:tblStyle w:val="43"/>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企业资质</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hint="default" w:ascii="宋体" w:hAnsi="宋体" w:cs="宋体"/>
                <w:color w:val="auto"/>
                <w:highlight w:val="none"/>
              </w:rPr>
            </w:pPr>
            <w:r>
              <w:rPr>
                <w:rFonts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hint="default" w:ascii="宋体" w:hAnsi="宋体" w:cs="宋体"/>
                <w:color w:val="auto"/>
                <w:highlight w:val="none"/>
              </w:rPr>
            </w:pPr>
            <w:r>
              <w:rPr>
                <w:rFonts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技术负责人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地址</w:t>
            </w:r>
          </w:p>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邮编:</w:t>
            </w:r>
          </w:p>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 xml:space="preserve">电话:  </w:t>
            </w:r>
          </w:p>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开户银行</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r>
              <w:rPr>
                <w:rFonts w:ascii="宋体" w:hAnsi="宋体" w:cs="宋体"/>
                <w:color w:val="auto"/>
                <w:highlight w:val="none"/>
              </w:rPr>
              <w:t xml:space="preserve">名称:                      账号:          </w:t>
            </w:r>
          </w:p>
        </w:tc>
      </w:tr>
      <w:tr>
        <w:tblPrEx>
          <w:tblCellMar>
            <w:top w:w="0" w:type="dxa"/>
            <w:left w:w="28" w:type="dxa"/>
            <w:bottom w:w="0" w:type="dxa"/>
            <w:right w:w="28" w:type="dxa"/>
          </w:tblCellMar>
        </w:tblPrEx>
        <w:trPr>
          <w:cantSplit/>
          <w:trHeight w:val="5279" w:hRule="atLeas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hint="default" w:ascii="宋体" w:hAnsi="宋体" w:cs="宋体"/>
                <w:color w:val="auto"/>
                <w:highlight w:val="none"/>
              </w:rPr>
            </w:pPr>
          </w:p>
          <w:p>
            <w:pPr>
              <w:widowControl/>
              <w:autoSpaceDE w:val="0"/>
              <w:autoSpaceDN w:val="0"/>
              <w:spacing w:line="440" w:lineRule="atLeast"/>
              <w:ind w:left="105"/>
              <w:jc w:val="center"/>
              <w:textAlignment w:val="bottom"/>
              <w:rPr>
                <w:rFonts w:hint="default" w:ascii="宋体" w:hAnsi="宋体" w:cs="宋体"/>
                <w:color w:val="auto"/>
                <w:highlight w:val="none"/>
              </w:rPr>
            </w:pPr>
          </w:p>
          <w:p>
            <w:pPr>
              <w:widowControl/>
              <w:autoSpaceDE w:val="0"/>
              <w:autoSpaceDN w:val="0"/>
              <w:spacing w:line="440" w:lineRule="atLeast"/>
              <w:ind w:left="105"/>
              <w:jc w:val="center"/>
              <w:textAlignment w:val="bottom"/>
              <w:rPr>
                <w:rFonts w:hint="default" w:ascii="宋体" w:hAnsi="宋体" w:cs="宋体"/>
                <w:color w:val="auto"/>
                <w:highlight w:val="none"/>
              </w:rPr>
            </w:pPr>
          </w:p>
          <w:p>
            <w:pPr>
              <w:widowControl/>
              <w:autoSpaceDE w:val="0"/>
              <w:autoSpaceDN w:val="0"/>
              <w:spacing w:line="440" w:lineRule="atLeast"/>
              <w:textAlignment w:val="bottom"/>
              <w:rPr>
                <w:rFonts w:hint="default" w:ascii="宋体" w:hAnsi="宋体" w:cs="宋体"/>
                <w:color w:val="auto"/>
                <w:highlight w:val="none"/>
              </w:rPr>
            </w:pPr>
          </w:p>
          <w:p>
            <w:pPr>
              <w:widowControl/>
              <w:autoSpaceDE w:val="0"/>
              <w:autoSpaceDN w:val="0"/>
              <w:spacing w:line="440" w:lineRule="atLeast"/>
              <w:ind w:left="105"/>
              <w:jc w:val="center"/>
              <w:textAlignment w:val="bottom"/>
              <w:rPr>
                <w:rFonts w:hint="default" w:ascii="宋体" w:hAnsi="宋体" w:cs="宋体"/>
                <w:color w:val="auto"/>
                <w:highlight w:val="none"/>
              </w:rPr>
            </w:pPr>
          </w:p>
          <w:p>
            <w:pPr>
              <w:widowControl/>
              <w:autoSpaceDE w:val="0"/>
              <w:autoSpaceDN w:val="0"/>
              <w:spacing w:line="440" w:lineRule="atLeast"/>
              <w:ind w:left="105"/>
              <w:jc w:val="center"/>
              <w:textAlignment w:val="bottom"/>
              <w:rPr>
                <w:rFonts w:hint="default" w:ascii="宋体" w:hAnsi="宋体" w:cs="宋体"/>
                <w:color w:val="auto"/>
                <w:highlight w:val="none"/>
              </w:rPr>
            </w:pPr>
          </w:p>
          <w:p>
            <w:pPr>
              <w:widowControl/>
              <w:autoSpaceDE w:val="0"/>
              <w:autoSpaceDN w:val="0"/>
              <w:spacing w:line="440" w:lineRule="atLeast"/>
              <w:ind w:left="105"/>
              <w:jc w:val="center"/>
              <w:textAlignment w:val="bottom"/>
              <w:rPr>
                <w:rFonts w:hint="default" w:ascii="宋体" w:hAnsi="宋体" w:cs="宋体"/>
                <w:color w:val="auto"/>
                <w:highlight w:val="none"/>
              </w:rPr>
            </w:pPr>
            <w:r>
              <w:rPr>
                <w:rFonts w:ascii="宋体" w:hAnsi="宋体" w:cs="宋体"/>
                <w:color w:val="auto"/>
                <w:highlight w:val="none"/>
              </w:rPr>
              <w:t>组织机构框图</w:t>
            </w:r>
          </w:p>
          <w:p>
            <w:pPr>
              <w:widowControl/>
              <w:autoSpaceDE w:val="0"/>
              <w:autoSpaceDN w:val="0"/>
              <w:spacing w:line="440" w:lineRule="atLeast"/>
              <w:ind w:left="105"/>
              <w:jc w:val="center"/>
              <w:textAlignment w:val="bottom"/>
              <w:rPr>
                <w:rFonts w:hint="default" w:ascii="宋体" w:hAnsi="宋体" w:cs="宋体"/>
                <w:color w:val="auto"/>
                <w:highlight w:val="none"/>
              </w:rPr>
            </w:pPr>
          </w:p>
          <w:p>
            <w:pPr>
              <w:autoSpaceDE w:val="0"/>
              <w:autoSpaceDN w:val="0"/>
              <w:spacing w:line="440" w:lineRule="atLeast"/>
              <w:ind w:left="105"/>
              <w:textAlignment w:val="bottom"/>
              <w:rPr>
                <w:rFonts w:hint="default" w:ascii="宋体" w:hAnsi="宋体" w:cs="宋体"/>
                <w:color w:val="auto"/>
                <w:highlight w:val="none"/>
              </w:rPr>
            </w:pP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hint="default" w:ascii="宋体" w:hAnsi="宋体" w:cs="宋体"/>
                <w:color w:val="auto"/>
                <w:highlight w:val="none"/>
              </w:rPr>
            </w:pPr>
          </w:p>
        </w:tc>
      </w:tr>
    </w:tbl>
    <w:p>
      <w:pPr>
        <w:spacing w:line="360" w:lineRule="auto"/>
        <w:ind w:left="630" w:hanging="630" w:hangingChars="300"/>
        <w:rPr>
          <w:rFonts w:hint="default" w:ascii="宋体" w:hAnsi="宋体" w:cs="宋体"/>
          <w:color w:val="auto"/>
          <w:highlight w:val="none"/>
        </w:rPr>
      </w:pPr>
    </w:p>
    <w:p>
      <w:pPr>
        <w:autoSpaceDE w:val="0"/>
        <w:autoSpaceDN w:val="0"/>
        <w:adjustRightInd w:val="0"/>
        <w:spacing w:line="360" w:lineRule="auto"/>
        <w:rPr>
          <w:rFonts w:hint="default" w:ascii="宋体" w:hAnsi="宋体" w:cs="宋体"/>
          <w:b/>
          <w:color w:val="auto"/>
          <w:sz w:val="24"/>
          <w:highlight w:val="none"/>
        </w:rPr>
      </w:pPr>
      <w:r>
        <w:rPr>
          <w:rFonts w:ascii="宋体" w:hAnsi="宋体" w:cs="宋体"/>
          <w:b/>
          <w:color w:val="auto"/>
          <w:highlight w:val="none"/>
        </w:rPr>
        <w:br w:type="page"/>
      </w:r>
      <w:r>
        <w:rPr>
          <w:rFonts w:ascii="宋体" w:hAnsi="宋体" w:cs="宋体"/>
          <w:b/>
          <w:color w:val="auto"/>
          <w:highlight w:val="none"/>
        </w:rPr>
        <w:t>3.6廉政承诺书</w:t>
      </w:r>
    </w:p>
    <w:p>
      <w:pPr>
        <w:autoSpaceDE w:val="0"/>
        <w:autoSpaceDN w:val="0"/>
        <w:adjustRightInd w:val="0"/>
        <w:spacing w:line="36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廉 政 承 诺 书</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snapToGrid w:val="0"/>
          <w:color w:val="auto"/>
          <w:kern w:val="0"/>
          <w:highlight w:val="none"/>
          <w:u w:val="single"/>
        </w:rPr>
        <w:t>杭州市质量技术监督检测院</w:t>
      </w:r>
      <w:r>
        <w:rPr>
          <w:rFonts w:ascii="宋体" w:hAnsi="宋体" w:cs="宋体"/>
          <w:bCs/>
          <w:color w:val="auto"/>
          <w:szCs w:val="21"/>
          <w:highlight w:val="none"/>
        </w:rPr>
        <w:t>：</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二、不为项目有关人员及部门报销应由你方单位或个人支付的费用；</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四、不为项目有关人员及部门出国（境）、旅游等提供方便；</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五、不为项目有关人员个人装修住房、婚丧嫁娶、配偶子女工作安排等提供好处； </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六、严格遵守政府采购法、民法典等法律，诚实守信，合法经营，坚决抵制各种违法违纪行为。</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    如违反上述承诺，你单位有权立即取消我单位应标、中标或在建项目的资格，有权拒绝我单位在一定时期内进入你单位进行工程建设或其他经营活动，并通报政府采购监督管理部门。由此引起的相应损失均由我单位承担。</w:t>
      </w:r>
    </w:p>
    <w:p>
      <w:pPr>
        <w:autoSpaceDE w:val="0"/>
        <w:autoSpaceDN w:val="0"/>
        <w:adjustRightInd w:val="0"/>
        <w:spacing w:line="360" w:lineRule="auto"/>
        <w:rPr>
          <w:rFonts w:hint="default" w:ascii="宋体" w:hAnsi="宋体" w:cs="宋体"/>
          <w:bCs/>
          <w:color w:val="auto"/>
          <w:szCs w:val="21"/>
          <w:highlight w:val="none"/>
        </w:rPr>
      </w:pPr>
    </w:p>
    <w:p>
      <w:pPr>
        <w:autoSpaceDE w:val="0"/>
        <w:autoSpaceDN w:val="0"/>
        <w:adjustRightInd w:val="0"/>
        <w:spacing w:line="360" w:lineRule="auto"/>
        <w:rPr>
          <w:rFonts w:hint="default" w:ascii="宋体" w:hAnsi="宋体" w:cs="宋体"/>
          <w:bCs/>
          <w:color w:val="auto"/>
          <w:szCs w:val="21"/>
          <w:highlight w:val="none"/>
        </w:rPr>
      </w:pP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投标人（盖公章）：                </w:t>
      </w: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bCs/>
          <w:color w:val="auto"/>
          <w:szCs w:val="21"/>
          <w:highlight w:val="none"/>
        </w:rPr>
        <w:t xml:space="preserve">法定代表人（签字或盖章）：                             </w:t>
      </w:r>
    </w:p>
    <w:p>
      <w:pPr>
        <w:autoSpaceDE w:val="0"/>
        <w:autoSpaceDN w:val="0"/>
        <w:adjustRightInd w:val="0"/>
        <w:spacing w:line="360" w:lineRule="auto"/>
        <w:rPr>
          <w:rFonts w:hint="default" w:ascii="宋体" w:hAnsi="宋体" w:cs="宋体"/>
          <w:bCs/>
          <w:color w:val="auto"/>
          <w:szCs w:val="21"/>
          <w:highlight w:val="none"/>
        </w:rPr>
      </w:pPr>
    </w:p>
    <w:p>
      <w:pPr>
        <w:autoSpaceDE w:val="0"/>
        <w:autoSpaceDN w:val="0"/>
        <w:adjustRightInd w:val="0"/>
        <w:spacing w:line="360" w:lineRule="auto"/>
        <w:rPr>
          <w:rFonts w:hint="default" w:ascii="宋体" w:hAnsi="宋体" w:cs="宋体"/>
          <w:bCs/>
          <w:color w:val="auto"/>
          <w:szCs w:val="21"/>
          <w:highlight w:val="none"/>
        </w:rPr>
      </w:pPr>
    </w:p>
    <w:p>
      <w:pPr>
        <w:autoSpaceDE w:val="0"/>
        <w:autoSpaceDN w:val="0"/>
        <w:adjustRightInd w:val="0"/>
        <w:spacing w:line="360" w:lineRule="auto"/>
        <w:rPr>
          <w:rFonts w:hint="default" w:ascii="宋体" w:hAnsi="宋体" w:cs="宋体"/>
          <w:bCs/>
          <w:color w:val="auto"/>
          <w:szCs w:val="21"/>
          <w:highlight w:val="none"/>
        </w:rPr>
      </w:pPr>
      <w:r>
        <w:rPr>
          <w:rFonts w:ascii="宋体" w:hAnsi="宋体" w:cs="宋体"/>
          <w:color w:val="auto"/>
          <w:highlight w:val="none"/>
        </w:rPr>
        <w:t>年  月  日</w:t>
      </w:r>
    </w:p>
    <w:p>
      <w:pPr>
        <w:autoSpaceDE w:val="0"/>
        <w:autoSpaceDN w:val="0"/>
        <w:adjustRightInd w:val="0"/>
        <w:spacing w:line="360" w:lineRule="auto"/>
        <w:rPr>
          <w:rFonts w:hint="default" w:ascii="宋体" w:hAnsi="宋体" w:cs="宋体"/>
          <w:b/>
          <w:bCs/>
          <w:color w:val="auto"/>
          <w:szCs w:val="21"/>
          <w:highlight w:val="none"/>
        </w:rPr>
      </w:pPr>
      <w:r>
        <w:rPr>
          <w:rFonts w:ascii="宋体" w:hAnsi="宋体" w:cs="宋体"/>
          <w:b/>
          <w:color w:val="auto"/>
          <w:sz w:val="24"/>
          <w:highlight w:val="none"/>
        </w:rPr>
        <w:br w:type="page"/>
      </w:r>
      <w:r>
        <w:rPr>
          <w:rFonts w:ascii="宋体" w:hAnsi="宋体" w:cs="宋体"/>
          <w:b/>
          <w:bCs/>
          <w:color w:val="auto"/>
          <w:szCs w:val="21"/>
          <w:highlight w:val="none"/>
        </w:rPr>
        <w:t>3.7同类业绩</w:t>
      </w:r>
    </w:p>
    <w:p>
      <w:pPr>
        <w:snapToGrid w:val="0"/>
        <w:spacing w:line="360" w:lineRule="auto"/>
        <w:jc w:val="center"/>
        <w:rPr>
          <w:rFonts w:hint="default" w:ascii="宋体" w:hAnsi="宋体" w:cs="宋体"/>
          <w:b/>
          <w:snapToGrid w:val="0"/>
          <w:color w:val="auto"/>
          <w:kern w:val="0"/>
          <w:sz w:val="24"/>
          <w:highlight w:val="none"/>
        </w:rPr>
      </w:pPr>
      <w:r>
        <w:rPr>
          <w:rFonts w:ascii="宋体" w:hAnsi="宋体" w:cs="宋体"/>
          <w:b/>
          <w:snapToGrid w:val="0"/>
          <w:color w:val="auto"/>
          <w:kern w:val="0"/>
          <w:sz w:val="24"/>
          <w:highlight w:val="none"/>
        </w:rPr>
        <w:t>投标人曾承担过的同类项目业绩一览表</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hint="default" w:ascii="宋体" w:hAnsi="宋体" w:cs="宋体"/>
                <w:color w:val="auto"/>
                <w:szCs w:val="21"/>
                <w:highlight w:val="none"/>
              </w:rPr>
            </w:pPr>
            <w:r>
              <w:rPr>
                <w:rFonts w:ascii="宋体" w:hAnsi="宋体" w:cs="宋体"/>
                <w:color w:val="auto"/>
                <w:spacing w:val="30"/>
                <w:highlight w:val="none"/>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hint="default" w:ascii="宋体" w:hAnsi="宋体" w:cs="宋体"/>
                <w:color w:val="auto"/>
                <w:szCs w:val="21"/>
                <w:highlight w:val="none"/>
              </w:rPr>
            </w:pPr>
            <w:r>
              <w:rPr>
                <w:rFonts w:ascii="宋体" w:hAnsi="宋体" w:cs="宋体"/>
                <w:color w:val="auto"/>
                <w:spacing w:val="30"/>
                <w:highlight w:val="none"/>
              </w:rPr>
              <w:t>合同名称</w:t>
            </w:r>
          </w:p>
        </w:tc>
        <w:tc>
          <w:tcPr>
            <w:tcW w:w="2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hint="default" w:ascii="宋体" w:hAnsi="宋体" w:cs="宋体"/>
                <w:color w:val="auto"/>
                <w:szCs w:val="21"/>
                <w:highlight w:val="none"/>
              </w:rPr>
            </w:pPr>
            <w:r>
              <w:rPr>
                <w:rFonts w:ascii="宋体" w:hAnsi="宋体" w:cs="宋体"/>
                <w:color w:val="auto"/>
                <w:spacing w:val="30"/>
                <w:highlight w:val="none"/>
              </w:rPr>
              <w:t>采购单位</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hint="default" w:ascii="宋体" w:hAnsi="宋体" w:cs="宋体"/>
                <w:bCs/>
                <w:color w:val="auto"/>
                <w:szCs w:val="21"/>
                <w:highlight w:val="none"/>
              </w:rPr>
            </w:pPr>
            <w:r>
              <w:rPr>
                <w:rFonts w:ascii="宋体" w:hAnsi="宋体" w:cs="宋体"/>
                <w:bCs/>
                <w:color w:val="auto"/>
                <w:szCs w:val="21"/>
                <w:highlight w:val="none"/>
              </w:rPr>
              <w:t>合同内容</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Cs/>
                <w:color w:val="auto"/>
                <w:szCs w:val="21"/>
                <w:highlight w:val="none"/>
              </w:rPr>
            </w:pPr>
            <w:r>
              <w:rPr>
                <w:rFonts w:ascii="宋体" w:hAnsi="宋体" w:cs="宋体"/>
                <w:color w:val="auto"/>
                <w:spacing w:val="3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pStyle w:val="25"/>
              <w:snapToGrid w:val="0"/>
              <w:spacing w:beforeLines="50" w:after="50" w:line="460" w:lineRule="exact"/>
              <w:ind w:left="5250"/>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default" w:ascii="宋体" w:hAnsi="宋体" w:cs="宋体"/>
                <w:color w:val="auto"/>
                <w:szCs w:val="21"/>
                <w:highlight w:val="none"/>
              </w:rPr>
            </w:pPr>
          </w:p>
        </w:tc>
      </w:tr>
    </w:tbl>
    <w:p>
      <w:pPr>
        <w:tabs>
          <w:tab w:val="left" w:pos="744"/>
        </w:tabs>
        <w:spacing w:line="400" w:lineRule="exact"/>
        <w:ind w:firstLine="308" w:firstLineChars="147"/>
        <w:rPr>
          <w:rFonts w:hint="default" w:ascii="宋体" w:hAnsi="宋体" w:cs="宋体"/>
          <w:color w:val="auto"/>
          <w:highlight w:val="none"/>
        </w:rPr>
      </w:pPr>
      <w:r>
        <w:rPr>
          <w:rFonts w:ascii="宋体" w:hAnsi="宋体" w:cs="宋体"/>
          <w:color w:val="auto"/>
          <w:highlight w:val="none"/>
        </w:rPr>
        <w:t>注：1.表中所列业绩如与评分有关的，出具的证明材料需满足评审依据，否则不予得分。</w:t>
      </w:r>
    </w:p>
    <w:p>
      <w:pPr>
        <w:tabs>
          <w:tab w:val="left" w:pos="744"/>
        </w:tabs>
        <w:spacing w:line="400" w:lineRule="exact"/>
        <w:ind w:firstLine="308" w:firstLineChars="147"/>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djustRightInd w:val="0"/>
        <w:snapToGrid w:val="0"/>
        <w:spacing w:line="360" w:lineRule="auto"/>
        <w:ind w:firstLine="4158" w:firstLineChars="198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投标人(盖公章)</w:t>
      </w:r>
    </w:p>
    <w:p>
      <w:pPr>
        <w:adjustRightInd w:val="0"/>
        <w:snapToGrid w:val="0"/>
        <w:spacing w:line="360" w:lineRule="auto"/>
        <w:ind w:firstLine="4158" w:firstLineChars="198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法定代表人或授权代表(签字或盖章)</w:t>
      </w:r>
    </w:p>
    <w:p>
      <w:pPr>
        <w:adjustRightInd w:val="0"/>
        <w:snapToGrid w:val="0"/>
        <w:spacing w:line="360" w:lineRule="auto"/>
        <w:ind w:firstLine="4158" w:firstLineChars="1980"/>
        <w:rPr>
          <w:rFonts w:hint="default" w:ascii="宋体" w:hAnsi="宋体" w:cs="宋体"/>
          <w:snapToGrid w:val="0"/>
          <w:color w:val="auto"/>
          <w:kern w:val="0"/>
          <w:szCs w:val="21"/>
          <w:highlight w:val="none"/>
        </w:rPr>
      </w:pPr>
      <w:r>
        <w:rPr>
          <w:rFonts w:ascii="宋体" w:hAnsi="宋体" w:cs="宋体"/>
          <w:snapToGrid w:val="0"/>
          <w:color w:val="auto"/>
          <w:kern w:val="0"/>
          <w:szCs w:val="21"/>
          <w:highlight w:val="none"/>
        </w:rPr>
        <w:t>日期：</w:t>
      </w:r>
    </w:p>
    <w:p>
      <w:pPr>
        <w:rPr>
          <w:rFonts w:hint="default" w:ascii="宋体" w:hAnsi="宋体" w:cs="宋体"/>
          <w:color w:val="auto"/>
          <w:szCs w:val="21"/>
          <w:highlight w:val="none"/>
        </w:rPr>
      </w:pPr>
      <w:r>
        <w:rPr>
          <w:rFonts w:ascii="宋体" w:hAnsi="宋体" w:cs="宋体"/>
          <w:snapToGrid w:val="0"/>
          <w:color w:val="auto"/>
          <w:kern w:val="0"/>
          <w:szCs w:val="21"/>
          <w:highlight w:val="none"/>
        </w:rPr>
        <w:br w:type="page"/>
      </w:r>
      <w:r>
        <w:rPr>
          <w:rFonts w:ascii="宋体" w:hAnsi="宋体" w:cs="宋体"/>
          <w:color w:val="auto"/>
          <w:highlight w:val="none"/>
        </w:rPr>
        <w:t>3.8</w:t>
      </w:r>
      <w:r>
        <w:rPr>
          <w:rFonts w:ascii="宋体" w:hAnsi="宋体" w:cs="宋体"/>
          <w:color w:val="auto"/>
          <w:szCs w:val="21"/>
          <w:highlight w:val="none"/>
        </w:rPr>
        <w:t>投标产品列入财政部、发改委、生态环境部等部门发布的品目清单的，须提供国家确定的认证机构出具的、处于有效期之内的节能产品、环境标志产品认证证书复印件。</w:t>
      </w:r>
    </w:p>
    <w:p>
      <w:pPr>
        <w:pStyle w:val="2"/>
        <w:rPr>
          <w:rFonts w:ascii="宋体" w:hAnsi="宋体" w:eastAsia="宋体" w:cs="宋体"/>
          <w:color w:val="auto"/>
          <w:highlight w:val="none"/>
        </w:rPr>
      </w:pPr>
    </w:p>
    <w:p>
      <w:pPr>
        <w:autoSpaceDE w:val="0"/>
        <w:autoSpaceDN w:val="0"/>
        <w:adjustRightIn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3.9合同/商务条款偏离表</w:t>
      </w:r>
    </w:p>
    <w:p>
      <w:pPr>
        <w:spacing w:line="360" w:lineRule="atLeast"/>
        <w:jc w:val="center"/>
        <w:rPr>
          <w:rFonts w:hint="default" w:ascii="宋体" w:hAnsi="宋体" w:cs="宋体"/>
          <w:b/>
          <w:color w:val="auto"/>
          <w:sz w:val="28"/>
          <w:szCs w:val="28"/>
          <w:highlight w:val="none"/>
        </w:rPr>
      </w:pPr>
      <w:r>
        <w:rPr>
          <w:rFonts w:ascii="宋体" w:hAnsi="宋体" w:cs="宋体"/>
          <w:b/>
          <w:color w:val="auto"/>
          <w:sz w:val="28"/>
          <w:szCs w:val="28"/>
          <w:highlight w:val="none"/>
        </w:rPr>
        <w:t>合同/商务条款偏离表</w:t>
      </w:r>
    </w:p>
    <w:p>
      <w:pPr>
        <w:spacing w:line="360" w:lineRule="atLeast"/>
        <w:jc w:val="center"/>
        <w:rPr>
          <w:rFonts w:hint="default" w:ascii="宋体" w:hAnsi="宋体" w:cs="宋体"/>
          <w:color w:val="auto"/>
          <w:highlight w:val="none"/>
        </w:rPr>
      </w:pP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default" w:ascii="宋体" w:hAnsi="宋体" w:cs="宋体"/>
                <w:color w:val="auto"/>
                <w:szCs w:val="21"/>
                <w:highlight w:val="none"/>
              </w:rPr>
            </w:pPr>
            <w:r>
              <w:rPr>
                <w:rFonts w:ascii="宋体" w:hAnsi="宋体" w:cs="宋体"/>
                <w:color w:val="auto"/>
                <w:szCs w:val="21"/>
                <w:highlight w:val="none"/>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default" w:ascii="宋体" w:hAnsi="宋体" w:cs="宋体"/>
                <w:color w:val="auto"/>
                <w:szCs w:val="21"/>
                <w:highlight w:val="none"/>
              </w:rPr>
            </w:pPr>
            <w:r>
              <w:rPr>
                <w:rFonts w:ascii="宋体" w:hAnsi="宋体" w:cs="宋体"/>
                <w:color w:val="auto"/>
                <w:szCs w:val="21"/>
                <w:highlight w:val="none"/>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default" w:ascii="宋体" w:hAnsi="宋体" w:cs="宋体"/>
                <w:color w:val="auto"/>
                <w:szCs w:val="21"/>
                <w:highlight w:val="none"/>
              </w:rPr>
            </w:pPr>
            <w:r>
              <w:rPr>
                <w:rFonts w:ascii="宋体" w:hAnsi="宋体" w:cs="宋体"/>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hint="default" w:ascii="宋体" w:hAnsi="宋体" w:cs="宋体"/>
                <w:color w:val="auto"/>
                <w:szCs w:val="21"/>
                <w:highlight w:val="none"/>
              </w:rPr>
            </w:pPr>
            <w:r>
              <w:rPr>
                <w:rFonts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hint="default" w:ascii="宋体" w:hAnsi="宋体" w:cs="宋体"/>
                <w:color w:val="auto"/>
                <w:szCs w:val="21"/>
                <w:highlight w:val="none"/>
              </w:rPr>
            </w:pPr>
            <w:r>
              <w:rPr>
                <w:rFonts w:ascii="宋体" w:hAnsi="宋体" w:cs="宋体"/>
                <w:color w:val="auto"/>
                <w:szCs w:val="21"/>
                <w:highlight w:val="none"/>
              </w:rPr>
              <w:t>条款内容描述</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hint="default" w:ascii="宋体" w:hAnsi="宋体" w:cs="宋体"/>
                <w:color w:val="auto"/>
                <w:szCs w:val="21"/>
                <w:highlight w:val="none"/>
              </w:rPr>
            </w:pPr>
            <w:r>
              <w:rPr>
                <w:rFonts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hint="default" w:ascii="宋体" w:hAnsi="宋体" w:cs="宋体"/>
                <w:color w:val="auto"/>
                <w:szCs w:val="21"/>
                <w:highlight w:val="none"/>
              </w:rPr>
            </w:pPr>
            <w:r>
              <w:rPr>
                <w:rFonts w:ascii="宋体" w:hAnsi="宋体" w:cs="宋体"/>
                <w:color w:val="auto"/>
                <w:szCs w:val="21"/>
                <w:highlight w:val="none"/>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hint="default"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hint="default" w:ascii="宋体" w:hAnsi="宋体" w:cs="宋体"/>
                <w:color w:val="auto"/>
                <w:szCs w:val="21"/>
                <w:highlight w:val="none"/>
              </w:rPr>
            </w:pPr>
          </w:p>
        </w:tc>
      </w:tr>
    </w:tbl>
    <w:p>
      <w:pPr>
        <w:spacing w:line="360" w:lineRule="atLeast"/>
        <w:rPr>
          <w:rFonts w:hint="default" w:ascii="宋体" w:hAnsi="宋体" w:cs="宋体"/>
          <w:color w:val="auto"/>
          <w:highlight w:val="none"/>
        </w:rPr>
      </w:pPr>
      <w:r>
        <w:rPr>
          <w:rFonts w:ascii="宋体" w:hAnsi="宋体" w:cs="宋体"/>
          <w:color w:val="auto"/>
          <w:highlight w:val="none"/>
        </w:rPr>
        <w:t>注：若不填写或只填写“无”视作完全响应采购文件的要求。</w:t>
      </w:r>
    </w:p>
    <w:p>
      <w:pPr>
        <w:spacing w:line="360" w:lineRule="atLeast"/>
        <w:rPr>
          <w:rFonts w:hint="default" w:ascii="宋体" w:hAnsi="宋体" w:cs="宋体"/>
          <w:color w:val="auto"/>
          <w:highlight w:val="none"/>
        </w:rPr>
      </w:pPr>
    </w:p>
    <w:p>
      <w:pPr>
        <w:spacing w:line="360" w:lineRule="atLeast"/>
        <w:rPr>
          <w:rFonts w:hint="default" w:ascii="宋体" w:hAnsi="宋体" w:cs="宋体"/>
          <w:color w:val="auto"/>
          <w:highlight w:val="none"/>
        </w:rPr>
      </w:pPr>
    </w:p>
    <w:p>
      <w:pPr>
        <w:spacing w:line="360" w:lineRule="atLeast"/>
        <w:jc w:val="left"/>
        <w:rPr>
          <w:rFonts w:hint="default" w:ascii="宋体" w:hAnsi="宋体" w:cs="宋体"/>
          <w:color w:val="auto"/>
          <w:szCs w:val="21"/>
          <w:highlight w:val="none"/>
        </w:rPr>
      </w:pPr>
      <w:r>
        <w:rPr>
          <w:rFonts w:ascii="宋体" w:hAnsi="宋体" w:cs="宋体"/>
          <w:color w:val="auto"/>
          <w:szCs w:val="21"/>
          <w:highlight w:val="none"/>
        </w:rPr>
        <w:t>投标人(盖公章)：</w:t>
      </w:r>
    </w:p>
    <w:p>
      <w:pPr>
        <w:spacing w:line="360" w:lineRule="atLeast"/>
        <w:jc w:val="left"/>
        <w:rPr>
          <w:rFonts w:hint="default" w:ascii="宋体" w:hAnsi="宋体" w:cs="宋体"/>
          <w:color w:val="auto"/>
          <w:szCs w:val="21"/>
          <w:highlight w:val="none"/>
        </w:rPr>
      </w:pPr>
    </w:p>
    <w:p>
      <w:pPr>
        <w:spacing w:line="360" w:lineRule="atLeast"/>
        <w:rPr>
          <w:rFonts w:hint="default" w:ascii="宋体" w:hAnsi="宋体" w:cs="宋体"/>
          <w:color w:val="auto"/>
          <w:szCs w:val="21"/>
          <w:highlight w:val="none"/>
        </w:rPr>
      </w:pPr>
      <w:r>
        <w:rPr>
          <w:rFonts w:ascii="宋体" w:hAnsi="宋体" w:cs="宋体"/>
          <w:color w:val="auto"/>
          <w:szCs w:val="21"/>
          <w:highlight w:val="none"/>
        </w:rPr>
        <w:t>法定代表人或其授权代表(签字或盖章)：__________________</w:t>
      </w:r>
    </w:p>
    <w:p>
      <w:pPr>
        <w:rPr>
          <w:rFonts w:hint="default" w:ascii="宋体" w:hAnsi="宋体" w:cs="宋体"/>
          <w:color w:val="auto"/>
          <w:highlight w:val="none"/>
        </w:rPr>
      </w:pPr>
      <w:r>
        <w:rPr>
          <w:rFonts w:ascii="宋体" w:hAnsi="宋体" w:cs="宋体"/>
          <w:color w:val="auto"/>
          <w:highlight w:val="none"/>
        </w:rPr>
        <w:t>日</w:t>
      </w:r>
      <w:r>
        <w:rPr>
          <w:rFonts w:ascii="宋体" w:hAnsi="宋体" w:cs="宋体"/>
          <w:color w:val="auto"/>
          <w:highlight w:val="none"/>
        </w:rPr>
        <w:tab/>
      </w:r>
      <w:r>
        <w:rPr>
          <w:rFonts w:ascii="宋体" w:hAnsi="宋体" w:cs="宋体"/>
          <w:color w:val="auto"/>
          <w:highlight w:val="none"/>
        </w:rPr>
        <w:t>期：</w:t>
      </w:r>
    </w:p>
    <w:p>
      <w:pPr>
        <w:spacing w:line="360" w:lineRule="atLeast"/>
        <w:rPr>
          <w:rFonts w:hint="default" w:ascii="宋体" w:hAnsi="宋体"/>
          <w:b/>
          <w:bCs/>
          <w:color w:val="auto"/>
          <w:szCs w:val="21"/>
          <w:highlight w:val="none"/>
        </w:rPr>
      </w:pPr>
      <w:r>
        <w:rPr>
          <w:rFonts w:ascii="宋体" w:hAnsi="宋体" w:cs="宋体"/>
          <w:snapToGrid w:val="0"/>
          <w:color w:val="auto"/>
          <w:kern w:val="0"/>
          <w:szCs w:val="21"/>
          <w:highlight w:val="none"/>
        </w:rPr>
        <w:br w:type="page"/>
      </w:r>
      <w:r>
        <w:rPr>
          <w:rFonts w:ascii="宋体" w:hAnsi="宋体"/>
          <w:b/>
          <w:bCs/>
          <w:color w:val="auto"/>
          <w:szCs w:val="21"/>
          <w:highlight w:val="none"/>
        </w:rPr>
        <w:t>3.10技术规格书</w:t>
      </w:r>
    </w:p>
    <w:p>
      <w:pPr>
        <w:rPr>
          <w:rStyle w:val="52"/>
          <w:rFonts w:hint="default" w:cs="宋体"/>
          <w:color w:val="auto"/>
          <w:highlight w:val="none"/>
        </w:rPr>
      </w:pPr>
    </w:p>
    <w:p>
      <w:pPr>
        <w:adjustRightInd w:val="0"/>
        <w:snapToGrid w:val="0"/>
        <w:spacing w:line="360" w:lineRule="auto"/>
        <w:jc w:val="center"/>
        <w:rPr>
          <w:rFonts w:hint="default" w:ascii="宋体" w:hAnsi="宋体" w:cs="宋体"/>
          <w:bCs/>
          <w:color w:val="auto"/>
          <w:sz w:val="32"/>
          <w:szCs w:val="32"/>
          <w:highlight w:val="none"/>
        </w:rPr>
      </w:pPr>
      <w:r>
        <w:rPr>
          <w:rFonts w:ascii="宋体" w:hAnsi="宋体" w:cs="宋体"/>
          <w:bCs/>
          <w:color w:val="auto"/>
          <w:sz w:val="32"/>
          <w:szCs w:val="32"/>
          <w:highlight w:val="none"/>
        </w:rPr>
        <w:t>技术规格书</w:t>
      </w:r>
    </w:p>
    <w:tbl>
      <w:tblPr>
        <w:tblStyle w:val="4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540"/>
        <w:gridCol w:w="705"/>
        <w:gridCol w:w="1077"/>
        <w:gridCol w:w="720"/>
        <w:gridCol w:w="720"/>
        <w:gridCol w:w="1440"/>
        <w:gridCol w:w="7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6" w:hRule="atLeast"/>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序号</w:t>
            </w: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设备名称</w:t>
            </w:r>
          </w:p>
        </w:tc>
        <w:tc>
          <w:tcPr>
            <w:tcW w:w="705"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数量</w:t>
            </w:r>
          </w:p>
        </w:tc>
        <w:tc>
          <w:tcPr>
            <w:tcW w:w="1077"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规格型号</w:t>
            </w:r>
          </w:p>
        </w:tc>
        <w:tc>
          <w:tcPr>
            <w:tcW w:w="72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品牌</w:t>
            </w:r>
          </w:p>
        </w:tc>
        <w:tc>
          <w:tcPr>
            <w:tcW w:w="720" w:type="dxa"/>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产地</w:t>
            </w:r>
          </w:p>
        </w:tc>
        <w:tc>
          <w:tcPr>
            <w:tcW w:w="1440" w:type="dxa"/>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制造商</w:t>
            </w:r>
          </w:p>
        </w:tc>
        <w:tc>
          <w:tcPr>
            <w:tcW w:w="720" w:type="dxa"/>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p>
        </w:tc>
        <w:tc>
          <w:tcPr>
            <w:tcW w:w="705"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1077"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c>
          <w:tcPr>
            <w:tcW w:w="1440" w:type="dxa"/>
            <w:vAlign w:val="center"/>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p>
        </w:tc>
        <w:tc>
          <w:tcPr>
            <w:tcW w:w="705"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1077"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c>
          <w:tcPr>
            <w:tcW w:w="1440" w:type="dxa"/>
            <w:vAlign w:val="center"/>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p>
        </w:tc>
        <w:tc>
          <w:tcPr>
            <w:tcW w:w="705"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1077"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c>
          <w:tcPr>
            <w:tcW w:w="1440" w:type="dxa"/>
            <w:vAlign w:val="center"/>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p>
        </w:tc>
        <w:tc>
          <w:tcPr>
            <w:tcW w:w="705"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1077"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c>
          <w:tcPr>
            <w:tcW w:w="1440" w:type="dxa"/>
            <w:vAlign w:val="center"/>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adjustRightInd w:val="0"/>
              <w:snapToGrid w:val="0"/>
              <w:spacing w:line="360" w:lineRule="auto"/>
              <w:jc w:val="center"/>
              <w:rPr>
                <w:rFonts w:hint="default" w:ascii="宋体" w:hAnsi="宋体" w:cs="宋体"/>
                <w:color w:val="auto"/>
                <w:highlight w:val="none"/>
              </w:rPr>
            </w:pPr>
          </w:p>
        </w:tc>
        <w:tc>
          <w:tcPr>
            <w:tcW w:w="1540" w:type="dxa"/>
            <w:tcBorders>
              <w:right w:val="single" w:color="auto" w:sz="4" w:space="0"/>
            </w:tcBorders>
            <w:vAlign w:val="center"/>
          </w:tcPr>
          <w:p>
            <w:pPr>
              <w:adjustRightInd w:val="0"/>
              <w:snapToGrid w:val="0"/>
              <w:spacing w:line="360" w:lineRule="auto"/>
              <w:jc w:val="center"/>
              <w:rPr>
                <w:rFonts w:hint="default" w:ascii="宋体" w:hAnsi="宋体" w:cs="宋体"/>
                <w:color w:val="auto"/>
                <w:highlight w:val="none"/>
              </w:rPr>
            </w:pPr>
            <w:r>
              <w:rPr>
                <w:rFonts w:ascii="宋体" w:hAnsi="宋体" w:cs="宋体"/>
                <w:color w:val="auto"/>
                <w:highlight w:val="none"/>
              </w:rPr>
              <w:t>……</w:t>
            </w:r>
          </w:p>
        </w:tc>
        <w:tc>
          <w:tcPr>
            <w:tcW w:w="705"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1077"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tcBorders>
              <w:right w:val="single" w:color="auto" w:sz="4" w:space="0"/>
            </w:tcBorders>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c>
          <w:tcPr>
            <w:tcW w:w="1440" w:type="dxa"/>
            <w:vAlign w:val="center"/>
          </w:tcPr>
          <w:p>
            <w:pPr>
              <w:adjustRightInd w:val="0"/>
              <w:snapToGrid w:val="0"/>
              <w:spacing w:line="360" w:lineRule="auto"/>
              <w:jc w:val="center"/>
              <w:rPr>
                <w:rFonts w:hint="default" w:ascii="宋体" w:hAnsi="宋体" w:cs="宋体"/>
                <w:color w:val="auto"/>
                <w:highlight w:val="none"/>
              </w:rPr>
            </w:pPr>
          </w:p>
        </w:tc>
        <w:tc>
          <w:tcPr>
            <w:tcW w:w="720" w:type="dxa"/>
            <w:vAlign w:val="center"/>
          </w:tcPr>
          <w:p>
            <w:pPr>
              <w:adjustRightInd w:val="0"/>
              <w:snapToGrid w:val="0"/>
              <w:spacing w:line="360" w:lineRule="auto"/>
              <w:jc w:val="center"/>
              <w:rPr>
                <w:rFonts w:hint="default" w:ascii="宋体" w:hAnsi="宋体" w:cs="宋体"/>
                <w:color w:val="auto"/>
                <w:highlight w:val="none"/>
              </w:rPr>
            </w:pPr>
          </w:p>
        </w:tc>
      </w:tr>
    </w:tbl>
    <w:p>
      <w:pPr>
        <w:adjustRightInd w:val="0"/>
        <w:spacing w:line="360" w:lineRule="auto"/>
        <w:ind w:firstLine="482" w:firstLineChars="200"/>
        <w:rPr>
          <w:rFonts w:hint="default" w:ascii="宋体" w:hAnsi="宋体" w:cs="宋体"/>
          <w:b/>
          <w:color w:val="auto"/>
          <w:sz w:val="24"/>
          <w:highlight w:val="none"/>
        </w:rPr>
      </w:pPr>
    </w:p>
    <w:p>
      <w:pPr>
        <w:adjustRightInd w:val="0"/>
        <w:spacing w:line="360" w:lineRule="auto"/>
        <w:rPr>
          <w:rFonts w:hint="default" w:ascii="宋体" w:hAnsi="宋体" w:cs="宋体"/>
          <w:b/>
          <w:bCs/>
          <w:color w:val="auto"/>
          <w:sz w:val="24"/>
          <w:highlight w:val="none"/>
        </w:rPr>
      </w:pPr>
      <w:r>
        <w:rPr>
          <w:rFonts w:ascii="宋体" w:hAnsi="宋体" w:cs="宋体"/>
          <w:b/>
          <w:bCs/>
          <w:color w:val="auto"/>
          <w:sz w:val="24"/>
          <w:highlight w:val="none"/>
        </w:rPr>
        <w:t>3.11技术响应表</w:t>
      </w:r>
    </w:p>
    <w:p>
      <w:pPr>
        <w:adjustRightInd w:val="0"/>
        <w:snapToGrid w:val="0"/>
        <w:spacing w:line="396" w:lineRule="auto"/>
        <w:jc w:val="center"/>
        <w:rPr>
          <w:rFonts w:hint="default" w:ascii="宋体" w:hAnsi="宋体" w:cs="宋体"/>
          <w:b/>
          <w:bCs/>
          <w:color w:val="auto"/>
          <w:sz w:val="24"/>
          <w:highlight w:val="none"/>
        </w:rPr>
      </w:pPr>
      <w:r>
        <w:rPr>
          <w:rFonts w:ascii="宋体" w:hAnsi="宋体" w:cs="宋体"/>
          <w:b/>
          <w:bCs/>
          <w:color w:val="auto"/>
          <w:sz w:val="24"/>
          <w:highlight w:val="none"/>
        </w:rPr>
        <w:t>技术响应表</w:t>
      </w:r>
    </w:p>
    <w:tbl>
      <w:tblPr>
        <w:tblStyle w:val="43"/>
        <w:tblW w:w="9412" w:type="dxa"/>
        <w:tblInd w:w="0" w:type="dxa"/>
        <w:tblLayout w:type="fixed"/>
        <w:tblCellMar>
          <w:top w:w="0" w:type="dxa"/>
          <w:left w:w="108" w:type="dxa"/>
          <w:bottom w:w="0" w:type="dxa"/>
          <w:right w:w="108" w:type="dxa"/>
        </w:tblCellMar>
      </w:tblPr>
      <w:tblGrid>
        <w:gridCol w:w="648"/>
        <w:gridCol w:w="3374"/>
        <w:gridCol w:w="4297"/>
        <w:gridCol w:w="1093"/>
      </w:tblGrid>
      <w:tr>
        <w:tblPrEx>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采购文件技术要求</w:t>
            </w:r>
          </w:p>
        </w:tc>
        <w:tc>
          <w:tcPr>
            <w:tcW w:w="4297" w:type="dxa"/>
            <w:tcBorders>
              <w:top w:val="single" w:color="auto" w:sz="4" w:space="0"/>
              <w:left w:val="nil"/>
              <w:bottom w:val="nil"/>
              <w:right w:val="single" w:color="auto" w:sz="4" w:space="0"/>
            </w:tcBorders>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投标产品响应技术参数</w:t>
            </w:r>
          </w:p>
        </w:tc>
        <w:tc>
          <w:tcPr>
            <w:tcW w:w="1093" w:type="dxa"/>
            <w:tcBorders>
              <w:top w:val="single" w:color="auto" w:sz="4" w:space="0"/>
              <w:left w:val="nil"/>
              <w:bottom w:val="nil"/>
              <w:right w:val="single" w:color="auto" w:sz="4" w:space="0"/>
            </w:tcBorders>
            <w:vAlign w:val="center"/>
          </w:tcPr>
          <w:p>
            <w:pPr>
              <w:adjustRightInd w:val="0"/>
              <w:jc w:val="center"/>
              <w:rPr>
                <w:rFonts w:hint="default" w:ascii="宋体" w:hAnsi="宋体" w:cs="宋体"/>
                <w:color w:val="auto"/>
                <w:szCs w:val="21"/>
                <w:highlight w:val="none"/>
              </w:rPr>
            </w:pPr>
            <w:r>
              <w:rPr>
                <w:rFonts w:ascii="宋体" w:hAnsi="宋体" w:cs="宋体"/>
                <w:color w:val="auto"/>
                <w:szCs w:val="21"/>
                <w:highlight w:val="none"/>
              </w:rPr>
              <w:t>正偏离或负偏离或响应</w:t>
            </w: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210"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 w:val="8"/>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r>
      <w:tr>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 w:val="8"/>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 w:val="8"/>
                <w:szCs w:val="21"/>
                <w:highlight w:val="none"/>
              </w:rPr>
            </w:pPr>
          </w:p>
        </w:tc>
      </w:tr>
      <w:tr>
        <w:tblPrEx>
          <w:tblCellMar>
            <w:top w:w="0" w:type="dxa"/>
            <w:left w:w="108" w:type="dxa"/>
            <w:bottom w:w="0" w:type="dxa"/>
            <w:right w:w="108" w:type="dxa"/>
          </w:tblCellMar>
        </w:tblPrEx>
        <w:trPr>
          <w:trHeight w:val="223" w:hRule="atLeast"/>
        </w:trPr>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numPr>
                <w:ilvl w:val="0"/>
                <w:numId w:val="17"/>
              </w:numPr>
              <w:adjustRightInd w:val="0"/>
              <w:spacing w:line="360" w:lineRule="auto"/>
              <w:jc w:val="center"/>
              <w:rPr>
                <w:rFonts w:hint="default"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4297"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c>
          <w:tcPr>
            <w:tcW w:w="10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hint="default" w:ascii="宋体" w:hAnsi="宋体" w:cs="宋体"/>
                <w:color w:val="auto"/>
                <w:szCs w:val="21"/>
                <w:highlight w:val="none"/>
              </w:rPr>
            </w:pPr>
          </w:p>
        </w:tc>
      </w:tr>
    </w:tbl>
    <w:p>
      <w:pPr>
        <w:snapToGrid w:val="0"/>
        <w:spacing w:line="360" w:lineRule="auto"/>
        <w:jc w:val="center"/>
        <w:rPr>
          <w:rFonts w:hint="default" w:ascii="宋体" w:hAnsi="宋体" w:cs="宋体"/>
          <w:color w:val="auto"/>
          <w:sz w:val="24"/>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ind w:firstLine="4158" w:firstLineChars="198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adjustRightInd w:val="0"/>
        <w:ind w:firstLine="4158" w:firstLineChars="1980"/>
        <w:rPr>
          <w:rFonts w:hint="default" w:ascii="宋体" w:hAnsi="宋体" w:cs="宋体"/>
          <w:color w:val="auto"/>
          <w:szCs w:val="21"/>
          <w:highlight w:val="none"/>
        </w:rPr>
      </w:pPr>
    </w:p>
    <w:p>
      <w:pPr>
        <w:spacing w:line="360" w:lineRule="atLeast"/>
        <w:ind w:firstLine="4200" w:firstLineChars="2000"/>
        <w:rPr>
          <w:rFonts w:hint="default" w:ascii="宋体" w:hAnsi="宋体" w:cs="宋体"/>
          <w:color w:val="auto"/>
          <w:szCs w:val="21"/>
          <w:highlight w:val="none"/>
        </w:rPr>
      </w:pPr>
      <w:r>
        <w:rPr>
          <w:rFonts w:ascii="宋体" w:hAnsi="宋体" w:cs="宋体"/>
          <w:color w:val="auto"/>
          <w:szCs w:val="21"/>
          <w:highlight w:val="none"/>
        </w:rPr>
        <w:t>日  期：</w:t>
      </w:r>
    </w:p>
    <w:p>
      <w:pPr>
        <w:spacing w:line="360" w:lineRule="auto"/>
        <w:rPr>
          <w:rFonts w:hint="default" w:ascii="宋体" w:hAnsi="宋体" w:cs="宋体"/>
          <w:b/>
          <w:bCs/>
          <w:color w:val="auto"/>
          <w:szCs w:val="21"/>
          <w:highlight w:val="none"/>
        </w:rPr>
      </w:pPr>
      <w:r>
        <w:rPr>
          <w:rFonts w:ascii="宋体" w:hAnsi="宋体" w:cs="宋体"/>
          <w:color w:val="auto"/>
          <w:sz w:val="24"/>
          <w:highlight w:val="none"/>
        </w:rPr>
        <w:br w:type="page"/>
      </w:r>
      <w:r>
        <w:rPr>
          <w:rFonts w:ascii="宋体" w:hAnsi="宋体" w:cs="宋体"/>
          <w:b/>
          <w:color w:val="auto"/>
          <w:szCs w:val="21"/>
          <w:highlight w:val="none"/>
        </w:rPr>
        <w:t>3.12</w:t>
      </w:r>
      <w:r>
        <w:rPr>
          <w:rFonts w:ascii="宋体" w:hAnsi="宋体" w:cs="宋体"/>
          <w:b/>
          <w:bCs/>
          <w:color w:val="auto"/>
          <w:szCs w:val="21"/>
          <w:highlight w:val="none"/>
        </w:rPr>
        <w:t xml:space="preserve"> 常用配件（备品备件）价格表</w:t>
      </w:r>
    </w:p>
    <w:p>
      <w:pPr>
        <w:spacing w:line="360" w:lineRule="atLeast"/>
        <w:jc w:val="center"/>
        <w:rPr>
          <w:rFonts w:hint="default" w:ascii="宋体" w:hAnsi="宋体" w:cs="宋体"/>
          <w:b/>
          <w:color w:val="auto"/>
          <w:sz w:val="32"/>
          <w:highlight w:val="none"/>
        </w:rPr>
      </w:pPr>
      <w:r>
        <w:rPr>
          <w:rFonts w:ascii="宋体" w:hAnsi="宋体" w:cs="宋体"/>
          <w:b/>
          <w:color w:val="auto"/>
          <w:sz w:val="32"/>
          <w:highlight w:val="none"/>
        </w:rPr>
        <w:t>常用配件（备品备件）价格表</w:t>
      </w:r>
    </w:p>
    <w:p>
      <w:pPr>
        <w:spacing w:line="360" w:lineRule="atLeast"/>
        <w:jc w:val="left"/>
        <w:rPr>
          <w:rFonts w:hint="default" w:ascii="宋体" w:hAnsi="宋体" w:cs="宋体"/>
          <w:color w:val="auto"/>
          <w:sz w:val="24"/>
          <w:highlight w:val="none"/>
        </w:rPr>
      </w:pPr>
      <w:r>
        <w:rPr>
          <w:rFonts w:ascii="宋体" w:hAnsi="宋体" w:cs="宋体"/>
          <w:color w:val="auto"/>
          <w:sz w:val="24"/>
          <w:highlight w:val="none"/>
        </w:rPr>
        <w:t>项目名称：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pPr>
              <w:rPr>
                <w:rFonts w:hint="default" w:ascii="宋体" w:hAnsi="宋体" w:cs="宋体"/>
                <w:color w:val="auto"/>
                <w:sz w:val="24"/>
                <w:highlight w:val="none"/>
              </w:rPr>
            </w:pPr>
            <w:r>
              <w:rPr>
                <w:rFonts w:ascii="宋体" w:hAnsi="宋体" w:cs="宋体"/>
                <w:color w:val="auto"/>
                <w:sz w:val="24"/>
                <w:highlight w:val="none"/>
              </w:rPr>
              <w:t>序号</w:t>
            </w:r>
          </w:p>
        </w:tc>
        <w:tc>
          <w:tcPr>
            <w:tcW w:w="1988" w:type="dxa"/>
            <w:vAlign w:val="center"/>
          </w:tcPr>
          <w:p>
            <w:pPr>
              <w:jc w:val="center"/>
              <w:rPr>
                <w:rFonts w:hint="default" w:ascii="宋体" w:hAnsi="宋体" w:cs="宋体"/>
                <w:color w:val="auto"/>
                <w:sz w:val="24"/>
                <w:highlight w:val="none"/>
              </w:rPr>
            </w:pPr>
            <w:r>
              <w:rPr>
                <w:rFonts w:ascii="宋体" w:hAnsi="宋体" w:cs="宋体"/>
                <w:color w:val="auto"/>
                <w:sz w:val="24"/>
                <w:highlight w:val="none"/>
              </w:rPr>
              <w:t>配件名称</w:t>
            </w:r>
          </w:p>
        </w:tc>
        <w:tc>
          <w:tcPr>
            <w:tcW w:w="1431" w:type="dxa"/>
            <w:vAlign w:val="center"/>
          </w:tcPr>
          <w:p>
            <w:pPr>
              <w:jc w:val="center"/>
              <w:rPr>
                <w:rFonts w:hint="default" w:ascii="宋体" w:hAnsi="宋体" w:cs="宋体"/>
                <w:color w:val="auto"/>
                <w:sz w:val="24"/>
                <w:highlight w:val="none"/>
              </w:rPr>
            </w:pPr>
            <w:r>
              <w:rPr>
                <w:rFonts w:ascii="宋体" w:hAnsi="宋体" w:cs="宋体"/>
                <w:color w:val="auto"/>
                <w:sz w:val="24"/>
                <w:highlight w:val="none"/>
              </w:rPr>
              <w:t>单价</w:t>
            </w:r>
          </w:p>
        </w:tc>
        <w:tc>
          <w:tcPr>
            <w:tcW w:w="1242" w:type="dxa"/>
            <w:vAlign w:val="center"/>
          </w:tcPr>
          <w:p>
            <w:pPr>
              <w:jc w:val="center"/>
              <w:rPr>
                <w:rFonts w:hint="default" w:ascii="宋体" w:hAnsi="宋体" w:cs="宋体"/>
                <w:color w:val="auto"/>
                <w:sz w:val="24"/>
                <w:highlight w:val="none"/>
              </w:rPr>
            </w:pPr>
            <w:r>
              <w:rPr>
                <w:rFonts w:ascii="宋体" w:hAnsi="宋体" w:cs="宋体"/>
                <w:color w:val="auto"/>
                <w:sz w:val="24"/>
                <w:highlight w:val="none"/>
              </w:rPr>
              <w:t>数量</w:t>
            </w:r>
          </w:p>
        </w:tc>
        <w:tc>
          <w:tcPr>
            <w:tcW w:w="2178" w:type="dxa"/>
            <w:vAlign w:val="center"/>
          </w:tcPr>
          <w:p>
            <w:pPr>
              <w:jc w:val="center"/>
              <w:rPr>
                <w:rFonts w:hint="default" w:ascii="宋体" w:hAnsi="宋体" w:cs="宋体"/>
                <w:color w:val="auto"/>
                <w:sz w:val="24"/>
                <w:highlight w:val="none"/>
              </w:rPr>
            </w:pPr>
            <w:r>
              <w:rPr>
                <w:rFonts w:ascii="宋体" w:hAnsi="宋体" w:cs="宋体"/>
                <w:color w:val="auto"/>
                <w:sz w:val="24"/>
                <w:highlight w:val="none"/>
              </w:rPr>
              <w:t>品牌</w:t>
            </w:r>
          </w:p>
        </w:tc>
        <w:tc>
          <w:tcPr>
            <w:tcW w:w="1242" w:type="dxa"/>
            <w:vAlign w:val="center"/>
          </w:tcPr>
          <w:p>
            <w:pPr>
              <w:jc w:val="center"/>
              <w:rPr>
                <w:rFonts w:hint="default" w:ascii="宋体" w:hAnsi="宋体" w:cs="宋体"/>
                <w:color w:val="auto"/>
                <w:sz w:val="24"/>
                <w:highlight w:val="none"/>
              </w:rPr>
            </w:pPr>
            <w:r>
              <w:rPr>
                <w:rFonts w:ascii="宋体" w:hAnsi="宋体" w:cs="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pPr>
              <w:spacing w:line="360" w:lineRule="atLeast"/>
              <w:jc w:val="center"/>
              <w:rPr>
                <w:rFonts w:hint="default" w:ascii="宋体" w:hAnsi="宋体" w:cs="宋体"/>
                <w:color w:val="auto"/>
                <w:sz w:val="24"/>
                <w:highlight w:val="none"/>
              </w:rPr>
            </w:pPr>
          </w:p>
        </w:tc>
        <w:tc>
          <w:tcPr>
            <w:tcW w:w="1988" w:type="dxa"/>
            <w:vAlign w:val="center"/>
          </w:tcPr>
          <w:p>
            <w:pPr>
              <w:spacing w:line="360" w:lineRule="atLeast"/>
              <w:jc w:val="center"/>
              <w:rPr>
                <w:rFonts w:hint="default" w:ascii="宋体" w:hAnsi="宋体" w:cs="宋体"/>
                <w:color w:val="auto"/>
                <w:sz w:val="24"/>
                <w:highlight w:val="none"/>
              </w:rPr>
            </w:pPr>
          </w:p>
        </w:tc>
        <w:tc>
          <w:tcPr>
            <w:tcW w:w="1431"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c>
          <w:tcPr>
            <w:tcW w:w="2178" w:type="dxa"/>
            <w:vAlign w:val="center"/>
          </w:tcPr>
          <w:p>
            <w:pPr>
              <w:spacing w:line="360" w:lineRule="atLeast"/>
              <w:jc w:val="center"/>
              <w:rPr>
                <w:rFonts w:hint="default" w:ascii="宋体" w:hAnsi="宋体" w:cs="宋体"/>
                <w:color w:val="auto"/>
                <w:sz w:val="24"/>
                <w:highlight w:val="none"/>
              </w:rPr>
            </w:pPr>
          </w:p>
        </w:tc>
        <w:tc>
          <w:tcPr>
            <w:tcW w:w="1242" w:type="dxa"/>
            <w:vAlign w:val="center"/>
          </w:tcPr>
          <w:p>
            <w:pPr>
              <w:spacing w:line="360" w:lineRule="atLeast"/>
              <w:jc w:val="center"/>
              <w:rPr>
                <w:rFonts w:hint="default" w:ascii="宋体" w:hAnsi="宋体" w:cs="宋体"/>
                <w:color w:val="auto"/>
                <w:sz w:val="24"/>
                <w:highlight w:val="none"/>
              </w:rPr>
            </w:pPr>
          </w:p>
        </w:tc>
      </w:tr>
    </w:tbl>
    <w:p>
      <w:pPr>
        <w:adjustRightInd w:val="0"/>
        <w:rPr>
          <w:rFonts w:hint="default" w:ascii="宋体" w:hAnsi="宋体" w:cs="宋体"/>
          <w:color w:val="auto"/>
          <w:szCs w:val="21"/>
          <w:highlight w:val="none"/>
        </w:rPr>
      </w:pPr>
    </w:p>
    <w:p>
      <w:pPr>
        <w:adjustRightInd w:val="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ind w:firstLine="4158" w:firstLineChars="198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adjustRightInd w:val="0"/>
        <w:ind w:firstLine="4158" w:firstLineChars="1980"/>
        <w:rPr>
          <w:rFonts w:hint="default" w:ascii="宋体" w:hAnsi="宋体" w:cs="宋体"/>
          <w:color w:val="auto"/>
          <w:szCs w:val="21"/>
          <w:highlight w:val="none"/>
        </w:rPr>
      </w:pPr>
    </w:p>
    <w:p>
      <w:pPr>
        <w:spacing w:line="360" w:lineRule="atLeast"/>
        <w:jc w:val="center"/>
        <w:rPr>
          <w:rFonts w:hint="default" w:ascii="宋体" w:hAnsi="宋体" w:cs="宋体"/>
          <w:color w:val="auto"/>
          <w:szCs w:val="21"/>
          <w:highlight w:val="none"/>
        </w:rPr>
      </w:pPr>
      <w:r>
        <w:rPr>
          <w:rFonts w:ascii="宋体" w:hAnsi="宋体" w:cs="宋体"/>
          <w:color w:val="auto"/>
          <w:szCs w:val="21"/>
          <w:highlight w:val="none"/>
        </w:rPr>
        <w:t xml:space="preserve">                      日  期：</w:t>
      </w:r>
    </w:p>
    <w:p>
      <w:pPr>
        <w:spacing w:line="360" w:lineRule="atLeast"/>
        <w:rPr>
          <w:rFonts w:hint="default" w:ascii="宋体" w:hAnsi="宋体" w:cs="宋体"/>
          <w:b/>
          <w:bCs/>
          <w:color w:val="auto"/>
          <w:szCs w:val="21"/>
          <w:highlight w:val="none"/>
        </w:rPr>
      </w:pPr>
      <w:r>
        <w:rPr>
          <w:rFonts w:ascii="宋体" w:hAnsi="宋体" w:cs="宋体"/>
          <w:color w:val="auto"/>
          <w:highlight w:val="none"/>
        </w:rPr>
        <w:br w:type="page"/>
      </w:r>
      <w:bookmarkStart w:id="234" w:name="_Toc105141032"/>
      <w:bookmarkEnd w:id="234"/>
      <w:r>
        <w:rPr>
          <w:rFonts w:ascii="宋体" w:hAnsi="宋体" w:cs="宋体"/>
          <w:b/>
          <w:bCs/>
          <w:color w:val="auto"/>
          <w:szCs w:val="21"/>
          <w:highlight w:val="none"/>
        </w:rPr>
        <w:t>3.13</w:t>
      </w:r>
    </w:p>
    <w:p>
      <w:pPr>
        <w:spacing w:line="360" w:lineRule="atLeast"/>
        <w:jc w:val="center"/>
        <w:rPr>
          <w:rFonts w:hint="default" w:ascii="宋体" w:hAnsi="宋体" w:cs="宋体"/>
          <w:b/>
          <w:bCs/>
          <w:color w:val="auto"/>
          <w:sz w:val="24"/>
          <w:highlight w:val="none"/>
        </w:rPr>
      </w:pPr>
      <w:r>
        <w:rPr>
          <w:rFonts w:ascii="宋体" w:hAnsi="宋体" w:cs="宋体"/>
          <w:b/>
          <w:bCs/>
          <w:color w:val="auto"/>
          <w:sz w:val="24"/>
          <w:highlight w:val="none"/>
        </w:rPr>
        <w:t>实施进度计划表</w:t>
      </w:r>
    </w:p>
    <w:p>
      <w:pPr>
        <w:spacing w:line="300" w:lineRule="auto"/>
        <w:rPr>
          <w:rFonts w:hint="default" w:ascii="宋体" w:hAnsi="宋体" w:cs="宋体"/>
          <w:b/>
          <w:bCs/>
          <w:color w:val="auto"/>
          <w:szCs w:val="21"/>
          <w:highlight w:val="none"/>
        </w:rPr>
      </w:pPr>
    </w:p>
    <w:p>
      <w:pPr>
        <w:spacing w:line="360" w:lineRule="auto"/>
        <w:rPr>
          <w:rFonts w:hint="default" w:ascii="宋体" w:hAnsi="宋体" w:cs="宋体"/>
          <w:color w:val="auto"/>
          <w:szCs w:val="21"/>
          <w:highlight w:val="none"/>
        </w:rPr>
      </w:pPr>
      <w:r>
        <w:rPr>
          <w:rFonts w:ascii="宋体" w:hAnsi="宋体" w:cs="宋体"/>
          <w:color w:val="auto"/>
          <w:szCs w:val="21"/>
          <w:highlight w:val="none"/>
        </w:rPr>
        <w:t>项目名称：                                             项目编号：</w:t>
      </w:r>
    </w:p>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(以生效日算起) </w:t>
      </w:r>
    </w:p>
    <w:tbl>
      <w:tblPr>
        <w:tblStyle w:val="43"/>
        <w:tblW w:w="0" w:type="auto"/>
        <w:tblInd w:w="-252" w:type="dxa"/>
        <w:tblLayout w:type="fixed"/>
        <w:tblCellMar>
          <w:top w:w="0" w:type="dxa"/>
          <w:left w:w="108" w:type="dxa"/>
          <w:bottom w:w="0" w:type="dxa"/>
          <w:right w:w="108" w:type="dxa"/>
        </w:tblCellMar>
      </w:tblPr>
      <w:tblGrid>
        <w:gridCol w:w="1620"/>
        <w:gridCol w:w="874"/>
        <w:gridCol w:w="874"/>
        <w:gridCol w:w="874"/>
        <w:gridCol w:w="875"/>
        <w:gridCol w:w="874"/>
        <w:gridCol w:w="874"/>
        <w:gridCol w:w="875"/>
      </w:tblGrid>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时间进度</w:t>
            </w:r>
          </w:p>
        </w:tc>
        <w:tc>
          <w:tcPr>
            <w:tcW w:w="8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1</w:t>
            </w:r>
          </w:p>
        </w:tc>
        <w:tc>
          <w:tcPr>
            <w:tcW w:w="8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2</w:t>
            </w:r>
          </w:p>
        </w:tc>
        <w:tc>
          <w:tcPr>
            <w:tcW w:w="8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3</w:t>
            </w: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4</w:t>
            </w:r>
          </w:p>
        </w:tc>
        <w:tc>
          <w:tcPr>
            <w:tcW w:w="8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5</w:t>
            </w:r>
          </w:p>
        </w:tc>
        <w:tc>
          <w:tcPr>
            <w:tcW w:w="8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6</w:t>
            </w: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7</w:t>
            </w: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4"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c>
          <w:tcPr>
            <w:tcW w:w="875"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bl>
    <w:p>
      <w:pPr>
        <w:spacing w:line="360" w:lineRule="auto"/>
        <w:rPr>
          <w:rFonts w:hint="default" w:ascii="宋体" w:hAnsi="宋体" w:cs="宋体"/>
          <w:color w:val="auto"/>
          <w:szCs w:val="21"/>
          <w:highlight w:val="none"/>
        </w:rPr>
      </w:pPr>
    </w:p>
    <w:p>
      <w:pPr>
        <w:adjustRightIn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注：上述时间表的格式仅供参考，采购人可自行编制切合实际的具体时间表。</w:t>
      </w: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ind w:firstLine="4158" w:firstLineChars="198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adjustRightInd w:val="0"/>
        <w:ind w:firstLine="4158" w:firstLineChars="1980"/>
        <w:rPr>
          <w:rFonts w:hint="default" w:ascii="宋体" w:hAnsi="宋体" w:cs="宋体"/>
          <w:color w:val="auto"/>
          <w:szCs w:val="21"/>
          <w:highlight w:val="none"/>
        </w:rPr>
      </w:pPr>
    </w:p>
    <w:p>
      <w:pPr>
        <w:spacing w:line="360" w:lineRule="atLeast"/>
        <w:ind w:firstLine="4200" w:firstLineChars="2000"/>
        <w:rPr>
          <w:rFonts w:hint="default" w:ascii="宋体" w:hAnsi="宋体" w:cs="宋体"/>
          <w:color w:val="auto"/>
          <w:szCs w:val="21"/>
          <w:highlight w:val="none"/>
        </w:rPr>
      </w:pPr>
      <w:r>
        <w:rPr>
          <w:rFonts w:ascii="宋体" w:hAnsi="宋体" w:cs="宋体"/>
          <w:color w:val="auto"/>
          <w:szCs w:val="21"/>
          <w:highlight w:val="none"/>
        </w:rPr>
        <w:t>日  期：</w:t>
      </w:r>
    </w:p>
    <w:p>
      <w:pPr>
        <w:adjustRightInd w:val="0"/>
        <w:spacing w:line="360" w:lineRule="auto"/>
        <w:rPr>
          <w:rFonts w:hint="default" w:ascii="宋体" w:hAnsi="宋体" w:cs="宋体"/>
          <w:b/>
          <w:bCs/>
          <w:color w:val="auto"/>
          <w:szCs w:val="21"/>
          <w:highlight w:val="none"/>
        </w:rPr>
      </w:pPr>
    </w:p>
    <w:p>
      <w:pPr>
        <w:spacing w:line="360" w:lineRule="atLeast"/>
        <w:rPr>
          <w:rFonts w:hint="default" w:ascii="宋体" w:hAnsi="宋体" w:cs="宋体"/>
          <w:b/>
          <w:bCs/>
          <w:color w:val="auto"/>
          <w:szCs w:val="21"/>
          <w:highlight w:val="none"/>
        </w:rPr>
      </w:pPr>
      <w:r>
        <w:rPr>
          <w:rFonts w:ascii="宋体" w:hAnsi="宋体" w:cs="宋体"/>
          <w:b/>
          <w:bCs/>
          <w:color w:val="auto"/>
          <w:sz w:val="28"/>
          <w:szCs w:val="28"/>
          <w:highlight w:val="none"/>
        </w:rPr>
        <w:br w:type="page"/>
      </w:r>
      <w:r>
        <w:rPr>
          <w:rFonts w:ascii="宋体" w:hAnsi="宋体" w:cs="宋体"/>
          <w:b/>
          <w:bCs/>
          <w:color w:val="auto"/>
          <w:szCs w:val="21"/>
          <w:highlight w:val="none"/>
        </w:rPr>
        <w:t>3.14</w:t>
      </w:r>
    </w:p>
    <w:p>
      <w:pPr>
        <w:spacing w:line="360" w:lineRule="atLeast"/>
        <w:jc w:val="center"/>
        <w:rPr>
          <w:rFonts w:hint="default" w:ascii="宋体" w:hAnsi="宋体" w:cs="宋体"/>
          <w:b/>
          <w:bCs/>
          <w:color w:val="auto"/>
          <w:sz w:val="24"/>
          <w:highlight w:val="none"/>
        </w:rPr>
      </w:pPr>
      <w:r>
        <w:rPr>
          <w:rFonts w:ascii="宋体" w:hAnsi="宋体" w:cs="宋体"/>
          <w:b/>
          <w:bCs/>
          <w:color w:val="auto"/>
          <w:sz w:val="24"/>
          <w:highlight w:val="none"/>
        </w:rPr>
        <w:t>售后服务表</w:t>
      </w:r>
    </w:p>
    <w:p>
      <w:pPr>
        <w:spacing w:line="360" w:lineRule="auto"/>
        <w:ind w:firstLine="210" w:firstLineChars="100"/>
        <w:rPr>
          <w:rFonts w:hint="default" w:ascii="宋体" w:hAnsi="宋体" w:cs="宋体"/>
          <w:color w:val="auto"/>
          <w:szCs w:val="21"/>
          <w:highlight w:val="none"/>
        </w:rPr>
      </w:pPr>
      <w:r>
        <w:rPr>
          <w:rFonts w:ascii="宋体" w:hAnsi="宋体" w:cs="宋体"/>
          <w:color w:val="auto"/>
          <w:szCs w:val="21"/>
          <w:highlight w:val="none"/>
        </w:rPr>
        <w:t>投标人名称：（加盖公章）</w:t>
      </w:r>
    </w:p>
    <w:tbl>
      <w:tblPr>
        <w:tblStyle w:val="43"/>
        <w:tblW w:w="0" w:type="auto"/>
        <w:tblInd w:w="135" w:type="dxa"/>
        <w:tblLayout w:type="fixed"/>
        <w:tblCellMar>
          <w:top w:w="0" w:type="dxa"/>
          <w:left w:w="108" w:type="dxa"/>
          <w:bottom w:w="0" w:type="dxa"/>
          <w:right w:w="108" w:type="dxa"/>
        </w:tblCellMar>
      </w:tblPr>
      <w:tblGrid>
        <w:gridCol w:w="843"/>
        <w:gridCol w:w="8176"/>
      </w:tblGrid>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序号</w:t>
            </w:r>
          </w:p>
        </w:tc>
        <w:tc>
          <w:tcPr>
            <w:tcW w:w="8176"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售后服务内容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1</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维修网点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2</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维修人员</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3</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免费保修期限</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4</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响应时间</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5</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服务承诺（售后服务范围和内容）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6</w:t>
            </w: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r>
              <w:rPr>
                <w:rFonts w:ascii="宋体" w:hAnsi="宋体" w:cs="宋体"/>
                <w:color w:val="auto"/>
                <w:szCs w:val="21"/>
                <w:highlight w:val="none"/>
              </w:rPr>
              <w:t>免费保修期后的服务费</w:t>
            </w: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Cs w:val="21"/>
                <w:highlight w:val="none"/>
              </w:rPr>
            </w:pPr>
          </w:p>
        </w:tc>
        <w:tc>
          <w:tcPr>
            <w:tcW w:w="8176" w:type="dxa"/>
            <w:tcBorders>
              <w:top w:val="single" w:color="auto" w:sz="4" w:space="0"/>
              <w:left w:val="nil"/>
              <w:bottom w:val="single" w:color="auto" w:sz="4" w:space="0"/>
              <w:right w:val="single" w:color="auto" w:sz="4" w:space="0"/>
            </w:tcBorders>
          </w:tcPr>
          <w:p>
            <w:pPr>
              <w:spacing w:line="360" w:lineRule="auto"/>
              <w:jc w:val="center"/>
              <w:rPr>
                <w:rFonts w:hint="default" w:ascii="宋体" w:hAnsi="宋体" w:cs="宋体"/>
                <w:color w:val="auto"/>
                <w:szCs w:val="21"/>
                <w:highlight w:val="none"/>
              </w:rPr>
            </w:pPr>
          </w:p>
        </w:tc>
      </w:tr>
    </w:tbl>
    <w:p>
      <w:pPr>
        <w:spacing w:line="360" w:lineRule="auto"/>
        <w:rPr>
          <w:rFonts w:hint="default" w:ascii="宋体" w:hAnsi="宋体" w:cs="宋体"/>
          <w:color w:val="auto"/>
          <w:szCs w:val="21"/>
          <w:highlight w:val="none"/>
        </w:rPr>
      </w:pPr>
      <w:r>
        <w:rPr>
          <w:rFonts w:ascii="宋体" w:hAnsi="宋体" w:cs="宋体"/>
          <w:color w:val="auto"/>
          <w:szCs w:val="21"/>
          <w:highlight w:val="none"/>
        </w:rPr>
        <w:t>注：表中相关内容亦可以附件形式进行描述，内容可自行添加。</w:t>
      </w: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spacing w:line="360" w:lineRule="atLeast"/>
        <w:ind w:firstLine="4200" w:firstLineChars="2000"/>
        <w:rPr>
          <w:rFonts w:hint="default" w:ascii="宋体" w:hAnsi="宋体" w:cs="宋体"/>
          <w:color w:val="auto"/>
          <w:szCs w:val="21"/>
          <w:highlight w:val="none"/>
        </w:rPr>
      </w:pPr>
      <w:r>
        <w:rPr>
          <w:rFonts w:ascii="宋体" w:hAnsi="宋体" w:cs="宋体"/>
          <w:color w:val="auto"/>
          <w:szCs w:val="21"/>
          <w:highlight w:val="none"/>
        </w:rPr>
        <w:t>日  期：</w:t>
      </w:r>
    </w:p>
    <w:p>
      <w:pPr>
        <w:snapToGrid w:val="0"/>
        <w:spacing w:line="360" w:lineRule="auto"/>
        <w:rPr>
          <w:rFonts w:hint="default" w:ascii="宋体" w:hAnsi="宋体" w:cs="宋体"/>
          <w:snapToGrid w:val="0"/>
          <w:color w:val="auto"/>
          <w:kern w:val="0"/>
          <w:szCs w:val="21"/>
          <w:highlight w:val="none"/>
        </w:rPr>
      </w:pPr>
    </w:p>
    <w:p>
      <w:pPr>
        <w:spacing w:line="360" w:lineRule="atLeast"/>
        <w:outlineLvl w:val="1"/>
        <w:rPr>
          <w:rFonts w:hint="default" w:ascii="宋体" w:hAnsi="宋体" w:cs="宋体"/>
          <w:b/>
          <w:bCs/>
          <w:color w:val="auto"/>
          <w:sz w:val="24"/>
          <w:highlight w:val="none"/>
        </w:rPr>
      </w:pPr>
      <w:r>
        <w:rPr>
          <w:rFonts w:ascii="宋体" w:hAnsi="宋体" w:cs="宋体"/>
          <w:color w:val="auto"/>
          <w:sz w:val="24"/>
          <w:highlight w:val="none"/>
        </w:rPr>
        <w:br w:type="page"/>
      </w:r>
      <w:bookmarkStart w:id="235" w:name="_Toc31510"/>
      <w:bookmarkStart w:id="236" w:name="_Toc28558"/>
      <w:r>
        <w:rPr>
          <w:rFonts w:ascii="宋体" w:hAnsi="宋体" w:cs="宋体"/>
          <w:b/>
          <w:bCs/>
          <w:color w:val="auto"/>
          <w:sz w:val="24"/>
          <w:highlight w:val="none"/>
        </w:rPr>
        <w:t>四、报价响应文件部分格式</w:t>
      </w:r>
      <w:bookmarkEnd w:id="235"/>
      <w:bookmarkEnd w:id="236"/>
    </w:p>
    <w:p>
      <w:pPr>
        <w:autoSpaceDE w:val="0"/>
        <w:autoSpaceDN w:val="0"/>
        <w:adjustRightInd w:val="0"/>
        <w:spacing w:line="360" w:lineRule="auto"/>
        <w:rPr>
          <w:rFonts w:hint="default" w:ascii="宋体" w:hAnsi="宋体" w:cs="宋体"/>
          <w:b/>
          <w:bCs/>
          <w:color w:val="auto"/>
          <w:szCs w:val="21"/>
          <w:highlight w:val="none"/>
        </w:rPr>
      </w:pPr>
      <w:r>
        <w:rPr>
          <w:rFonts w:ascii="宋体" w:hAnsi="宋体" w:cs="宋体"/>
          <w:b/>
          <w:bCs/>
          <w:color w:val="auto"/>
          <w:szCs w:val="21"/>
          <w:highlight w:val="none"/>
        </w:rPr>
        <w:t>4.1开标一览表</w:t>
      </w:r>
    </w:p>
    <w:p>
      <w:pPr>
        <w:adjustRightInd w:val="0"/>
        <w:spacing w:line="360" w:lineRule="auto"/>
        <w:jc w:val="center"/>
        <w:rPr>
          <w:rFonts w:hint="default" w:ascii="宋体" w:hAnsi="宋体" w:cs="宋体"/>
          <w:b/>
          <w:color w:val="auto"/>
          <w:sz w:val="24"/>
          <w:highlight w:val="none"/>
        </w:rPr>
      </w:pPr>
      <w:r>
        <w:rPr>
          <w:rFonts w:ascii="宋体" w:hAnsi="宋体" w:cs="宋体"/>
          <w:b/>
          <w:color w:val="auto"/>
          <w:sz w:val="24"/>
          <w:highlight w:val="none"/>
        </w:rPr>
        <w:t>开标一览表</w:t>
      </w:r>
    </w:p>
    <w:p>
      <w:pPr>
        <w:adjustRightInd w:val="0"/>
        <w:spacing w:line="360" w:lineRule="auto"/>
        <w:rPr>
          <w:rFonts w:hint="default" w:ascii="宋体" w:hAnsi="宋体" w:cs="宋体"/>
          <w:color w:val="auto"/>
          <w:szCs w:val="21"/>
          <w:highlight w:val="none"/>
        </w:rPr>
      </w:pPr>
      <w:r>
        <w:rPr>
          <w:rFonts w:ascii="宋体" w:hAnsi="宋体" w:cs="宋体"/>
          <w:color w:val="auto"/>
          <w:szCs w:val="21"/>
          <w:highlight w:val="none"/>
        </w:rPr>
        <w:t>项目名称：_________________项目编号：__________________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22" w:type="dxa"/>
            <w:vAlign w:val="center"/>
          </w:tcPr>
          <w:p>
            <w:pPr>
              <w:adjustRightInd w:val="0"/>
              <w:spacing w:line="360" w:lineRule="auto"/>
              <w:rPr>
                <w:rFonts w:hint="default" w:ascii="宋体" w:hAnsi="宋体" w:cs="宋体"/>
                <w:color w:val="auto"/>
                <w:szCs w:val="21"/>
                <w:highlight w:val="none"/>
              </w:rPr>
            </w:pPr>
            <w:r>
              <w:rPr>
                <w:rFonts w:ascii="宋体" w:hAnsi="宋体" w:cs="宋体"/>
                <w:color w:val="auto"/>
                <w:szCs w:val="21"/>
                <w:highlight w:val="none"/>
              </w:rPr>
              <w:t>投标总价（人民币）_______________元，大写_______________</w:t>
            </w:r>
          </w:p>
        </w:tc>
      </w:tr>
    </w:tbl>
    <w:p>
      <w:pPr>
        <w:adjustRightInd w:val="0"/>
        <w:spacing w:line="360" w:lineRule="auto"/>
        <w:jc w:val="left"/>
        <w:rPr>
          <w:rFonts w:hint="default" w:ascii="宋体" w:hAnsi="宋体" w:cs="宋体"/>
          <w:color w:val="auto"/>
          <w:szCs w:val="21"/>
          <w:highlight w:val="none"/>
        </w:rPr>
      </w:pPr>
    </w:p>
    <w:p>
      <w:pPr>
        <w:adjustRightInd w:val="0"/>
        <w:spacing w:line="360" w:lineRule="auto"/>
        <w:rPr>
          <w:rFonts w:hint="default" w:ascii="宋体" w:hAnsi="宋体" w:cs="宋体"/>
          <w:color w:val="auto"/>
          <w:szCs w:val="21"/>
          <w:highlight w:val="none"/>
        </w:rPr>
      </w:pPr>
      <w:r>
        <w:rPr>
          <w:rFonts w:ascii="宋体" w:hAnsi="宋体" w:cs="宋体"/>
          <w:color w:val="auto"/>
          <w:szCs w:val="21"/>
          <w:highlight w:val="none"/>
        </w:rPr>
        <w:t>注：1．“报价方式”以一次报清，完成本项目所需的所有费用必须包含在投标总价中，如以后已实施而未列入报价的费用将被视为已含在总价内，采购人均不予支付。</w:t>
      </w:r>
    </w:p>
    <w:p>
      <w:pPr>
        <w:adjustRightInd w:val="0"/>
        <w:spacing w:line="360" w:lineRule="auto"/>
        <w:ind w:firstLine="420" w:firstLineChars="200"/>
        <w:rPr>
          <w:rFonts w:hint="default" w:ascii="宋体" w:hAnsi="宋体" w:cs="宋体"/>
          <w:color w:val="auto"/>
          <w:szCs w:val="21"/>
          <w:highlight w:val="none"/>
        </w:rPr>
      </w:pPr>
    </w:p>
    <w:p>
      <w:pPr>
        <w:adjustRightInd w:val="0"/>
        <w:spacing w:line="360" w:lineRule="auto"/>
        <w:ind w:firstLine="420" w:firstLineChars="200"/>
        <w:rPr>
          <w:rFonts w:hint="default" w:ascii="宋体" w:hAnsi="宋体" w:cs="宋体"/>
          <w:color w:val="auto"/>
          <w:szCs w:val="21"/>
          <w:highlight w:val="none"/>
        </w:rPr>
      </w:pPr>
    </w:p>
    <w:p>
      <w:pPr>
        <w:adjustRightInd w:val="0"/>
        <w:spacing w:line="360" w:lineRule="auto"/>
        <w:ind w:firstLine="420" w:firstLineChars="200"/>
        <w:rPr>
          <w:rFonts w:hint="default" w:ascii="宋体" w:hAnsi="宋体" w:cs="宋体"/>
          <w:color w:val="auto"/>
          <w:szCs w:val="21"/>
          <w:highlight w:val="none"/>
        </w:rPr>
      </w:pPr>
    </w:p>
    <w:p>
      <w:pPr>
        <w:adjustRightInd w:val="0"/>
        <w:spacing w:line="360" w:lineRule="auto"/>
        <w:ind w:firstLine="420" w:firstLineChars="200"/>
        <w:rPr>
          <w:rFonts w:hint="default" w:ascii="宋体" w:hAnsi="宋体" w:cs="宋体"/>
          <w:color w:val="auto"/>
          <w:szCs w:val="21"/>
          <w:highlight w:val="none"/>
        </w:rPr>
      </w:pPr>
    </w:p>
    <w:p>
      <w:pPr>
        <w:adjustRightInd w:val="0"/>
        <w:spacing w:line="360" w:lineRule="auto"/>
        <w:ind w:firstLine="4515" w:firstLineChars="215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spacing w:line="360" w:lineRule="auto"/>
        <w:ind w:firstLine="4515" w:firstLineChars="215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pStyle w:val="23"/>
        <w:spacing w:line="420" w:lineRule="exact"/>
        <w:ind w:firstLine="4515" w:firstLineChars="2150"/>
        <w:rPr>
          <w:rFonts w:ascii="宋体" w:hAnsi="宋体" w:eastAsia="宋体" w:cs="宋体"/>
          <w:color w:val="auto"/>
          <w:highlight w:val="none"/>
        </w:rPr>
      </w:pPr>
      <w:bookmarkStart w:id="237" w:name="_Toc15881"/>
      <w:r>
        <w:rPr>
          <w:rFonts w:hint="eastAsia" w:ascii="宋体" w:hAnsi="宋体" w:eastAsia="宋体" w:cs="宋体"/>
          <w:color w:val="auto"/>
          <w:highlight w:val="none"/>
        </w:rPr>
        <w:t>日期：</w:t>
      </w:r>
      <w:bookmarkEnd w:id="237"/>
    </w:p>
    <w:p>
      <w:pPr>
        <w:spacing w:line="360" w:lineRule="atLeast"/>
        <w:rPr>
          <w:rFonts w:hint="default" w:ascii="宋体" w:hAnsi="宋体" w:cs="宋体"/>
          <w:b/>
          <w:color w:val="auto"/>
          <w:szCs w:val="21"/>
          <w:highlight w:val="none"/>
        </w:rPr>
      </w:pPr>
      <w:r>
        <w:rPr>
          <w:rFonts w:ascii="宋体" w:hAnsi="宋体" w:cs="宋体"/>
          <w:color w:val="auto"/>
          <w:highlight w:val="none"/>
        </w:rPr>
        <w:br w:type="page"/>
      </w:r>
      <w:r>
        <w:rPr>
          <w:rFonts w:ascii="宋体" w:hAnsi="宋体" w:cs="宋体"/>
          <w:b/>
          <w:color w:val="auto"/>
          <w:szCs w:val="21"/>
          <w:highlight w:val="none"/>
        </w:rPr>
        <w:t>4.2报价相关表格</w:t>
      </w:r>
    </w:p>
    <w:p>
      <w:pPr>
        <w:spacing w:line="360" w:lineRule="auto"/>
        <w:jc w:val="center"/>
        <w:rPr>
          <w:rFonts w:hint="default" w:ascii="宋体" w:hAnsi="宋体" w:cs="宋体"/>
          <w:b/>
          <w:color w:val="auto"/>
          <w:sz w:val="28"/>
          <w:szCs w:val="28"/>
          <w:highlight w:val="none"/>
        </w:rPr>
      </w:pPr>
      <w:r>
        <w:rPr>
          <w:rFonts w:ascii="宋体" w:hAnsi="宋体" w:cs="宋体"/>
          <w:b/>
          <w:color w:val="auto"/>
          <w:sz w:val="24"/>
          <w:highlight w:val="none"/>
        </w:rPr>
        <w:t>分项价格表</w:t>
      </w:r>
    </w:p>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 xml:space="preserve">项目名称：                                 项目编号：     </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851"/>
        <w:gridCol w:w="851"/>
        <w:gridCol w:w="851"/>
        <w:gridCol w:w="851"/>
        <w:gridCol w:w="851"/>
        <w:gridCol w:w="992"/>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单位</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品牌</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型号</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产地</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单价</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r>
              <w:rPr>
                <w:rFonts w:ascii="宋体" w:hAnsi="宋体" w:cs="宋体"/>
                <w:color w:val="auto"/>
                <w:spacing w:val="-6"/>
                <w:sz w:val="24"/>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hint="default"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89"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hint="default" w:ascii="宋体" w:hAnsi="宋体" w:cs="宋体"/>
                <w:color w:val="auto"/>
                <w:spacing w:val="-6"/>
                <w:sz w:val="24"/>
                <w:highlight w:val="none"/>
              </w:rPr>
            </w:pPr>
            <w:r>
              <w:rPr>
                <w:rFonts w:ascii="宋体" w:hAnsi="宋体" w:cs="宋体"/>
                <w:color w:val="auto"/>
                <w:spacing w:val="-6"/>
                <w:sz w:val="24"/>
                <w:highlight w:val="none"/>
              </w:rPr>
              <w:t xml:space="preserve">投标总价： </w:t>
            </w:r>
          </w:p>
        </w:tc>
      </w:tr>
    </w:tbl>
    <w:p>
      <w:pPr>
        <w:tabs>
          <w:tab w:val="left" w:pos="1418"/>
        </w:tabs>
        <w:spacing w:line="360" w:lineRule="auto"/>
        <w:rPr>
          <w:rFonts w:hint="default" w:ascii="宋体" w:hAnsi="宋体" w:cs="宋体"/>
          <w:color w:val="auto"/>
          <w:spacing w:val="-6"/>
          <w:sz w:val="24"/>
          <w:highlight w:val="none"/>
          <w:u w:val="single"/>
        </w:rPr>
      </w:pPr>
    </w:p>
    <w:p>
      <w:pPr>
        <w:spacing w:after="120"/>
        <w:rPr>
          <w:rFonts w:hint="default" w:ascii="宋体" w:hAnsi="宋体" w:cs="宋体"/>
          <w:color w:val="auto"/>
          <w:szCs w:val="21"/>
          <w:highlight w:val="none"/>
        </w:rPr>
      </w:pPr>
    </w:p>
    <w:p>
      <w:pPr>
        <w:spacing w:after="12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投标人(盖公章)</w:t>
      </w:r>
    </w:p>
    <w:p>
      <w:pPr>
        <w:adjustRightInd w:val="0"/>
        <w:ind w:firstLine="4158" w:firstLineChars="1980"/>
        <w:rPr>
          <w:rFonts w:hint="default" w:ascii="宋体" w:hAnsi="宋体" w:cs="宋体"/>
          <w:color w:val="auto"/>
          <w:szCs w:val="21"/>
          <w:highlight w:val="none"/>
        </w:rPr>
      </w:pP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法定代表人或授权代表(签字或盖章)</w:t>
      </w:r>
    </w:p>
    <w:p>
      <w:pPr>
        <w:adjustRightInd w:val="0"/>
        <w:ind w:firstLine="4158" w:firstLineChars="1980"/>
        <w:rPr>
          <w:rFonts w:hint="default" w:ascii="宋体" w:hAnsi="宋体" w:cs="宋体"/>
          <w:color w:val="auto"/>
          <w:szCs w:val="21"/>
          <w:highlight w:val="none"/>
        </w:rPr>
      </w:pPr>
      <w:r>
        <w:rPr>
          <w:rFonts w:ascii="宋体" w:hAnsi="宋体" w:cs="宋体"/>
          <w:color w:val="auto"/>
          <w:szCs w:val="21"/>
          <w:highlight w:val="none"/>
        </w:rPr>
        <w:t>日期：</w:t>
      </w:r>
    </w:p>
    <w:p>
      <w:pPr>
        <w:pStyle w:val="23"/>
        <w:spacing w:line="420" w:lineRule="exact"/>
        <w:ind w:firstLine="4515" w:firstLineChars="2150"/>
        <w:rPr>
          <w:rFonts w:ascii="宋体" w:hAnsi="宋体" w:eastAsia="宋体" w:cs="宋体"/>
          <w:color w:val="auto"/>
          <w:highlight w:val="none"/>
        </w:rPr>
        <w:sectPr>
          <w:pgSz w:w="11906" w:h="16838"/>
          <w:pgMar w:top="1247" w:right="1588" w:bottom="1089" w:left="1588" w:header="851" w:footer="992" w:gutter="0"/>
          <w:cols w:space="720" w:num="1"/>
          <w:docGrid w:linePitch="312" w:charSpace="0"/>
        </w:sectPr>
      </w:pPr>
    </w:p>
    <w:p>
      <w:pPr>
        <w:snapToGrid w:val="0"/>
        <w:spacing w:line="360" w:lineRule="auto"/>
        <w:rPr>
          <w:rFonts w:hint="default" w:ascii="宋体" w:hAnsi="宋体" w:cs="宋体"/>
          <w:b/>
          <w:color w:val="auto"/>
          <w:szCs w:val="21"/>
          <w:highlight w:val="none"/>
        </w:rPr>
      </w:pPr>
      <w:r>
        <w:rPr>
          <w:rFonts w:ascii="宋体" w:hAnsi="宋体" w:cs="宋体"/>
          <w:b/>
          <w:color w:val="auto"/>
          <w:szCs w:val="21"/>
          <w:highlight w:val="none"/>
        </w:rPr>
        <w:t>4.3中小企业声明函</w:t>
      </w:r>
    </w:p>
    <w:p>
      <w:pPr>
        <w:pStyle w:val="2"/>
        <w:spacing w:line="600" w:lineRule="exact"/>
        <w:ind w:firstLine="0"/>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中小企业声明函（货物）</w:t>
      </w:r>
    </w:p>
    <w:p>
      <w:pPr>
        <w:pStyle w:val="18"/>
        <w:spacing w:before="2"/>
        <w:rPr>
          <w:rFonts w:hint="default" w:ascii="宋体"/>
          <w:b/>
          <w:color w:val="auto"/>
          <w:sz w:val="24"/>
          <w:highlight w:val="none"/>
        </w:rPr>
      </w:pPr>
    </w:p>
    <w:p>
      <w:pPr>
        <w:pStyle w:val="18"/>
        <w:autoSpaceDE w:val="0"/>
        <w:autoSpaceDN w:val="0"/>
        <w:spacing w:after="0" w:line="360" w:lineRule="auto"/>
        <w:ind w:right="-65" w:rightChars="-31" w:firstLine="420" w:firstLineChars="200"/>
        <w:rPr>
          <w:rFonts w:hint="default"/>
          <w:color w:val="auto"/>
          <w:szCs w:val="21"/>
          <w:highlight w:val="none"/>
        </w:rPr>
      </w:pPr>
      <w:r>
        <w:rPr>
          <w:color w:val="auto"/>
          <w:szCs w:val="21"/>
          <w:highlight w:val="none"/>
        </w:rPr>
        <w:t>本公司（联合体）郑重声明，根据《政府采购促进中小企业发展管理办法》（财库</w:t>
      </w:r>
      <w:r>
        <w:rPr>
          <w:rFonts w:ascii="宋体"/>
          <w:color w:val="auto"/>
          <w:szCs w:val="21"/>
          <w:highlight w:val="none"/>
        </w:rPr>
        <w:t>﹝</w:t>
      </w:r>
      <w:r>
        <w:rPr>
          <w:color w:val="auto"/>
          <w:szCs w:val="21"/>
          <w:highlight w:val="none"/>
        </w:rPr>
        <w:t>2020</w:t>
      </w:r>
      <w:r>
        <w:rPr>
          <w:rFonts w:ascii="宋体"/>
          <w:color w:val="auto"/>
          <w:szCs w:val="21"/>
          <w:highlight w:val="none"/>
        </w:rPr>
        <w:t>﹞</w:t>
      </w:r>
      <w:r>
        <w:rPr>
          <w:color w:val="auto"/>
          <w:szCs w:val="21"/>
          <w:highlight w:val="none"/>
        </w:rPr>
        <w:t>46 号）的规定，本公司（联合体）参加</w:t>
      </w:r>
      <w:r>
        <w:rPr>
          <w:i/>
          <w:color w:val="auto"/>
          <w:szCs w:val="21"/>
          <w:highlight w:val="none"/>
          <w:u w:val="single"/>
        </w:rPr>
        <w:t>（单位名称）</w:t>
      </w:r>
      <w:r>
        <w:rPr>
          <w:color w:val="auto"/>
          <w:szCs w:val="21"/>
          <w:highlight w:val="none"/>
        </w:rPr>
        <w:t>的</w:t>
      </w:r>
      <w:r>
        <w:rPr>
          <w:i/>
          <w:color w:val="auto"/>
          <w:szCs w:val="21"/>
          <w:highlight w:val="none"/>
          <w:u w:val="single"/>
        </w:rPr>
        <w:t>（项目名称）</w:t>
      </w:r>
      <w:r>
        <w:rPr>
          <w:color w:val="auto"/>
          <w:szCs w:val="21"/>
          <w:highlight w:val="none"/>
        </w:rPr>
        <w:t>采购活动，</w:t>
      </w:r>
      <w:r>
        <w:rPr>
          <w:b/>
          <w:bCs/>
          <w:color w:val="auto"/>
          <w:szCs w:val="21"/>
          <w:highlight w:val="none"/>
        </w:rPr>
        <w:t>提</w:t>
      </w:r>
      <w:r>
        <w:rPr>
          <w:b/>
          <w:bCs/>
          <w:color w:val="auto"/>
          <w:w w:val="95"/>
          <w:szCs w:val="21"/>
          <w:highlight w:val="none"/>
        </w:rPr>
        <w:t>供的货物全部由符合政策要求的中小企业制造。</w:t>
      </w:r>
      <w:r>
        <w:rPr>
          <w:color w:val="auto"/>
          <w:w w:val="95"/>
          <w:szCs w:val="21"/>
          <w:highlight w:val="none"/>
        </w:rPr>
        <w:t>相关企业</w:t>
      </w:r>
      <w:r>
        <w:rPr>
          <w:color w:val="auto"/>
          <w:szCs w:val="21"/>
          <w:highlight w:val="none"/>
        </w:rPr>
        <w:t>（含联合体中的中小企业、签订分包意向协议的中小企业）的具体情况如下：</w:t>
      </w:r>
    </w:p>
    <w:p>
      <w:pPr>
        <w:pStyle w:val="120"/>
        <w:tabs>
          <w:tab w:val="left" w:pos="1183"/>
          <w:tab w:val="left" w:pos="1484"/>
          <w:tab w:val="left" w:pos="4662"/>
          <w:tab w:val="left" w:pos="6903"/>
        </w:tabs>
        <w:autoSpaceDE w:val="0"/>
        <w:autoSpaceDN w:val="0"/>
        <w:spacing w:line="360" w:lineRule="auto"/>
        <w:ind w:right="-65" w:rightChars="-31" w:firstLine="373" w:firstLineChars="178"/>
        <w:jc w:val="left"/>
        <w:rPr>
          <w:rFonts w:hint="default"/>
          <w:color w:val="auto"/>
          <w:szCs w:val="21"/>
          <w:highlight w:val="none"/>
        </w:rPr>
      </w:pPr>
      <w:r>
        <w:rPr>
          <w:iCs/>
          <w:color w:val="auto"/>
          <w:szCs w:val="21"/>
          <w:highlight w:val="none"/>
        </w:rPr>
        <w:t>1.</w:t>
      </w:r>
      <w:r>
        <w:rPr>
          <w:i/>
          <w:color w:val="auto"/>
          <w:szCs w:val="21"/>
          <w:highlight w:val="none"/>
          <w:u w:val="single"/>
        </w:rPr>
        <w:t>（标的名称）</w:t>
      </w:r>
      <w:r>
        <w:rPr>
          <w:color w:val="auto"/>
          <w:szCs w:val="21"/>
          <w:highlight w:val="none"/>
        </w:rPr>
        <w:t>，属于</w:t>
      </w:r>
      <w:r>
        <w:rPr>
          <w:i/>
          <w:color w:val="auto"/>
          <w:szCs w:val="21"/>
          <w:highlight w:val="none"/>
        </w:rPr>
        <w:t>（</w:t>
      </w:r>
      <w:r>
        <w:rPr>
          <w:i/>
          <w:color w:val="auto"/>
          <w:szCs w:val="21"/>
          <w:highlight w:val="none"/>
          <w:u w:val="single"/>
        </w:rPr>
        <w:t>采购文件中明确的所属行业）</w:t>
      </w:r>
      <w:r>
        <w:rPr>
          <w:i/>
          <w:color w:val="auto"/>
          <w:w w:val="96"/>
          <w:szCs w:val="21"/>
          <w:highlight w:val="none"/>
          <w:u w:val="single"/>
        </w:rPr>
        <w:t>行业</w:t>
      </w:r>
      <w:r>
        <w:rPr>
          <w:color w:val="auto"/>
          <w:w w:val="99"/>
          <w:szCs w:val="21"/>
          <w:highlight w:val="none"/>
        </w:rPr>
        <w:t>；制造商为</w:t>
      </w:r>
      <w:r>
        <w:rPr>
          <w:i/>
          <w:color w:val="auto"/>
          <w:w w:val="96"/>
          <w:szCs w:val="21"/>
          <w:highlight w:val="none"/>
          <w:u w:val="single"/>
        </w:rPr>
        <w:t>（企业名称）</w:t>
      </w:r>
      <w:r>
        <w:rPr>
          <w:color w:val="auto"/>
          <w:w w:val="99"/>
          <w:szCs w:val="21"/>
          <w:highlight w:val="none"/>
        </w:rPr>
        <w:t>，从业人员人，营业收</w:t>
      </w:r>
      <w:r>
        <w:rPr>
          <w:color w:val="auto"/>
          <w:szCs w:val="21"/>
          <w:highlight w:val="none"/>
        </w:rPr>
        <w:t>入为万元，资产总额为</w:t>
      </w:r>
      <w:r>
        <w:rPr>
          <w:color w:val="auto"/>
          <w:szCs w:val="21"/>
          <w:highlight w:val="none"/>
          <w:u w:val="single"/>
        </w:rPr>
        <w:tab/>
      </w:r>
      <w:r>
        <w:rPr>
          <w:color w:val="auto"/>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szCs w:val="21"/>
          <w:highlight w:val="none"/>
          <w:vertAlign w:val="superscript"/>
        </w:rPr>
        <w:t>1</w:t>
      </w:r>
      <w:r>
        <w:rPr>
          <w:color w:val="auto"/>
          <w:szCs w:val="21"/>
          <w:highlight w:val="none"/>
          <w:vertAlign w:val="superscript"/>
        </w:rPr>
        <w:fldChar w:fldCharType="end"/>
      </w:r>
      <w:r>
        <w:rPr>
          <w:color w:val="auto"/>
          <w:szCs w:val="21"/>
          <w:highlight w:val="none"/>
        </w:rPr>
        <w:t>，属于</w:t>
      </w:r>
      <w:r>
        <w:rPr>
          <w:i/>
          <w:color w:val="auto"/>
          <w:szCs w:val="21"/>
          <w:highlight w:val="none"/>
          <w:u w:val="single"/>
        </w:rPr>
        <w:t>（中型企业、小</w:t>
      </w:r>
      <w:r>
        <w:rPr>
          <w:i/>
          <w:color w:val="auto"/>
          <w:w w:val="96"/>
          <w:szCs w:val="21"/>
          <w:highlight w:val="none"/>
          <w:u w:val="single"/>
        </w:rPr>
        <w:t>型企业、微型企业）</w:t>
      </w:r>
      <w:r>
        <w:rPr>
          <w:color w:val="auto"/>
          <w:w w:val="99"/>
          <w:szCs w:val="21"/>
          <w:highlight w:val="none"/>
        </w:rPr>
        <w:t>；</w:t>
      </w:r>
    </w:p>
    <w:p>
      <w:pPr>
        <w:pStyle w:val="120"/>
        <w:tabs>
          <w:tab w:val="left" w:pos="1165"/>
          <w:tab w:val="left" w:pos="1183"/>
          <w:tab w:val="left" w:pos="4362"/>
          <w:tab w:val="left" w:pos="6577"/>
        </w:tabs>
        <w:autoSpaceDE w:val="0"/>
        <w:autoSpaceDN w:val="0"/>
        <w:spacing w:line="360" w:lineRule="auto"/>
        <w:ind w:right="-65" w:rightChars="-31" w:firstLine="373" w:firstLineChars="178"/>
        <w:jc w:val="left"/>
        <w:rPr>
          <w:rFonts w:hint="default"/>
          <w:color w:val="auto"/>
          <w:szCs w:val="21"/>
          <w:highlight w:val="none"/>
        </w:rPr>
      </w:pPr>
      <w:r>
        <w:rPr>
          <w:iCs/>
          <w:color w:val="auto"/>
          <w:szCs w:val="21"/>
          <w:highlight w:val="none"/>
        </w:rPr>
        <w:t>2.</w:t>
      </w:r>
      <w:r>
        <w:rPr>
          <w:i/>
          <w:color w:val="auto"/>
          <w:szCs w:val="21"/>
          <w:highlight w:val="none"/>
          <w:u w:val="single"/>
        </w:rPr>
        <w:t>（标的名称）</w:t>
      </w:r>
      <w:r>
        <w:rPr>
          <w:color w:val="auto"/>
          <w:szCs w:val="21"/>
          <w:highlight w:val="none"/>
        </w:rPr>
        <w:t>，属于</w:t>
      </w:r>
      <w:r>
        <w:rPr>
          <w:i/>
          <w:color w:val="auto"/>
          <w:szCs w:val="21"/>
          <w:highlight w:val="none"/>
        </w:rPr>
        <w:t>（</w:t>
      </w:r>
      <w:r>
        <w:rPr>
          <w:i/>
          <w:color w:val="auto"/>
          <w:szCs w:val="21"/>
          <w:highlight w:val="none"/>
          <w:u w:val="single"/>
        </w:rPr>
        <w:t>采购文件中明确的所属行业）</w:t>
      </w:r>
      <w:r>
        <w:rPr>
          <w:i/>
          <w:color w:val="auto"/>
          <w:w w:val="96"/>
          <w:szCs w:val="21"/>
          <w:highlight w:val="none"/>
          <w:u w:val="single"/>
        </w:rPr>
        <w:t>行业</w:t>
      </w:r>
      <w:r>
        <w:rPr>
          <w:color w:val="auto"/>
          <w:w w:val="99"/>
          <w:szCs w:val="21"/>
          <w:highlight w:val="none"/>
        </w:rPr>
        <w:t>；制造商为</w:t>
      </w:r>
      <w:r>
        <w:rPr>
          <w:i/>
          <w:color w:val="auto"/>
          <w:w w:val="96"/>
          <w:szCs w:val="21"/>
          <w:highlight w:val="none"/>
          <w:u w:val="single"/>
        </w:rPr>
        <w:t>（企业名称）</w:t>
      </w:r>
      <w:r>
        <w:rPr>
          <w:color w:val="auto"/>
          <w:w w:val="99"/>
          <w:szCs w:val="21"/>
          <w:highlight w:val="none"/>
        </w:rPr>
        <w:t>，从业人员</w:t>
      </w:r>
      <w:r>
        <w:rPr>
          <w:rFonts w:eastAsia="Times New Roman"/>
          <w:color w:val="auto"/>
          <w:szCs w:val="21"/>
          <w:highlight w:val="none"/>
          <w:u w:val="single"/>
        </w:rPr>
        <w:tab/>
      </w:r>
      <w:r>
        <w:rPr>
          <w:color w:val="auto"/>
          <w:w w:val="99"/>
          <w:szCs w:val="21"/>
          <w:highlight w:val="none"/>
        </w:rPr>
        <w:t>人，营业收入</w:t>
      </w:r>
      <w:r>
        <w:rPr>
          <w:color w:val="auto"/>
          <w:szCs w:val="21"/>
          <w:highlight w:val="none"/>
        </w:rPr>
        <w:t>为</w:t>
      </w:r>
      <w:r>
        <w:rPr>
          <w:color w:val="auto"/>
          <w:szCs w:val="21"/>
          <w:highlight w:val="none"/>
          <w:u w:val="single"/>
        </w:rPr>
        <w:tab/>
      </w:r>
      <w:r>
        <w:rPr>
          <w:color w:val="auto"/>
          <w:szCs w:val="21"/>
          <w:highlight w:val="none"/>
        </w:rPr>
        <w:t>万元，资产总额为</w:t>
      </w:r>
      <w:r>
        <w:rPr>
          <w:color w:val="auto"/>
          <w:szCs w:val="21"/>
          <w:highlight w:val="none"/>
          <w:u w:val="single"/>
        </w:rPr>
        <w:tab/>
      </w:r>
      <w:r>
        <w:rPr>
          <w:color w:val="auto"/>
          <w:szCs w:val="21"/>
          <w:highlight w:val="none"/>
        </w:rPr>
        <w:t>万元，属于</w:t>
      </w:r>
      <w:r>
        <w:rPr>
          <w:i/>
          <w:color w:val="auto"/>
          <w:szCs w:val="21"/>
          <w:highlight w:val="none"/>
          <w:u w:val="single"/>
        </w:rPr>
        <w:t>（中型企业、小型</w:t>
      </w:r>
      <w:r>
        <w:rPr>
          <w:i/>
          <w:color w:val="auto"/>
          <w:w w:val="96"/>
          <w:szCs w:val="21"/>
          <w:highlight w:val="none"/>
          <w:u w:val="single"/>
        </w:rPr>
        <w:t>企业、微型企业）</w:t>
      </w:r>
      <w:r>
        <w:rPr>
          <w:color w:val="auto"/>
          <w:w w:val="99"/>
          <w:szCs w:val="21"/>
          <w:highlight w:val="none"/>
        </w:rPr>
        <w:t>；</w:t>
      </w:r>
    </w:p>
    <w:p>
      <w:pPr>
        <w:pStyle w:val="18"/>
        <w:autoSpaceDE w:val="0"/>
        <w:autoSpaceDN w:val="0"/>
        <w:spacing w:after="0" w:line="360" w:lineRule="auto"/>
        <w:ind w:right="-65" w:rightChars="-31" w:firstLine="478" w:firstLineChars="228"/>
        <w:rPr>
          <w:rFonts w:hint="default"/>
          <w:color w:val="auto"/>
          <w:szCs w:val="21"/>
          <w:highlight w:val="none"/>
        </w:rPr>
      </w:pPr>
      <w:r>
        <w:rPr>
          <w:color w:val="auto"/>
          <w:szCs w:val="21"/>
          <w:highlight w:val="none"/>
        </w:rPr>
        <w:t>……</w:t>
      </w:r>
    </w:p>
    <w:p>
      <w:pPr>
        <w:pStyle w:val="18"/>
        <w:autoSpaceDE w:val="0"/>
        <w:autoSpaceDN w:val="0"/>
        <w:spacing w:after="0" w:line="360" w:lineRule="auto"/>
        <w:ind w:right="-65" w:rightChars="-31" w:firstLine="420" w:firstLineChars="200"/>
        <w:rPr>
          <w:rFonts w:hint="default"/>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pPr>
        <w:pStyle w:val="18"/>
        <w:autoSpaceDE w:val="0"/>
        <w:autoSpaceDN w:val="0"/>
        <w:spacing w:after="0" w:line="360" w:lineRule="auto"/>
        <w:ind w:right="-65" w:rightChars="-31" w:firstLine="420" w:firstLineChars="200"/>
        <w:rPr>
          <w:rFonts w:hint="default"/>
          <w:color w:val="auto"/>
          <w:szCs w:val="21"/>
          <w:highlight w:val="none"/>
        </w:rPr>
      </w:pPr>
      <w:r>
        <w:rPr>
          <w:color w:val="auto"/>
          <w:szCs w:val="21"/>
          <w:highlight w:val="none"/>
        </w:rPr>
        <w:t>本企业对上述声明内容的真实性负责。如有虚假，将依法承担相应责任。</w:t>
      </w:r>
    </w:p>
    <w:p>
      <w:pPr>
        <w:pStyle w:val="18"/>
        <w:autoSpaceDE w:val="0"/>
        <w:autoSpaceDN w:val="0"/>
        <w:spacing w:after="0" w:line="360" w:lineRule="auto"/>
        <w:ind w:right="372" w:firstLine="645"/>
        <w:rPr>
          <w:rFonts w:hint="default"/>
          <w:color w:val="auto"/>
          <w:szCs w:val="21"/>
          <w:highlight w:val="none"/>
        </w:rPr>
      </w:pPr>
    </w:p>
    <w:p>
      <w:pPr>
        <w:pStyle w:val="18"/>
        <w:autoSpaceDE w:val="0"/>
        <w:autoSpaceDN w:val="0"/>
        <w:spacing w:after="0" w:line="360" w:lineRule="auto"/>
        <w:ind w:right="372" w:firstLine="645"/>
        <w:rPr>
          <w:rFonts w:hint="default"/>
          <w:color w:val="auto"/>
          <w:szCs w:val="21"/>
          <w:highlight w:val="none"/>
        </w:rPr>
      </w:pPr>
    </w:p>
    <w:p>
      <w:pPr>
        <w:pStyle w:val="18"/>
        <w:autoSpaceDE w:val="0"/>
        <w:autoSpaceDN w:val="0"/>
        <w:spacing w:after="0" w:line="360" w:lineRule="auto"/>
        <w:ind w:left="4060" w:right="2166"/>
        <w:rPr>
          <w:rFonts w:hint="default"/>
          <w:color w:val="auto"/>
          <w:w w:val="99"/>
          <w:szCs w:val="21"/>
          <w:highlight w:val="none"/>
        </w:rPr>
      </w:pPr>
      <w:r>
        <w:rPr>
          <w:color w:val="auto"/>
          <w:w w:val="99"/>
          <w:szCs w:val="21"/>
          <w:highlight w:val="none"/>
        </w:rPr>
        <w:t>供应商（盖公章）：</w:t>
      </w:r>
    </w:p>
    <w:p>
      <w:pPr>
        <w:pStyle w:val="18"/>
        <w:autoSpaceDE w:val="0"/>
        <w:autoSpaceDN w:val="0"/>
        <w:spacing w:after="0" w:line="360" w:lineRule="auto"/>
        <w:ind w:left="4060" w:right="2166"/>
        <w:rPr>
          <w:rFonts w:hint="default"/>
          <w:color w:val="auto"/>
          <w:szCs w:val="21"/>
          <w:highlight w:val="none"/>
        </w:rPr>
      </w:pPr>
      <w:r>
        <w:rPr>
          <w:color w:val="auto"/>
          <w:szCs w:val="21"/>
          <w:highlight w:val="none"/>
        </w:rPr>
        <w:t>日期：</w:t>
      </w:r>
    </w:p>
    <w:p>
      <w:pPr>
        <w:adjustRightInd w:val="0"/>
        <w:snapToGrid w:val="0"/>
        <w:spacing w:line="320" w:lineRule="exact"/>
        <w:rPr>
          <w:rFonts w:hint="default" w:ascii="宋体" w:hAnsi="宋体" w:cs="宋体"/>
          <w:b/>
          <w:color w:val="auto"/>
          <w:szCs w:val="21"/>
          <w:highlight w:val="none"/>
        </w:rPr>
      </w:pPr>
      <w:r>
        <w:rPr>
          <w:rFonts w:ascii="宋体" w:hAnsi="宋体" w:cs="宋体"/>
          <w:b/>
          <w:color w:val="auto"/>
          <w:szCs w:val="21"/>
          <w:highlight w:val="none"/>
        </w:rPr>
        <w:t>说明：</w:t>
      </w:r>
    </w:p>
    <w:p>
      <w:pPr>
        <w:adjustRightInd w:val="0"/>
        <w:snapToGrid w:val="0"/>
        <w:spacing w:line="320" w:lineRule="exact"/>
        <w:rPr>
          <w:rFonts w:hint="default" w:ascii="宋体" w:hAnsi="宋体" w:cs="宋体"/>
          <w:b/>
          <w:color w:val="auto"/>
          <w:sz w:val="18"/>
          <w:highlight w:val="none"/>
        </w:rPr>
      </w:pPr>
      <w:r>
        <w:rPr>
          <w:rFonts w:ascii="宋体" w:hAnsi="宋体" w:cs="宋体"/>
          <w:b/>
          <w:color w:val="auto"/>
          <w:szCs w:val="21"/>
          <w:highlight w:val="none"/>
        </w:rPr>
        <w:t>1.</w:t>
      </w:r>
      <w:r>
        <w:rPr>
          <w:rFonts w:ascii="宋体" w:hAnsi="宋体" w:cs="宋体"/>
          <w:b/>
          <w:color w:val="auto"/>
          <w:sz w:val="18"/>
          <w:highlight w:val="none"/>
        </w:rPr>
        <w:t>从业人员、营业收入、资产总额填报上一年度数据，无上一年度数据的新成立企业可不填报。</w:t>
      </w:r>
    </w:p>
    <w:p>
      <w:pPr>
        <w:adjustRightInd w:val="0"/>
        <w:snapToGrid w:val="0"/>
        <w:spacing w:line="320" w:lineRule="exact"/>
        <w:ind w:left="20"/>
        <w:jc w:val="left"/>
        <w:rPr>
          <w:rFonts w:ascii="宋体" w:hAnsi="宋体" w:cs="宋体"/>
          <w:b/>
          <w:color w:val="auto"/>
          <w:sz w:val="18"/>
          <w:highlight w:val="none"/>
        </w:rPr>
      </w:pPr>
      <w:r>
        <w:rPr>
          <w:rFonts w:ascii="宋体" w:hAnsi="宋体" w:cs="宋体"/>
          <w:b/>
          <w:color w:val="auto"/>
          <w:sz w:val="18"/>
          <w:highlight w:val="none"/>
        </w:rPr>
        <w:t>2.本项目所属行业为</w:t>
      </w:r>
      <w:r>
        <w:rPr>
          <w:rFonts w:ascii="宋体" w:hAnsi="宋体" w:cs="宋体"/>
          <w:b/>
          <w:color w:val="auto"/>
          <w:sz w:val="18"/>
          <w:highlight w:val="none"/>
          <w:u w:val="single"/>
        </w:rPr>
        <w:t>工业</w:t>
      </w:r>
      <w:r>
        <w:rPr>
          <w:rFonts w:ascii="宋体" w:hAnsi="宋体" w:cs="宋体"/>
          <w:b/>
          <w:color w:val="auto"/>
          <w:sz w:val="18"/>
          <w:highlight w:val="none"/>
        </w:rPr>
        <w:t>。括号内的（中型企业、小型企业、微型企业）必须选择其中一项。</w:t>
      </w:r>
    </w:p>
    <w:p>
      <w:pPr>
        <w:adjustRightInd w:val="0"/>
        <w:snapToGrid w:val="0"/>
        <w:spacing w:line="320" w:lineRule="exact"/>
        <w:ind w:left="20"/>
        <w:jc w:val="left"/>
        <w:rPr>
          <w:rFonts w:hint="default"/>
          <w:color w:val="auto"/>
          <w:highlight w:val="none"/>
        </w:rPr>
      </w:pPr>
      <w:r>
        <w:rPr>
          <w:rFonts w:ascii="宋体" w:hAnsi="宋体" w:cs="宋体"/>
          <w:b/>
          <w:color w:val="auto"/>
          <w:sz w:val="18"/>
          <w:highlight w:val="none"/>
        </w:rPr>
        <w:t>3.中小企业划型标准规定（工信部联企业[2011]300号）附后。</w:t>
      </w:r>
    </w:p>
    <w:p>
      <w:pPr>
        <w:adjustRightInd w:val="0"/>
        <w:snapToGrid w:val="0"/>
        <w:spacing w:line="320" w:lineRule="exact"/>
        <w:ind w:left="20"/>
        <w:jc w:val="left"/>
        <w:rPr>
          <w:rFonts w:hint="default"/>
          <w:color w:val="auto"/>
          <w:highlight w:val="none"/>
        </w:rPr>
      </w:pPr>
      <w:r>
        <w:rPr>
          <w:rFonts w:hint="eastAsia" w:eastAsia="宋体"/>
          <w:color w:val="auto"/>
          <w:highlight w:val="none"/>
        </w:rPr>
        <w:t>4.本项目含有多个标的物，必须针对所有标的物进行说明，且制造商情况应与报价明细表上的品牌一致。只有当每个采购标的物都由中小企业生产且使用该中小企业商号或者注册商标的，才能视作中小企业投标。</w:t>
      </w:r>
    </w:p>
    <w:p>
      <w:pPr>
        <w:pStyle w:val="2"/>
        <w:ind w:firstLine="0"/>
        <w:rPr>
          <w:color w:val="auto"/>
          <w:highlight w:val="none"/>
        </w:rPr>
      </w:pPr>
    </w:p>
    <w:p>
      <w:pPr>
        <w:rPr>
          <w:rFonts w:hint="default"/>
          <w:color w:val="auto"/>
          <w:highlight w:val="none"/>
        </w:rPr>
      </w:pPr>
    </w:p>
    <w:p>
      <w:pPr>
        <w:pStyle w:val="18"/>
        <w:autoSpaceDE w:val="0"/>
        <w:autoSpaceDN w:val="0"/>
        <w:spacing w:before="29" w:line="360" w:lineRule="auto"/>
        <w:ind w:left="4060" w:right="-54"/>
        <w:rPr>
          <w:rFonts w:hint="default"/>
          <w:color w:val="auto"/>
          <w:highlight w:val="none"/>
        </w:rPr>
        <w:sectPr>
          <w:footerReference r:id="rId8" w:type="default"/>
          <w:pgSz w:w="11906" w:h="16838"/>
          <w:pgMar w:top="1247" w:right="1588" w:bottom="1089" w:left="1588" w:header="851" w:footer="992" w:gutter="0"/>
          <w:cols w:space="720" w:num="1"/>
          <w:docGrid w:linePitch="312" w:charSpace="0"/>
        </w:sectPr>
      </w:pPr>
    </w:p>
    <w:p>
      <w:pPr>
        <w:pStyle w:val="18"/>
        <w:autoSpaceDE w:val="0"/>
        <w:autoSpaceDN w:val="0"/>
        <w:spacing w:before="29" w:line="360" w:lineRule="auto"/>
        <w:ind w:left="4060" w:right="-54"/>
        <w:rPr>
          <w:rFonts w:hint="default" w:ascii="宋体" w:hAnsi="宋体" w:cs="宋体"/>
          <w:b/>
          <w:color w:val="auto"/>
          <w:sz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13335</wp:posOffset>
            </wp:positionH>
            <wp:positionV relativeFrom="paragraph">
              <wp:posOffset>-13970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671560" cy="5244465"/>
                    </a:xfrm>
                    <a:prstGeom prst="rect">
                      <a:avLst/>
                    </a:prstGeom>
                    <a:noFill/>
                    <a:ln>
                      <a:noFill/>
                    </a:ln>
                  </pic:spPr>
                </pic:pic>
              </a:graphicData>
            </a:graphic>
          </wp:anchor>
        </w:drawing>
      </w:r>
    </w:p>
    <w:p>
      <w:pPr>
        <w:snapToGrid w:val="0"/>
        <w:spacing w:line="360" w:lineRule="auto"/>
        <w:rPr>
          <w:rFonts w:hint="default" w:ascii="宋体" w:hAnsi="宋体" w:cs="宋体"/>
          <w:b/>
          <w:color w:val="auto"/>
          <w:sz w:val="24"/>
          <w:highlight w:val="none"/>
        </w:rPr>
        <w:sectPr>
          <w:type w:val="continuous"/>
          <w:pgSz w:w="16838" w:h="11906" w:orient="landscape"/>
          <w:pgMar w:top="1588" w:right="1247" w:bottom="1588" w:left="1089" w:header="851" w:footer="992" w:gutter="0"/>
          <w:cols w:space="720" w:num="1"/>
          <w:docGrid w:linePitch="312" w:charSpace="0"/>
        </w:sectPr>
      </w:pPr>
      <w:r>
        <w:rPr>
          <w:rFonts w:ascii="宋体" w:hAnsi="宋体" w:cs="宋体"/>
          <w:b/>
          <w:color w:val="auto"/>
          <w:sz w:val="24"/>
          <w:highlight w:val="none"/>
        </w:rPr>
        <w:br w:type="page"/>
      </w:r>
    </w:p>
    <w:p>
      <w:pPr>
        <w:snapToGrid w:val="0"/>
        <w:spacing w:line="360" w:lineRule="auto"/>
        <w:rPr>
          <w:rFonts w:hint="default" w:ascii="宋体" w:hAnsi="宋体" w:cs="宋体"/>
          <w:b/>
          <w:color w:val="auto"/>
          <w:szCs w:val="21"/>
          <w:highlight w:val="none"/>
        </w:rPr>
      </w:pPr>
      <w:r>
        <w:rPr>
          <w:rFonts w:ascii="宋体" w:hAnsi="宋体" w:cs="宋体"/>
          <w:b/>
          <w:color w:val="auto"/>
          <w:sz w:val="24"/>
          <w:highlight w:val="none"/>
        </w:rPr>
        <w:t>4.4.</w:t>
      </w:r>
      <w:r>
        <w:rPr>
          <w:rFonts w:ascii="宋体" w:hAnsi="宋体" w:cs="宋体"/>
          <w:b/>
          <w:color w:val="auto"/>
          <w:szCs w:val="21"/>
          <w:highlight w:val="none"/>
        </w:rPr>
        <w:t>供应商为监狱企业的证明文件：省级以上监狱管理局、戒毒管理局（含新疆生产建设兵团）出具（如有）</w:t>
      </w:r>
    </w:p>
    <w:p>
      <w:pPr>
        <w:snapToGrid w:val="0"/>
        <w:spacing w:line="360" w:lineRule="auto"/>
        <w:rPr>
          <w:rFonts w:hint="default" w:ascii="宋体" w:hAnsi="宋体" w:cs="宋体"/>
          <w:snapToGrid w:val="0"/>
          <w:color w:val="auto"/>
          <w:kern w:val="0"/>
          <w:szCs w:val="21"/>
          <w:highlight w:val="none"/>
        </w:rPr>
      </w:pPr>
    </w:p>
    <w:p>
      <w:pPr>
        <w:snapToGrid w:val="0"/>
        <w:spacing w:line="360" w:lineRule="auto"/>
        <w:rPr>
          <w:rFonts w:hint="default" w:ascii="宋体" w:hAnsi="宋体" w:cs="宋体"/>
          <w:snapToGrid w:val="0"/>
          <w:color w:val="auto"/>
          <w:kern w:val="0"/>
          <w:szCs w:val="21"/>
          <w:highlight w:val="none"/>
        </w:rPr>
      </w:pPr>
    </w:p>
    <w:p>
      <w:pPr>
        <w:snapToGrid w:val="0"/>
        <w:spacing w:line="360" w:lineRule="auto"/>
        <w:rPr>
          <w:rFonts w:hint="default" w:ascii="宋体" w:hAnsi="宋体" w:cs="宋体"/>
          <w:snapToGrid w:val="0"/>
          <w:color w:val="auto"/>
          <w:kern w:val="0"/>
          <w:szCs w:val="21"/>
          <w:highlight w:val="none"/>
        </w:rPr>
      </w:pPr>
    </w:p>
    <w:p>
      <w:pPr>
        <w:snapToGrid w:val="0"/>
        <w:spacing w:line="360" w:lineRule="auto"/>
        <w:rPr>
          <w:rFonts w:hint="default" w:ascii="宋体" w:hAnsi="宋体" w:cs="宋体"/>
          <w:snapToGrid w:val="0"/>
          <w:color w:val="auto"/>
          <w:kern w:val="0"/>
          <w:szCs w:val="21"/>
          <w:highlight w:val="none"/>
        </w:rPr>
      </w:pPr>
    </w:p>
    <w:p>
      <w:pPr>
        <w:spacing w:line="588" w:lineRule="exact"/>
        <w:rPr>
          <w:rFonts w:hint="default" w:ascii="宋体" w:hAnsi="宋体" w:cs="宋体"/>
          <w:b/>
          <w:color w:val="auto"/>
          <w:szCs w:val="21"/>
          <w:highlight w:val="none"/>
        </w:rPr>
      </w:pPr>
      <w:r>
        <w:rPr>
          <w:rFonts w:ascii="宋体" w:hAnsi="宋体" w:cs="宋体"/>
          <w:b/>
          <w:color w:val="auto"/>
          <w:szCs w:val="21"/>
          <w:highlight w:val="none"/>
        </w:rPr>
        <w:t>4.5.残疾人福利性单位声明函（如有）</w:t>
      </w:r>
    </w:p>
    <w:p>
      <w:pPr>
        <w:spacing w:line="360" w:lineRule="atLeast"/>
        <w:jc w:val="center"/>
        <w:rPr>
          <w:rFonts w:hint="default" w:ascii="宋体" w:hAnsi="宋体" w:cs="宋体"/>
          <w:b/>
          <w:color w:val="auto"/>
          <w:sz w:val="28"/>
          <w:szCs w:val="28"/>
          <w:highlight w:val="none"/>
        </w:rPr>
      </w:pPr>
      <w:bookmarkStart w:id="238" w:name="OLE_LINK14"/>
      <w:bookmarkStart w:id="239" w:name="OLE_LINK13"/>
    </w:p>
    <w:p>
      <w:pPr>
        <w:spacing w:line="360" w:lineRule="auto"/>
        <w:jc w:val="center"/>
        <w:rPr>
          <w:rFonts w:hint="default" w:ascii="宋体" w:hAnsi="宋体" w:cs="宋体"/>
          <w:b/>
          <w:color w:val="auto"/>
          <w:sz w:val="28"/>
          <w:szCs w:val="28"/>
          <w:highlight w:val="none"/>
        </w:rPr>
      </w:pPr>
      <w:r>
        <w:rPr>
          <w:rFonts w:ascii="宋体" w:hAnsi="宋体" w:cs="宋体"/>
          <w:b/>
          <w:color w:val="auto"/>
          <w:sz w:val="28"/>
          <w:szCs w:val="28"/>
          <w:highlight w:val="none"/>
        </w:rPr>
        <w:t>残疾人福利性单位声明函</w:t>
      </w:r>
    </w:p>
    <w:bookmarkEnd w:id="238"/>
    <w:bookmarkEnd w:id="239"/>
    <w:p>
      <w:pPr>
        <w:snapToGrid w:val="0"/>
        <w:spacing w:line="360" w:lineRule="auto"/>
        <w:ind w:firstLine="444" w:firstLineChars="200"/>
        <w:rPr>
          <w:rFonts w:hint="default" w:ascii="宋体" w:hAnsi="宋体" w:cs="宋体"/>
          <w:color w:val="auto"/>
          <w:spacing w:val="6"/>
          <w:szCs w:val="21"/>
          <w:highlight w:val="none"/>
        </w:rPr>
      </w:pPr>
      <w:r>
        <w:rPr>
          <w:rFonts w:ascii="宋体" w:hAnsi="宋体" w:cs="宋体"/>
          <w:color w:val="auto"/>
          <w:spacing w:val="6"/>
          <w:szCs w:val="21"/>
          <w:highlight w:val="none"/>
        </w:rPr>
        <w:t>本单位郑重声明，根据《财政部 民政部 中国残疾人联合会关于促进残疾人就业政府采购政策的通知》（财库</w:t>
      </w:r>
      <w:r>
        <w:rPr>
          <w:rFonts w:ascii="宋体" w:hAnsi="宋体" w:cs="宋体"/>
          <w:color w:val="auto"/>
          <w:szCs w:val="21"/>
          <w:highlight w:val="none"/>
        </w:rPr>
        <w:t>〔2017〕 141</w:t>
      </w:r>
      <w:r>
        <w:rPr>
          <w:rFonts w:ascii="宋体" w:hAnsi="宋体" w:cs="宋体"/>
          <w:color w:val="auto"/>
          <w:spacing w:val="6"/>
          <w:szCs w:val="21"/>
          <w:highlight w:val="none"/>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360" w:lineRule="auto"/>
        <w:ind w:firstLine="444" w:firstLineChars="200"/>
        <w:rPr>
          <w:rFonts w:hint="default" w:ascii="宋体" w:hAnsi="宋体" w:cs="宋体"/>
          <w:color w:val="auto"/>
          <w:spacing w:val="6"/>
          <w:szCs w:val="21"/>
          <w:highlight w:val="none"/>
        </w:rPr>
      </w:pPr>
      <w:r>
        <w:rPr>
          <w:rFonts w:ascii="宋体" w:hAnsi="宋体" w:cs="宋体"/>
          <w:color w:val="auto"/>
          <w:spacing w:val="6"/>
          <w:szCs w:val="21"/>
          <w:highlight w:val="none"/>
        </w:rPr>
        <w:t>本单位对上述声明的真实性负责。如有虚假，将依法承担相应责任。</w:t>
      </w:r>
    </w:p>
    <w:p>
      <w:pPr>
        <w:pStyle w:val="2"/>
        <w:snapToGrid w:val="0"/>
        <w:rPr>
          <w:color w:val="auto"/>
          <w:highlight w:val="none"/>
        </w:rPr>
      </w:pPr>
    </w:p>
    <w:p>
      <w:pPr>
        <w:tabs>
          <w:tab w:val="left" w:pos="4860"/>
        </w:tabs>
        <w:snapToGrid w:val="0"/>
        <w:spacing w:line="360" w:lineRule="auto"/>
        <w:ind w:right="1560" w:firstLine="444" w:firstLineChars="200"/>
        <w:jc w:val="center"/>
        <w:rPr>
          <w:rFonts w:hint="default" w:ascii="宋体" w:hAnsi="宋体" w:cs="宋体"/>
          <w:color w:val="auto"/>
          <w:spacing w:val="6"/>
          <w:szCs w:val="21"/>
          <w:highlight w:val="none"/>
        </w:rPr>
      </w:pPr>
      <w:r>
        <w:rPr>
          <w:rFonts w:ascii="宋体" w:hAnsi="宋体" w:cs="宋体"/>
          <w:color w:val="auto"/>
          <w:spacing w:val="6"/>
          <w:szCs w:val="21"/>
          <w:highlight w:val="none"/>
        </w:rPr>
        <w:t xml:space="preserve">               单位名称（盖章）：</w:t>
      </w:r>
    </w:p>
    <w:p>
      <w:pPr>
        <w:tabs>
          <w:tab w:val="left" w:pos="4860"/>
        </w:tabs>
        <w:snapToGrid w:val="0"/>
        <w:spacing w:line="360" w:lineRule="auto"/>
        <w:ind w:right="1560" w:firstLine="444" w:firstLineChars="200"/>
        <w:jc w:val="center"/>
        <w:rPr>
          <w:rFonts w:hint="default" w:ascii="宋体" w:hAnsi="宋体" w:cs="宋体"/>
          <w:color w:val="auto"/>
          <w:spacing w:val="6"/>
          <w:szCs w:val="21"/>
          <w:highlight w:val="none"/>
        </w:rPr>
      </w:pPr>
      <w:r>
        <w:rPr>
          <w:rFonts w:ascii="宋体" w:hAnsi="宋体" w:cs="宋体"/>
          <w:color w:val="auto"/>
          <w:spacing w:val="6"/>
          <w:szCs w:val="21"/>
          <w:highlight w:val="none"/>
        </w:rPr>
        <w:t xml:space="preserve">      日  期：</w:t>
      </w:r>
    </w:p>
    <w:p>
      <w:pPr>
        <w:pStyle w:val="2"/>
        <w:ind w:firstLine="0"/>
        <w:rPr>
          <w:color w:val="auto"/>
          <w:highlight w:val="none"/>
        </w:rPr>
      </w:pPr>
    </w:p>
    <w:p>
      <w:pPr>
        <w:pStyle w:val="2"/>
        <w:rPr>
          <w:color w:val="auto"/>
          <w:highlight w:val="none"/>
        </w:rPr>
        <w:sectPr>
          <w:type w:val="oddPage"/>
          <w:pgSz w:w="11906" w:h="16838"/>
          <w:pgMar w:top="1247" w:right="1588" w:bottom="1089" w:left="1588" w:header="851" w:footer="992" w:gutter="0"/>
          <w:cols w:space="720" w:num="1"/>
          <w:docGrid w:linePitch="312" w:charSpace="0"/>
        </w:sectPr>
      </w:pPr>
    </w:p>
    <w:p>
      <w:pPr>
        <w:adjustRightInd w:val="0"/>
        <w:snapToGrid w:val="0"/>
        <w:spacing w:beforeLines="50" w:afterLines="50" w:line="360" w:lineRule="auto"/>
        <w:jc w:val="center"/>
        <w:outlineLvl w:val="0"/>
        <w:rPr>
          <w:rFonts w:hint="default" w:ascii="宋体" w:hAnsi="宋体" w:cs="宋体"/>
          <w:b/>
          <w:color w:val="auto"/>
          <w:sz w:val="30"/>
          <w:szCs w:val="30"/>
          <w:highlight w:val="none"/>
        </w:rPr>
      </w:pPr>
      <w:bookmarkStart w:id="240" w:name="_Toc29263"/>
      <w:bookmarkStart w:id="241" w:name="_Toc2259"/>
      <w:r>
        <w:rPr>
          <w:rFonts w:ascii="宋体" w:hAnsi="宋体" w:cs="宋体"/>
          <w:b/>
          <w:color w:val="auto"/>
          <w:sz w:val="30"/>
          <w:szCs w:val="30"/>
          <w:highlight w:val="none"/>
        </w:rPr>
        <w:t>第七部分   其它</w:t>
      </w:r>
      <w:bookmarkEnd w:id="240"/>
      <w:bookmarkEnd w:id="241"/>
    </w:p>
    <w:p>
      <w:pPr>
        <w:spacing w:line="360" w:lineRule="auto"/>
        <w:jc w:val="center"/>
        <w:rPr>
          <w:rFonts w:hint="default" w:ascii="宋体" w:hAnsi="宋体" w:cs="宋体"/>
          <w:b/>
          <w:color w:val="auto"/>
          <w:sz w:val="28"/>
          <w:szCs w:val="28"/>
          <w:highlight w:val="none"/>
        </w:rPr>
      </w:pPr>
      <w:r>
        <w:rPr>
          <w:rFonts w:ascii="宋体" w:hAnsi="宋体" w:cs="宋体"/>
          <w:b/>
          <w:color w:val="auto"/>
          <w:sz w:val="28"/>
          <w:szCs w:val="28"/>
          <w:highlight w:val="none"/>
        </w:rPr>
        <w:t>政府采购支持中小企业信用融资相关事项通知</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一、适用对象</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在浙江政府采购网注册入库，并取得杭州市政府采购合同的杭州市内中小企业供应商。</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二、相关信息获取方式</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请登陆杭州市政府采购网“中小企业信用融资”模块，查看信用融资政策文件及各相关银行服务方案。</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三、申请方式和步骤</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（一）“云采贷”融资</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1、供应商先与银行对接，办理融资前期手续；</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2、供应商中标后，登陆“中小企业信用融资”模块测算授信额度，并向银行发出融资申请；</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3、银行线上审批通过后，办理放贷手续。</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（二）一般融资</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1、供应商先与银行对接，办理融资前期手续；</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2、供应商中标后，登陆杭州市政府采购网“中小企业信用融资”模块，向相关合作银行发出融资申请；</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3、银行在“中小企业信用融资”模块受理申请；</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4、银行、供应商线下办理审批、放贷事宜。</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四、注意事项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1、供应商需确保政府采购合同的收款银行与融资银行一致。</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2、请各采购单位积极支持和配合政府采购信用融资工作，在合同备案环节仔细核对收款银行、账号信息等内容，一旦录入将无法修改。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3、技术服务热线：87210880；如有业务问题可与各合作银行联系。</w:t>
      </w:r>
    </w:p>
    <w:p>
      <w:pPr>
        <w:spacing w:line="360" w:lineRule="auto"/>
        <w:rPr>
          <w:rFonts w:hint="default" w:ascii="宋体" w:hAnsi="宋体" w:cs="宋体"/>
          <w:color w:val="auto"/>
          <w:szCs w:val="21"/>
          <w:highlight w:val="none"/>
        </w:rPr>
        <w:sectPr>
          <w:pgSz w:w="11906" w:h="16838"/>
          <w:pgMar w:top="1247" w:right="1588" w:bottom="1089" w:left="1588" w:header="851" w:footer="992" w:gutter="0"/>
          <w:cols w:space="720" w:num="1"/>
          <w:docGrid w:linePitch="312" w:charSpace="0"/>
        </w:sectPr>
      </w:pPr>
    </w:p>
    <w:p>
      <w:pPr>
        <w:pStyle w:val="112"/>
        <w:widowControl w:val="0"/>
        <w:snapToGrid w:val="0"/>
        <w:spacing w:line="500" w:lineRule="exact"/>
        <w:jc w:val="center"/>
        <w:rPr>
          <w:rFonts w:hint="default" w:hAnsi="宋体" w:cs="宋体"/>
          <w:b/>
          <w:color w:val="auto"/>
          <w:sz w:val="28"/>
          <w:szCs w:val="28"/>
          <w:highlight w:val="none"/>
        </w:rPr>
      </w:pPr>
      <w:r>
        <w:rPr>
          <w:rFonts w:hAnsi="宋体" w:cs="宋体"/>
          <w:b/>
          <w:color w:val="auto"/>
          <w:sz w:val="28"/>
          <w:szCs w:val="28"/>
          <w:highlight w:val="none"/>
        </w:rPr>
        <w:t>政府采购活动现场确认声明书</w:t>
      </w:r>
    </w:p>
    <w:p>
      <w:pPr>
        <w:pStyle w:val="112"/>
        <w:widowControl w:val="0"/>
        <w:adjustRightInd w:val="0"/>
        <w:snapToGrid w:val="0"/>
        <w:spacing w:line="360" w:lineRule="auto"/>
        <w:jc w:val="both"/>
        <w:rPr>
          <w:rFonts w:hint="default" w:hAnsi="宋体" w:cs="宋体"/>
          <w:color w:val="auto"/>
          <w:kern w:val="0"/>
          <w:szCs w:val="21"/>
          <w:highlight w:val="none"/>
          <w:u w:val="single"/>
        </w:rPr>
      </w:pPr>
    </w:p>
    <w:p>
      <w:pPr>
        <w:pStyle w:val="112"/>
        <w:widowControl w:val="0"/>
        <w:adjustRightInd w:val="0"/>
        <w:snapToGrid w:val="0"/>
        <w:spacing w:line="360" w:lineRule="auto"/>
        <w:jc w:val="both"/>
        <w:rPr>
          <w:rFonts w:hint="default" w:hAnsi="宋体" w:cs="宋体"/>
          <w:b/>
          <w:color w:val="auto"/>
          <w:szCs w:val="21"/>
          <w:highlight w:val="none"/>
        </w:rPr>
      </w:pPr>
      <w:r>
        <w:rPr>
          <w:rFonts w:hAnsi="宋体" w:cs="宋体"/>
          <w:color w:val="auto"/>
          <w:kern w:val="0"/>
          <w:szCs w:val="21"/>
          <w:highlight w:val="none"/>
          <w:u w:val="single"/>
        </w:rPr>
        <w:t>浙江国际招（投）标公司</w:t>
      </w:r>
      <w:r>
        <w:rPr>
          <w:rFonts w:hAnsi="宋体" w:cs="宋体"/>
          <w:color w:val="auto"/>
          <w:kern w:val="0"/>
          <w:szCs w:val="21"/>
          <w:highlight w:val="none"/>
        </w:rPr>
        <w:t>：</w:t>
      </w:r>
    </w:p>
    <w:p>
      <w:pPr>
        <w:pStyle w:val="112"/>
        <w:widowControl w:val="0"/>
        <w:adjustRightInd w:val="0"/>
        <w:snapToGrid w:val="0"/>
        <w:spacing w:line="360" w:lineRule="auto"/>
        <w:ind w:firstLine="444" w:firstLineChars="200"/>
        <w:jc w:val="both"/>
        <w:rPr>
          <w:rFonts w:hint="default"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Ansi="宋体" w:cs="宋体"/>
          <w:color w:val="auto"/>
          <w:spacing w:val="6"/>
          <w:szCs w:val="21"/>
          <w:highlight w:val="none"/>
          <w:u w:val="single"/>
        </w:rPr>
        <w:t xml:space="preserve"> 杭州市质量技术监督检测院</w:t>
      </w:r>
      <w:r>
        <w:rPr>
          <w:rFonts w:hint="eastAsia" w:hAnsi="宋体" w:cs="宋体"/>
          <w:color w:val="auto"/>
          <w:spacing w:val="6"/>
          <w:szCs w:val="21"/>
          <w:highlight w:val="none"/>
          <w:u w:val="single"/>
          <w:lang w:eastAsia="zh-CN"/>
        </w:rPr>
        <w:t>气相色谱仪和电感耦合等离子体发射光谱仪</w:t>
      </w:r>
      <w:r>
        <w:rPr>
          <w:rFonts w:hAnsi="宋体" w:cs="宋体"/>
          <w:color w:val="auto"/>
          <w:spacing w:val="6"/>
          <w:szCs w:val="21"/>
          <w:highlight w:val="none"/>
          <w:u w:val="single"/>
        </w:rPr>
        <w:t xml:space="preserve"> </w:t>
      </w:r>
      <w:r>
        <w:rPr>
          <w:rFonts w:hAnsi="宋体" w:cs="宋体"/>
          <w:color w:val="auto"/>
          <w:spacing w:val="6"/>
          <w:szCs w:val="21"/>
          <w:highlight w:val="none"/>
        </w:rPr>
        <w:t>项目</w:t>
      </w:r>
      <w:r>
        <w:rPr>
          <w:rFonts w:hAnsi="宋体" w:cs="宋体"/>
          <w:color w:val="auto"/>
          <w:spacing w:val="6"/>
          <w:szCs w:val="21"/>
          <w:highlight w:val="none"/>
          <w:u w:val="single"/>
        </w:rPr>
        <w:t>（编号：ZJ-</w:t>
      </w:r>
      <w:r>
        <w:rPr>
          <w:rFonts w:hint="eastAsia" w:hAnsi="宋体" w:cs="宋体"/>
          <w:color w:val="auto"/>
          <w:spacing w:val="6"/>
          <w:szCs w:val="21"/>
          <w:highlight w:val="none"/>
          <w:u w:val="single"/>
          <w:lang w:eastAsia="zh-CN"/>
        </w:rPr>
        <w:t>2141791</w:t>
      </w:r>
      <w:r>
        <w:rPr>
          <w:rFonts w:hAnsi="宋体" w:cs="宋体"/>
          <w:color w:val="auto"/>
          <w:spacing w:val="6"/>
          <w:szCs w:val="21"/>
          <w:highlight w:val="none"/>
          <w:u w:val="single"/>
        </w:rPr>
        <w:t>）</w:t>
      </w:r>
      <w:r>
        <w:rPr>
          <w:rFonts w:hAnsi="宋体" w:cs="宋体"/>
          <w:color w:val="auto"/>
          <w:spacing w:val="6"/>
          <w:szCs w:val="21"/>
          <w:highlight w:val="none"/>
        </w:rPr>
        <w:t xml:space="preserve">政府采购活动，经与本单位法人代表（负责人）联系确认，现就有关公平竞争事项郑重声明如下： </w:t>
      </w:r>
    </w:p>
    <w:p>
      <w:pPr>
        <w:pStyle w:val="103"/>
        <w:widowControl/>
        <w:numPr>
          <w:ilvl w:val="0"/>
          <w:numId w:val="18"/>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p>
    <w:p>
      <w:pPr>
        <w:pStyle w:val="103"/>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103"/>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103"/>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pPr>
        <w:pStyle w:val="112"/>
        <w:widowControl w:val="0"/>
        <w:adjustRightInd w:val="0"/>
        <w:snapToGrid w:val="0"/>
        <w:spacing w:line="360" w:lineRule="auto"/>
        <w:ind w:firstLine="200"/>
        <w:jc w:val="both"/>
        <w:rPr>
          <w:rFonts w:hint="default"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112"/>
        <w:widowControl w:val="0"/>
        <w:adjustRightInd w:val="0"/>
        <w:snapToGrid w:val="0"/>
        <w:spacing w:line="360" w:lineRule="auto"/>
        <w:ind w:firstLine="200"/>
        <w:jc w:val="both"/>
        <w:rPr>
          <w:rFonts w:hint="default"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112"/>
        <w:widowControl w:val="0"/>
        <w:adjustRightInd w:val="0"/>
        <w:snapToGrid w:val="0"/>
        <w:spacing w:line="360" w:lineRule="auto"/>
        <w:ind w:firstLine="200"/>
        <w:jc w:val="both"/>
        <w:rPr>
          <w:rFonts w:hint="default"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112"/>
        <w:widowControl w:val="0"/>
        <w:adjustRightInd w:val="0"/>
        <w:snapToGrid w:val="0"/>
        <w:spacing w:line="360" w:lineRule="auto"/>
        <w:ind w:firstLine="200"/>
        <w:jc w:val="both"/>
        <w:rPr>
          <w:rFonts w:hint="default"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112"/>
        <w:widowControl w:val="0"/>
        <w:adjustRightInd w:val="0"/>
        <w:snapToGrid w:val="0"/>
        <w:spacing w:line="360" w:lineRule="auto"/>
        <w:ind w:firstLine="200"/>
        <w:jc w:val="both"/>
        <w:rPr>
          <w:rFonts w:hint="default"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112"/>
        <w:widowControl w:val="0"/>
        <w:adjustRightInd w:val="0"/>
        <w:snapToGrid w:val="0"/>
        <w:spacing w:line="360" w:lineRule="auto"/>
        <w:ind w:firstLine="200"/>
        <w:jc w:val="both"/>
        <w:rPr>
          <w:rFonts w:hint="default"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112"/>
        <w:widowControl w:val="0"/>
        <w:adjustRightInd w:val="0"/>
        <w:snapToGrid w:val="0"/>
        <w:spacing w:line="360" w:lineRule="auto"/>
        <w:ind w:firstLine="200"/>
        <w:jc w:val="both"/>
        <w:rPr>
          <w:rFonts w:hint="default"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112"/>
        <w:widowControl w:val="0"/>
        <w:adjustRightInd w:val="0"/>
        <w:snapToGrid w:val="0"/>
        <w:spacing w:line="360" w:lineRule="auto"/>
        <w:ind w:firstLine="200"/>
        <w:jc w:val="both"/>
        <w:rPr>
          <w:rFonts w:hint="default"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112"/>
        <w:widowControl w:val="0"/>
        <w:adjustRightInd w:val="0"/>
        <w:snapToGrid w:val="0"/>
        <w:spacing w:line="360" w:lineRule="auto"/>
        <w:ind w:firstLine="200"/>
        <w:jc w:val="both"/>
        <w:rPr>
          <w:rFonts w:hint="default"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kern w:val="0"/>
          <w:szCs w:val="21"/>
          <w:highlight w:val="none"/>
        </w:rPr>
        <w:t>。</w:t>
      </w:r>
    </w:p>
    <w:p>
      <w:pPr>
        <w:pStyle w:val="103"/>
        <w:widowControl/>
        <w:numPr>
          <w:ilvl w:val="0"/>
          <w:numId w:val="19"/>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103"/>
        <w:widowControl/>
        <w:numPr>
          <w:ilvl w:val="0"/>
          <w:numId w:val="19"/>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我发现供应商之间存在或可能存在上述第二条第项利害关系。</w:t>
      </w:r>
    </w:p>
    <w:p>
      <w:pPr>
        <w:pStyle w:val="103"/>
        <w:widowControl/>
        <w:adjustRightInd w:val="0"/>
        <w:snapToGrid w:val="0"/>
        <w:spacing w:line="360" w:lineRule="auto"/>
        <w:rPr>
          <w:rFonts w:hint="default" w:ascii="宋体" w:hAnsi="宋体" w:cs="宋体"/>
          <w:color w:val="auto"/>
          <w:kern w:val="0"/>
          <w:szCs w:val="21"/>
          <w:highlight w:val="none"/>
        </w:rPr>
      </w:pPr>
    </w:p>
    <w:p>
      <w:pPr>
        <w:pStyle w:val="103"/>
        <w:widowControl/>
        <w:adjustRightInd w:val="0"/>
        <w:snapToGrid w:val="0"/>
        <w:spacing w:line="360" w:lineRule="auto"/>
        <w:rPr>
          <w:rFonts w:hint="default" w:ascii="宋体" w:hAnsi="宋体" w:cs="宋体"/>
          <w:color w:val="auto"/>
          <w:kern w:val="0"/>
          <w:szCs w:val="21"/>
          <w:highlight w:val="none"/>
        </w:rPr>
      </w:pPr>
    </w:p>
    <w:p>
      <w:pPr>
        <w:pStyle w:val="112"/>
        <w:widowControl w:val="0"/>
        <w:adjustRightInd w:val="0"/>
        <w:snapToGrid w:val="0"/>
        <w:spacing w:line="360" w:lineRule="auto"/>
        <w:ind w:firstLine="420" w:firstLineChars="200"/>
        <w:jc w:val="both"/>
        <w:rPr>
          <w:rFonts w:hint="default" w:hAnsi="宋体" w:cs="宋体"/>
          <w:color w:val="auto"/>
          <w:szCs w:val="21"/>
          <w:highlight w:val="none"/>
        </w:rPr>
      </w:pPr>
      <w:r>
        <w:rPr>
          <w:rFonts w:hAnsi="宋体" w:cs="宋体"/>
          <w:color w:val="auto"/>
          <w:szCs w:val="21"/>
          <w:highlight w:val="none"/>
        </w:rPr>
        <w:t xml:space="preserve">                                （供应商代表签名）</w:t>
      </w:r>
    </w:p>
    <w:p>
      <w:pPr>
        <w:adjustRightInd w:val="0"/>
        <w:snapToGrid w:val="0"/>
        <w:spacing w:line="360" w:lineRule="auto"/>
        <w:jc w:val="right"/>
        <w:rPr>
          <w:rFonts w:hint="default" w:ascii="宋体" w:hAnsi="宋体" w:cs="宋体"/>
          <w:color w:val="auto"/>
          <w:szCs w:val="21"/>
          <w:highlight w:val="none"/>
        </w:rPr>
      </w:pPr>
      <w:r>
        <w:rPr>
          <w:rFonts w:ascii="宋体" w:hAnsi="宋体" w:cs="宋体"/>
          <w:color w:val="auto"/>
          <w:szCs w:val="21"/>
          <w:highlight w:val="none"/>
        </w:rPr>
        <w:t xml:space="preserve">                                       年  月  日</w:t>
      </w:r>
    </w:p>
    <w:p>
      <w:pPr>
        <w:spacing w:line="360" w:lineRule="auto"/>
        <w:rPr>
          <w:rFonts w:hint="default" w:ascii="宋体" w:hAnsi="宋体" w:cs="宋体"/>
          <w:color w:val="auto"/>
          <w:szCs w:val="21"/>
          <w:highlight w:val="none"/>
        </w:rPr>
      </w:pPr>
    </w:p>
    <w:p>
      <w:pPr>
        <w:spacing w:line="360" w:lineRule="auto"/>
        <w:jc w:val="center"/>
        <w:rPr>
          <w:rFonts w:hint="default" w:ascii="宋体" w:hAnsi="宋体" w:cs="宋体"/>
          <w:color w:val="auto"/>
          <w:sz w:val="30"/>
          <w:szCs w:val="30"/>
          <w:highlight w:val="none"/>
        </w:rPr>
      </w:pPr>
    </w:p>
    <w:p>
      <w:pPr>
        <w:rPr>
          <w:rFonts w:hint="default" w:ascii="宋体" w:hAnsi="宋体" w:cs="宋体"/>
          <w:color w:val="auto"/>
          <w:szCs w:val="21"/>
          <w:highlight w:val="none"/>
        </w:rPr>
      </w:pPr>
    </w:p>
    <w:p>
      <w:pPr>
        <w:rPr>
          <w:rFonts w:hint="default" w:ascii="宋体" w:hAnsi="宋体" w:cs="宋体"/>
          <w:color w:val="auto"/>
          <w:szCs w:val="21"/>
          <w:highlight w:val="none"/>
        </w:rPr>
      </w:pPr>
    </w:p>
    <w:sectPr>
      <w:footerReference r:id="rId9" w:type="default"/>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思源黑体">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47"/>
        <w:rFonts w:hint="eastAsia" w:ascii="仿宋" w:hAnsi="仿宋" w:eastAsia="仿宋" w:cs="仿宋"/>
      </w:rPr>
      <w:instrText xml:space="preserve"> PAGE </w:instrText>
    </w:r>
    <w:r>
      <w:rPr>
        <w:rFonts w:hint="eastAsia" w:ascii="仿宋" w:hAnsi="仿宋" w:eastAsia="仿宋" w:cs="仿宋"/>
      </w:rPr>
      <w:fldChar w:fldCharType="separate"/>
    </w:r>
    <w:r>
      <w:rPr>
        <w:rStyle w:val="47"/>
        <w:rFonts w:ascii="仿宋" w:hAnsi="仿宋" w:eastAsia="仿宋" w:cs="仿宋"/>
      </w:rPr>
      <w:t>24</w:t>
    </w:r>
    <w:r>
      <w:rPr>
        <w:rFonts w:hint="eastAsia" w:ascii="仿宋" w:hAnsi="仿宋" w:eastAsia="仿宋" w:cs="仿宋"/>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47"/>
        <w:rFonts w:hint="eastAsia" w:ascii="仿宋" w:hAnsi="仿宋" w:eastAsia="仿宋" w:cs="仿宋"/>
      </w:rPr>
      <w:instrText xml:space="preserve"> PAGE </w:instrText>
    </w:r>
    <w:r>
      <w:rPr>
        <w:rFonts w:hint="eastAsia" w:ascii="仿宋" w:hAnsi="仿宋" w:eastAsia="仿宋" w:cs="仿宋"/>
      </w:rPr>
      <w:fldChar w:fldCharType="separate"/>
    </w:r>
    <w:r>
      <w:rPr>
        <w:rStyle w:val="47"/>
        <w:rFonts w:ascii="仿宋" w:hAnsi="仿宋" w:eastAsia="仿宋" w:cs="仿宋"/>
      </w:rPr>
      <w:t>28</w:t>
    </w:r>
    <w:r>
      <w:rPr>
        <w:rFonts w:hint="eastAsia" w:ascii="仿宋" w:hAnsi="仿宋" w:eastAsia="仿宋" w:cs="仿宋"/>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pPr>
    <w:r>
      <w:fldChar w:fldCharType="begin"/>
    </w:r>
    <w:r>
      <w:rPr>
        <w:rStyle w:val="47"/>
      </w:rPr>
      <w:instrText xml:space="preserve"> PAGE </w:instrText>
    </w:r>
    <w:r>
      <w:fldChar w:fldCharType="separate"/>
    </w:r>
    <w:r>
      <w:rPr>
        <w:rStyle w:val="47"/>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rPr>
        <w:rFonts w:ascii="宋体" w:hAnsi="宋体" w:eastAsia="宋体" w:cs="宋体"/>
      </w:rPr>
    </w:pPr>
    <w:r>
      <w:rPr>
        <w:rFonts w:hint="eastAsia" w:ascii="宋体" w:hAnsi="宋体" w:eastAsia="宋体" w:cs="宋体"/>
      </w:rPr>
      <w:fldChar w:fldCharType="begin"/>
    </w:r>
    <w:r>
      <w:rPr>
        <w:rStyle w:val="47"/>
        <w:rFonts w:hint="eastAsia" w:ascii="宋体" w:hAnsi="宋体" w:eastAsia="宋体" w:cs="宋体"/>
      </w:rPr>
      <w:instrText xml:space="preserve"> PAGE </w:instrText>
    </w:r>
    <w:r>
      <w:rPr>
        <w:rFonts w:hint="eastAsia" w:ascii="宋体" w:hAnsi="宋体" w:eastAsia="宋体" w:cs="宋体"/>
      </w:rPr>
      <w:fldChar w:fldCharType="separate"/>
    </w:r>
    <w:r>
      <w:rPr>
        <w:rStyle w:val="47"/>
        <w:rFonts w:ascii="宋体" w:hAnsi="宋体" w:eastAsia="宋体" w:cs="宋体"/>
      </w:rPr>
      <w:t>65</w:t>
    </w:r>
    <w:r>
      <w:rPr>
        <w:rFonts w:hint="eastAsia" w:ascii="宋体" w:hAnsi="宋体" w:eastAsia="宋体" w:cs="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宋体" w:hAnsi="宋体" w:cs="宋体"/>
        <w:sz w:val="18"/>
        <w:szCs w:val="16"/>
      </w:rPr>
    </w:pPr>
    <w:r>
      <w:rPr>
        <w:rFonts w:ascii="宋体" w:hAnsi="宋体" w:cs="宋体"/>
        <w:sz w:val="18"/>
        <w:szCs w:val="16"/>
      </w:rPr>
      <w:fldChar w:fldCharType="begin"/>
    </w:r>
    <w:r>
      <w:rPr>
        <w:rFonts w:ascii="宋体" w:hAnsi="宋体" w:cs="宋体"/>
        <w:sz w:val="18"/>
        <w:szCs w:val="16"/>
      </w:rPr>
      <w:instrText xml:space="preserve"> PAGE </w:instrText>
    </w:r>
    <w:r>
      <w:rPr>
        <w:rFonts w:ascii="宋体" w:hAnsi="宋体" w:cs="宋体"/>
        <w:sz w:val="18"/>
        <w:szCs w:val="16"/>
      </w:rPr>
      <w:fldChar w:fldCharType="separate"/>
    </w:r>
    <w:r>
      <w:rPr>
        <w:rFonts w:hint="default" w:ascii="宋体" w:hAnsi="宋体" w:cs="宋体"/>
        <w:sz w:val="18"/>
        <w:szCs w:val="16"/>
      </w:rPr>
      <w:t>71</w:t>
    </w:r>
    <w:r>
      <w:rPr>
        <w:rFonts w:ascii="宋体" w:hAnsi="宋体" w:cs="宋体"/>
        <w:sz w:val="18"/>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jc w:val="right"/>
      <w:rPr>
        <w:rFonts w:hint="default" w:ascii="宋体" w:hAnsi="宋体" w:cs="宋体"/>
      </w:rPr>
    </w:pPr>
    <w:r>
      <w:rPr>
        <w:rFonts w:ascii="宋体" w:hAnsi="宋体" w:cs="宋体"/>
      </w:rPr>
      <w:t>杭州市质量技术监督检测院</w:t>
    </w:r>
    <w:r>
      <w:rPr>
        <w:rFonts w:hint="eastAsia" w:ascii="宋体" w:hAnsi="宋体" w:cs="宋体"/>
        <w:lang w:eastAsia="zh-CN"/>
      </w:rPr>
      <w:t>气相色谱仪和电感耦合等离子体发射光谱仪</w:t>
    </w:r>
    <w:r>
      <w:rPr>
        <w:rFonts w:ascii="宋体" w:hAnsi="宋体" w:cs="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853C1"/>
    <w:multiLevelType w:val="singleLevel"/>
    <w:tmpl w:val="837853C1"/>
    <w:lvl w:ilvl="0" w:tentative="0">
      <w:start w:val="1"/>
      <w:numFmt w:val="lowerLetter"/>
      <w:lvlText w:val="%1."/>
      <w:lvlJc w:val="left"/>
      <w:pPr>
        <w:tabs>
          <w:tab w:val="left" w:pos="312"/>
        </w:tabs>
      </w:pPr>
    </w:lvl>
  </w:abstractNum>
  <w:abstractNum w:abstractNumId="1">
    <w:nsid w:val="98C19939"/>
    <w:multiLevelType w:val="singleLevel"/>
    <w:tmpl w:val="98C19939"/>
    <w:lvl w:ilvl="0" w:tentative="0">
      <w:start w:val="1"/>
      <w:numFmt w:val="decimal"/>
      <w:suff w:val="nothing"/>
      <w:lvlText w:val="（%1）"/>
      <w:lvlJc w:val="left"/>
    </w:lvl>
  </w:abstractNum>
  <w:abstractNum w:abstractNumId="2">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3">
    <w:nsid w:val="B09E43A5"/>
    <w:multiLevelType w:val="singleLevel"/>
    <w:tmpl w:val="B09E43A5"/>
    <w:lvl w:ilvl="0" w:tentative="0">
      <w:start w:val="1"/>
      <w:numFmt w:val="decimal"/>
      <w:suff w:val="space"/>
      <w:lvlText w:val="%1."/>
      <w:lvlJc w:val="left"/>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E2D583D2"/>
    <w:multiLevelType w:val="singleLevel"/>
    <w:tmpl w:val="E2D583D2"/>
    <w:lvl w:ilvl="0" w:tentative="0">
      <w:start w:val="1"/>
      <w:numFmt w:val="decimal"/>
      <w:suff w:val="nothing"/>
      <w:lvlText w:val="（%1）"/>
      <w:lvlJc w:val="left"/>
    </w:lvl>
  </w:abstractNum>
  <w:abstractNum w:abstractNumId="6">
    <w:nsid w:val="F1D14BBD"/>
    <w:multiLevelType w:val="multilevel"/>
    <w:tmpl w:val="F1D14BBD"/>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8">
    <w:nsid w:val="FD8902AC"/>
    <w:multiLevelType w:val="singleLevel"/>
    <w:tmpl w:val="FD8902AC"/>
    <w:lvl w:ilvl="0" w:tentative="0">
      <w:start w:val="1"/>
      <w:numFmt w:val="lowerLetter"/>
      <w:lvlText w:val="%1."/>
      <w:lvlJc w:val="left"/>
      <w:pPr>
        <w:ind w:left="425" w:hanging="425"/>
      </w:pPr>
      <w:rPr>
        <w:rFonts w:hint="default"/>
      </w:rPr>
    </w:lvl>
  </w:abstractNum>
  <w:abstractNum w:abstractNumId="9">
    <w:nsid w:val="00000003"/>
    <w:multiLevelType w:val="multilevel"/>
    <w:tmpl w:val="00000003"/>
    <w:lvl w:ilvl="0" w:tentative="0">
      <w:start w:val="1"/>
      <w:numFmt w:val="decimal"/>
      <w:lvlText w:val="（%1）"/>
      <w:lvlJc w:val="left"/>
      <w:pPr>
        <w:tabs>
          <w:tab w:val="left" w:pos="937"/>
        </w:tabs>
        <w:ind w:left="926"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FCA2B6"/>
    <w:multiLevelType w:val="singleLevel"/>
    <w:tmpl w:val="02FCA2B6"/>
    <w:lvl w:ilvl="0" w:tentative="0">
      <w:start w:val="1"/>
      <w:numFmt w:val="decimal"/>
      <w:suff w:val="space"/>
      <w:lvlText w:val="%1."/>
      <w:lvlJc w:val="left"/>
    </w:lvl>
  </w:abstractNum>
  <w:abstractNum w:abstractNumId="11">
    <w:nsid w:val="2E2FB376"/>
    <w:multiLevelType w:val="singleLevel"/>
    <w:tmpl w:val="2E2FB376"/>
    <w:lvl w:ilvl="0" w:tentative="0">
      <w:start w:val="5"/>
      <w:numFmt w:val="chineseCounting"/>
      <w:suff w:val="nothing"/>
      <w:lvlText w:val="%1、"/>
      <w:lvlJc w:val="left"/>
      <w:rPr>
        <w:rFonts w:hint="eastAsia"/>
      </w:rPr>
    </w:lvl>
  </w:abstractNum>
  <w:abstractNum w:abstractNumId="12">
    <w:nsid w:val="33B306ED"/>
    <w:multiLevelType w:val="multilevel"/>
    <w:tmpl w:val="33B306ED"/>
    <w:lvl w:ilvl="0" w:tentative="0">
      <w:start w:val="1"/>
      <w:numFmt w:val="decimal"/>
      <w:lvlText w:val="%1"/>
      <w:lvlJc w:val="left"/>
      <w:pPr>
        <w:tabs>
          <w:tab w:val="left" w:pos="600"/>
        </w:tabs>
        <w:ind w:left="600" w:hanging="420"/>
      </w:pPr>
      <w:rPr>
        <w:rFonts w:hint="eastAsia" w:ascii="宋体" w:hAnsi="宋体" w:eastAsia="宋体"/>
        <w:sz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39E4E3C9"/>
    <w:multiLevelType w:val="singleLevel"/>
    <w:tmpl w:val="39E4E3C9"/>
    <w:lvl w:ilvl="0" w:tentative="0">
      <w:start w:val="13"/>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8E704CE"/>
    <w:multiLevelType w:val="singleLevel"/>
    <w:tmpl w:val="58E704CE"/>
    <w:lvl w:ilvl="0" w:tentative="0">
      <w:start w:val="2"/>
      <w:numFmt w:val="chineseCounting"/>
      <w:suff w:val="nothing"/>
      <w:lvlText w:val="%1、"/>
      <w:lvlJc w:val="left"/>
    </w:lvl>
  </w:abstractNum>
  <w:abstractNum w:abstractNumId="17">
    <w:nsid w:val="5A3C02B2"/>
    <w:multiLevelType w:val="singleLevel"/>
    <w:tmpl w:val="5A3C02B2"/>
    <w:lvl w:ilvl="0" w:tentative="0">
      <w:start w:val="1"/>
      <w:numFmt w:val="lowerLetter"/>
      <w:lvlText w:val="%1."/>
      <w:lvlJc w:val="left"/>
      <w:pPr>
        <w:ind w:left="425" w:hanging="425"/>
      </w:pPr>
      <w:rPr>
        <w:rFonts w:hint="default"/>
      </w:rPr>
    </w:lvl>
  </w:abstractNum>
  <w:abstractNum w:abstractNumId="18">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3"/>
  </w:num>
  <w:num w:numId="3">
    <w:abstractNumId w:val="10"/>
  </w:num>
  <w:num w:numId="4">
    <w:abstractNumId w:val="17"/>
  </w:num>
  <w:num w:numId="5">
    <w:abstractNumId w:val="2"/>
  </w:num>
  <w:num w:numId="6">
    <w:abstractNumId w:val="9"/>
  </w:num>
  <w:num w:numId="7">
    <w:abstractNumId w:val="6"/>
  </w:num>
  <w:num w:numId="8">
    <w:abstractNumId w:val="18"/>
  </w:num>
  <w:num w:numId="9">
    <w:abstractNumId w:val="13"/>
  </w:num>
  <w:num w:numId="10">
    <w:abstractNumId w:val="0"/>
  </w:num>
  <w:num w:numId="11">
    <w:abstractNumId w:val="1"/>
  </w:num>
  <w:num w:numId="12">
    <w:abstractNumId w:val="16"/>
  </w:num>
  <w:num w:numId="13">
    <w:abstractNumId w:val="5"/>
  </w:num>
  <w:num w:numId="14">
    <w:abstractNumId w:val="8"/>
  </w:num>
  <w:num w:numId="15">
    <w:abstractNumId w:val="7"/>
  </w:num>
  <w:num w:numId="16">
    <w:abstractNumId w:val="4"/>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56"/>
    <w:rsid w:val="0000396E"/>
    <w:rsid w:val="00004478"/>
    <w:rsid w:val="000151EB"/>
    <w:rsid w:val="000173D9"/>
    <w:rsid w:val="00023C95"/>
    <w:rsid w:val="00033EE6"/>
    <w:rsid w:val="000364DE"/>
    <w:rsid w:val="00036535"/>
    <w:rsid w:val="000371E8"/>
    <w:rsid w:val="000445EB"/>
    <w:rsid w:val="00050BD9"/>
    <w:rsid w:val="00053E49"/>
    <w:rsid w:val="00063A1A"/>
    <w:rsid w:val="0006711B"/>
    <w:rsid w:val="0006742A"/>
    <w:rsid w:val="00067A80"/>
    <w:rsid w:val="00067D63"/>
    <w:rsid w:val="0007138E"/>
    <w:rsid w:val="0007753E"/>
    <w:rsid w:val="0008108E"/>
    <w:rsid w:val="00082EC3"/>
    <w:rsid w:val="00091E58"/>
    <w:rsid w:val="00096A49"/>
    <w:rsid w:val="000A26A0"/>
    <w:rsid w:val="000A7899"/>
    <w:rsid w:val="000B0696"/>
    <w:rsid w:val="000B7C98"/>
    <w:rsid w:val="000C296B"/>
    <w:rsid w:val="000C314E"/>
    <w:rsid w:val="000E5537"/>
    <w:rsid w:val="0011283B"/>
    <w:rsid w:val="00114CF3"/>
    <w:rsid w:val="001236DA"/>
    <w:rsid w:val="00130390"/>
    <w:rsid w:val="001307EB"/>
    <w:rsid w:val="00132FF2"/>
    <w:rsid w:val="00140949"/>
    <w:rsid w:val="001474A4"/>
    <w:rsid w:val="001662B9"/>
    <w:rsid w:val="00172A27"/>
    <w:rsid w:val="00182687"/>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0253"/>
    <w:rsid w:val="00244BE9"/>
    <w:rsid w:val="00252D74"/>
    <w:rsid w:val="00255979"/>
    <w:rsid w:val="00255D75"/>
    <w:rsid w:val="00260A47"/>
    <w:rsid w:val="00261C5B"/>
    <w:rsid w:val="00271A3C"/>
    <w:rsid w:val="00273D40"/>
    <w:rsid w:val="00280335"/>
    <w:rsid w:val="002822E4"/>
    <w:rsid w:val="002851C3"/>
    <w:rsid w:val="00292F42"/>
    <w:rsid w:val="002A0A4C"/>
    <w:rsid w:val="002A6597"/>
    <w:rsid w:val="002B7F8B"/>
    <w:rsid w:val="002C2B43"/>
    <w:rsid w:val="002C3E6B"/>
    <w:rsid w:val="002D0B7E"/>
    <w:rsid w:val="002D3FEA"/>
    <w:rsid w:val="002D780C"/>
    <w:rsid w:val="002E4523"/>
    <w:rsid w:val="002E70E5"/>
    <w:rsid w:val="002E7540"/>
    <w:rsid w:val="002F5751"/>
    <w:rsid w:val="00301A3B"/>
    <w:rsid w:val="00312338"/>
    <w:rsid w:val="003167FF"/>
    <w:rsid w:val="0033728A"/>
    <w:rsid w:val="00340FBD"/>
    <w:rsid w:val="003425AA"/>
    <w:rsid w:val="00344F15"/>
    <w:rsid w:val="003458DD"/>
    <w:rsid w:val="00346FD6"/>
    <w:rsid w:val="0035269E"/>
    <w:rsid w:val="003577F6"/>
    <w:rsid w:val="00361C53"/>
    <w:rsid w:val="00371116"/>
    <w:rsid w:val="0037302D"/>
    <w:rsid w:val="00373E7F"/>
    <w:rsid w:val="00375001"/>
    <w:rsid w:val="00376577"/>
    <w:rsid w:val="00377D84"/>
    <w:rsid w:val="00380738"/>
    <w:rsid w:val="003846B2"/>
    <w:rsid w:val="00385183"/>
    <w:rsid w:val="00391928"/>
    <w:rsid w:val="003919E1"/>
    <w:rsid w:val="003A48E1"/>
    <w:rsid w:val="003B3663"/>
    <w:rsid w:val="003D0F5F"/>
    <w:rsid w:val="003D4FE5"/>
    <w:rsid w:val="003D62AA"/>
    <w:rsid w:val="003E445D"/>
    <w:rsid w:val="003E4D6D"/>
    <w:rsid w:val="003E76A2"/>
    <w:rsid w:val="003F19B5"/>
    <w:rsid w:val="003F298D"/>
    <w:rsid w:val="00404BBB"/>
    <w:rsid w:val="0042100E"/>
    <w:rsid w:val="004241E3"/>
    <w:rsid w:val="004278F1"/>
    <w:rsid w:val="0043095A"/>
    <w:rsid w:val="00431055"/>
    <w:rsid w:val="00433B4B"/>
    <w:rsid w:val="00437005"/>
    <w:rsid w:val="0046312D"/>
    <w:rsid w:val="004652D2"/>
    <w:rsid w:val="00471CFD"/>
    <w:rsid w:val="00474574"/>
    <w:rsid w:val="00496E4E"/>
    <w:rsid w:val="004A1324"/>
    <w:rsid w:val="004A3F59"/>
    <w:rsid w:val="004B212A"/>
    <w:rsid w:val="004D09F0"/>
    <w:rsid w:val="004D1612"/>
    <w:rsid w:val="004D1FE1"/>
    <w:rsid w:val="004D4D0B"/>
    <w:rsid w:val="004E0815"/>
    <w:rsid w:val="004F220B"/>
    <w:rsid w:val="004F29EC"/>
    <w:rsid w:val="004F2FE1"/>
    <w:rsid w:val="004F3A58"/>
    <w:rsid w:val="004F54AA"/>
    <w:rsid w:val="004F550E"/>
    <w:rsid w:val="004F653D"/>
    <w:rsid w:val="00500F82"/>
    <w:rsid w:val="005068D6"/>
    <w:rsid w:val="0052516E"/>
    <w:rsid w:val="00527F3E"/>
    <w:rsid w:val="00542801"/>
    <w:rsid w:val="0054542F"/>
    <w:rsid w:val="0055186A"/>
    <w:rsid w:val="00565B42"/>
    <w:rsid w:val="00566AEF"/>
    <w:rsid w:val="005923FB"/>
    <w:rsid w:val="0059694F"/>
    <w:rsid w:val="005A1025"/>
    <w:rsid w:val="005C7A68"/>
    <w:rsid w:val="005D3123"/>
    <w:rsid w:val="005E181F"/>
    <w:rsid w:val="005E6149"/>
    <w:rsid w:val="005F4032"/>
    <w:rsid w:val="005F793E"/>
    <w:rsid w:val="00600A3F"/>
    <w:rsid w:val="00605167"/>
    <w:rsid w:val="006358C5"/>
    <w:rsid w:val="00646EED"/>
    <w:rsid w:val="0066425D"/>
    <w:rsid w:val="006802A2"/>
    <w:rsid w:val="006907C1"/>
    <w:rsid w:val="006939FC"/>
    <w:rsid w:val="00697C01"/>
    <w:rsid w:val="006A232A"/>
    <w:rsid w:val="006A5767"/>
    <w:rsid w:val="006B55CD"/>
    <w:rsid w:val="006C7305"/>
    <w:rsid w:val="006D3A10"/>
    <w:rsid w:val="006D753A"/>
    <w:rsid w:val="006E2A6C"/>
    <w:rsid w:val="006E3886"/>
    <w:rsid w:val="006F15FC"/>
    <w:rsid w:val="006F3E6E"/>
    <w:rsid w:val="00700BC8"/>
    <w:rsid w:val="007031BD"/>
    <w:rsid w:val="0071174F"/>
    <w:rsid w:val="0071519C"/>
    <w:rsid w:val="00720826"/>
    <w:rsid w:val="007239AA"/>
    <w:rsid w:val="00723BA4"/>
    <w:rsid w:val="007347A8"/>
    <w:rsid w:val="00751D5B"/>
    <w:rsid w:val="007524E0"/>
    <w:rsid w:val="007536BE"/>
    <w:rsid w:val="007704B1"/>
    <w:rsid w:val="00775D40"/>
    <w:rsid w:val="00781837"/>
    <w:rsid w:val="007823CF"/>
    <w:rsid w:val="00792D0A"/>
    <w:rsid w:val="007957EC"/>
    <w:rsid w:val="0079652A"/>
    <w:rsid w:val="007C552C"/>
    <w:rsid w:val="007D3403"/>
    <w:rsid w:val="007F5CA2"/>
    <w:rsid w:val="0080136F"/>
    <w:rsid w:val="00806699"/>
    <w:rsid w:val="00807C1C"/>
    <w:rsid w:val="00811AE1"/>
    <w:rsid w:val="0082579B"/>
    <w:rsid w:val="00827882"/>
    <w:rsid w:val="00831073"/>
    <w:rsid w:val="00847288"/>
    <w:rsid w:val="008523D4"/>
    <w:rsid w:val="008561C8"/>
    <w:rsid w:val="00863B15"/>
    <w:rsid w:val="00873832"/>
    <w:rsid w:val="00882251"/>
    <w:rsid w:val="0089426F"/>
    <w:rsid w:val="008A27A6"/>
    <w:rsid w:val="008B365F"/>
    <w:rsid w:val="008B6EF3"/>
    <w:rsid w:val="008C194F"/>
    <w:rsid w:val="008C2857"/>
    <w:rsid w:val="008C4BC7"/>
    <w:rsid w:val="008C597D"/>
    <w:rsid w:val="008D0582"/>
    <w:rsid w:val="008D3C24"/>
    <w:rsid w:val="008E1AD7"/>
    <w:rsid w:val="008E637C"/>
    <w:rsid w:val="008F19A7"/>
    <w:rsid w:val="008F7D01"/>
    <w:rsid w:val="009072E5"/>
    <w:rsid w:val="00910F4C"/>
    <w:rsid w:val="00917B9E"/>
    <w:rsid w:val="00932BD4"/>
    <w:rsid w:val="0093363C"/>
    <w:rsid w:val="009506F2"/>
    <w:rsid w:val="009646AB"/>
    <w:rsid w:val="00971B09"/>
    <w:rsid w:val="00975676"/>
    <w:rsid w:val="009B2C10"/>
    <w:rsid w:val="009B59D2"/>
    <w:rsid w:val="009C0E6D"/>
    <w:rsid w:val="009C156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2F8E"/>
    <w:rsid w:val="00A1343F"/>
    <w:rsid w:val="00A2501C"/>
    <w:rsid w:val="00A33491"/>
    <w:rsid w:val="00A34D63"/>
    <w:rsid w:val="00A34F2B"/>
    <w:rsid w:val="00A50C08"/>
    <w:rsid w:val="00A64A15"/>
    <w:rsid w:val="00A702A9"/>
    <w:rsid w:val="00A70D13"/>
    <w:rsid w:val="00A8066B"/>
    <w:rsid w:val="00A92FFB"/>
    <w:rsid w:val="00A93FC0"/>
    <w:rsid w:val="00A94290"/>
    <w:rsid w:val="00A94D98"/>
    <w:rsid w:val="00A97D06"/>
    <w:rsid w:val="00AA410D"/>
    <w:rsid w:val="00AA6793"/>
    <w:rsid w:val="00AA7912"/>
    <w:rsid w:val="00AB1E3E"/>
    <w:rsid w:val="00AC0163"/>
    <w:rsid w:val="00AC7BB3"/>
    <w:rsid w:val="00AD5656"/>
    <w:rsid w:val="00AD77EE"/>
    <w:rsid w:val="00AE0282"/>
    <w:rsid w:val="00AE1A20"/>
    <w:rsid w:val="00AE4E6E"/>
    <w:rsid w:val="00AF341D"/>
    <w:rsid w:val="00B0444C"/>
    <w:rsid w:val="00B057FD"/>
    <w:rsid w:val="00B12E13"/>
    <w:rsid w:val="00B131A3"/>
    <w:rsid w:val="00B14E38"/>
    <w:rsid w:val="00B2052F"/>
    <w:rsid w:val="00B213DD"/>
    <w:rsid w:val="00B234C2"/>
    <w:rsid w:val="00B27DD7"/>
    <w:rsid w:val="00B46D44"/>
    <w:rsid w:val="00B51E27"/>
    <w:rsid w:val="00B63DF2"/>
    <w:rsid w:val="00B74D84"/>
    <w:rsid w:val="00B750BD"/>
    <w:rsid w:val="00B8103A"/>
    <w:rsid w:val="00B878F6"/>
    <w:rsid w:val="00B96E56"/>
    <w:rsid w:val="00BA0C46"/>
    <w:rsid w:val="00BA1E0D"/>
    <w:rsid w:val="00BA577A"/>
    <w:rsid w:val="00BA64EB"/>
    <w:rsid w:val="00BB2521"/>
    <w:rsid w:val="00BB6771"/>
    <w:rsid w:val="00BC170D"/>
    <w:rsid w:val="00BC46F3"/>
    <w:rsid w:val="00BD2D21"/>
    <w:rsid w:val="00BE4640"/>
    <w:rsid w:val="00BF40B3"/>
    <w:rsid w:val="00C022FB"/>
    <w:rsid w:val="00C06B0F"/>
    <w:rsid w:val="00C1372F"/>
    <w:rsid w:val="00C13CF4"/>
    <w:rsid w:val="00C146B3"/>
    <w:rsid w:val="00C15D7E"/>
    <w:rsid w:val="00C17F0A"/>
    <w:rsid w:val="00C239C7"/>
    <w:rsid w:val="00C36642"/>
    <w:rsid w:val="00C3672B"/>
    <w:rsid w:val="00C36CB6"/>
    <w:rsid w:val="00C37ACA"/>
    <w:rsid w:val="00C4636D"/>
    <w:rsid w:val="00C568C3"/>
    <w:rsid w:val="00C747A1"/>
    <w:rsid w:val="00C76B54"/>
    <w:rsid w:val="00C76F02"/>
    <w:rsid w:val="00C77444"/>
    <w:rsid w:val="00C80386"/>
    <w:rsid w:val="00C81CE0"/>
    <w:rsid w:val="00C83733"/>
    <w:rsid w:val="00C90DED"/>
    <w:rsid w:val="00C935AF"/>
    <w:rsid w:val="00C95402"/>
    <w:rsid w:val="00CA276E"/>
    <w:rsid w:val="00CA4188"/>
    <w:rsid w:val="00CA4F76"/>
    <w:rsid w:val="00CB5D2B"/>
    <w:rsid w:val="00CB6394"/>
    <w:rsid w:val="00CC1307"/>
    <w:rsid w:val="00CC6586"/>
    <w:rsid w:val="00CC7090"/>
    <w:rsid w:val="00CD0199"/>
    <w:rsid w:val="00CD4ED5"/>
    <w:rsid w:val="00CD5650"/>
    <w:rsid w:val="00CE30C7"/>
    <w:rsid w:val="00CE70F7"/>
    <w:rsid w:val="00CE7446"/>
    <w:rsid w:val="00CE78DD"/>
    <w:rsid w:val="00CF4CC8"/>
    <w:rsid w:val="00D00A0B"/>
    <w:rsid w:val="00D027DA"/>
    <w:rsid w:val="00D05FAF"/>
    <w:rsid w:val="00D11F79"/>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A2635"/>
    <w:rsid w:val="00DA692B"/>
    <w:rsid w:val="00DC2D9B"/>
    <w:rsid w:val="00DC34D7"/>
    <w:rsid w:val="00DC4E28"/>
    <w:rsid w:val="00DD1A81"/>
    <w:rsid w:val="00DE7222"/>
    <w:rsid w:val="00DF070C"/>
    <w:rsid w:val="00DF56AD"/>
    <w:rsid w:val="00DF5723"/>
    <w:rsid w:val="00E169CF"/>
    <w:rsid w:val="00E16BA3"/>
    <w:rsid w:val="00E23444"/>
    <w:rsid w:val="00E25909"/>
    <w:rsid w:val="00E260E6"/>
    <w:rsid w:val="00E309C7"/>
    <w:rsid w:val="00E32D71"/>
    <w:rsid w:val="00E36B10"/>
    <w:rsid w:val="00E41990"/>
    <w:rsid w:val="00E41D4E"/>
    <w:rsid w:val="00E438FF"/>
    <w:rsid w:val="00E43DC1"/>
    <w:rsid w:val="00E465CF"/>
    <w:rsid w:val="00E53716"/>
    <w:rsid w:val="00E56245"/>
    <w:rsid w:val="00E568CF"/>
    <w:rsid w:val="00E76F26"/>
    <w:rsid w:val="00E901C8"/>
    <w:rsid w:val="00E94094"/>
    <w:rsid w:val="00E941BD"/>
    <w:rsid w:val="00E94935"/>
    <w:rsid w:val="00EA55DA"/>
    <w:rsid w:val="00EB17DC"/>
    <w:rsid w:val="00EC4FF2"/>
    <w:rsid w:val="00ED0811"/>
    <w:rsid w:val="00ED23D6"/>
    <w:rsid w:val="00EF231F"/>
    <w:rsid w:val="00EF502F"/>
    <w:rsid w:val="00F057E6"/>
    <w:rsid w:val="00F11557"/>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4AA5"/>
    <w:rsid w:val="00F6671F"/>
    <w:rsid w:val="00F67079"/>
    <w:rsid w:val="00F723A9"/>
    <w:rsid w:val="00F82BEA"/>
    <w:rsid w:val="00F8405C"/>
    <w:rsid w:val="00F86D16"/>
    <w:rsid w:val="00F93265"/>
    <w:rsid w:val="00F93EFE"/>
    <w:rsid w:val="00FA1C44"/>
    <w:rsid w:val="00FA3B25"/>
    <w:rsid w:val="00FB3554"/>
    <w:rsid w:val="00FC1946"/>
    <w:rsid w:val="00FC43EC"/>
    <w:rsid w:val="00FC6360"/>
    <w:rsid w:val="00FD5426"/>
    <w:rsid w:val="00FD616C"/>
    <w:rsid w:val="00FE2BA1"/>
    <w:rsid w:val="00FE56AD"/>
    <w:rsid w:val="00FE6D09"/>
    <w:rsid w:val="00FF2373"/>
    <w:rsid w:val="00FF3F0D"/>
    <w:rsid w:val="00FF466A"/>
    <w:rsid w:val="01211493"/>
    <w:rsid w:val="01213851"/>
    <w:rsid w:val="01242C13"/>
    <w:rsid w:val="01287DBF"/>
    <w:rsid w:val="014243EF"/>
    <w:rsid w:val="016A18BB"/>
    <w:rsid w:val="01A026F0"/>
    <w:rsid w:val="01B43674"/>
    <w:rsid w:val="01D056EF"/>
    <w:rsid w:val="02205968"/>
    <w:rsid w:val="023D593B"/>
    <w:rsid w:val="0249067B"/>
    <w:rsid w:val="02C00B3F"/>
    <w:rsid w:val="02C93A8B"/>
    <w:rsid w:val="02E958C8"/>
    <w:rsid w:val="03321525"/>
    <w:rsid w:val="033F29FA"/>
    <w:rsid w:val="038652C6"/>
    <w:rsid w:val="03936BB9"/>
    <w:rsid w:val="03A9328A"/>
    <w:rsid w:val="03AF0B5C"/>
    <w:rsid w:val="03B536AD"/>
    <w:rsid w:val="040130AD"/>
    <w:rsid w:val="046532AA"/>
    <w:rsid w:val="046B3E46"/>
    <w:rsid w:val="04FC5702"/>
    <w:rsid w:val="05FC0058"/>
    <w:rsid w:val="06775417"/>
    <w:rsid w:val="069C0518"/>
    <w:rsid w:val="06AA7CF2"/>
    <w:rsid w:val="06D74D2C"/>
    <w:rsid w:val="06FD72B5"/>
    <w:rsid w:val="07272FEF"/>
    <w:rsid w:val="074236CC"/>
    <w:rsid w:val="07611FC2"/>
    <w:rsid w:val="07810992"/>
    <w:rsid w:val="07C766EF"/>
    <w:rsid w:val="07D5438B"/>
    <w:rsid w:val="07F6398C"/>
    <w:rsid w:val="080F5EFD"/>
    <w:rsid w:val="08DD1D65"/>
    <w:rsid w:val="09023E0B"/>
    <w:rsid w:val="09211EC3"/>
    <w:rsid w:val="094E5EB9"/>
    <w:rsid w:val="09647A9E"/>
    <w:rsid w:val="09D07991"/>
    <w:rsid w:val="09E74C1A"/>
    <w:rsid w:val="09F55C5E"/>
    <w:rsid w:val="0A3A7ED0"/>
    <w:rsid w:val="0A690634"/>
    <w:rsid w:val="0A9D436A"/>
    <w:rsid w:val="0AA350C7"/>
    <w:rsid w:val="0AB16EAD"/>
    <w:rsid w:val="0AE67C59"/>
    <w:rsid w:val="0AEB64A8"/>
    <w:rsid w:val="0AED3445"/>
    <w:rsid w:val="0AF14A41"/>
    <w:rsid w:val="0B48684A"/>
    <w:rsid w:val="0B533B29"/>
    <w:rsid w:val="0B631A54"/>
    <w:rsid w:val="0BA15F9F"/>
    <w:rsid w:val="0BE0144B"/>
    <w:rsid w:val="0BE10566"/>
    <w:rsid w:val="0C3236E7"/>
    <w:rsid w:val="0C3D375A"/>
    <w:rsid w:val="0C6D71DA"/>
    <w:rsid w:val="0CD31EEE"/>
    <w:rsid w:val="0D0F6CA8"/>
    <w:rsid w:val="0D5828D4"/>
    <w:rsid w:val="0D5864B2"/>
    <w:rsid w:val="0D6A1AC0"/>
    <w:rsid w:val="0D9A0057"/>
    <w:rsid w:val="0DE40796"/>
    <w:rsid w:val="0E60507D"/>
    <w:rsid w:val="0EAA475B"/>
    <w:rsid w:val="0EB44FCE"/>
    <w:rsid w:val="0F273644"/>
    <w:rsid w:val="0FD41F31"/>
    <w:rsid w:val="1051038C"/>
    <w:rsid w:val="105B4347"/>
    <w:rsid w:val="1082485A"/>
    <w:rsid w:val="109C580E"/>
    <w:rsid w:val="10F26C1A"/>
    <w:rsid w:val="10F378F4"/>
    <w:rsid w:val="10F55783"/>
    <w:rsid w:val="114306D4"/>
    <w:rsid w:val="11B562D3"/>
    <w:rsid w:val="11C22987"/>
    <w:rsid w:val="12A400B1"/>
    <w:rsid w:val="12AB27B3"/>
    <w:rsid w:val="12EB69CE"/>
    <w:rsid w:val="12EF30CA"/>
    <w:rsid w:val="13465BC3"/>
    <w:rsid w:val="1379231B"/>
    <w:rsid w:val="13881CBF"/>
    <w:rsid w:val="139E5A9A"/>
    <w:rsid w:val="13BB084D"/>
    <w:rsid w:val="13C0248F"/>
    <w:rsid w:val="13CA1266"/>
    <w:rsid w:val="13DC5051"/>
    <w:rsid w:val="13E94203"/>
    <w:rsid w:val="13F15346"/>
    <w:rsid w:val="145B492E"/>
    <w:rsid w:val="145C369D"/>
    <w:rsid w:val="14961447"/>
    <w:rsid w:val="14AF52CE"/>
    <w:rsid w:val="14C10DD5"/>
    <w:rsid w:val="14CF5BD4"/>
    <w:rsid w:val="151F08A1"/>
    <w:rsid w:val="15604361"/>
    <w:rsid w:val="15B55363"/>
    <w:rsid w:val="15C169AC"/>
    <w:rsid w:val="1601265C"/>
    <w:rsid w:val="160C14C3"/>
    <w:rsid w:val="18110CF1"/>
    <w:rsid w:val="19067183"/>
    <w:rsid w:val="19AC7816"/>
    <w:rsid w:val="19D27DA3"/>
    <w:rsid w:val="19D96E58"/>
    <w:rsid w:val="19E26DAC"/>
    <w:rsid w:val="1A3641C6"/>
    <w:rsid w:val="1AC6675E"/>
    <w:rsid w:val="1AE24765"/>
    <w:rsid w:val="1AF60CE7"/>
    <w:rsid w:val="1B40165E"/>
    <w:rsid w:val="1B55025B"/>
    <w:rsid w:val="1B7D617A"/>
    <w:rsid w:val="1BAF5235"/>
    <w:rsid w:val="1BC55301"/>
    <w:rsid w:val="1BCC5849"/>
    <w:rsid w:val="1BFB390B"/>
    <w:rsid w:val="1C0D2B16"/>
    <w:rsid w:val="1C1E2754"/>
    <w:rsid w:val="1C225C02"/>
    <w:rsid w:val="1C3B73C1"/>
    <w:rsid w:val="1C577B84"/>
    <w:rsid w:val="1CF87B5F"/>
    <w:rsid w:val="1D3F5762"/>
    <w:rsid w:val="1D4206A0"/>
    <w:rsid w:val="1D767C76"/>
    <w:rsid w:val="1D8F2F1D"/>
    <w:rsid w:val="1E4644CC"/>
    <w:rsid w:val="1E5573ED"/>
    <w:rsid w:val="1E686225"/>
    <w:rsid w:val="1E8C48A2"/>
    <w:rsid w:val="1F1771BB"/>
    <w:rsid w:val="1F6A3BAE"/>
    <w:rsid w:val="1FB3007D"/>
    <w:rsid w:val="1FC86FB2"/>
    <w:rsid w:val="1FFF6893"/>
    <w:rsid w:val="20017C8D"/>
    <w:rsid w:val="20090D1D"/>
    <w:rsid w:val="208D5545"/>
    <w:rsid w:val="20D91FEB"/>
    <w:rsid w:val="211E47B1"/>
    <w:rsid w:val="213B0E23"/>
    <w:rsid w:val="21B27F6C"/>
    <w:rsid w:val="21BF6859"/>
    <w:rsid w:val="21C94255"/>
    <w:rsid w:val="21DB0BBB"/>
    <w:rsid w:val="224C7E9B"/>
    <w:rsid w:val="225A4C77"/>
    <w:rsid w:val="228B768D"/>
    <w:rsid w:val="22A25B4E"/>
    <w:rsid w:val="22B1623E"/>
    <w:rsid w:val="22C1602E"/>
    <w:rsid w:val="22C9133F"/>
    <w:rsid w:val="22DC567E"/>
    <w:rsid w:val="23061CAF"/>
    <w:rsid w:val="230963C7"/>
    <w:rsid w:val="23BC0851"/>
    <w:rsid w:val="23FE2357"/>
    <w:rsid w:val="24163A61"/>
    <w:rsid w:val="24714546"/>
    <w:rsid w:val="24853B8F"/>
    <w:rsid w:val="24C63A20"/>
    <w:rsid w:val="251F3280"/>
    <w:rsid w:val="25416241"/>
    <w:rsid w:val="254E544D"/>
    <w:rsid w:val="25931026"/>
    <w:rsid w:val="25BC5CB5"/>
    <w:rsid w:val="25C85DA2"/>
    <w:rsid w:val="26140373"/>
    <w:rsid w:val="266427D3"/>
    <w:rsid w:val="2675674A"/>
    <w:rsid w:val="26846979"/>
    <w:rsid w:val="268B606C"/>
    <w:rsid w:val="2748750A"/>
    <w:rsid w:val="279C4183"/>
    <w:rsid w:val="27A015EF"/>
    <w:rsid w:val="280C2F29"/>
    <w:rsid w:val="28402694"/>
    <w:rsid w:val="285D44AA"/>
    <w:rsid w:val="289F2FF8"/>
    <w:rsid w:val="28B30360"/>
    <w:rsid w:val="28B746C1"/>
    <w:rsid w:val="28D5447E"/>
    <w:rsid w:val="28FF44FC"/>
    <w:rsid w:val="293E708B"/>
    <w:rsid w:val="29BD120F"/>
    <w:rsid w:val="29C769C8"/>
    <w:rsid w:val="29F36D30"/>
    <w:rsid w:val="2A5520BE"/>
    <w:rsid w:val="2ACF5A8C"/>
    <w:rsid w:val="2ADF4AAE"/>
    <w:rsid w:val="2AF51552"/>
    <w:rsid w:val="2AF60FAE"/>
    <w:rsid w:val="2AF70A4E"/>
    <w:rsid w:val="2B2621F1"/>
    <w:rsid w:val="2B4C1FA0"/>
    <w:rsid w:val="2B833DCF"/>
    <w:rsid w:val="2B9C72A6"/>
    <w:rsid w:val="2BD75CDC"/>
    <w:rsid w:val="2C642539"/>
    <w:rsid w:val="2C97173C"/>
    <w:rsid w:val="2CB949F3"/>
    <w:rsid w:val="2CBD1188"/>
    <w:rsid w:val="2D08615C"/>
    <w:rsid w:val="2D962D8D"/>
    <w:rsid w:val="2DA65AC5"/>
    <w:rsid w:val="2DDC0D17"/>
    <w:rsid w:val="2E5570C0"/>
    <w:rsid w:val="2EF2187B"/>
    <w:rsid w:val="2F6971AB"/>
    <w:rsid w:val="2FC14287"/>
    <w:rsid w:val="2FC437F6"/>
    <w:rsid w:val="2FE23FCB"/>
    <w:rsid w:val="30080F2F"/>
    <w:rsid w:val="30387810"/>
    <w:rsid w:val="30424923"/>
    <w:rsid w:val="304C6D89"/>
    <w:rsid w:val="30D5532C"/>
    <w:rsid w:val="310D28FD"/>
    <w:rsid w:val="311B3142"/>
    <w:rsid w:val="311C63D6"/>
    <w:rsid w:val="312622CD"/>
    <w:rsid w:val="31484C06"/>
    <w:rsid w:val="31C132B8"/>
    <w:rsid w:val="31F65A58"/>
    <w:rsid w:val="3215332D"/>
    <w:rsid w:val="32263C46"/>
    <w:rsid w:val="32435C17"/>
    <w:rsid w:val="32A457A0"/>
    <w:rsid w:val="32D423D5"/>
    <w:rsid w:val="32E40A7F"/>
    <w:rsid w:val="331F4692"/>
    <w:rsid w:val="334603F1"/>
    <w:rsid w:val="33B33519"/>
    <w:rsid w:val="341A06B8"/>
    <w:rsid w:val="34832720"/>
    <w:rsid w:val="34940253"/>
    <w:rsid w:val="34A544DA"/>
    <w:rsid w:val="34A913BC"/>
    <w:rsid w:val="34C45581"/>
    <w:rsid w:val="35047215"/>
    <w:rsid w:val="35852EE6"/>
    <w:rsid w:val="36301CAE"/>
    <w:rsid w:val="366B14B6"/>
    <w:rsid w:val="36991F2A"/>
    <w:rsid w:val="36A24CBE"/>
    <w:rsid w:val="36BC7D30"/>
    <w:rsid w:val="37543839"/>
    <w:rsid w:val="37585C03"/>
    <w:rsid w:val="37B71B23"/>
    <w:rsid w:val="37EF25FC"/>
    <w:rsid w:val="37FB194A"/>
    <w:rsid w:val="38134DDD"/>
    <w:rsid w:val="389C7A0C"/>
    <w:rsid w:val="38AB6509"/>
    <w:rsid w:val="38C67BAB"/>
    <w:rsid w:val="38FC5CC5"/>
    <w:rsid w:val="39243F17"/>
    <w:rsid w:val="394C66DD"/>
    <w:rsid w:val="39764D37"/>
    <w:rsid w:val="3A2643FE"/>
    <w:rsid w:val="3A2D3442"/>
    <w:rsid w:val="3AF10DEA"/>
    <w:rsid w:val="3B047748"/>
    <w:rsid w:val="3B104784"/>
    <w:rsid w:val="3B1761DF"/>
    <w:rsid w:val="3B3D0765"/>
    <w:rsid w:val="3B6B11F0"/>
    <w:rsid w:val="3B802375"/>
    <w:rsid w:val="3BB13E90"/>
    <w:rsid w:val="3C266052"/>
    <w:rsid w:val="3C4B0570"/>
    <w:rsid w:val="3CA40291"/>
    <w:rsid w:val="3CEF6B91"/>
    <w:rsid w:val="3D2364DC"/>
    <w:rsid w:val="3D3313E5"/>
    <w:rsid w:val="3D9D0729"/>
    <w:rsid w:val="3DAC39CF"/>
    <w:rsid w:val="3DAE434A"/>
    <w:rsid w:val="3DDF00AE"/>
    <w:rsid w:val="3DDF6494"/>
    <w:rsid w:val="3E1126E3"/>
    <w:rsid w:val="3E234D34"/>
    <w:rsid w:val="3E4B6981"/>
    <w:rsid w:val="3E574BEE"/>
    <w:rsid w:val="3E94576E"/>
    <w:rsid w:val="3EA5119E"/>
    <w:rsid w:val="3EBE084F"/>
    <w:rsid w:val="3EC32B74"/>
    <w:rsid w:val="3ED829C9"/>
    <w:rsid w:val="3ED92825"/>
    <w:rsid w:val="3EDB7087"/>
    <w:rsid w:val="3EF63168"/>
    <w:rsid w:val="3F062266"/>
    <w:rsid w:val="3F326DBB"/>
    <w:rsid w:val="3F4E4B32"/>
    <w:rsid w:val="3FDA1D33"/>
    <w:rsid w:val="3FE815EE"/>
    <w:rsid w:val="401E0BC3"/>
    <w:rsid w:val="40620800"/>
    <w:rsid w:val="40DC05C4"/>
    <w:rsid w:val="40EC294D"/>
    <w:rsid w:val="41567FFC"/>
    <w:rsid w:val="419F3437"/>
    <w:rsid w:val="41B915A5"/>
    <w:rsid w:val="42007BC3"/>
    <w:rsid w:val="420E7CBC"/>
    <w:rsid w:val="422723C1"/>
    <w:rsid w:val="425F09B0"/>
    <w:rsid w:val="42AC1AFD"/>
    <w:rsid w:val="42C80099"/>
    <w:rsid w:val="42D03DF9"/>
    <w:rsid w:val="432675D2"/>
    <w:rsid w:val="4351111A"/>
    <w:rsid w:val="435B1718"/>
    <w:rsid w:val="43804A43"/>
    <w:rsid w:val="43891467"/>
    <w:rsid w:val="43A05748"/>
    <w:rsid w:val="43B032AE"/>
    <w:rsid w:val="43DC17D0"/>
    <w:rsid w:val="440F01CA"/>
    <w:rsid w:val="441060A4"/>
    <w:rsid w:val="441643E8"/>
    <w:rsid w:val="445C25FF"/>
    <w:rsid w:val="446374FE"/>
    <w:rsid w:val="446D388C"/>
    <w:rsid w:val="44897E3F"/>
    <w:rsid w:val="448A16D3"/>
    <w:rsid w:val="448C4C1A"/>
    <w:rsid w:val="449A179A"/>
    <w:rsid w:val="450519EE"/>
    <w:rsid w:val="45201CD0"/>
    <w:rsid w:val="452C4683"/>
    <w:rsid w:val="453B4135"/>
    <w:rsid w:val="453B4205"/>
    <w:rsid w:val="45A95584"/>
    <w:rsid w:val="45C81CB3"/>
    <w:rsid w:val="45FD6F20"/>
    <w:rsid w:val="461934A2"/>
    <w:rsid w:val="463F360B"/>
    <w:rsid w:val="46B40B6B"/>
    <w:rsid w:val="46D64DD7"/>
    <w:rsid w:val="46D713A9"/>
    <w:rsid w:val="46F43BD9"/>
    <w:rsid w:val="472C3214"/>
    <w:rsid w:val="48164085"/>
    <w:rsid w:val="48A279E5"/>
    <w:rsid w:val="48AC0CAC"/>
    <w:rsid w:val="4947790A"/>
    <w:rsid w:val="49B61712"/>
    <w:rsid w:val="49BB4DFF"/>
    <w:rsid w:val="4A9F780A"/>
    <w:rsid w:val="4AAB7AF7"/>
    <w:rsid w:val="4ABA6312"/>
    <w:rsid w:val="4AE9143A"/>
    <w:rsid w:val="4B075D22"/>
    <w:rsid w:val="4B3D4D2C"/>
    <w:rsid w:val="4B660844"/>
    <w:rsid w:val="4BB15C21"/>
    <w:rsid w:val="4C790344"/>
    <w:rsid w:val="4D1A1400"/>
    <w:rsid w:val="4D285830"/>
    <w:rsid w:val="4D4F3090"/>
    <w:rsid w:val="4D6C70EF"/>
    <w:rsid w:val="4DD357F3"/>
    <w:rsid w:val="4E3653FD"/>
    <w:rsid w:val="4E473566"/>
    <w:rsid w:val="4E5972CA"/>
    <w:rsid w:val="4E8B47DA"/>
    <w:rsid w:val="4EA5389D"/>
    <w:rsid w:val="4EB733D6"/>
    <w:rsid w:val="4EFA0669"/>
    <w:rsid w:val="4F321DBF"/>
    <w:rsid w:val="4F4D1362"/>
    <w:rsid w:val="4F842AC9"/>
    <w:rsid w:val="4F854FDF"/>
    <w:rsid w:val="50744D60"/>
    <w:rsid w:val="50803083"/>
    <w:rsid w:val="50AD68A1"/>
    <w:rsid w:val="50BF6972"/>
    <w:rsid w:val="51431745"/>
    <w:rsid w:val="51722F47"/>
    <w:rsid w:val="518C37D5"/>
    <w:rsid w:val="52311F5E"/>
    <w:rsid w:val="523C2CD5"/>
    <w:rsid w:val="524C3FFD"/>
    <w:rsid w:val="5262355B"/>
    <w:rsid w:val="52726B68"/>
    <w:rsid w:val="52A36D3A"/>
    <w:rsid w:val="52BB2576"/>
    <w:rsid w:val="53194DE2"/>
    <w:rsid w:val="531C6B04"/>
    <w:rsid w:val="53365130"/>
    <w:rsid w:val="53733946"/>
    <w:rsid w:val="546108FD"/>
    <w:rsid w:val="54B8031D"/>
    <w:rsid w:val="54DB1C81"/>
    <w:rsid w:val="55123946"/>
    <w:rsid w:val="551B0D3E"/>
    <w:rsid w:val="551D5901"/>
    <w:rsid w:val="55787787"/>
    <w:rsid w:val="55BF392A"/>
    <w:rsid w:val="55D903ED"/>
    <w:rsid w:val="560C300A"/>
    <w:rsid w:val="562770B6"/>
    <w:rsid w:val="568D1ECF"/>
    <w:rsid w:val="56A81C1A"/>
    <w:rsid w:val="576277CF"/>
    <w:rsid w:val="57D17F4B"/>
    <w:rsid w:val="57F934C0"/>
    <w:rsid w:val="58097DEF"/>
    <w:rsid w:val="58106C05"/>
    <w:rsid w:val="583F6838"/>
    <w:rsid w:val="58616E69"/>
    <w:rsid w:val="58951C97"/>
    <w:rsid w:val="58B0410D"/>
    <w:rsid w:val="58C62C27"/>
    <w:rsid w:val="58C963C2"/>
    <w:rsid w:val="58CC2A45"/>
    <w:rsid w:val="58FC5AEF"/>
    <w:rsid w:val="591E45BB"/>
    <w:rsid w:val="5938434F"/>
    <w:rsid w:val="596379A9"/>
    <w:rsid w:val="59786B86"/>
    <w:rsid w:val="597D0736"/>
    <w:rsid w:val="59D17D75"/>
    <w:rsid w:val="59D471D7"/>
    <w:rsid w:val="59EB5F94"/>
    <w:rsid w:val="5A366F84"/>
    <w:rsid w:val="5A3F0176"/>
    <w:rsid w:val="5AD92B58"/>
    <w:rsid w:val="5AE8322E"/>
    <w:rsid w:val="5AFC4143"/>
    <w:rsid w:val="5B0D7295"/>
    <w:rsid w:val="5B206399"/>
    <w:rsid w:val="5B650DD0"/>
    <w:rsid w:val="5B860B38"/>
    <w:rsid w:val="5B936138"/>
    <w:rsid w:val="5BD133DF"/>
    <w:rsid w:val="5BD366A4"/>
    <w:rsid w:val="5C020B94"/>
    <w:rsid w:val="5C3E78DA"/>
    <w:rsid w:val="5C640E34"/>
    <w:rsid w:val="5C6D3417"/>
    <w:rsid w:val="5CE20BEA"/>
    <w:rsid w:val="5D373CB2"/>
    <w:rsid w:val="5D506205"/>
    <w:rsid w:val="5E1F592C"/>
    <w:rsid w:val="5EF758F3"/>
    <w:rsid w:val="5EFF0ED2"/>
    <w:rsid w:val="5F202A1F"/>
    <w:rsid w:val="5FD73AA6"/>
    <w:rsid w:val="5FD85EAF"/>
    <w:rsid w:val="5FF909AB"/>
    <w:rsid w:val="60727B5E"/>
    <w:rsid w:val="6085614E"/>
    <w:rsid w:val="608D3DB2"/>
    <w:rsid w:val="608F1BD3"/>
    <w:rsid w:val="60C6396F"/>
    <w:rsid w:val="60D72035"/>
    <w:rsid w:val="62461BBC"/>
    <w:rsid w:val="62724DC7"/>
    <w:rsid w:val="628B5453"/>
    <w:rsid w:val="62983D63"/>
    <w:rsid w:val="62A77B5C"/>
    <w:rsid w:val="62BE1ACE"/>
    <w:rsid w:val="62DF39AC"/>
    <w:rsid w:val="63AF2E7A"/>
    <w:rsid w:val="63B425DD"/>
    <w:rsid w:val="63FE569C"/>
    <w:rsid w:val="64280565"/>
    <w:rsid w:val="644E2285"/>
    <w:rsid w:val="64B0068F"/>
    <w:rsid w:val="64B0634B"/>
    <w:rsid w:val="64C60289"/>
    <w:rsid w:val="651C4582"/>
    <w:rsid w:val="65691302"/>
    <w:rsid w:val="65750996"/>
    <w:rsid w:val="658F1D57"/>
    <w:rsid w:val="65AD379D"/>
    <w:rsid w:val="65DD0D4C"/>
    <w:rsid w:val="65E6167B"/>
    <w:rsid w:val="6632794B"/>
    <w:rsid w:val="66405C4B"/>
    <w:rsid w:val="66482D7B"/>
    <w:rsid w:val="66F85A12"/>
    <w:rsid w:val="67420658"/>
    <w:rsid w:val="675178A4"/>
    <w:rsid w:val="678960F0"/>
    <w:rsid w:val="67A50830"/>
    <w:rsid w:val="67A92B0C"/>
    <w:rsid w:val="67EA37F1"/>
    <w:rsid w:val="68280C48"/>
    <w:rsid w:val="68400AB2"/>
    <w:rsid w:val="689A44D2"/>
    <w:rsid w:val="68E47A64"/>
    <w:rsid w:val="68E94352"/>
    <w:rsid w:val="68F058E5"/>
    <w:rsid w:val="696778E1"/>
    <w:rsid w:val="69781887"/>
    <w:rsid w:val="69945F1A"/>
    <w:rsid w:val="69C341B5"/>
    <w:rsid w:val="69C356D6"/>
    <w:rsid w:val="69C45FB3"/>
    <w:rsid w:val="69D152E0"/>
    <w:rsid w:val="6A261FDF"/>
    <w:rsid w:val="6A5F7EB4"/>
    <w:rsid w:val="6A67408A"/>
    <w:rsid w:val="6AAA7088"/>
    <w:rsid w:val="6B353BDC"/>
    <w:rsid w:val="6B6C2A2C"/>
    <w:rsid w:val="6B8428B4"/>
    <w:rsid w:val="6C267CEF"/>
    <w:rsid w:val="6C271424"/>
    <w:rsid w:val="6C307318"/>
    <w:rsid w:val="6C8951EB"/>
    <w:rsid w:val="6C9E3F84"/>
    <w:rsid w:val="6CCB2A5C"/>
    <w:rsid w:val="6CCE109B"/>
    <w:rsid w:val="6CE47F86"/>
    <w:rsid w:val="6CEF474A"/>
    <w:rsid w:val="6D3A60CF"/>
    <w:rsid w:val="6D652811"/>
    <w:rsid w:val="6D6C165E"/>
    <w:rsid w:val="6D7735AC"/>
    <w:rsid w:val="6DEF3963"/>
    <w:rsid w:val="6DFB2EB4"/>
    <w:rsid w:val="6E35541C"/>
    <w:rsid w:val="6E451788"/>
    <w:rsid w:val="6E541B46"/>
    <w:rsid w:val="6E761186"/>
    <w:rsid w:val="6EC553D5"/>
    <w:rsid w:val="6F074349"/>
    <w:rsid w:val="6F1010B3"/>
    <w:rsid w:val="6F9156AC"/>
    <w:rsid w:val="6F922BFC"/>
    <w:rsid w:val="6FC844B0"/>
    <w:rsid w:val="6FC91D09"/>
    <w:rsid w:val="6FEA3F10"/>
    <w:rsid w:val="6FEA4DF2"/>
    <w:rsid w:val="70751B40"/>
    <w:rsid w:val="70CE3CD6"/>
    <w:rsid w:val="7176061E"/>
    <w:rsid w:val="71B23F18"/>
    <w:rsid w:val="71BD31A5"/>
    <w:rsid w:val="71D821BD"/>
    <w:rsid w:val="71E25184"/>
    <w:rsid w:val="725B3F1B"/>
    <w:rsid w:val="72F40F30"/>
    <w:rsid w:val="731A6169"/>
    <w:rsid w:val="73223DF1"/>
    <w:rsid w:val="7351635F"/>
    <w:rsid w:val="74232A0F"/>
    <w:rsid w:val="74431529"/>
    <w:rsid w:val="74633D61"/>
    <w:rsid w:val="746C06C6"/>
    <w:rsid w:val="74865AA7"/>
    <w:rsid w:val="74880A2B"/>
    <w:rsid w:val="74981804"/>
    <w:rsid w:val="749A779C"/>
    <w:rsid w:val="74A62A32"/>
    <w:rsid w:val="74D7533A"/>
    <w:rsid w:val="74DA01CE"/>
    <w:rsid w:val="74E11CE7"/>
    <w:rsid w:val="74F517F7"/>
    <w:rsid w:val="75285984"/>
    <w:rsid w:val="75315E83"/>
    <w:rsid w:val="757A24EA"/>
    <w:rsid w:val="75D143AF"/>
    <w:rsid w:val="75E53387"/>
    <w:rsid w:val="76427E90"/>
    <w:rsid w:val="76976535"/>
    <w:rsid w:val="769B0408"/>
    <w:rsid w:val="76E50ADF"/>
    <w:rsid w:val="77052BDB"/>
    <w:rsid w:val="7707073D"/>
    <w:rsid w:val="77A905D9"/>
    <w:rsid w:val="782F51CB"/>
    <w:rsid w:val="78346968"/>
    <w:rsid w:val="78D665EA"/>
    <w:rsid w:val="78E05ACF"/>
    <w:rsid w:val="78E9231B"/>
    <w:rsid w:val="791A21AC"/>
    <w:rsid w:val="791F2A74"/>
    <w:rsid w:val="79336278"/>
    <w:rsid w:val="79647BD1"/>
    <w:rsid w:val="797A12D2"/>
    <w:rsid w:val="79821501"/>
    <w:rsid w:val="79A64908"/>
    <w:rsid w:val="79B14A0F"/>
    <w:rsid w:val="79BA41C3"/>
    <w:rsid w:val="79D17055"/>
    <w:rsid w:val="79E93CD4"/>
    <w:rsid w:val="7A6B30BB"/>
    <w:rsid w:val="7A9B02A0"/>
    <w:rsid w:val="7AA2668D"/>
    <w:rsid w:val="7B120F8C"/>
    <w:rsid w:val="7BC7612B"/>
    <w:rsid w:val="7C3946D8"/>
    <w:rsid w:val="7C41114A"/>
    <w:rsid w:val="7C5A528B"/>
    <w:rsid w:val="7CA273D9"/>
    <w:rsid w:val="7CCE5944"/>
    <w:rsid w:val="7D06760C"/>
    <w:rsid w:val="7D2C1ACA"/>
    <w:rsid w:val="7D3A572C"/>
    <w:rsid w:val="7DBC38D5"/>
    <w:rsid w:val="7DDE2123"/>
    <w:rsid w:val="7DE37724"/>
    <w:rsid w:val="7DEE0D61"/>
    <w:rsid w:val="7DF775C2"/>
    <w:rsid w:val="7E371183"/>
    <w:rsid w:val="7E5A3003"/>
    <w:rsid w:val="7E6F0738"/>
    <w:rsid w:val="7E73447D"/>
    <w:rsid w:val="7EA626C1"/>
    <w:rsid w:val="7F093C4D"/>
    <w:rsid w:val="7F181840"/>
    <w:rsid w:val="7F52469C"/>
    <w:rsid w:val="7F73005C"/>
    <w:rsid w:val="7F942DB0"/>
    <w:rsid w:val="7FA502D2"/>
    <w:rsid w:val="7FB73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link w:val="51"/>
    <w:qFormat/>
    <w:uiPriority w:val="0"/>
    <w:pPr>
      <w:keepNext/>
      <w:keepLines/>
      <w:spacing w:before="340" w:after="330" w:line="578" w:lineRule="auto"/>
      <w:outlineLvl w:val="0"/>
    </w:pPr>
    <w:rPr>
      <w:rFonts w:hint="default" w:eastAsia="Century Gothic"/>
      <w:b/>
      <w:bCs/>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widowControl/>
      <w:jc w:val="center"/>
      <w:outlineLvl w:val="3"/>
    </w:pPr>
    <w:rPr>
      <w:rFonts w:ascii="MS Sans Serif" w:hAnsi="仿宋_GB2312" w:eastAsia="MS Sans Serif"/>
      <w:snapToGrid w:val="0"/>
      <w:kern w:val="0"/>
      <w:sz w:val="24"/>
    </w:rPr>
  </w:style>
  <w:style w:type="paragraph" w:styleId="8">
    <w:name w:val="heading 5"/>
    <w:basedOn w:val="1"/>
    <w:next w:val="1"/>
    <w:qFormat/>
    <w:uiPriority w:val="0"/>
    <w:pPr>
      <w:widowControl/>
      <w:spacing w:before="240" w:after="60"/>
      <w:jc w:val="left"/>
      <w:outlineLvl w:val="4"/>
    </w:pPr>
    <w:rPr>
      <w:rFonts w:ascii="MS Sans Serif" w:eastAsia="MS Sans Serif"/>
      <w:kern w:val="0"/>
      <w:sz w:val="24"/>
    </w:rPr>
  </w:style>
  <w:style w:type="paragraph" w:styleId="9">
    <w:name w:val="heading 6"/>
    <w:basedOn w:val="1"/>
    <w:next w:val="7"/>
    <w:qFormat/>
    <w:uiPriority w:val="0"/>
    <w:pPr>
      <w:keepNext/>
      <w:keepLines/>
      <w:spacing w:before="240" w:after="64" w:line="320" w:lineRule="auto"/>
      <w:outlineLvl w:val="5"/>
    </w:pPr>
    <w:rPr>
      <w:rFonts w:ascii="黑体" w:hAnsi="黑体" w:eastAsia="楷体"/>
      <w:b/>
      <w:sz w:val="24"/>
    </w:rPr>
  </w:style>
  <w:style w:type="paragraph" w:styleId="10">
    <w:name w:val="heading 7"/>
    <w:basedOn w:val="1"/>
    <w:next w:val="7"/>
    <w:qFormat/>
    <w:uiPriority w:val="0"/>
    <w:pPr>
      <w:keepNext/>
      <w:keepLines/>
      <w:spacing w:before="240" w:after="64" w:line="320" w:lineRule="auto"/>
      <w:outlineLvl w:val="6"/>
    </w:pPr>
    <w:rPr>
      <w:b/>
      <w:sz w:val="24"/>
    </w:rPr>
  </w:style>
  <w:style w:type="paragraph" w:styleId="11">
    <w:name w:val="heading 8"/>
    <w:basedOn w:val="1"/>
    <w:next w:val="7"/>
    <w:qFormat/>
    <w:uiPriority w:val="0"/>
    <w:pPr>
      <w:keepNext/>
      <w:keepLines/>
      <w:spacing w:before="240" w:after="64" w:line="320" w:lineRule="auto"/>
      <w:outlineLvl w:val="7"/>
    </w:pPr>
    <w:rPr>
      <w:rFonts w:ascii="黑体" w:hAnsi="黑体" w:eastAsia="楷体"/>
      <w:sz w:val="24"/>
    </w:rPr>
  </w:style>
  <w:style w:type="paragraph" w:styleId="12">
    <w:name w:val="heading 9"/>
    <w:basedOn w:val="1"/>
    <w:next w:val="7"/>
    <w:qFormat/>
    <w:uiPriority w:val="0"/>
    <w:pPr>
      <w:keepNext/>
      <w:keepLines/>
      <w:spacing w:before="240" w:after="64" w:line="320" w:lineRule="auto"/>
      <w:outlineLvl w:val="8"/>
    </w:pPr>
    <w:rPr>
      <w:rFonts w:ascii="黑体" w:hAnsi="黑体" w:eastAsia="楷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6"/>
    <w:qFormat/>
    <w:uiPriority w:val="0"/>
    <w:pPr>
      <w:adjustRightInd w:val="0"/>
      <w:spacing w:line="360" w:lineRule="auto"/>
      <w:ind w:firstLine="490"/>
      <w:jc w:val="left"/>
    </w:pPr>
    <w:rPr>
      <w:rFonts w:hint="default" w:ascii="Century Gothic" w:hAnsi="Century Gothic" w:eastAsia="Century Gothic"/>
      <w:sz w:val="24"/>
    </w:rPr>
  </w:style>
  <w:style w:type="paragraph" w:styleId="7">
    <w:name w:val="Normal Indent"/>
    <w:basedOn w:val="1"/>
    <w:link w:val="63"/>
    <w:qFormat/>
    <w:uiPriority w:val="0"/>
    <w:pPr>
      <w:widowControl/>
      <w:ind w:firstLine="420"/>
      <w:jc w:val="left"/>
    </w:pPr>
    <w:rPr>
      <w:rFonts w:hint="default" w:ascii="Arial" w:hAnsi="Arial" w:cs="Arial"/>
      <w:kern w:val="0"/>
      <w:sz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rPr>
  </w:style>
  <w:style w:type="paragraph" w:styleId="15">
    <w:name w:val="caption"/>
    <w:basedOn w:val="1"/>
    <w:next w:val="1"/>
    <w:qFormat/>
    <w:uiPriority w:val="0"/>
    <w:rPr>
      <w:rFonts w:ascii="黑体" w:hAnsi="黑体" w:eastAsia="楷体" w:cs="黑体"/>
      <w:sz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qFormat/>
    <w:uiPriority w:val="0"/>
    <w:pPr>
      <w:spacing w:after="120"/>
    </w:p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rPr>
  </w:style>
  <w:style w:type="paragraph" w:styleId="20">
    <w:name w:val="Block Text"/>
    <w:basedOn w:val="1"/>
    <w:qFormat/>
    <w:uiPriority w:val="0"/>
    <w:pPr>
      <w:adjustRightInd w:val="0"/>
      <w:snapToGrid w:val="0"/>
      <w:spacing w:line="300" w:lineRule="auto"/>
      <w:ind w:left="958" w:right="-120" w:rightChars="-120"/>
      <w:jc w:val="left"/>
    </w:pPr>
    <w:rPr>
      <w:rFonts w:ascii="Century Gothic" w:hAnsi="Century Gothic"/>
      <w:sz w:val="28"/>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rPr>
  </w:style>
  <w:style w:type="paragraph" w:styleId="23">
    <w:name w:val="Plain Text"/>
    <w:basedOn w:val="1"/>
    <w:link w:val="65"/>
    <w:qFormat/>
    <w:uiPriority w:val="0"/>
    <w:rPr>
      <w:rFonts w:hint="default" w:ascii="Century Gothic" w:hAnsi="楷体_GB2312" w:eastAsia="Century Gothic" w:cs="楷体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ascii="Century Gothic" w:hAnsi="Century Gothic"/>
      <w:sz w:val="24"/>
    </w:rPr>
  </w:style>
  <w:style w:type="paragraph" w:styleId="27">
    <w:name w:val="Balloon Text"/>
    <w:basedOn w:val="1"/>
    <w:semiHidden/>
    <w:qFormat/>
    <w:uiPriority w:val="0"/>
    <w:rPr>
      <w:sz w:val="18"/>
      <w:szCs w:val="18"/>
    </w:rPr>
  </w:style>
  <w:style w:type="paragraph" w:styleId="28">
    <w:name w:val="footer"/>
    <w:basedOn w:val="1"/>
    <w:link w:val="67"/>
    <w:qFormat/>
    <w:uiPriority w:val="0"/>
    <w:pPr>
      <w:tabs>
        <w:tab w:val="center" w:pos="4153"/>
        <w:tab w:val="right" w:pos="8306"/>
      </w:tabs>
      <w:adjustRightInd w:val="0"/>
      <w:jc w:val="left"/>
    </w:pPr>
    <w:rPr>
      <w:rFonts w:hint="default" w:eastAsia="Century Gothic"/>
      <w:sz w:val="18"/>
    </w:rPr>
  </w:style>
  <w:style w:type="paragraph" w:styleId="29">
    <w:name w:val="header"/>
    <w:basedOn w:val="1"/>
    <w:qFormat/>
    <w:uiPriority w:val="0"/>
    <w:pPr>
      <w:pBdr>
        <w:bottom w:val="single" w:color="auto" w:sz="6" w:space="1"/>
      </w:pBdr>
      <w:tabs>
        <w:tab w:val="center" w:pos="4153"/>
        <w:tab w:val="right" w:pos="8306"/>
      </w:tabs>
      <w:adjustRightInd w:val="0"/>
      <w:jc w:val="center"/>
    </w:pPr>
    <w:rPr>
      <w:sz w:val="18"/>
    </w:rPr>
  </w:style>
  <w:style w:type="paragraph" w:styleId="30">
    <w:name w:val="toc 1"/>
    <w:basedOn w:val="1"/>
    <w:next w:val="1"/>
    <w:qFormat/>
    <w:uiPriority w:val="39"/>
    <w:pPr>
      <w:tabs>
        <w:tab w:val="right" w:leader="dot" w:pos="8720"/>
      </w:tabs>
      <w:spacing w:before="120" w:after="120"/>
      <w:jc w:val="left"/>
    </w:pPr>
    <w:rPr>
      <w:rFonts w:ascii="Century Gothic" w:hAnsi="Century Gothic"/>
      <w:bCs/>
      <w:caps/>
      <w:sz w:val="20"/>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List 5"/>
    <w:basedOn w:val="1"/>
    <w:qFormat/>
    <w:uiPriority w:val="0"/>
    <w:pPr>
      <w:ind w:left="100" w:leftChars="800" w:hanging="200" w:hangingChars="200"/>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tabs>
        <w:tab w:val="right" w:leader="dot" w:pos="8720"/>
      </w:tabs>
      <w:adjustRightInd w:val="0"/>
      <w:snapToGrid w:val="0"/>
      <w:jc w:val="left"/>
    </w:pPr>
    <w:rPr>
      <w:smallCaps/>
      <w:sz w:val="20"/>
    </w:rPr>
  </w:style>
  <w:style w:type="paragraph" w:styleId="36">
    <w:name w:val="toc 9"/>
    <w:basedOn w:val="1"/>
    <w:next w:val="1"/>
    <w:semiHidden/>
    <w:qFormat/>
    <w:uiPriority w:val="0"/>
    <w:pPr>
      <w:ind w:left="1680"/>
      <w:jc w:val="left"/>
    </w:pPr>
    <w:rPr>
      <w:sz w:val="18"/>
      <w:szCs w:val="18"/>
    </w:rPr>
  </w:style>
  <w:style w:type="paragraph" w:styleId="37">
    <w:name w:val="Body Text 2"/>
    <w:basedOn w:val="1"/>
    <w:qFormat/>
    <w:uiPriority w:val="0"/>
    <w:rPr>
      <w:sz w:val="24"/>
    </w:rPr>
  </w:style>
  <w:style w:type="paragraph" w:styleId="38">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39">
    <w:name w:val="Title"/>
    <w:basedOn w:val="1"/>
    <w:qFormat/>
    <w:uiPriority w:val="0"/>
    <w:pPr>
      <w:tabs>
        <w:tab w:val="left" w:pos="1200"/>
      </w:tabs>
      <w:spacing w:afterLines="200"/>
      <w:ind w:left="1440" w:hanging="720"/>
      <w:jc w:val="center"/>
    </w:pPr>
    <w:rPr>
      <w:b/>
      <w:bCs/>
      <w:spacing w:val="60"/>
      <w:sz w:val="32"/>
    </w:rPr>
  </w:style>
  <w:style w:type="paragraph" w:styleId="40">
    <w:name w:val="annotation subject"/>
    <w:basedOn w:val="17"/>
    <w:next w:val="17"/>
    <w:semiHidden/>
    <w:qFormat/>
    <w:uiPriority w:val="0"/>
    <w:rPr>
      <w:b/>
      <w:bCs/>
    </w:rPr>
  </w:style>
  <w:style w:type="paragraph" w:styleId="41">
    <w:name w:val="Body Text First Indent"/>
    <w:basedOn w:val="18"/>
    <w:qFormat/>
    <w:uiPriority w:val="0"/>
    <w:pPr>
      <w:ind w:firstLine="420"/>
    </w:pPr>
  </w:style>
  <w:style w:type="paragraph" w:styleId="42">
    <w:name w:val="Body Text First Indent 2"/>
    <w:basedOn w:val="2"/>
    <w:qFormat/>
    <w:uiPriority w:val="0"/>
    <w:pPr>
      <w:spacing w:after="120" w:line="240" w:lineRule="auto"/>
      <w:ind w:left="420" w:leftChars="200" w:firstLine="420"/>
    </w:pPr>
    <w:rPr>
      <w:rFonts w:cs="宋体"/>
      <w:sz w:val="21"/>
      <w:szCs w:val="21"/>
    </w:rPr>
  </w:style>
  <w:style w:type="table" w:styleId="44">
    <w:name w:val="Table Grid"/>
    <w:basedOn w:val="4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qFormat/>
    <w:uiPriority w:val="0"/>
    <w:rPr>
      <w:sz w:val="21"/>
      <w:szCs w:val="21"/>
    </w:rPr>
  </w:style>
  <w:style w:type="character" w:customStyle="1" w:styleId="51">
    <w:name w:val="标题 1 Char"/>
    <w:link w:val="3"/>
    <w:qFormat/>
    <w:uiPriority w:val="0"/>
    <w:rPr>
      <w:rFonts w:eastAsia="Century Gothic"/>
      <w:b/>
      <w:bCs/>
      <w:kern w:val="44"/>
      <w:sz w:val="44"/>
      <w:szCs w:val="44"/>
      <w:lang w:val="en-US" w:eastAsia="zh-CN" w:bidi="ar-SA"/>
    </w:rPr>
  </w:style>
  <w:style w:type="character" w:customStyle="1" w:styleId="52">
    <w:name w:val="标题 3 Char"/>
    <w:link w:val="5"/>
    <w:qFormat/>
    <w:uiPriority w:val="0"/>
    <w:rPr>
      <w:b/>
      <w:bCs/>
      <w:sz w:val="32"/>
      <w:szCs w:val="32"/>
    </w:rPr>
  </w:style>
  <w:style w:type="character" w:customStyle="1" w:styleId="53">
    <w:name w:val="zbggmain style9"/>
    <w:qFormat/>
    <w:uiPriority w:val="0"/>
    <w:rPr>
      <w:rFonts w:ascii="Courier New" w:eastAsia="Courier New"/>
      <w:b/>
      <w:kern w:val="2"/>
      <w:sz w:val="32"/>
      <w:szCs w:val="32"/>
      <w:lang w:val="en-US" w:eastAsia="zh-CN" w:bidi="ar-SA"/>
    </w:rPr>
  </w:style>
  <w:style w:type="character" w:customStyle="1" w:styleId="54">
    <w:name w:val="tpc_content1"/>
    <w:qFormat/>
    <w:uiPriority w:val="0"/>
    <w:rPr>
      <w:sz w:val="20"/>
      <w:szCs w:val="20"/>
    </w:rPr>
  </w:style>
  <w:style w:type="character" w:customStyle="1" w:styleId="55">
    <w:name w:val="标准文本 Char"/>
    <w:link w:val="56"/>
    <w:qFormat/>
    <w:uiPriority w:val="0"/>
    <w:rPr>
      <w:rFonts w:eastAsia="宋体" w:cs="宋体"/>
      <w:kern w:val="2"/>
      <w:sz w:val="24"/>
      <w:lang w:val="en-US" w:eastAsia="zh-CN" w:bidi="ar-SA"/>
    </w:rPr>
  </w:style>
  <w:style w:type="paragraph" w:customStyle="1" w:styleId="56">
    <w:name w:val="标准文本"/>
    <w:basedOn w:val="1"/>
    <w:link w:val="55"/>
    <w:qFormat/>
    <w:uiPriority w:val="0"/>
    <w:pPr>
      <w:spacing w:line="360" w:lineRule="auto"/>
      <w:ind w:firstLine="480" w:firstLineChars="200"/>
    </w:pPr>
    <w:rPr>
      <w:rFonts w:hint="default" w:cs="宋体"/>
      <w:sz w:val="24"/>
    </w:rPr>
  </w:style>
  <w:style w:type="character" w:customStyle="1" w:styleId="57">
    <w:name w:val="zbggtop11 style5"/>
    <w:basedOn w:val="45"/>
    <w:qFormat/>
    <w:uiPriority w:val="0"/>
  </w:style>
  <w:style w:type="character" w:customStyle="1" w:styleId="58">
    <w:name w:val="style1"/>
    <w:basedOn w:val="45"/>
    <w:qFormat/>
    <w:uiPriority w:val="0"/>
  </w:style>
  <w:style w:type="character" w:customStyle="1" w:styleId="59">
    <w:name w:val="Char Char12"/>
    <w:qFormat/>
    <w:uiPriority w:val="0"/>
    <w:rPr>
      <w:rFonts w:ascii="Century Gothic" w:hAnsi="楷体_GB2312" w:eastAsia="Century Gothic" w:cs="楷体_GB2312"/>
      <w:kern w:val="2"/>
      <w:sz w:val="21"/>
      <w:szCs w:val="21"/>
      <w:lang w:val="en-US" w:eastAsia="zh-CN" w:bidi="ar-SA"/>
    </w:rPr>
  </w:style>
  <w:style w:type="character" w:customStyle="1" w:styleId="60">
    <w:name w:val="Char Char21"/>
    <w:qFormat/>
    <w:uiPriority w:val="0"/>
    <w:rPr>
      <w:rFonts w:eastAsia="Century Gothic"/>
      <w:b/>
      <w:bCs/>
      <w:kern w:val="44"/>
      <w:sz w:val="32"/>
      <w:szCs w:val="44"/>
      <w:lang w:val="en-US" w:eastAsia="zh-CN" w:bidi="ar-SA"/>
    </w:rPr>
  </w:style>
  <w:style w:type="character" w:customStyle="1" w:styleId="61">
    <w:name w:val="正文2 Char"/>
    <w:link w:val="62"/>
    <w:qFormat/>
    <w:uiPriority w:val="0"/>
    <w:rPr>
      <w:rFonts w:eastAsia="宋体"/>
      <w:kern w:val="2"/>
      <w:sz w:val="24"/>
      <w:lang w:val="en-US" w:eastAsia="zh-CN" w:bidi="ar-SA"/>
    </w:rPr>
  </w:style>
  <w:style w:type="paragraph" w:customStyle="1" w:styleId="62">
    <w:name w:val="正文2"/>
    <w:basedOn w:val="1"/>
    <w:link w:val="61"/>
    <w:qFormat/>
    <w:uiPriority w:val="0"/>
    <w:pPr>
      <w:spacing w:before="156" w:line="360" w:lineRule="auto"/>
      <w:ind w:firstLine="510" w:firstLineChars="200"/>
    </w:pPr>
    <w:rPr>
      <w:rFonts w:hint="default"/>
      <w:sz w:val="24"/>
    </w:rPr>
  </w:style>
  <w:style w:type="character" w:customStyle="1" w:styleId="63">
    <w:name w:val="正文缩进 Char"/>
    <w:link w:val="7"/>
    <w:qFormat/>
    <w:uiPriority w:val="0"/>
    <w:rPr>
      <w:rFonts w:ascii="Arial" w:hAnsi="Arial" w:eastAsia="宋体" w:cs="Arial"/>
      <w:lang w:val="en-US" w:eastAsia="zh-CN" w:bidi="ar-SA"/>
    </w:rPr>
  </w:style>
  <w:style w:type="character" w:customStyle="1" w:styleId="64">
    <w:name w:val="font21"/>
    <w:basedOn w:val="45"/>
    <w:qFormat/>
    <w:uiPriority w:val="0"/>
    <w:rPr>
      <w:rFonts w:hint="eastAsia" w:ascii="宋体" w:hAnsi="宋体" w:eastAsia="宋体" w:cs="宋体"/>
      <w:color w:val="000000"/>
      <w:sz w:val="24"/>
      <w:szCs w:val="24"/>
      <w:u w:val="none"/>
    </w:rPr>
  </w:style>
  <w:style w:type="character" w:customStyle="1" w:styleId="65">
    <w:name w:val="纯文本 Char"/>
    <w:link w:val="23"/>
    <w:qFormat/>
    <w:uiPriority w:val="0"/>
    <w:rPr>
      <w:rFonts w:ascii="Century Gothic" w:hAnsi="楷体_GB2312" w:eastAsia="Century Gothic" w:cs="楷体_GB2312"/>
      <w:kern w:val="2"/>
      <w:sz w:val="21"/>
      <w:szCs w:val="21"/>
      <w:lang w:val="en-US" w:eastAsia="zh-CN" w:bidi="ar-SA"/>
    </w:rPr>
  </w:style>
  <w:style w:type="character" w:customStyle="1" w:styleId="66">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67">
    <w:name w:val="页脚 Char"/>
    <w:link w:val="28"/>
    <w:qFormat/>
    <w:uiPriority w:val="0"/>
    <w:rPr>
      <w:rFonts w:eastAsia="Century Gothic"/>
      <w:kern w:val="2"/>
      <w:sz w:val="18"/>
      <w:lang w:val="en-US" w:eastAsia="zh-CN" w:bidi="ar-SA"/>
    </w:rPr>
  </w:style>
  <w:style w:type="character" w:customStyle="1" w:styleId="68">
    <w:name w:val="font31"/>
    <w:basedOn w:val="45"/>
    <w:qFormat/>
    <w:uiPriority w:val="0"/>
    <w:rPr>
      <w:rFonts w:hint="default" w:ascii="Times New Roman" w:hAnsi="Times New Roman" w:cs="Times New Roman"/>
      <w:color w:val="000000"/>
      <w:sz w:val="24"/>
      <w:szCs w:val="24"/>
      <w:u w:val="none"/>
    </w:rPr>
  </w:style>
  <w:style w:type="character" w:customStyle="1" w:styleId="69">
    <w:name w:val="Char Char"/>
    <w:qFormat/>
    <w:uiPriority w:val="0"/>
    <w:rPr>
      <w:rFonts w:ascii="Courier New" w:eastAsia="Courier New"/>
      <w:color w:val="FF0000"/>
      <w:kern w:val="2"/>
      <w:sz w:val="24"/>
      <w:szCs w:val="24"/>
      <w:u w:val="single"/>
      <w:lang w:val="en-US" w:eastAsia="zh-CN" w:bidi="ar-SA"/>
    </w:rPr>
  </w:style>
  <w:style w:type="character" w:customStyle="1" w:styleId="70">
    <w:name w:val="bulletintext1"/>
    <w:qFormat/>
    <w:uiPriority w:val="0"/>
    <w:rPr>
      <w:color w:val="000000"/>
      <w:sz w:val="18"/>
    </w:rPr>
  </w:style>
  <w:style w:type="character" w:customStyle="1" w:styleId="71">
    <w:name w:val="普通文字 Char Char1"/>
    <w:qFormat/>
    <w:uiPriority w:val="0"/>
    <w:rPr>
      <w:rFonts w:ascii="Century Gothic" w:hAnsi="楷体_GB2312" w:eastAsia="Century Gothic" w:cs="楷体_GB2312"/>
      <w:kern w:val="2"/>
      <w:sz w:val="21"/>
      <w:szCs w:val="21"/>
      <w:lang w:val="en-US" w:eastAsia="zh-CN" w:bidi="ar-SA"/>
    </w:rPr>
  </w:style>
  <w:style w:type="paragraph" w:customStyle="1" w:styleId="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7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4">
    <w:name w:val="Char"/>
    <w:basedOn w:val="1"/>
    <w:qFormat/>
    <w:uiPriority w:val="0"/>
    <w:rPr>
      <w:rFonts w:ascii="Courier New" w:eastAsia="Courier New"/>
      <w:b/>
      <w:sz w:val="32"/>
      <w:szCs w:val="32"/>
    </w:rPr>
  </w:style>
  <w:style w:type="paragraph" w:customStyle="1" w:styleId="75">
    <w:name w:val="表头"/>
    <w:basedOn w:val="1"/>
    <w:qFormat/>
    <w:uiPriority w:val="0"/>
    <w:pPr>
      <w:adjustRightInd w:val="0"/>
      <w:spacing w:before="60" w:after="60" w:line="420" w:lineRule="atLeast"/>
      <w:jc w:val="left"/>
      <w:textAlignment w:val="baseline"/>
    </w:pPr>
    <w:rPr>
      <w:rFonts w:ascii="黑体" w:hAnsi="Times New Roman" w:eastAsia="黑体"/>
      <w:b/>
      <w:kern w:val="0"/>
    </w:rPr>
  </w:style>
  <w:style w:type="paragraph" w:customStyle="1" w:styleId="76">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77">
    <w:name w:val="无间隔1"/>
    <w:qFormat/>
    <w:uiPriority w:val="0"/>
    <w:rPr>
      <w:rFonts w:ascii="Calibri" w:hAnsi="Calibri" w:eastAsia="宋体" w:cs="Times New Roman"/>
      <w:sz w:val="22"/>
      <w:szCs w:val="22"/>
      <w:lang w:val="en-US" w:eastAsia="en-US" w:bidi="ar-SA"/>
    </w:rPr>
  </w:style>
  <w:style w:type="paragraph" w:customStyle="1" w:styleId="7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9">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List Paragraph1"/>
    <w:basedOn w:val="1"/>
    <w:qFormat/>
    <w:uiPriority w:val="0"/>
    <w:pPr>
      <w:ind w:firstLine="420" w:firstLineChars="200"/>
    </w:pPr>
    <w:rPr>
      <w:szCs w:val="24"/>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2">
    <w:name w:val="正文文字格式"/>
    <w:basedOn w:val="1"/>
    <w:qFormat/>
    <w:uiPriority w:val="0"/>
    <w:pPr>
      <w:spacing w:line="460" w:lineRule="exact"/>
      <w:ind w:firstLine="505"/>
      <w:jc w:val="left"/>
    </w:pPr>
    <w:rPr>
      <w:rFonts w:ascii="Century Gothic"/>
      <w:kern w:val="24"/>
      <w:sz w:val="24"/>
    </w:rPr>
  </w:style>
  <w:style w:type="paragraph" w:customStyle="1" w:styleId="83">
    <w:name w:val="正文文本 21"/>
    <w:basedOn w:val="1"/>
    <w:qFormat/>
    <w:uiPriority w:val="0"/>
    <w:pPr>
      <w:adjustRightInd w:val="0"/>
      <w:spacing w:line="300" w:lineRule="auto"/>
      <w:jc w:val="center"/>
    </w:pPr>
    <w:rPr>
      <w:rFonts w:ascii="Century Gothic" w:hAnsi="Century Gothic"/>
      <w:sz w:val="24"/>
    </w:rPr>
  </w:style>
  <w:style w:type="paragraph" w:customStyle="1" w:styleId="8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6">
    <w:name w:val="Char3 Char Char Char"/>
    <w:basedOn w:val="1"/>
    <w:qFormat/>
    <w:uiPriority w:val="0"/>
    <w:pPr>
      <w:widowControl/>
      <w:spacing w:after="160" w:line="240" w:lineRule="exact"/>
      <w:jc w:val="left"/>
    </w:pPr>
  </w:style>
  <w:style w:type="paragraph" w:customStyle="1" w:styleId="8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1">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2">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9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4">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95">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96">
    <w:name w:val="title11"/>
    <w:basedOn w:val="1"/>
    <w:qFormat/>
    <w:uiPriority w:val="0"/>
    <w:pPr>
      <w:spacing w:before="150"/>
      <w:jc w:val="left"/>
    </w:pPr>
    <w:rPr>
      <w:b/>
      <w:kern w:val="0"/>
    </w:rPr>
  </w:style>
  <w:style w:type="paragraph" w:customStyle="1" w:styleId="97">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98">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9">
    <w:name w:val="font6"/>
    <w:basedOn w:val="1"/>
    <w:qFormat/>
    <w:uiPriority w:val="0"/>
    <w:pPr>
      <w:widowControl/>
      <w:spacing w:before="100" w:beforeAutospacing="1" w:after="100" w:afterAutospacing="1"/>
      <w:jc w:val="left"/>
    </w:pPr>
    <w:rPr>
      <w:kern w:val="0"/>
      <w:sz w:val="18"/>
      <w:szCs w:val="18"/>
    </w:rPr>
  </w:style>
  <w:style w:type="paragraph" w:customStyle="1" w:styleId="100">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1">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3">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4">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05">
    <w:name w:val="Char Char Char Char"/>
    <w:basedOn w:val="1"/>
    <w:qFormat/>
    <w:uiPriority w:val="0"/>
  </w:style>
  <w:style w:type="paragraph" w:customStyle="1" w:styleId="10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07">
    <w:name w:val="Char1"/>
    <w:basedOn w:val="1"/>
    <w:qFormat/>
    <w:uiPriority w:val="0"/>
    <w:pPr>
      <w:widowControl/>
      <w:spacing w:after="160" w:line="240" w:lineRule="exact"/>
      <w:jc w:val="left"/>
    </w:pPr>
  </w:style>
  <w:style w:type="paragraph" w:customStyle="1" w:styleId="108">
    <w:name w:val="Char Char Char Char Char"/>
    <w:basedOn w:val="1"/>
    <w:qFormat/>
    <w:uiPriority w:val="0"/>
    <w:pPr>
      <w:widowControl/>
      <w:spacing w:after="160" w:line="240" w:lineRule="exact"/>
      <w:jc w:val="left"/>
    </w:pPr>
    <w:rPr>
      <w:rFonts w:ascii="Verdana" w:hAnsi="Verdana" w:eastAsia="华文细黑"/>
    </w:rPr>
  </w:style>
  <w:style w:type="paragraph" w:customStyle="1" w:styleId="109">
    <w:name w:val="font1"/>
    <w:basedOn w:val="1"/>
    <w:qFormat/>
    <w:uiPriority w:val="0"/>
    <w:pPr>
      <w:widowControl/>
      <w:spacing w:before="100" w:beforeAutospacing="1" w:after="100" w:afterAutospacing="1"/>
      <w:jc w:val="left"/>
    </w:pPr>
    <w:rPr>
      <w:rFonts w:ascii="Century Gothic" w:hAnsi="Century Gothic"/>
      <w:kern w:val="0"/>
      <w:sz w:val="24"/>
    </w:rPr>
  </w:style>
  <w:style w:type="paragraph" w:customStyle="1" w:styleId="110">
    <w:name w:val="Char Char Char Char Char Char Char Char"/>
    <w:basedOn w:val="1"/>
    <w:qFormat/>
    <w:uiPriority w:val="0"/>
    <w:pPr>
      <w:tabs>
        <w:tab w:val="left" w:pos="360"/>
      </w:tabs>
    </w:pPr>
  </w:style>
  <w:style w:type="paragraph" w:customStyle="1" w:styleId="11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2">
    <w:name w:val="纯文本1"/>
    <w:basedOn w:val="103"/>
    <w:qFormat/>
    <w:uiPriority w:val="0"/>
    <w:pPr>
      <w:widowControl/>
      <w:jc w:val="left"/>
    </w:pPr>
    <w:rPr>
      <w:rFonts w:ascii="宋体" w:hAnsi="Courier New"/>
    </w:rPr>
  </w:style>
  <w:style w:type="paragraph" w:customStyle="1" w:styleId="113">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14">
    <w:name w:val="正文段"/>
    <w:basedOn w:val="1"/>
    <w:qFormat/>
    <w:uiPriority w:val="0"/>
    <w:pPr>
      <w:widowControl/>
      <w:snapToGrid w:val="0"/>
      <w:spacing w:afterLines="50"/>
      <w:ind w:firstLine="200" w:firstLineChars="200"/>
    </w:pPr>
    <w:rPr>
      <w:kern w:val="0"/>
      <w:sz w:val="24"/>
    </w:rPr>
  </w:style>
  <w:style w:type="paragraph" w:customStyle="1" w:styleId="115">
    <w:name w:val="Char2"/>
    <w:basedOn w:val="1"/>
    <w:qFormat/>
    <w:uiPriority w:val="0"/>
  </w:style>
  <w:style w:type="paragraph" w:customStyle="1" w:styleId="116">
    <w:name w:val="Pa1"/>
    <w:basedOn w:val="95"/>
    <w:next w:val="95"/>
    <w:qFormat/>
    <w:uiPriority w:val="99"/>
    <w:pPr>
      <w:spacing w:line="241" w:lineRule="atLeast"/>
    </w:pPr>
    <w:rPr>
      <w:rFonts w:ascii="思源黑体" w:eastAsia="思源黑体" w:cs="Arial"/>
      <w:color w:val="auto"/>
    </w:rPr>
  </w:style>
  <w:style w:type="paragraph" w:customStyle="1" w:styleId="117">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18">
    <w:name w:val="p0"/>
    <w:basedOn w:val="1"/>
    <w:unhideWhenUsed/>
    <w:qFormat/>
    <w:uiPriority w:val="0"/>
    <w:pPr>
      <w:widowControl/>
    </w:pPr>
  </w:style>
  <w:style w:type="paragraph" w:customStyle="1" w:styleId="119">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styleId="120">
    <w:name w:val="List Paragraph"/>
    <w:basedOn w:val="1"/>
    <w:qFormat/>
    <w:uiPriority w:val="0"/>
    <w:pPr>
      <w:ind w:firstLine="420" w:firstLineChars="200"/>
    </w:pPr>
    <w:rPr>
      <w:rFonts w:ascii="Times New Roman" w:hAnsi="Times New Roman"/>
    </w:rPr>
  </w:style>
  <w:style w:type="paragraph" w:customStyle="1" w:styleId="121">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70</Pages>
  <Words>37287</Words>
  <Characters>39907</Characters>
  <Lines>310</Lines>
  <Paragraphs>87</Paragraphs>
  <TotalTime>11</TotalTime>
  <ScaleCrop>false</ScaleCrop>
  <LinksUpToDate>false</LinksUpToDate>
  <CharactersWithSpaces>41254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2021-03-25T08:33:00Z</dcterms:created>
  <dc:creator>微软用户</dc:creator>
  <cp:lastModifiedBy>娟</cp:lastModifiedBy>
  <cp:lastPrinted>2020-01-08T09:14:00Z</cp:lastPrinted>
  <dcterms:modified xsi:type="dcterms:W3CDTF">2021-07-22T02:42:42Z</dcterms:modified>
  <dc:title>杭州下沙服务外包人才培训基地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7CD23F7DE62346CA97F5E27B5F23D327</vt:lpwstr>
  </property>
</Properties>
</file>